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A89" w:rsidRPr="005B5D2A" w:rsidRDefault="00E17A89" w:rsidP="00E17A89">
      <w:pPr>
        <w:pStyle w:val="Titlepage"/>
        <w:spacing w:before="3240"/>
      </w:pPr>
      <w:bookmarkStart w:id="0" w:name="_Toc422139916"/>
      <w:bookmarkStart w:id="1" w:name="_Toc486426735"/>
      <w:bookmarkStart w:id="2" w:name="_Toc486853468"/>
      <w:bookmarkStart w:id="3" w:name="_Toc468102824"/>
      <w:r w:rsidRPr="005B5D2A">
        <w:t>Pharmaceutical Benefits Scheme</w:t>
      </w:r>
    </w:p>
    <w:p w:rsidR="00E17A89" w:rsidRPr="005B5D2A" w:rsidRDefault="00E17A89" w:rsidP="00E17A89">
      <w:pPr>
        <w:pStyle w:val="Titlepage"/>
        <w:spacing w:before="200"/>
        <w:rPr>
          <w:b/>
        </w:rPr>
      </w:pPr>
      <w:r w:rsidRPr="005B5D2A">
        <w:rPr>
          <w:b/>
        </w:rPr>
        <w:t>Post-market Review</w:t>
      </w:r>
      <w:r w:rsidR="00DF577F">
        <w:rPr>
          <w:b/>
        </w:rPr>
        <w:t xml:space="preserve"> of</w:t>
      </w:r>
    </w:p>
    <w:p w:rsidR="00E17A89" w:rsidRDefault="00E17A89" w:rsidP="00E17A89">
      <w:pPr>
        <w:pStyle w:val="Titlepage"/>
        <w:spacing w:before="200"/>
        <w:rPr>
          <w:b/>
          <w:color w:val="4F81BD"/>
        </w:rPr>
      </w:pPr>
      <w:r w:rsidRPr="00194011">
        <w:rPr>
          <w:b/>
          <w:color w:val="4F81BD"/>
        </w:rPr>
        <w:t>Chronic Obstructive Pulmonary Disease Medicines</w:t>
      </w:r>
    </w:p>
    <w:p w:rsidR="00E17A89" w:rsidRDefault="00E17A89" w:rsidP="00E17A89">
      <w:pPr>
        <w:pStyle w:val="Titlepage"/>
        <w:spacing w:before="200"/>
        <w:rPr>
          <w:b/>
          <w:color w:val="4F81BD"/>
        </w:rPr>
      </w:pPr>
      <w:r>
        <w:rPr>
          <w:b/>
          <w:color w:val="4F81BD"/>
        </w:rPr>
        <w:t>Executive Summary</w:t>
      </w:r>
    </w:p>
    <w:p w:rsidR="00E17A89" w:rsidRPr="00194011" w:rsidRDefault="00DA4DA4" w:rsidP="00E17A89">
      <w:pPr>
        <w:pStyle w:val="Titlepage"/>
        <w:spacing w:before="3120"/>
        <w:rPr>
          <w:b/>
          <w:color w:val="4F81BD"/>
          <w:sz w:val="32"/>
          <w:szCs w:val="32"/>
        </w:rPr>
      </w:pPr>
      <w:r>
        <w:rPr>
          <w:b/>
          <w:color w:val="4F81BD"/>
          <w:sz w:val="32"/>
          <w:szCs w:val="32"/>
        </w:rPr>
        <w:t>Final</w:t>
      </w:r>
      <w:r w:rsidR="00E17A89" w:rsidRPr="00194011">
        <w:rPr>
          <w:b/>
          <w:color w:val="4F81BD"/>
          <w:sz w:val="32"/>
          <w:szCs w:val="32"/>
        </w:rPr>
        <w:t xml:space="preserve"> Report</w:t>
      </w:r>
    </w:p>
    <w:p w:rsidR="00E17A89" w:rsidRDefault="008A534E" w:rsidP="00E17A89">
      <w:pPr>
        <w:pStyle w:val="Heading1"/>
        <w:numPr>
          <w:ilvl w:val="0"/>
          <w:numId w:val="0"/>
        </w:numPr>
        <w:rPr>
          <w:sz w:val="32"/>
        </w:rPr>
      </w:pPr>
      <w:r>
        <w:rPr>
          <w:sz w:val="32"/>
        </w:rPr>
        <w:t>August</w:t>
      </w:r>
      <w:bookmarkStart w:id="4" w:name="_GoBack"/>
      <w:bookmarkEnd w:id="4"/>
      <w:r w:rsidR="00E17A89">
        <w:rPr>
          <w:sz w:val="32"/>
        </w:rPr>
        <w:t xml:space="preserve"> 2017</w:t>
      </w:r>
    </w:p>
    <w:p w:rsidR="00E17A89" w:rsidRDefault="00E17A89" w:rsidP="00E17A89">
      <w:pPr>
        <w:pStyle w:val="Heading1"/>
        <w:numPr>
          <w:ilvl w:val="0"/>
          <w:numId w:val="0"/>
        </w:numPr>
        <w:sectPr w:rsidR="00E17A89" w:rsidSect="00CB3D44">
          <w:headerReference w:type="default" r:id="rId9"/>
          <w:footerReference w:type="default" r:id="rId10"/>
          <w:pgSz w:w="11906" w:h="16838"/>
          <w:pgMar w:top="1134" w:right="1134" w:bottom="1134" w:left="1134" w:header="709" w:footer="709" w:gutter="0"/>
          <w:cols w:space="708"/>
          <w:docGrid w:linePitch="360"/>
        </w:sectPr>
      </w:pPr>
    </w:p>
    <w:p w:rsidR="00647101" w:rsidRDefault="00072D53" w:rsidP="00E17A89">
      <w:pPr>
        <w:pStyle w:val="Heading1"/>
        <w:numPr>
          <w:ilvl w:val="0"/>
          <w:numId w:val="0"/>
        </w:numPr>
      </w:pPr>
      <w:r>
        <w:lastRenderedPageBreak/>
        <w:t>Executive</w:t>
      </w:r>
      <w:r w:rsidR="00247AFC">
        <w:t xml:space="preserve"> </w:t>
      </w:r>
      <w:r w:rsidR="00DF3115" w:rsidRPr="00254CB5">
        <w:t>Summary</w:t>
      </w:r>
      <w:bookmarkEnd w:id="0"/>
      <w:bookmarkEnd w:id="1"/>
      <w:bookmarkEnd w:id="2"/>
    </w:p>
    <w:bookmarkStart w:id="5" w:name="_Toc486853469" w:displacedByCustomXml="next"/>
    <w:bookmarkStart w:id="6" w:name="_Toc486426736" w:displacedByCustomXml="next"/>
    <w:sdt>
      <w:sdtPr>
        <w:rPr>
          <w:rFonts w:eastAsia="Calibri"/>
          <w:b w:val="0"/>
          <w:color w:val="auto"/>
          <w:sz w:val="24"/>
          <w:szCs w:val="24"/>
        </w:rPr>
        <w:id w:val="-28807454"/>
        <w:docPartObj>
          <w:docPartGallery w:val="Table of Contents"/>
          <w:docPartUnique/>
        </w:docPartObj>
      </w:sdtPr>
      <w:sdtEndPr>
        <w:rPr>
          <w:bCs/>
          <w:noProof/>
        </w:rPr>
      </w:sdtEndPr>
      <w:sdtContent>
        <w:p w:rsidR="00F33DF6" w:rsidRDefault="00A9371A" w:rsidP="00F33DF6">
          <w:pPr>
            <w:pStyle w:val="Heading1"/>
            <w:numPr>
              <w:ilvl w:val="0"/>
              <w:numId w:val="0"/>
            </w:numPr>
            <w:rPr>
              <w:rFonts w:asciiTheme="minorHAnsi" w:eastAsiaTheme="minorEastAsia" w:hAnsiTheme="minorHAnsi" w:cstheme="minorBidi"/>
              <w:noProof/>
              <w:sz w:val="22"/>
              <w:szCs w:val="22"/>
              <w:lang w:eastAsia="en-AU"/>
            </w:rPr>
          </w:pPr>
          <w:r>
            <w:t>Contents</w:t>
          </w:r>
          <w:bookmarkEnd w:id="6"/>
          <w:bookmarkEnd w:id="5"/>
        </w:p>
        <w:p w:rsidR="00AE21CB" w:rsidRDefault="00AE21CB">
          <w:pPr>
            <w:pStyle w:val="TOC2"/>
            <w:rPr>
              <w:noProof/>
            </w:rPr>
          </w:pPr>
          <w:r>
            <w:rPr>
              <w:noProof/>
            </w:rPr>
            <w:t>Plain language Summary</w:t>
          </w:r>
          <w:r>
            <w:rPr>
              <w:noProof/>
            </w:rPr>
            <w:tab/>
            <w:t>3</w:t>
          </w:r>
        </w:p>
        <w:p w:rsidR="00F33DF6" w:rsidRDefault="00F33DF6">
          <w:pPr>
            <w:pStyle w:val="TOC2"/>
            <w:rPr>
              <w:rFonts w:asciiTheme="minorHAnsi" w:eastAsiaTheme="minorEastAsia" w:hAnsiTheme="minorHAnsi" w:cstheme="minorBidi"/>
              <w:noProof/>
              <w:sz w:val="22"/>
              <w:szCs w:val="22"/>
              <w:lang w:eastAsia="en-AU"/>
            </w:rPr>
          </w:pPr>
          <w:r w:rsidRPr="0041298F">
            <w:rPr>
              <w:noProof/>
            </w:rPr>
            <w:t>Background and context</w:t>
          </w:r>
          <w:r>
            <w:rPr>
              <w:noProof/>
              <w:webHidden/>
            </w:rPr>
            <w:tab/>
          </w:r>
          <w:r w:rsidR="002A2E66">
            <w:rPr>
              <w:noProof/>
              <w:webHidden/>
            </w:rPr>
            <w:t>5</w:t>
          </w:r>
        </w:p>
        <w:p w:rsidR="00F33DF6" w:rsidRDefault="00F33DF6">
          <w:pPr>
            <w:pStyle w:val="TOC2"/>
            <w:rPr>
              <w:rFonts w:asciiTheme="minorHAnsi" w:eastAsiaTheme="minorEastAsia" w:hAnsiTheme="minorHAnsi" w:cstheme="minorBidi"/>
              <w:noProof/>
              <w:sz w:val="22"/>
              <w:szCs w:val="22"/>
              <w:lang w:eastAsia="en-AU"/>
            </w:rPr>
          </w:pPr>
          <w:r w:rsidRPr="0041298F">
            <w:rPr>
              <w:noProof/>
            </w:rPr>
            <w:t>Review Terms of Reference (ToR)</w:t>
          </w:r>
          <w:r>
            <w:rPr>
              <w:noProof/>
              <w:webHidden/>
            </w:rPr>
            <w:tab/>
          </w:r>
          <w:r w:rsidR="002A2E66">
            <w:rPr>
              <w:noProof/>
              <w:webHidden/>
            </w:rPr>
            <w:t>6</w:t>
          </w:r>
        </w:p>
        <w:p w:rsidR="00F33DF6" w:rsidRDefault="00F33DF6">
          <w:pPr>
            <w:pStyle w:val="TOC2"/>
            <w:rPr>
              <w:rFonts w:asciiTheme="minorHAnsi" w:eastAsiaTheme="minorEastAsia" w:hAnsiTheme="minorHAnsi" w:cstheme="minorBidi"/>
              <w:noProof/>
              <w:sz w:val="22"/>
              <w:szCs w:val="22"/>
              <w:lang w:eastAsia="en-AU"/>
            </w:rPr>
          </w:pPr>
          <w:r w:rsidRPr="0041298F">
            <w:rPr>
              <w:noProof/>
            </w:rPr>
            <w:t>Methodological approach to the technical report</w:t>
          </w:r>
          <w:r>
            <w:rPr>
              <w:noProof/>
              <w:webHidden/>
            </w:rPr>
            <w:tab/>
          </w:r>
          <w:r w:rsidR="002A2E66">
            <w:rPr>
              <w:noProof/>
              <w:webHidden/>
            </w:rPr>
            <w:t>6</w:t>
          </w:r>
        </w:p>
        <w:p w:rsidR="00F33DF6" w:rsidRDefault="00F33DF6">
          <w:pPr>
            <w:pStyle w:val="TOC2"/>
            <w:rPr>
              <w:rFonts w:asciiTheme="minorHAnsi" w:eastAsiaTheme="minorEastAsia" w:hAnsiTheme="minorHAnsi" w:cstheme="minorBidi"/>
              <w:noProof/>
              <w:sz w:val="22"/>
              <w:szCs w:val="22"/>
              <w:lang w:eastAsia="en-AU"/>
            </w:rPr>
          </w:pPr>
          <w:r w:rsidRPr="0041298F">
            <w:rPr>
              <w:noProof/>
            </w:rPr>
            <w:t>Key Review findings</w:t>
          </w:r>
          <w:r>
            <w:rPr>
              <w:noProof/>
              <w:webHidden/>
            </w:rPr>
            <w:tab/>
          </w:r>
          <w:r w:rsidR="002A2E66">
            <w:rPr>
              <w:noProof/>
              <w:webHidden/>
            </w:rPr>
            <w:t>8</w:t>
          </w:r>
        </w:p>
        <w:p w:rsidR="00F33DF6" w:rsidRDefault="00F33DF6">
          <w:pPr>
            <w:pStyle w:val="TOC3"/>
            <w:rPr>
              <w:rFonts w:asciiTheme="minorHAnsi" w:eastAsiaTheme="minorEastAsia" w:hAnsiTheme="minorHAnsi" w:cstheme="minorBidi"/>
              <w:noProof/>
              <w:sz w:val="22"/>
              <w:szCs w:val="22"/>
              <w:lang w:eastAsia="en-AU"/>
            </w:rPr>
          </w:pPr>
          <w:r w:rsidRPr="0041298F">
            <w:rPr>
              <w:noProof/>
            </w:rPr>
            <w:t>ToR 1: Comparison of prescribing restrictions and clinical guidelines</w:t>
          </w:r>
          <w:r>
            <w:rPr>
              <w:noProof/>
              <w:webHidden/>
            </w:rPr>
            <w:tab/>
          </w:r>
          <w:r w:rsidR="002A2E66">
            <w:rPr>
              <w:noProof/>
              <w:webHidden/>
            </w:rPr>
            <w:t>8</w:t>
          </w:r>
        </w:p>
        <w:p w:rsidR="00F33DF6" w:rsidRDefault="00F33DF6">
          <w:pPr>
            <w:pStyle w:val="TOC3"/>
            <w:rPr>
              <w:rFonts w:asciiTheme="minorHAnsi" w:eastAsiaTheme="minorEastAsia" w:hAnsiTheme="minorHAnsi" w:cstheme="minorBidi"/>
              <w:noProof/>
              <w:sz w:val="22"/>
              <w:szCs w:val="22"/>
              <w:lang w:eastAsia="en-AU"/>
            </w:rPr>
          </w:pPr>
          <w:r w:rsidRPr="0041298F">
            <w:rPr>
              <w:noProof/>
            </w:rPr>
            <w:t>ToR 2: Review of clinical outcomes</w:t>
          </w:r>
          <w:r>
            <w:rPr>
              <w:noProof/>
              <w:webHidden/>
            </w:rPr>
            <w:tab/>
          </w:r>
          <w:r w:rsidR="002A2E66">
            <w:rPr>
              <w:noProof/>
              <w:webHidden/>
            </w:rPr>
            <w:t>9</w:t>
          </w:r>
        </w:p>
        <w:p w:rsidR="00F33DF6" w:rsidRDefault="00F33DF6">
          <w:pPr>
            <w:pStyle w:val="TOC3"/>
            <w:rPr>
              <w:rFonts w:asciiTheme="minorHAnsi" w:eastAsiaTheme="minorEastAsia" w:hAnsiTheme="minorHAnsi" w:cstheme="minorBidi"/>
              <w:noProof/>
              <w:sz w:val="22"/>
              <w:szCs w:val="22"/>
              <w:lang w:eastAsia="en-AU"/>
            </w:rPr>
          </w:pPr>
          <w:r w:rsidRPr="0041298F">
            <w:rPr>
              <w:noProof/>
            </w:rPr>
            <w:t>ToR 3: Review of efficacy and safety</w:t>
          </w:r>
          <w:r>
            <w:rPr>
              <w:noProof/>
              <w:webHidden/>
            </w:rPr>
            <w:tab/>
          </w:r>
          <w:r w:rsidR="002A2E66">
            <w:rPr>
              <w:noProof/>
              <w:webHidden/>
            </w:rPr>
            <w:t>10</w:t>
          </w:r>
        </w:p>
        <w:p w:rsidR="00F33DF6" w:rsidRDefault="00F33DF6">
          <w:pPr>
            <w:pStyle w:val="TOC3"/>
            <w:rPr>
              <w:rFonts w:asciiTheme="minorHAnsi" w:eastAsiaTheme="minorEastAsia" w:hAnsiTheme="minorHAnsi" w:cstheme="minorBidi"/>
              <w:noProof/>
              <w:sz w:val="22"/>
              <w:szCs w:val="22"/>
              <w:lang w:eastAsia="en-AU"/>
            </w:rPr>
          </w:pPr>
          <w:r w:rsidRPr="0041298F">
            <w:rPr>
              <w:noProof/>
            </w:rPr>
            <w:t>ToR 4: Review of the safety of prolonged ICS use</w:t>
          </w:r>
          <w:r>
            <w:rPr>
              <w:noProof/>
              <w:webHidden/>
            </w:rPr>
            <w:tab/>
          </w:r>
          <w:r w:rsidR="00283E41">
            <w:rPr>
              <w:noProof/>
              <w:webHidden/>
            </w:rPr>
            <w:t>1</w:t>
          </w:r>
          <w:r w:rsidR="002A2E66">
            <w:rPr>
              <w:noProof/>
              <w:webHidden/>
            </w:rPr>
            <w:t>7</w:t>
          </w:r>
        </w:p>
        <w:p w:rsidR="00F33DF6" w:rsidRDefault="00F33DF6">
          <w:pPr>
            <w:pStyle w:val="TOC3"/>
            <w:rPr>
              <w:rFonts w:asciiTheme="minorHAnsi" w:eastAsiaTheme="minorEastAsia" w:hAnsiTheme="minorHAnsi" w:cstheme="minorBidi"/>
              <w:noProof/>
              <w:sz w:val="22"/>
              <w:szCs w:val="22"/>
              <w:lang w:eastAsia="en-AU"/>
            </w:rPr>
          </w:pPr>
          <w:r w:rsidRPr="0041298F">
            <w:rPr>
              <w:noProof/>
            </w:rPr>
            <w:t>ToR 5: Current utilisation of PBS-listed COPD medicines</w:t>
          </w:r>
          <w:r>
            <w:rPr>
              <w:noProof/>
              <w:webHidden/>
            </w:rPr>
            <w:tab/>
          </w:r>
          <w:r w:rsidR="00283E41">
            <w:rPr>
              <w:noProof/>
              <w:webHidden/>
            </w:rPr>
            <w:t>1</w:t>
          </w:r>
          <w:r w:rsidR="002A2E66">
            <w:rPr>
              <w:noProof/>
              <w:webHidden/>
            </w:rPr>
            <w:t>8</w:t>
          </w:r>
        </w:p>
        <w:p w:rsidR="00F33DF6" w:rsidRDefault="00F33DF6">
          <w:pPr>
            <w:pStyle w:val="TOC3"/>
            <w:rPr>
              <w:rFonts w:asciiTheme="minorHAnsi" w:eastAsiaTheme="minorEastAsia" w:hAnsiTheme="minorHAnsi" w:cstheme="minorBidi"/>
              <w:noProof/>
              <w:sz w:val="22"/>
              <w:szCs w:val="22"/>
              <w:lang w:eastAsia="en-AU"/>
            </w:rPr>
          </w:pPr>
          <w:r w:rsidRPr="0041298F">
            <w:rPr>
              <w:noProof/>
            </w:rPr>
            <w:t>ToR 6: Need for a review of cost-effectiveness</w:t>
          </w:r>
          <w:r>
            <w:rPr>
              <w:noProof/>
              <w:webHidden/>
            </w:rPr>
            <w:tab/>
          </w:r>
          <w:r w:rsidR="00283E41">
            <w:rPr>
              <w:noProof/>
              <w:webHidden/>
            </w:rPr>
            <w:t>1</w:t>
          </w:r>
          <w:r w:rsidR="002A2E66">
            <w:rPr>
              <w:noProof/>
              <w:webHidden/>
            </w:rPr>
            <w:t>9</w:t>
          </w:r>
        </w:p>
        <w:p w:rsidR="00F33DF6" w:rsidRDefault="00F33DF6">
          <w:pPr>
            <w:pStyle w:val="TOC2"/>
            <w:rPr>
              <w:rFonts w:asciiTheme="minorHAnsi" w:eastAsiaTheme="minorEastAsia" w:hAnsiTheme="minorHAnsi" w:cstheme="minorBidi"/>
              <w:noProof/>
              <w:sz w:val="22"/>
              <w:szCs w:val="22"/>
              <w:lang w:eastAsia="en-AU"/>
            </w:rPr>
          </w:pPr>
          <w:r w:rsidRPr="0041298F">
            <w:rPr>
              <w:noProof/>
            </w:rPr>
            <w:t>COPD Review Options</w:t>
          </w:r>
          <w:r>
            <w:rPr>
              <w:noProof/>
              <w:webHidden/>
            </w:rPr>
            <w:tab/>
          </w:r>
          <w:r w:rsidR="002A2E66">
            <w:rPr>
              <w:noProof/>
              <w:webHidden/>
            </w:rPr>
            <w:t>21</w:t>
          </w:r>
        </w:p>
        <w:p w:rsidR="00F33DF6" w:rsidRDefault="00F33DF6">
          <w:pPr>
            <w:pStyle w:val="TOC3"/>
            <w:rPr>
              <w:rFonts w:asciiTheme="minorHAnsi" w:eastAsiaTheme="minorEastAsia" w:hAnsiTheme="minorHAnsi" w:cstheme="minorBidi"/>
              <w:noProof/>
              <w:sz w:val="22"/>
              <w:szCs w:val="22"/>
              <w:lang w:eastAsia="en-AU"/>
            </w:rPr>
          </w:pPr>
          <w:r w:rsidRPr="0041298F">
            <w:rPr>
              <w:noProof/>
            </w:rPr>
            <w:t>PBS Restriction Text</w:t>
          </w:r>
          <w:r>
            <w:rPr>
              <w:noProof/>
              <w:webHidden/>
            </w:rPr>
            <w:tab/>
          </w:r>
          <w:r w:rsidR="002A2E66">
            <w:rPr>
              <w:noProof/>
              <w:webHidden/>
            </w:rPr>
            <w:t>21</w:t>
          </w:r>
        </w:p>
        <w:p w:rsidR="00F33DF6" w:rsidRDefault="00F33DF6">
          <w:pPr>
            <w:pStyle w:val="TOC3"/>
            <w:rPr>
              <w:rFonts w:asciiTheme="minorHAnsi" w:eastAsiaTheme="minorEastAsia" w:hAnsiTheme="minorHAnsi" w:cstheme="minorBidi"/>
              <w:noProof/>
              <w:sz w:val="22"/>
              <w:szCs w:val="22"/>
              <w:lang w:eastAsia="en-AU"/>
            </w:rPr>
          </w:pPr>
          <w:r w:rsidRPr="0041298F">
            <w:rPr>
              <w:noProof/>
            </w:rPr>
            <w:t>PBS Restriction Levels</w:t>
          </w:r>
          <w:r>
            <w:rPr>
              <w:noProof/>
              <w:webHidden/>
            </w:rPr>
            <w:tab/>
          </w:r>
          <w:r w:rsidR="002A2E66">
            <w:rPr>
              <w:noProof/>
              <w:webHidden/>
            </w:rPr>
            <w:t>25</w:t>
          </w:r>
        </w:p>
        <w:p w:rsidR="00F33DF6" w:rsidRDefault="00F33DF6">
          <w:pPr>
            <w:pStyle w:val="TOC3"/>
            <w:rPr>
              <w:rFonts w:asciiTheme="minorHAnsi" w:eastAsiaTheme="minorEastAsia" w:hAnsiTheme="minorHAnsi" w:cstheme="minorBidi"/>
              <w:noProof/>
              <w:sz w:val="22"/>
              <w:szCs w:val="22"/>
              <w:lang w:eastAsia="en-AU"/>
            </w:rPr>
          </w:pPr>
          <w:r w:rsidRPr="0041298F">
            <w:rPr>
              <w:noProof/>
            </w:rPr>
            <w:t>Cost-effectiveness</w:t>
          </w:r>
          <w:r>
            <w:rPr>
              <w:noProof/>
              <w:webHidden/>
            </w:rPr>
            <w:tab/>
          </w:r>
          <w:r w:rsidR="00283E41">
            <w:rPr>
              <w:noProof/>
              <w:webHidden/>
            </w:rPr>
            <w:t>2</w:t>
          </w:r>
          <w:r w:rsidR="002A2E66">
            <w:rPr>
              <w:noProof/>
              <w:webHidden/>
            </w:rPr>
            <w:t>8</w:t>
          </w:r>
        </w:p>
        <w:p w:rsidR="00F33DF6" w:rsidRDefault="00F33DF6">
          <w:pPr>
            <w:pStyle w:val="TOC3"/>
            <w:rPr>
              <w:rFonts w:asciiTheme="minorHAnsi" w:eastAsiaTheme="minorEastAsia" w:hAnsiTheme="minorHAnsi" w:cstheme="minorBidi"/>
              <w:noProof/>
              <w:sz w:val="22"/>
              <w:szCs w:val="22"/>
              <w:lang w:eastAsia="en-AU"/>
            </w:rPr>
          </w:pPr>
          <w:r w:rsidRPr="0041298F">
            <w:rPr>
              <w:noProof/>
            </w:rPr>
            <w:t>Non-PBS Recommendations</w:t>
          </w:r>
          <w:r>
            <w:rPr>
              <w:noProof/>
              <w:webHidden/>
            </w:rPr>
            <w:tab/>
          </w:r>
          <w:r w:rsidR="00283E41">
            <w:rPr>
              <w:noProof/>
              <w:webHidden/>
            </w:rPr>
            <w:t>2</w:t>
          </w:r>
          <w:r w:rsidR="002A2E66">
            <w:rPr>
              <w:noProof/>
              <w:webHidden/>
            </w:rPr>
            <w:t>9</w:t>
          </w:r>
        </w:p>
        <w:p w:rsidR="00A9371A" w:rsidRDefault="008A534E"/>
      </w:sdtContent>
    </w:sdt>
    <w:p w:rsidR="00647101" w:rsidRDefault="00647101" w:rsidP="00647101">
      <w:pPr>
        <w:pStyle w:val="BodyText"/>
        <w:keepNext/>
        <w:jc w:val="center"/>
        <w:rPr>
          <w:b/>
          <w:color w:val="4F81BD"/>
          <w:sz w:val="36"/>
          <w:szCs w:val="36"/>
        </w:rPr>
      </w:pPr>
      <w:r w:rsidRPr="00A0482D">
        <w:rPr>
          <w:b/>
          <w:color w:val="4F81BD"/>
          <w:sz w:val="36"/>
          <w:szCs w:val="36"/>
        </w:rPr>
        <w:t>List of Tables</w:t>
      </w:r>
    </w:p>
    <w:p w:rsidR="00364A9B" w:rsidRDefault="00364A9B">
      <w:pPr>
        <w:pStyle w:val="TableofFigures"/>
        <w:tabs>
          <w:tab w:val="right" w:leader="dot" w:pos="9628"/>
        </w:tabs>
      </w:pPr>
    </w:p>
    <w:p w:rsidR="00F33DF6" w:rsidRDefault="00F33DF6">
      <w:pPr>
        <w:pStyle w:val="TableofFigures"/>
        <w:tabs>
          <w:tab w:val="right" w:leader="dot" w:pos="9628"/>
        </w:tabs>
        <w:rPr>
          <w:rFonts w:asciiTheme="minorHAnsi" w:eastAsiaTheme="minorEastAsia" w:hAnsiTheme="minorHAnsi" w:cstheme="minorBidi"/>
          <w:noProof/>
          <w:sz w:val="22"/>
          <w:szCs w:val="22"/>
          <w:lang w:eastAsia="en-AU"/>
        </w:rPr>
      </w:pPr>
      <w:r w:rsidRPr="0041298F">
        <w:rPr>
          <w:noProof/>
        </w:rPr>
        <w:t>Table ES 1</w:t>
      </w:r>
      <w:r>
        <w:rPr>
          <w:rFonts w:asciiTheme="minorHAnsi" w:eastAsiaTheme="minorEastAsia" w:hAnsiTheme="minorHAnsi" w:cstheme="minorBidi"/>
          <w:noProof/>
          <w:sz w:val="22"/>
          <w:szCs w:val="22"/>
          <w:lang w:eastAsia="en-AU"/>
        </w:rPr>
        <w:tab/>
      </w:r>
      <w:r w:rsidRPr="0041298F">
        <w:rPr>
          <w:noProof/>
        </w:rPr>
        <w:t>Methodological approach to ToR 1, ToR 2, ToR 3 and ToR 4</w:t>
      </w:r>
      <w:r>
        <w:rPr>
          <w:noProof/>
          <w:webHidden/>
        </w:rPr>
        <w:tab/>
      </w:r>
      <w:r w:rsidR="002A2E66">
        <w:rPr>
          <w:noProof/>
          <w:webHidden/>
        </w:rPr>
        <w:t>7</w:t>
      </w:r>
    </w:p>
    <w:p w:rsidR="00F33DF6" w:rsidRDefault="00F33DF6">
      <w:pPr>
        <w:pStyle w:val="TableofFigures"/>
        <w:tabs>
          <w:tab w:val="right" w:leader="dot" w:pos="9628"/>
        </w:tabs>
        <w:rPr>
          <w:rFonts w:asciiTheme="minorHAnsi" w:eastAsiaTheme="minorEastAsia" w:hAnsiTheme="minorHAnsi" w:cstheme="minorBidi"/>
          <w:noProof/>
          <w:sz w:val="22"/>
          <w:szCs w:val="22"/>
          <w:lang w:eastAsia="en-AU"/>
        </w:rPr>
      </w:pPr>
      <w:r w:rsidRPr="0041298F">
        <w:rPr>
          <w:noProof/>
        </w:rPr>
        <w:t>Table ES 2</w:t>
      </w:r>
      <w:r>
        <w:rPr>
          <w:rFonts w:asciiTheme="minorHAnsi" w:eastAsiaTheme="minorEastAsia" w:hAnsiTheme="minorHAnsi" w:cstheme="minorBidi"/>
          <w:noProof/>
          <w:sz w:val="22"/>
          <w:szCs w:val="22"/>
          <w:lang w:eastAsia="en-AU"/>
        </w:rPr>
        <w:tab/>
      </w:r>
      <w:r w:rsidRPr="0041298F">
        <w:rPr>
          <w:noProof/>
        </w:rPr>
        <w:t>Methodological approach ToR 5</w:t>
      </w:r>
      <w:r>
        <w:rPr>
          <w:noProof/>
          <w:webHidden/>
        </w:rPr>
        <w:tab/>
      </w:r>
      <w:r w:rsidR="002A2E66">
        <w:rPr>
          <w:noProof/>
          <w:webHidden/>
        </w:rPr>
        <w:t>7</w:t>
      </w:r>
    </w:p>
    <w:p w:rsidR="00F33DF6" w:rsidRDefault="00F33DF6">
      <w:pPr>
        <w:pStyle w:val="TableofFigures"/>
        <w:tabs>
          <w:tab w:val="right" w:leader="dot" w:pos="9628"/>
        </w:tabs>
        <w:rPr>
          <w:rFonts w:asciiTheme="minorHAnsi" w:eastAsiaTheme="minorEastAsia" w:hAnsiTheme="minorHAnsi" w:cstheme="minorBidi"/>
          <w:noProof/>
          <w:sz w:val="22"/>
          <w:szCs w:val="22"/>
          <w:lang w:eastAsia="en-AU"/>
        </w:rPr>
      </w:pPr>
      <w:r w:rsidRPr="0041298F">
        <w:rPr>
          <w:noProof/>
        </w:rPr>
        <w:t>Table ES 3</w:t>
      </w:r>
      <w:r>
        <w:rPr>
          <w:rFonts w:asciiTheme="minorHAnsi" w:eastAsiaTheme="minorEastAsia" w:hAnsiTheme="minorHAnsi" w:cstheme="minorBidi"/>
          <w:noProof/>
          <w:sz w:val="22"/>
          <w:szCs w:val="22"/>
          <w:lang w:eastAsia="en-AU"/>
        </w:rPr>
        <w:tab/>
      </w:r>
      <w:r w:rsidRPr="0041298F">
        <w:rPr>
          <w:noProof/>
        </w:rPr>
        <w:t>Summary of evidence for monotherapy versus monotherapy in patients with COPD</w:t>
      </w:r>
      <w:r>
        <w:rPr>
          <w:noProof/>
          <w:webHidden/>
        </w:rPr>
        <w:tab/>
      </w:r>
      <w:r w:rsidR="002A2E66">
        <w:rPr>
          <w:noProof/>
          <w:webHidden/>
        </w:rPr>
        <w:t>11</w:t>
      </w:r>
    </w:p>
    <w:p w:rsidR="00F33DF6" w:rsidRDefault="00F33DF6">
      <w:pPr>
        <w:pStyle w:val="TableofFigures"/>
        <w:tabs>
          <w:tab w:val="right" w:leader="dot" w:pos="9628"/>
        </w:tabs>
        <w:rPr>
          <w:rFonts w:asciiTheme="minorHAnsi" w:eastAsiaTheme="minorEastAsia" w:hAnsiTheme="minorHAnsi" w:cstheme="minorBidi"/>
          <w:noProof/>
          <w:sz w:val="22"/>
          <w:szCs w:val="22"/>
          <w:lang w:eastAsia="en-AU"/>
        </w:rPr>
      </w:pPr>
      <w:r w:rsidRPr="0041298F">
        <w:rPr>
          <w:noProof/>
        </w:rPr>
        <w:t>Table ES 4</w:t>
      </w:r>
      <w:r>
        <w:rPr>
          <w:rFonts w:asciiTheme="minorHAnsi" w:eastAsiaTheme="minorEastAsia" w:hAnsiTheme="minorHAnsi" w:cstheme="minorBidi"/>
          <w:noProof/>
          <w:sz w:val="22"/>
          <w:szCs w:val="22"/>
          <w:lang w:eastAsia="en-AU"/>
        </w:rPr>
        <w:tab/>
      </w:r>
      <w:r w:rsidRPr="0041298F">
        <w:rPr>
          <w:noProof/>
        </w:rPr>
        <w:t>Summary of new evidence for monotherapy versus dual therapy in patients with COPD</w:t>
      </w:r>
      <w:r>
        <w:rPr>
          <w:noProof/>
          <w:webHidden/>
        </w:rPr>
        <w:tab/>
      </w:r>
      <w:r w:rsidR="00283E41">
        <w:rPr>
          <w:noProof/>
          <w:webHidden/>
        </w:rPr>
        <w:t>1</w:t>
      </w:r>
      <w:r w:rsidR="002A2E66">
        <w:rPr>
          <w:noProof/>
          <w:webHidden/>
        </w:rPr>
        <w:t>3</w:t>
      </w:r>
    </w:p>
    <w:p w:rsidR="00F33DF6" w:rsidRDefault="00F33DF6">
      <w:pPr>
        <w:pStyle w:val="TableofFigures"/>
        <w:tabs>
          <w:tab w:val="right" w:leader="dot" w:pos="9628"/>
        </w:tabs>
        <w:rPr>
          <w:rFonts w:asciiTheme="minorHAnsi" w:eastAsiaTheme="minorEastAsia" w:hAnsiTheme="minorHAnsi" w:cstheme="minorBidi"/>
          <w:noProof/>
          <w:sz w:val="22"/>
          <w:szCs w:val="22"/>
          <w:lang w:eastAsia="en-AU"/>
        </w:rPr>
      </w:pPr>
      <w:r w:rsidRPr="0041298F">
        <w:rPr>
          <w:noProof/>
        </w:rPr>
        <w:t>Table ES 5</w:t>
      </w:r>
      <w:r>
        <w:rPr>
          <w:rFonts w:asciiTheme="minorHAnsi" w:eastAsiaTheme="minorEastAsia" w:hAnsiTheme="minorHAnsi" w:cstheme="minorBidi"/>
          <w:noProof/>
          <w:sz w:val="22"/>
          <w:szCs w:val="22"/>
          <w:lang w:eastAsia="en-AU"/>
        </w:rPr>
        <w:tab/>
      </w:r>
      <w:r w:rsidRPr="0041298F">
        <w:rPr>
          <w:noProof/>
        </w:rPr>
        <w:t>Summary of new evidence for dual therapy versus dual therapy in patients with COPD</w:t>
      </w:r>
      <w:r>
        <w:rPr>
          <w:noProof/>
          <w:webHidden/>
        </w:rPr>
        <w:tab/>
      </w:r>
      <w:r w:rsidR="00283E41">
        <w:rPr>
          <w:noProof/>
          <w:webHidden/>
        </w:rPr>
        <w:t>1</w:t>
      </w:r>
      <w:r w:rsidR="002A2E66">
        <w:rPr>
          <w:noProof/>
          <w:webHidden/>
        </w:rPr>
        <w:t>5</w:t>
      </w:r>
    </w:p>
    <w:p w:rsidR="00F33DF6" w:rsidRDefault="00F33DF6">
      <w:pPr>
        <w:pStyle w:val="TableofFigures"/>
        <w:tabs>
          <w:tab w:val="right" w:leader="dot" w:pos="9628"/>
        </w:tabs>
        <w:rPr>
          <w:rFonts w:asciiTheme="minorHAnsi" w:eastAsiaTheme="minorEastAsia" w:hAnsiTheme="minorHAnsi" w:cstheme="minorBidi"/>
          <w:noProof/>
          <w:sz w:val="22"/>
          <w:szCs w:val="22"/>
          <w:lang w:eastAsia="en-AU"/>
        </w:rPr>
      </w:pPr>
      <w:r w:rsidRPr="0041298F">
        <w:rPr>
          <w:noProof/>
        </w:rPr>
        <w:t>Table ES 6</w:t>
      </w:r>
      <w:r>
        <w:rPr>
          <w:rFonts w:asciiTheme="minorHAnsi" w:eastAsiaTheme="minorEastAsia" w:hAnsiTheme="minorHAnsi" w:cstheme="minorBidi"/>
          <w:noProof/>
          <w:sz w:val="22"/>
          <w:szCs w:val="22"/>
          <w:lang w:eastAsia="en-AU"/>
        </w:rPr>
        <w:tab/>
      </w:r>
      <w:r w:rsidRPr="0041298F">
        <w:rPr>
          <w:noProof/>
        </w:rPr>
        <w:t>Summary of new evidence for dual therapy versus triple therapy in patients with COPD</w:t>
      </w:r>
      <w:r>
        <w:rPr>
          <w:noProof/>
          <w:webHidden/>
        </w:rPr>
        <w:tab/>
      </w:r>
      <w:r w:rsidR="00283E41">
        <w:rPr>
          <w:noProof/>
          <w:webHidden/>
        </w:rPr>
        <w:t>1</w:t>
      </w:r>
      <w:r w:rsidR="002A2E66">
        <w:rPr>
          <w:noProof/>
          <w:webHidden/>
        </w:rPr>
        <w:t>6</w:t>
      </w:r>
    </w:p>
    <w:p w:rsidR="00EC3DBE" w:rsidRDefault="00EC3DBE" w:rsidP="00C53964">
      <w:pPr>
        <w:pStyle w:val="BodyText"/>
      </w:pPr>
    </w:p>
    <w:p w:rsidR="00647101" w:rsidRDefault="00647101" w:rsidP="00647101">
      <w:pPr>
        <w:pStyle w:val="BodyText"/>
        <w:keepNext/>
        <w:jc w:val="center"/>
        <w:rPr>
          <w:b/>
          <w:color w:val="4F81BD"/>
          <w:sz w:val="36"/>
          <w:szCs w:val="36"/>
        </w:rPr>
      </w:pPr>
      <w:r w:rsidRPr="00A0482D">
        <w:rPr>
          <w:b/>
          <w:color w:val="4F81BD"/>
          <w:sz w:val="36"/>
          <w:szCs w:val="36"/>
        </w:rPr>
        <w:t xml:space="preserve">List of </w:t>
      </w:r>
      <w:r>
        <w:rPr>
          <w:b/>
          <w:color w:val="4F81BD"/>
          <w:sz w:val="36"/>
          <w:szCs w:val="36"/>
        </w:rPr>
        <w:t>Figures</w:t>
      </w:r>
    </w:p>
    <w:p w:rsidR="00364A9B" w:rsidRDefault="00364A9B">
      <w:pPr>
        <w:pStyle w:val="TableofFigures"/>
        <w:tabs>
          <w:tab w:val="right" w:leader="dot" w:pos="9628"/>
        </w:tabs>
      </w:pPr>
    </w:p>
    <w:p w:rsidR="00F33DF6" w:rsidRDefault="00F33DF6">
      <w:pPr>
        <w:pStyle w:val="TableofFigures"/>
        <w:tabs>
          <w:tab w:val="right" w:leader="dot" w:pos="9628"/>
        </w:tabs>
        <w:rPr>
          <w:rFonts w:asciiTheme="minorHAnsi" w:eastAsiaTheme="minorEastAsia" w:hAnsiTheme="minorHAnsi" w:cstheme="minorBidi"/>
          <w:noProof/>
          <w:sz w:val="22"/>
          <w:szCs w:val="22"/>
          <w:lang w:eastAsia="en-AU"/>
        </w:rPr>
      </w:pPr>
      <w:r w:rsidRPr="0041298F">
        <w:rPr>
          <w:noProof/>
        </w:rPr>
        <w:t>Figure ES 1</w:t>
      </w:r>
      <w:r>
        <w:rPr>
          <w:rFonts w:asciiTheme="minorHAnsi" w:eastAsiaTheme="minorEastAsia" w:hAnsiTheme="minorHAnsi" w:cstheme="minorBidi"/>
          <w:noProof/>
          <w:sz w:val="22"/>
          <w:szCs w:val="22"/>
          <w:lang w:eastAsia="en-AU"/>
        </w:rPr>
        <w:tab/>
      </w:r>
      <w:r w:rsidRPr="0041298F">
        <w:rPr>
          <w:noProof/>
        </w:rPr>
        <w:t>Timeline of PBAC consideration of COPD medicines and date of PBS listing</w:t>
      </w:r>
      <w:r>
        <w:rPr>
          <w:noProof/>
          <w:webHidden/>
        </w:rPr>
        <w:tab/>
      </w:r>
      <w:r w:rsidR="002A2E66">
        <w:rPr>
          <w:noProof/>
          <w:webHidden/>
        </w:rPr>
        <w:t>5</w:t>
      </w:r>
    </w:p>
    <w:p w:rsidR="00EC3DBE" w:rsidRDefault="00EC3DBE" w:rsidP="00C53964">
      <w:pPr>
        <w:pStyle w:val="BodyText"/>
      </w:pPr>
    </w:p>
    <w:p w:rsidR="00F6389C" w:rsidRPr="00F6389C" w:rsidRDefault="00F6389C" w:rsidP="00F6389C">
      <w:pPr>
        <w:pStyle w:val="Heading2"/>
        <w:numPr>
          <w:ilvl w:val="0"/>
          <w:numId w:val="0"/>
        </w:numPr>
      </w:pPr>
      <w:bookmarkStart w:id="7" w:name="_Toc486853470"/>
      <w:r w:rsidRPr="00F6389C">
        <w:lastRenderedPageBreak/>
        <w:t>Plain language summary</w:t>
      </w:r>
    </w:p>
    <w:p w:rsidR="00F6389C" w:rsidRPr="00F6389C" w:rsidRDefault="00F6389C" w:rsidP="00F6389C">
      <w:pPr>
        <w:spacing w:before="0" w:line="240" w:lineRule="auto"/>
        <w:jc w:val="left"/>
      </w:pPr>
    </w:p>
    <w:p w:rsidR="00F6389C" w:rsidRPr="00F6389C" w:rsidRDefault="00F6389C" w:rsidP="00F6389C">
      <w:pPr>
        <w:spacing w:before="0" w:line="240" w:lineRule="auto"/>
        <w:jc w:val="left"/>
        <w:rPr>
          <w:rFonts w:cs="Arial"/>
          <w:b/>
          <w:sz w:val="22"/>
          <w:szCs w:val="20"/>
        </w:rPr>
      </w:pPr>
      <w:r w:rsidRPr="00F6389C">
        <w:rPr>
          <w:rFonts w:cs="Arial"/>
          <w:b/>
          <w:sz w:val="22"/>
          <w:szCs w:val="20"/>
        </w:rPr>
        <w:t>Background</w:t>
      </w:r>
    </w:p>
    <w:p w:rsidR="00F6389C" w:rsidRPr="00F6389C" w:rsidRDefault="00F6389C" w:rsidP="00F6389C">
      <w:pPr>
        <w:spacing w:before="0" w:line="240" w:lineRule="auto"/>
        <w:jc w:val="left"/>
        <w:rPr>
          <w:b/>
        </w:rPr>
      </w:pPr>
    </w:p>
    <w:p w:rsidR="00F6389C" w:rsidRPr="00F6389C" w:rsidRDefault="00F6389C" w:rsidP="00F6389C">
      <w:pPr>
        <w:spacing w:before="0"/>
      </w:pPr>
      <w:r w:rsidRPr="00F6389C">
        <w:t xml:space="preserve">In August 2015, the PBAC recommended a Post-market Review of </w:t>
      </w:r>
      <w:r>
        <w:t>chronic obstructive pulmonary disease (</w:t>
      </w:r>
      <w:r w:rsidRPr="00F6389C">
        <w:t>COPD</w:t>
      </w:r>
      <w:r>
        <w:t>)</w:t>
      </w:r>
      <w:r w:rsidRPr="00F6389C">
        <w:t xml:space="preserve"> </w:t>
      </w:r>
      <w:r>
        <w:t>m</w:t>
      </w:r>
      <w:r w:rsidRPr="00F6389C">
        <w:t>edicines (the Review), with the purpose of reviewing the use, safety, efficacy and cost-effectiveness of PBS-listed medicines for use in COPD.  The Review was approved by the Minister for Health on 28 September 2015, and a Reference Group was established to provide independent expert clinical advice and consumer input.  In line with the published Post-market Review Framework, there were a number of opportunities for stakeholder consultation and contribution to the Review.</w:t>
      </w:r>
    </w:p>
    <w:p w:rsidR="00F6389C" w:rsidRPr="00F6389C" w:rsidRDefault="00F6389C" w:rsidP="00F6389C">
      <w:pPr>
        <w:spacing w:before="0" w:line="240" w:lineRule="auto"/>
        <w:jc w:val="left"/>
      </w:pPr>
    </w:p>
    <w:p w:rsidR="00F6389C" w:rsidRDefault="00F6389C" w:rsidP="00F6389C">
      <w:pPr>
        <w:spacing w:before="0" w:line="240" w:lineRule="auto"/>
        <w:jc w:val="left"/>
        <w:rPr>
          <w:rFonts w:cs="Arial"/>
          <w:b/>
          <w:sz w:val="22"/>
          <w:szCs w:val="20"/>
        </w:rPr>
      </w:pPr>
      <w:r w:rsidRPr="00F6389C">
        <w:rPr>
          <w:rFonts w:cs="Arial"/>
          <w:b/>
          <w:sz w:val="22"/>
          <w:szCs w:val="20"/>
        </w:rPr>
        <w:t>Key Findings for each Term of Reference</w:t>
      </w:r>
    </w:p>
    <w:p w:rsidR="00F6389C" w:rsidRPr="00F6389C" w:rsidRDefault="00F6389C" w:rsidP="00F6389C">
      <w:pPr>
        <w:spacing w:before="0" w:line="240" w:lineRule="auto"/>
        <w:jc w:val="left"/>
        <w:rPr>
          <w:rFonts w:cs="Arial"/>
          <w:b/>
          <w:sz w:val="22"/>
          <w:szCs w:val="20"/>
        </w:rPr>
      </w:pPr>
    </w:p>
    <w:p w:rsidR="00F6389C" w:rsidRPr="00F6389C" w:rsidRDefault="00F6389C" w:rsidP="001B21DF">
      <w:pPr>
        <w:numPr>
          <w:ilvl w:val="0"/>
          <w:numId w:val="34"/>
        </w:numPr>
        <w:tabs>
          <w:tab w:val="clear" w:pos="720"/>
          <w:tab w:val="num" w:pos="851"/>
        </w:tabs>
        <w:spacing w:before="0"/>
        <w:ind w:left="426"/>
        <w:rPr>
          <w:i/>
        </w:rPr>
      </w:pPr>
      <w:r w:rsidRPr="00F6389C">
        <w:rPr>
          <w:i/>
        </w:rPr>
        <w:t xml:space="preserve">Compare the prescribing restrictions for Pharmaceutical Benefits Scheme </w:t>
      </w:r>
      <w:r>
        <w:rPr>
          <w:i/>
        </w:rPr>
        <w:t>(</w:t>
      </w:r>
      <w:r w:rsidRPr="00F6389C">
        <w:rPr>
          <w:i/>
        </w:rPr>
        <w:t>PBS</w:t>
      </w:r>
      <w:r>
        <w:rPr>
          <w:i/>
        </w:rPr>
        <w:t>)</w:t>
      </w:r>
      <w:r w:rsidRPr="00F6389C">
        <w:rPr>
          <w:i/>
        </w:rPr>
        <w:t xml:space="preserve">-listed COPD medicines for consistency with the current clinical guidelines. </w:t>
      </w:r>
    </w:p>
    <w:p w:rsidR="00F6389C" w:rsidRPr="00F6389C" w:rsidRDefault="00F6389C" w:rsidP="00CD1D07">
      <w:pPr>
        <w:numPr>
          <w:ilvl w:val="0"/>
          <w:numId w:val="35"/>
        </w:numPr>
        <w:spacing w:before="0"/>
      </w:pPr>
      <w:r w:rsidRPr="00F6389C">
        <w:t>The key clinical guidelines of relevance to Australian practice are the COPD</w:t>
      </w:r>
      <w:r w:rsidRPr="00F6389C">
        <w:noBreakHyphen/>
        <w:t xml:space="preserve">X Plan and the GOLD Strategy Report. </w:t>
      </w:r>
    </w:p>
    <w:p w:rsidR="00F6389C" w:rsidRPr="00F6389C" w:rsidRDefault="00F6389C" w:rsidP="00CD1D07">
      <w:pPr>
        <w:numPr>
          <w:ilvl w:val="0"/>
          <w:numId w:val="35"/>
        </w:numPr>
        <w:spacing w:before="0"/>
      </w:pPr>
      <w:r w:rsidRPr="00F6389C">
        <w:t>The current PBS prescribing rules and levels for dual bronchodilator combination (LAMA/LABA) and inhaled corticosteroid/bronchodilator combination (ICS/LABA) medicines do not align with the recommended medicine treatment pathway in the guidelines.</w:t>
      </w:r>
    </w:p>
    <w:p w:rsidR="00F6389C" w:rsidRPr="00F6389C" w:rsidRDefault="00F6389C" w:rsidP="00CD1D07">
      <w:pPr>
        <w:numPr>
          <w:ilvl w:val="0"/>
          <w:numId w:val="35"/>
        </w:numPr>
        <w:spacing w:before="0"/>
      </w:pPr>
      <w:r w:rsidRPr="00F6389C">
        <w:t>Many clinicians and patients are confused by the variety of available therapies and devices, which has the potential to cause inadvertent medicine duplication.</w:t>
      </w:r>
    </w:p>
    <w:p w:rsidR="00F6389C" w:rsidRPr="00F6389C" w:rsidRDefault="00F6389C" w:rsidP="00F6389C">
      <w:pPr>
        <w:spacing w:before="0"/>
      </w:pPr>
    </w:p>
    <w:p w:rsidR="00F6389C" w:rsidRPr="00F6389C" w:rsidRDefault="00F6389C" w:rsidP="001B21DF">
      <w:pPr>
        <w:numPr>
          <w:ilvl w:val="0"/>
          <w:numId w:val="34"/>
        </w:numPr>
        <w:tabs>
          <w:tab w:val="clear" w:pos="720"/>
          <w:tab w:val="num" w:pos="851"/>
        </w:tabs>
        <w:spacing w:before="0"/>
        <w:ind w:left="426"/>
        <w:rPr>
          <w:i/>
        </w:rPr>
      </w:pPr>
      <w:r w:rsidRPr="00F6389C">
        <w:rPr>
          <w:i/>
        </w:rPr>
        <w:t xml:space="preserve">Review the clinical outcomes that are most important or clinically relevant to people with COPD and the extent to which these outcomes are included in the evidence previously provided to PBAC on the cost-effectiveness of these medicines. </w:t>
      </w:r>
    </w:p>
    <w:p w:rsidR="00F6389C" w:rsidRPr="00F6389C" w:rsidRDefault="00F6389C" w:rsidP="00CD1D07">
      <w:pPr>
        <w:numPr>
          <w:ilvl w:val="0"/>
          <w:numId w:val="35"/>
        </w:numPr>
        <w:spacing w:before="0"/>
      </w:pPr>
      <w:r w:rsidRPr="00F6389C">
        <w:t>Reduced pulmonary symptoms, exacerbations and hospitalisations are the most important clinical outcomes for patients with COPD.</w:t>
      </w:r>
    </w:p>
    <w:p w:rsidR="00F6389C" w:rsidRDefault="00F6389C" w:rsidP="00CD1D07">
      <w:pPr>
        <w:numPr>
          <w:ilvl w:val="0"/>
          <w:numId w:val="35"/>
        </w:numPr>
        <w:spacing w:before="0"/>
      </w:pPr>
      <w:r w:rsidRPr="00F6389C">
        <w:t xml:space="preserve">The main outcomes measured in clinical trials and considered by the PBAC are in line with the GOLD Strategy Report recommended approach of combining symptomatic assessment with a patient’s lung function results and/or risk of exacerbations. </w:t>
      </w:r>
    </w:p>
    <w:p w:rsidR="00F6389C" w:rsidRPr="00F6389C" w:rsidRDefault="00F6389C" w:rsidP="00F6389C">
      <w:pPr>
        <w:spacing w:before="0"/>
        <w:ind w:left="720"/>
      </w:pPr>
    </w:p>
    <w:p w:rsidR="00F6389C" w:rsidRPr="00F6389C" w:rsidRDefault="00F6389C" w:rsidP="001B21DF">
      <w:pPr>
        <w:numPr>
          <w:ilvl w:val="0"/>
          <w:numId w:val="34"/>
        </w:numPr>
        <w:tabs>
          <w:tab w:val="clear" w:pos="720"/>
          <w:tab w:val="num" w:pos="851"/>
        </w:tabs>
        <w:spacing w:before="0"/>
        <w:ind w:left="426"/>
        <w:rPr>
          <w:i/>
        </w:rPr>
      </w:pPr>
      <w:r w:rsidRPr="00F6389C">
        <w:rPr>
          <w:i/>
        </w:rPr>
        <w:t xml:space="preserve">Review the evidence on the efficacy and safety of monotherapy and combinations of inhaled medicines for treatment of COPD that PBAC has not previously considered. </w:t>
      </w:r>
    </w:p>
    <w:p w:rsidR="00F6389C" w:rsidRPr="00F6389C" w:rsidRDefault="00F6389C" w:rsidP="00CD1D07">
      <w:pPr>
        <w:numPr>
          <w:ilvl w:val="0"/>
          <w:numId w:val="35"/>
        </w:numPr>
        <w:spacing w:before="0"/>
      </w:pPr>
      <w:r w:rsidRPr="00F6389C">
        <w:t>The Review found that updated evidence on the efficacy and safety of COPD medicines was generally consistent with that previously considered by the PBAC.</w:t>
      </w:r>
    </w:p>
    <w:p w:rsidR="00F6389C" w:rsidRPr="00F6389C" w:rsidRDefault="00F6389C" w:rsidP="00CD1D07">
      <w:pPr>
        <w:numPr>
          <w:ilvl w:val="0"/>
          <w:numId w:val="35"/>
        </w:numPr>
        <w:spacing w:before="0"/>
      </w:pPr>
      <w:r w:rsidRPr="00F6389C">
        <w:t xml:space="preserve">No evidence was identified which supported triple therapy (inhaled corticosteroids plus a dual bronchodilator) as a more effective treatment than a dual bronchodilator combination medicine </w:t>
      </w:r>
      <w:r w:rsidRPr="00F6389C">
        <w:rPr>
          <w:bCs/>
        </w:rPr>
        <w:t>alone.</w:t>
      </w:r>
    </w:p>
    <w:p w:rsidR="00F6389C" w:rsidRPr="00F6389C" w:rsidRDefault="00F6389C" w:rsidP="00F6389C">
      <w:pPr>
        <w:spacing w:before="0"/>
        <w:ind w:left="720"/>
      </w:pPr>
    </w:p>
    <w:p w:rsidR="00F6389C" w:rsidRPr="00F6389C" w:rsidRDefault="00F6389C" w:rsidP="001B21DF">
      <w:pPr>
        <w:numPr>
          <w:ilvl w:val="0"/>
          <w:numId w:val="34"/>
        </w:numPr>
        <w:tabs>
          <w:tab w:val="clear" w:pos="720"/>
          <w:tab w:val="num" w:pos="851"/>
        </w:tabs>
        <w:spacing w:before="0"/>
        <w:ind w:left="426"/>
        <w:rPr>
          <w:i/>
        </w:rPr>
      </w:pPr>
      <w:r w:rsidRPr="00F6389C">
        <w:rPr>
          <w:i/>
        </w:rPr>
        <w:lastRenderedPageBreak/>
        <w:t xml:space="preserve">Review the published literature on the safety of prolonged inhaled corticosteroid use in monotherapy and in combination with bronchodilators and/or muscarinic antagonists for COPD that PBAC has not previously considered. </w:t>
      </w:r>
    </w:p>
    <w:p w:rsidR="00F6389C" w:rsidRPr="00F6389C" w:rsidRDefault="00F6389C" w:rsidP="00CD1D07">
      <w:pPr>
        <w:numPr>
          <w:ilvl w:val="0"/>
          <w:numId w:val="35"/>
        </w:numPr>
        <w:spacing w:before="0"/>
      </w:pPr>
      <w:r w:rsidRPr="00F6389C">
        <w:t>Some evidence indicated an increased risk of pneumonia with prolonged inhaled corticosteroid use. There is also some evidence of an increased risk of fracture, but this was not conclusive.</w:t>
      </w:r>
    </w:p>
    <w:p w:rsidR="00F6389C" w:rsidRDefault="00F6389C" w:rsidP="00CD1D07">
      <w:pPr>
        <w:numPr>
          <w:ilvl w:val="0"/>
          <w:numId w:val="35"/>
        </w:numPr>
        <w:spacing w:before="0"/>
      </w:pPr>
      <w:r w:rsidRPr="00F6389C">
        <w:t xml:space="preserve">There are no other new significant safety concerns with inhaled corticosteroid use. </w:t>
      </w:r>
    </w:p>
    <w:p w:rsidR="00F6389C" w:rsidRPr="00F6389C" w:rsidRDefault="00F6389C" w:rsidP="00F6389C">
      <w:pPr>
        <w:spacing w:before="0"/>
        <w:ind w:left="720"/>
      </w:pPr>
    </w:p>
    <w:p w:rsidR="00F6389C" w:rsidRDefault="00F6389C" w:rsidP="001B21DF">
      <w:pPr>
        <w:numPr>
          <w:ilvl w:val="0"/>
          <w:numId w:val="34"/>
        </w:numPr>
        <w:tabs>
          <w:tab w:val="clear" w:pos="720"/>
          <w:tab w:val="num" w:pos="851"/>
        </w:tabs>
        <w:spacing w:before="0"/>
        <w:ind w:left="426"/>
        <w:rPr>
          <w:i/>
        </w:rPr>
      </w:pPr>
      <w:r w:rsidRPr="00F6389C">
        <w:rPr>
          <w:i/>
        </w:rPr>
        <w:t xml:space="preserve">Analyse the current utilisation of PBS-listed COPD medicines to identify the extent of co-prescribing and use that is inconsistent with clinical guidelines and/or PBS restrictions. </w:t>
      </w:r>
    </w:p>
    <w:p w:rsidR="00F6389C" w:rsidRPr="00F6389C" w:rsidRDefault="00F6389C" w:rsidP="00CD1D07">
      <w:pPr>
        <w:numPr>
          <w:ilvl w:val="0"/>
          <w:numId w:val="35"/>
        </w:numPr>
        <w:spacing w:before="0"/>
      </w:pPr>
      <w:r w:rsidRPr="00F6389C">
        <w:t xml:space="preserve">Evidence suggests there is a high rate of initiation to inhaled corticosteroids/bronchodilator (ICS/LABA) combinations medicines, which is inconsistent with clinical guidelines. </w:t>
      </w:r>
    </w:p>
    <w:p w:rsidR="00F6389C" w:rsidRDefault="00F6389C" w:rsidP="00CD1D07">
      <w:pPr>
        <w:numPr>
          <w:ilvl w:val="0"/>
          <w:numId w:val="35"/>
        </w:numPr>
        <w:spacing w:before="0"/>
      </w:pPr>
      <w:r w:rsidRPr="00F6389C">
        <w:t xml:space="preserve">There is evidence of widespread use of triple therapy already for COPD. </w:t>
      </w:r>
    </w:p>
    <w:p w:rsidR="00F6389C" w:rsidRPr="00F6389C" w:rsidRDefault="00F6389C" w:rsidP="00F6389C">
      <w:pPr>
        <w:spacing w:before="0"/>
        <w:ind w:left="720"/>
      </w:pPr>
    </w:p>
    <w:p w:rsidR="00F6389C" w:rsidRDefault="00F6389C" w:rsidP="001B21DF">
      <w:pPr>
        <w:numPr>
          <w:ilvl w:val="0"/>
          <w:numId w:val="34"/>
        </w:numPr>
        <w:tabs>
          <w:tab w:val="clear" w:pos="720"/>
          <w:tab w:val="num" w:pos="851"/>
        </w:tabs>
        <w:spacing w:before="0"/>
        <w:ind w:left="426"/>
        <w:rPr>
          <w:i/>
        </w:rPr>
      </w:pPr>
      <w:r w:rsidRPr="00F6389C">
        <w:rPr>
          <w:i/>
        </w:rPr>
        <w:t xml:space="preserve">Evaluate if the current utilisation of multiple therapies and the latest evidence relating to safety and efficacy justifies a review of cost-effectiveness for some or all medicines indicated for COPD. </w:t>
      </w:r>
    </w:p>
    <w:p w:rsidR="00F6389C" w:rsidRPr="00F6389C" w:rsidRDefault="00F6389C" w:rsidP="00CD1D07">
      <w:pPr>
        <w:numPr>
          <w:ilvl w:val="0"/>
          <w:numId w:val="36"/>
        </w:numPr>
        <w:spacing w:before="0"/>
      </w:pPr>
      <w:r w:rsidRPr="00F6389C">
        <w:t>The Review did not identify any new evidence on the effectiveness of COPD medicines that would change previous PBAC decisions regarding their cost-effectiveness. Accordingly, no cost-effectiveness review was recommended at this time.</w:t>
      </w:r>
    </w:p>
    <w:p w:rsidR="00F6389C" w:rsidRPr="00F6389C" w:rsidRDefault="00F6389C" w:rsidP="00CD1D07">
      <w:pPr>
        <w:numPr>
          <w:ilvl w:val="0"/>
          <w:numId w:val="36"/>
        </w:numPr>
        <w:spacing w:before="0"/>
      </w:pPr>
      <w:r w:rsidRPr="00F6389C">
        <w:t xml:space="preserve">It was considered that improving use of inhaled medicines in accordance with current clinical guidelines would also improve the cost-effectiveness of therapies for COPD. </w:t>
      </w:r>
    </w:p>
    <w:p w:rsidR="00F6389C" w:rsidRDefault="00F6389C" w:rsidP="00F6389C">
      <w:pPr>
        <w:spacing w:before="0" w:line="240" w:lineRule="auto"/>
        <w:jc w:val="left"/>
        <w:rPr>
          <w:rFonts w:cs="Arial"/>
          <w:b/>
          <w:sz w:val="22"/>
          <w:szCs w:val="20"/>
        </w:rPr>
      </w:pPr>
    </w:p>
    <w:p w:rsidR="00F6389C" w:rsidRPr="00F6389C" w:rsidRDefault="00F6389C" w:rsidP="00F6389C">
      <w:pPr>
        <w:spacing w:before="0" w:line="240" w:lineRule="auto"/>
        <w:jc w:val="left"/>
        <w:rPr>
          <w:rFonts w:cs="Arial"/>
          <w:b/>
          <w:sz w:val="22"/>
          <w:szCs w:val="20"/>
        </w:rPr>
      </w:pPr>
      <w:r w:rsidRPr="00F6389C">
        <w:rPr>
          <w:rFonts w:cs="Arial"/>
          <w:b/>
          <w:sz w:val="22"/>
          <w:szCs w:val="20"/>
        </w:rPr>
        <w:t>Outcomes</w:t>
      </w:r>
    </w:p>
    <w:p w:rsidR="00F6389C" w:rsidRPr="00F6389C" w:rsidRDefault="00F6389C" w:rsidP="00F6389C">
      <w:pPr>
        <w:spacing w:before="0" w:line="240" w:lineRule="auto"/>
        <w:jc w:val="left"/>
        <w:rPr>
          <w:b/>
        </w:rPr>
      </w:pPr>
    </w:p>
    <w:p w:rsidR="00F6389C" w:rsidRPr="00F6389C" w:rsidRDefault="00F6389C" w:rsidP="00F6389C">
      <w:pPr>
        <w:spacing w:before="0"/>
        <w:rPr>
          <w:bCs/>
        </w:rPr>
      </w:pPr>
      <w:r w:rsidRPr="00F6389C">
        <w:t>The PBAC considered this report in August 2017 and its recommendation to the Minister for Health can be found in the PBAC minutes published alongside this report.</w:t>
      </w:r>
      <w:r w:rsidRPr="00F6389C">
        <w:rPr>
          <w:bCs/>
        </w:rPr>
        <w:t xml:space="preserve"> </w:t>
      </w:r>
    </w:p>
    <w:p w:rsidR="00F6389C" w:rsidRDefault="00F6389C">
      <w:pPr>
        <w:spacing w:before="0" w:line="240" w:lineRule="auto"/>
        <w:jc w:val="left"/>
        <w:rPr>
          <w:rFonts w:eastAsia="Times New Roman"/>
          <w:b/>
          <w:color w:val="4F81BD"/>
          <w:sz w:val="32"/>
          <w:szCs w:val="26"/>
        </w:rPr>
      </w:pPr>
      <w:r>
        <w:br w:type="page"/>
      </w:r>
    </w:p>
    <w:p w:rsidR="00072D53" w:rsidRDefault="00072D53" w:rsidP="00233738">
      <w:pPr>
        <w:pStyle w:val="Heading2"/>
        <w:numPr>
          <w:ilvl w:val="0"/>
          <w:numId w:val="0"/>
        </w:numPr>
      </w:pPr>
      <w:r>
        <w:lastRenderedPageBreak/>
        <w:t>Background</w:t>
      </w:r>
      <w:r w:rsidR="00C01E13">
        <w:t xml:space="preserve"> and context</w:t>
      </w:r>
      <w:bookmarkEnd w:id="7"/>
      <w:r w:rsidR="00022F95">
        <w:t xml:space="preserve"> </w:t>
      </w:r>
    </w:p>
    <w:p w:rsidR="00F358CA" w:rsidRDefault="00F3737B" w:rsidP="00EA0482">
      <w:pPr>
        <w:pStyle w:val="BodyText"/>
      </w:pPr>
      <w:r w:rsidRPr="001344FA">
        <w:t>COPD is characterised by chronic inflammation of the lung tissue, and obstruction of the airways that cannot be fully reversed by medication.</w:t>
      </w:r>
      <w:r w:rsidR="008D79B3">
        <w:t xml:space="preserve"> </w:t>
      </w:r>
      <w:r w:rsidR="00481DDF">
        <w:t>The sy</w:t>
      </w:r>
      <w:r w:rsidR="00857ECC">
        <w:t>m</w:t>
      </w:r>
      <w:r w:rsidR="00481DDF">
        <w:t>ptoms of COPD are breathlessness, wheezing and chest tightness, and a chronic cough that produces mucus</w:t>
      </w:r>
      <w:r w:rsidR="00DF3115">
        <w:t>.</w:t>
      </w:r>
      <w:r w:rsidR="008D79B3">
        <w:t xml:space="preserve"> </w:t>
      </w:r>
      <w:r w:rsidR="00BC7D86">
        <w:t>S</w:t>
      </w:r>
      <w:r w:rsidR="00BC7D86" w:rsidRPr="00BC7D86">
        <w:t>ymptoms can be exacerbated by irritants such as infection or exposure to noxious particles or gases, most commonly cigarette smoke.</w:t>
      </w:r>
    </w:p>
    <w:p w:rsidR="00EA0482" w:rsidRDefault="001B0A73" w:rsidP="00EA0482">
      <w:pPr>
        <w:pStyle w:val="BodyText"/>
      </w:pPr>
      <w:r>
        <w:t xml:space="preserve">COPD is </w:t>
      </w:r>
      <w:r w:rsidR="008D79B3">
        <w:t xml:space="preserve">a major public health concern. </w:t>
      </w:r>
      <w:r w:rsidR="00EA0482">
        <w:t>T</w:t>
      </w:r>
      <w:r w:rsidR="00EA0482" w:rsidRPr="001344FA">
        <w:t>he prevalence of COPD is</w:t>
      </w:r>
      <w:r w:rsidR="00EA0482">
        <w:t xml:space="preserve"> estimated to be</w:t>
      </w:r>
      <w:r w:rsidR="00EA0482" w:rsidRPr="001344FA">
        <w:t xml:space="preserve"> 4.9% in Australians</w:t>
      </w:r>
      <w:r w:rsidR="00EA0482">
        <w:t>,</w:t>
      </w:r>
      <w:r w:rsidR="00EA0482" w:rsidRPr="001344FA">
        <w:t xml:space="preserve"> </w:t>
      </w:r>
      <w:r w:rsidR="00EA0482" w:rsidRPr="00EA0482">
        <w:t>as indicated by self-reported emphysema and/or bronchitis (ABS, 2015).</w:t>
      </w:r>
      <w:r w:rsidR="008D79B3">
        <w:t xml:space="preserve"> </w:t>
      </w:r>
      <w:r w:rsidR="00EA0482" w:rsidRPr="0093423E">
        <w:t>In 2012, 5,923 Australians were recorded as having died from COPD (4% of all deaths in Australia), making it the fifth leading cause of death</w:t>
      </w:r>
      <w:r w:rsidR="00EA0482">
        <w:t xml:space="preserve">.  </w:t>
      </w:r>
    </w:p>
    <w:p w:rsidR="00072D53" w:rsidRDefault="00E018D8" w:rsidP="009A65E7">
      <w:pPr>
        <w:pStyle w:val="BodyText"/>
      </w:pPr>
      <w:r>
        <w:t>The</w:t>
      </w:r>
      <w:r w:rsidR="00247AFC">
        <w:t>re are three types of</w:t>
      </w:r>
      <w:r>
        <w:t xml:space="preserve"> commonly used medications in COPD</w:t>
      </w:r>
      <w:r w:rsidR="007031FC">
        <w:t>:</w:t>
      </w:r>
      <w:r>
        <w:t xml:space="preserve"> </w:t>
      </w:r>
      <w:r w:rsidR="00F3737B" w:rsidRPr="00F3737B">
        <w:t>long-acting muscarinic antagonist</w:t>
      </w:r>
      <w:r w:rsidR="005F4150">
        <w:t>s</w:t>
      </w:r>
      <w:r w:rsidR="00F3737B" w:rsidRPr="00F3737B">
        <w:t xml:space="preserve"> </w:t>
      </w:r>
      <w:r w:rsidR="00F3737B">
        <w:t>(LAMA</w:t>
      </w:r>
      <w:r w:rsidR="00634966">
        <w:t>s</w:t>
      </w:r>
      <w:r w:rsidR="00F3737B">
        <w:t xml:space="preserve">), </w:t>
      </w:r>
      <w:r w:rsidR="00F3737B" w:rsidRPr="00F3737B">
        <w:t>long-acting beta-2 agonist</w:t>
      </w:r>
      <w:r w:rsidR="005F4150">
        <w:t>s</w:t>
      </w:r>
      <w:r w:rsidR="00F3737B" w:rsidRPr="00F3737B">
        <w:t xml:space="preserve"> </w:t>
      </w:r>
      <w:r w:rsidR="00F3737B">
        <w:t>(</w:t>
      </w:r>
      <w:r>
        <w:t>LA</w:t>
      </w:r>
      <w:r w:rsidR="00F3737B">
        <w:t>B</w:t>
      </w:r>
      <w:r>
        <w:t>A</w:t>
      </w:r>
      <w:r w:rsidR="00634966">
        <w:t>s</w:t>
      </w:r>
      <w:r w:rsidR="00F3737B">
        <w:t>)</w:t>
      </w:r>
      <w:r>
        <w:t xml:space="preserve">, and </w:t>
      </w:r>
      <w:r w:rsidR="00F3737B">
        <w:t>inhaled corticosteroid</w:t>
      </w:r>
      <w:r w:rsidR="005F4150">
        <w:t>s</w:t>
      </w:r>
      <w:r w:rsidR="00F3737B">
        <w:t xml:space="preserve"> (</w:t>
      </w:r>
      <w:r>
        <w:t>ICS</w:t>
      </w:r>
      <w:r w:rsidR="00634966">
        <w:t>s</w:t>
      </w:r>
      <w:r w:rsidR="00F3737B">
        <w:t>)</w:t>
      </w:r>
      <w:r>
        <w:t xml:space="preserve">. They </w:t>
      </w:r>
      <w:r w:rsidR="00DF3115" w:rsidRPr="00B55BBD">
        <w:t>are used to reduce</w:t>
      </w:r>
      <w:r w:rsidR="005F4150">
        <w:t xml:space="preserve"> the chronic symptoms of COPD and prevent</w:t>
      </w:r>
      <w:r w:rsidR="003000A1">
        <w:t xml:space="preserve"> acute exacerbations that can result in hospitalisation.</w:t>
      </w:r>
      <w:r w:rsidR="00634966">
        <w:t xml:space="preserve"> </w:t>
      </w:r>
      <w:r w:rsidR="00DF577F">
        <w:t xml:space="preserve">Short-acting beta-2 agonists (SABAs) and short-acting muscarinic antagonists (SAMAs) </w:t>
      </w:r>
      <w:r w:rsidR="007031FC">
        <w:t>may</w:t>
      </w:r>
      <w:r w:rsidR="00A85718">
        <w:t xml:space="preserve"> be used to provide short-term </w:t>
      </w:r>
      <w:r w:rsidR="007031FC">
        <w:t xml:space="preserve">relief </w:t>
      </w:r>
      <w:r w:rsidR="00A85718">
        <w:t>of breathlessness</w:t>
      </w:r>
      <w:r w:rsidR="00DF577F">
        <w:t xml:space="preserve">. </w:t>
      </w:r>
      <w:r w:rsidR="0035554F" w:rsidRPr="0035554F">
        <w:t>People with COPD described their medicines as ‘improving breathing’ and ‘feeling the medicine open up/clear the lungs’ i</w:t>
      </w:r>
      <w:r w:rsidR="00634966">
        <w:t>f they were working effectively</w:t>
      </w:r>
      <w:r w:rsidR="0035554F" w:rsidRPr="0035554F">
        <w:t xml:space="preserve"> (</w:t>
      </w:r>
      <w:proofErr w:type="spellStart"/>
      <w:r w:rsidR="0035554F" w:rsidRPr="0035554F">
        <w:t>Kawata</w:t>
      </w:r>
      <w:proofErr w:type="spellEnd"/>
      <w:r w:rsidR="0035554F" w:rsidRPr="0035554F">
        <w:t xml:space="preserve"> </w:t>
      </w:r>
      <w:r w:rsidR="0097080E">
        <w:t xml:space="preserve">et al, </w:t>
      </w:r>
      <w:r w:rsidR="0035554F" w:rsidRPr="0035554F">
        <w:t>2014).</w:t>
      </w:r>
    </w:p>
    <w:p w:rsidR="00C01E13" w:rsidRDefault="00C01E13" w:rsidP="00C01E13">
      <w:pPr>
        <w:pStyle w:val="BodyText"/>
      </w:pPr>
      <w:r w:rsidRPr="00F43D2D">
        <w:t>The first medicine specifically listed on the PBS for COPD</w:t>
      </w:r>
      <w:r w:rsidR="001E7125">
        <w:t xml:space="preserve"> only</w:t>
      </w:r>
      <w:r w:rsidRPr="00F43D2D">
        <w:t xml:space="preserve"> was tiotropium powder for oral inhalation (Spiriva®) </w:t>
      </w:r>
      <w:r w:rsidR="00634966">
        <w:t>in February 2003. R</w:t>
      </w:r>
      <w:r>
        <w:t xml:space="preserve">efer to Figure </w:t>
      </w:r>
      <w:r w:rsidR="0097080E">
        <w:t xml:space="preserve">ES </w:t>
      </w:r>
      <w:r>
        <w:t xml:space="preserve">1 for the details of the PBS listing of COPD medications. </w:t>
      </w:r>
    </w:p>
    <w:p w:rsidR="00C01E13" w:rsidRDefault="00F33DF6" w:rsidP="009A65E7">
      <w:pPr>
        <w:pStyle w:val="BodyText"/>
      </w:pPr>
      <w:bookmarkStart w:id="8" w:name="_Toc486853575"/>
      <w:r>
        <w:rPr>
          <w:rStyle w:val="ExSFigureHeaderChar"/>
        </w:rPr>
        <w:t>Figure ES 1</w:t>
      </w:r>
      <w:r>
        <w:rPr>
          <w:rStyle w:val="ExSFigureHeaderChar"/>
        </w:rPr>
        <w:tab/>
      </w:r>
      <w:r w:rsidR="00C01E13" w:rsidRPr="00C53964">
        <w:rPr>
          <w:rStyle w:val="ExSFigureHeaderChar"/>
        </w:rPr>
        <w:t>Timeline of PBAC consideration of COPD medicines and date of PBS listing</w:t>
      </w:r>
      <w:bookmarkEnd w:id="8"/>
      <w:r w:rsidR="00C01E13" w:rsidRPr="00F43D2D">
        <w:rPr>
          <w:noProof/>
          <w:lang w:eastAsia="en-AU"/>
        </w:rPr>
        <w:drawing>
          <wp:inline distT="0" distB="0" distL="0" distR="0" wp14:anchorId="06368867" wp14:editId="751B9E39">
            <wp:extent cx="6083038" cy="3124200"/>
            <wp:effectExtent l="19050" t="19050" r="13335" b="19050"/>
            <wp:docPr id="1" name="Picture 1" descr="Diagram showing the dates of PBAC consideration and PBS listing for COPD medicines" title="Timeline of PBAC consideration of COPD medicines and date of PBS lis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89710" cy="3127627"/>
                    </a:xfrm>
                    <a:prstGeom prst="rect">
                      <a:avLst/>
                    </a:prstGeom>
                    <a:noFill/>
                    <a:ln>
                      <a:solidFill>
                        <a:schemeClr val="tx1"/>
                      </a:solidFill>
                    </a:ln>
                  </pic:spPr>
                </pic:pic>
              </a:graphicData>
            </a:graphic>
          </wp:inline>
        </w:drawing>
      </w:r>
    </w:p>
    <w:p w:rsidR="00CA0FF4" w:rsidRDefault="00CA0FF4">
      <w:pPr>
        <w:spacing w:before="0" w:line="240" w:lineRule="auto"/>
        <w:jc w:val="left"/>
      </w:pPr>
    </w:p>
    <w:p w:rsidR="00DB6148" w:rsidRDefault="00DB6148" w:rsidP="0097080E">
      <w:pPr>
        <w:widowControl w:val="0"/>
      </w:pPr>
      <w:r w:rsidRPr="00DB6148">
        <w:t xml:space="preserve">In October 2013, the Drug Utilisation Sub-Committee (DUSC) of the Pharmaceutical Benefits Advisory Committee (PBAC) reviewed the </w:t>
      </w:r>
      <w:r w:rsidR="00634966">
        <w:t>PBS</w:t>
      </w:r>
      <w:r w:rsidRPr="00DB6148">
        <w:t xml:space="preserve"> utilisation of </w:t>
      </w:r>
      <w:proofErr w:type="spellStart"/>
      <w:r w:rsidRPr="00DB6148">
        <w:t>indacaterol</w:t>
      </w:r>
      <w:proofErr w:type="spellEnd"/>
      <w:r w:rsidRPr="00DB6148">
        <w:t xml:space="preserve"> </w:t>
      </w:r>
      <w:r w:rsidR="00634966">
        <w:t xml:space="preserve">for COPD. </w:t>
      </w:r>
      <w:r w:rsidRPr="00DB6148">
        <w:t xml:space="preserve">The review </w:t>
      </w:r>
      <w:r w:rsidRPr="00DB6148">
        <w:lastRenderedPageBreak/>
        <w:t xml:space="preserve">identified co-administration of multiple </w:t>
      </w:r>
      <w:r w:rsidR="00634966">
        <w:t>LABA</w:t>
      </w:r>
      <w:r w:rsidRPr="00DB6148">
        <w:t xml:space="preserve"> products in some patients, which was considered a significant quality use of medicines</w:t>
      </w:r>
      <w:r w:rsidR="00634966">
        <w:t xml:space="preserve"> (QUM)</w:t>
      </w:r>
      <w:r w:rsidRPr="00DB6148">
        <w:t xml:space="preserve"> issue.</w:t>
      </w:r>
    </w:p>
    <w:p w:rsidR="001B0A73" w:rsidRDefault="005F5E0D" w:rsidP="003431CA">
      <w:r>
        <w:t xml:space="preserve">In the context of </w:t>
      </w:r>
      <w:r w:rsidR="00A0230C" w:rsidRPr="00930215">
        <w:t xml:space="preserve">considerable recent changes in </w:t>
      </w:r>
      <w:r w:rsidR="00BC7D86">
        <w:t>COPD</w:t>
      </w:r>
      <w:r w:rsidR="00A0230C" w:rsidRPr="00930215">
        <w:t xml:space="preserve"> management, including the </w:t>
      </w:r>
      <w:r w:rsidR="00634966">
        <w:t>PBS</w:t>
      </w:r>
      <w:r w:rsidR="00A0230C" w:rsidRPr="00930215">
        <w:t xml:space="preserve"> listing of a number of new medicines</w:t>
      </w:r>
      <w:r>
        <w:t>, the p</w:t>
      </w:r>
      <w:r w:rsidR="001B0A73" w:rsidRPr="001B0A73">
        <w:t xml:space="preserve">urpose of the Post-market Review of COPD Medicines is to review the utilisation, safety, efficacy and cost-effectiveness of PBS-listed COPD medicines, and to address QUM concerns associated with the apparent use of multiple products. The Review </w:t>
      </w:r>
      <w:r w:rsidR="00DB6148">
        <w:t>is being</w:t>
      </w:r>
      <w:r w:rsidR="001B0A73" w:rsidRPr="001B0A73">
        <w:t xml:space="preserve"> conducted in accordance with the </w:t>
      </w:r>
      <w:r w:rsidR="001B0A73" w:rsidRPr="0041298F">
        <w:t>Post-Market Review Framework</w:t>
      </w:r>
      <w:r w:rsidR="001B0A73" w:rsidRPr="001B0A73">
        <w:t>, which was developed following consultation with industry</w:t>
      </w:r>
      <w:r w:rsidR="0097080E">
        <w:t>,</w:t>
      </w:r>
      <w:r w:rsidR="001B0A73" w:rsidRPr="001B0A73">
        <w:t xml:space="preserve"> and published in March 2015.</w:t>
      </w:r>
    </w:p>
    <w:p w:rsidR="00DB6148" w:rsidRDefault="003431CA" w:rsidP="009A65E7">
      <w:pPr>
        <w:pStyle w:val="BodyText"/>
      </w:pPr>
      <w:r w:rsidRPr="003431CA">
        <w:t>The draft Review Terms of Reference (</w:t>
      </w:r>
      <w:proofErr w:type="spellStart"/>
      <w:r w:rsidRPr="003431CA">
        <w:t>ToR</w:t>
      </w:r>
      <w:proofErr w:type="spellEnd"/>
      <w:r w:rsidRPr="003431CA">
        <w:t xml:space="preserve">) </w:t>
      </w:r>
      <w:r w:rsidR="00634966">
        <w:t>were provided for</w:t>
      </w:r>
      <w:r w:rsidRPr="003431CA">
        <w:t xml:space="preserve"> public consultation between 16</w:t>
      </w:r>
      <w:r w:rsidR="002F2DC4">
        <w:t xml:space="preserve"> October</w:t>
      </w:r>
      <w:r w:rsidR="00634966">
        <w:t xml:space="preserve"> and 13 November</w:t>
      </w:r>
      <w:r w:rsidRPr="003431CA">
        <w:t xml:space="preserve"> 2015.</w:t>
      </w:r>
      <w:r w:rsidR="00634966">
        <w:t xml:space="preserve"> </w:t>
      </w:r>
      <w:r w:rsidR="009E6C45" w:rsidRPr="009E6C45">
        <w:t xml:space="preserve">The PBAC considered the draft Review </w:t>
      </w:r>
      <w:proofErr w:type="spellStart"/>
      <w:r w:rsidR="00634966">
        <w:t>ToR</w:t>
      </w:r>
      <w:proofErr w:type="spellEnd"/>
      <w:r w:rsidR="00634966">
        <w:t xml:space="preserve"> </w:t>
      </w:r>
      <w:r w:rsidR="009E6C45" w:rsidRPr="009E6C45">
        <w:t xml:space="preserve">and comments from stakeholders at the December 2015 PBAC meeting. </w:t>
      </w:r>
      <w:r w:rsidR="00634966">
        <w:t>T</w:t>
      </w:r>
      <w:r w:rsidR="009E6C45" w:rsidRPr="009E6C45">
        <w:t xml:space="preserve">he Minister for Health approved the final </w:t>
      </w:r>
      <w:proofErr w:type="spellStart"/>
      <w:r w:rsidR="00634966">
        <w:t>ToR</w:t>
      </w:r>
      <w:proofErr w:type="spellEnd"/>
      <w:r w:rsidR="00634966">
        <w:t xml:space="preserve"> </w:t>
      </w:r>
      <w:r w:rsidR="00DB6148">
        <w:t>for the Review.</w:t>
      </w:r>
    </w:p>
    <w:p w:rsidR="00072D53" w:rsidRPr="00DB6148" w:rsidRDefault="00AE5CF9" w:rsidP="00233738">
      <w:pPr>
        <w:pStyle w:val="Heading2"/>
        <w:numPr>
          <w:ilvl w:val="0"/>
          <w:numId w:val="0"/>
        </w:numPr>
      </w:pPr>
      <w:bookmarkStart w:id="9" w:name="_Toc486853471"/>
      <w:r>
        <w:t xml:space="preserve">Review </w:t>
      </w:r>
      <w:r w:rsidR="00315159">
        <w:t>Terms of R</w:t>
      </w:r>
      <w:r w:rsidR="00DB6148" w:rsidRPr="00DB6148">
        <w:t>eference</w:t>
      </w:r>
      <w:r w:rsidR="00634966">
        <w:t xml:space="preserve"> (</w:t>
      </w:r>
      <w:proofErr w:type="spellStart"/>
      <w:r w:rsidR="00634966">
        <w:t>ToR</w:t>
      </w:r>
      <w:proofErr w:type="spellEnd"/>
      <w:r w:rsidR="00634966">
        <w:t>)</w:t>
      </w:r>
      <w:bookmarkEnd w:id="9"/>
    </w:p>
    <w:p w:rsidR="00D840C4" w:rsidRPr="003431CA" w:rsidRDefault="00D840C4" w:rsidP="00CD1D07">
      <w:pPr>
        <w:pStyle w:val="Bullettext"/>
        <w:numPr>
          <w:ilvl w:val="0"/>
          <w:numId w:val="33"/>
        </w:numPr>
      </w:pPr>
      <w:r w:rsidRPr="003431CA">
        <w:rPr>
          <w:lang w:val="en-US"/>
        </w:rPr>
        <w:t xml:space="preserve">Compare the prescribing restrictions for PBS-listed COPD medicines for consistency with the current clinical guidelines. </w:t>
      </w:r>
    </w:p>
    <w:p w:rsidR="00D840C4" w:rsidRPr="003431CA" w:rsidRDefault="00D840C4" w:rsidP="00CD1D07">
      <w:pPr>
        <w:pStyle w:val="Bullettext"/>
        <w:numPr>
          <w:ilvl w:val="0"/>
          <w:numId w:val="33"/>
        </w:numPr>
      </w:pPr>
      <w:r w:rsidRPr="003431CA">
        <w:rPr>
          <w:lang w:val="en-US"/>
        </w:rPr>
        <w:t xml:space="preserve">Review the clinical outcomes that are most important or clinically relevant to people with COPD and the extent to which these outcomes are included in the evidence previously provided to PBAC on the cost-effectiveness of these medicines. </w:t>
      </w:r>
    </w:p>
    <w:p w:rsidR="00D840C4" w:rsidRPr="003431CA" w:rsidRDefault="00D840C4" w:rsidP="00CD1D07">
      <w:pPr>
        <w:pStyle w:val="Bullettext"/>
        <w:numPr>
          <w:ilvl w:val="0"/>
          <w:numId w:val="33"/>
        </w:numPr>
      </w:pPr>
      <w:r w:rsidRPr="003431CA">
        <w:rPr>
          <w:lang w:val="en-US"/>
        </w:rPr>
        <w:t xml:space="preserve">Review the evidence on the efficacy and safety of monotherapy and combinations of LABA/LAMA, ICS/LABA and LAMA + ICS/LABA (separate items or fixed dose combinations) for treatment of COPD that PBAC has not previously considered. </w:t>
      </w:r>
    </w:p>
    <w:p w:rsidR="00D840C4" w:rsidRPr="003431CA" w:rsidRDefault="00D840C4" w:rsidP="00CD1D07">
      <w:pPr>
        <w:pStyle w:val="Bullettext"/>
        <w:numPr>
          <w:ilvl w:val="0"/>
          <w:numId w:val="33"/>
        </w:numPr>
      </w:pPr>
      <w:r w:rsidRPr="003431CA">
        <w:rPr>
          <w:lang w:val="en-US"/>
        </w:rPr>
        <w:t xml:space="preserve">Review the published literature on the safety of prolonged ICS use in monotherapy and in combination with LABA and/or LAMA for COPD that PBAC has not previously considered. </w:t>
      </w:r>
    </w:p>
    <w:p w:rsidR="00D840C4" w:rsidRPr="00DB6148" w:rsidRDefault="00D840C4" w:rsidP="00CD1D07">
      <w:pPr>
        <w:pStyle w:val="Bullettext"/>
        <w:numPr>
          <w:ilvl w:val="0"/>
          <w:numId w:val="33"/>
        </w:numPr>
      </w:pPr>
      <w:proofErr w:type="spellStart"/>
      <w:r w:rsidRPr="003431CA">
        <w:rPr>
          <w:lang w:val="en-US"/>
        </w:rPr>
        <w:t>Analyse</w:t>
      </w:r>
      <w:proofErr w:type="spellEnd"/>
      <w:r w:rsidRPr="003431CA">
        <w:rPr>
          <w:lang w:val="en-US"/>
        </w:rPr>
        <w:t xml:space="preserve"> the current </w:t>
      </w:r>
      <w:proofErr w:type="spellStart"/>
      <w:r w:rsidRPr="003431CA">
        <w:rPr>
          <w:lang w:val="en-US"/>
        </w:rPr>
        <w:t>utilisation</w:t>
      </w:r>
      <w:proofErr w:type="spellEnd"/>
      <w:r w:rsidRPr="003431CA">
        <w:rPr>
          <w:lang w:val="en-US"/>
        </w:rPr>
        <w:t xml:space="preserve"> of PBS listed COPD medicines to identify the extent of co-prescribing and use that is inconsistent with clinical guid</w:t>
      </w:r>
      <w:r w:rsidR="0097080E">
        <w:rPr>
          <w:lang w:val="en-US"/>
        </w:rPr>
        <w:t>elines and/or PBS restrictions.</w:t>
      </w:r>
    </w:p>
    <w:p w:rsidR="00F43D2D" w:rsidRDefault="00DB6148" w:rsidP="00CD1D07">
      <w:pPr>
        <w:pStyle w:val="Bullettext"/>
        <w:numPr>
          <w:ilvl w:val="0"/>
          <w:numId w:val="33"/>
        </w:numPr>
      </w:pPr>
      <w:r w:rsidRPr="00DB6148">
        <w:t>Evaluate if the current utilisation of multiple therapies and the latest evidence relating to safety and efficacy justifies a review of cost-effectiveness for some or all medicines indicated for COPD.</w:t>
      </w:r>
    </w:p>
    <w:p w:rsidR="00385A1D" w:rsidRDefault="007E48BE" w:rsidP="00283E41">
      <w:pPr>
        <w:pStyle w:val="Heading2"/>
        <w:keepNext w:val="0"/>
        <w:numPr>
          <w:ilvl w:val="0"/>
          <w:numId w:val="0"/>
        </w:numPr>
      </w:pPr>
      <w:bookmarkStart w:id="10" w:name="_Toc486853472"/>
      <w:r>
        <w:t>Methodological approach to the technical report</w:t>
      </w:r>
      <w:bookmarkEnd w:id="10"/>
    </w:p>
    <w:p w:rsidR="000D5A2C" w:rsidRDefault="000D5A2C" w:rsidP="00283E41">
      <w:pPr>
        <w:spacing w:before="0"/>
      </w:pPr>
    </w:p>
    <w:p w:rsidR="007E48BE" w:rsidRDefault="004B3268" w:rsidP="00283E41">
      <w:pPr>
        <w:spacing w:before="0"/>
      </w:pPr>
      <w:r>
        <w:t>A Reference Group (</w:t>
      </w:r>
      <w:r w:rsidR="007E48BE" w:rsidRPr="00D604C6">
        <w:t xml:space="preserve">RG) and </w:t>
      </w:r>
      <w:proofErr w:type="spellStart"/>
      <w:r w:rsidR="007E48BE" w:rsidRPr="00D604C6">
        <w:t>HealthConsult</w:t>
      </w:r>
      <w:proofErr w:type="spellEnd"/>
      <w:r w:rsidR="007E48BE" w:rsidRPr="00D604C6">
        <w:t xml:space="preserve"> Pty Ltd were involved in the preparation of this draft </w:t>
      </w:r>
      <w:r w:rsidR="007E48BE">
        <w:t xml:space="preserve">technical </w:t>
      </w:r>
      <w:r w:rsidR="007E48BE" w:rsidRPr="00D604C6">
        <w:t>report</w:t>
      </w:r>
      <w:r w:rsidR="007E48BE">
        <w:t xml:space="preserve"> for the </w:t>
      </w:r>
      <w:r w:rsidR="002B6604">
        <w:t>COPD R</w:t>
      </w:r>
      <w:r w:rsidR="007E48BE">
        <w:t>eview</w:t>
      </w:r>
      <w:r w:rsidR="007E48BE" w:rsidRPr="00D604C6">
        <w:t>.</w:t>
      </w:r>
      <w:r w:rsidR="002B6604">
        <w:t xml:space="preserve"> </w:t>
      </w:r>
      <w:r w:rsidR="007E48BE">
        <w:t>R</w:t>
      </w:r>
      <w:r w:rsidR="007E48BE" w:rsidRPr="00C01E13">
        <w:t xml:space="preserve">esearch questions relating to the </w:t>
      </w:r>
      <w:proofErr w:type="spellStart"/>
      <w:r w:rsidR="007E48BE" w:rsidRPr="00C01E13">
        <w:t>ToR</w:t>
      </w:r>
      <w:proofErr w:type="spellEnd"/>
      <w:r w:rsidR="007E48BE" w:rsidRPr="00C01E13">
        <w:t xml:space="preserve"> were developed to guide the review</w:t>
      </w:r>
      <w:r w:rsidR="007E48BE">
        <w:t xml:space="preserve"> (refer to </w:t>
      </w:r>
      <w:r w:rsidR="002B6604">
        <w:t>B</w:t>
      </w:r>
      <w:r w:rsidR="007E48BE">
        <w:t>ackground)</w:t>
      </w:r>
      <w:r w:rsidR="002B6604">
        <w:t xml:space="preserve">, and </w:t>
      </w:r>
      <w:r w:rsidR="007E48BE" w:rsidRPr="00C01E13">
        <w:t xml:space="preserve">approved by the </w:t>
      </w:r>
      <w:r>
        <w:t>RG</w:t>
      </w:r>
      <w:r w:rsidR="007E48BE" w:rsidRPr="00C01E13">
        <w:t xml:space="preserve"> Chair</w:t>
      </w:r>
      <w:r w:rsidR="002B6604">
        <w:t xml:space="preserve">. </w:t>
      </w:r>
      <w:r w:rsidR="007E48BE" w:rsidRPr="00610E40">
        <w:t xml:space="preserve">The </w:t>
      </w:r>
      <w:proofErr w:type="spellStart"/>
      <w:r w:rsidR="002B6604">
        <w:t>ToR</w:t>
      </w:r>
      <w:proofErr w:type="spellEnd"/>
      <w:r w:rsidR="002B6604">
        <w:t xml:space="preserve"> we</w:t>
      </w:r>
      <w:r w:rsidR="007E48BE" w:rsidRPr="00610E40">
        <w:t xml:space="preserve">re addressed through specific reviews of evidence for medicines, </w:t>
      </w:r>
      <w:r w:rsidR="007E48BE">
        <w:t xml:space="preserve">guidelines, </w:t>
      </w:r>
      <w:r w:rsidR="007E48BE" w:rsidRPr="00610E40">
        <w:t>utilisation and COPD interventions</w:t>
      </w:r>
      <w:r w:rsidR="002B6604">
        <w:t xml:space="preserve"> (</w:t>
      </w:r>
      <w:r w:rsidR="004411F8">
        <w:t>refer to Table</w:t>
      </w:r>
      <w:r w:rsidR="002B6604">
        <w:t>s</w:t>
      </w:r>
      <w:r w:rsidR="004A29A8">
        <w:t xml:space="preserve"> ES 1 and ES </w:t>
      </w:r>
      <w:r w:rsidR="004411F8">
        <w:t>2</w:t>
      </w:r>
      <w:r w:rsidR="002B6604">
        <w:t>)</w:t>
      </w:r>
      <w:r w:rsidR="007E48BE" w:rsidRPr="00610E40">
        <w:t>.</w:t>
      </w:r>
    </w:p>
    <w:p w:rsidR="004411F8" w:rsidRPr="00C53964" w:rsidRDefault="0097080E" w:rsidP="0097080E">
      <w:pPr>
        <w:pStyle w:val="ExSTableHeader"/>
        <w:keepNext/>
        <w:keepLines/>
        <w:rPr>
          <w:b w:val="0"/>
        </w:rPr>
      </w:pPr>
      <w:bookmarkStart w:id="11" w:name="_Toc486853622"/>
      <w:r>
        <w:lastRenderedPageBreak/>
        <w:t>Table ES 1</w:t>
      </w:r>
      <w:r>
        <w:tab/>
      </w:r>
      <w:r w:rsidR="00233738" w:rsidRPr="00EC25AD">
        <w:t xml:space="preserve">Methodological approach to </w:t>
      </w:r>
      <w:proofErr w:type="spellStart"/>
      <w:r w:rsidR="00233738" w:rsidRPr="00EC25AD">
        <w:t>ToR</w:t>
      </w:r>
      <w:proofErr w:type="spellEnd"/>
      <w:r w:rsidR="00233738" w:rsidRPr="00EC25AD">
        <w:t xml:space="preserve"> 1, </w:t>
      </w:r>
      <w:proofErr w:type="spellStart"/>
      <w:r w:rsidR="00233738" w:rsidRPr="00EC25AD">
        <w:t>ToR</w:t>
      </w:r>
      <w:proofErr w:type="spellEnd"/>
      <w:r w:rsidR="00233738" w:rsidRPr="00EC25AD">
        <w:t xml:space="preserve"> 2, </w:t>
      </w:r>
      <w:proofErr w:type="spellStart"/>
      <w:r w:rsidR="00233738" w:rsidRPr="00EC25AD">
        <w:t>ToR</w:t>
      </w:r>
      <w:proofErr w:type="spellEnd"/>
      <w:r w:rsidR="00233738" w:rsidRPr="00EC25AD">
        <w:t xml:space="preserve"> 3 and </w:t>
      </w:r>
      <w:proofErr w:type="spellStart"/>
      <w:r w:rsidR="00233738" w:rsidRPr="00EC25AD">
        <w:t>ToR</w:t>
      </w:r>
      <w:proofErr w:type="spellEnd"/>
      <w:r w:rsidR="00233738" w:rsidRPr="00EC25AD">
        <w:t xml:space="preserve"> 4</w:t>
      </w:r>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20"/>
        <w:gridCol w:w="3828"/>
      </w:tblGrid>
      <w:tr w:rsidR="004411F8" w:rsidRPr="00F01736" w:rsidTr="00233738">
        <w:trPr>
          <w:cantSplit/>
          <w:tblHeader/>
        </w:trPr>
        <w:tc>
          <w:tcPr>
            <w:tcW w:w="3016" w:type="pct"/>
            <w:shd w:val="clear" w:color="auto" w:fill="BFBFBF"/>
          </w:tcPr>
          <w:p w:rsidR="004411F8" w:rsidRPr="00233738" w:rsidRDefault="004411F8" w:rsidP="0097080E">
            <w:pPr>
              <w:pStyle w:val="01TableHEADINGleftaligned"/>
              <w:keepLines/>
              <w:jc w:val="center"/>
              <w:rPr>
                <w:szCs w:val="18"/>
              </w:rPr>
            </w:pPr>
            <w:r w:rsidRPr="00233738">
              <w:rPr>
                <w:szCs w:val="18"/>
              </w:rPr>
              <w:t>Methodological approach</w:t>
            </w:r>
          </w:p>
        </w:tc>
        <w:tc>
          <w:tcPr>
            <w:tcW w:w="1984" w:type="pct"/>
            <w:shd w:val="clear" w:color="auto" w:fill="BFBFBF"/>
          </w:tcPr>
          <w:p w:rsidR="004411F8" w:rsidRPr="00233738" w:rsidRDefault="004411F8" w:rsidP="0097080E">
            <w:pPr>
              <w:pStyle w:val="01TableHEADINGleftaligned"/>
              <w:keepLines/>
              <w:jc w:val="center"/>
              <w:rPr>
                <w:szCs w:val="18"/>
              </w:rPr>
            </w:pPr>
            <w:r w:rsidRPr="00233738">
              <w:rPr>
                <w:szCs w:val="18"/>
              </w:rPr>
              <w:t>Criteria and time period</w:t>
            </w:r>
          </w:p>
        </w:tc>
      </w:tr>
      <w:tr w:rsidR="004411F8" w:rsidTr="00233738">
        <w:trPr>
          <w:cantSplit/>
        </w:trPr>
        <w:tc>
          <w:tcPr>
            <w:tcW w:w="5000" w:type="pct"/>
            <w:gridSpan w:val="2"/>
            <w:shd w:val="clear" w:color="auto" w:fill="000000" w:themeFill="text1"/>
          </w:tcPr>
          <w:p w:rsidR="004411F8" w:rsidRPr="00233738" w:rsidRDefault="004411F8" w:rsidP="0097080E">
            <w:pPr>
              <w:pStyle w:val="05Tabletext"/>
              <w:keepNext/>
              <w:keepLines/>
              <w:rPr>
                <w:b/>
                <w:szCs w:val="18"/>
              </w:rPr>
            </w:pPr>
            <w:proofErr w:type="spellStart"/>
            <w:r w:rsidRPr="00233738">
              <w:rPr>
                <w:b/>
                <w:color w:val="FFFFFF" w:themeColor="background1"/>
                <w:szCs w:val="18"/>
              </w:rPr>
              <w:t>ToR</w:t>
            </w:r>
            <w:proofErr w:type="spellEnd"/>
            <w:r w:rsidRPr="00233738">
              <w:rPr>
                <w:b/>
                <w:color w:val="FFFFFF" w:themeColor="background1"/>
                <w:szCs w:val="18"/>
              </w:rPr>
              <w:t xml:space="preserve"> 1: Compare the prescribing restrictions for PBS-listed COPD medicines for consistency with the current clinical guidelines</w:t>
            </w:r>
          </w:p>
        </w:tc>
      </w:tr>
      <w:tr w:rsidR="004411F8" w:rsidTr="00233738">
        <w:trPr>
          <w:cantSplit/>
        </w:trPr>
        <w:tc>
          <w:tcPr>
            <w:tcW w:w="3016" w:type="pct"/>
            <w:shd w:val="clear" w:color="auto" w:fill="FFFFFF" w:themeFill="background1"/>
          </w:tcPr>
          <w:p w:rsidR="004411F8" w:rsidRPr="00233738" w:rsidRDefault="004411F8" w:rsidP="00B8696D">
            <w:pPr>
              <w:pStyle w:val="05Tabletext"/>
              <w:rPr>
                <w:szCs w:val="18"/>
              </w:rPr>
            </w:pPr>
            <w:r w:rsidRPr="00233738">
              <w:rPr>
                <w:szCs w:val="18"/>
              </w:rPr>
              <w:t xml:space="preserve">A systematic search of relevant evidence-based guidelines from regulatory/funding/health technology assessment (HTA) bodies, guidelines databases and other relevant websites for the treatment of COPD. </w:t>
            </w:r>
          </w:p>
        </w:tc>
        <w:tc>
          <w:tcPr>
            <w:tcW w:w="1984" w:type="pct"/>
            <w:shd w:val="clear" w:color="auto" w:fill="FFFFFF" w:themeFill="background1"/>
          </w:tcPr>
          <w:p w:rsidR="004411F8" w:rsidRPr="00233738" w:rsidRDefault="004411F8" w:rsidP="00B8696D">
            <w:pPr>
              <w:pStyle w:val="05Tabletext"/>
              <w:rPr>
                <w:szCs w:val="18"/>
              </w:rPr>
            </w:pPr>
            <w:r w:rsidRPr="00233738">
              <w:rPr>
                <w:szCs w:val="18"/>
              </w:rPr>
              <w:t xml:space="preserve">The search was restricted to Australian and international guidelines published from 2011 </w:t>
            </w:r>
            <w:r w:rsidR="00B8696D">
              <w:rPr>
                <w:szCs w:val="18"/>
              </w:rPr>
              <w:t>to</w:t>
            </w:r>
            <w:r w:rsidRPr="00233738">
              <w:rPr>
                <w:szCs w:val="18"/>
              </w:rPr>
              <w:t xml:space="preserve"> August 2016.</w:t>
            </w:r>
          </w:p>
        </w:tc>
      </w:tr>
      <w:tr w:rsidR="004411F8" w:rsidTr="00233738">
        <w:trPr>
          <w:cantSplit/>
        </w:trPr>
        <w:tc>
          <w:tcPr>
            <w:tcW w:w="5000" w:type="pct"/>
            <w:gridSpan w:val="2"/>
            <w:shd w:val="clear" w:color="auto" w:fill="000000" w:themeFill="text1"/>
          </w:tcPr>
          <w:p w:rsidR="004411F8" w:rsidRPr="00233738" w:rsidRDefault="004411F8" w:rsidP="00026054">
            <w:pPr>
              <w:pStyle w:val="05Tabletext"/>
              <w:rPr>
                <w:szCs w:val="18"/>
              </w:rPr>
            </w:pPr>
            <w:proofErr w:type="spellStart"/>
            <w:r w:rsidRPr="00233738">
              <w:rPr>
                <w:b/>
                <w:color w:val="FFFFFF" w:themeColor="background1"/>
                <w:szCs w:val="18"/>
              </w:rPr>
              <w:t>ToR</w:t>
            </w:r>
            <w:proofErr w:type="spellEnd"/>
            <w:r w:rsidRPr="00233738">
              <w:rPr>
                <w:b/>
                <w:color w:val="FFFFFF" w:themeColor="background1"/>
                <w:szCs w:val="18"/>
              </w:rPr>
              <w:t xml:space="preserve"> 2: </w:t>
            </w:r>
            <w:r w:rsidRPr="00233738">
              <w:rPr>
                <w:b/>
                <w:szCs w:val="18"/>
              </w:rPr>
              <w:t>Review of clinically relevant outcomes</w:t>
            </w:r>
          </w:p>
        </w:tc>
      </w:tr>
      <w:tr w:rsidR="004411F8" w:rsidRPr="005D5D9F" w:rsidTr="00233738">
        <w:trPr>
          <w:cantSplit/>
        </w:trPr>
        <w:tc>
          <w:tcPr>
            <w:tcW w:w="3016" w:type="pct"/>
            <w:shd w:val="clear" w:color="auto" w:fill="F2F2F2" w:themeFill="background1" w:themeFillShade="F2"/>
          </w:tcPr>
          <w:p w:rsidR="004411F8" w:rsidRPr="00233738" w:rsidRDefault="004411F8" w:rsidP="00B8696D">
            <w:pPr>
              <w:pStyle w:val="05Tabletext"/>
              <w:jc w:val="both"/>
              <w:rPr>
                <w:szCs w:val="18"/>
              </w:rPr>
            </w:pPr>
            <w:r w:rsidRPr="00233738">
              <w:rPr>
                <w:szCs w:val="18"/>
              </w:rPr>
              <w:t xml:space="preserve">Outcomes identified from the literature search of peer-reviewed publications, regulatory agencies, HTA and reimbursement agencies, guidelines and clinical </w:t>
            </w:r>
            <w:r w:rsidR="00B8696D">
              <w:rPr>
                <w:szCs w:val="18"/>
              </w:rPr>
              <w:t>studies were summarised.</w:t>
            </w:r>
          </w:p>
        </w:tc>
        <w:tc>
          <w:tcPr>
            <w:tcW w:w="1984" w:type="pct"/>
            <w:shd w:val="clear" w:color="auto" w:fill="F2F2F2" w:themeFill="background1" w:themeFillShade="F2"/>
          </w:tcPr>
          <w:p w:rsidR="004411F8" w:rsidRPr="00233738" w:rsidRDefault="004411F8" w:rsidP="00B8696D">
            <w:pPr>
              <w:pStyle w:val="05Tabletext"/>
              <w:rPr>
                <w:szCs w:val="18"/>
              </w:rPr>
            </w:pPr>
            <w:r w:rsidRPr="00233738">
              <w:rPr>
                <w:szCs w:val="18"/>
              </w:rPr>
              <w:t xml:space="preserve">Publications from 2010 </w:t>
            </w:r>
            <w:r w:rsidR="00B8696D">
              <w:rPr>
                <w:szCs w:val="18"/>
              </w:rPr>
              <w:t>to</w:t>
            </w:r>
            <w:r w:rsidRPr="00233738">
              <w:rPr>
                <w:szCs w:val="18"/>
              </w:rPr>
              <w:t xml:space="preserve"> November 2016.</w:t>
            </w:r>
          </w:p>
        </w:tc>
      </w:tr>
      <w:tr w:rsidR="004411F8" w:rsidRPr="00CB607C" w:rsidTr="00233738">
        <w:trPr>
          <w:cantSplit/>
        </w:trPr>
        <w:tc>
          <w:tcPr>
            <w:tcW w:w="5000" w:type="pct"/>
            <w:gridSpan w:val="2"/>
            <w:shd w:val="clear" w:color="auto" w:fill="000000" w:themeFill="text1"/>
          </w:tcPr>
          <w:p w:rsidR="004411F8" w:rsidRPr="00233738" w:rsidRDefault="004411F8" w:rsidP="00026054">
            <w:pPr>
              <w:pStyle w:val="05Tabletext"/>
              <w:rPr>
                <w:szCs w:val="18"/>
              </w:rPr>
            </w:pPr>
            <w:proofErr w:type="spellStart"/>
            <w:r w:rsidRPr="00233738">
              <w:rPr>
                <w:b/>
                <w:color w:val="FFFFFF" w:themeColor="background1"/>
                <w:szCs w:val="18"/>
              </w:rPr>
              <w:t>ToR</w:t>
            </w:r>
            <w:proofErr w:type="spellEnd"/>
            <w:r w:rsidRPr="00233738">
              <w:rPr>
                <w:b/>
                <w:color w:val="FFFFFF" w:themeColor="background1"/>
                <w:szCs w:val="18"/>
              </w:rPr>
              <w:t xml:space="preserve"> 3: Review of LAMA and LABA efficacy and safety</w:t>
            </w:r>
          </w:p>
        </w:tc>
      </w:tr>
      <w:tr w:rsidR="004411F8" w:rsidRPr="00CB607C" w:rsidTr="00233738">
        <w:trPr>
          <w:cantSplit/>
        </w:trPr>
        <w:tc>
          <w:tcPr>
            <w:tcW w:w="3016" w:type="pct"/>
          </w:tcPr>
          <w:p w:rsidR="004411F8" w:rsidRPr="00233738" w:rsidRDefault="004411F8" w:rsidP="00026054">
            <w:pPr>
              <w:pStyle w:val="05Tabletext"/>
              <w:jc w:val="both"/>
              <w:rPr>
                <w:szCs w:val="18"/>
              </w:rPr>
            </w:pPr>
            <w:r w:rsidRPr="00233738">
              <w:rPr>
                <w:szCs w:val="18"/>
              </w:rPr>
              <w:t>The peer-reviewed literature was systematically searched for clinical studies that evaluated the safety and effectiveness of LAMA and LABA monotherapy as well as combinations of LAMA, LABA and ICS at the doses and formulations listed on the PBS for the treatment of COPD.</w:t>
            </w:r>
          </w:p>
          <w:p w:rsidR="004411F8" w:rsidRPr="00233738" w:rsidRDefault="004411F8" w:rsidP="00B8696D">
            <w:pPr>
              <w:pStyle w:val="06Tabletextspacebefore"/>
              <w:rPr>
                <w:szCs w:val="18"/>
              </w:rPr>
            </w:pPr>
            <w:r w:rsidRPr="00233738">
              <w:rPr>
                <w:szCs w:val="18"/>
              </w:rPr>
              <w:t>A hierarchical stepwise method was used to identify and select studies according to study design, as determined by the NHMRC Evidence Hierarch</w:t>
            </w:r>
            <w:r w:rsidR="00B8696D">
              <w:rPr>
                <w:szCs w:val="18"/>
              </w:rPr>
              <w:t xml:space="preserve">y for intervention questions. </w:t>
            </w:r>
          </w:p>
        </w:tc>
        <w:tc>
          <w:tcPr>
            <w:tcW w:w="1984" w:type="pct"/>
            <w:shd w:val="clear" w:color="auto" w:fill="auto"/>
          </w:tcPr>
          <w:p w:rsidR="004411F8" w:rsidRPr="00233738" w:rsidRDefault="004411F8" w:rsidP="00026054">
            <w:pPr>
              <w:pStyle w:val="05Tabletext"/>
              <w:rPr>
                <w:szCs w:val="18"/>
              </w:rPr>
            </w:pPr>
            <w:r w:rsidRPr="00233738">
              <w:rPr>
                <w:szCs w:val="18"/>
              </w:rPr>
              <w:t>The review focused on evidence that has not previously been considered by the PBAC until August 2016.</w:t>
            </w:r>
          </w:p>
        </w:tc>
      </w:tr>
      <w:tr w:rsidR="004411F8" w:rsidRPr="00CB607C" w:rsidTr="00233738">
        <w:trPr>
          <w:cantSplit/>
        </w:trPr>
        <w:tc>
          <w:tcPr>
            <w:tcW w:w="5000" w:type="pct"/>
            <w:gridSpan w:val="2"/>
            <w:shd w:val="clear" w:color="auto" w:fill="000000" w:themeFill="text1"/>
          </w:tcPr>
          <w:p w:rsidR="004411F8" w:rsidRPr="00233738" w:rsidRDefault="004411F8" w:rsidP="00026054">
            <w:pPr>
              <w:pStyle w:val="05Tabletext"/>
              <w:rPr>
                <w:szCs w:val="18"/>
              </w:rPr>
            </w:pPr>
            <w:proofErr w:type="spellStart"/>
            <w:r w:rsidRPr="00233738">
              <w:rPr>
                <w:b/>
                <w:color w:val="FFFFFF" w:themeColor="background1"/>
                <w:szCs w:val="18"/>
              </w:rPr>
              <w:t>ToR</w:t>
            </w:r>
            <w:proofErr w:type="spellEnd"/>
            <w:r w:rsidRPr="00233738">
              <w:rPr>
                <w:b/>
                <w:color w:val="FFFFFF" w:themeColor="background1"/>
                <w:szCs w:val="18"/>
              </w:rPr>
              <w:t xml:space="preserve"> 4: Review of safety of prolonged ICS use</w:t>
            </w:r>
          </w:p>
        </w:tc>
      </w:tr>
      <w:tr w:rsidR="004411F8" w:rsidRPr="00CB607C" w:rsidTr="00233738">
        <w:trPr>
          <w:cantSplit/>
        </w:trPr>
        <w:tc>
          <w:tcPr>
            <w:tcW w:w="3016" w:type="pct"/>
            <w:shd w:val="clear" w:color="auto" w:fill="F2F2F2" w:themeFill="background1" w:themeFillShade="F2"/>
          </w:tcPr>
          <w:p w:rsidR="004411F8" w:rsidRPr="00233738" w:rsidRDefault="004411F8" w:rsidP="00B8696D">
            <w:pPr>
              <w:pStyle w:val="05Tabletext"/>
              <w:rPr>
                <w:szCs w:val="18"/>
              </w:rPr>
            </w:pPr>
            <w:r w:rsidRPr="00233738">
              <w:rPr>
                <w:szCs w:val="18"/>
              </w:rPr>
              <w:t xml:space="preserve">A systematic literature review was performed encompassing both the peer-reviewed literature and any additional evidence (published or unpublished) provided by the sponsors in their </w:t>
            </w:r>
            <w:proofErr w:type="spellStart"/>
            <w:r w:rsidRPr="00233738">
              <w:rPr>
                <w:szCs w:val="18"/>
              </w:rPr>
              <w:t>ToR</w:t>
            </w:r>
            <w:proofErr w:type="spellEnd"/>
            <w:r w:rsidRPr="00233738">
              <w:rPr>
                <w:szCs w:val="18"/>
              </w:rPr>
              <w:t xml:space="preserve"> public consultation submissions. The peer-reviewed literature was screened for clinical studies that consider the safety of prolonged ICS use in monotherapy and in combi</w:t>
            </w:r>
            <w:r w:rsidR="00B8696D">
              <w:rPr>
                <w:szCs w:val="18"/>
              </w:rPr>
              <w:t xml:space="preserve">nation with LAMA and/or LABA. </w:t>
            </w:r>
          </w:p>
        </w:tc>
        <w:tc>
          <w:tcPr>
            <w:tcW w:w="1984" w:type="pct"/>
            <w:shd w:val="clear" w:color="auto" w:fill="F2F2F2" w:themeFill="background1" w:themeFillShade="F2"/>
          </w:tcPr>
          <w:p w:rsidR="004411F8" w:rsidRPr="00233738" w:rsidRDefault="00B8696D" w:rsidP="00026054">
            <w:pPr>
              <w:pStyle w:val="05Tabletext"/>
              <w:rPr>
                <w:szCs w:val="18"/>
              </w:rPr>
            </w:pPr>
            <w:r>
              <w:rPr>
                <w:szCs w:val="18"/>
              </w:rPr>
              <w:t xml:space="preserve">Evidence from 2010 to 8 </w:t>
            </w:r>
            <w:r w:rsidR="004411F8" w:rsidRPr="00233738">
              <w:rPr>
                <w:szCs w:val="18"/>
              </w:rPr>
              <w:t>September 2016</w:t>
            </w:r>
            <w:r>
              <w:rPr>
                <w:szCs w:val="18"/>
              </w:rPr>
              <w:t>.</w:t>
            </w:r>
          </w:p>
        </w:tc>
      </w:tr>
    </w:tbl>
    <w:p w:rsidR="00233738" w:rsidRDefault="00233738" w:rsidP="00C53964">
      <w:pPr>
        <w:pStyle w:val="ExSTableHeader"/>
      </w:pPr>
      <w:bookmarkStart w:id="12" w:name="_Toc486853623"/>
      <w:r w:rsidRPr="00233738">
        <w:t xml:space="preserve">Table ES </w:t>
      </w:r>
      <w:r>
        <w:t>2</w:t>
      </w:r>
      <w:r w:rsidR="0097080E">
        <w:tab/>
      </w:r>
      <w:r w:rsidRPr="00233738">
        <w:t>Methodological approach</w:t>
      </w:r>
      <w:r w:rsidR="005A4B2C">
        <w:t xml:space="preserve"> to</w:t>
      </w:r>
      <w:r w:rsidRPr="00233738">
        <w:t xml:space="preserve"> </w:t>
      </w:r>
      <w:proofErr w:type="spellStart"/>
      <w:r>
        <w:t>ToR</w:t>
      </w:r>
      <w:proofErr w:type="spellEnd"/>
      <w:r>
        <w:t xml:space="preserve"> 5</w:t>
      </w:r>
      <w:bookmarkEnd w:id="12"/>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7"/>
        <w:gridCol w:w="2090"/>
        <w:gridCol w:w="6711"/>
      </w:tblGrid>
      <w:tr w:rsidR="004411F8" w:rsidRPr="005A2AA3" w:rsidTr="00026054">
        <w:trPr>
          <w:cantSplit/>
          <w:tblHeader/>
        </w:trPr>
        <w:tc>
          <w:tcPr>
            <w:tcW w:w="439" w:type="pct"/>
            <w:shd w:val="clear" w:color="auto" w:fill="BFBFBF"/>
          </w:tcPr>
          <w:p w:rsidR="004411F8" w:rsidRPr="00233738" w:rsidRDefault="004411F8" w:rsidP="00026054">
            <w:pPr>
              <w:pStyle w:val="01TableHEADINGleftaligned"/>
              <w:keepNext w:val="0"/>
              <w:jc w:val="center"/>
              <w:rPr>
                <w:szCs w:val="18"/>
              </w:rPr>
            </w:pPr>
            <w:r w:rsidRPr="00233738">
              <w:rPr>
                <w:szCs w:val="18"/>
              </w:rPr>
              <w:t>Analysis</w:t>
            </w:r>
          </w:p>
        </w:tc>
        <w:tc>
          <w:tcPr>
            <w:tcW w:w="1083" w:type="pct"/>
            <w:shd w:val="clear" w:color="auto" w:fill="BFBFBF"/>
          </w:tcPr>
          <w:p w:rsidR="004411F8" w:rsidRPr="00233738" w:rsidRDefault="004411F8" w:rsidP="00026054">
            <w:pPr>
              <w:pStyle w:val="01TableHEADINGleftaligned"/>
              <w:keepNext w:val="0"/>
              <w:jc w:val="center"/>
              <w:rPr>
                <w:szCs w:val="18"/>
              </w:rPr>
            </w:pPr>
            <w:r w:rsidRPr="00233738">
              <w:rPr>
                <w:szCs w:val="18"/>
              </w:rPr>
              <w:t>Data source</w:t>
            </w:r>
          </w:p>
        </w:tc>
        <w:tc>
          <w:tcPr>
            <w:tcW w:w="3478" w:type="pct"/>
            <w:shd w:val="clear" w:color="auto" w:fill="BFBFBF"/>
          </w:tcPr>
          <w:p w:rsidR="004411F8" w:rsidRPr="00233738" w:rsidRDefault="004411F8" w:rsidP="00026054">
            <w:pPr>
              <w:pStyle w:val="01TableHEADINGleftaligned"/>
              <w:keepNext w:val="0"/>
              <w:jc w:val="center"/>
              <w:rPr>
                <w:szCs w:val="18"/>
              </w:rPr>
            </w:pPr>
            <w:r w:rsidRPr="00233738">
              <w:rPr>
                <w:szCs w:val="18"/>
              </w:rPr>
              <w:t>Methodological approach</w:t>
            </w:r>
          </w:p>
        </w:tc>
      </w:tr>
      <w:tr w:rsidR="00233738" w:rsidRPr="00A9459E" w:rsidTr="00233738">
        <w:trPr>
          <w:cantSplit/>
          <w:trHeight w:val="183"/>
        </w:trPr>
        <w:tc>
          <w:tcPr>
            <w:tcW w:w="5000" w:type="pct"/>
            <w:gridSpan w:val="3"/>
            <w:shd w:val="clear" w:color="auto" w:fill="000000" w:themeFill="text1"/>
          </w:tcPr>
          <w:p w:rsidR="00233738" w:rsidRPr="00233738" w:rsidRDefault="00233738" w:rsidP="00233738">
            <w:pPr>
              <w:pStyle w:val="Bullettext"/>
              <w:numPr>
                <w:ilvl w:val="0"/>
                <w:numId w:val="0"/>
              </w:numPr>
              <w:ind w:left="360" w:hanging="360"/>
              <w:jc w:val="left"/>
              <w:rPr>
                <w:rFonts w:ascii="Arial Narrow" w:hAnsi="Arial Narrow"/>
                <w:sz w:val="18"/>
                <w:szCs w:val="18"/>
              </w:rPr>
            </w:pPr>
            <w:proofErr w:type="spellStart"/>
            <w:r w:rsidRPr="00233738">
              <w:rPr>
                <w:rFonts w:ascii="Arial Narrow" w:hAnsi="Arial Narrow"/>
                <w:b/>
                <w:color w:val="FFFFFF" w:themeColor="background1"/>
                <w:sz w:val="18"/>
                <w:szCs w:val="18"/>
              </w:rPr>
              <w:t>ToR</w:t>
            </w:r>
            <w:proofErr w:type="spellEnd"/>
            <w:r w:rsidRPr="00233738">
              <w:rPr>
                <w:rFonts w:ascii="Arial Narrow" w:hAnsi="Arial Narrow"/>
                <w:b/>
                <w:color w:val="FFFFFF" w:themeColor="background1"/>
                <w:sz w:val="18"/>
                <w:szCs w:val="18"/>
              </w:rPr>
              <w:t xml:space="preserve"> 5: Utilisation analysis of COPD medications</w:t>
            </w:r>
          </w:p>
        </w:tc>
      </w:tr>
      <w:tr w:rsidR="004411F8" w:rsidRPr="00A9459E" w:rsidTr="00026054">
        <w:trPr>
          <w:cantSplit/>
        </w:trPr>
        <w:tc>
          <w:tcPr>
            <w:tcW w:w="439" w:type="pct"/>
            <w:shd w:val="clear" w:color="auto" w:fill="FFFFFF" w:themeFill="background1"/>
          </w:tcPr>
          <w:p w:rsidR="004411F8" w:rsidRPr="00233738" w:rsidRDefault="004411F8" w:rsidP="00026054">
            <w:pPr>
              <w:pStyle w:val="05Tabletext"/>
              <w:rPr>
                <w:b/>
                <w:szCs w:val="18"/>
              </w:rPr>
            </w:pPr>
            <w:r w:rsidRPr="00233738">
              <w:rPr>
                <w:b/>
                <w:szCs w:val="18"/>
              </w:rPr>
              <w:t>1</w:t>
            </w:r>
          </w:p>
        </w:tc>
        <w:tc>
          <w:tcPr>
            <w:tcW w:w="1083" w:type="pct"/>
            <w:shd w:val="clear" w:color="auto" w:fill="FFFFFF" w:themeFill="background1"/>
          </w:tcPr>
          <w:p w:rsidR="004411F8" w:rsidRPr="00233738" w:rsidRDefault="004411F8" w:rsidP="006A73D1">
            <w:pPr>
              <w:pStyle w:val="05Tabletext"/>
              <w:rPr>
                <w:szCs w:val="18"/>
              </w:rPr>
            </w:pPr>
            <w:r w:rsidRPr="00233738">
              <w:rPr>
                <w:szCs w:val="18"/>
              </w:rPr>
              <w:t>Utilisation a</w:t>
            </w:r>
            <w:r w:rsidR="006A73D1">
              <w:rPr>
                <w:szCs w:val="18"/>
              </w:rPr>
              <w:t>nalysis of PBS/</w:t>
            </w:r>
            <w:r w:rsidR="006F4B4E">
              <w:rPr>
                <w:szCs w:val="18"/>
              </w:rPr>
              <w:t>Repatriation PBS (</w:t>
            </w:r>
            <w:r w:rsidR="006A73D1">
              <w:rPr>
                <w:szCs w:val="18"/>
              </w:rPr>
              <w:t>RPBS</w:t>
            </w:r>
            <w:r w:rsidR="006F4B4E">
              <w:rPr>
                <w:szCs w:val="18"/>
              </w:rPr>
              <w:t>)</w:t>
            </w:r>
            <w:r w:rsidR="006A73D1">
              <w:rPr>
                <w:szCs w:val="18"/>
              </w:rPr>
              <w:t xml:space="preserve"> claims data</w:t>
            </w:r>
          </w:p>
        </w:tc>
        <w:tc>
          <w:tcPr>
            <w:tcW w:w="3478" w:type="pct"/>
            <w:shd w:val="clear" w:color="auto" w:fill="FFFFFF" w:themeFill="background1"/>
          </w:tcPr>
          <w:p w:rsidR="004411F8" w:rsidRPr="00233738" w:rsidRDefault="006A73D1" w:rsidP="00026054">
            <w:pPr>
              <w:pStyle w:val="Bullettext"/>
              <w:jc w:val="left"/>
              <w:rPr>
                <w:rFonts w:ascii="Arial Narrow" w:hAnsi="Arial Narrow"/>
                <w:sz w:val="18"/>
                <w:szCs w:val="18"/>
              </w:rPr>
            </w:pPr>
            <w:r>
              <w:rPr>
                <w:rFonts w:ascii="Arial Narrow" w:hAnsi="Arial Narrow"/>
                <w:sz w:val="18"/>
                <w:szCs w:val="18"/>
              </w:rPr>
              <w:t>COPD and a</w:t>
            </w:r>
            <w:r w:rsidR="004411F8" w:rsidRPr="00233738">
              <w:rPr>
                <w:rFonts w:ascii="Arial Narrow" w:hAnsi="Arial Narrow"/>
                <w:sz w:val="18"/>
                <w:szCs w:val="18"/>
              </w:rPr>
              <w:t>sthma PBS prescription and benefit anal</w:t>
            </w:r>
            <w:r>
              <w:rPr>
                <w:rFonts w:ascii="Arial Narrow" w:hAnsi="Arial Narrow"/>
                <w:sz w:val="18"/>
                <w:szCs w:val="18"/>
              </w:rPr>
              <w:t>ysis based on Department of H</w:t>
            </w:r>
            <w:r w:rsidR="004411F8" w:rsidRPr="00233738">
              <w:rPr>
                <w:rFonts w:ascii="Arial Narrow" w:hAnsi="Arial Narrow"/>
                <w:sz w:val="18"/>
                <w:szCs w:val="18"/>
              </w:rPr>
              <w:t xml:space="preserve">uman Services date of processing data inclusive of 2006 to 2016 calendar years. </w:t>
            </w:r>
          </w:p>
          <w:p w:rsidR="004411F8" w:rsidRPr="00233738" w:rsidRDefault="004411F8" w:rsidP="006A73D1">
            <w:pPr>
              <w:pStyle w:val="Bullettext"/>
              <w:jc w:val="left"/>
              <w:rPr>
                <w:rFonts w:ascii="Arial Narrow" w:hAnsi="Arial Narrow"/>
                <w:sz w:val="18"/>
                <w:szCs w:val="18"/>
              </w:rPr>
            </w:pPr>
            <w:r w:rsidRPr="00233738">
              <w:rPr>
                <w:rFonts w:ascii="Arial Narrow" w:hAnsi="Arial Narrow"/>
                <w:sz w:val="18"/>
                <w:szCs w:val="18"/>
              </w:rPr>
              <w:t>COPD PBS patient record analysis based on de</w:t>
            </w:r>
            <w:r w:rsidR="005F5E0D">
              <w:rPr>
                <w:rFonts w:ascii="Arial Narrow" w:hAnsi="Arial Narrow"/>
                <w:sz w:val="18"/>
                <w:szCs w:val="18"/>
              </w:rPr>
              <w:t>-</w:t>
            </w:r>
            <w:r w:rsidRPr="00233738">
              <w:rPr>
                <w:rFonts w:ascii="Arial Narrow" w:hAnsi="Arial Narrow"/>
                <w:sz w:val="18"/>
                <w:szCs w:val="18"/>
              </w:rPr>
              <w:t>identified data supplie</w:t>
            </w:r>
            <w:r w:rsidR="006A73D1">
              <w:rPr>
                <w:rFonts w:ascii="Arial Narrow" w:hAnsi="Arial Narrow"/>
                <w:sz w:val="18"/>
                <w:szCs w:val="18"/>
              </w:rPr>
              <w:t xml:space="preserve">d by the Department of Health. </w:t>
            </w:r>
            <w:r w:rsidRPr="00233738">
              <w:rPr>
                <w:rFonts w:ascii="Arial Narrow" w:hAnsi="Arial Narrow"/>
                <w:sz w:val="18"/>
                <w:szCs w:val="18"/>
              </w:rPr>
              <w:t xml:space="preserve">Patients </w:t>
            </w:r>
            <w:r w:rsidR="006A73D1">
              <w:rPr>
                <w:rFonts w:ascii="Arial Narrow" w:hAnsi="Arial Narrow"/>
                <w:sz w:val="18"/>
                <w:szCs w:val="18"/>
              </w:rPr>
              <w:t xml:space="preserve">included in the analysis were </w:t>
            </w:r>
            <w:r w:rsidRPr="00233738">
              <w:rPr>
                <w:rFonts w:ascii="Arial Narrow" w:hAnsi="Arial Narrow"/>
                <w:sz w:val="18"/>
                <w:szCs w:val="18"/>
              </w:rPr>
              <w:t xml:space="preserve">aged 35 years and older </w:t>
            </w:r>
            <w:r w:rsidR="006A73D1">
              <w:rPr>
                <w:rFonts w:ascii="Arial Narrow" w:hAnsi="Arial Narrow"/>
                <w:sz w:val="18"/>
                <w:szCs w:val="18"/>
              </w:rPr>
              <w:t xml:space="preserve">and were those who initiated COPD therapy with a LAMA, LABA or LAMA/LABA fixed dose combination (FDC). </w:t>
            </w:r>
            <w:r w:rsidRPr="00233738">
              <w:rPr>
                <w:rFonts w:ascii="Arial Narrow" w:hAnsi="Arial Narrow"/>
                <w:sz w:val="18"/>
                <w:szCs w:val="18"/>
              </w:rPr>
              <w:t xml:space="preserve">Data file from November 2006 to </w:t>
            </w:r>
            <w:r w:rsidR="005F5E0D">
              <w:rPr>
                <w:rFonts w:ascii="Arial Narrow" w:hAnsi="Arial Narrow"/>
                <w:sz w:val="18"/>
                <w:szCs w:val="18"/>
              </w:rPr>
              <w:t>October</w:t>
            </w:r>
            <w:r w:rsidR="006A73D1">
              <w:rPr>
                <w:rFonts w:ascii="Arial Narrow" w:hAnsi="Arial Narrow"/>
                <w:sz w:val="18"/>
                <w:szCs w:val="18"/>
              </w:rPr>
              <w:t xml:space="preserve"> 2016.</w:t>
            </w:r>
            <w:r w:rsidRPr="00233738">
              <w:rPr>
                <w:rFonts w:ascii="Arial Narrow" w:hAnsi="Arial Narrow"/>
                <w:sz w:val="18"/>
                <w:szCs w:val="18"/>
              </w:rPr>
              <w:t xml:space="preserve"> Patient initiations considered a consistent 2 year lookback.</w:t>
            </w:r>
          </w:p>
        </w:tc>
      </w:tr>
      <w:tr w:rsidR="004411F8" w:rsidRPr="00A9459E" w:rsidTr="00026054">
        <w:trPr>
          <w:cantSplit/>
        </w:trPr>
        <w:tc>
          <w:tcPr>
            <w:tcW w:w="439" w:type="pct"/>
            <w:shd w:val="clear" w:color="auto" w:fill="F2F2F2" w:themeFill="background1" w:themeFillShade="F2"/>
          </w:tcPr>
          <w:p w:rsidR="004411F8" w:rsidRPr="00233738" w:rsidRDefault="004411F8" w:rsidP="00026054">
            <w:pPr>
              <w:pStyle w:val="05Tabletext"/>
              <w:jc w:val="both"/>
              <w:rPr>
                <w:b/>
                <w:szCs w:val="18"/>
              </w:rPr>
            </w:pPr>
            <w:r w:rsidRPr="00233738">
              <w:rPr>
                <w:b/>
                <w:szCs w:val="18"/>
              </w:rPr>
              <w:t>2</w:t>
            </w:r>
          </w:p>
        </w:tc>
        <w:tc>
          <w:tcPr>
            <w:tcW w:w="1083" w:type="pct"/>
            <w:shd w:val="clear" w:color="auto" w:fill="F2F2F2" w:themeFill="background1" w:themeFillShade="F2"/>
          </w:tcPr>
          <w:p w:rsidR="004411F8" w:rsidRPr="00233738" w:rsidRDefault="004411F8" w:rsidP="00026054">
            <w:pPr>
              <w:pStyle w:val="05Tabletext"/>
              <w:rPr>
                <w:szCs w:val="18"/>
              </w:rPr>
            </w:pPr>
            <w:r w:rsidRPr="00233738">
              <w:rPr>
                <w:szCs w:val="18"/>
              </w:rPr>
              <w:t>MedicineInsight data analysis</w:t>
            </w:r>
          </w:p>
          <w:p w:rsidR="004411F8" w:rsidRPr="00233738" w:rsidRDefault="004411F8" w:rsidP="006A73D1">
            <w:pPr>
              <w:pStyle w:val="06Tabletextspacebefore"/>
              <w:ind w:left="0"/>
              <w:rPr>
                <w:szCs w:val="18"/>
              </w:rPr>
            </w:pPr>
          </w:p>
        </w:tc>
        <w:tc>
          <w:tcPr>
            <w:tcW w:w="3478" w:type="pct"/>
            <w:shd w:val="clear" w:color="auto" w:fill="F2F2F2" w:themeFill="background1" w:themeFillShade="F2"/>
          </w:tcPr>
          <w:p w:rsidR="004411F8" w:rsidRPr="006A73D1" w:rsidRDefault="004411F8" w:rsidP="006A73D1">
            <w:pPr>
              <w:pStyle w:val="Bullettext"/>
              <w:rPr>
                <w:rFonts w:ascii="Arial Narrow" w:hAnsi="Arial Narrow"/>
                <w:sz w:val="18"/>
                <w:szCs w:val="18"/>
              </w:rPr>
            </w:pPr>
            <w:r w:rsidRPr="00233738">
              <w:rPr>
                <w:rFonts w:ascii="Arial Narrow" w:hAnsi="Arial Narrow"/>
                <w:sz w:val="18"/>
                <w:szCs w:val="18"/>
              </w:rPr>
              <w:t xml:space="preserve">NPS </w:t>
            </w:r>
            <w:r w:rsidR="006A73D1">
              <w:rPr>
                <w:rFonts w:ascii="Arial Narrow" w:hAnsi="Arial Narrow"/>
                <w:sz w:val="18"/>
                <w:szCs w:val="18"/>
              </w:rPr>
              <w:t xml:space="preserve">MedicineInsight data </w:t>
            </w:r>
            <w:r w:rsidRPr="00233738">
              <w:rPr>
                <w:rFonts w:ascii="Arial Narrow" w:hAnsi="Arial Narrow"/>
                <w:sz w:val="18"/>
                <w:szCs w:val="18"/>
              </w:rPr>
              <w:t>analysis</w:t>
            </w:r>
            <w:r w:rsidR="006A73D1">
              <w:rPr>
                <w:rFonts w:ascii="Arial Narrow" w:hAnsi="Arial Narrow"/>
                <w:sz w:val="18"/>
                <w:szCs w:val="18"/>
              </w:rPr>
              <w:t xml:space="preserve"> which</w:t>
            </w:r>
            <w:r w:rsidRPr="00233738">
              <w:rPr>
                <w:rFonts w:ascii="Arial Narrow" w:hAnsi="Arial Narrow"/>
                <w:sz w:val="18"/>
                <w:szCs w:val="18"/>
              </w:rPr>
              <w:t xml:space="preserve"> investigates the use of medicines by patients with COPD </w:t>
            </w:r>
            <w:r w:rsidR="006A73D1">
              <w:rPr>
                <w:rFonts w:ascii="Arial Narrow" w:hAnsi="Arial Narrow"/>
                <w:sz w:val="18"/>
                <w:szCs w:val="18"/>
              </w:rPr>
              <w:t>(</w:t>
            </w:r>
            <w:r w:rsidRPr="00233738">
              <w:rPr>
                <w:rFonts w:ascii="Arial Narrow" w:hAnsi="Arial Narrow"/>
                <w:sz w:val="18"/>
                <w:szCs w:val="18"/>
              </w:rPr>
              <w:t>with or without asthma</w:t>
            </w:r>
            <w:r w:rsidR="006A73D1">
              <w:rPr>
                <w:rFonts w:ascii="Arial Narrow" w:hAnsi="Arial Narrow"/>
                <w:sz w:val="18"/>
                <w:szCs w:val="18"/>
              </w:rPr>
              <w:t xml:space="preserve">). </w:t>
            </w:r>
            <w:r w:rsidRPr="006A73D1">
              <w:rPr>
                <w:rFonts w:ascii="Arial Narrow" w:hAnsi="Arial Narrow"/>
                <w:sz w:val="18"/>
                <w:szCs w:val="18"/>
              </w:rPr>
              <w:t>MedicineInsight data was drawn from 423 clinically relevant practice sites, 3,835 active GPs and 2,230,658 active patients, to 31 December 2016 inclusive.</w:t>
            </w:r>
          </w:p>
        </w:tc>
      </w:tr>
    </w:tbl>
    <w:p w:rsidR="00233738" w:rsidRPr="00027216" w:rsidRDefault="002F2DC4" w:rsidP="00027216">
      <w:pPr>
        <w:pStyle w:val="Heading4"/>
      </w:pPr>
      <w:r w:rsidRPr="00027216">
        <w:t>Stakeholder consultation</w:t>
      </w:r>
    </w:p>
    <w:p w:rsidR="002F2DC4" w:rsidRDefault="0097080E" w:rsidP="002F2DC4">
      <w:pPr>
        <w:keepNext/>
        <w:keepLines/>
        <w:spacing w:before="0"/>
        <w:jc w:val="left"/>
      </w:pPr>
      <w:r>
        <w:t>O</w:t>
      </w:r>
      <w:r w:rsidR="007E48BE" w:rsidRPr="00610E40">
        <w:t>pportun</w:t>
      </w:r>
      <w:r w:rsidR="006A73D1">
        <w:t>ities for</w:t>
      </w:r>
      <w:r w:rsidR="007E48BE" w:rsidRPr="00610E40">
        <w:t xml:space="preserve"> stakeholder consultation throughout the</w:t>
      </w:r>
      <w:r w:rsidR="006A73D1">
        <w:t xml:space="preserve"> COPD Review</w:t>
      </w:r>
      <w:r>
        <w:t>, included:</w:t>
      </w:r>
      <w:r w:rsidR="002F2DC4">
        <w:t xml:space="preserve"> </w:t>
      </w:r>
    </w:p>
    <w:p w:rsidR="00645DDD" w:rsidRDefault="00645DDD" w:rsidP="00CD1D07">
      <w:pPr>
        <w:pStyle w:val="ListParagraph"/>
        <w:keepNext/>
        <w:keepLines/>
        <w:numPr>
          <w:ilvl w:val="0"/>
          <w:numId w:val="29"/>
        </w:numPr>
        <w:spacing w:before="0"/>
        <w:jc w:val="left"/>
      </w:pPr>
      <w:r>
        <w:t xml:space="preserve">Public consultation on the draft </w:t>
      </w:r>
      <w:proofErr w:type="spellStart"/>
      <w:r>
        <w:t>ToR</w:t>
      </w:r>
      <w:proofErr w:type="spellEnd"/>
      <w:r>
        <w:t xml:space="preserve"> (detailed above).</w:t>
      </w:r>
    </w:p>
    <w:p w:rsidR="002F2DC4" w:rsidRDefault="002F2DC4" w:rsidP="00CD1D07">
      <w:pPr>
        <w:pStyle w:val="ListParagraph"/>
        <w:keepNext/>
        <w:keepLines/>
        <w:numPr>
          <w:ilvl w:val="0"/>
          <w:numId w:val="29"/>
        </w:numPr>
        <w:spacing w:before="0"/>
        <w:jc w:val="left"/>
      </w:pPr>
      <w:r>
        <w:t xml:space="preserve">Public submissions to the Review were open between 4 March and 22 April 2016. </w:t>
      </w:r>
      <w:r w:rsidR="00645DDD">
        <w:t xml:space="preserve">Except where requested otherwise, submissions </w:t>
      </w:r>
      <w:r>
        <w:t xml:space="preserve">are published on the </w:t>
      </w:r>
      <w:r w:rsidR="00645DDD" w:rsidRPr="0041298F">
        <w:t xml:space="preserve">Consultation </w:t>
      </w:r>
      <w:r w:rsidRPr="0041298F">
        <w:t>website</w:t>
      </w:r>
      <w:r>
        <w:t>.</w:t>
      </w:r>
    </w:p>
    <w:p w:rsidR="002F2DC4" w:rsidRDefault="002F2DC4" w:rsidP="00CD1D07">
      <w:pPr>
        <w:pStyle w:val="ListParagraph"/>
        <w:numPr>
          <w:ilvl w:val="0"/>
          <w:numId w:val="29"/>
        </w:numPr>
        <w:spacing w:before="0"/>
        <w:jc w:val="left"/>
      </w:pPr>
      <w:r>
        <w:t xml:space="preserve">A </w:t>
      </w:r>
      <w:r w:rsidR="007E48BE" w:rsidRPr="00DA67D8">
        <w:t>Stakeholder Forum was held by the Depar</w:t>
      </w:r>
      <w:r w:rsidR="006A73D1">
        <w:t>tment of Health in Sydney on 21 </w:t>
      </w:r>
      <w:r>
        <w:t>March </w:t>
      </w:r>
      <w:r w:rsidR="006A73D1">
        <w:t xml:space="preserve">2017. </w:t>
      </w:r>
      <w:r w:rsidR="007E48BE" w:rsidRPr="00DA67D8">
        <w:t>The Stakeholder Forum Summary is</w:t>
      </w:r>
      <w:r w:rsidR="007E48BE">
        <w:t xml:space="preserve"> </w:t>
      </w:r>
      <w:r w:rsidR="00645DDD">
        <w:t xml:space="preserve">at </w:t>
      </w:r>
      <w:r w:rsidR="007E48BE">
        <w:t>Appendix F</w:t>
      </w:r>
      <w:r w:rsidR="00645DDD">
        <w:t xml:space="preserve">, and on the </w:t>
      </w:r>
      <w:r w:rsidR="00645DDD" w:rsidRPr="0041298F">
        <w:t>COPD Review website</w:t>
      </w:r>
      <w:r w:rsidR="007E48BE" w:rsidRPr="00DA67D8">
        <w:t>.</w:t>
      </w:r>
    </w:p>
    <w:p w:rsidR="00DC64AE" w:rsidRDefault="002F2DC4" w:rsidP="00CD1D07">
      <w:pPr>
        <w:pStyle w:val="ListParagraph"/>
        <w:numPr>
          <w:ilvl w:val="0"/>
          <w:numId w:val="29"/>
        </w:numPr>
        <w:spacing w:before="0"/>
        <w:jc w:val="left"/>
      </w:pPr>
      <w:r>
        <w:t>T</w:t>
      </w:r>
      <w:r w:rsidR="007E48BE" w:rsidRPr="00DA67D8">
        <w:t>he Lung Foundation Australia</w:t>
      </w:r>
      <w:r>
        <w:t xml:space="preserve"> (LFA)</w:t>
      </w:r>
      <w:r w:rsidR="007E48BE" w:rsidRPr="00DA67D8">
        <w:t xml:space="preserve"> was contracted to ascertain the views of COPD patients and carers on the Review </w:t>
      </w:r>
      <w:proofErr w:type="spellStart"/>
      <w:r w:rsidR="007E48BE" w:rsidRPr="00DA67D8">
        <w:t>ToR</w:t>
      </w:r>
      <w:proofErr w:type="spellEnd"/>
      <w:r w:rsidR="007E48BE" w:rsidRPr="00DA67D8">
        <w:t>.</w:t>
      </w:r>
      <w:r w:rsidR="00DC64AE">
        <w:t xml:space="preserve"> </w:t>
      </w:r>
      <w:r w:rsidR="00645DDD">
        <w:t xml:space="preserve">The Report is at </w:t>
      </w:r>
      <w:r w:rsidR="007E48BE" w:rsidRPr="00DA67D8">
        <w:t xml:space="preserve">Appendix </w:t>
      </w:r>
      <w:r w:rsidR="007E48BE">
        <w:t>G</w:t>
      </w:r>
      <w:r w:rsidR="007E48BE" w:rsidRPr="00DA67D8">
        <w:t>.</w:t>
      </w:r>
    </w:p>
    <w:p w:rsidR="008D30BD" w:rsidRDefault="008D30BD" w:rsidP="00CD1D07">
      <w:pPr>
        <w:pStyle w:val="ListParagraph"/>
        <w:numPr>
          <w:ilvl w:val="0"/>
          <w:numId w:val="29"/>
        </w:numPr>
        <w:spacing w:before="0"/>
        <w:jc w:val="left"/>
      </w:pPr>
      <w:r>
        <w:t xml:space="preserve">The </w:t>
      </w:r>
      <w:r w:rsidRPr="008D30BD">
        <w:t xml:space="preserve">draft COPD Review Report </w:t>
      </w:r>
      <w:r w:rsidR="00645DDD">
        <w:t xml:space="preserve">was </w:t>
      </w:r>
      <w:r w:rsidRPr="008D30BD">
        <w:t xml:space="preserve">available </w:t>
      </w:r>
      <w:r>
        <w:t>f</w:t>
      </w:r>
      <w:r w:rsidRPr="008D30BD">
        <w:t>or public comment</w:t>
      </w:r>
      <w:r>
        <w:t xml:space="preserve"> between </w:t>
      </w:r>
      <w:r w:rsidR="00AE5CF9">
        <w:t>29 May and 13 </w:t>
      </w:r>
      <w:r w:rsidRPr="008D30BD">
        <w:t>June 2017</w:t>
      </w:r>
      <w:r>
        <w:t>.</w:t>
      </w:r>
    </w:p>
    <w:p w:rsidR="00645DDD" w:rsidRDefault="00645DDD" w:rsidP="00645DDD">
      <w:pPr>
        <w:spacing w:before="0"/>
        <w:jc w:val="left"/>
      </w:pPr>
    </w:p>
    <w:p w:rsidR="00645DDD" w:rsidRDefault="00645DDD" w:rsidP="00645DDD">
      <w:pPr>
        <w:spacing w:before="0"/>
        <w:jc w:val="left"/>
      </w:pPr>
      <w:r>
        <w:t xml:space="preserve">Stakeholder views are included under the key findings for each </w:t>
      </w:r>
      <w:proofErr w:type="spellStart"/>
      <w:r>
        <w:t>ToR</w:t>
      </w:r>
      <w:proofErr w:type="spellEnd"/>
      <w:r>
        <w:t>.</w:t>
      </w:r>
    </w:p>
    <w:p w:rsidR="00071DBA" w:rsidRPr="002B5894" w:rsidRDefault="00071DBA" w:rsidP="00071DBA">
      <w:pPr>
        <w:pStyle w:val="Heading2"/>
        <w:numPr>
          <w:ilvl w:val="0"/>
          <w:numId w:val="0"/>
        </w:numPr>
      </w:pPr>
      <w:bookmarkStart w:id="13" w:name="_Toc486853473"/>
      <w:r>
        <w:lastRenderedPageBreak/>
        <w:t xml:space="preserve">Key </w:t>
      </w:r>
      <w:r w:rsidR="00AE5CF9">
        <w:t>Review findings</w:t>
      </w:r>
      <w:bookmarkEnd w:id="13"/>
    </w:p>
    <w:p w:rsidR="00DF3115" w:rsidRPr="00233738" w:rsidRDefault="00DF3115" w:rsidP="00BD647E">
      <w:pPr>
        <w:pStyle w:val="Heading3"/>
        <w:numPr>
          <w:ilvl w:val="0"/>
          <w:numId w:val="0"/>
        </w:numPr>
      </w:pPr>
      <w:bookmarkStart w:id="14" w:name="_Toc486853474"/>
      <w:proofErr w:type="spellStart"/>
      <w:r w:rsidRPr="00174481">
        <w:t>ToR</w:t>
      </w:r>
      <w:proofErr w:type="spellEnd"/>
      <w:r w:rsidRPr="00174481">
        <w:t xml:space="preserve"> 1: </w:t>
      </w:r>
      <w:r w:rsidR="000558C0">
        <w:t>Comparison of p</w:t>
      </w:r>
      <w:r w:rsidR="00071DBA" w:rsidRPr="00174481">
        <w:t xml:space="preserve">rescribing restrictions </w:t>
      </w:r>
      <w:r w:rsidR="000558C0">
        <w:t>and clinical guidelines</w:t>
      </w:r>
      <w:bookmarkEnd w:id="14"/>
    </w:p>
    <w:p w:rsidR="0035554F" w:rsidRPr="00B92CC9" w:rsidRDefault="0035554F" w:rsidP="000D5A2C">
      <w:pPr>
        <w:pStyle w:val="Heading4"/>
      </w:pPr>
      <w:r w:rsidRPr="00B92CC9">
        <w:t>Clinical guidelines in COPD</w:t>
      </w:r>
    </w:p>
    <w:p w:rsidR="0004409C" w:rsidRDefault="0035554F" w:rsidP="0004409C">
      <w:pPr>
        <w:pStyle w:val="Bullettext"/>
      </w:pPr>
      <w:r w:rsidRPr="00B92CC9">
        <w:t>The key clinical practice guidelines of relevance to Australian practice are the COPD-X Plan (2015/2016): Australian and New Zealand Guidelines for the Management of Chronic Obstructive Pulmonary Disease</w:t>
      </w:r>
      <w:r w:rsidR="0004409C">
        <w:t xml:space="preserve">. </w:t>
      </w:r>
      <w:r>
        <w:t xml:space="preserve">There is also the </w:t>
      </w:r>
      <w:r w:rsidRPr="00B92CC9">
        <w:t xml:space="preserve">Global </w:t>
      </w:r>
      <w:r>
        <w:t>I</w:t>
      </w:r>
      <w:r w:rsidRPr="00B92CC9">
        <w:t xml:space="preserve">nitiative for </w:t>
      </w:r>
      <w:r>
        <w:t>C</w:t>
      </w:r>
      <w:r w:rsidRPr="00B92CC9">
        <w:t xml:space="preserve">hronic </w:t>
      </w:r>
      <w:r>
        <w:t>O</w:t>
      </w:r>
      <w:r w:rsidRPr="00B92CC9">
        <w:t xml:space="preserve">bstructive </w:t>
      </w:r>
      <w:r>
        <w:t>L</w:t>
      </w:r>
      <w:r w:rsidRPr="00B92CC9">
        <w:t xml:space="preserve">ung </w:t>
      </w:r>
      <w:r>
        <w:t>D</w:t>
      </w:r>
      <w:r w:rsidRPr="00B92CC9">
        <w:t xml:space="preserve">isease (GOLD) </w:t>
      </w:r>
      <w:r>
        <w:t>Strategy Report</w:t>
      </w:r>
      <w:r w:rsidRPr="00B92CC9">
        <w:t xml:space="preserve"> (2016): Global Strategy for the Diagnosis, Management, and Prevention of Chronic Obstru</w:t>
      </w:r>
      <w:r w:rsidR="0004409C">
        <w:t>ctive Pulmonary Disease.</w:t>
      </w:r>
    </w:p>
    <w:p w:rsidR="00AE5CF9" w:rsidRDefault="00F11A36" w:rsidP="00AE5CF9">
      <w:pPr>
        <w:pStyle w:val="Bullettext"/>
      </w:pPr>
      <w:r w:rsidRPr="008B419D">
        <w:t xml:space="preserve">The COPD-X guidelines have mild/moderate/severe COPD categories, primarily based on </w:t>
      </w:r>
      <w:r w:rsidR="002A52A1">
        <w:t>forced expiratory volume-one second (</w:t>
      </w:r>
      <w:r w:rsidRPr="008B419D">
        <w:t>FEV</w:t>
      </w:r>
      <w:r w:rsidRPr="00BF32A1">
        <w:rPr>
          <w:vertAlign w:val="subscript"/>
        </w:rPr>
        <w:t>1</w:t>
      </w:r>
      <w:r w:rsidR="002A52A1">
        <w:t>)</w:t>
      </w:r>
      <w:r w:rsidRPr="008B419D">
        <w:t xml:space="preserve"> with associated symptoms</w:t>
      </w:r>
      <w:r w:rsidR="00127D46">
        <w:t xml:space="preserve"> and exacerbations</w:t>
      </w:r>
      <w:r>
        <w:t xml:space="preserve">. </w:t>
      </w:r>
      <w:r w:rsidR="00AE5CF9">
        <w:t xml:space="preserve">The </w:t>
      </w:r>
      <w:r w:rsidR="00AE5CF9" w:rsidRPr="00E34E46">
        <w:t>COPD-X guidelines advocate a stepped algorithm for prescribing</w:t>
      </w:r>
      <w:r w:rsidR="00AE5CF9">
        <w:t xml:space="preserve"> pharmacologic therapy for COPD</w:t>
      </w:r>
      <w:r w:rsidR="00B41DF3" w:rsidRPr="00B41DF3">
        <w:t xml:space="preserve">, irrespective of </w:t>
      </w:r>
      <w:r w:rsidR="00AE73CF">
        <w:t>disease</w:t>
      </w:r>
      <w:r w:rsidR="00AE73CF" w:rsidRPr="00B41DF3">
        <w:t xml:space="preserve"> </w:t>
      </w:r>
      <w:r w:rsidR="00B41DF3" w:rsidRPr="00B41DF3">
        <w:t>severity, until adequate control has been reached</w:t>
      </w:r>
      <w:r w:rsidR="00B41DF3">
        <w:t>.</w:t>
      </w:r>
    </w:p>
    <w:p w:rsidR="00AE5CF9" w:rsidRDefault="00AE5CF9" w:rsidP="00AE5CF9">
      <w:pPr>
        <w:pStyle w:val="Bullettext"/>
      </w:pPr>
      <w:r w:rsidRPr="00E34E46">
        <w:t>The most common treatment pat</w:t>
      </w:r>
      <w:r>
        <w:t xml:space="preserve">hway for stable COPD following diagnosis is: </w:t>
      </w:r>
      <w:r w:rsidRPr="00E34E46">
        <w:t>step 1: SAMA or SABA</w:t>
      </w:r>
      <w:r>
        <w:t>;</w:t>
      </w:r>
      <w:r w:rsidRPr="00E34E46">
        <w:t xml:space="preserve"> step 2: LAMA or LABA</w:t>
      </w:r>
      <w:r>
        <w:t xml:space="preserve">; </w:t>
      </w:r>
      <w:r w:rsidRPr="00E34E46">
        <w:t>step 3: LAMA/LABA</w:t>
      </w:r>
      <w:r>
        <w:t xml:space="preserve">; </w:t>
      </w:r>
      <w:r w:rsidRPr="00E34E46">
        <w:t>step 4:  ICS/LABA</w:t>
      </w:r>
      <w:r>
        <w:t xml:space="preserve"> (for patients with FEV</w:t>
      </w:r>
      <w:r w:rsidRPr="00AE5CF9">
        <w:rPr>
          <w:vertAlign w:val="subscript"/>
        </w:rPr>
        <w:t>1</w:t>
      </w:r>
      <w:r>
        <w:t xml:space="preserve"> &lt;50% predicted and ≥2 exacerbations in the previous year);</w:t>
      </w:r>
      <w:r w:rsidRPr="00E34E46">
        <w:t xml:space="preserve"> step 5:  various medications.</w:t>
      </w:r>
    </w:p>
    <w:p w:rsidR="00AE5CF9" w:rsidRPr="0004409C" w:rsidRDefault="00696C98" w:rsidP="00AE5CF9">
      <w:pPr>
        <w:pStyle w:val="Bullettext"/>
      </w:pPr>
      <w:r w:rsidRPr="00696C98">
        <w:t xml:space="preserve">Asthma-COPD overlap syndrome </w:t>
      </w:r>
      <w:r w:rsidR="00B85241">
        <w:t xml:space="preserve">(ACOS) </w:t>
      </w:r>
      <w:r w:rsidRPr="00696C98">
        <w:t>is generally treated by initiating an ICS, then adding a LABA or LAMA.</w:t>
      </w:r>
    </w:p>
    <w:p w:rsidR="0035554F" w:rsidRPr="00B92CC9" w:rsidRDefault="0035554F" w:rsidP="000D5A2C">
      <w:pPr>
        <w:pStyle w:val="Heading4"/>
      </w:pPr>
      <w:r w:rsidRPr="0035554F">
        <w:t>Inconsistencies between PBS-listed COPD medicines and clinical guidelines</w:t>
      </w:r>
    </w:p>
    <w:p w:rsidR="0035554F" w:rsidRDefault="0035554F" w:rsidP="0035554F">
      <w:pPr>
        <w:pStyle w:val="Bullettext"/>
      </w:pPr>
      <w:r>
        <w:t xml:space="preserve">The LAMA/LABA FDCs have Authority Required (STREAMLINED) PBS restrictions, while dual therapy with ICS/LABA FDCs, which occur later in the treatment pathway, are a Restricted Benefit. The </w:t>
      </w:r>
      <w:r w:rsidR="00E3370B">
        <w:t xml:space="preserve">PBS Restricted Benefit listing </w:t>
      </w:r>
      <w:r>
        <w:t xml:space="preserve">for the ICS/LABA FDCs </w:t>
      </w:r>
      <w:r w:rsidR="008356AC">
        <w:t xml:space="preserve">compared to the LAMA/LABA FDCs </w:t>
      </w:r>
      <w:r>
        <w:t>does not align with their place in therapy; that is, the desirability of delaying initiation of an ICS/LABA due to possible adverse effects.</w:t>
      </w:r>
    </w:p>
    <w:p w:rsidR="0035554F" w:rsidRDefault="0035554F" w:rsidP="0035554F">
      <w:pPr>
        <w:pStyle w:val="Bullettext"/>
      </w:pPr>
      <w:r>
        <w:t>The LAMA/LABA FDCs have PBS restrictions that state that the patient must have been [already]</w:t>
      </w:r>
      <w:r w:rsidR="00B85241">
        <w:t xml:space="preserve"> stabilised on a LAMA and LABA, while t</w:t>
      </w:r>
      <w:r w:rsidRPr="008A14B7">
        <w:t>he COPD-X</w:t>
      </w:r>
      <w:r>
        <w:t xml:space="preserve"> guidelines state that LAMA/LABA FDCs are recommended for patients who remain symptomatic despite monotherapy with either LAMA or LABA alone.</w:t>
      </w:r>
    </w:p>
    <w:p w:rsidR="0035554F" w:rsidRDefault="0035554F" w:rsidP="0035554F">
      <w:pPr>
        <w:pStyle w:val="Bullettext"/>
      </w:pPr>
      <w:r>
        <w:t xml:space="preserve">PBS </w:t>
      </w:r>
      <w:r w:rsidR="00B85241">
        <w:t>restrictions do not require</w:t>
      </w:r>
      <w:r>
        <w:t xml:space="preserve"> prescribers</w:t>
      </w:r>
      <w:r w:rsidR="00B85241">
        <w:t xml:space="preserve"> to</w:t>
      </w:r>
      <w:r>
        <w:t xml:space="preserve"> review or confirm </w:t>
      </w:r>
      <w:r w:rsidR="00AE73CF">
        <w:t xml:space="preserve">a patient’s </w:t>
      </w:r>
      <w:r>
        <w:t>inhaler technique.</w:t>
      </w:r>
      <w:r w:rsidR="000D5A2C">
        <w:t xml:space="preserve"> </w:t>
      </w:r>
    </w:p>
    <w:p w:rsidR="0035554F" w:rsidRDefault="0035554F" w:rsidP="000D5A2C">
      <w:pPr>
        <w:pStyle w:val="Bullettext"/>
      </w:pPr>
      <w:r>
        <w:t>Guidelines highlight that inappropriate combinati</w:t>
      </w:r>
      <w:r w:rsidR="00B85241">
        <w:t>ons of agents should be avoided</w:t>
      </w:r>
      <w:r>
        <w:t xml:space="preserve">. </w:t>
      </w:r>
      <w:r w:rsidR="00B85241">
        <w:t>The i</w:t>
      </w:r>
      <w:r>
        <w:t>nappro</w:t>
      </w:r>
      <w:r w:rsidR="00B85241">
        <w:t>priate combinations are</w:t>
      </w:r>
      <w:r>
        <w:t xml:space="preserve"> not systematically addressed for all COPD medicines in their PBS restrictions.</w:t>
      </w:r>
    </w:p>
    <w:p w:rsidR="00DC64AE" w:rsidRPr="008B63D9" w:rsidRDefault="00DC64AE" w:rsidP="00283E41">
      <w:pPr>
        <w:pStyle w:val="Heading4"/>
      </w:pPr>
      <w:r>
        <w:lastRenderedPageBreak/>
        <w:t>Stakeholder views</w:t>
      </w:r>
    </w:p>
    <w:p w:rsidR="00B85241" w:rsidRDefault="00B85241" w:rsidP="00283E41">
      <w:pPr>
        <w:pStyle w:val="Bullettext"/>
        <w:keepNext/>
        <w:keepLines/>
        <w:ind w:left="426" w:hanging="426"/>
      </w:pPr>
      <w:r>
        <w:t>Consumer awareness about medications and treatment guidelines is limited.</w:t>
      </w:r>
      <w:r w:rsidRPr="0003359D">
        <w:t xml:space="preserve"> </w:t>
      </w:r>
    </w:p>
    <w:p w:rsidR="00B85241" w:rsidRDefault="00B85241" w:rsidP="00283E41">
      <w:pPr>
        <w:pStyle w:val="Bullettext"/>
        <w:keepNext/>
        <w:keepLines/>
        <w:ind w:left="426" w:hanging="426"/>
      </w:pPr>
      <w:r>
        <w:t xml:space="preserve">Consumers assume that PBS listings for COPD medicines are consistent with guidelines, and expect GPs and specialists to prescribe in accordance with guidelines. </w:t>
      </w:r>
    </w:p>
    <w:p w:rsidR="00B85241" w:rsidRDefault="00B85241" w:rsidP="00B85241">
      <w:pPr>
        <w:pStyle w:val="Bullettext"/>
        <w:ind w:left="426" w:hanging="426"/>
      </w:pPr>
      <w:r>
        <w:t xml:space="preserve">Consumers call for more support on inhaler techniques. </w:t>
      </w:r>
    </w:p>
    <w:p w:rsidR="00356F2D" w:rsidRDefault="00A8642B" w:rsidP="00B85241">
      <w:pPr>
        <w:pStyle w:val="Bullettext"/>
        <w:ind w:left="426" w:hanging="426"/>
      </w:pPr>
      <w:r>
        <w:t>T</w:t>
      </w:r>
      <w:r w:rsidR="00356F2D" w:rsidRPr="00356F2D">
        <w:t>h</w:t>
      </w:r>
      <w:r w:rsidR="00356F2D">
        <w:t>e</w:t>
      </w:r>
      <w:r w:rsidR="00356F2D" w:rsidRPr="00356F2D">
        <w:t xml:space="preserve"> PBS </w:t>
      </w:r>
      <w:r>
        <w:t>requirement to stabilise</w:t>
      </w:r>
      <w:r w:rsidR="00356F2D">
        <w:t xml:space="preserve"> patients on a LAMA and LABA separately</w:t>
      </w:r>
      <w:r>
        <w:t>, prior to LAMA/LABA initiation, causes increased costs and confusion for patients</w:t>
      </w:r>
      <w:r w:rsidR="000F026D">
        <w:t>.</w:t>
      </w:r>
      <w:r w:rsidR="00B9620F">
        <w:t xml:space="preserve"> </w:t>
      </w:r>
    </w:p>
    <w:p w:rsidR="00DD25CC" w:rsidRPr="003703EF" w:rsidRDefault="0035554F" w:rsidP="00B85241">
      <w:pPr>
        <w:pStyle w:val="Bullettext"/>
        <w:ind w:left="426" w:hanging="426"/>
      </w:pPr>
      <w:r w:rsidRPr="003703EF">
        <w:rPr>
          <w:lang w:eastAsia="en-AU"/>
        </w:rPr>
        <w:t>Inconsistencies between the P</w:t>
      </w:r>
      <w:r w:rsidR="00BF32A1">
        <w:rPr>
          <w:lang w:eastAsia="en-AU"/>
        </w:rPr>
        <w:t>BS restrictions and the COPD-X g</w:t>
      </w:r>
      <w:r w:rsidR="00B85241">
        <w:rPr>
          <w:lang w:eastAsia="en-AU"/>
        </w:rPr>
        <w:t>uidelines result</w:t>
      </w:r>
      <w:r w:rsidRPr="003703EF">
        <w:rPr>
          <w:lang w:eastAsia="en-AU"/>
        </w:rPr>
        <w:t xml:space="preserve"> in </w:t>
      </w:r>
      <w:r w:rsidRPr="00E55643">
        <w:t>prescribers</w:t>
      </w:r>
      <w:r w:rsidRPr="003703EF">
        <w:rPr>
          <w:lang w:eastAsia="en-AU"/>
        </w:rPr>
        <w:t xml:space="preserve"> be</w:t>
      </w:r>
      <w:r w:rsidR="00BF32A1">
        <w:rPr>
          <w:lang w:eastAsia="en-AU"/>
        </w:rPr>
        <w:t>ing directed away from evidence-</w:t>
      </w:r>
      <w:r w:rsidRPr="003703EF">
        <w:rPr>
          <w:lang w:eastAsia="en-AU"/>
        </w:rPr>
        <w:t>based guidelines</w:t>
      </w:r>
      <w:r>
        <w:rPr>
          <w:lang w:eastAsia="en-AU"/>
        </w:rPr>
        <w:t xml:space="preserve">. </w:t>
      </w:r>
    </w:p>
    <w:p w:rsidR="00201F71" w:rsidRDefault="00201F71" w:rsidP="00B85241">
      <w:pPr>
        <w:pStyle w:val="Bullettext"/>
        <w:ind w:left="426" w:hanging="426"/>
      </w:pPr>
      <w:r w:rsidRPr="00201F71">
        <w:t>A national standardised list of education materials for health professionals is required to improve ove</w:t>
      </w:r>
      <w:r w:rsidR="00BF32A1">
        <w:t xml:space="preserve">rall adherence to COPD evidence-based guidelines and </w:t>
      </w:r>
      <w:r w:rsidRPr="00201F71">
        <w:t>PBS restrictions.</w:t>
      </w:r>
    </w:p>
    <w:p w:rsidR="00201F71" w:rsidRDefault="0035554F" w:rsidP="00B85241">
      <w:pPr>
        <w:pStyle w:val="Bullettext"/>
        <w:ind w:left="426" w:hanging="426"/>
      </w:pPr>
      <w:r>
        <w:t xml:space="preserve">A number of </w:t>
      </w:r>
      <w:r w:rsidR="002360F5">
        <w:t xml:space="preserve">QUM </w:t>
      </w:r>
      <w:r>
        <w:t>issues were highlighted:</w:t>
      </w:r>
      <w:r w:rsidR="00201F71">
        <w:t xml:space="preserve"> </w:t>
      </w:r>
    </w:p>
    <w:p w:rsidR="00A8642B" w:rsidRDefault="0035554F" w:rsidP="00CD1D07">
      <w:pPr>
        <w:pStyle w:val="ListParagraph"/>
        <w:numPr>
          <w:ilvl w:val="3"/>
          <w:numId w:val="13"/>
        </w:numPr>
        <w:spacing w:before="0"/>
        <w:ind w:left="709" w:hanging="283"/>
      </w:pPr>
      <w:r>
        <w:t>The use of spirometry to confirm COPD diagnosis is low</w:t>
      </w:r>
      <w:r w:rsidR="00BF32A1">
        <w:t>. I</w:t>
      </w:r>
      <w:r w:rsidR="00CD09B4">
        <w:t>ncreased education</w:t>
      </w:r>
      <w:r w:rsidR="00502D28">
        <w:t>al</w:t>
      </w:r>
      <w:r w:rsidR="00CD09B4">
        <w:t xml:space="preserve"> efforts and changes to </w:t>
      </w:r>
      <w:r w:rsidR="00A8642B">
        <w:t>the Medical Benefits Scheme (</w:t>
      </w:r>
      <w:r w:rsidR="00CD09B4">
        <w:t>MBS</w:t>
      </w:r>
      <w:r w:rsidR="00A8642B">
        <w:t>)</w:t>
      </w:r>
      <w:r w:rsidR="00CD09B4">
        <w:t xml:space="preserve"> are </w:t>
      </w:r>
      <w:r w:rsidR="00502D28">
        <w:t>required</w:t>
      </w:r>
      <w:r>
        <w:t>.</w:t>
      </w:r>
      <w:r w:rsidR="00201F71">
        <w:t xml:space="preserve"> </w:t>
      </w:r>
    </w:p>
    <w:p w:rsidR="00A8642B" w:rsidRDefault="00A8642B" w:rsidP="00CD1D07">
      <w:pPr>
        <w:pStyle w:val="ListParagraph"/>
        <w:numPr>
          <w:ilvl w:val="3"/>
          <w:numId w:val="13"/>
        </w:numPr>
        <w:spacing w:before="0"/>
        <w:ind w:left="709" w:hanging="283"/>
      </w:pPr>
      <w:r>
        <w:t>The increase in new COPD medicines, and various trade names, may be contributing to prescriber confusion and the prescribing of unsafe combinations.</w:t>
      </w:r>
    </w:p>
    <w:p w:rsidR="00F24EEF" w:rsidRDefault="00201F71" w:rsidP="00CD1D07">
      <w:pPr>
        <w:pStyle w:val="ListParagraph"/>
        <w:numPr>
          <w:ilvl w:val="3"/>
          <w:numId w:val="13"/>
        </w:numPr>
        <w:ind w:left="709" w:hanging="283"/>
      </w:pPr>
      <w:r w:rsidRPr="00201F71">
        <w:t>Many health professionals are not confident or competent to confirm correct inhaler technique and may be confused about appropriate treatment for</w:t>
      </w:r>
      <w:r w:rsidR="00B85241">
        <w:t xml:space="preserve"> ACOS</w:t>
      </w:r>
      <w:r w:rsidRPr="00201F71">
        <w:t>.</w:t>
      </w:r>
    </w:p>
    <w:p w:rsidR="00F24EEF" w:rsidRPr="00201F71" w:rsidRDefault="00F24EEF" w:rsidP="00CD1D07">
      <w:pPr>
        <w:pStyle w:val="ListParagraph"/>
        <w:numPr>
          <w:ilvl w:val="3"/>
          <w:numId w:val="13"/>
        </w:numPr>
        <w:ind w:left="709" w:hanging="283"/>
      </w:pPr>
      <w:r>
        <w:t xml:space="preserve">Need to include a PBS note for </w:t>
      </w:r>
      <w:r w:rsidRPr="003703EF">
        <w:t>LABA/LAMA</w:t>
      </w:r>
      <w:r>
        <w:t xml:space="preserve"> combinations: </w:t>
      </w:r>
      <w:r w:rsidRPr="003703EF">
        <w:t xml:space="preserve">“Do not use in patients with a history of asthma without accompanying ICS”.  </w:t>
      </w:r>
    </w:p>
    <w:p w:rsidR="00F24EEF" w:rsidRPr="00F24EEF" w:rsidRDefault="00E6573B" w:rsidP="00CD1D07">
      <w:pPr>
        <w:pStyle w:val="ListParagraph"/>
        <w:numPr>
          <w:ilvl w:val="2"/>
          <w:numId w:val="13"/>
        </w:numPr>
        <w:spacing w:before="0" w:line="240" w:lineRule="auto"/>
        <w:jc w:val="left"/>
        <w:rPr>
          <w:rFonts w:eastAsia="Times New Roman"/>
          <w:b/>
          <w:i/>
          <w:sz w:val="30"/>
        </w:rPr>
      </w:pPr>
      <w:r>
        <w:t xml:space="preserve">The updated GOLD Strategy Report (2017) </w:t>
      </w:r>
      <w:r w:rsidR="00BF32A1">
        <w:t xml:space="preserve">is an important </w:t>
      </w:r>
      <w:r>
        <w:t>additional</w:t>
      </w:r>
      <w:r w:rsidR="00BF32A1">
        <w:t xml:space="preserve"> reference</w:t>
      </w:r>
      <w:r>
        <w:t xml:space="preserve">. </w:t>
      </w:r>
    </w:p>
    <w:p w:rsidR="003A28EE" w:rsidRDefault="00DF3115" w:rsidP="00BD647E">
      <w:pPr>
        <w:pStyle w:val="Heading3"/>
        <w:numPr>
          <w:ilvl w:val="0"/>
          <w:numId w:val="0"/>
        </w:numPr>
      </w:pPr>
      <w:bookmarkStart w:id="15" w:name="_Toc486853475"/>
      <w:proofErr w:type="spellStart"/>
      <w:r w:rsidRPr="00174481">
        <w:t>ToR</w:t>
      </w:r>
      <w:proofErr w:type="spellEnd"/>
      <w:r w:rsidRPr="00174481">
        <w:t xml:space="preserve"> 2: </w:t>
      </w:r>
      <w:r w:rsidR="000558C0">
        <w:t>R</w:t>
      </w:r>
      <w:r w:rsidR="00064C83" w:rsidRPr="00174481">
        <w:t xml:space="preserve">eview </w:t>
      </w:r>
      <w:r w:rsidR="00071DBA">
        <w:t>of</w:t>
      </w:r>
      <w:r w:rsidR="000558C0">
        <w:t xml:space="preserve"> clinical outcomes</w:t>
      </w:r>
      <w:bookmarkEnd w:id="15"/>
    </w:p>
    <w:p w:rsidR="00254CB5" w:rsidRPr="00F41601" w:rsidRDefault="00254CB5" w:rsidP="00E55643">
      <w:pPr>
        <w:pStyle w:val="Bullettext"/>
      </w:pPr>
      <w:r w:rsidRPr="000E79FE">
        <w:t xml:space="preserve">The main </w:t>
      </w:r>
      <w:r w:rsidRPr="00F41601">
        <w:t xml:space="preserve">outcomes published in the </w:t>
      </w:r>
      <w:r w:rsidR="00F22BEC">
        <w:t>PBAC P</w:t>
      </w:r>
      <w:r w:rsidR="00E330B5">
        <w:t>ublic Summary Documents (</w:t>
      </w:r>
      <w:r w:rsidRPr="00F41601">
        <w:t>PSDs</w:t>
      </w:r>
      <w:r w:rsidR="00E330B5">
        <w:t>)</w:t>
      </w:r>
      <w:r w:rsidRPr="00F41601">
        <w:t xml:space="preserve"> for COPD submissions since 2002 are FEV</w:t>
      </w:r>
      <w:r w:rsidRPr="00E330B5">
        <w:rPr>
          <w:vertAlign w:val="subscript"/>
        </w:rPr>
        <w:t>1</w:t>
      </w:r>
      <w:r w:rsidRPr="00F41601">
        <w:t xml:space="preserve">, </w:t>
      </w:r>
      <w:r w:rsidR="00E330B5">
        <w:t>St George’s Respiratory Questionnaire (</w:t>
      </w:r>
      <w:r w:rsidRPr="00F41601">
        <w:t>SGRQ</w:t>
      </w:r>
      <w:r w:rsidR="00E330B5">
        <w:t>)</w:t>
      </w:r>
      <w:r w:rsidRPr="00F41601">
        <w:t>, exacerbations, rescue medication</w:t>
      </w:r>
      <w:r w:rsidR="00E330B5">
        <w:t>,</w:t>
      </w:r>
      <w:r w:rsidRPr="00F41601">
        <w:t xml:space="preserve"> and </w:t>
      </w:r>
      <w:r w:rsidR="00E330B5">
        <w:t>adverse events (</w:t>
      </w:r>
      <w:r w:rsidRPr="00F41601">
        <w:t>AEs</w:t>
      </w:r>
      <w:r w:rsidR="00E330B5">
        <w:t>)</w:t>
      </w:r>
      <w:r w:rsidRPr="00F41601">
        <w:t>.</w:t>
      </w:r>
    </w:p>
    <w:p w:rsidR="00254CB5" w:rsidRPr="00F41601" w:rsidRDefault="00254CB5" w:rsidP="00E55643">
      <w:pPr>
        <w:pStyle w:val="Bullettext"/>
      </w:pPr>
      <w:r w:rsidRPr="00F41601">
        <w:t xml:space="preserve">The 2014 PSDs for </w:t>
      </w:r>
      <w:proofErr w:type="spellStart"/>
      <w:r w:rsidRPr="00F41601">
        <w:t>glycopyrronium</w:t>
      </w:r>
      <w:proofErr w:type="spellEnd"/>
      <w:r w:rsidRPr="00F41601">
        <w:t>/</w:t>
      </w:r>
      <w:proofErr w:type="spellStart"/>
      <w:r w:rsidRPr="00F41601">
        <w:t>indacaterol</w:t>
      </w:r>
      <w:proofErr w:type="spellEnd"/>
      <w:r w:rsidRPr="00F41601">
        <w:t xml:space="preserve"> and </w:t>
      </w:r>
      <w:proofErr w:type="spellStart"/>
      <w:r w:rsidRPr="00F41601">
        <w:t>umeclidinium</w:t>
      </w:r>
      <w:proofErr w:type="spellEnd"/>
      <w:r w:rsidRPr="00F41601">
        <w:t>/</w:t>
      </w:r>
      <w:proofErr w:type="spellStart"/>
      <w:r w:rsidRPr="00F41601">
        <w:t>vilanterol</w:t>
      </w:r>
      <w:proofErr w:type="spellEnd"/>
      <w:r w:rsidRPr="00F41601">
        <w:t xml:space="preserve"> (both LAMA/LABA combinations) reflect concern over the translation of FEV</w:t>
      </w:r>
      <w:r w:rsidRPr="00F22BEC">
        <w:rPr>
          <w:vertAlign w:val="subscript"/>
        </w:rPr>
        <w:t>1</w:t>
      </w:r>
      <w:r w:rsidRPr="00F41601">
        <w:t xml:space="preserve"> into more clinically relevant measures of effect that were not reported in the submissions. </w:t>
      </w:r>
    </w:p>
    <w:p w:rsidR="00254CB5" w:rsidRPr="00F41601" w:rsidRDefault="00254CB5" w:rsidP="00E55643">
      <w:pPr>
        <w:pStyle w:val="Bullettext"/>
      </w:pPr>
      <w:r w:rsidRPr="00F41601">
        <w:t xml:space="preserve">The literature search for published articles </w:t>
      </w:r>
      <w:r w:rsidR="002A52A1">
        <w:t xml:space="preserve">on </w:t>
      </w:r>
      <w:r w:rsidRPr="00F41601">
        <w:t>outcomes for COPD identified three industry-funded publications that support FEV</w:t>
      </w:r>
      <w:r w:rsidRPr="00F22BEC">
        <w:rPr>
          <w:vertAlign w:val="subscript"/>
        </w:rPr>
        <w:t>1</w:t>
      </w:r>
      <w:r w:rsidRPr="00F41601">
        <w:t xml:space="preserve"> as a surrogate outcome that is weakly correlated with SGRQ and exacerbations. In contrast, two</w:t>
      </w:r>
      <w:r w:rsidR="006E24EB" w:rsidRPr="00F41601">
        <w:t xml:space="preserve"> other</w:t>
      </w:r>
      <w:r w:rsidRPr="00F41601">
        <w:t xml:space="preserve"> industry-funded reviews found a poor correlation between FEV</w:t>
      </w:r>
      <w:r w:rsidRPr="00F22BEC">
        <w:rPr>
          <w:vertAlign w:val="subscript"/>
        </w:rPr>
        <w:t>1</w:t>
      </w:r>
      <w:r w:rsidRPr="00E55643">
        <w:t xml:space="preserve"> </w:t>
      </w:r>
      <w:r w:rsidRPr="00F41601">
        <w:t xml:space="preserve">and </w:t>
      </w:r>
      <w:r w:rsidR="00F22BEC">
        <w:t>patient reported outcomes (</w:t>
      </w:r>
      <w:r w:rsidRPr="00F41601">
        <w:t>PROs</w:t>
      </w:r>
      <w:r w:rsidR="00F22BEC">
        <w:t>)</w:t>
      </w:r>
      <w:r w:rsidRPr="00F41601">
        <w:t>.</w:t>
      </w:r>
    </w:p>
    <w:p w:rsidR="00254CB5" w:rsidRPr="000E79FE" w:rsidRDefault="00254CB5" w:rsidP="00E55643">
      <w:pPr>
        <w:pStyle w:val="Bullettext"/>
      </w:pPr>
      <w:r w:rsidRPr="00F41601">
        <w:t>The GOLD Strat</w:t>
      </w:r>
      <w:r>
        <w:t>egy</w:t>
      </w:r>
      <w:r w:rsidRPr="000E79FE">
        <w:t xml:space="preserve"> </w:t>
      </w:r>
      <w:r>
        <w:t>Report</w:t>
      </w:r>
      <w:r w:rsidR="00F22BEC">
        <w:t xml:space="preserve"> (2016)</w:t>
      </w:r>
      <w:r>
        <w:t xml:space="preserve"> </w:t>
      </w:r>
      <w:r w:rsidRPr="000E79FE">
        <w:t>provide</w:t>
      </w:r>
      <w:r>
        <w:t>s</w:t>
      </w:r>
      <w:r w:rsidRPr="000E79FE">
        <w:t xml:space="preserve"> evidence of a weak correlation between FEV</w:t>
      </w:r>
      <w:r w:rsidRPr="000E79FE">
        <w:rPr>
          <w:vertAlign w:val="subscript"/>
        </w:rPr>
        <w:t>1</w:t>
      </w:r>
      <w:r w:rsidR="00F22BEC">
        <w:t xml:space="preserve"> and SGRQ. </w:t>
      </w:r>
      <w:r w:rsidRPr="000E79FE">
        <w:t xml:space="preserve">The </w:t>
      </w:r>
      <w:r>
        <w:t>document</w:t>
      </w:r>
      <w:r w:rsidRPr="000E79FE">
        <w:t xml:space="preserve"> also present</w:t>
      </w:r>
      <w:r>
        <w:t>s</w:t>
      </w:r>
      <w:r w:rsidRPr="000E79FE">
        <w:t xml:space="preserve"> evidence that there is an increase in risk of exacerbations, hospitalisation and death with w</w:t>
      </w:r>
      <w:r w:rsidR="00F22BEC">
        <w:t xml:space="preserve">orsening of airflow limitation. </w:t>
      </w:r>
      <w:r w:rsidRPr="000E79FE">
        <w:t xml:space="preserve">The </w:t>
      </w:r>
      <w:r>
        <w:t>document</w:t>
      </w:r>
      <w:r w:rsidRPr="000E79FE">
        <w:t xml:space="preserve"> recommend</w:t>
      </w:r>
      <w:r>
        <w:t>s</w:t>
      </w:r>
      <w:r w:rsidRPr="000E79FE">
        <w:t xml:space="preserve"> an approach of combining symptomatic assessment with the patient’s </w:t>
      </w:r>
      <w:proofErr w:type="spellStart"/>
      <w:r w:rsidRPr="000E79FE">
        <w:t>spirometric</w:t>
      </w:r>
      <w:proofErr w:type="spellEnd"/>
      <w:r w:rsidRPr="000E79FE">
        <w:t xml:space="preserve"> classification and/or risk of exacerbations, which is consistent with the PBAC decision</w:t>
      </w:r>
      <w:r w:rsidR="002A52A1">
        <w:t xml:space="preserve"> </w:t>
      </w:r>
      <w:r w:rsidRPr="000E79FE">
        <w:t>making based on FEV</w:t>
      </w:r>
      <w:r w:rsidRPr="000E79FE">
        <w:rPr>
          <w:vertAlign w:val="subscript"/>
        </w:rPr>
        <w:t>1</w:t>
      </w:r>
      <w:r w:rsidRPr="000E79FE">
        <w:t>, SGRQ and exacerbations.</w:t>
      </w:r>
    </w:p>
    <w:p w:rsidR="00254CB5" w:rsidRDefault="00254CB5" w:rsidP="00071DBA">
      <w:pPr>
        <w:pStyle w:val="Heading4"/>
      </w:pPr>
      <w:r>
        <w:lastRenderedPageBreak/>
        <w:t>Stakeholder views</w:t>
      </w:r>
    </w:p>
    <w:p w:rsidR="002A52A1" w:rsidRPr="00F41601" w:rsidRDefault="002A52A1" w:rsidP="002A52A1">
      <w:pPr>
        <w:pStyle w:val="Bullettext"/>
      </w:pPr>
      <w:r>
        <w:t xml:space="preserve">The key outcome for </w:t>
      </w:r>
      <w:r w:rsidRPr="00F41601">
        <w:t xml:space="preserve">consumers is to be able to ‘breathe’ and live as normal a life as possible. </w:t>
      </w:r>
    </w:p>
    <w:p w:rsidR="002A52A1" w:rsidRPr="00F41601" w:rsidRDefault="002A52A1" w:rsidP="002A52A1">
      <w:pPr>
        <w:pStyle w:val="Bullettext"/>
      </w:pPr>
      <w:r w:rsidRPr="00F41601">
        <w:t>Some consumers have experienced side effects</w:t>
      </w:r>
      <w:r w:rsidR="002E3C48">
        <w:t xml:space="preserve"> from medications</w:t>
      </w:r>
      <w:r w:rsidRPr="00F41601">
        <w:t xml:space="preserve">. There is acceptance that side effects are part of the course, and that the benefits of medications outweigh the potential side effects. </w:t>
      </w:r>
    </w:p>
    <w:p w:rsidR="002A52A1" w:rsidRDefault="002A52A1" w:rsidP="002A52A1">
      <w:pPr>
        <w:pStyle w:val="Bullettext"/>
      </w:pPr>
      <w:r w:rsidRPr="00F41601">
        <w:t>For many</w:t>
      </w:r>
      <w:r>
        <w:t xml:space="preserve"> consumers</w:t>
      </w:r>
      <w:r w:rsidRPr="00F41601">
        <w:t>, diagnosis was confirmed by spirometry by a specialist in hospital, often following a severe i</w:t>
      </w:r>
      <w:r>
        <w:t>llness.</w:t>
      </w:r>
    </w:p>
    <w:p w:rsidR="00254CB5" w:rsidRPr="00043A40" w:rsidRDefault="00254CB5" w:rsidP="00E55643">
      <w:pPr>
        <w:pStyle w:val="Bullettext"/>
        <w:ind w:left="357" w:hanging="357"/>
      </w:pPr>
      <w:r w:rsidRPr="00043A40">
        <w:t xml:space="preserve">The US Food and Drug Administration (FDA) </w:t>
      </w:r>
      <w:proofErr w:type="gramStart"/>
      <w:r w:rsidRPr="00043A40">
        <w:t>requires</w:t>
      </w:r>
      <w:proofErr w:type="gramEnd"/>
      <w:r w:rsidRPr="00043A40">
        <w:t xml:space="preserve"> a clinical outcome of FEV</w:t>
      </w:r>
      <w:r w:rsidRPr="00B3134B">
        <w:rPr>
          <w:vertAlign w:val="subscript"/>
        </w:rPr>
        <w:t>1</w:t>
      </w:r>
      <w:r w:rsidRPr="00043A40">
        <w:t>.</w:t>
      </w:r>
      <w:r w:rsidR="00F41601">
        <w:t xml:space="preserve"> </w:t>
      </w:r>
      <w:r>
        <w:t>Recent</w:t>
      </w:r>
      <w:r w:rsidRPr="00043A40">
        <w:t xml:space="preserve"> </w:t>
      </w:r>
      <w:r w:rsidR="00F22BEC">
        <w:t>randomised controlled trials (</w:t>
      </w:r>
      <w:r w:rsidRPr="00043A40">
        <w:t>RCTs</w:t>
      </w:r>
      <w:r w:rsidR="00F22BEC">
        <w:t>)</w:t>
      </w:r>
      <w:r w:rsidRPr="00043A40">
        <w:t xml:space="preserve"> also assess other measures of efficacy</w:t>
      </w:r>
      <w:r>
        <w:t>, often</w:t>
      </w:r>
      <w:r w:rsidRPr="00043A40">
        <w:t xml:space="preserve"> via secondary endpoints</w:t>
      </w:r>
      <w:r>
        <w:t>,</w:t>
      </w:r>
      <w:r w:rsidRPr="00043A40">
        <w:t xml:space="preserve"> and this data is submitted to the </w:t>
      </w:r>
      <w:r w:rsidR="00F22BEC">
        <w:t>Therapeutic Goods Administration (</w:t>
      </w:r>
      <w:r w:rsidRPr="00043A40">
        <w:t>TGA</w:t>
      </w:r>
      <w:r w:rsidR="00F22BEC">
        <w:t>)</w:t>
      </w:r>
      <w:r w:rsidRPr="00043A40">
        <w:t xml:space="preserve"> </w:t>
      </w:r>
      <w:r>
        <w:t>and</w:t>
      </w:r>
      <w:r w:rsidRPr="00043A40">
        <w:t xml:space="preserve"> PBAC for consideration. </w:t>
      </w:r>
    </w:p>
    <w:p w:rsidR="0009607F" w:rsidRDefault="0009607F" w:rsidP="0009607F">
      <w:pPr>
        <w:pStyle w:val="Bullettext"/>
      </w:pPr>
      <w:r>
        <w:t>A recently published meta-regression analysis (approximately 120,000 patients) found that for every 100 mL change in pre-dose FEV</w:t>
      </w:r>
      <w:r w:rsidRPr="00C95152">
        <w:rPr>
          <w:vertAlign w:val="subscript"/>
        </w:rPr>
        <w:t>1</w:t>
      </w:r>
      <w:r>
        <w:t>, the HR decreased by 21% and the absolute exacerbation rate decreased by 0.06 per patient per year (</w:t>
      </w:r>
      <w:proofErr w:type="spellStart"/>
      <w:r>
        <w:t>Zyder</w:t>
      </w:r>
      <w:proofErr w:type="spellEnd"/>
      <w:r>
        <w:t xml:space="preserve"> et al</w:t>
      </w:r>
      <w:r w:rsidR="002A52A1">
        <w:t>,</w:t>
      </w:r>
      <w:r>
        <w:t xml:space="preserve"> 2017).</w:t>
      </w:r>
    </w:p>
    <w:p w:rsidR="00254CB5" w:rsidRPr="00043A40" w:rsidRDefault="00254CB5" w:rsidP="00E55643">
      <w:pPr>
        <w:pStyle w:val="Bullettext"/>
      </w:pPr>
      <w:r w:rsidRPr="00043A40">
        <w:t xml:space="preserve">The GOLD Strategy Report (2017) ABCD (COPD patient assessment tool) </w:t>
      </w:r>
      <w:r>
        <w:t xml:space="preserve">uses </w:t>
      </w:r>
      <w:r w:rsidRPr="00043A40">
        <w:t xml:space="preserve">respiratory symptoms and exacerbations alone to assign ABCD patient categories.  </w:t>
      </w:r>
    </w:p>
    <w:p w:rsidR="00254CB5" w:rsidRDefault="00254CB5" w:rsidP="00E55643">
      <w:pPr>
        <w:pStyle w:val="Bullettext"/>
      </w:pPr>
      <w:r w:rsidRPr="00043A40">
        <w:t xml:space="preserve">COPD Assessment Test (CAT) is a questionnaire for people with COPD and </w:t>
      </w:r>
      <w:r w:rsidR="002E3C48">
        <w:t xml:space="preserve">is </w:t>
      </w:r>
      <w:r w:rsidRPr="00043A40">
        <w:t>more reflective of</w:t>
      </w:r>
      <w:r>
        <w:t xml:space="preserve"> </w:t>
      </w:r>
      <w:proofErr w:type="spellStart"/>
      <w:r>
        <w:t>PROs</w:t>
      </w:r>
      <w:r w:rsidRPr="00043A40">
        <w:t>.</w:t>
      </w:r>
      <w:proofErr w:type="spellEnd"/>
      <w:r w:rsidRPr="00043A40">
        <w:t xml:space="preserve"> The questionnaire is designed to measure the impact of COPD on a person's life, and how this changes over time.</w:t>
      </w:r>
    </w:p>
    <w:p w:rsidR="0009607F" w:rsidRDefault="0009607F" w:rsidP="0009607F">
      <w:pPr>
        <w:pStyle w:val="Bullettext"/>
      </w:pPr>
      <w:r>
        <w:t xml:space="preserve">Longer term follow up in comparative COPD clinical trials is required to accurately assess the prevention of exacerbations, reduction in symptoms, </w:t>
      </w:r>
      <w:proofErr w:type="spellStart"/>
      <w:r>
        <w:t>HQoL</w:t>
      </w:r>
      <w:proofErr w:type="spellEnd"/>
      <w:r>
        <w:t xml:space="preserve"> and  safety outcomes.</w:t>
      </w:r>
    </w:p>
    <w:p w:rsidR="00554965" w:rsidRDefault="00DF3115" w:rsidP="00BD647E">
      <w:pPr>
        <w:pStyle w:val="Heading3"/>
        <w:numPr>
          <w:ilvl w:val="0"/>
          <w:numId w:val="0"/>
        </w:numPr>
      </w:pPr>
      <w:bookmarkStart w:id="16" w:name="_Toc486853476"/>
      <w:proofErr w:type="spellStart"/>
      <w:r w:rsidRPr="003A28EE">
        <w:t>ToR</w:t>
      </w:r>
      <w:proofErr w:type="spellEnd"/>
      <w:r w:rsidRPr="003A28EE">
        <w:t xml:space="preserve"> 3: </w:t>
      </w:r>
      <w:r w:rsidR="000558C0">
        <w:t>R</w:t>
      </w:r>
      <w:r w:rsidR="00064C83" w:rsidRPr="003A28EE">
        <w:t xml:space="preserve">eview </w:t>
      </w:r>
      <w:r w:rsidR="00071DBA">
        <w:t>of</w:t>
      </w:r>
      <w:r w:rsidR="00064C83" w:rsidRPr="003A28EE">
        <w:t xml:space="preserve"> </w:t>
      </w:r>
      <w:r w:rsidR="000558C0">
        <w:t>efficacy and safety</w:t>
      </w:r>
      <w:bookmarkEnd w:id="16"/>
    </w:p>
    <w:p w:rsidR="00AA39D1" w:rsidRDefault="00AA39D1" w:rsidP="00AA39D1">
      <w:pPr>
        <w:pStyle w:val="BodyText"/>
      </w:pPr>
      <w:r>
        <w:t>The key findings from t</w:t>
      </w:r>
      <w:r w:rsidR="004A29A8">
        <w:t>he systematic literature review</w:t>
      </w:r>
      <w:r>
        <w:t xml:space="preserve"> identified new head-to-head trials as well as a summary of the trials that und</w:t>
      </w:r>
      <w:r w:rsidR="002A52A1">
        <w:t xml:space="preserve">erpinned previous PBAC decision </w:t>
      </w:r>
      <w:r>
        <w:t xml:space="preserve">making. Importantly, all of the RCTs excluded patients with a history of asthma; thus, the evidence base presented here has limited applicability to patients with </w:t>
      </w:r>
      <w:r w:rsidR="002A52A1">
        <w:t>ACOS</w:t>
      </w:r>
      <w:r>
        <w:t>.</w:t>
      </w:r>
    </w:p>
    <w:p w:rsidR="00AA39D1" w:rsidRDefault="00AA39D1" w:rsidP="000558C0">
      <w:pPr>
        <w:pStyle w:val="Heading4"/>
      </w:pPr>
      <w:r>
        <w:t>Monotherapy versus monotherapy in patients with COPD</w:t>
      </w:r>
    </w:p>
    <w:p w:rsidR="00AA39D1" w:rsidRDefault="004A29A8" w:rsidP="00AA39D1">
      <w:pPr>
        <w:pStyle w:val="BodyText"/>
      </w:pPr>
      <w:r>
        <w:t xml:space="preserve">Table ES </w:t>
      </w:r>
      <w:r w:rsidR="00AA39D1">
        <w:t xml:space="preserve">3 shows </w:t>
      </w:r>
      <w:r w:rsidR="002A52A1">
        <w:t>there appear</w:t>
      </w:r>
      <w:r w:rsidR="00AA39D1" w:rsidRPr="00464AD2">
        <w:t xml:space="preserve"> to be no significant differences in efficacy betwe</w:t>
      </w:r>
      <w:r w:rsidR="00AA39D1">
        <w:t xml:space="preserve">en the PBS-listed LAMA </w:t>
      </w:r>
      <w:proofErr w:type="gramStart"/>
      <w:r w:rsidR="00AA39D1">
        <w:t>monotherapies</w:t>
      </w:r>
      <w:proofErr w:type="gramEnd"/>
      <w:r w:rsidR="00AA39D1">
        <w:t xml:space="preserve">, which </w:t>
      </w:r>
      <w:r w:rsidR="00AA39D1" w:rsidRPr="00464AD2">
        <w:t xml:space="preserve">is consistent with </w:t>
      </w:r>
      <w:r w:rsidR="00AA39D1">
        <w:t xml:space="preserve">previous </w:t>
      </w:r>
      <w:r w:rsidR="00AA39D1" w:rsidRPr="00464AD2">
        <w:t>PBAC recommendations.</w:t>
      </w:r>
      <w:r w:rsidR="00AA39D1">
        <w:t xml:space="preserve"> Furthermore, there were no noteworthy safety findings and all LAMA </w:t>
      </w:r>
      <w:proofErr w:type="gramStart"/>
      <w:r w:rsidR="00AA39D1">
        <w:t>monotherapies</w:t>
      </w:r>
      <w:proofErr w:type="gramEnd"/>
      <w:r w:rsidR="00AA39D1">
        <w:t xml:space="preserve"> were well tolerated.</w:t>
      </w:r>
    </w:p>
    <w:p w:rsidR="00AA39D1" w:rsidRDefault="004A29A8" w:rsidP="00283E41">
      <w:pPr>
        <w:pStyle w:val="ExSTableHeader"/>
        <w:keepNext/>
        <w:keepLines/>
      </w:pPr>
      <w:bookmarkStart w:id="17" w:name="_Toc486853624"/>
      <w:r>
        <w:lastRenderedPageBreak/>
        <w:t xml:space="preserve">Table ES </w:t>
      </w:r>
      <w:r w:rsidR="0097080E">
        <w:t>3</w:t>
      </w:r>
      <w:r w:rsidR="0097080E">
        <w:tab/>
      </w:r>
      <w:r w:rsidR="00AA39D1">
        <w:t>Summary of evidence for monotherapy versus monotherapy in patients with COPD</w:t>
      </w:r>
      <w:bookmarkEnd w:id="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Key findings"/>
        <w:tblDescription w:val="Summary of evidence for monotherapy versus monotherapy"/>
      </w:tblPr>
      <w:tblGrid>
        <w:gridCol w:w="1256"/>
        <w:gridCol w:w="1804"/>
        <w:gridCol w:w="1096"/>
        <w:gridCol w:w="5492"/>
      </w:tblGrid>
      <w:tr w:rsidR="00AA39D1" w:rsidRPr="00F01736" w:rsidTr="00574FFB">
        <w:trPr>
          <w:cantSplit/>
          <w:tblHeader/>
        </w:trPr>
        <w:tc>
          <w:tcPr>
            <w:tcW w:w="651" w:type="pct"/>
            <w:shd w:val="clear" w:color="auto" w:fill="BFBFBF"/>
          </w:tcPr>
          <w:p w:rsidR="00AA39D1" w:rsidRPr="00F01736" w:rsidRDefault="00AA39D1" w:rsidP="00283E41">
            <w:pPr>
              <w:pStyle w:val="01TableHEADINGleftaligned"/>
              <w:keepLines/>
            </w:pPr>
            <w:r>
              <w:t>PBAC consideration</w:t>
            </w:r>
          </w:p>
        </w:tc>
        <w:tc>
          <w:tcPr>
            <w:tcW w:w="935" w:type="pct"/>
            <w:shd w:val="clear" w:color="auto" w:fill="BFBFBF"/>
          </w:tcPr>
          <w:p w:rsidR="00AA39D1" w:rsidRPr="00F01736" w:rsidRDefault="00AA39D1" w:rsidP="00283E41">
            <w:pPr>
              <w:pStyle w:val="01TableHEADINGleftaligned"/>
              <w:keepLines/>
              <w:jc w:val="center"/>
            </w:pPr>
            <w:r>
              <w:t>Head-to-head trials</w:t>
            </w:r>
          </w:p>
        </w:tc>
        <w:tc>
          <w:tcPr>
            <w:tcW w:w="568" w:type="pct"/>
            <w:shd w:val="clear" w:color="auto" w:fill="BFBFBF"/>
          </w:tcPr>
          <w:p w:rsidR="00AA39D1" w:rsidRDefault="00AA39D1" w:rsidP="00283E41">
            <w:pPr>
              <w:pStyle w:val="01TableHEADINGleftaligned"/>
              <w:keepLines/>
              <w:jc w:val="center"/>
            </w:pPr>
            <w:r>
              <w:t>Comparison</w:t>
            </w:r>
          </w:p>
        </w:tc>
        <w:tc>
          <w:tcPr>
            <w:tcW w:w="2846" w:type="pct"/>
            <w:shd w:val="clear" w:color="auto" w:fill="BFBFBF"/>
          </w:tcPr>
          <w:p w:rsidR="00AA39D1" w:rsidRPr="00F01736" w:rsidRDefault="00AA39D1" w:rsidP="00283E41">
            <w:pPr>
              <w:pStyle w:val="01TableHEADINGleftaligned"/>
              <w:keepLines/>
              <w:jc w:val="center"/>
            </w:pPr>
            <w:r>
              <w:t>Summary of evidence</w:t>
            </w:r>
          </w:p>
        </w:tc>
      </w:tr>
      <w:tr w:rsidR="00AA39D1" w:rsidTr="00574FFB">
        <w:trPr>
          <w:cantSplit/>
        </w:trPr>
        <w:tc>
          <w:tcPr>
            <w:tcW w:w="2154" w:type="pct"/>
            <w:gridSpan w:val="3"/>
            <w:tcBorders>
              <w:top w:val="nil"/>
            </w:tcBorders>
            <w:shd w:val="clear" w:color="auto" w:fill="000000" w:themeFill="text1"/>
          </w:tcPr>
          <w:p w:rsidR="00AA39D1" w:rsidRDefault="00AA39D1" w:rsidP="00283E41">
            <w:pPr>
              <w:pStyle w:val="04Tablesubheading"/>
              <w:keepLines/>
            </w:pPr>
            <w:r>
              <w:t>TIO (</w:t>
            </w:r>
            <w:proofErr w:type="spellStart"/>
            <w:r>
              <w:t>HandiHaler</w:t>
            </w:r>
            <w:proofErr w:type="spellEnd"/>
            <w:r>
              <w:t>): LAMA vs SAMA</w:t>
            </w:r>
          </w:p>
        </w:tc>
        <w:tc>
          <w:tcPr>
            <w:tcW w:w="2846" w:type="pct"/>
            <w:shd w:val="clear" w:color="auto" w:fill="000000" w:themeFill="text1"/>
          </w:tcPr>
          <w:p w:rsidR="00AA39D1" w:rsidRDefault="00AA39D1" w:rsidP="00283E41">
            <w:pPr>
              <w:pStyle w:val="04Tablesubheading"/>
              <w:keepLines/>
            </w:pPr>
          </w:p>
        </w:tc>
      </w:tr>
      <w:tr w:rsidR="00AA39D1" w:rsidTr="00574FFB">
        <w:trPr>
          <w:cantSplit/>
        </w:trPr>
        <w:tc>
          <w:tcPr>
            <w:tcW w:w="651" w:type="pct"/>
            <w:tcBorders>
              <w:top w:val="nil"/>
            </w:tcBorders>
            <w:shd w:val="clear" w:color="auto" w:fill="F2F2F2" w:themeFill="background1" w:themeFillShade="F2"/>
          </w:tcPr>
          <w:p w:rsidR="00AA39D1" w:rsidRDefault="00AA39D1" w:rsidP="00283E41">
            <w:pPr>
              <w:pStyle w:val="05Tabletext"/>
              <w:keepNext/>
              <w:keepLines/>
            </w:pPr>
            <w:r>
              <w:t>March 2002</w:t>
            </w:r>
          </w:p>
        </w:tc>
        <w:tc>
          <w:tcPr>
            <w:tcW w:w="935" w:type="pct"/>
            <w:shd w:val="clear" w:color="auto" w:fill="F2F2F2" w:themeFill="background1" w:themeFillShade="F2"/>
          </w:tcPr>
          <w:p w:rsidR="00AA39D1" w:rsidRDefault="00AA39D1" w:rsidP="00283E41">
            <w:pPr>
              <w:pStyle w:val="05Tabletext"/>
              <w:keepNext/>
              <w:keepLines/>
              <w:jc w:val="center"/>
            </w:pPr>
            <w:r w:rsidRPr="007B4A71">
              <w:t>BI205.126A</w:t>
            </w:r>
          </w:p>
          <w:p w:rsidR="00AA39D1" w:rsidRDefault="00AA39D1" w:rsidP="00283E41">
            <w:pPr>
              <w:pStyle w:val="05Tabletext"/>
              <w:keepNext/>
              <w:keepLines/>
              <w:jc w:val="center"/>
            </w:pPr>
            <w:r w:rsidRPr="007B4A71">
              <w:t>BI205.126B</w:t>
            </w:r>
          </w:p>
        </w:tc>
        <w:tc>
          <w:tcPr>
            <w:tcW w:w="568" w:type="pct"/>
            <w:shd w:val="clear" w:color="auto" w:fill="F2F2F2" w:themeFill="background1" w:themeFillShade="F2"/>
          </w:tcPr>
          <w:p w:rsidR="00AA39D1" w:rsidRDefault="00AA39D1" w:rsidP="00283E41">
            <w:pPr>
              <w:pStyle w:val="05Tabletext"/>
              <w:keepNext/>
              <w:keepLines/>
              <w:jc w:val="center"/>
            </w:pPr>
            <w:r>
              <w:t>TIO vs IPR</w:t>
            </w:r>
          </w:p>
        </w:tc>
        <w:tc>
          <w:tcPr>
            <w:tcW w:w="2846" w:type="pct"/>
            <w:shd w:val="clear" w:color="auto" w:fill="F2F2F2" w:themeFill="background1" w:themeFillShade="F2"/>
          </w:tcPr>
          <w:p w:rsidR="00AA39D1" w:rsidRDefault="00AA39D1" w:rsidP="00CD1D07">
            <w:pPr>
              <w:pStyle w:val="05Tabletext"/>
              <w:keepNext/>
              <w:keepLines/>
              <w:numPr>
                <w:ilvl w:val="0"/>
                <w:numId w:val="15"/>
              </w:numPr>
              <w:ind w:left="227" w:hanging="227"/>
            </w:pPr>
            <w:r>
              <w:t>TIO was considered superior in efficacy and similar in safety to IPR.</w:t>
            </w:r>
          </w:p>
        </w:tc>
      </w:tr>
      <w:tr w:rsidR="00AA39D1" w:rsidTr="00574FFB">
        <w:trPr>
          <w:cantSplit/>
        </w:trPr>
        <w:tc>
          <w:tcPr>
            <w:tcW w:w="651" w:type="pct"/>
            <w:tcBorders>
              <w:top w:val="nil"/>
            </w:tcBorders>
            <w:shd w:val="clear" w:color="auto" w:fill="auto"/>
          </w:tcPr>
          <w:p w:rsidR="00AA39D1" w:rsidRDefault="00AA39D1" w:rsidP="00283E41">
            <w:pPr>
              <w:pStyle w:val="05Tabletext"/>
              <w:keepNext/>
              <w:keepLines/>
            </w:pPr>
            <w:r>
              <w:t>New evidence</w:t>
            </w:r>
          </w:p>
        </w:tc>
        <w:tc>
          <w:tcPr>
            <w:tcW w:w="935" w:type="pct"/>
            <w:shd w:val="clear" w:color="auto" w:fill="auto"/>
          </w:tcPr>
          <w:p w:rsidR="00AA39D1" w:rsidRDefault="00AA39D1" w:rsidP="00283E41">
            <w:pPr>
              <w:pStyle w:val="05Tabletext"/>
              <w:keepNext/>
              <w:keepLines/>
              <w:jc w:val="center"/>
            </w:pPr>
            <w:r>
              <w:t>Not considered</w:t>
            </w:r>
          </w:p>
        </w:tc>
        <w:tc>
          <w:tcPr>
            <w:tcW w:w="568" w:type="pct"/>
          </w:tcPr>
          <w:p w:rsidR="00AA39D1" w:rsidRDefault="00AA39D1" w:rsidP="00283E41">
            <w:pPr>
              <w:pStyle w:val="05Tabletext"/>
              <w:keepNext/>
              <w:keepLines/>
              <w:jc w:val="center"/>
            </w:pPr>
            <w:r>
              <w:t>TIO vs IPR</w:t>
            </w:r>
          </w:p>
        </w:tc>
        <w:tc>
          <w:tcPr>
            <w:tcW w:w="2846" w:type="pct"/>
            <w:shd w:val="clear" w:color="auto" w:fill="auto"/>
          </w:tcPr>
          <w:p w:rsidR="00AA39D1" w:rsidRDefault="00AA39D1" w:rsidP="00CD1D07">
            <w:pPr>
              <w:pStyle w:val="05Tabletext"/>
              <w:keepNext/>
              <w:keepLines/>
              <w:numPr>
                <w:ilvl w:val="0"/>
                <w:numId w:val="15"/>
              </w:numPr>
              <w:ind w:left="227" w:hanging="227"/>
            </w:pPr>
            <w:r>
              <w:t>Comparison of TIO with IPR (i.e. a SAMA) is no longer considered to be clinically relevant.</w:t>
            </w:r>
          </w:p>
          <w:p w:rsidR="002E3C48" w:rsidRPr="00D5154D" w:rsidRDefault="002E3C48" w:rsidP="00283E41">
            <w:pPr>
              <w:pStyle w:val="06Tabletextspacebefore"/>
              <w:keepNext/>
              <w:keepLines/>
              <w:ind w:left="0"/>
            </w:pPr>
          </w:p>
        </w:tc>
      </w:tr>
      <w:tr w:rsidR="00AA39D1" w:rsidTr="00574FFB">
        <w:trPr>
          <w:cantSplit/>
        </w:trPr>
        <w:tc>
          <w:tcPr>
            <w:tcW w:w="2154" w:type="pct"/>
            <w:gridSpan w:val="3"/>
            <w:tcBorders>
              <w:top w:val="nil"/>
            </w:tcBorders>
            <w:shd w:val="clear" w:color="auto" w:fill="000000" w:themeFill="text1"/>
            <w:vAlign w:val="center"/>
          </w:tcPr>
          <w:p w:rsidR="00AA39D1" w:rsidRDefault="00AA39D1" w:rsidP="005F5E0D">
            <w:pPr>
              <w:pStyle w:val="04Tablesubheading"/>
            </w:pPr>
            <w:r>
              <w:t>TIO (</w:t>
            </w:r>
            <w:proofErr w:type="spellStart"/>
            <w:r>
              <w:t>Respimat</w:t>
            </w:r>
            <w:proofErr w:type="spellEnd"/>
            <w:r>
              <w:t>): LAMA vs LAMA</w:t>
            </w:r>
          </w:p>
        </w:tc>
        <w:tc>
          <w:tcPr>
            <w:tcW w:w="2846" w:type="pct"/>
            <w:shd w:val="clear" w:color="auto" w:fill="000000" w:themeFill="text1"/>
          </w:tcPr>
          <w:p w:rsidR="00AA39D1" w:rsidRDefault="00AA39D1" w:rsidP="005F5E0D">
            <w:pPr>
              <w:pStyle w:val="04Tablesubheading"/>
            </w:pPr>
          </w:p>
        </w:tc>
      </w:tr>
      <w:tr w:rsidR="00AA39D1" w:rsidRPr="00991CA3" w:rsidTr="00574FFB">
        <w:trPr>
          <w:cantSplit/>
        </w:trPr>
        <w:tc>
          <w:tcPr>
            <w:tcW w:w="651" w:type="pct"/>
            <w:tcBorders>
              <w:top w:val="nil"/>
            </w:tcBorders>
            <w:shd w:val="clear" w:color="auto" w:fill="F2F2F2" w:themeFill="background1" w:themeFillShade="F2"/>
          </w:tcPr>
          <w:p w:rsidR="00AA39D1" w:rsidRDefault="00AA39D1" w:rsidP="005F5E0D">
            <w:pPr>
              <w:pStyle w:val="05Tabletext"/>
            </w:pPr>
            <w:r>
              <w:t>July 2009</w:t>
            </w:r>
          </w:p>
        </w:tc>
        <w:tc>
          <w:tcPr>
            <w:tcW w:w="935" w:type="pct"/>
            <w:shd w:val="clear" w:color="auto" w:fill="F2F2F2" w:themeFill="background1" w:themeFillShade="F2"/>
          </w:tcPr>
          <w:p w:rsidR="00AA39D1" w:rsidRDefault="00AA39D1" w:rsidP="005F5E0D">
            <w:pPr>
              <w:pStyle w:val="05Tabletext"/>
              <w:jc w:val="center"/>
            </w:pPr>
            <w:r w:rsidRPr="00A80907">
              <w:t>BI205.249</w:t>
            </w:r>
          </w:p>
          <w:p w:rsidR="00AA39D1" w:rsidRDefault="00AA39D1" w:rsidP="005F5E0D">
            <w:pPr>
              <w:pStyle w:val="05Tabletext"/>
              <w:jc w:val="center"/>
            </w:pPr>
            <w:r w:rsidRPr="00A80907">
              <w:t>BI205.250</w:t>
            </w:r>
          </w:p>
          <w:p w:rsidR="00AA39D1" w:rsidRDefault="00AA39D1" w:rsidP="005F5E0D">
            <w:pPr>
              <w:pStyle w:val="05Tabletext"/>
              <w:jc w:val="center"/>
            </w:pPr>
            <w:r w:rsidRPr="00A80907">
              <w:t>BI205.291</w:t>
            </w:r>
          </w:p>
        </w:tc>
        <w:tc>
          <w:tcPr>
            <w:tcW w:w="568" w:type="pct"/>
            <w:shd w:val="clear" w:color="auto" w:fill="F2F2F2" w:themeFill="background1" w:themeFillShade="F2"/>
          </w:tcPr>
          <w:p w:rsidR="00AA39D1" w:rsidRPr="00A80907" w:rsidRDefault="00AA39D1" w:rsidP="005F5E0D">
            <w:pPr>
              <w:pStyle w:val="05Tabletext"/>
              <w:jc w:val="center"/>
            </w:pPr>
            <w:r>
              <w:t xml:space="preserve">TIO vs </w:t>
            </w:r>
            <w:proofErr w:type="spellStart"/>
            <w:r>
              <w:t>TIO</w:t>
            </w:r>
            <w:r>
              <w:rPr>
                <w:vertAlign w:val="superscript"/>
              </w:rPr>
              <w:t>a</w:t>
            </w:r>
            <w:proofErr w:type="spellEnd"/>
          </w:p>
        </w:tc>
        <w:tc>
          <w:tcPr>
            <w:tcW w:w="2846" w:type="pct"/>
            <w:shd w:val="clear" w:color="auto" w:fill="F2F2F2" w:themeFill="background1" w:themeFillShade="F2"/>
          </w:tcPr>
          <w:p w:rsidR="00AA39D1" w:rsidRPr="00991CA3" w:rsidRDefault="00AA39D1" w:rsidP="00CD1D07">
            <w:pPr>
              <w:pStyle w:val="05Tabletext"/>
              <w:numPr>
                <w:ilvl w:val="0"/>
                <w:numId w:val="15"/>
              </w:numPr>
              <w:ind w:left="227" w:hanging="227"/>
            </w:pPr>
            <w:r>
              <w:t xml:space="preserve">TIO </w:t>
            </w:r>
            <w:proofErr w:type="spellStart"/>
            <w:r>
              <w:t>Respimat</w:t>
            </w:r>
            <w:proofErr w:type="spellEnd"/>
            <w:r>
              <w:t xml:space="preserve"> was comparable in efficacy and safety to TIO </w:t>
            </w:r>
            <w:proofErr w:type="spellStart"/>
            <w:r>
              <w:t>HandiHaler</w:t>
            </w:r>
            <w:proofErr w:type="spellEnd"/>
            <w:r>
              <w:t xml:space="preserve">. The two formulations were cost-minimised. </w:t>
            </w:r>
          </w:p>
        </w:tc>
      </w:tr>
      <w:tr w:rsidR="00AA39D1" w:rsidRPr="007037E6" w:rsidTr="00574FFB">
        <w:trPr>
          <w:cantSplit/>
        </w:trPr>
        <w:tc>
          <w:tcPr>
            <w:tcW w:w="651" w:type="pct"/>
            <w:tcBorders>
              <w:top w:val="nil"/>
            </w:tcBorders>
            <w:shd w:val="clear" w:color="auto" w:fill="auto"/>
          </w:tcPr>
          <w:p w:rsidR="00AA39D1" w:rsidRPr="007513BB" w:rsidRDefault="00AA39D1" w:rsidP="005F5E0D">
            <w:pPr>
              <w:pStyle w:val="05Tabletext"/>
              <w:rPr>
                <w:vertAlign w:val="superscript"/>
              </w:rPr>
            </w:pPr>
            <w:r>
              <w:t>New evidence</w:t>
            </w:r>
          </w:p>
        </w:tc>
        <w:tc>
          <w:tcPr>
            <w:tcW w:w="935" w:type="pct"/>
            <w:shd w:val="clear" w:color="auto" w:fill="auto"/>
          </w:tcPr>
          <w:p w:rsidR="002E3C48" w:rsidRPr="00D5154D" w:rsidRDefault="00AA39D1" w:rsidP="00D5154D">
            <w:pPr>
              <w:pStyle w:val="05Tabletext"/>
              <w:jc w:val="center"/>
            </w:pPr>
            <w:r>
              <w:t>TIOSPIR</w:t>
            </w:r>
            <w:r>
              <w:br/>
              <w:t>Non-inferiority, double-blind</w:t>
            </w:r>
            <w:r>
              <w:br/>
              <w:t>Good quality</w:t>
            </w:r>
            <w:r>
              <w:br/>
              <w:t>N=17,135; 2-3 years</w:t>
            </w:r>
          </w:p>
        </w:tc>
        <w:tc>
          <w:tcPr>
            <w:tcW w:w="568" w:type="pct"/>
          </w:tcPr>
          <w:p w:rsidR="00AA39D1" w:rsidRDefault="00AA39D1" w:rsidP="005F5E0D">
            <w:pPr>
              <w:pStyle w:val="05Tabletext"/>
              <w:jc w:val="center"/>
            </w:pPr>
            <w:r>
              <w:t xml:space="preserve">TIO vs </w:t>
            </w:r>
            <w:proofErr w:type="spellStart"/>
            <w:r>
              <w:t>TIO</w:t>
            </w:r>
            <w:r>
              <w:rPr>
                <w:vertAlign w:val="superscript"/>
              </w:rPr>
              <w:t>a</w:t>
            </w:r>
            <w:proofErr w:type="spellEnd"/>
          </w:p>
        </w:tc>
        <w:tc>
          <w:tcPr>
            <w:tcW w:w="2846" w:type="pct"/>
            <w:shd w:val="clear" w:color="auto" w:fill="auto"/>
          </w:tcPr>
          <w:p w:rsidR="00AA39D1" w:rsidRDefault="00AA39D1" w:rsidP="00CD1D07">
            <w:pPr>
              <w:pStyle w:val="05Tabletext"/>
              <w:numPr>
                <w:ilvl w:val="0"/>
                <w:numId w:val="15"/>
              </w:numPr>
              <w:ind w:left="227" w:hanging="227"/>
            </w:pPr>
            <w:r>
              <w:t xml:space="preserve">TIO </w:t>
            </w:r>
            <w:proofErr w:type="spellStart"/>
            <w:r>
              <w:t>Respimat</w:t>
            </w:r>
            <w:proofErr w:type="spellEnd"/>
            <w:r>
              <w:t xml:space="preserve"> appears non-inferior to TIO </w:t>
            </w:r>
            <w:proofErr w:type="spellStart"/>
            <w:r>
              <w:t>HandiHaler</w:t>
            </w:r>
            <w:proofErr w:type="spellEnd"/>
            <w:r>
              <w:t xml:space="preserve"> in terms of change from baseline in trough FEV</w:t>
            </w:r>
            <w:r>
              <w:rPr>
                <w:vertAlign w:val="subscript"/>
              </w:rPr>
              <w:t xml:space="preserve">1. </w:t>
            </w:r>
            <w:r>
              <w:t>Two post hoc analyses also showed the treatments to be comparable based on mortality and exacerbation outcomes.</w:t>
            </w:r>
          </w:p>
          <w:p w:rsidR="002E3C48" w:rsidRDefault="002E3C48" w:rsidP="00D5154D">
            <w:pPr>
              <w:pStyle w:val="06Tabletextspacebefore"/>
            </w:pPr>
          </w:p>
          <w:p w:rsidR="002E3C48" w:rsidRDefault="002E3C48" w:rsidP="00D5154D">
            <w:pPr>
              <w:pStyle w:val="06Tabletextspacebefore"/>
            </w:pPr>
          </w:p>
          <w:p w:rsidR="002E3C48" w:rsidRPr="00D5154D" w:rsidRDefault="002E3C48" w:rsidP="00D5154D">
            <w:pPr>
              <w:pStyle w:val="06Tabletextspacebefore"/>
            </w:pPr>
          </w:p>
        </w:tc>
      </w:tr>
      <w:tr w:rsidR="00AA39D1" w:rsidRPr="003418C1" w:rsidTr="005F5E0D">
        <w:trPr>
          <w:cantSplit/>
        </w:trPr>
        <w:tc>
          <w:tcPr>
            <w:tcW w:w="5000" w:type="pct"/>
            <w:gridSpan w:val="4"/>
            <w:tcBorders>
              <w:top w:val="nil"/>
            </w:tcBorders>
            <w:shd w:val="clear" w:color="auto" w:fill="000000" w:themeFill="text1"/>
          </w:tcPr>
          <w:p w:rsidR="00AA39D1" w:rsidRPr="00CF608D" w:rsidRDefault="00AA39D1" w:rsidP="005F5E0D">
            <w:pPr>
              <w:pStyle w:val="05Tabletext"/>
              <w:rPr>
                <w:b/>
              </w:rPr>
            </w:pPr>
            <w:r w:rsidRPr="00CF608D">
              <w:rPr>
                <w:b/>
              </w:rPr>
              <w:t>GLY</w:t>
            </w:r>
            <w:r>
              <w:rPr>
                <w:b/>
              </w:rPr>
              <w:t xml:space="preserve"> (</w:t>
            </w:r>
            <w:proofErr w:type="spellStart"/>
            <w:r>
              <w:rPr>
                <w:b/>
              </w:rPr>
              <w:t>S</w:t>
            </w:r>
            <w:r w:rsidRPr="00CF608D">
              <w:rPr>
                <w:b/>
              </w:rPr>
              <w:t>eebri</w:t>
            </w:r>
            <w:proofErr w:type="spellEnd"/>
            <w:r w:rsidRPr="00CF608D">
              <w:rPr>
                <w:b/>
              </w:rPr>
              <w:t xml:space="preserve"> </w:t>
            </w:r>
            <w:proofErr w:type="spellStart"/>
            <w:r>
              <w:rPr>
                <w:b/>
              </w:rPr>
              <w:t>B</w:t>
            </w:r>
            <w:r w:rsidRPr="00CF608D">
              <w:rPr>
                <w:b/>
              </w:rPr>
              <w:t>reezhaler</w:t>
            </w:r>
            <w:proofErr w:type="spellEnd"/>
            <w:r w:rsidRPr="00CF608D">
              <w:rPr>
                <w:b/>
              </w:rPr>
              <w:t>: LAMA vs LAMA</w:t>
            </w:r>
          </w:p>
        </w:tc>
      </w:tr>
      <w:tr w:rsidR="00AA39D1" w:rsidRPr="003418C1" w:rsidTr="00574FFB">
        <w:trPr>
          <w:cantSplit/>
        </w:trPr>
        <w:tc>
          <w:tcPr>
            <w:tcW w:w="651" w:type="pct"/>
            <w:tcBorders>
              <w:top w:val="nil"/>
            </w:tcBorders>
            <w:shd w:val="clear" w:color="auto" w:fill="F2F2F2" w:themeFill="background1" w:themeFillShade="F2"/>
          </w:tcPr>
          <w:p w:rsidR="00AA39D1" w:rsidRDefault="00AA39D1" w:rsidP="005F5E0D">
            <w:pPr>
              <w:pStyle w:val="05Tabletext"/>
            </w:pPr>
            <w:r>
              <w:t>November 2013</w:t>
            </w:r>
          </w:p>
        </w:tc>
        <w:tc>
          <w:tcPr>
            <w:tcW w:w="935" w:type="pct"/>
            <w:shd w:val="clear" w:color="auto" w:fill="F2F2F2" w:themeFill="background1" w:themeFillShade="F2"/>
          </w:tcPr>
          <w:p w:rsidR="00AA39D1" w:rsidRDefault="00AA39D1" w:rsidP="005F5E0D">
            <w:pPr>
              <w:pStyle w:val="05Tabletext"/>
              <w:jc w:val="center"/>
            </w:pPr>
            <w:r w:rsidRPr="001C47BA">
              <w:t>GLOW</w:t>
            </w:r>
            <w:r w:rsidRPr="001C47BA">
              <w:rPr>
                <w:vertAlign w:val="subscript"/>
              </w:rPr>
              <w:t>5</w:t>
            </w:r>
            <w:r>
              <w:rPr>
                <w:vertAlign w:val="subscript"/>
              </w:rPr>
              <w:t xml:space="preserve">, </w:t>
            </w:r>
            <w:r w:rsidRPr="001C47BA">
              <w:t>GLOW</w:t>
            </w:r>
            <w:r w:rsidRPr="001C47BA">
              <w:rPr>
                <w:vertAlign w:val="subscript"/>
              </w:rPr>
              <w:t>2</w:t>
            </w:r>
          </w:p>
          <w:p w:rsidR="00AA39D1" w:rsidRDefault="00AA39D1" w:rsidP="005F5E0D">
            <w:pPr>
              <w:pStyle w:val="05Tabletext"/>
              <w:jc w:val="center"/>
            </w:pPr>
            <w:r>
              <w:t>SPARK</w:t>
            </w:r>
          </w:p>
          <w:p w:rsidR="00AA39D1" w:rsidRDefault="00AA39D1" w:rsidP="005F5E0D">
            <w:pPr>
              <w:pStyle w:val="05Tabletext"/>
              <w:jc w:val="center"/>
            </w:pPr>
            <w:r w:rsidRPr="001C47BA">
              <w:t>SHINE</w:t>
            </w:r>
          </w:p>
          <w:p w:rsidR="00AA39D1" w:rsidRPr="00314E83" w:rsidRDefault="00AA39D1" w:rsidP="005F5E0D">
            <w:pPr>
              <w:pStyle w:val="06Tabletextspacebefore"/>
              <w:spacing w:before="20"/>
              <w:jc w:val="center"/>
            </w:pPr>
            <w:r>
              <w:t>A network analysis for add-on to LABA was also considered</w:t>
            </w:r>
          </w:p>
        </w:tc>
        <w:tc>
          <w:tcPr>
            <w:tcW w:w="568" w:type="pct"/>
            <w:shd w:val="clear" w:color="auto" w:fill="F2F2F2" w:themeFill="background1" w:themeFillShade="F2"/>
          </w:tcPr>
          <w:p w:rsidR="00AA39D1" w:rsidRDefault="00AA39D1" w:rsidP="005F5E0D">
            <w:pPr>
              <w:pStyle w:val="05Tabletext"/>
              <w:jc w:val="center"/>
            </w:pPr>
            <w:r>
              <w:t>GLY vs TIO</w:t>
            </w:r>
          </w:p>
        </w:tc>
        <w:tc>
          <w:tcPr>
            <w:tcW w:w="2846" w:type="pct"/>
            <w:shd w:val="clear" w:color="auto" w:fill="F2F2F2" w:themeFill="background1" w:themeFillShade="F2"/>
          </w:tcPr>
          <w:p w:rsidR="00AA39D1" w:rsidRDefault="00AA39D1" w:rsidP="00CD1D07">
            <w:pPr>
              <w:pStyle w:val="05Tabletext"/>
              <w:numPr>
                <w:ilvl w:val="0"/>
                <w:numId w:val="15"/>
              </w:numPr>
              <w:ind w:left="227" w:hanging="227"/>
            </w:pPr>
            <w:r>
              <w:t>GLY was considered non-inferior in comparative effectiveness and similar in safety to TIO. GLY was cost-minimised to TIO.</w:t>
            </w:r>
          </w:p>
          <w:p w:rsidR="00AA39D1" w:rsidRDefault="00AA39D1" w:rsidP="00CD1D07">
            <w:pPr>
              <w:pStyle w:val="06Tabletextspacebefore"/>
              <w:numPr>
                <w:ilvl w:val="0"/>
                <w:numId w:val="15"/>
              </w:numPr>
              <w:spacing w:before="20"/>
              <w:ind w:left="227" w:hanging="227"/>
            </w:pPr>
            <w:r>
              <w:t>No head-to-head trials of GLY versus other LAMAs were considered by the PBAC at the time.</w:t>
            </w:r>
          </w:p>
          <w:p w:rsidR="00AA39D1" w:rsidRPr="003418C1" w:rsidRDefault="00AA39D1" w:rsidP="005F5E0D">
            <w:pPr>
              <w:pStyle w:val="06Tabletextspacebefore"/>
              <w:spacing w:before="20"/>
              <w:ind w:left="0"/>
            </w:pPr>
          </w:p>
        </w:tc>
      </w:tr>
      <w:tr w:rsidR="00AA39D1" w:rsidRPr="003418C1" w:rsidTr="00574FFB">
        <w:trPr>
          <w:cantSplit/>
        </w:trPr>
        <w:tc>
          <w:tcPr>
            <w:tcW w:w="651" w:type="pct"/>
            <w:tcBorders>
              <w:top w:val="nil"/>
            </w:tcBorders>
            <w:shd w:val="clear" w:color="auto" w:fill="auto"/>
          </w:tcPr>
          <w:p w:rsidR="00AA39D1" w:rsidRPr="009634BA" w:rsidRDefault="00AA39D1" w:rsidP="005F5E0D">
            <w:pPr>
              <w:pStyle w:val="05Tabletext"/>
            </w:pPr>
            <w:r>
              <w:t>New evidence</w:t>
            </w:r>
          </w:p>
        </w:tc>
        <w:tc>
          <w:tcPr>
            <w:tcW w:w="935" w:type="pct"/>
            <w:shd w:val="clear" w:color="auto" w:fill="auto"/>
          </w:tcPr>
          <w:p w:rsidR="00AA39D1" w:rsidRPr="002F450D" w:rsidRDefault="00AA39D1" w:rsidP="005F5E0D">
            <w:pPr>
              <w:pStyle w:val="05Tabletext"/>
              <w:jc w:val="center"/>
              <w:rPr>
                <w:vertAlign w:val="superscript"/>
              </w:rPr>
            </w:pPr>
            <w:r>
              <w:t>NCT02236611 (unpublished)</w:t>
            </w:r>
            <w:r>
              <w:br/>
              <w:t>Non-inferiority, open-label</w:t>
            </w:r>
            <w:r>
              <w:br/>
              <w:t>Quality not assessed</w:t>
            </w:r>
            <w:r>
              <w:br/>
              <w:t>N=1,037; 12 weeks</w:t>
            </w:r>
          </w:p>
        </w:tc>
        <w:tc>
          <w:tcPr>
            <w:tcW w:w="568" w:type="pct"/>
          </w:tcPr>
          <w:p w:rsidR="00AA39D1" w:rsidRDefault="00AA39D1" w:rsidP="005F5E0D">
            <w:pPr>
              <w:pStyle w:val="05Tabletext"/>
              <w:jc w:val="center"/>
            </w:pPr>
            <w:r>
              <w:t>GLY vs UME</w:t>
            </w:r>
          </w:p>
        </w:tc>
        <w:tc>
          <w:tcPr>
            <w:tcW w:w="2846" w:type="pct"/>
            <w:shd w:val="clear" w:color="auto" w:fill="auto"/>
          </w:tcPr>
          <w:p w:rsidR="00AA39D1" w:rsidRDefault="00AA39D1" w:rsidP="00CD1D07">
            <w:pPr>
              <w:pStyle w:val="05Tabletext"/>
              <w:numPr>
                <w:ilvl w:val="0"/>
                <w:numId w:val="15"/>
              </w:numPr>
              <w:ind w:left="227" w:hanging="227"/>
            </w:pPr>
            <w:r>
              <w:t>UME appears non-inferior to GLY based on least squares mean change from baseline in trough FEV</w:t>
            </w:r>
            <w:r>
              <w:rPr>
                <w:vertAlign w:val="subscript"/>
              </w:rPr>
              <w:t>1</w:t>
            </w:r>
            <w:r>
              <w:t>.</w:t>
            </w:r>
          </w:p>
          <w:p w:rsidR="00AA39D1" w:rsidRPr="003418C1" w:rsidRDefault="00AA39D1" w:rsidP="00CD1D07">
            <w:pPr>
              <w:pStyle w:val="06Tabletextspacebefore"/>
              <w:numPr>
                <w:ilvl w:val="0"/>
                <w:numId w:val="15"/>
              </w:numPr>
              <w:spacing w:before="20"/>
              <w:ind w:left="227" w:hanging="227"/>
            </w:pPr>
            <w:r>
              <w:t>No other head-to-head trials of GLY versus other LAMAs were identified.</w:t>
            </w:r>
          </w:p>
        </w:tc>
      </w:tr>
      <w:tr w:rsidR="007D7AD8" w:rsidRPr="00452983" w:rsidTr="00B07120">
        <w:tblPrEx>
          <w:tblLook w:val="0480" w:firstRow="0" w:lastRow="0" w:firstColumn="1" w:lastColumn="0" w:noHBand="0" w:noVBand="1"/>
        </w:tblPrEx>
        <w:trPr>
          <w:cantSplit/>
        </w:trPr>
        <w:tc>
          <w:tcPr>
            <w:tcW w:w="5000" w:type="pct"/>
            <w:gridSpan w:val="4"/>
            <w:tcBorders>
              <w:top w:val="single" w:sz="4" w:space="0" w:color="auto"/>
              <w:bottom w:val="single" w:sz="4" w:space="0" w:color="auto"/>
            </w:tcBorders>
            <w:shd w:val="clear" w:color="auto" w:fill="000000" w:themeFill="text1"/>
          </w:tcPr>
          <w:p w:rsidR="007D7AD8" w:rsidRPr="00E55643" w:rsidRDefault="007D7AD8" w:rsidP="00B07120">
            <w:pPr>
              <w:pStyle w:val="06Tabletextspacebefore"/>
              <w:spacing w:before="20"/>
              <w:rPr>
                <w:b/>
              </w:rPr>
            </w:pPr>
            <w:r w:rsidRPr="00E55643">
              <w:rPr>
                <w:b/>
              </w:rPr>
              <w:t>ACL: LAMA vs LAMA</w:t>
            </w:r>
          </w:p>
        </w:tc>
      </w:tr>
      <w:tr w:rsidR="007D7AD8" w:rsidRPr="003D3BB9" w:rsidTr="00B07120">
        <w:tblPrEx>
          <w:tblLook w:val="0480" w:firstRow="0" w:lastRow="0" w:firstColumn="1" w:lastColumn="0" w:noHBand="0" w:noVBand="1"/>
        </w:tblPrEx>
        <w:trPr>
          <w:cantSplit/>
        </w:trPr>
        <w:tc>
          <w:tcPr>
            <w:tcW w:w="651" w:type="pct"/>
            <w:tcBorders>
              <w:top w:val="single" w:sz="4" w:space="0" w:color="auto"/>
              <w:bottom w:val="nil"/>
            </w:tcBorders>
            <w:shd w:val="clear" w:color="auto" w:fill="auto"/>
          </w:tcPr>
          <w:p w:rsidR="007D7AD8" w:rsidRDefault="007D7AD8" w:rsidP="00B07120">
            <w:pPr>
              <w:pStyle w:val="05Tabletext"/>
              <w:keepNext/>
            </w:pPr>
            <w:r>
              <w:t>March 2014</w:t>
            </w:r>
          </w:p>
        </w:tc>
        <w:tc>
          <w:tcPr>
            <w:tcW w:w="935" w:type="pct"/>
            <w:tcBorders>
              <w:top w:val="single" w:sz="4" w:space="0" w:color="auto"/>
            </w:tcBorders>
            <w:shd w:val="clear" w:color="auto" w:fill="auto"/>
          </w:tcPr>
          <w:p w:rsidR="007D7AD8" w:rsidRDefault="007D7AD8" w:rsidP="00B07120">
            <w:pPr>
              <w:pStyle w:val="05Tabletext"/>
              <w:jc w:val="center"/>
            </w:pPr>
            <w:r>
              <w:t>LAS-39</w:t>
            </w:r>
          </w:p>
          <w:p w:rsidR="007D7AD8" w:rsidRDefault="007D7AD8" w:rsidP="00B07120">
            <w:pPr>
              <w:pStyle w:val="05Tabletext"/>
              <w:keepNext/>
              <w:jc w:val="center"/>
            </w:pPr>
            <w:r>
              <w:t>An indirect comparison via placebo as common comparator also considered</w:t>
            </w:r>
          </w:p>
        </w:tc>
        <w:tc>
          <w:tcPr>
            <w:tcW w:w="568" w:type="pct"/>
            <w:tcBorders>
              <w:top w:val="single" w:sz="4" w:space="0" w:color="auto"/>
            </w:tcBorders>
          </w:tcPr>
          <w:p w:rsidR="007D7AD8" w:rsidRDefault="007D7AD8" w:rsidP="00B07120">
            <w:pPr>
              <w:pStyle w:val="05Tabletext"/>
              <w:keepNext/>
              <w:jc w:val="center"/>
            </w:pPr>
            <w:r>
              <w:t>ACL vs TIO</w:t>
            </w:r>
          </w:p>
        </w:tc>
        <w:tc>
          <w:tcPr>
            <w:tcW w:w="2846" w:type="pct"/>
            <w:tcBorders>
              <w:top w:val="single" w:sz="4" w:space="0" w:color="auto"/>
            </w:tcBorders>
            <w:shd w:val="clear" w:color="auto" w:fill="auto"/>
          </w:tcPr>
          <w:p w:rsidR="007D7AD8" w:rsidRDefault="007D7AD8" w:rsidP="00CD1D07">
            <w:pPr>
              <w:pStyle w:val="05Tabletext"/>
              <w:numPr>
                <w:ilvl w:val="0"/>
                <w:numId w:val="15"/>
              </w:numPr>
              <w:ind w:left="227" w:hanging="227"/>
            </w:pPr>
            <w:r>
              <w:t>ACL was considered non-inferior in term of comparative effectiveness and similar in safety to TIO and was cost-minimised.</w:t>
            </w:r>
          </w:p>
          <w:p w:rsidR="007D7AD8" w:rsidRDefault="007D7AD8" w:rsidP="00CD1D07">
            <w:pPr>
              <w:pStyle w:val="05Tabletext"/>
              <w:keepNext/>
              <w:numPr>
                <w:ilvl w:val="0"/>
                <w:numId w:val="15"/>
              </w:numPr>
              <w:ind w:left="227" w:hanging="227"/>
            </w:pPr>
            <w:r>
              <w:t>No head-to-head trials of ACL versus other LAMAs were considered by the PBAC at the time.</w:t>
            </w:r>
          </w:p>
        </w:tc>
      </w:tr>
      <w:tr w:rsidR="007D7AD8" w:rsidRPr="003D3BB9" w:rsidTr="00B07120">
        <w:tblPrEx>
          <w:tblLook w:val="0480" w:firstRow="0" w:lastRow="0" w:firstColumn="1" w:lastColumn="0" w:noHBand="0" w:noVBand="1"/>
        </w:tblPrEx>
        <w:trPr>
          <w:cantSplit/>
        </w:trPr>
        <w:tc>
          <w:tcPr>
            <w:tcW w:w="651" w:type="pct"/>
            <w:tcBorders>
              <w:top w:val="single" w:sz="4" w:space="0" w:color="auto"/>
              <w:bottom w:val="nil"/>
            </w:tcBorders>
            <w:shd w:val="clear" w:color="auto" w:fill="auto"/>
          </w:tcPr>
          <w:p w:rsidR="007D7AD8" w:rsidRDefault="007D7AD8" w:rsidP="00B07120">
            <w:pPr>
              <w:pStyle w:val="05Tabletext"/>
              <w:keepNext/>
            </w:pPr>
            <w:r>
              <w:t>New evidence</w:t>
            </w:r>
          </w:p>
        </w:tc>
        <w:tc>
          <w:tcPr>
            <w:tcW w:w="935" w:type="pct"/>
            <w:tcBorders>
              <w:top w:val="single" w:sz="4" w:space="0" w:color="auto"/>
            </w:tcBorders>
            <w:shd w:val="clear" w:color="auto" w:fill="auto"/>
          </w:tcPr>
          <w:p w:rsidR="007D7AD8" w:rsidRDefault="007D7AD8" w:rsidP="00B07120">
            <w:pPr>
              <w:pStyle w:val="05Tabletext"/>
              <w:keepNext/>
              <w:jc w:val="center"/>
            </w:pPr>
            <w:proofErr w:type="spellStart"/>
            <w:r>
              <w:t>Beier</w:t>
            </w:r>
            <w:proofErr w:type="spellEnd"/>
            <w:r>
              <w:t xml:space="preserve"> (2013)</w:t>
            </w:r>
            <w:r>
              <w:br/>
              <w:t>Superiority, double-blind, double-dummy</w:t>
            </w:r>
            <w:r>
              <w:br/>
              <w:t>Fair quality</w:t>
            </w:r>
            <w:r>
              <w:br/>
              <w:t>N=414; 6 weeks</w:t>
            </w:r>
          </w:p>
        </w:tc>
        <w:tc>
          <w:tcPr>
            <w:tcW w:w="568" w:type="pct"/>
            <w:tcBorders>
              <w:top w:val="single" w:sz="4" w:space="0" w:color="auto"/>
            </w:tcBorders>
          </w:tcPr>
          <w:p w:rsidR="007D7AD8" w:rsidRDefault="007D7AD8" w:rsidP="00B07120">
            <w:pPr>
              <w:pStyle w:val="05Tabletext"/>
              <w:keepNext/>
              <w:jc w:val="center"/>
            </w:pPr>
            <w:r>
              <w:t>ACL vs TIO</w:t>
            </w:r>
          </w:p>
        </w:tc>
        <w:tc>
          <w:tcPr>
            <w:tcW w:w="2846" w:type="pct"/>
            <w:tcBorders>
              <w:top w:val="single" w:sz="4" w:space="0" w:color="auto"/>
            </w:tcBorders>
            <w:shd w:val="clear" w:color="auto" w:fill="auto"/>
          </w:tcPr>
          <w:p w:rsidR="007D7AD8" w:rsidRPr="003D3BB9" w:rsidRDefault="007D7AD8" w:rsidP="00CD1D07">
            <w:pPr>
              <w:pStyle w:val="05Tabletext"/>
              <w:keepNext/>
              <w:numPr>
                <w:ilvl w:val="0"/>
                <w:numId w:val="15"/>
              </w:numPr>
              <w:ind w:left="227" w:hanging="227"/>
            </w:pPr>
            <w:r>
              <w:t>There were no significant differences between TIO and ACL in terms of efficacy or safety. Both TIO and ACL were associated with improvements from baseline in trough FEV</w:t>
            </w:r>
            <w:r>
              <w:rPr>
                <w:vertAlign w:val="subscript"/>
              </w:rPr>
              <w:t>1</w:t>
            </w:r>
            <w:r>
              <w:t xml:space="preserve"> that met the MCID. </w:t>
            </w:r>
          </w:p>
        </w:tc>
      </w:tr>
      <w:tr w:rsidR="007D7AD8" w:rsidRPr="00452983" w:rsidTr="00B07120">
        <w:tblPrEx>
          <w:tblLook w:val="0480" w:firstRow="0" w:lastRow="0" w:firstColumn="1" w:lastColumn="0" w:noHBand="0" w:noVBand="1"/>
        </w:tblPrEx>
        <w:trPr>
          <w:cantSplit/>
        </w:trPr>
        <w:tc>
          <w:tcPr>
            <w:tcW w:w="651" w:type="pct"/>
            <w:tcBorders>
              <w:top w:val="nil"/>
              <w:bottom w:val="single" w:sz="4" w:space="0" w:color="auto"/>
            </w:tcBorders>
            <w:shd w:val="clear" w:color="auto" w:fill="auto"/>
            <w:vAlign w:val="bottom"/>
          </w:tcPr>
          <w:p w:rsidR="007D7AD8" w:rsidRDefault="007D7AD8" w:rsidP="00B07120">
            <w:pPr>
              <w:pStyle w:val="05Tabletext"/>
            </w:pPr>
          </w:p>
        </w:tc>
        <w:tc>
          <w:tcPr>
            <w:tcW w:w="935" w:type="pct"/>
            <w:shd w:val="clear" w:color="auto" w:fill="auto"/>
          </w:tcPr>
          <w:p w:rsidR="007D7AD8" w:rsidRDefault="007D7AD8" w:rsidP="00B07120">
            <w:pPr>
              <w:pStyle w:val="05Tabletext"/>
              <w:jc w:val="center"/>
            </w:pPr>
            <w:proofErr w:type="spellStart"/>
            <w:r>
              <w:t>Manoharan</w:t>
            </w:r>
            <w:proofErr w:type="spellEnd"/>
            <w:r>
              <w:t xml:space="preserve"> (2016)</w:t>
            </w:r>
            <w:r>
              <w:br/>
              <w:t>Superiority, open-label, cross-over</w:t>
            </w:r>
            <w:r>
              <w:br/>
              <w:t>Poor quality</w:t>
            </w:r>
            <w:r>
              <w:br/>
              <w:t>N=15; 2-3 weeks</w:t>
            </w:r>
          </w:p>
        </w:tc>
        <w:tc>
          <w:tcPr>
            <w:tcW w:w="568" w:type="pct"/>
          </w:tcPr>
          <w:p w:rsidR="007D7AD8" w:rsidRDefault="007D7AD8" w:rsidP="00B07120">
            <w:pPr>
              <w:pStyle w:val="05Tabletext"/>
              <w:jc w:val="center"/>
            </w:pPr>
            <w:r>
              <w:t>ACL vs TIO</w:t>
            </w:r>
          </w:p>
        </w:tc>
        <w:tc>
          <w:tcPr>
            <w:tcW w:w="2846" w:type="pct"/>
            <w:shd w:val="clear" w:color="auto" w:fill="auto"/>
          </w:tcPr>
          <w:p w:rsidR="007D7AD8" w:rsidRDefault="007D7AD8" w:rsidP="00CD1D07">
            <w:pPr>
              <w:pStyle w:val="05Tabletext"/>
              <w:numPr>
                <w:ilvl w:val="0"/>
                <w:numId w:val="15"/>
              </w:numPr>
              <w:ind w:left="227" w:hanging="227"/>
            </w:pPr>
            <w:r>
              <w:t>No difference was observed between TIO and ACL in terms of trough FEV</w:t>
            </w:r>
            <w:r>
              <w:rPr>
                <w:vertAlign w:val="subscript"/>
              </w:rPr>
              <w:t>1</w:t>
            </w:r>
            <w:r>
              <w:t xml:space="preserve"> when used as triple therapy with ICS/LABA.</w:t>
            </w:r>
          </w:p>
          <w:p w:rsidR="007D7AD8" w:rsidRPr="00452983" w:rsidRDefault="007D7AD8" w:rsidP="00CD1D07">
            <w:pPr>
              <w:pStyle w:val="06Tabletextspacebefore"/>
              <w:numPr>
                <w:ilvl w:val="0"/>
                <w:numId w:val="15"/>
              </w:numPr>
              <w:spacing w:before="20"/>
              <w:ind w:left="227" w:hanging="227"/>
            </w:pPr>
            <w:r>
              <w:t>No other head-to-head trials of ACL versus other LAMAs were identified.</w:t>
            </w:r>
          </w:p>
        </w:tc>
      </w:tr>
      <w:tr w:rsidR="007D7AD8" w:rsidTr="00B07120">
        <w:tblPrEx>
          <w:tblLook w:val="0480" w:firstRow="0" w:lastRow="0" w:firstColumn="1" w:lastColumn="0" w:noHBand="0" w:noVBand="1"/>
        </w:tblPrEx>
        <w:trPr>
          <w:cantSplit/>
        </w:trPr>
        <w:tc>
          <w:tcPr>
            <w:tcW w:w="1586" w:type="pct"/>
            <w:gridSpan w:val="2"/>
            <w:tcBorders>
              <w:top w:val="single" w:sz="4" w:space="0" w:color="auto"/>
              <w:bottom w:val="single" w:sz="4" w:space="0" w:color="auto"/>
            </w:tcBorders>
            <w:shd w:val="clear" w:color="auto" w:fill="000000" w:themeFill="text1"/>
            <w:vAlign w:val="bottom"/>
          </w:tcPr>
          <w:p w:rsidR="007D7AD8" w:rsidRDefault="007D7AD8" w:rsidP="00B07120">
            <w:pPr>
              <w:pStyle w:val="04Tablesubheading"/>
            </w:pPr>
            <w:r>
              <w:t>UME: LAMA vs LAMA</w:t>
            </w:r>
          </w:p>
        </w:tc>
        <w:tc>
          <w:tcPr>
            <w:tcW w:w="568" w:type="pct"/>
            <w:tcBorders>
              <w:bottom w:val="single" w:sz="4" w:space="0" w:color="auto"/>
            </w:tcBorders>
            <w:shd w:val="clear" w:color="auto" w:fill="000000" w:themeFill="text1"/>
          </w:tcPr>
          <w:p w:rsidR="007D7AD8" w:rsidRDefault="007D7AD8" w:rsidP="00B07120">
            <w:pPr>
              <w:pStyle w:val="04Tablesubheading"/>
            </w:pPr>
          </w:p>
        </w:tc>
        <w:tc>
          <w:tcPr>
            <w:tcW w:w="2846" w:type="pct"/>
            <w:tcBorders>
              <w:bottom w:val="single" w:sz="4" w:space="0" w:color="auto"/>
            </w:tcBorders>
            <w:shd w:val="clear" w:color="auto" w:fill="000000" w:themeFill="text1"/>
          </w:tcPr>
          <w:p w:rsidR="007D7AD8" w:rsidRDefault="007D7AD8" w:rsidP="00B07120">
            <w:pPr>
              <w:pStyle w:val="04Tablesubheading"/>
              <w:ind w:left="777"/>
            </w:pPr>
          </w:p>
        </w:tc>
      </w:tr>
      <w:tr w:rsidR="007D7AD8" w:rsidRPr="009634BA" w:rsidTr="00B07120">
        <w:tblPrEx>
          <w:tblLook w:val="0480" w:firstRow="0" w:lastRow="0" w:firstColumn="1" w:lastColumn="0" w:noHBand="0" w:noVBand="1"/>
        </w:tblPrEx>
        <w:trPr>
          <w:cantSplit/>
        </w:trPr>
        <w:tc>
          <w:tcPr>
            <w:tcW w:w="651" w:type="pct"/>
            <w:tcBorders>
              <w:top w:val="single" w:sz="4" w:space="0" w:color="auto"/>
              <w:bottom w:val="single" w:sz="4" w:space="0" w:color="auto"/>
            </w:tcBorders>
            <w:shd w:val="clear" w:color="auto" w:fill="F2F2F2" w:themeFill="background1" w:themeFillShade="F2"/>
          </w:tcPr>
          <w:p w:rsidR="007D7AD8" w:rsidRDefault="007D7AD8" w:rsidP="00B07120">
            <w:pPr>
              <w:pStyle w:val="05Tabletext"/>
            </w:pPr>
            <w:r>
              <w:t xml:space="preserve">July 2014 </w:t>
            </w:r>
          </w:p>
        </w:tc>
        <w:tc>
          <w:tcPr>
            <w:tcW w:w="935" w:type="pct"/>
            <w:tcBorders>
              <w:bottom w:val="single" w:sz="4" w:space="0" w:color="auto"/>
            </w:tcBorders>
            <w:shd w:val="clear" w:color="auto" w:fill="F2F2F2" w:themeFill="background1" w:themeFillShade="F2"/>
          </w:tcPr>
          <w:p w:rsidR="007D7AD8" w:rsidRDefault="007D7AD8" w:rsidP="00B07120">
            <w:pPr>
              <w:pStyle w:val="05Tabletext"/>
              <w:ind w:right="0"/>
              <w:jc w:val="center"/>
            </w:pPr>
            <w:r>
              <w:t xml:space="preserve">No head-to-head trials </w:t>
            </w:r>
          </w:p>
          <w:p w:rsidR="007D7AD8" w:rsidRDefault="007D7AD8" w:rsidP="00B07120">
            <w:pPr>
              <w:pStyle w:val="06Tabletextspacebefore"/>
              <w:spacing w:before="20"/>
              <w:jc w:val="center"/>
            </w:pPr>
            <w:r>
              <w:t>Indirect comparison via placebo as common comparator</w:t>
            </w:r>
          </w:p>
        </w:tc>
        <w:tc>
          <w:tcPr>
            <w:tcW w:w="568" w:type="pct"/>
            <w:tcBorders>
              <w:bottom w:val="single" w:sz="4" w:space="0" w:color="auto"/>
            </w:tcBorders>
            <w:shd w:val="clear" w:color="auto" w:fill="F2F2F2" w:themeFill="background1" w:themeFillShade="F2"/>
          </w:tcPr>
          <w:p w:rsidR="007D7AD8" w:rsidRDefault="007D7AD8" w:rsidP="00B07120">
            <w:pPr>
              <w:pStyle w:val="05Tabletext"/>
              <w:jc w:val="center"/>
            </w:pPr>
            <w:r>
              <w:t>UME vs TIO</w:t>
            </w:r>
          </w:p>
        </w:tc>
        <w:tc>
          <w:tcPr>
            <w:tcW w:w="2846" w:type="pct"/>
            <w:tcBorders>
              <w:bottom w:val="single" w:sz="4" w:space="0" w:color="auto"/>
            </w:tcBorders>
            <w:shd w:val="clear" w:color="auto" w:fill="F2F2F2" w:themeFill="background1" w:themeFillShade="F2"/>
          </w:tcPr>
          <w:p w:rsidR="007D7AD8" w:rsidRDefault="007D7AD8" w:rsidP="00CD1D07">
            <w:pPr>
              <w:pStyle w:val="05Tabletext"/>
              <w:numPr>
                <w:ilvl w:val="0"/>
                <w:numId w:val="15"/>
              </w:numPr>
              <w:ind w:left="227" w:hanging="227"/>
            </w:pPr>
            <w:r>
              <w:t xml:space="preserve">UME was considered non-inferior in terms of comparative effectiveness and of similar safety to TIO, and was cost-minimised. </w:t>
            </w:r>
          </w:p>
          <w:p w:rsidR="007D7AD8" w:rsidRPr="009634BA" w:rsidRDefault="007D7AD8" w:rsidP="00CD1D07">
            <w:pPr>
              <w:pStyle w:val="06Tabletextspacebefore"/>
              <w:numPr>
                <w:ilvl w:val="0"/>
                <w:numId w:val="15"/>
              </w:numPr>
              <w:spacing w:before="20"/>
              <w:ind w:left="227" w:hanging="227"/>
            </w:pPr>
            <w:r>
              <w:t xml:space="preserve">No head-to-head trials of UME versus other LAMAs were considered by the PBAC at the time. </w:t>
            </w:r>
          </w:p>
        </w:tc>
      </w:tr>
      <w:tr w:rsidR="007D7AD8" w:rsidTr="00B07120">
        <w:tblPrEx>
          <w:tblLook w:val="0480" w:firstRow="0" w:lastRow="0" w:firstColumn="1" w:lastColumn="0" w:noHBand="0" w:noVBand="1"/>
        </w:tblPrEx>
        <w:trPr>
          <w:cantSplit/>
        </w:trPr>
        <w:tc>
          <w:tcPr>
            <w:tcW w:w="651" w:type="pct"/>
            <w:tcBorders>
              <w:top w:val="single" w:sz="4" w:space="0" w:color="auto"/>
              <w:bottom w:val="nil"/>
            </w:tcBorders>
            <w:shd w:val="clear" w:color="auto" w:fill="auto"/>
          </w:tcPr>
          <w:p w:rsidR="007D7AD8" w:rsidRDefault="007D7AD8" w:rsidP="00B07120">
            <w:pPr>
              <w:pStyle w:val="05Tabletext"/>
            </w:pPr>
            <w:r>
              <w:t>New evidence</w:t>
            </w:r>
          </w:p>
        </w:tc>
        <w:tc>
          <w:tcPr>
            <w:tcW w:w="935" w:type="pct"/>
            <w:tcBorders>
              <w:top w:val="single" w:sz="4" w:space="0" w:color="auto"/>
            </w:tcBorders>
            <w:shd w:val="clear" w:color="auto" w:fill="auto"/>
          </w:tcPr>
          <w:p w:rsidR="007D7AD8" w:rsidRDefault="007D7AD8" w:rsidP="00B07120">
            <w:pPr>
              <w:pStyle w:val="05Tabletext"/>
              <w:jc w:val="center"/>
            </w:pPr>
            <w:r>
              <w:t>Feldman (2016)</w:t>
            </w:r>
            <w:r>
              <w:br/>
              <w:t>Non-inferiority, double-blind, double-dummy</w:t>
            </w:r>
            <w:r>
              <w:br/>
              <w:t xml:space="preserve">Good </w:t>
            </w:r>
            <w:proofErr w:type="spellStart"/>
            <w:r>
              <w:t>quality</w:t>
            </w:r>
            <w:r>
              <w:rPr>
                <w:vertAlign w:val="superscript"/>
              </w:rPr>
              <w:t>b</w:t>
            </w:r>
            <w:proofErr w:type="spellEnd"/>
            <w:r>
              <w:br/>
              <w:t>N=1,017; 12 weeks</w:t>
            </w:r>
          </w:p>
        </w:tc>
        <w:tc>
          <w:tcPr>
            <w:tcW w:w="568" w:type="pct"/>
            <w:tcBorders>
              <w:top w:val="single" w:sz="4" w:space="0" w:color="auto"/>
            </w:tcBorders>
          </w:tcPr>
          <w:p w:rsidR="007D7AD8" w:rsidRDefault="007D7AD8" w:rsidP="00B07120">
            <w:pPr>
              <w:pStyle w:val="05Tabletext"/>
              <w:jc w:val="center"/>
            </w:pPr>
            <w:r>
              <w:t>UME vs TIO</w:t>
            </w:r>
          </w:p>
        </w:tc>
        <w:tc>
          <w:tcPr>
            <w:tcW w:w="2846" w:type="pct"/>
            <w:tcBorders>
              <w:top w:val="single" w:sz="4" w:space="0" w:color="auto"/>
            </w:tcBorders>
            <w:shd w:val="clear" w:color="auto" w:fill="auto"/>
          </w:tcPr>
          <w:p w:rsidR="007D7AD8" w:rsidRPr="006527F4" w:rsidRDefault="007D7AD8" w:rsidP="00CD1D07">
            <w:pPr>
              <w:pStyle w:val="05Tabletext"/>
              <w:numPr>
                <w:ilvl w:val="0"/>
                <w:numId w:val="15"/>
              </w:numPr>
              <w:ind w:left="227" w:hanging="227"/>
            </w:pPr>
            <w:r>
              <w:t>UME</w:t>
            </w:r>
            <w:r w:rsidRPr="00554FB0">
              <w:t xml:space="preserve"> </w:t>
            </w:r>
            <w:r>
              <w:t xml:space="preserve">was </w:t>
            </w:r>
            <w:r w:rsidRPr="00554FB0">
              <w:t xml:space="preserve">superior to </w:t>
            </w:r>
            <w:r>
              <w:t>TIO based on trough FEV</w:t>
            </w:r>
            <w:r w:rsidRPr="006527F4">
              <w:rPr>
                <w:vertAlign w:val="subscript"/>
              </w:rPr>
              <w:t>1</w:t>
            </w:r>
            <w:r>
              <w:t>; however, there were no significant differences between UME and TIO based on other efficacy outcomes including TDI, SGRQ and CAT scores.</w:t>
            </w:r>
          </w:p>
          <w:p w:rsidR="007D7AD8" w:rsidRDefault="007D7AD8" w:rsidP="00CD1D07">
            <w:pPr>
              <w:pStyle w:val="06Tabletextspacebefore"/>
              <w:numPr>
                <w:ilvl w:val="0"/>
                <w:numId w:val="15"/>
              </w:numPr>
              <w:spacing w:before="20"/>
              <w:ind w:left="227" w:hanging="227"/>
            </w:pPr>
            <w:r>
              <w:t>UME non-inferior to TIO based on other efficacy outcomes including TDI, SGRQ and CAT scores.</w:t>
            </w:r>
          </w:p>
        </w:tc>
      </w:tr>
      <w:tr w:rsidR="007D7AD8" w:rsidRPr="009634BA" w:rsidTr="00B07120">
        <w:tblPrEx>
          <w:tblLook w:val="0480" w:firstRow="0" w:lastRow="0" w:firstColumn="1" w:lastColumn="0" w:noHBand="0" w:noVBand="1"/>
        </w:tblPrEx>
        <w:trPr>
          <w:cantSplit/>
        </w:trPr>
        <w:tc>
          <w:tcPr>
            <w:tcW w:w="651" w:type="pct"/>
            <w:tcBorders>
              <w:top w:val="nil"/>
              <w:bottom w:val="nil"/>
            </w:tcBorders>
            <w:shd w:val="clear" w:color="auto" w:fill="auto"/>
          </w:tcPr>
          <w:p w:rsidR="007D7AD8" w:rsidRDefault="007D7AD8" w:rsidP="00B07120">
            <w:pPr>
              <w:pStyle w:val="05Tabletext"/>
            </w:pPr>
          </w:p>
        </w:tc>
        <w:tc>
          <w:tcPr>
            <w:tcW w:w="935" w:type="pct"/>
            <w:shd w:val="clear" w:color="auto" w:fill="auto"/>
          </w:tcPr>
          <w:p w:rsidR="007D7AD8" w:rsidRDefault="007D7AD8" w:rsidP="00B07120">
            <w:pPr>
              <w:pStyle w:val="05Tabletext"/>
              <w:jc w:val="center"/>
            </w:pPr>
            <w:r>
              <w:t>Donohue (2012)</w:t>
            </w:r>
            <w:r>
              <w:br/>
              <w:t>Dose-ranging study</w:t>
            </w:r>
            <w:r>
              <w:br/>
              <w:t>Double-blind, cross-over</w:t>
            </w:r>
            <w:r>
              <w:br/>
              <w:t>Fair quality</w:t>
            </w:r>
            <w:r>
              <w:br/>
              <w:t>N=176; 2 weeks</w:t>
            </w:r>
          </w:p>
        </w:tc>
        <w:tc>
          <w:tcPr>
            <w:tcW w:w="568" w:type="pct"/>
          </w:tcPr>
          <w:p w:rsidR="007D7AD8" w:rsidRDefault="007D7AD8" w:rsidP="00B07120">
            <w:pPr>
              <w:pStyle w:val="05Tabletext"/>
              <w:jc w:val="center"/>
            </w:pPr>
            <w:r>
              <w:t>UME vs TIO</w:t>
            </w:r>
          </w:p>
        </w:tc>
        <w:tc>
          <w:tcPr>
            <w:tcW w:w="2846" w:type="pct"/>
            <w:shd w:val="clear" w:color="auto" w:fill="auto"/>
          </w:tcPr>
          <w:p w:rsidR="007D7AD8" w:rsidRPr="009634BA" w:rsidRDefault="007D7AD8" w:rsidP="00CD1D07">
            <w:pPr>
              <w:pStyle w:val="05Tabletext"/>
              <w:numPr>
                <w:ilvl w:val="0"/>
                <w:numId w:val="15"/>
              </w:numPr>
              <w:ind w:left="227" w:hanging="227"/>
            </w:pPr>
            <w:r>
              <w:t>The results for the UME (blinded) and TIO (open-label) were not directly compared (UME and TIO were both compared with placebo). However, UME resulted in a numerically greater change in trough FEV</w:t>
            </w:r>
            <w:r>
              <w:rPr>
                <w:vertAlign w:val="subscript"/>
              </w:rPr>
              <w:t xml:space="preserve">1 </w:t>
            </w:r>
            <w:r>
              <w:t>from baseline than TIO.</w:t>
            </w:r>
          </w:p>
        </w:tc>
      </w:tr>
      <w:tr w:rsidR="007D7AD8" w:rsidTr="00B07120">
        <w:tblPrEx>
          <w:tblLook w:val="0480" w:firstRow="0" w:lastRow="0" w:firstColumn="1" w:lastColumn="0" w:noHBand="0" w:noVBand="1"/>
        </w:tblPrEx>
        <w:trPr>
          <w:cantSplit/>
        </w:trPr>
        <w:tc>
          <w:tcPr>
            <w:tcW w:w="651" w:type="pct"/>
            <w:tcBorders>
              <w:top w:val="nil"/>
            </w:tcBorders>
            <w:shd w:val="clear" w:color="auto" w:fill="auto"/>
          </w:tcPr>
          <w:p w:rsidR="007D7AD8" w:rsidRDefault="007D7AD8" w:rsidP="00B07120">
            <w:pPr>
              <w:pStyle w:val="05Tabletext"/>
            </w:pPr>
          </w:p>
        </w:tc>
        <w:tc>
          <w:tcPr>
            <w:tcW w:w="935" w:type="pct"/>
            <w:shd w:val="clear" w:color="auto" w:fill="auto"/>
          </w:tcPr>
          <w:p w:rsidR="007D7AD8" w:rsidRDefault="007D7AD8" w:rsidP="00B07120">
            <w:pPr>
              <w:pStyle w:val="05Tabletext"/>
              <w:jc w:val="center"/>
            </w:pPr>
            <w:r>
              <w:t>See trial NCT02236611 (above)</w:t>
            </w:r>
          </w:p>
        </w:tc>
        <w:tc>
          <w:tcPr>
            <w:tcW w:w="568" w:type="pct"/>
          </w:tcPr>
          <w:p w:rsidR="007D7AD8" w:rsidRDefault="007D7AD8" w:rsidP="00B07120">
            <w:pPr>
              <w:pStyle w:val="05Tabletext"/>
              <w:jc w:val="center"/>
            </w:pPr>
            <w:r>
              <w:t>UME vs GLY</w:t>
            </w:r>
          </w:p>
        </w:tc>
        <w:tc>
          <w:tcPr>
            <w:tcW w:w="2846" w:type="pct"/>
            <w:shd w:val="clear" w:color="auto" w:fill="auto"/>
          </w:tcPr>
          <w:p w:rsidR="007D7AD8" w:rsidRDefault="007D7AD8" w:rsidP="00CD1D07">
            <w:pPr>
              <w:pStyle w:val="05Tabletext"/>
              <w:numPr>
                <w:ilvl w:val="0"/>
                <w:numId w:val="15"/>
              </w:numPr>
              <w:ind w:left="227" w:hanging="227"/>
            </w:pPr>
            <w:r>
              <w:t>UME appears non-inferior to GLY based on least squares mean change from baseline in trough FEV</w:t>
            </w:r>
            <w:r>
              <w:rPr>
                <w:vertAlign w:val="subscript"/>
              </w:rPr>
              <w:t>1</w:t>
            </w:r>
            <w:r>
              <w:t>.</w:t>
            </w:r>
          </w:p>
        </w:tc>
      </w:tr>
    </w:tbl>
    <w:p w:rsidR="007D7AD8" w:rsidRDefault="007D7AD8" w:rsidP="007D7AD8">
      <w:pPr>
        <w:pStyle w:val="10TableorFigurefootnote"/>
      </w:pPr>
      <w:r>
        <w:t xml:space="preserve">Abbreviations: ACL, </w:t>
      </w:r>
      <w:proofErr w:type="spellStart"/>
      <w:r>
        <w:t>aclidinium</w:t>
      </w:r>
      <w:proofErr w:type="spellEnd"/>
      <w:r>
        <w:t>; CAT, COPD Assessment Test; COPD, chronic obstructive pulmonary disease; FEV</w:t>
      </w:r>
      <w:r>
        <w:rPr>
          <w:vertAlign w:val="subscript"/>
        </w:rPr>
        <w:t>1</w:t>
      </w:r>
      <w:r>
        <w:t xml:space="preserve">, forced expiratory volume in one second; FLU, fluticasone; GLY, </w:t>
      </w:r>
      <w:proofErr w:type="spellStart"/>
      <w:r>
        <w:t>glycopyrronium</w:t>
      </w:r>
      <w:proofErr w:type="spellEnd"/>
      <w:r>
        <w:t xml:space="preserve">; ICS, inhaled corticosteroid; IND, </w:t>
      </w:r>
      <w:proofErr w:type="spellStart"/>
      <w:r>
        <w:t>indacaterol</w:t>
      </w:r>
      <w:proofErr w:type="spellEnd"/>
      <w:r>
        <w:t xml:space="preserve">; IPR, ipratropium; </w:t>
      </w:r>
      <w:r w:rsidRPr="00A11CA0">
        <w:t>LAMA, long-acting muscarinic antagonist</w:t>
      </w:r>
      <w:r>
        <w:t>;</w:t>
      </w:r>
      <w:r w:rsidRPr="00A11CA0">
        <w:t xml:space="preserve"> </w:t>
      </w:r>
      <w:r>
        <w:t xml:space="preserve">MCID, minimal clinically important difference; PBAC, Pharmaceutic Benefits Advisory Committee; PBS, Pharmaceutical Benefits Scheme; SAL, salmeterol; SAMA, short-acting muscarinic antagonist; SGRQ, St George’s Respiratory Questionnaire; TDI, Transition </w:t>
      </w:r>
      <w:proofErr w:type="spellStart"/>
      <w:r>
        <w:t>Dyspnea</w:t>
      </w:r>
      <w:proofErr w:type="spellEnd"/>
      <w:r>
        <w:t xml:space="preserve"> Index; TIO, tiotropium; UME, </w:t>
      </w:r>
      <w:proofErr w:type="spellStart"/>
      <w:r>
        <w:t>umeclidinium</w:t>
      </w:r>
      <w:proofErr w:type="spellEnd"/>
      <w:r>
        <w:t>.</w:t>
      </w:r>
    </w:p>
    <w:p w:rsidR="007D7AD8" w:rsidRDefault="007D7AD8" w:rsidP="007D7AD8">
      <w:pPr>
        <w:pStyle w:val="10TableorFigurefootnote"/>
      </w:pPr>
      <w:proofErr w:type="gramStart"/>
      <w:r>
        <w:rPr>
          <w:b/>
        </w:rPr>
        <w:t>a</w:t>
      </w:r>
      <w:proofErr w:type="gramEnd"/>
      <w:r>
        <w:t xml:space="preserve"> </w:t>
      </w:r>
      <w:proofErr w:type="spellStart"/>
      <w:r>
        <w:t>Respimat</w:t>
      </w:r>
      <w:proofErr w:type="spellEnd"/>
      <w:r>
        <w:t xml:space="preserve"> versus </w:t>
      </w:r>
      <w:proofErr w:type="spellStart"/>
      <w:r>
        <w:t>HandiHaler</w:t>
      </w:r>
      <w:proofErr w:type="spellEnd"/>
      <w:r>
        <w:t>.</w:t>
      </w:r>
    </w:p>
    <w:p w:rsidR="007D7AD8" w:rsidRDefault="007D7AD8" w:rsidP="007D7AD8">
      <w:pPr>
        <w:pStyle w:val="11TableorFigurefootnotenostick"/>
      </w:pPr>
      <w:r w:rsidRPr="004F3C29">
        <w:rPr>
          <w:b/>
        </w:rPr>
        <w:t>b</w:t>
      </w:r>
      <w:r>
        <w:t xml:space="preserve"> Overall the study was deemed to be of good quality (see Appendix M); however, concerns have been raised about whether differences in the markings between TIO and placebo capsules may have impacted on the blinding of treatment assignment (discussed further in Section 3.4.1).</w:t>
      </w:r>
    </w:p>
    <w:p w:rsidR="00AA39D1" w:rsidRDefault="00AA39D1" w:rsidP="000558C0">
      <w:pPr>
        <w:pStyle w:val="Heading4"/>
      </w:pPr>
      <w:r>
        <w:t>Monotherapy versus dual therapy in patients with COPD</w:t>
      </w:r>
    </w:p>
    <w:p w:rsidR="00AA39D1" w:rsidRDefault="00AA39D1" w:rsidP="00AA39D1">
      <w:r w:rsidRPr="0056628B">
        <w:t xml:space="preserve">There is evidence of </w:t>
      </w:r>
      <w:r>
        <w:t>a modest</w:t>
      </w:r>
      <w:r w:rsidRPr="0056628B">
        <w:t xml:space="preserve"> benefit </w:t>
      </w:r>
      <w:r>
        <w:t xml:space="preserve">in stepping up from </w:t>
      </w:r>
      <w:r w:rsidRPr="0056628B">
        <w:t xml:space="preserve">LAMA </w:t>
      </w:r>
      <w:proofErr w:type="gramStart"/>
      <w:r w:rsidRPr="0056628B">
        <w:t>monotherapy</w:t>
      </w:r>
      <w:proofErr w:type="gramEnd"/>
      <w:r w:rsidRPr="0056628B">
        <w:t xml:space="preserve"> to LAMA/LABA dual therapy</w:t>
      </w:r>
      <w:r w:rsidR="004A29A8">
        <w:t xml:space="preserve"> (see Table ES </w:t>
      </w:r>
      <w:r>
        <w:t>4) in patients with COPD</w:t>
      </w:r>
      <w:r w:rsidR="00C912B7">
        <w:t>,</w:t>
      </w:r>
      <w:r>
        <w:t xml:space="preserve"> with numerically reduced </w:t>
      </w:r>
      <w:r w:rsidRPr="00EF3AF5">
        <w:t>exacerbations</w:t>
      </w:r>
      <w:r>
        <w:t xml:space="preserve"> observed</w:t>
      </w:r>
      <w:r w:rsidRPr="0056628B">
        <w:t>. However, it sh</w:t>
      </w:r>
      <w:r>
        <w:t>ould be noted that many of the</w:t>
      </w:r>
      <w:r w:rsidRPr="0056628B">
        <w:t xml:space="preserve"> studies</w:t>
      </w:r>
      <w:r w:rsidR="004A29A8">
        <w:t xml:space="preserve"> summarised in Table ES </w:t>
      </w:r>
      <w:r>
        <w:t xml:space="preserve">4 </w:t>
      </w:r>
      <w:r w:rsidRPr="0056628B">
        <w:t xml:space="preserve">were only powered to detect a difference between LAMA/LABA </w:t>
      </w:r>
      <w:r>
        <w:t xml:space="preserve">dual </w:t>
      </w:r>
      <w:r w:rsidRPr="0056628B">
        <w:t xml:space="preserve">therapy and placebo and not to detect differences between LAMA/LABA dual therapy and LAMA </w:t>
      </w:r>
      <w:proofErr w:type="gramStart"/>
      <w:r w:rsidRPr="0056628B">
        <w:t>monotherapy</w:t>
      </w:r>
      <w:proofErr w:type="gramEnd"/>
      <w:r w:rsidRPr="0056628B">
        <w:t>.</w:t>
      </w:r>
      <w:r>
        <w:t xml:space="preserve"> No studies were identified that examined the benefits of stepping up from LABA monotherapy to LAMA/LABA dual therapy.</w:t>
      </w:r>
    </w:p>
    <w:p w:rsidR="00AA39D1" w:rsidRDefault="00AA39D1" w:rsidP="002A52A1">
      <w:r>
        <w:t xml:space="preserve">The INSPIRE 2008 study aimed to compare </w:t>
      </w:r>
      <w:r w:rsidRPr="0056628B">
        <w:t xml:space="preserve">LAMA </w:t>
      </w:r>
      <w:proofErr w:type="gramStart"/>
      <w:r w:rsidRPr="0056628B">
        <w:t>monotherapy</w:t>
      </w:r>
      <w:proofErr w:type="gramEnd"/>
      <w:r>
        <w:t xml:space="preserve"> to ICS</w:t>
      </w:r>
      <w:r w:rsidRPr="0056628B">
        <w:t>/LABA</w:t>
      </w:r>
      <w:r>
        <w:t xml:space="preserve"> dual therapy (</w:t>
      </w:r>
      <w:r w:rsidR="004A29A8">
        <w:t>fluticasone/salmeterol versus tiotropium</w:t>
      </w:r>
      <w:r>
        <w:t>). C</w:t>
      </w:r>
      <w:r w:rsidRPr="00AA6568">
        <w:t>omparable healthcare utilisation exacerbations per year</w:t>
      </w:r>
      <w:r>
        <w:t xml:space="preserve"> and a</w:t>
      </w:r>
      <w:r w:rsidRPr="00AA6568">
        <w:t xml:space="preserve"> statistically significant lower risk of all-cause mortality </w:t>
      </w:r>
      <w:r>
        <w:t>i</w:t>
      </w:r>
      <w:r w:rsidRPr="00AA6568">
        <w:t xml:space="preserve">n the </w:t>
      </w:r>
      <w:r>
        <w:t>ICS</w:t>
      </w:r>
      <w:r w:rsidRPr="0056628B">
        <w:t>/LABA</w:t>
      </w:r>
      <w:r>
        <w:t xml:space="preserve"> dual therapy </w:t>
      </w:r>
      <w:r w:rsidRPr="00AA6568">
        <w:t>group</w:t>
      </w:r>
      <w:r w:rsidR="004A29A8">
        <w:t xml:space="preserve"> (fluticasone/salmeterol) were observed. </w:t>
      </w:r>
      <w:proofErr w:type="spellStart"/>
      <w:r w:rsidRPr="006976E8">
        <w:t>Covelli</w:t>
      </w:r>
      <w:proofErr w:type="spellEnd"/>
      <w:r w:rsidRPr="006976E8">
        <w:t xml:space="preserve"> </w:t>
      </w:r>
      <w:r w:rsidR="002A52A1">
        <w:t>(</w:t>
      </w:r>
      <w:r>
        <w:t>2016</w:t>
      </w:r>
      <w:r w:rsidR="002A52A1">
        <w:t>)</w:t>
      </w:r>
      <w:r>
        <w:t xml:space="preserve"> compared </w:t>
      </w:r>
      <w:r w:rsidRPr="0056628B">
        <w:t>LA</w:t>
      </w:r>
      <w:r w:rsidR="00C9630C">
        <w:t>M</w:t>
      </w:r>
      <w:r w:rsidRPr="0056628B">
        <w:t xml:space="preserve">A </w:t>
      </w:r>
      <w:proofErr w:type="gramStart"/>
      <w:r w:rsidRPr="0056628B">
        <w:t>monotherapy</w:t>
      </w:r>
      <w:proofErr w:type="gramEnd"/>
      <w:r>
        <w:t xml:space="preserve"> to ICS</w:t>
      </w:r>
      <w:r w:rsidRPr="0056628B">
        <w:t>/LABA</w:t>
      </w:r>
      <w:r>
        <w:t xml:space="preserve"> dual therapy (</w:t>
      </w:r>
      <w:r w:rsidR="004A29A8">
        <w:t>fluticasone/</w:t>
      </w:r>
      <w:proofErr w:type="spellStart"/>
      <w:r w:rsidR="004A29A8">
        <w:t>vilanterol</w:t>
      </w:r>
      <w:proofErr w:type="spellEnd"/>
      <w:r w:rsidR="004A29A8">
        <w:t xml:space="preserve"> versus tiotropium</w:t>
      </w:r>
      <w:r>
        <w:t xml:space="preserve">). No clinically meaningful difference in </w:t>
      </w:r>
      <w:r w:rsidRPr="00A40E26">
        <w:t xml:space="preserve">trough </w:t>
      </w:r>
      <w:r>
        <w:t>FEV</w:t>
      </w:r>
      <w:r>
        <w:rPr>
          <w:vertAlign w:val="subscript"/>
        </w:rPr>
        <w:t xml:space="preserve">1 </w:t>
      </w:r>
      <w:r>
        <w:t xml:space="preserve">was observed across </w:t>
      </w:r>
      <w:r w:rsidR="004A29A8">
        <w:t xml:space="preserve">treatment groups. </w:t>
      </w:r>
      <w:r>
        <w:t>An increased rate of pneumonia and numerically fewer COPD exacerbations</w:t>
      </w:r>
      <w:r w:rsidRPr="001264A4">
        <w:t xml:space="preserve"> </w:t>
      </w:r>
      <w:r>
        <w:t>was observed in the ICS</w:t>
      </w:r>
      <w:r w:rsidRPr="0056628B">
        <w:t>/LABA</w:t>
      </w:r>
      <w:r>
        <w:t xml:space="preserve"> group.</w:t>
      </w:r>
    </w:p>
    <w:p w:rsidR="00AA39D1" w:rsidRDefault="00AA39D1" w:rsidP="00AA39D1">
      <w:r>
        <w:t>No studies were identified that examined the benefits of stepping up from LABA monotherapy to ICS/LABA dual t</w:t>
      </w:r>
      <w:r w:rsidR="004A29A8">
        <w:t>herapy.  The INSTEAD 2014 study</w:t>
      </w:r>
      <w:r w:rsidRPr="00EC3378">
        <w:t xml:space="preserve"> assessed the effect of switching patients who are at low risk of COPD exacerbations from fluticasone/salmeterol to </w:t>
      </w:r>
      <w:proofErr w:type="spellStart"/>
      <w:r w:rsidRPr="00EC3378">
        <w:t>indacaterol</w:t>
      </w:r>
      <w:proofErr w:type="spellEnd"/>
      <w:r w:rsidRPr="00EC3378">
        <w:t xml:space="preserve"> monotherapy.</w:t>
      </w:r>
      <w:r w:rsidR="004A29A8">
        <w:t xml:space="preserve"> </w:t>
      </w:r>
      <w:r>
        <w:t>N</w:t>
      </w:r>
      <w:r w:rsidRPr="003417F0">
        <w:t xml:space="preserve">o clinically relevant differences between fluticasone/salmeterol and </w:t>
      </w:r>
      <w:proofErr w:type="spellStart"/>
      <w:r w:rsidRPr="003417F0">
        <w:t>indacaterol</w:t>
      </w:r>
      <w:proofErr w:type="spellEnd"/>
      <w:r w:rsidRPr="003417F0">
        <w:t xml:space="preserve"> for dyspnoea (</w:t>
      </w:r>
      <w:r w:rsidR="004A29A8">
        <w:t xml:space="preserve">Transition Dyspnoea Index: </w:t>
      </w:r>
      <w:r w:rsidRPr="003417F0">
        <w:t>TDI), health status (SGRQ) and use of rescue medication</w:t>
      </w:r>
      <w:r>
        <w:t xml:space="preserve"> were observed suggesting </w:t>
      </w:r>
      <w:r w:rsidRPr="003417F0">
        <w:t>patient</w:t>
      </w:r>
      <w:r>
        <w:t>s</w:t>
      </w:r>
      <w:r w:rsidRPr="003417F0">
        <w:t xml:space="preserve"> can be switched from ICS/LABA to </w:t>
      </w:r>
      <w:proofErr w:type="spellStart"/>
      <w:r w:rsidRPr="003417F0">
        <w:t>indacaterol</w:t>
      </w:r>
      <w:proofErr w:type="spellEnd"/>
      <w:r w:rsidRPr="003417F0">
        <w:t xml:space="preserve"> with no loss of efficacy and without triggering exacerbations.</w:t>
      </w:r>
    </w:p>
    <w:p w:rsidR="002A52A1" w:rsidRDefault="002A52A1" w:rsidP="002A52A1">
      <w:r>
        <w:t xml:space="preserve">These findings are generally consistent with previous PBAC decision making, where LAMA/LABA dual therapy was considered superior to LAMA </w:t>
      </w:r>
      <w:proofErr w:type="gramStart"/>
      <w:r>
        <w:t>monotherapy</w:t>
      </w:r>
      <w:proofErr w:type="gramEnd"/>
      <w:r>
        <w:t xml:space="preserve"> (July 2014), and ICS/LABA FDC was considered non-inferior to LAMA monotherapy (March 2007). </w:t>
      </w:r>
    </w:p>
    <w:p w:rsidR="00AA39D1" w:rsidRDefault="004A29A8" w:rsidP="00283E41">
      <w:pPr>
        <w:pStyle w:val="ExSTableHeader"/>
        <w:keepNext/>
        <w:keepLines/>
      </w:pPr>
      <w:bookmarkStart w:id="18" w:name="_Toc486853625"/>
      <w:r>
        <w:lastRenderedPageBreak/>
        <w:t xml:space="preserve">Table ES </w:t>
      </w:r>
      <w:r w:rsidR="00F33DF6">
        <w:t>4</w:t>
      </w:r>
      <w:r w:rsidR="00F33DF6">
        <w:tab/>
      </w:r>
      <w:r w:rsidR="00AA39D1">
        <w:t>Summary of new evidence for monotherapy versus dual therapy in patients with COPD</w:t>
      </w:r>
      <w:bookmarkEnd w:id="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Caption w:val="Key findings"/>
        <w:tblDescription w:val="Summary of evidence for monotherapy versus dual therapy"/>
      </w:tblPr>
      <w:tblGrid>
        <w:gridCol w:w="1131"/>
        <w:gridCol w:w="135"/>
        <w:gridCol w:w="1783"/>
        <w:gridCol w:w="21"/>
        <w:gridCol w:w="1052"/>
        <w:gridCol w:w="42"/>
        <w:gridCol w:w="5484"/>
      </w:tblGrid>
      <w:tr w:rsidR="00AA39D1" w:rsidRPr="00F01736" w:rsidTr="00E55643">
        <w:trPr>
          <w:cantSplit/>
          <w:tblHeader/>
        </w:trPr>
        <w:tc>
          <w:tcPr>
            <w:tcW w:w="586" w:type="pct"/>
            <w:shd w:val="clear" w:color="auto" w:fill="BFBFBF"/>
          </w:tcPr>
          <w:p w:rsidR="00AA39D1" w:rsidRPr="00F01736" w:rsidRDefault="00AA39D1" w:rsidP="00283E41">
            <w:pPr>
              <w:pStyle w:val="01TableHEADINGleftaligned"/>
              <w:keepLines/>
            </w:pPr>
            <w:r>
              <w:t>PBAC consideration</w:t>
            </w:r>
          </w:p>
        </w:tc>
        <w:tc>
          <w:tcPr>
            <w:tcW w:w="994" w:type="pct"/>
            <w:gridSpan w:val="2"/>
            <w:shd w:val="clear" w:color="auto" w:fill="BFBFBF"/>
          </w:tcPr>
          <w:p w:rsidR="00AA39D1" w:rsidRPr="00F01736" w:rsidRDefault="00AA39D1" w:rsidP="00283E41">
            <w:pPr>
              <w:pStyle w:val="01TableHEADINGleftaligned"/>
              <w:keepLines/>
              <w:jc w:val="center"/>
            </w:pPr>
            <w:r>
              <w:t>Head-to-head trials</w:t>
            </w:r>
          </w:p>
        </w:tc>
        <w:tc>
          <w:tcPr>
            <w:tcW w:w="556" w:type="pct"/>
            <w:gridSpan w:val="2"/>
            <w:shd w:val="clear" w:color="auto" w:fill="BFBFBF"/>
          </w:tcPr>
          <w:p w:rsidR="00AA39D1" w:rsidRDefault="00AA39D1" w:rsidP="00283E41">
            <w:pPr>
              <w:pStyle w:val="01TableHEADINGleftaligned"/>
              <w:keepLines/>
              <w:jc w:val="center"/>
            </w:pPr>
            <w:r>
              <w:t>Comparison</w:t>
            </w:r>
          </w:p>
        </w:tc>
        <w:tc>
          <w:tcPr>
            <w:tcW w:w="2864" w:type="pct"/>
            <w:gridSpan w:val="2"/>
            <w:shd w:val="clear" w:color="auto" w:fill="BFBFBF"/>
          </w:tcPr>
          <w:p w:rsidR="00AA39D1" w:rsidRPr="00F01736" w:rsidRDefault="00AA39D1" w:rsidP="00283E41">
            <w:pPr>
              <w:pStyle w:val="01TableHEADINGleftaligned"/>
              <w:keepLines/>
              <w:jc w:val="center"/>
            </w:pPr>
            <w:r>
              <w:t>Summary of evidence</w:t>
            </w:r>
          </w:p>
        </w:tc>
      </w:tr>
      <w:tr w:rsidR="00AA39D1" w:rsidTr="00E55643">
        <w:trPr>
          <w:cantSplit/>
        </w:trPr>
        <w:tc>
          <w:tcPr>
            <w:tcW w:w="1580" w:type="pct"/>
            <w:gridSpan w:val="3"/>
            <w:shd w:val="clear" w:color="auto" w:fill="000000" w:themeFill="text1"/>
            <w:vAlign w:val="center"/>
          </w:tcPr>
          <w:p w:rsidR="00AA39D1" w:rsidRDefault="00AA39D1" w:rsidP="00283E41">
            <w:pPr>
              <w:pStyle w:val="04Tablesubheading"/>
              <w:keepLines/>
              <w:ind w:left="0"/>
            </w:pPr>
            <w:r>
              <w:t>UME/VIL: LAMA/LABA vs LAMA or LABA</w:t>
            </w:r>
          </w:p>
        </w:tc>
        <w:tc>
          <w:tcPr>
            <w:tcW w:w="556" w:type="pct"/>
            <w:gridSpan w:val="2"/>
            <w:shd w:val="clear" w:color="auto" w:fill="000000" w:themeFill="text1"/>
          </w:tcPr>
          <w:p w:rsidR="00AA39D1" w:rsidRDefault="00AA39D1" w:rsidP="00283E41">
            <w:pPr>
              <w:pStyle w:val="04Tablesubheading"/>
              <w:keepLines/>
            </w:pPr>
          </w:p>
        </w:tc>
        <w:tc>
          <w:tcPr>
            <w:tcW w:w="2864" w:type="pct"/>
            <w:gridSpan w:val="2"/>
            <w:shd w:val="clear" w:color="auto" w:fill="000000" w:themeFill="text1"/>
          </w:tcPr>
          <w:p w:rsidR="00AA39D1" w:rsidRDefault="00AA39D1" w:rsidP="00283E41">
            <w:pPr>
              <w:pStyle w:val="04Tablesubheading"/>
              <w:keepLines/>
            </w:pPr>
          </w:p>
        </w:tc>
      </w:tr>
      <w:tr w:rsidR="00AA39D1" w:rsidRPr="00B4109A" w:rsidTr="00E55643">
        <w:trPr>
          <w:cantSplit/>
        </w:trPr>
        <w:tc>
          <w:tcPr>
            <w:tcW w:w="586" w:type="pct"/>
            <w:tcBorders>
              <w:bottom w:val="nil"/>
            </w:tcBorders>
            <w:shd w:val="clear" w:color="auto" w:fill="auto"/>
          </w:tcPr>
          <w:p w:rsidR="00AA39D1" w:rsidRDefault="00AA39D1" w:rsidP="00574FFB">
            <w:pPr>
              <w:pStyle w:val="05Tabletext"/>
              <w:keepNext/>
              <w:keepLines/>
            </w:pPr>
            <w:r>
              <w:t>New evidence</w:t>
            </w:r>
          </w:p>
        </w:tc>
        <w:tc>
          <w:tcPr>
            <w:tcW w:w="994" w:type="pct"/>
            <w:gridSpan w:val="2"/>
            <w:shd w:val="clear" w:color="auto" w:fill="auto"/>
          </w:tcPr>
          <w:p w:rsidR="00AA39D1" w:rsidRPr="00FC1FB4" w:rsidRDefault="00AA39D1" w:rsidP="00574FFB">
            <w:pPr>
              <w:pStyle w:val="05Tabletext"/>
              <w:keepNext/>
              <w:keepLines/>
              <w:jc w:val="center"/>
            </w:pPr>
            <w:proofErr w:type="spellStart"/>
            <w:r>
              <w:t>Maleki-Yazdi</w:t>
            </w:r>
            <w:proofErr w:type="spellEnd"/>
            <w:r>
              <w:t xml:space="preserve"> (2014)</w:t>
            </w:r>
            <w:r>
              <w:br/>
              <w:t>Superiority, double-blind, double-dummy</w:t>
            </w:r>
            <w:r>
              <w:br/>
              <w:t>Good quality</w:t>
            </w:r>
            <w:r>
              <w:br/>
              <w:t>N=905; 24 weeks</w:t>
            </w:r>
          </w:p>
        </w:tc>
        <w:tc>
          <w:tcPr>
            <w:tcW w:w="556" w:type="pct"/>
            <w:gridSpan w:val="2"/>
          </w:tcPr>
          <w:p w:rsidR="00AA39D1" w:rsidRDefault="00AA39D1" w:rsidP="00574FFB">
            <w:pPr>
              <w:pStyle w:val="05Tabletext"/>
              <w:keepNext/>
              <w:keepLines/>
              <w:jc w:val="center"/>
            </w:pPr>
            <w:r>
              <w:t>UME/VIL vs TIO</w:t>
            </w:r>
          </w:p>
        </w:tc>
        <w:tc>
          <w:tcPr>
            <w:tcW w:w="2864" w:type="pct"/>
            <w:gridSpan w:val="2"/>
            <w:shd w:val="clear" w:color="auto" w:fill="auto"/>
          </w:tcPr>
          <w:p w:rsidR="00AA39D1" w:rsidRPr="00F505EC" w:rsidRDefault="00AA39D1" w:rsidP="00CD1D07">
            <w:pPr>
              <w:pStyle w:val="05Tabletext"/>
              <w:keepNext/>
              <w:keepLines/>
              <w:numPr>
                <w:ilvl w:val="0"/>
                <w:numId w:val="15"/>
              </w:numPr>
              <w:ind w:left="227" w:hanging="227"/>
            </w:pPr>
            <w:r>
              <w:t>UME/VIL resulted in statistically significant and clinically meaningful improvements in trough FEV</w:t>
            </w:r>
            <w:r w:rsidRPr="00F505EC">
              <w:t>1</w:t>
            </w:r>
            <w:r>
              <w:t xml:space="preserve"> compared with TIO monotherapy. T</w:t>
            </w:r>
            <w:r w:rsidRPr="00AA125B">
              <w:t xml:space="preserve">he time to first on-treatment exacerbation also favoured </w:t>
            </w:r>
            <w:r>
              <w:t>UME/</w:t>
            </w:r>
            <w:proofErr w:type="spellStart"/>
            <w:r>
              <w:t>VIL.</w:t>
            </w:r>
            <w:r w:rsidRPr="00A45F70">
              <w:rPr>
                <w:vertAlign w:val="superscript"/>
              </w:rPr>
              <w:t>a</w:t>
            </w:r>
            <w:proofErr w:type="spellEnd"/>
          </w:p>
        </w:tc>
      </w:tr>
      <w:tr w:rsidR="00AA39D1" w:rsidRPr="00CB607C" w:rsidTr="00E55643">
        <w:trPr>
          <w:cantSplit/>
        </w:trPr>
        <w:tc>
          <w:tcPr>
            <w:tcW w:w="586" w:type="pct"/>
            <w:tcBorders>
              <w:top w:val="nil"/>
              <w:bottom w:val="single" w:sz="4" w:space="0" w:color="auto"/>
            </w:tcBorders>
            <w:shd w:val="clear" w:color="auto" w:fill="auto"/>
          </w:tcPr>
          <w:p w:rsidR="00AA39D1" w:rsidRDefault="00AA39D1" w:rsidP="005F5E0D">
            <w:pPr>
              <w:pStyle w:val="05Tabletext"/>
            </w:pPr>
          </w:p>
        </w:tc>
        <w:tc>
          <w:tcPr>
            <w:tcW w:w="994" w:type="pct"/>
            <w:gridSpan w:val="2"/>
            <w:shd w:val="clear" w:color="auto" w:fill="auto"/>
          </w:tcPr>
          <w:p w:rsidR="00AA39D1" w:rsidRPr="00FC1FB4" w:rsidRDefault="00AA39D1" w:rsidP="005F5E0D">
            <w:pPr>
              <w:pStyle w:val="05Tabletext"/>
              <w:jc w:val="center"/>
            </w:pPr>
            <w:proofErr w:type="spellStart"/>
            <w:r>
              <w:t>Maltais</w:t>
            </w:r>
            <w:proofErr w:type="spellEnd"/>
            <w:r>
              <w:t xml:space="preserve"> (2014)</w:t>
            </w:r>
            <w:r>
              <w:br/>
              <w:t>Superiority, double-blind, cross-over</w:t>
            </w:r>
            <w:r>
              <w:br/>
              <w:t>Fair quality</w:t>
            </w:r>
            <w:r>
              <w:br/>
              <w:t>N=657; 12 weeks</w:t>
            </w:r>
          </w:p>
        </w:tc>
        <w:tc>
          <w:tcPr>
            <w:tcW w:w="556" w:type="pct"/>
            <w:gridSpan w:val="2"/>
          </w:tcPr>
          <w:p w:rsidR="00AA39D1" w:rsidRDefault="00AA39D1" w:rsidP="005F5E0D">
            <w:pPr>
              <w:pStyle w:val="05Tabletext"/>
              <w:jc w:val="center"/>
            </w:pPr>
            <w:r>
              <w:t>UME/VIL vs UME</w:t>
            </w:r>
          </w:p>
        </w:tc>
        <w:tc>
          <w:tcPr>
            <w:tcW w:w="2864" w:type="pct"/>
            <w:gridSpan w:val="2"/>
            <w:shd w:val="clear" w:color="auto" w:fill="auto"/>
          </w:tcPr>
          <w:p w:rsidR="00AA39D1" w:rsidRPr="00CB607C" w:rsidRDefault="00AA39D1" w:rsidP="00CD1D07">
            <w:pPr>
              <w:pStyle w:val="05Tabletext"/>
              <w:numPr>
                <w:ilvl w:val="0"/>
                <w:numId w:val="16"/>
              </w:numPr>
              <w:ind w:left="227" w:hanging="227"/>
            </w:pPr>
            <w:r>
              <w:t>The results for trough FEV</w:t>
            </w:r>
            <w:r>
              <w:rPr>
                <w:vertAlign w:val="subscript"/>
              </w:rPr>
              <w:t>1</w:t>
            </w:r>
            <w:r>
              <w:t xml:space="preserve"> numerically favoured UME/VIL over UME monotherapy; however, no statistical comparisons of these active treatments were conducted and it is unlikely that the study was adequately powered for this comparison.</w:t>
            </w:r>
          </w:p>
        </w:tc>
      </w:tr>
      <w:tr w:rsidR="00AA39D1" w:rsidTr="00E55643">
        <w:trPr>
          <w:cantSplit/>
        </w:trPr>
        <w:tc>
          <w:tcPr>
            <w:tcW w:w="1580" w:type="pct"/>
            <w:gridSpan w:val="3"/>
            <w:shd w:val="clear" w:color="auto" w:fill="000000" w:themeFill="text1"/>
          </w:tcPr>
          <w:p w:rsidR="00AA39D1" w:rsidRDefault="00AA39D1" w:rsidP="005F5E0D">
            <w:pPr>
              <w:pStyle w:val="04Tablesubheading"/>
              <w:keepNext w:val="0"/>
            </w:pPr>
            <w:r>
              <w:t xml:space="preserve">GLY/IND: LAMA/LABA vs LAMA or LABA </w:t>
            </w:r>
          </w:p>
        </w:tc>
        <w:tc>
          <w:tcPr>
            <w:tcW w:w="556" w:type="pct"/>
            <w:gridSpan w:val="2"/>
            <w:shd w:val="clear" w:color="auto" w:fill="000000" w:themeFill="text1"/>
          </w:tcPr>
          <w:p w:rsidR="00AA39D1" w:rsidRDefault="00AA39D1" w:rsidP="005F5E0D">
            <w:pPr>
              <w:pStyle w:val="04Tablesubheading"/>
              <w:keepNext w:val="0"/>
              <w:jc w:val="center"/>
            </w:pPr>
          </w:p>
        </w:tc>
        <w:tc>
          <w:tcPr>
            <w:tcW w:w="2864" w:type="pct"/>
            <w:gridSpan w:val="2"/>
            <w:shd w:val="clear" w:color="auto" w:fill="000000" w:themeFill="text1"/>
          </w:tcPr>
          <w:p w:rsidR="00AA39D1" w:rsidRDefault="00AA39D1" w:rsidP="005F5E0D">
            <w:pPr>
              <w:pStyle w:val="04Tablesubheading"/>
              <w:keepNext w:val="0"/>
            </w:pPr>
          </w:p>
        </w:tc>
      </w:tr>
      <w:tr w:rsidR="00AA39D1" w:rsidTr="00E55643">
        <w:trPr>
          <w:cantSplit/>
        </w:trPr>
        <w:tc>
          <w:tcPr>
            <w:tcW w:w="586" w:type="pct"/>
            <w:tcBorders>
              <w:bottom w:val="single" w:sz="4" w:space="0" w:color="auto"/>
            </w:tcBorders>
            <w:shd w:val="clear" w:color="auto" w:fill="F2F2F2" w:themeFill="background1" w:themeFillShade="F2"/>
          </w:tcPr>
          <w:p w:rsidR="00AA39D1" w:rsidRDefault="00AA39D1" w:rsidP="005F5E0D">
            <w:pPr>
              <w:pStyle w:val="05Tabletext"/>
            </w:pPr>
            <w:r>
              <w:t>July 2014</w:t>
            </w:r>
          </w:p>
        </w:tc>
        <w:tc>
          <w:tcPr>
            <w:tcW w:w="994" w:type="pct"/>
            <w:gridSpan w:val="2"/>
            <w:shd w:val="clear" w:color="auto" w:fill="F2F2F2" w:themeFill="background1" w:themeFillShade="F2"/>
          </w:tcPr>
          <w:p w:rsidR="00AA39D1" w:rsidRDefault="00AA39D1" w:rsidP="005F5E0D">
            <w:pPr>
              <w:pStyle w:val="05Tabletext"/>
              <w:jc w:val="center"/>
            </w:pPr>
            <w:r>
              <w:t>SHINE, SPARK</w:t>
            </w:r>
          </w:p>
          <w:p w:rsidR="00AA39D1" w:rsidRPr="00466501" w:rsidRDefault="00AA39D1" w:rsidP="005F5E0D">
            <w:pPr>
              <w:pStyle w:val="06Tabletextspacebefore"/>
              <w:jc w:val="center"/>
            </w:pPr>
          </w:p>
        </w:tc>
        <w:tc>
          <w:tcPr>
            <w:tcW w:w="556" w:type="pct"/>
            <w:gridSpan w:val="2"/>
            <w:shd w:val="clear" w:color="auto" w:fill="F2F2F2" w:themeFill="background1" w:themeFillShade="F2"/>
          </w:tcPr>
          <w:p w:rsidR="00AA39D1" w:rsidRDefault="00AA39D1" w:rsidP="005F5E0D">
            <w:pPr>
              <w:pStyle w:val="05Tabletext"/>
              <w:jc w:val="center"/>
            </w:pPr>
            <w:r w:rsidRPr="00504D62">
              <w:t>GLY/IND vs GLY or IND</w:t>
            </w:r>
          </w:p>
        </w:tc>
        <w:tc>
          <w:tcPr>
            <w:tcW w:w="2864" w:type="pct"/>
            <w:gridSpan w:val="2"/>
            <w:shd w:val="clear" w:color="auto" w:fill="F2F2F2" w:themeFill="background1" w:themeFillShade="F2"/>
          </w:tcPr>
          <w:p w:rsidR="00AA39D1" w:rsidRDefault="00AA39D1" w:rsidP="00CD1D07">
            <w:pPr>
              <w:pStyle w:val="05Tabletext"/>
              <w:numPr>
                <w:ilvl w:val="0"/>
                <w:numId w:val="17"/>
              </w:numPr>
              <w:ind w:left="227" w:hanging="227"/>
            </w:pPr>
            <w:r>
              <w:t>For trough FEV</w:t>
            </w:r>
            <w:r w:rsidRPr="00504D62">
              <w:rPr>
                <w:vertAlign w:val="subscript"/>
              </w:rPr>
              <w:t>1</w:t>
            </w:r>
            <w:r>
              <w:t>, GLY/IND</w:t>
            </w:r>
            <w:r w:rsidRPr="00803406">
              <w:t xml:space="preserve"> </w:t>
            </w:r>
            <w:r>
              <w:t xml:space="preserve">was statistically superior to its </w:t>
            </w:r>
            <w:proofErr w:type="spellStart"/>
            <w:r>
              <w:t>monocomponents</w:t>
            </w:r>
            <w:proofErr w:type="spellEnd"/>
            <w:r>
              <w:t xml:space="preserve"> but the difference did not exceed the accepted MCID</w:t>
            </w:r>
            <w:r w:rsidRPr="00803406">
              <w:t>.</w:t>
            </w:r>
            <w:r>
              <w:rPr>
                <w:rStyle w:val="FootnoteReference"/>
              </w:rPr>
              <w:footnoteReference w:id="1"/>
            </w:r>
            <w:r>
              <w:t xml:space="preserve"> </w:t>
            </w:r>
          </w:p>
          <w:p w:rsidR="00AA39D1" w:rsidRDefault="00AA39D1" w:rsidP="00CD1D07">
            <w:pPr>
              <w:pStyle w:val="05Tabletext"/>
              <w:numPr>
                <w:ilvl w:val="0"/>
                <w:numId w:val="17"/>
              </w:numPr>
              <w:ind w:left="227" w:hanging="227"/>
            </w:pPr>
            <w:r>
              <w:t>GLY/IND was cost-minimised to UME/VIL.</w:t>
            </w:r>
          </w:p>
          <w:p w:rsidR="00AA39D1" w:rsidRPr="00466501" w:rsidRDefault="00AA39D1" w:rsidP="005F5E0D">
            <w:pPr>
              <w:pStyle w:val="06Tabletextspacebefore"/>
            </w:pPr>
          </w:p>
        </w:tc>
      </w:tr>
      <w:tr w:rsidR="00AA39D1" w:rsidRPr="004D71E0" w:rsidTr="00E55643">
        <w:trPr>
          <w:cantSplit/>
        </w:trPr>
        <w:tc>
          <w:tcPr>
            <w:tcW w:w="586" w:type="pct"/>
            <w:tcBorders>
              <w:bottom w:val="single" w:sz="4" w:space="0" w:color="auto"/>
            </w:tcBorders>
            <w:shd w:val="clear" w:color="auto" w:fill="auto"/>
          </w:tcPr>
          <w:p w:rsidR="00AA39D1" w:rsidRDefault="00AA39D1" w:rsidP="005F5E0D">
            <w:pPr>
              <w:pStyle w:val="05Tabletext"/>
            </w:pPr>
            <w:r>
              <w:t xml:space="preserve">New evidence </w:t>
            </w:r>
          </w:p>
        </w:tc>
        <w:tc>
          <w:tcPr>
            <w:tcW w:w="994" w:type="pct"/>
            <w:gridSpan w:val="2"/>
            <w:shd w:val="clear" w:color="auto" w:fill="auto"/>
          </w:tcPr>
          <w:p w:rsidR="00AA39D1" w:rsidRPr="00FC1FB4" w:rsidRDefault="00AA39D1" w:rsidP="005F5E0D">
            <w:pPr>
              <w:pStyle w:val="05Tabletext"/>
              <w:jc w:val="center"/>
            </w:pPr>
            <w:r>
              <w:t>BRIGHT</w:t>
            </w:r>
            <w:r>
              <w:br/>
              <w:t>Superiority, double-blind, cross-over</w:t>
            </w:r>
            <w:r>
              <w:br/>
              <w:t>Fair quality</w:t>
            </w:r>
            <w:r>
              <w:br/>
              <w:t>N=85; 3 weeks</w:t>
            </w:r>
          </w:p>
        </w:tc>
        <w:tc>
          <w:tcPr>
            <w:tcW w:w="556" w:type="pct"/>
            <w:gridSpan w:val="2"/>
          </w:tcPr>
          <w:p w:rsidR="00AA39D1" w:rsidRPr="00F505EC" w:rsidRDefault="00AA39D1" w:rsidP="005F5E0D">
            <w:pPr>
              <w:pStyle w:val="05Tabletext"/>
              <w:keepNext/>
              <w:jc w:val="center"/>
            </w:pPr>
            <w:r>
              <w:t xml:space="preserve">GLY/IND vs </w:t>
            </w:r>
            <w:proofErr w:type="spellStart"/>
            <w:r>
              <w:t>TIO</w:t>
            </w:r>
            <w:r w:rsidRPr="00A45F70">
              <w:rPr>
                <w:vertAlign w:val="superscript"/>
              </w:rPr>
              <w:t>b</w:t>
            </w:r>
            <w:proofErr w:type="spellEnd"/>
          </w:p>
        </w:tc>
        <w:tc>
          <w:tcPr>
            <w:tcW w:w="2864" w:type="pct"/>
            <w:gridSpan w:val="2"/>
            <w:shd w:val="clear" w:color="auto" w:fill="auto"/>
          </w:tcPr>
          <w:p w:rsidR="00AA39D1" w:rsidRPr="00F505EC" w:rsidRDefault="00AA39D1" w:rsidP="00CD1D07">
            <w:pPr>
              <w:pStyle w:val="05Tabletext"/>
              <w:keepNext/>
              <w:numPr>
                <w:ilvl w:val="0"/>
                <w:numId w:val="17"/>
              </w:numPr>
              <w:ind w:left="227" w:hanging="227"/>
            </w:pPr>
            <w:r>
              <w:t>GLY/IND was statistically superior to TIO based on trough FEV</w:t>
            </w:r>
            <w:r w:rsidRPr="00F505EC">
              <w:t>1</w:t>
            </w:r>
            <w:r>
              <w:t>; however the study was only powered to detect a difference between GLY/IND and PBO.</w:t>
            </w:r>
          </w:p>
        </w:tc>
      </w:tr>
      <w:tr w:rsidR="00AA39D1" w:rsidTr="00E55643">
        <w:trPr>
          <w:cantSplit/>
        </w:trPr>
        <w:tc>
          <w:tcPr>
            <w:tcW w:w="1580" w:type="pct"/>
            <w:gridSpan w:val="3"/>
            <w:tcBorders>
              <w:bottom w:val="single" w:sz="4" w:space="0" w:color="auto"/>
            </w:tcBorders>
            <w:shd w:val="clear" w:color="auto" w:fill="000000" w:themeFill="text1"/>
            <w:vAlign w:val="bottom"/>
          </w:tcPr>
          <w:p w:rsidR="00AA39D1" w:rsidRDefault="00AA39D1" w:rsidP="005F5E0D">
            <w:pPr>
              <w:pStyle w:val="04Tablesubheading"/>
            </w:pPr>
            <w:r>
              <w:t>TIO/OLO: LAMA/LABA vs LAMA or LABA</w:t>
            </w:r>
          </w:p>
        </w:tc>
        <w:tc>
          <w:tcPr>
            <w:tcW w:w="556" w:type="pct"/>
            <w:gridSpan w:val="2"/>
            <w:tcBorders>
              <w:bottom w:val="single" w:sz="4" w:space="0" w:color="auto"/>
            </w:tcBorders>
            <w:shd w:val="clear" w:color="auto" w:fill="000000" w:themeFill="text1"/>
          </w:tcPr>
          <w:p w:rsidR="00AA39D1" w:rsidRDefault="00AA39D1" w:rsidP="005F5E0D">
            <w:pPr>
              <w:pStyle w:val="04Tablesubheading"/>
            </w:pPr>
          </w:p>
        </w:tc>
        <w:tc>
          <w:tcPr>
            <w:tcW w:w="2864" w:type="pct"/>
            <w:gridSpan w:val="2"/>
            <w:tcBorders>
              <w:bottom w:val="single" w:sz="4" w:space="0" w:color="auto"/>
            </w:tcBorders>
            <w:shd w:val="clear" w:color="auto" w:fill="000000" w:themeFill="text1"/>
          </w:tcPr>
          <w:p w:rsidR="00AA39D1" w:rsidRDefault="00AA39D1" w:rsidP="005F5E0D">
            <w:pPr>
              <w:pStyle w:val="04Tablesubheading"/>
            </w:pPr>
          </w:p>
        </w:tc>
      </w:tr>
      <w:tr w:rsidR="00AA39D1" w:rsidTr="00E55643">
        <w:trPr>
          <w:cantSplit/>
        </w:trPr>
        <w:tc>
          <w:tcPr>
            <w:tcW w:w="58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A39D1" w:rsidRDefault="00AA39D1" w:rsidP="005F5E0D">
            <w:pPr>
              <w:pStyle w:val="05Tabletext"/>
            </w:pPr>
            <w:r>
              <w:t>July 2015</w:t>
            </w:r>
          </w:p>
        </w:tc>
        <w:tc>
          <w:tcPr>
            <w:tcW w:w="99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A39D1" w:rsidRDefault="00AA39D1" w:rsidP="005F5E0D">
            <w:pPr>
              <w:pStyle w:val="05Tabletext"/>
              <w:jc w:val="center"/>
            </w:pPr>
            <w:r w:rsidRPr="00E4266D">
              <w:t>TONADO 1 &amp; 2</w:t>
            </w:r>
          </w:p>
          <w:p w:rsidR="00AA39D1" w:rsidRPr="00082D8D" w:rsidRDefault="00AA39D1" w:rsidP="005F5E0D">
            <w:pPr>
              <w:pStyle w:val="05Tabletext"/>
              <w:jc w:val="center"/>
            </w:pPr>
            <w:r>
              <w:t>(Indirect comparison vs other FDCs via TIO monotherapy as common comparator)</w:t>
            </w:r>
          </w:p>
        </w:tc>
        <w:tc>
          <w:tcPr>
            <w:tcW w:w="55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A39D1" w:rsidRPr="00E4266D" w:rsidRDefault="00AA39D1" w:rsidP="005F5E0D">
            <w:pPr>
              <w:pStyle w:val="05Tabletext"/>
              <w:jc w:val="center"/>
            </w:pPr>
            <w:r w:rsidRPr="00E4266D">
              <w:t>TIO/OLO vs TIO or OLO</w:t>
            </w:r>
          </w:p>
          <w:p w:rsidR="00AA39D1" w:rsidRPr="00E4266D" w:rsidRDefault="00AA39D1" w:rsidP="005F5E0D">
            <w:pPr>
              <w:pStyle w:val="05Tabletext"/>
              <w:jc w:val="center"/>
              <w:rPr>
                <w:highlight w:val="yellow"/>
              </w:rPr>
            </w:pPr>
          </w:p>
        </w:tc>
        <w:tc>
          <w:tcPr>
            <w:tcW w:w="286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A39D1" w:rsidRDefault="00AA39D1" w:rsidP="00CD1D07">
            <w:pPr>
              <w:pStyle w:val="05Tabletext"/>
              <w:numPr>
                <w:ilvl w:val="0"/>
                <w:numId w:val="18"/>
              </w:numPr>
              <w:ind w:left="227" w:hanging="227"/>
            </w:pPr>
            <w:r>
              <w:t>For trough FEV</w:t>
            </w:r>
            <w:r w:rsidRPr="00504D62">
              <w:rPr>
                <w:vertAlign w:val="subscript"/>
              </w:rPr>
              <w:t>1</w:t>
            </w:r>
            <w:r>
              <w:t>, TIO/OLO</w:t>
            </w:r>
            <w:r w:rsidRPr="00803406">
              <w:t xml:space="preserve"> </w:t>
            </w:r>
            <w:r>
              <w:t xml:space="preserve">was statistically superior to its </w:t>
            </w:r>
            <w:proofErr w:type="spellStart"/>
            <w:r>
              <w:t>monocomponents</w:t>
            </w:r>
            <w:proofErr w:type="spellEnd"/>
            <w:r>
              <w:t xml:space="preserve"> but the difference did not exceed the MCID.</w:t>
            </w:r>
          </w:p>
          <w:p w:rsidR="00AA39D1" w:rsidRPr="00484BD7" w:rsidRDefault="00AA39D1" w:rsidP="005F5E0D">
            <w:pPr>
              <w:pStyle w:val="05Tabletext"/>
              <w:ind w:left="227"/>
            </w:pPr>
          </w:p>
          <w:p w:rsidR="00AA39D1" w:rsidRPr="00484BD7" w:rsidRDefault="00AA39D1" w:rsidP="005F5E0D">
            <w:pPr>
              <w:pStyle w:val="06Tabletextspacebefore"/>
            </w:pPr>
          </w:p>
        </w:tc>
      </w:tr>
      <w:tr w:rsidR="00AA39D1" w:rsidRPr="00A33082" w:rsidTr="004A29A8">
        <w:trPr>
          <w:cantSplit/>
        </w:trPr>
        <w:tc>
          <w:tcPr>
            <w:tcW w:w="586" w:type="pct"/>
            <w:tcBorders>
              <w:top w:val="single" w:sz="4" w:space="0" w:color="auto"/>
              <w:bottom w:val="nil"/>
            </w:tcBorders>
            <w:shd w:val="clear" w:color="auto" w:fill="auto"/>
          </w:tcPr>
          <w:p w:rsidR="00AA39D1" w:rsidRDefault="00AA39D1" w:rsidP="005F5E0D">
            <w:pPr>
              <w:pStyle w:val="05Tabletext"/>
            </w:pPr>
            <w:r>
              <w:t>New evidence</w:t>
            </w:r>
          </w:p>
        </w:tc>
        <w:tc>
          <w:tcPr>
            <w:tcW w:w="994" w:type="pct"/>
            <w:gridSpan w:val="2"/>
            <w:tcBorders>
              <w:top w:val="single" w:sz="4" w:space="0" w:color="auto"/>
              <w:bottom w:val="single" w:sz="4" w:space="0" w:color="auto"/>
            </w:tcBorders>
            <w:shd w:val="clear" w:color="auto" w:fill="auto"/>
          </w:tcPr>
          <w:p w:rsidR="00AA39D1" w:rsidRPr="00E4266D" w:rsidRDefault="00AA39D1" w:rsidP="005F5E0D">
            <w:pPr>
              <w:pStyle w:val="05Tabletext"/>
              <w:jc w:val="center"/>
            </w:pPr>
            <w:r w:rsidRPr="00E4266D">
              <w:t>TONADO 1 &amp; 2</w:t>
            </w:r>
            <w:r w:rsidRPr="00E4266D">
              <w:rPr>
                <w:vertAlign w:val="superscript"/>
              </w:rPr>
              <w:t>c</w:t>
            </w:r>
            <w:r w:rsidRPr="00E4266D">
              <w:br/>
              <w:t>Superiority, double-blind</w:t>
            </w:r>
            <w:r w:rsidRPr="00E4266D">
              <w:br/>
              <w:t>Fair quality</w:t>
            </w:r>
            <w:r w:rsidRPr="00E4266D">
              <w:br/>
              <w:t>N=5,163; 52 weeks</w:t>
            </w:r>
          </w:p>
        </w:tc>
        <w:tc>
          <w:tcPr>
            <w:tcW w:w="556" w:type="pct"/>
            <w:gridSpan w:val="2"/>
            <w:tcBorders>
              <w:top w:val="single" w:sz="4" w:space="0" w:color="auto"/>
              <w:bottom w:val="single" w:sz="4" w:space="0" w:color="auto"/>
            </w:tcBorders>
          </w:tcPr>
          <w:p w:rsidR="00AA39D1" w:rsidRPr="00E4266D" w:rsidRDefault="00AA39D1" w:rsidP="005F5E0D">
            <w:pPr>
              <w:pStyle w:val="05Tabletext"/>
              <w:jc w:val="center"/>
            </w:pPr>
            <w:r w:rsidRPr="00E4266D">
              <w:t>TIO/OLO vs TIO</w:t>
            </w:r>
          </w:p>
        </w:tc>
        <w:tc>
          <w:tcPr>
            <w:tcW w:w="2864" w:type="pct"/>
            <w:gridSpan w:val="2"/>
            <w:tcBorders>
              <w:top w:val="single" w:sz="4" w:space="0" w:color="auto"/>
            </w:tcBorders>
            <w:shd w:val="clear" w:color="auto" w:fill="auto"/>
          </w:tcPr>
          <w:p w:rsidR="00AA39D1" w:rsidRPr="00A33082" w:rsidRDefault="00AA39D1" w:rsidP="00CD1D07">
            <w:pPr>
              <w:pStyle w:val="05Tabletext"/>
              <w:numPr>
                <w:ilvl w:val="0"/>
                <w:numId w:val="18"/>
              </w:numPr>
              <w:ind w:left="227" w:hanging="227"/>
            </w:pPr>
            <w:r>
              <w:t>TIO/OLO</w:t>
            </w:r>
            <w:r w:rsidRPr="00380FAF">
              <w:t xml:space="preserve"> </w:t>
            </w:r>
            <w:r>
              <w:t xml:space="preserve">significantly </w:t>
            </w:r>
            <w:r w:rsidRPr="00380FAF">
              <w:t xml:space="preserve">improved lung function over </w:t>
            </w:r>
            <w:r>
              <w:t>TIO (</w:t>
            </w:r>
            <w:proofErr w:type="spellStart"/>
            <w:r>
              <w:t>Respimat</w:t>
            </w:r>
            <w:proofErr w:type="spellEnd"/>
            <w:r>
              <w:t xml:space="preserve">) </w:t>
            </w:r>
            <w:r w:rsidRPr="00380FAF">
              <w:t>monotherapy</w:t>
            </w:r>
            <w:r>
              <w:t xml:space="preserve"> </w:t>
            </w:r>
            <w:r w:rsidRPr="00380FAF">
              <w:t>in patients with GOLD 2 and 3-4 disease</w:t>
            </w:r>
            <w:r>
              <w:t>. T</w:t>
            </w:r>
            <w:r w:rsidRPr="00380FAF">
              <w:t>here were</w:t>
            </w:r>
            <w:r>
              <w:t xml:space="preserve"> no notable differences in lung </w:t>
            </w:r>
            <w:r w:rsidRPr="00380FAF">
              <w:t>function responses according to whether patients were naïve or experienced to LAMA or LABA therapy at baseline</w:t>
            </w:r>
            <w:r>
              <w:t>.</w:t>
            </w:r>
          </w:p>
        </w:tc>
      </w:tr>
      <w:tr w:rsidR="00AA39D1" w:rsidRPr="00062F1F" w:rsidTr="004A29A8">
        <w:trPr>
          <w:cantSplit/>
        </w:trPr>
        <w:tc>
          <w:tcPr>
            <w:tcW w:w="586" w:type="pct"/>
            <w:tcBorders>
              <w:top w:val="nil"/>
            </w:tcBorders>
            <w:shd w:val="clear" w:color="auto" w:fill="auto"/>
          </w:tcPr>
          <w:p w:rsidR="00AA39D1" w:rsidRDefault="00AA39D1" w:rsidP="005F5E0D">
            <w:pPr>
              <w:pStyle w:val="05Tabletext"/>
            </w:pPr>
          </w:p>
        </w:tc>
        <w:tc>
          <w:tcPr>
            <w:tcW w:w="994" w:type="pct"/>
            <w:gridSpan w:val="2"/>
            <w:tcBorders>
              <w:top w:val="single" w:sz="4" w:space="0" w:color="auto"/>
            </w:tcBorders>
            <w:shd w:val="clear" w:color="auto" w:fill="auto"/>
          </w:tcPr>
          <w:p w:rsidR="00AA39D1" w:rsidRPr="00FC1FB4" w:rsidRDefault="00AA39D1" w:rsidP="005F5E0D">
            <w:pPr>
              <w:pStyle w:val="05Tabletext"/>
              <w:jc w:val="center"/>
            </w:pPr>
            <w:r>
              <w:t>OTEMTO 1 &amp; 2</w:t>
            </w:r>
            <w:r>
              <w:br/>
              <w:t>Superiority</w:t>
            </w:r>
            <w:r>
              <w:br/>
              <w:t>Double-blind</w:t>
            </w:r>
            <w:r>
              <w:br/>
              <w:t>Fair quality</w:t>
            </w:r>
            <w:r>
              <w:br/>
              <w:t>N=1,623; 12 weeks</w:t>
            </w:r>
          </w:p>
        </w:tc>
        <w:tc>
          <w:tcPr>
            <w:tcW w:w="556" w:type="pct"/>
            <w:gridSpan w:val="2"/>
            <w:tcBorders>
              <w:top w:val="single" w:sz="4" w:space="0" w:color="auto"/>
            </w:tcBorders>
          </w:tcPr>
          <w:p w:rsidR="00AA39D1" w:rsidRDefault="00AA39D1" w:rsidP="005F5E0D">
            <w:pPr>
              <w:pStyle w:val="05Tabletext"/>
              <w:jc w:val="center"/>
            </w:pPr>
            <w:r>
              <w:t>TIO/OLO vs TIO</w:t>
            </w:r>
          </w:p>
        </w:tc>
        <w:tc>
          <w:tcPr>
            <w:tcW w:w="2864" w:type="pct"/>
            <w:gridSpan w:val="2"/>
            <w:shd w:val="clear" w:color="auto" w:fill="auto"/>
          </w:tcPr>
          <w:p w:rsidR="00AA39D1" w:rsidRPr="00062F1F" w:rsidRDefault="00AA39D1" w:rsidP="00CD1D07">
            <w:pPr>
              <w:pStyle w:val="05Tabletext"/>
              <w:numPr>
                <w:ilvl w:val="0"/>
                <w:numId w:val="18"/>
              </w:numPr>
              <w:ind w:left="227" w:hanging="227"/>
            </w:pPr>
            <w:r>
              <w:t>Treatment with TIO/OLO resulted in numerically greater improvements in trough FEV</w:t>
            </w:r>
            <w:r>
              <w:rPr>
                <w:vertAlign w:val="subscript"/>
              </w:rPr>
              <w:t>1</w:t>
            </w:r>
            <w:r>
              <w:t xml:space="preserve"> compared with TIO (</w:t>
            </w:r>
            <w:proofErr w:type="spellStart"/>
            <w:r>
              <w:t>Respimat</w:t>
            </w:r>
            <w:proofErr w:type="spellEnd"/>
            <w:r>
              <w:t xml:space="preserve">) monotherapy; however, it is unlikely that the observed differences would be considered clinically </w:t>
            </w:r>
            <w:proofErr w:type="spellStart"/>
            <w:r>
              <w:t>relevant.</w:t>
            </w:r>
            <w:r>
              <w:rPr>
                <w:vertAlign w:val="superscript"/>
              </w:rPr>
              <w:t>d</w:t>
            </w:r>
            <w:proofErr w:type="spellEnd"/>
          </w:p>
        </w:tc>
      </w:tr>
      <w:tr w:rsidR="001A7EE6" w:rsidRPr="005D5D9F" w:rsidTr="00E55643">
        <w:trPr>
          <w:cantSplit/>
        </w:trPr>
        <w:tc>
          <w:tcPr>
            <w:tcW w:w="5000" w:type="pct"/>
            <w:gridSpan w:val="7"/>
            <w:tcBorders>
              <w:bottom w:val="single" w:sz="4" w:space="0" w:color="auto"/>
            </w:tcBorders>
            <w:shd w:val="clear" w:color="auto" w:fill="000000" w:themeFill="text1"/>
          </w:tcPr>
          <w:p w:rsidR="001A7EE6" w:rsidRPr="00E55643" w:rsidRDefault="001A7EE6" w:rsidP="00E55643">
            <w:pPr>
              <w:pStyle w:val="05Tabletext"/>
              <w:rPr>
                <w:b/>
              </w:rPr>
            </w:pPr>
            <w:r w:rsidRPr="00E55643">
              <w:rPr>
                <w:b/>
              </w:rPr>
              <w:t>FLU/SAL: ICS/LABA vs LAMA</w:t>
            </w:r>
          </w:p>
        </w:tc>
      </w:tr>
      <w:tr w:rsidR="001A7EE6" w:rsidRPr="005D5D9F" w:rsidTr="004A29A8">
        <w:trPr>
          <w:cantSplit/>
        </w:trPr>
        <w:tc>
          <w:tcPr>
            <w:tcW w:w="586" w:type="pct"/>
            <w:tcBorders>
              <w:bottom w:val="single" w:sz="4" w:space="0" w:color="auto"/>
            </w:tcBorders>
            <w:shd w:val="clear" w:color="auto" w:fill="F2F2F2" w:themeFill="background1" w:themeFillShade="F2"/>
          </w:tcPr>
          <w:p w:rsidR="001A7EE6" w:rsidRDefault="001A7EE6" w:rsidP="001A7EE6">
            <w:pPr>
              <w:pStyle w:val="05Tabletext"/>
            </w:pPr>
            <w:r>
              <w:t>March 2007</w:t>
            </w:r>
          </w:p>
        </w:tc>
        <w:tc>
          <w:tcPr>
            <w:tcW w:w="994" w:type="pct"/>
            <w:gridSpan w:val="2"/>
            <w:tcBorders>
              <w:bottom w:val="single" w:sz="4" w:space="0" w:color="auto"/>
            </w:tcBorders>
            <w:shd w:val="clear" w:color="auto" w:fill="F2F2F2" w:themeFill="background1" w:themeFillShade="F2"/>
          </w:tcPr>
          <w:p w:rsidR="001A7EE6" w:rsidRDefault="001A7EE6" w:rsidP="001A7EE6">
            <w:pPr>
              <w:pStyle w:val="05Tabletext"/>
              <w:jc w:val="center"/>
            </w:pPr>
            <w:r w:rsidRPr="00867EAF">
              <w:t>Trial 40036, plus two supportive trials (unpublished)</w:t>
            </w:r>
          </w:p>
        </w:tc>
        <w:tc>
          <w:tcPr>
            <w:tcW w:w="556" w:type="pct"/>
            <w:gridSpan w:val="2"/>
            <w:tcBorders>
              <w:bottom w:val="single" w:sz="4" w:space="0" w:color="auto"/>
            </w:tcBorders>
            <w:shd w:val="clear" w:color="auto" w:fill="F2F2F2" w:themeFill="background1" w:themeFillShade="F2"/>
          </w:tcPr>
          <w:p w:rsidR="001A7EE6" w:rsidRDefault="001A7EE6" w:rsidP="001A7EE6">
            <w:pPr>
              <w:pStyle w:val="05Tabletext"/>
              <w:jc w:val="center"/>
            </w:pPr>
            <w:r>
              <w:t>FLU/SAL vs TIO</w:t>
            </w:r>
          </w:p>
        </w:tc>
        <w:tc>
          <w:tcPr>
            <w:tcW w:w="2864" w:type="pct"/>
            <w:gridSpan w:val="2"/>
            <w:tcBorders>
              <w:bottom w:val="single" w:sz="4" w:space="0" w:color="auto"/>
            </w:tcBorders>
            <w:shd w:val="clear" w:color="auto" w:fill="F2F2F2" w:themeFill="background1" w:themeFillShade="F2"/>
          </w:tcPr>
          <w:p w:rsidR="001A7EE6" w:rsidRDefault="001A7EE6" w:rsidP="00CD1D07">
            <w:pPr>
              <w:pStyle w:val="05Tabletext"/>
              <w:numPr>
                <w:ilvl w:val="0"/>
                <w:numId w:val="19"/>
              </w:numPr>
              <w:ind w:left="227" w:hanging="227"/>
            </w:pPr>
            <w:r>
              <w:t>FLU/SAL was considered non-inferior to TIO on the basis of comparative efficacy and similar safety. FLU/SAL was cost-minimised to TIO.</w:t>
            </w:r>
          </w:p>
        </w:tc>
      </w:tr>
      <w:tr w:rsidR="001A7EE6" w:rsidRPr="005D5D9F" w:rsidTr="004A29A8">
        <w:trPr>
          <w:cantSplit/>
        </w:trPr>
        <w:tc>
          <w:tcPr>
            <w:tcW w:w="586" w:type="pct"/>
            <w:tcBorders>
              <w:bottom w:val="nil"/>
            </w:tcBorders>
            <w:shd w:val="clear" w:color="auto" w:fill="auto"/>
          </w:tcPr>
          <w:p w:rsidR="001A7EE6" w:rsidRDefault="001A7EE6" w:rsidP="001A7EE6">
            <w:pPr>
              <w:pStyle w:val="05Tabletext"/>
            </w:pPr>
            <w:r>
              <w:t>New evidence</w:t>
            </w:r>
          </w:p>
        </w:tc>
        <w:tc>
          <w:tcPr>
            <w:tcW w:w="994" w:type="pct"/>
            <w:gridSpan w:val="2"/>
            <w:tcBorders>
              <w:bottom w:val="single" w:sz="4" w:space="0" w:color="auto"/>
            </w:tcBorders>
            <w:shd w:val="clear" w:color="auto" w:fill="auto"/>
          </w:tcPr>
          <w:p w:rsidR="001A7EE6" w:rsidRDefault="001A7EE6" w:rsidP="001A7EE6">
            <w:pPr>
              <w:pStyle w:val="05Tabletext"/>
              <w:jc w:val="center"/>
            </w:pPr>
            <w:r>
              <w:t>INSPIRE</w:t>
            </w:r>
            <w:r>
              <w:br/>
              <w:t>Superiority, double-blind, double-dummy</w:t>
            </w:r>
            <w:r>
              <w:br/>
              <w:t>Good quality</w:t>
            </w:r>
            <w:r>
              <w:br/>
              <w:t>N=1,323; 2 years</w:t>
            </w:r>
          </w:p>
        </w:tc>
        <w:tc>
          <w:tcPr>
            <w:tcW w:w="556" w:type="pct"/>
            <w:gridSpan w:val="2"/>
            <w:tcBorders>
              <w:bottom w:val="single" w:sz="4" w:space="0" w:color="auto"/>
            </w:tcBorders>
          </w:tcPr>
          <w:p w:rsidR="001A7EE6" w:rsidRDefault="001A7EE6" w:rsidP="001A7EE6">
            <w:pPr>
              <w:pStyle w:val="05Tabletext"/>
              <w:jc w:val="center"/>
            </w:pPr>
            <w:r>
              <w:t>FLU/SAL vs TIO</w:t>
            </w:r>
          </w:p>
        </w:tc>
        <w:tc>
          <w:tcPr>
            <w:tcW w:w="2864" w:type="pct"/>
            <w:gridSpan w:val="2"/>
            <w:tcBorders>
              <w:bottom w:val="single" w:sz="4" w:space="0" w:color="auto"/>
            </w:tcBorders>
            <w:shd w:val="clear" w:color="auto" w:fill="auto"/>
          </w:tcPr>
          <w:p w:rsidR="001A7EE6" w:rsidRPr="005D5D9F" w:rsidRDefault="001A7EE6" w:rsidP="00CD1D07">
            <w:pPr>
              <w:pStyle w:val="05Tabletext"/>
              <w:numPr>
                <w:ilvl w:val="0"/>
                <w:numId w:val="19"/>
              </w:numPr>
              <w:ind w:left="227" w:hanging="227"/>
            </w:pPr>
            <w:r>
              <w:t>FLU/SAL and TIO were found to be comparable with respect to healthcare utilisation exacerbations per year; however, the risk of all-cause mortality was 52% lower in the FLU/SAL group, representing a statistically significant difference between the treatments.</w:t>
            </w:r>
          </w:p>
        </w:tc>
      </w:tr>
      <w:tr w:rsidR="001A7EE6" w:rsidRPr="00CB607C" w:rsidTr="004A29A8">
        <w:trPr>
          <w:cantSplit/>
        </w:trPr>
        <w:tc>
          <w:tcPr>
            <w:tcW w:w="586" w:type="pct"/>
            <w:tcBorders>
              <w:top w:val="nil"/>
            </w:tcBorders>
            <w:shd w:val="clear" w:color="auto" w:fill="auto"/>
          </w:tcPr>
          <w:p w:rsidR="001A7EE6" w:rsidRDefault="001A7EE6" w:rsidP="001A7EE6">
            <w:pPr>
              <w:pStyle w:val="05Tabletext"/>
            </w:pPr>
          </w:p>
        </w:tc>
        <w:tc>
          <w:tcPr>
            <w:tcW w:w="994" w:type="pct"/>
            <w:gridSpan w:val="2"/>
            <w:tcBorders>
              <w:top w:val="single" w:sz="4" w:space="0" w:color="auto"/>
            </w:tcBorders>
            <w:shd w:val="clear" w:color="auto" w:fill="auto"/>
          </w:tcPr>
          <w:p w:rsidR="001A7EE6" w:rsidRDefault="001A7EE6" w:rsidP="001A7EE6">
            <w:pPr>
              <w:pStyle w:val="05Tabletext"/>
              <w:jc w:val="center"/>
            </w:pPr>
            <w:proofErr w:type="spellStart"/>
            <w:r>
              <w:t>Sarac</w:t>
            </w:r>
            <w:proofErr w:type="spellEnd"/>
            <w:r>
              <w:t xml:space="preserve"> (2016)</w:t>
            </w:r>
            <w:r>
              <w:br/>
              <w:t>Superiority, open-label</w:t>
            </w:r>
            <w:r>
              <w:br/>
              <w:t>Poor quality</w:t>
            </w:r>
            <w:r>
              <w:br/>
              <w:t>N=44; 1 year</w:t>
            </w:r>
          </w:p>
        </w:tc>
        <w:tc>
          <w:tcPr>
            <w:tcW w:w="556" w:type="pct"/>
            <w:gridSpan w:val="2"/>
            <w:tcBorders>
              <w:top w:val="single" w:sz="4" w:space="0" w:color="auto"/>
            </w:tcBorders>
          </w:tcPr>
          <w:p w:rsidR="001A7EE6" w:rsidRDefault="001A7EE6" w:rsidP="001A7EE6">
            <w:pPr>
              <w:pStyle w:val="05Tabletext"/>
              <w:jc w:val="center"/>
            </w:pPr>
            <w:r>
              <w:t>FLU/SAL vs TIO</w:t>
            </w:r>
          </w:p>
        </w:tc>
        <w:tc>
          <w:tcPr>
            <w:tcW w:w="2864" w:type="pct"/>
            <w:gridSpan w:val="2"/>
            <w:tcBorders>
              <w:top w:val="single" w:sz="4" w:space="0" w:color="auto"/>
            </w:tcBorders>
            <w:shd w:val="clear" w:color="auto" w:fill="auto"/>
          </w:tcPr>
          <w:p w:rsidR="001A7EE6" w:rsidRPr="00CB607C" w:rsidRDefault="001A7EE6" w:rsidP="00CD1D07">
            <w:pPr>
              <w:pStyle w:val="05Tabletext"/>
              <w:numPr>
                <w:ilvl w:val="0"/>
                <w:numId w:val="19"/>
              </w:numPr>
              <w:ind w:left="227" w:hanging="227"/>
            </w:pPr>
            <w:r>
              <w:t>The mean number of exacerbations and number of severe exacerbations both numerically favoured FLU/SAL over TIO monotherapy; however, the differences were not statistically significant.</w:t>
            </w:r>
          </w:p>
        </w:tc>
      </w:tr>
      <w:tr w:rsidR="001A7EE6" w:rsidTr="00E55643">
        <w:trPr>
          <w:cantSplit/>
        </w:trPr>
        <w:tc>
          <w:tcPr>
            <w:tcW w:w="1580" w:type="pct"/>
            <w:gridSpan w:val="3"/>
            <w:shd w:val="clear" w:color="auto" w:fill="000000" w:themeFill="text1"/>
            <w:vAlign w:val="center"/>
          </w:tcPr>
          <w:p w:rsidR="001A7EE6" w:rsidRDefault="001A7EE6" w:rsidP="001A7EE6">
            <w:pPr>
              <w:pStyle w:val="04Tablesubheading"/>
            </w:pPr>
            <w:r>
              <w:t xml:space="preserve">FLU/VIL: ICS/LABA vs LAMA </w:t>
            </w:r>
          </w:p>
        </w:tc>
        <w:tc>
          <w:tcPr>
            <w:tcW w:w="556" w:type="pct"/>
            <w:gridSpan w:val="2"/>
            <w:shd w:val="clear" w:color="auto" w:fill="000000" w:themeFill="text1"/>
          </w:tcPr>
          <w:p w:rsidR="001A7EE6" w:rsidRDefault="001A7EE6" w:rsidP="001A7EE6">
            <w:pPr>
              <w:pStyle w:val="04Tablesubheading"/>
            </w:pPr>
          </w:p>
        </w:tc>
        <w:tc>
          <w:tcPr>
            <w:tcW w:w="2864" w:type="pct"/>
            <w:gridSpan w:val="2"/>
            <w:shd w:val="clear" w:color="auto" w:fill="000000" w:themeFill="text1"/>
          </w:tcPr>
          <w:p w:rsidR="001A7EE6" w:rsidRDefault="001A7EE6" w:rsidP="001A7EE6">
            <w:pPr>
              <w:pStyle w:val="04Tablesubheading"/>
            </w:pPr>
          </w:p>
        </w:tc>
      </w:tr>
      <w:tr w:rsidR="001A7EE6" w:rsidRPr="00CB607C" w:rsidTr="00E55643">
        <w:trPr>
          <w:cantSplit/>
        </w:trPr>
        <w:tc>
          <w:tcPr>
            <w:tcW w:w="586" w:type="pct"/>
            <w:shd w:val="clear" w:color="auto" w:fill="auto"/>
          </w:tcPr>
          <w:p w:rsidR="001A7EE6" w:rsidRDefault="001A7EE6" w:rsidP="001A7EE6">
            <w:pPr>
              <w:pStyle w:val="05Tabletext"/>
            </w:pPr>
            <w:r>
              <w:t>New evidence</w:t>
            </w:r>
          </w:p>
        </w:tc>
        <w:tc>
          <w:tcPr>
            <w:tcW w:w="994" w:type="pct"/>
            <w:gridSpan w:val="2"/>
            <w:shd w:val="clear" w:color="auto" w:fill="auto"/>
          </w:tcPr>
          <w:p w:rsidR="001A7EE6" w:rsidRDefault="001A7EE6" w:rsidP="001A7EE6">
            <w:pPr>
              <w:pStyle w:val="05Tabletext"/>
              <w:jc w:val="center"/>
            </w:pPr>
            <w:proofErr w:type="spellStart"/>
            <w:r>
              <w:t>Covelli</w:t>
            </w:r>
            <w:proofErr w:type="spellEnd"/>
            <w:r>
              <w:t xml:space="preserve"> (2016)</w:t>
            </w:r>
            <w:r>
              <w:br/>
              <w:t>Superiority, double-blind, double-dummy</w:t>
            </w:r>
            <w:r>
              <w:br/>
              <w:t>Good quality</w:t>
            </w:r>
            <w:r>
              <w:br/>
              <w:t>N=623; 12 weeks</w:t>
            </w:r>
          </w:p>
        </w:tc>
        <w:tc>
          <w:tcPr>
            <w:tcW w:w="556" w:type="pct"/>
            <w:gridSpan w:val="2"/>
          </w:tcPr>
          <w:p w:rsidR="001A7EE6" w:rsidRDefault="001A7EE6" w:rsidP="001A7EE6">
            <w:pPr>
              <w:pStyle w:val="05Tabletext"/>
              <w:jc w:val="center"/>
            </w:pPr>
            <w:r>
              <w:t>FLU/VIL vs TIO</w:t>
            </w:r>
          </w:p>
        </w:tc>
        <w:tc>
          <w:tcPr>
            <w:tcW w:w="2864" w:type="pct"/>
            <w:gridSpan w:val="2"/>
            <w:shd w:val="clear" w:color="auto" w:fill="auto"/>
          </w:tcPr>
          <w:p w:rsidR="001A7EE6" w:rsidRPr="00CB607C" w:rsidRDefault="001A7EE6" w:rsidP="00CD1D07">
            <w:pPr>
              <w:pStyle w:val="05Tabletext"/>
              <w:numPr>
                <w:ilvl w:val="0"/>
                <w:numId w:val="20"/>
              </w:numPr>
              <w:ind w:left="227" w:hanging="227"/>
            </w:pPr>
            <w:r>
              <w:t>No statistically significant or clinically meaningful difference between FLU/VIL and TIO in terms of trough FEV</w:t>
            </w:r>
            <w:r>
              <w:rPr>
                <w:vertAlign w:val="subscript"/>
              </w:rPr>
              <w:t>1</w:t>
            </w:r>
            <w:r>
              <w:t xml:space="preserve">. Safety results were comparable, with minor differences in rates of pneumonia and COPD exacerbations. </w:t>
            </w:r>
          </w:p>
        </w:tc>
      </w:tr>
      <w:tr w:rsidR="001A7EE6" w:rsidTr="00E55643">
        <w:trPr>
          <w:cantSplit/>
        </w:trPr>
        <w:tc>
          <w:tcPr>
            <w:tcW w:w="5000" w:type="pct"/>
            <w:gridSpan w:val="7"/>
            <w:tcBorders>
              <w:top w:val="nil"/>
            </w:tcBorders>
            <w:shd w:val="clear" w:color="auto" w:fill="000000" w:themeFill="text1"/>
            <w:vAlign w:val="center"/>
          </w:tcPr>
          <w:p w:rsidR="001A7EE6" w:rsidRDefault="001A7EE6" w:rsidP="001A7EE6">
            <w:pPr>
              <w:pStyle w:val="04Tablesubheading"/>
            </w:pPr>
            <w:r>
              <w:lastRenderedPageBreak/>
              <w:t>IND: LABA vs LABA</w:t>
            </w:r>
          </w:p>
        </w:tc>
      </w:tr>
      <w:tr w:rsidR="001A7EE6" w:rsidRPr="00484BD7" w:rsidTr="00964323">
        <w:trPr>
          <w:cantSplit/>
        </w:trPr>
        <w:tc>
          <w:tcPr>
            <w:tcW w:w="656" w:type="pct"/>
            <w:gridSpan w:val="2"/>
            <w:tcBorders>
              <w:top w:val="nil"/>
            </w:tcBorders>
            <w:shd w:val="clear" w:color="auto" w:fill="F2F2F2" w:themeFill="background1" w:themeFillShade="F2"/>
          </w:tcPr>
          <w:p w:rsidR="001A7EE6" w:rsidRDefault="001A7EE6" w:rsidP="001A7EE6">
            <w:pPr>
              <w:pStyle w:val="05Tabletext"/>
            </w:pPr>
            <w:r>
              <w:t>July 2011</w:t>
            </w:r>
          </w:p>
        </w:tc>
        <w:tc>
          <w:tcPr>
            <w:tcW w:w="935" w:type="pct"/>
            <w:gridSpan w:val="2"/>
            <w:shd w:val="clear" w:color="auto" w:fill="F2F2F2" w:themeFill="background1" w:themeFillShade="F2"/>
          </w:tcPr>
          <w:p w:rsidR="001A7EE6" w:rsidRDefault="001A7EE6" w:rsidP="001A7EE6">
            <w:pPr>
              <w:pStyle w:val="05Tabletext"/>
              <w:ind w:right="0"/>
              <w:jc w:val="center"/>
            </w:pPr>
            <w:r>
              <w:t xml:space="preserve">No head-to-head trials </w:t>
            </w:r>
          </w:p>
          <w:p w:rsidR="001A7EE6" w:rsidRDefault="001A7EE6" w:rsidP="001A7EE6">
            <w:pPr>
              <w:pStyle w:val="06Tabletextspacebefore"/>
              <w:spacing w:before="20"/>
              <w:jc w:val="center"/>
            </w:pPr>
            <w:r>
              <w:t>Indirect comparison via TIO as common comparator</w:t>
            </w:r>
          </w:p>
        </w:tc>
        <w:tc>
          <w:tcPr>
            <w:tcW w:w="567" w:type="pct"/>
            <w:gridSpan w:val="2"/>
            <w:shd w:val="clear" w:color="auto" w:fill="F2F2F2" w:themeFill="background1" w:themeFillShade="F2"/>
          </w:tcPr>
          <w:p w:rsidR="001A7EE6" w:rsidRDefault="001A7EE6" w:rsidP="001A7EE6">
            <w:pPr>
              <w:pStyle w:val="05Tabletext"/>
              <w:jc w:val="center"/>
            </w:pPr>
            <w:r>
              <w:t>IND vs FLU/SAL</w:t>
            </w:r>
          </w:p>
        </w:tc>
        <w:tc>
          <w:tcPr>
            <w:tcW w:w="2842" w:type="pct"/>
            <w:shd w:val="clear" w:color="auto" w:fill="F2F2F2" w:themeFill="background1" w:themeFillShade="F2"/>
          </w:tcPr>
          <w:p w:rsidR="001A7EE6" w:rsidRDefault="001A7EE6" w:rsidP="00CD1D07">
            <w:pPr>
              <w:pStyle w:val="05Tabletext"/>
              <w:numPr>
                <w:ilvl w:val="0"/>
                <w:numId w:val="15"/>
              </w:numPr>
              <w:ind w:left="227" w:hanging="227"/>
            </w:pPr>
            <w:r>
              <w:t>IND in combination with TIO was considered non-inferior in comparative effectiveness and similar in safety to FLU/SAL plus TIO by the PBAC. IND was cost-minimised to FLU/SAL.</w:t>
            </w:r>
          </w:p>
          <w:p w:rsidR="001A7EE6" w:rsidRPr="00484BD7" w:rsidRDefault="001A7EE6" w:rsidP="001A7EE6">
            <w:pPr>
              <w:pStyle w:val="06Tabletextspacebefore"/>
            </w:pPr>
          </w:p>
        </w:tc>
      </w:tr>
      <w:tr w:rsidR="001A7EE6" w:rsidTr="00E55643">
        <w:trPr>
          <w:cantSplit/>
        </w:trPr>
        <w:tc>
          <w:tcPr>
            <w:tcW w:w="656" w:type="pct"/>
            <w:gridSpan w:val="2"/>
            <w:tcBorders>
              <w:top w:val="nil"/>
            </w:tcBorders>
            <w:shd w:val="clear" w:color="auto" w:fill="auto"/>
          </w:tcPr>
          <w:p w:rsidR="001A7EE6" w:rsidRDefault="001A7EE6" w:rsidP="001A7EE6">
            <w:pPr>
              <w:pStyle w:val="05Tabletext"/>
            </w:pPr>
            <w:r>
              <w:t>New evidence</w:t>
            </w:r>
          </w:p>
        </w:tc>
        <w:tc>
          <w:tcPr>
            <w:tcW w:w="935" w:type="pct"/>
            <w:gridSpan w:val="2"/>
            <w:shd w:val="clear" w:color="auto" w:fill="auto"/>
          </w:tcPr>
          <w:p w:rsidR="001A7EE6" w:rsidRDefault="001A7EE6" w:rsidP="001A7EE6">
            <w:pPr>
              <w:pStyle w:val="05Tabletext"/>
              <w:jc w:val="center"/>
            </w:pPr>
            <w:r>
              <w:t>INDORSE</w:t>
            </w:r>
            <w:r>
              <w:br/>
              <w:t>Superiority, double-blind</w:t>
            </w:r>
            <w:r>
              <w:br/>
              <w:t>Good quality</w:t>
            </w:r>
            <w:r>
              <w:br/>
              <w:t>N=415; 52 weeks</w:t>
            </w:r>
          </w:p>
        </w:tc>
        <w:tc>
          <w:tcPr>
            <w:tcW w:w="567" w:type="pct"/>
            <w:gridSpan w:val="2"/>
          </w:tcPr>
          <w:p w:rsidR="001A7EE6" w:rsidRDefault="001A7EE6" w:rsidP="001A7EE6">
            <w:pPr>
              <w:pStyle w:val="05Tabletext"/>
              <w:jc w:val="center"/>
            </w:pPr>
            <w:r>
              <w:t>IND 150 mcg vs IND 300 mcg</w:t>
            </w:r>
          </w:p>
        </w:tc>
        <w:tc>
          <w:tcPr>
            <w:tcW w:w="2842" w:type="pct"/>
            <w:shd w:val="clear" w:color="auto" w:fill="auto"/>
          </w:tcPr>
          <w:p w:rsidR="001A7EE6" w:rsidRDefault="001A7EE6" w:rsidP="00CD1D07">
            <w:pPr>
              <w:pStyle w:val="05Tabletext"/>
              <w:numPr>
                <w:ilvl w:val="0"/>
                <w:numId w:val="15"/>
              </w:numPr>
              <w:ind w:left="227" w:hanging="227"/>
            </w:pPr>
            <w:r>
              <w:t xml:space="preserve">The two PBS-listed doses of </w:t>
            </w:r>
            <w:proofErr w:type="spellStart"/>
            <w:r>
              <w:t>indacaterol</w:t>
            </w:r>
            <w:proofErr w:type="spellEnd"/>
            <w:r>
              <w:t xml:space="preserve"> were associated with similar magnitudes of improvement from baseline in trough FEV</w:t>
            </w:r>
            <w:r>
              <w:rPr>
                <w:vertAlign w:val="subscript"/>
              </w:rPr>
              <w:t>1</w:t>
            </w:r>
            <w:r>
              <w:t xml:space="preserve"> compared with placebo and were comparable in terms of risk of exacerbations.</w:t>
            </w:r>
          </w:p>
        </w:tc>
      </w:tr>
    </w:tbl>
    <w:p w:rsidR="00AA39D1" w:rsidRDefault="00AA39D1" w:rsidP="00C53964">
      <w:pPr>
        <w:pStyle w:val="10TableorFigurefootnote"/>
        <w:keepNext w:val="0"/>
      </w:pPr>
      <w:r>
        <w:t>Abbreviations: COPD, chronic obstructive pulmonary disease; FEV</w:t>
      </w:r>
      <w:r>
        <w:rPr>
          <w:vertAlign w:val="subscript"/>
        </w:rPr>
        <w:t>1</w:t>
      </w:r>
      <w:r>
        <w:t xml:space="preserve">, forced expiratory volume in one second; FLU, fluticasone; GLY, </w:t>
      </w:r>
      <w:proofErr w:type="spellStart"/>
      <w:r>
        <w:t>glycopyrronium</w:t>
      </w:r>
      <w:proofErr w:type="spellEnd"/>
      <w:r>
        <w:t xml:space="preserve">; GOLD, Global Initiative for Chronic Obstructive Lung Disease; IND, </w:t>
      </w:r>
      <w:proofErr w:type="spellStart"/>
      <w:r>
        <w:t>indacaterol</w:t>
      </w:r>
      <w:proofErr w:type="spellEnd"/>
      <w:r>
        <w:t xml:space="preserve">; ICS, inhaled corticosteroid; LAMA, </w:t>
      </w:r>
      <w:r w:rsidRPr="00A11CA0">
        <w:t>long-acting muscarinic antagonist</w:t>
      </w:r>
      <w:r>
        <w:t>;</w:t>
      </w:r>
      <w:r w:rsidRPr="00A11CA0">
        <w:t xml:space="preserve"> </w:t>
      </w:r>
      <w:r>
        <w:t xml:space="preserve">MCID, minimal clinically important difference; OLO, </w:t>
      </w:r>
      <w:proofErr w:type="spellStart"/>
      <w:r>
        <w:t>olodaterol</w:t>
      </w:r>
      <w:proofErr w:type="spellEnd"/>
      <w:r>
        <w:t>;</w:t>
      </w:r>
      <w:r w:rsidRPr="00A11CA0">
        <w:t xml:space="preserve"> PBAC, Pharmaceutic Benefits Advisory Committee; </w:t>
      </w:r>
      <w:r>
        <w:t xml:space="preserve">PBO, placebo; SAL, salmeterol; TIO, tiotropium; UME, </w:t>
      </w:r>
      <w:proofErr w:type="spellStart"/>
      <w:r>
        <w:t>umeclidinium</w:t>
      </w:r>
      <w:proofErr w:type="spellEnd"/>
      <w:r>
        <w:t xml:space="preserve">; VIL, </w:t>
      </w:r>
      <w:proofErr w:type="spellStart"/>
      <w:r>
        <w:t>vilanterol</w:t>
      </w:r>
      <w:proofErr w:type="spellEnd"/>
      <w:r>
        <w:t>.</w:t>
      </w:r>
    </w:p>
    <w:p w:rsidR="00AA39D1" w:rsidRDefault="00AA39D1" w:rsidP="00C53964">
      <w:pPr>
        <w:pStyle w:val="10TableorFigurefootnote"/>
        <w:keepNext w:val="0"/>
      </w:pPr>
      <w:proofErr w:type="spellStart"/>
      <w:proofErr w:type="gramStart"/>
      <w:r>
        <w:rPr>
          <w:b/>
        </w:rPr>
        <w:t>a</w:t>
      </w:r>
      <w:proofErr w:type="spellEnd"/>
      <w:proofErr w:type="gramEnd"/>
      <w:r>
        <w:rPr>
          <w:b/>
        </w:rPr>
        <w:t xml:space="preserve"> </w:t>
      </w:r>
      <w:r w:rsidRPr="00B4109A">
        <w:t>Over half of the patients in each treatment arm were using ICS therapies at baseline and continued use of ICS throughout the study; thus, approximately half of the study participants were on triple therapy or dual (ICS + LAMA) therapy.</w:t>
      </w:r>
    </w:p>
    <w:p w:rsidR="00AA39D1" w:rsidRDefault="00AA39D1" w:rsidP="00C53964">
      <w:pPr>
        <w:pStyle w:val="10TableorFigurefootnote"/>
        <w:keepNext w:val="0"/>
      </w:pPr>
      <w:r>
        <w:rPr>
          <w:b/>
        </w:rPr>
        <w:t>b</w:t>
      </w:r>
      <w:r w:rsidRPr="00F971CF">
        <w:rPr>
          <w:b/>
        </w:rPr>
        <w:t xml:space="preserve"> </w:t>
      </w:r>
      <w:r w:rsidRPr="004D71E0">
        <w:t>Patients who were on ICS therapy at baseline were permitted to continue use of ICS; therefore, a subset of patients were on triple therapy, while others were on dual ICS + LAMA therapy during the treatment period.</w:t>
      </w:r>
    </w:p>
    <w:p w:rsidR="00AA39D1" w:rsidRDefault="00AA39D1" w:rsidP="00C53964">
      <w:pPr>
        <w:pStyle w:val="10TableorFigurefootnote"/>
        <w:keepNext w:val="0"/>
      </w:pPr>
      <w:proofErr w:type="gramStart"/>
      <w:r>
        <w:rPr>
          <w:b/>
        </w:rPr>
        <w:t>c</w:t>
      </w:r>
      <w:proofErr w:type="gramEnd"/>
      <w:r>
        <w:t xml:space="preserve"> New evidence refers to a post hoc analysis based on disease severity and treatment intensity.</w:t>
      </w:r>
    </w:p>
    <w:p w:rsidR="00AA39D1" w:rsidRDefault="00AA39D1">
      <w:pPr>
        <w:pStyle w:val="11TableorFigurefootnotenostick"/>
      </w:pPr>
      <w:proofErr w:type="gramStart"/>
      <w:r w:rsidRPr="00E4266D">
        <w:rPr>
          <w:b/>
        </w:rPr>
        <w:t>d</w:t>
      </w:r>
      <w:proofErr w:type="gramEnd"/>
      <w:r>
        <w:t xml:space="preserve"> T</w:t>
      </w:r>
      <w:r w:rsidRPr="00F971CF">
        <w:t xml:space="preserve">he study was powered to detect differences between </w:t>
      </w:r>
      <w:r>
        <w:t>TIO/OLO</w:t>
      </w:r>
      <w:r w:rsidRPr="00F971CF">
        <w:t xml:space="preserve"> and </w:t>
      </w:r>
      <w:r>
        <w:t>PBO</w:t>
      </w:r>
      <w:r w:rsidRPr="00F971CF">
        <w:t xml:space="preserve">, not </w:t>
      </w:r>
      <w:r>
        <w:t>TIO/OLO</w:t>
      </w:r>
      <w:r w:rsidRPr="00F971CF">
        <w:t xml:space="preserve"> and </w:t>
      </w:r>
      <w:r>
        <w:t xml:space="preserve">TIO </w:t>
      </w:r>
      <w:r w:rsidRPr="00F971CF">
        <w:t>monotherapy.</w:t>
      </w:r>
    </w:p>
    <w:p w:rsidR="00AA39D1" w:rsidRDefault="00AA39D1" w:rsidP="000558C0">
      <w:pPr>
        <w:pStyle w:val="Heading4"/>
      </w:pPr>
      <w:r>
        <w:t>Dual therapy versus dual therapy in patients with COPD</w:t>
      </w:r>
    </w:p>
    <w:p w:rsidR="00647101" w:rsidRDefault="00647101" w:rsidP="00647101">
      <w:r w:rsidRPr="00B545D0">
        <w:t xml:space="preserve">Only </w:t>
      </w:r>
      <w:r>
        <w:t xml:space="preserve">two </w:t>
      </w:r>
      <w:r w:rsidRPr="00B545D0">
        <w:t>RCT</w:t>
      </w:r>
      <w:r>
        <w:t>s</w:t>
      </w:r>
      <w:r w:rsidRPr="00B545D0">
        <w:t xml:space="preserve"> w</w:t>
      </w:r>
      <w:r>
        <w:t>ere</w:t>
      </w:r>
      <w:r w:rsidRPr="00B545D0">
        <w:t xml:space="preserve"> identified that compared two LAMA/LABA dual therapy combinations</w:t>
      </w:r>
      <w:r>
        <w:t xml:space="preserve"> (</w:t>
      </w:r>
      <w:proofErr w:type="spellStart"/>
      <w:r>
        <w:t>umeclidium</w:t>
      </w:r>
      <w:proofErr w:type="spellEnd"/>
      <w:r>
        <w:t>/</w:t>
      </w:r>
      <w:proofErr w:type="spellStart"/>
      <w:r>
        <w:t>vilanterol</w:t>
      </w:r>
      <w:proofErr w:type="spellEnd"/>
      <w:r>
        <w:t xml:space="preserve"> FDC versus tiotropium plus </w:t>
      </w:r>
      <w:proofErr w:type="spellStart"/>
      <w:r>
        <w:t>indacaterol</w:t>
      </w:r>
      <w:proofErr w:type="spellEnd"/>
      <w:r>
        <w:t>) and (</w:t>
      </w:r>
      <w:proofErr w:type="spellStart"/>
      <w:r w:rsidRPr="00AA4CB9">
        <w:t>indacaterol</w:t>
      </w:r>
      <w:proofErr w:type="spellEnd"/>
      <w:r w:rsidRPr="00AA4CB9">
        <w:t>/</w:t>
      </w:r>
      <w:proofErr w:type="spellStart"/>
      <w:r w:rsidRPr="00AA4CB9">
        <w:t>glycopyrronium</w:t>
      </w:r>
      <w:proofErr w:type="spellEnd"/>
      <w:r w:rsidRPr="00AA4CB9">
        <w:t xml:space="preserve"> </w:t>
      </w:r>
      <w:r>
        <w:t xml:space="preserve">FDC </w:t>
      </w:r>
      <w:r w:rsidRPr="00AA4CB9">
        <w:t xml:space="preserve">versus tiotropium plus </w:t>
      </w:r>
      <w:proofErr w:type="spellStart"/>
      <w:r w:rsidRPr="00AA4CB9">
        <w:t>eformoterol</w:t>
      </w:r>
      <w:proofErr w:type="spellEnd"/>
      <w:r>
        <w:t>)</w:t>
      </w:r>
      <w:r w:rsidRPr="00AA4CB9">
        <w:t xml:space="preserve"> </w:t>
      </w:r>
      <w:r>
        <w:t xml:space="preserve">as outlined in Table </w:t>
      </w:r>
      <w:r w:rsidR="00207891">
        <w:t>ES </w:t>
      </w:r>
      <w:r w:rsidR="006D03EA">
        <w:t>5</w:t>
      </w:r>
      <w:r>
        <w:t>. Despite the limited body of evidence, the findings of that study were consistent with previous PBAC recommendations; that is, there appears to be no</w:t>
      </w:r>
      <w:r w:rsidRPr="00F831F0">
        <w:t xml:space="preserve"> significant difference in efficacy </w:t>
      </w:r>
      <w:r>
        <w:t xml:space="preserve">(based on primary end points) </w:t>
      </w:r>
      <w:r w:rsidRPr="00F831F0">
        <w:t>or safety between PBS-listed LAMA</w:t>
      </w:r>
      <w:r>
        <w:t>/LABA FDC</w:t>
      </w:r>
      <w:r w:rsidR="00207891">
        <w:t>s</w:t>
      </w:r>
      <w:r>
        <w:t>.</w:t>
      </w:r>
    </w:p>
    <w:p w:rsidR="00AA39D1" w:rsidRDefault="002940DC" w:rsidP="00207891">
      <w:r>
        <w:t xml:space="preserve">Table ES </w:t>
      </w:r>
      <w:r w:rsidR="00AA39D1">
        <w:t>5 also summarises the key findings from several RCTs that examined the comparative efficacy and safety of LAMA/LABA and ICS/LABA FDCs. The FLAME trial is of particular interest</w:t>
      </w:r>
      <w:r w:rsidR="00207891" w:rsidRPr="00207891">
        <w:t xml:space="preserve"> </w:t>
      </w:r>
      <w:r w:rsidR="00207891">
        <w:t xml:space="preserve">as it enrolled </w:t>
      </w:r>
      <w:r w:rsidR="00207891" w:rsidRPr="00E3485B">
        <w:t xml:space="preserve">patients with a </w:t>
      </w:r>
      <w:r w:rsidR="00207891">
        <w:t>history of at least one exacerbation in the previous 12 months requiring treatment</w:t>
      </w:r>
      <w:r w:rsidR="00AA39D1" w:rsidRPr="00E3485B">
        <w:t>.</w:t>
      </w:r>
      <w:r w:rsidR="000A4022">
        <w:t xml:space="preserve"> </w:t>
      </w:r>
      <w:r w:rsidR="00AA39D1" w:rsidRPr="00E3485B">
        <w:t>The FLAME</w:t>
      </w:r>
      <w:r w:rsidR="00AA39D1">
        <w:t xml:space="preserve"> trial demonstrated non-inferiority of </w:t>
      </w:r>
      <w:proofErr w:type="spellStart"/>
      <w:r w:rsidR="00AA39D1">
        <w:t>glycopyrronium</w:t>
      </w:r>
      <w:proofErr w:type="spellEnd"/>
      <w:r w:rsidR="00AA39D1">
        <w:t>/</w:t>
      </w:r>
      <w:proofErr w:type="spellStart"/>
      <w:r w:rsidR="00AA39D1">
        <w:t>indacaterol</w:t>
      </w:r>
      <w:proofErr w:type="spellEnd"/>
      <w:r w:rsidR="00AA39D1">
        <w:t xml:space="preserve"> to fluticasone/salmeterol and, on a subsequent subgroup analysis, superiority of the LAMA/LABA FDC to the ICS/LABA FDC based on exacerbation and lung function outcomes.</w:t>
      </w:r>
      <w:r w:rsidR="00AA39D1">
        <w:rPr>
          <w:rStyle w:val="FootnoteReference"/>
        </w:rPr>
        <w:footnoteReference w:id="2"/>
      </w:r>
    </w:p>
    <w:p w:rsidR="00A9371A" w:rsidRPr="00207891" w:rsidRDefault="00AA39D1" w:rsidP="00207891">
      <w:r>
        <w:t>The ERG also considered the results of a recent Cochrane Review (</w:t>
      </w:r>
      <w:proofErr w:type="spellStart"/>
      <w:r>
        <w:t>Horita</w:t>
      </w:r>
      <w:proofErr w:type="spellEnd"/>
      <w:r w:rsidR="00207891">
        <w:t xml:space="preserve"> et al,</w:t>
      </w:r>
      <w:r>
        <w:t xml:space="preserve"> 2017) published after the search period for the systematic review. </w:t>
      </w:r>
      <w:r w:rsidR="000A4022">
        <w:t xml:space="preserve"> </w:t>
      </w:r>
      <w:r>
        <w:t>The Cochrane review meta-analysed the results of 11 studies (n=9,839) that compared LAMA plus LABA to LABA plus ICS treatment, predominantly in patients with moderate to severe COPD without recent exacerbations.</w:t>
      </w:r>
      <w:r w:rsidR="00665791">
        <w:rPr>
          <w:rStyle w:val="FootnoteReference"/>
        </w:rPr>
        <w:footnoteReference w:id="3"/>
      </w:r>
      <w:r>
        <w:t xml:space="preserve"> </w:t>
      </w:r>
      <w:proofErr w:type="spellStart"/>
      <w:r>
        <w:t>Horita</w:t>
      </w:r>
      <w:proofErr w:type="spellEnd"/>
      <w:r>
        <w:t xml:space="preserve"> (2017) found that compared to LABA plus ICS, LAMA plus LABA treatment was associated with greater improvements in FEV</w:t>
      </w:r>
      <w:r w:rsidRPr="00AA0E18">
        <w:rPr>
          <w:vertAlign w:val="subscript"/>
        </w:rPr>
        <w:t>1</w:t>
      </w:r>
      <w:r>
        <w:t>, fewer exacerbations, more frequent improvement in quality of life (measured by an increase in SGRQ of over four units</w:t>
      </w:r>
      <w:r w:rsidR="00207891">
        <w:t>), and lower risk of pneumonia.</w:t>
      </w:r>
      <w:r w:rsidR="00665791">
        <w:t xml:space="preserve"> </w:t>
      </w:r>
    </w:p>
    <w:p w:rsidR="00DA4DA4" w:rsidRDefault="00DA4DA4">
      <w:pPr>
        <w:spacing w:before="0" w:line="240" w:lineRule="auto"/>
        <w:jc w:val="left"/>
        <w:rPr>
          <w:rFonts w:cs="Arial"/>
          <w:b/>
          <w:sz w:val="22"/>
          <w:szCs w:val="20"/>
        </w:rPr>
      </w:pPr>
      <w:bookmarkStart w:id="19" w:name="_Toc486853626"/>
      <w:r>
        <w:br w:type="page"/>
      </w:r>
    </w:p>
    <w:p w:rsidR="00AA39D1" w:rsidRDefault="002940DC" w:rsidP="00C53964">
      <w:pPr>
        <w:pStyle w:val="ExSTableHeader"/>
      </w:pPr>
      <w:r>
        <w:lastRenderedPageBreak/>
        <w:t xml:space="preserve">Table ES </w:t>
      </w:r>
      <w:r w:rsidR="00F33DF6">
        <w:t>5</w:t>
      </w:r>
      <w:r w:rsidR="00F33DF6">
        <w:tab/>
      </w:r>
      <w:r w:rsidR="00AA39D1">
        <w:t>Summary of new evidence for dual therapy versus dual therapy in patients with COPD</w:t>
      </w:r>
      <w:bookmarkEnd w:id="1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Caption w:val="Key findings"/>
        <w:tblDescription w:val="Summary of evidence for dual therapy versus dual therapy"/>
      </w:tblPr>
      <w:tblGrid>
        <w:gridCol w:w="1131"/>
        <w:gridCol w:w="2132"/>
        <w:gridCol w:w="994"/>
        <w:gridCol w:w="5391"/>
      </w:tblGrid>
      <w:tr w:rsidR="00AA39D1" w:rsidRPr="00F01736" w:rsidTr="005F5E0D">
        <w:trPr>
          <w:cantSplit/>
          <w:tblHeader/>
        </w:trPr>
        <w:tc>
          <w:tcPr>
            <w:tcW w:w="586" w:type="pct"/>
            <w:shd w:val="clear" w:color="auto" w:fill="BFBFBF"/>
          </w:tcPr>
          <w:p w:rsidR="00AA39D1" w:rsidRPr="00F01736" w:rsidRDefault="00AA39D1" w:rsidP="005F5E0D">
            <w:pPr>
              <w:pStyle w:val="01TableHEADINGleftaligned"/>
              <w:keepNext w:val="0"/>
            </w:pPr>
            <w:r>
              <w:t>PBAC consideration</w:t>
            </w:r>
          </w:p>
        </w:tc>
        <w:tc>
          <w:tcPr>
            <w:tcW w:w="1105" w:type="pct"/>
            <w:shd w:val="clear" w:color="auto" w:fill="BFBFBF"/>
          </w:tcPr>
          <w:p w:rsidR="00AA39D1" w:rsidRPr="00F01736" w:rsidRDefault="00AA39D1" w:rsidP="005F5E0D">
            <w:pPr>
              <w:pStyle w:val="01TableHEADINGleftaligned"/>
              <w:keepNext w:val="0"/>
              <w:jc w:val="center"/>
            </w:pPr>
            <w:r>
              <w:t>Head-to-head trials</w:t>
            </w:r>
          </w:p>
        </w:tc>
        <w:tc>
          <w:tcPr>
            <w:tcW w:w="515" w:type="pct"/>
            <w:shd w:val="clear" w:color="auto" w:fill="BFBFBF"/>
          </w:tcPr>
          <w:p w:rsidR="00AA39D1" w:rsidRDefault="00AA39D1" w:rsidP="005F5E0D">
            <w:pPr>
              <w:pStyle w:val="01TableHEADINGleftaligned"/>
              <w:keepNext w:val="0"/>
              <w:jc w:val="center"/>
            </w:pPr>
            <w:r>
              <w:t>Comparison</w:t>
            </w:r>
          </w:p>
        </w:tc>
        <w:tc>
          <w:tcPr>
            <w:tcW w:w="2794" w:type="pct"/>
            <w:shd w:val="clear" w:color="auto" w:fill="BFBFBF"/>
          </w:tcPr>
          <w:p w:rsidR="00AA39D1" w:rsidRPr="00F01736" w:rsidRDefault="00AA39D1" w:rsidP="005F5E0D">
            <w:pPr>
              <w:pStyle w:val="01TableHEADINGleftaligned"/>
              <w:keepNext w:val="0"/>
              <w:jc w:val="center"/>
            </w:pPr>
            <w:r>
              <w:t>Summary of findings</w:t>
            </w:r>
          </w:p>
        </w:tc>
      </w:tr>
      <w:tr w:rsidR="00AA39D1" w:rsidTr="005F5E0D">
        <w:trPr>
          <w:cantSplit/>
        </w:trPr>
        <w:tc>
          <w:tcPr>
            <w:tcW w:w="1691" w:type="pct"/>
            <w:gridSpan w:val="2"/>
            <w:tcBorders>
              <w:bottom w:val="nil"/>
            </w:tcBorders>
            <w:shd w:val="clear" w:color="auto" w:fill="000000" w:themeFill="text1"/>
            <w:vAlign w:val="bottom"/>
          </w:tcPr>
          <w:p w:rsidR="00AA39D1" w:rsidRDefault="00AA39D1" w:rsidP="005F5E0D">
            <w:pPr>
              <w:pStyle w:val="04Tablesubheading"/>
            </w:pPr>
            <w:r>
              <w:t>GLY/IND: LAMA/LABA vs LAMA/LABA</w:t>
            </w:r>
          </w:p>
        </w:tc>
        <w:tc>
          <w:tcPr>
            <w:tcW w:w="515" w:type="pct"/>
            <w:shd w:val="clear" w:color="auto" w:fill="000000" w:themeFill="text1"/>
          </w:tcPr>
          <w:p w:rsidR="00AA39D1" w:rsidRDefault="00AA39D1" w:rsidP="005F5E0D">
            <w:pPr>
              <w:pStyle w:val="04Tablesubheading"/>
            </w:pPr>
          </w:p>
        </w:tc>
        <w:tc>
          <w:tcPr>
            <w:tcW w:w="2794" w:type="pct"/>
            <w:shd w:val="clear" w:color="auto" w:fill="000000" w:themeFill="text1"/>
          </w:tcPr>
          <w:p w:rsidR="00AA39D1" w:rsidRDefault="00AA39D1" w:rsidP="005F5E0D">
            <w:pPr>
              <w:pStyle w:val="04Tablesubheading"/>
            </w:pPr>
          </w:p>
        </w:tc>
      </w:tr>
      <w:tr w:rsidR="00AA39D1" w:rsidTr="005F5E0D">
        <w:trPr>
          <w:cantSplit/>
        </w:trPr>
        <w:tc>
          <w:tcPr>
            <w:tcW w:w="586" w:type="pct"/>
            <w:tcBorders>
              <w:bottom w:val="nil"/>
            </w:tcBorders>
            <w:shd w:val="clear" w:color="auto" w:fill="F2F2F2" w:themeFill="background1" w:themeFillShade="F2"/>
          </w:tcPr>
          <w:p w:rsidR="00AA39D1" w:rsidRDefault="00AA39D1" w:rsidP="005F5E0D">
            <w:pPr>
              <w:pStyle w:val="05Tabletext"/>
              <w:keepNext/>
            </w:pPr>
            <w:r>
              <w:t>July 2014</w:t>
            </w:r>
          </w:p>
        </w:tc>
        <w:tc>
          <w:tcPr>
            <w:tcW w:w="1105" w:type="pct"/>
            <w:shd w:val="clear" w:color="auto" w:fill="F2F2F2" w:themeFill="background1" w:themeFillShade="F2"/>
          </w:tcPr>
          <w:p w:rsidR="00AA39D1" w:rsidRDefault="00AA39D1" w:rsidP="005F5E0D">
            <w:pPr>
              <w:pStyle w:val="05Tabletext"/>
              <w:jc w:val="center"/>
            </w:pPr>
            <w:r>
              <w:t>BEACON</w:t>
            </w:r>
          </w:p>
          <w:p w:rsidR="00AA39D1" w:rsidRDefault="00AA39D1" w:rsidP="005F5E0D">
            <w:pPr>
              <w:pStyle w:val="05Tabletext"/>
              <w:keepNext/>
              <w:jc w:val="center"/>
            </w:pPr>
            <w:r>
              <w:t>An indirect comparison via TIO as common comparator also considered</w:t>
            </w:r>
          </w:p>
        </w:tc>
        <w:tc>
          <w:tcPr>
            <w:tcW w:w="515" w:type="pct"/>
            <w:shd w:val="clear" w:color="auto" w:fill="F2F2F2" w:themeFill="background1" w:themeFillShade="F2"/>
          </w:tcPr>
          <w:p w:rsidR="00AA39D1" w:rsidRDefault="00AA39D1" w:rsidP="005F5E0D">
            <w:pPr>
              <w:pStyle w:val="05Tabletext"/>
              <w:keepNext/>
              <w:jc w:val="center"/>
            </w:pPr>
            <w:r>
              <w:t>GLY/IND vs GLY+IND</w:t>
            </w:r>
          </w:p>
        </w:tc>
        <w:tc>
          <w:tcPr>
            <w:tcW w:w="2794" w:type="pct"/>
            <w:shd w:val="clear" w:color="auto" w:fill="F2F2F2" w:themeFill="background1" w:themeFillShade="F2"/>
          </w:tcPr>
          <w:p w:rsidR="00AA39D1" w:rsidRDefault="00AA39D1" w:rsidP="00CD1D07">
            <w:pPr>
              <w:pStyle w:val="05Tabletext"/>
              <w:keepNext/>
              <w:numPr>
                <w:ilvl w:val="0"/>
                <w:numId w:val="20"/>
              </w:numPr>
              <w:ind w:left="227" w:hanging="227"/>
            </w:pPr>
            <w:r>
              <w:t>GLY/IND was cost-minimised to UME/VIL.</w:t>
            </w:r>
          </w:p>
        </w:tc>
      </w:tr>
      <w:tr w:rsidR="006D03EA" w:rsidTr="005F5E0D">
        <w:trPr>
          <w:cantSplit/>
        </w:trPr>
        <w:tc>
          <w:tcPr>
            <w:tcW w:w="586" w:type="pct"/>
            <w:tcBorders>
              <w:bottom w:val="nil"/>
            </w:tcBorders>
            <w:shd w:val="clear" w:color="auto" w:fill="F2F2F2" w:themeFill="background1" w:themeFillShade="F2"/>
          </w:tcPr>
          <w:p w:rsidR="006D03EA" w:rsidRDefault="006D03EA" w:rsidP="006D03EA">
            <w:pPr>
              <w:pStyle w:val="05Tabletext"/>
              <w:keepNext/>
            </w:pPr>
            <w:r>
              <w:t>New evidence</w:t>
            </w:r>
          </w:p>
        </w:tc>
        <w:tc>
          <w:tcPr>
            <w:tcW w:w="1105" w:type="pct"/>
            <w:shd w:val="clear" w:color="auto" w:fill="F2F2F2" w:themeFill="background1" w:themeFillShade="F2"/>
          </w:tcPr>
          <w:p w:rsidR="006D03EA" w:rsidRDefault="006D03EA" w:rsidP="006D03EA">
            <w:pPr>
              <w:pStyle w:val="05Tabletext"/>
              <w:jc w:val="center"/>
            </w:pPr>
            <w:r>
              <w:t>QUANTIFY</w:t>
            </w:r>
          </w:p>
          <w:p w:rsidR="006D03EA" w:rsidRDefault="006D03EA">
            <w:pPr>
              <w:pStyle w:val="05Tabletext"/>
              <w:jc w:val="center"/>
            </w:pPr>
            <w:r>
              <w:t>Non-inferiority, blinded, triple-dummy</w:t>
            </w:r>
            <w:r>
              <w:br/>
              <w:t>Good quality</w:t>
            </w:r>
            <w:r>
              <w:br/>
              <w:t>N=934; 26 weeks</w:t>
            </w:r>
          </w:p>
        </w:tc>
        <w:tc>
          <w:tcPr>
            <w:tcW w:w="515" w:type="pct"/>
            <w:shd w:val="clear" w:color="auto" w:fill="F2F2F2" w:themeFill="background1" w:themeFillShade="F2"/>
          </w:tcPr>
          <w:p w:rsidR="006D03EA" w:rsidRDefault="006D03EA" w:rsidP="006D03EA">
            <w:pPr>
              <w:pStyle w:val="05Tabletext"/>
              <w:keepNext/>
              <w:jc w:val="center"/>
            </w:pPr>
            <w:r>
              <w:t>IND/GLY vs TIO+EFO</w:t>
            </w:r>
          </w:p>
        </w:tc>
        <w:tc>
          <w:tcPr>
            <w:tcW w:w="2794" w:type="pct"/>
            <w:shd w:val="clear" w:color="auto" w:fill="F2F2F2" w:themeFill="background1" w:themeFillShade="F2"/>
          </w:tcPr>
          <w:p w:rsidR="006D03EA" w:rsidRDefault="006D03EA" w:rsidP="00CD1D07">
            <w:pPr>
              <w:pStyle w:val="05Tabletext"/>
              <w:keepNext/>
              <w:numPr>
                <w:ilvl w:val="0"/>
                <w:numId w:val="20"/>
              </w:numPr>
              <w:ind w:left="227" w:hanging="227"/>
            </w:pPr>
            <w:r>
              <w:t>IND</w:t>
            </w:r>
            <w:r w:rsidRPr="00805A26">
              <w:t>/</w:t>
            </w:r>
            <w:r>
              <w:t xml:space="preserve">GYL was non </w:t>
            </w:r>
            <w:r>
              <w:rPr>
                <w:rFonts w:hint="cs"/>
              </w:rPr>
              <w:t xml:space="preserve">inferiority </w:t>
            </w:r>
            <w:r>
              <w:t>to TIO+EFO</w:t>
            </w:r>
            <w:r>
              <w:rPr>
                <w:rFonts w:hint="cs"/>
              </w:rPr>
              <w:t xml:space="preserve"> based on </w:t>
            </w:r>
            <w:r w:rsidRPr="003D19CE">
              <w:t>SGRQ-C</w:t>
            </w:r>
            <w:r>
              <w:t xml:space="preserve"> in patients had who moderate or severe risk of exacerbations (GOLD II and GOLD III). The non-inferiority margin was predeﬁned as 4 units. IND/GLY showed a significantly increased pre-dose FEV</w:t>
            </w:r>
            <w:r w:rsidRPr="00ED271E">
              <w:rPr>
                <w:vertAlign w:val="subscript"/>
              </w:rPr>
              <w:t>1</w:t>
            </w:r>
            <w:r>
              <w:t xml:space="preserve"> at week 26. Both treatments were well tolerated.</w:t>
            </w:r>
          </w:p>
        </w:tc>
      </w:tr>
      <w:tr w:rsidR="006D03EA" w:rsidTr="005F5E0D">
        <w:trPr>
          <w:cantSplit/>
        </w:trPr>
        <w:tc>
          <w:tcPr>
            <w:tcW w:w="1691" w:type="pct"/>
            <w:gridSpan w:val="2"/>
            <w:shd w:val="clear" w:color="auto" w:fill="000000" w:themeFill="text1"/>
            <w:vAlign w:val="center"/>
          </w:tcPr>
          <w:p w:rsidR="006D03EA" w:rsidRDefault="006D03EA" w:rsidP="006D03EA">
            <w:pPr>
              <w:pStyle w:val="04Tablesubheading"/>
            </w:pPr>
            <w:r>
              <w:t>UME/VIL: LAMA/LABA vs LAMA/LABA</w:t>
            </w:r>
          </w:p>
        </w:tc>
        <w:tc>
          <w:tcPr>
            <w:tcW w:w="515" w:type="pct"/>
            <w:shd w:val="clear" w:color="auto" w:fill="000000" w:themeFill="text1"/>
          </w:tcPr>
          <w:p w:rsidR="006D03EA" w:rsidRDefault="006D03EA" w:rsidP="006D03EA">
            <w:pPr>
              <w:pStyle w:val="04Tablesubheading"/>
            </w:pPr>
          </w:p>
        </w:tc>
        <w:tc>
          <w:tcPr>
            <w:tcW w:w="2794" w:type="pct"/>
            <w:shd w:val="clear" w:color="auto" w:fill="000000" w:themeFill="text1"/>
          </w:tcPr>
          <w:p w:rsidR="006D03EA" w:rsidRDefault="006D03EA" w:rsidP="006D03EA">
            <w:pPr>
              <w:pStyle w:val="04Tablesubheading"/>
            </w:pPr>
          </w:p>
        </w:tc>
      </w:tr>
      <w:tr w:rsidR="006D03EA" w:rsidRPr="00CB2C96" w:rsidTr="005F5E0D">
        <w:trPr>
          <w:cantSplit/>
        </w:trPr>
        <w:tc>
          <w:tcPr>
            <w:tcW w:w="586" w:type="pct"/>
            <w:tcBorders>
              <w:bottom w:val="single" w:sz="4" w:space="0" w:color="auto"/>
            </w:tcBorders>
            <w:shd w:val="clear" w:color="auto" w:fill="F2F2F2" w:themeFill="background1" w:themeFillShade="F2"/>
          </w:tcPr>
          <w:p w:rsidR="006D03EA" w:rsidRDefault="006D03EA" w:rsidP="006D03EA">
            <w:pPr>
              <w:pStyle w:val="05Tabletext"/>
            </w:pPr>
            <w:r>
              <w:t>July 2014</w:t>
            </w:r>
          </w:p>
        </w:tc>
        <w:tc>
          <w:tcPr>
            <w:tcW w:w="1105" w:type="pct"/>
            <w:shd w:val="clear" w:color="auto" w:fill="F2F2F2" w:themeFill="background1" w:themeFillShade="F2"/>
          </w:tcPr>
          <w:p w:rsidR="006D03EA" w:rsidRDefault="006D03EA" w:rsidP="006D03EA">
            <w:pPr>
              <w:pStyle w:val="05Tabletext"/>
              <w:jc w:val="center"/>
            </w:pPr>
            <w:r>
              <w:t>No head-to-head trials</w:t>
            </w:r>
          </w:p>
          <w:p w:rsidR="006D03EA" w:rsidRPr="00412A4D" w:rsidRDefault="006D03EA" w:rsidP="006D03EA">
            <w:pPr>
              <w:pStyle w:val="06Tabletextspacebefore"/>
              <w:spacing w:before="20"/>
              <w:jc w:val="center"/>
            </w:pPr>
            <w:r>
              <w:t>Indirect comparison via TIO as common comparator</w:t>
            </w:r>
          </w:p>
        </w:tc>
        <w:tc>
          <w:tcPr>
            <w:tcW w:w="515" w:type="pct"/>
            <w:shd w:val="clear" w:color="auto" w:fill="F2F2F2" w:themeFill="background1" w:themeFillShade="F2"/>
          </w:tcPr>
          <w:p w:rsidR="006D03EA" w:rsidRDefault="006D03EA" w:rsidP="006D03EA">
            <w:pPr>
              <w:pStyle w:val="05Tabletext"/>
              <w:jc w:val="center"/>
            </w:pPr>
            <w:r>
              <w:t>UME/VIL vs TIO+IND</w:t>
            </w:r>
          </w:p>
        </w:tc>
        <w:tc>
          <w:tcPr>
            <w:tcW w:w="2794" w:type="pct"/>
            <w:shd w:val="clear" w:color="auto" w:fill="F2F2F2" w:themeFill="background1" w:themeFillShade="F2"/>
          </w:tcPr>
          <w:p w:rsidR="006D03EA" w:rsidRPr="00CB2C96" w:rsidRDefault="006D03EA" w:rsidP="00CD1D07">
            <w:pPr>
              <w:pStyle w:val="05Tabletext"/>
              <w:numPr>
                <w:ilvl w:val="0"/>
                <w:numId w:val="21"/>
              </w:numPr>
              <w:ind w:left="227" w:hanging="227"/>
            </w:pPr>
            <w:r>
              <w:t>UME/VIL was cost-minimised to TIO+IND with an adjustment to account for efficacy being less than the sum of components.</w:t>
            </w:r>
          </w:p>
        </w:tc>
      </w:tr>
      <w:tr w:rsidR="006D03EA" w:rsidRPr="00CB607C" w:rsidTr="005F5E0D">
        <w:trPr>
          <w:cantSplit/>
          <w:trHeight w:val="1053"/>
        </w:trPr>
        <w:tc>
          <w:tcPr>
            <w:tcW w:w="586" w:type="pct"/>
            <w:shd w:val="clear" w:color="auto" w:fill="auto"/>
          </w:tcPr>
          <w:p w:rsidR="006D03EA" w:rsidRDefault="006D03EA" w:rsidP="006D03EA">
            <w:pPr>
              <w:pStyle w:val="05Tabletext"/>
            </w:pPr>
            <w:r>
              <w:t>New evidence</w:t>
            </w:r>
          </w:p>
        </w:tc>
        <w:tc>
          <w:tcPr>
            <w:tcW w:w="1105" w:type="pct"/>
            <w:shd w:val="clear" w:color="auto" w:fill="auto"/>
          </w:tcPr>
          <w:p w:rsidR="006D03EA" w:rsidRDefault="006D03EA" w:rsidP="006D03EA">
            <w:pPr>
              <w:pStyle w:val="05Tabletext"/>
              <w:jc w:val="center"/>
            </w:pPr>
            <w:proofErr w:type="spellStart"/>
            <w:r>
              <w:t>Kalberg</w:t>
            </w:r>
            <w:proofErr w:type="spellEnd"/>
            <w:r>
              <w:t xml:space="preserve"> (2016)</w:t>
            </w:r>
            <w:r>
              <w:br/>
              <w:t>Non-inferiority, double-blind, triple-dummy</w:t>
            </w:r>
            <w:r>
              <w:br/>
              <w:t>Good quality</w:t>
            </w:r>
            <w:r>
              <w:br/>
              <w:t>N=961; 12 weeks</w:t>
            </w:r>
          </w:p>
        </w:tc>
        <w:tc>
          <w:tcPr>
            <w:tcW w:w="515" w:type="pct"/>
          </w:tcPr>
          <w:p w:rsidR="006D03EA" w:rsidRDefault="006D03EA" w:rsidP="006D03EA">
            <w:pPr>
              <w:pStyle w:val="05Tabletext"/>
              <w:jc w:val="center"/>
            </w:pPr>
            <w:r>
              <w:t>UME/VIL vs TIO+IND</w:t>
            </w:r>
          </w:p>
        </w:tc>
        <w:tc>
          <w:tcPr>
            <w:tcW w:w="2794" w:type="pct"/>
            <w:shd w:val="clear" w:color="auto" w:fill="auto"/>
          </w:tcPr>
          <w:p w:rsidR="006D03EA" w:rsidRPr="00CB607C" w:rsidRDefault="006D03EA" w:rsidP="00CD1D07">
            <w:pPr>
              <w:pStyle w:val="05Tabletext"/>
              <w:numPr>
                <w:ilvl w:val="0"/>
                <w:numId w:val="21"/>
              </w:numPr>
              <w:ind w:left="227" w:hanging="227"/>
            </w:pPr>
            <w:r>
              <w:t>UME/VIL was non-inferior to TIO+IND in terms of trough FEV</w:t>
            </w:r>
            <w:r>
              <w:rPr>
                <w:vertAlign w:val="subscript"/>
              </w:rPr>
              <w:t>1</w:t>
            </w:r>
            <w:r>
              <w:t xml:space="preserve"> in patients who were at high risk of exacerbations (over 60% of patients were classified as GOLD Group D; over 50% were receiving ICS at screening).</w:t>
            </w:r>
          </w:p>
        </w:tc>
      </w:tr>
      <w:tr w:rsidR="006D03EA" w:rsidRPr="005D1003" w:rsidTr="005F5E0D">
        <w:trPr>
          <w:cantSplit/>
        </w:trPr>
        <w:tc>
          <w:tcPr>
            <w:tcW w:w="1691" w:type="pct"/>
            <w:gridSpan w:val="2"/>
            <w:shd w:val="clear" w:color="auto" w:fill="000000" w:themeFill="text1"/>
          </w:tcPr>
          <w:p w:rsidR="006D03EA" w:rsidRPr="005D1003" w:rsidRDefault="006D03EA" w:rsidP="006D03EA">
            <w:pPr>
              <w:pStyle w:val="04Tablesubheading"/>
            </w:pPr>
            <w:r w:rsidRPr="005D1003">
              <w:t>ACL/EFO: LAMA/LABA</w:t>
            </w:r>
            <w:r>
              <w:t xml:space="preserve"> vs LAMA/LABA</w:t>
            </w:r>
          </w:p>
        </w:tc>
        <w:tc>
          <w:tcPr>
            <w:tcW w:w="515" w:type="pct"/>
            <w:shd w:val="clear" w:color="auto" w:fill="000000" w:themeFill="text1"/>
          </w:tcPr>
          <w:p w:rsidR="006D03EA" w:rsidRPr="005D1003" w:rsidRDefault="006D03EA" w:rsidP="006D03EA">
            <w:pPr>
              <w:pStyle w:val="04Tablesubheading"/>
            </w:pPr>
          </w:p>
        </w:tc>
        <w:tc>
          <w:tcPr>
            <w:tcW w:w="2794" w:type="pct"/>
            <w:shd w:val="clear" w:color="auto" w:fill="000000" w:themeFill="text1"/>
          </w:tcPr>
          <w:p w:rsidR="006D03EA" w:rsidRPr="005D1003" w:rsidRDefault="006D03EA" w:rsidP="006D03EA">
            <w:pPr>
              <w:pStyle w:val="04Tablesubheading"/>
            </w:pPr>
          </w:p>
        </w:tc>
      </w:tr>
      <w:tr w:rsidR="006D03EA" w:rsidTr="005F5E0D">
        <w:trPr>
          <w:cantSplit/>
        </w:trPr>
        <w:tc>
          <w:tcPr>
            <w:tcW w:w="586" w:type="pct"/>
            <w:shd w:val="clear" w:color="auto" w:fill="F2F2F2" w:themeFill="background1" w:themeFillShade="F2"/>
          </w:tcPr>
          <w:p w:rsidR="006D03EA" w:rsidRDefault="006D03EA" w:rsidP="006D03EA">
            <w:pPr>
              <w:pStyle w:val="05Tabletext"/>
            </w:pPr>
            <w:r>
              <w:t>July 2015</w:t>
            </w:r>
          </w:p>
        </w:tc>
        <w:tc>
          <w:tcPr>
            <w:tcW w:w="1105" w:type="pct"/>
            <w:shd w:val="clear" w:color="auto" w:fill="F2F2F2" w:themeFill="background1" w:themeFillShade="F2"/>
          </w:tcPr>
          <w:p w:rsidR="006D03EA" w:rsidRDefault="006D03EA" w:rsidP="006D03EA">
            <w:pPr>
              <w:pStyle w:val="05Tabletext"/>
              <w:jc w:val="center"/>
            </w:pPr>
            <w:r>
              <w:t>No head-to-head trials</w:t>
            </w:r>
          </w:p>
          <w:p w:rsidR="006D03EA" w:rsidRDefault="006D03EA" w:rsidP="006D03EA">
            <w:pPr>
              <w:pStyle w:val="05Tabletext"/>
              <w:jc w:val="center"/>
            </w:pPr>
            <w:r>
              <w:t>Indirect comparison via placebo as common comparator</w:t>
            </w:r>
          </w:p>
        </w:tc>
        <w:tc>
          <w:tcPr>
            <w:tcW w:w="515" w:type="pct"/>
            <w:shd w:val="clear" w:color="auto" w:fill="F2F2F2" w:themeFill="background1" w:themeFillShade="F2"/>
          </w:tcPr>
          <w:p w:rsidR="006D03EA" w:rsidRDefault="006D03EA" w:rsidP="006D03EA">
            <w:pPr>
              <w:pStyle w:val="05Tabletext"/>
              <w:jc w:val="center"/>
            </w:pPr>
            <w:r>
              <w:t>ACL/EFO vs GLY/IND</w:t>
            </w:r>
          </w:p>
          <w:p w:rsidR="006D03EA" w:rsidRDefault="006D03EA" w:rsidP="006D03EA">
            <w:pPr>
              <w:pStyle w:val="05Tabletext"/>
              <w:jc w:val="center"/>
            </w:pPr>
            <w:r>
              <w:t>ACL/EFO vs UME/VIL</w:t>
            </w:r>
          </w:p>
        </w:tc>
        <w:tc>
          <w:tcPr>
            <w:tcW w:w="2794" w:type="pct"/>
            <w:shd w:val="clear" w:color="auto" w:fill="F2F2F2" w:themeFill="background1" w:themeFillShade="F2"/>
          </w:tcPr>
          <w:p w:rsidR="006D03EA" w:rsidRDefault="006D03EA" w:rsidP="00CD1D07">
            <w:pPr>
              <w:pStyle w:val="05Tabletext"/>
              <w:numPr>
                <w:ilvl w:val="0"/>
                <w:numId w:val="22"/>
              </w:numPr>
              <w:ind w:left="227" w:hanging="227"/>
            </w:pPr>
            <w:r>
              <w:t>ACL/EFO was considered non-inferior to GLY/IND and UME/VIL on the basis of comparative efficacy and safety. ACL/EFO was cost-minimised to GLY/IND and UME/VIL.</w:t>
            </w:r>
          </w:p>
        </w:tc>
      </w:tr>
      <w:tr w:rsidR="006D03EA" w:rsidTr="005F5E0D">
        <w:trPr>
          <w:cantSplit/>
        </w:trPr>
        <w:tc>
          <w:tcPr>
            <w:tcW w:w="586" w:type="pct"/>
            <w:shd w:val="clear" w:color="auto" w:fill="auto"/>
          </w:tcPr>
          <w:p w:rsidR="006D03EA" w:rsidRDefault="006D03EA" w:rsidP="006D03EA">
            <w:pPr>
              <w:pStyle w:val="05Tabletext"/>
            </w:pPr>
            <w:r>
              <w:t>New evidence</w:t>
            </w:r>
          </w:p>
        </w:tc>
        <w:tc>
          <w:tcPr>
            <w:tcW w:w="1105" w:type="pct"/>
            <w:shd w:val="clear" w:color="auto" w:fill="auto"/>
          </w:tcPr>
          <w:p w:rsidR="006D03EA" w:rsidRDefault="006D03EA" w:rsidP="006D03EA">
            <w:pPr>
              <w:pStyle w:val="05Tabletext"/>
              <w:jc w:val="center"/>
            </w:pPr>
            <w:r>
              <w:t>No head-to-head trials</w:t>
            </w:r>
          </w:p>
        </w:tc>
        <w:tc>
          <w:tcPr>
            <w:tcW w:w="515" w:type="pct"/>
          </w:tcPr>
          <w:p w:rsidR="006D03EA" w:rsidRDefault="006D03EA" w:rsidP="006D03EA">
            <w:pPr>
              <w:pStyle w:val="05Tabletext"/>
              <w:jc w:val="center"/>
            </w:pPr>
            <w:r>
              <w:t>N/A</w:t>
            </w:r>
          </w:p>
        </w:tc>
        <w:tc>
          <w:tcPr>
            <w:tcW w:w="2794" w:type="pct"/>
            <w:shd w:val="clear" w:color="auto" w:fill="auto"/>
          </w:tcPr>
          <w:p w:rsidR="006D03EA" w:rsidRDefault="006D03EA" w:rsidP="00CD1D07">
            <w:pPr>
              <w:pStyle w:val="05Tabletext"/>
              <w:numPr>
                <w:ilvl w:val="0"/>
                <w:numId w:val="22"/>
              </w:numPr>
              <w:ind w:left="227" w:hanging="227"/>
            </w:pPr>
            <w:r w:rsidRPr="00A83766">
              <w:t xml:space="preserve">No new RCTs were identified that directly compared </w:t>
            </w:r>
            <w:r>
              <w:t xml:space="preserve">ACL/EFO with any PBS-listed single or dual </w:t>
            </w:r>
            <w:r w:rsidRPr="00A83766">
              <w:t>therapies.</w:t>
            </w:r>
          </w:p>
        </w:tc>
      </w:tr>
      <w:tr w:rsidR="006D03EA" w:rsidTr="005F5E0D">
        <w:trPr>
          <w:cantSplit/>
        </w:trPr>
        <w:tc>
          <w:tcPr>
            <w:tcW w:w="5000" w:type="pct"/>
            <w:gridSpan w:val="4"/>
            <w:shd w:val="clear" w:color="auto" w:fill="000000" w:themeFill="text1"/>
            <w:vAlign w:val="center"/>
          </w:tcPr>
          <w:p w:rsidR="006D03EA" w:rsidRDefault="006D03EA" w:rsidP="006D03EA">
            <w:pPr>
              <w:pStyle w:val="04Tablesubheading"/>
            </w:pPr>
            <w:r>
              <w:t>TIO/OLO: LAMA/LABA vs LAMA/LABA</w:t>
            </w:r>
          </w:p>
        </w:tc>
      </w:tr>
      <w:tr w:rsidR="006D03EA" w:rsidTr="005F5E0D">
        <w:trPr>
          <w:cantSplit/>
        </w:trPr>
        <w:tc>
          <w:tcPr>
            <w:tcW w:w="586" w:type="pct"/>
            <w:shd w:val="clear" w:color="auto" w:fill="F2F2F2" w:themeFill="background1" w:themeFillShade="F2"/>
          </w:tcPr>
          <w:p w:rsidR="006D03EA" w:rsidRDefault="006D03EA" w:rsidP="006D03EA">
            <w:pPr>
              <w:pStyle w:val="05Tabletext"/>
            </w:pPr>
            <w:r>
              <w:t>July 2015</w:t>
            </w:r>
          </w:p>
        </w:tc>
        <w:tc>
          <w:tcPr>
            <w:tcW w:w="1105" w:type="pct"/>
            <w:shd w:val="clear" w:color="auto" w:fill="F2F2F2" w:themeFill="background1" w:themeFillShade="F2"/>
          </w:tcPr>
          <w:p w:rsidR="006D03EA" w:rsidRDefault="006D03EA" w:rsidP="006D03EA">
            <w:pPr>
              <w:pStyle w:val="05Tabletext"/>
              <w:jc w:val="center"/>
            </w:pPr>
            <w:r>
              <w:t>No head-to-head trials</w:t>
            </w:r>
          </w:p>
          <w:p w:rsidR="006D03EA" w:rsidRDefault="006D03EA" w:rsidP="006D03EA">
            <w:pPr>
              <w:pStyle w:val="05Tabletext"/>
              <w:jc w:val="center"/>
            </w:pPr>
            <w:r>
              <w:t>Indirect comparison via TIO monotherapy as common comparator</w:t>
            </w:r>
          </w:p>
        </w:tc>
        <w:tc>
          <w:tcPr>
            <w:tcW w:w="515" w:type="pct"/>
            <w:shd w:val="clear" w:color="auto" w:fill="F2F2F2" w:themeFill="background1" w:themeFillShade="F2"/>
          </w:tcPr>
          <w:p w:rsidR="006D03EA" w:rsidRDefault="006D03EA" w:rsidP="006D03EA">
            <w:pPr>
              <w:pStyle w:val="05Tabletext"/>
              <w:jc w:val="center"/>
            </w:pPr>
            <w:r>
              <w:t>TIO/OLO vs GLY/IND</w:t>
            </w:r>
          </w:p>
          <w:p w:rsidR="006D03EA" w:rsidRDefault="006D03EA" w:rsidP="006D03EA">
            <w:pPr>
              <w:pStyle w:val="05Tabletext"/>
              <w:jc w:val="center"/>
            </w:pPr>
            <w:r>
              <w:t>TIO/OLO vs UME/VIL</w:t>
            </w:r>
          </w:p>
        </w:tc>
        <w:tc>
          <w:tcPr>
            <w:tcW w:w="2794" w:type="pct"/>
            <w:shd w:val="clear" w:color="auto" w:fill="F2F2F2" w:themeFill="background1" w:themeFillShade="F2"/>
          </w:tcPr>
          <w:p w:rsidR="006D03EA" w:rsidRDefault="006D03EA" w:rsidP="00CD1D07">
            <w:pPr>
              <w:pStyle w:val="05Tabletext"/>
              <w:numPr>
                <w:ilvl w:val="0"/>
                <w:numId w:val="23"/>
              </w:numPr>
              <w:ind w:left="227" w:hanging="227"/>
            </w:pPr>
            <w:r w:rsidRPr="00A97583">
              <w:t>TIO/OLO was considered non-inferior to GLY/IND and UME/VIL on the basis of comparative efficacy and safety. TIO/OLO was cost-minimised to GLY/IND and UME/VIL.</w:t>
            </w:r>
          </w:p>
        </w:tc>
      </w:tr>
      <w:tr w:rsidR="006D03EA" w:rsidTr="005F5E0D">
        <w:trPr>
          <w:cantSplit/>
        </w:trPr>
        <w:tc>
          <w:tcPr>
            <w:tcW w:w="1691" w:type="pct"/>
            <w:gridSpan w:val="2"/>
            <w:tcBorders>
              <w:top w:val="nil"/>
            </w:tcBorders>
            <w:shd w:val="clear" w:color="auto" w:fill="000000" w:themeFill="text1"/>
          </w:tcPr>
          <w:p w:rsidR="006D03EA" w:rsidRDefault="006D03EA" w:rsidP="006D03EA">
            <w:pPr>
              <w:pStyle w:val="04Tablesubheading"/>
            </w:pPr>
            <w:r>
              <w:t>BUD/EFO: ICS/LABA vs ICS/LABA</w:t>
            </w:r>
          </w:p>
        </w:tc>
        <w:tc>
          <w:tcPr>
            <w:tcW w:w="515" w:type="pct"/>
            <w:shd w:val="clear" w:color="auto" w:fill="000000" w:themeFill="text1"/>
          </w:tcPr>
          <w:p w:rsidR="006D03EA" w:rsidRDefault="006D03EA" w:rsidP="006D03EA">
            <w:pPr>
              <w:pStyle w:val="04Tablesubheading"/>
            </w:pPr>
          </w:p>
        </w:tc>
        <w:tc>
          <w:tcPr>
            <w:tcW w:w="2794" w:type="pct"/>
            <w:shd w:val="clear" w:color="auto" w:fill="000000" w:themeFill="text1"/>
          </w:tcPr>
          <w:p w:rsidR="006D03EA" w:rsidRDefault="006D03EA" w:rsidP="006D03EA">
            <w:pPr>
              <w:pStyle w:val="04Tablesubheading"/>
              <w:ind w:left="227"/>
            </w:pPr>
          </w:p>
        </w:tc>
      </w:tr>
      <w:tr w:rsidR="006D03EA" w:rsidTr="005F5E0D">
        <w:trPr>
          <w:cantSplit/>
        </w:trPr>
        <w:tc>
          <w:tcPr>
            <w:tcW w:w="586" w:type="pct"/>
            <w:tcBorders>
              <w:top w:val="nil"/>
            </w:tcBorders>
            <w:shd w:val="clear" w:color="auto" w:fill="F2F2F2" w:themeFill="background1" w:themeFillShade="F2"/>
          </w:tcPr>
          <w:p w:rsidR="006D03EA" w:rsidRDefault="006D03EA" w:rsidP="006D03EA">
            <w:pPr>
              <w:pStyle w:val="05Tabletext"/>
            </w:pPr>
            <w:r>
              <w:t>November 2010</w:t>
            </w:r>
          </w:p>
        </w:tc>
        <w:tc>
          <w:tcPr>
            <w:tcW w:w="1105" w:type="pct"/>
            <w:shd w:val="clear" w:color="auto" w:fill="F2F2F2" w:themeFill="background1" w:themeFillShade="F2"/>
          </w:tcPr>
          <w:p w:rsidR="006D03EA" w:rsidRDefault="006D03EA" w:rsidP="006D03EA">
            <w:pPr>
              <w:pStyle w:val="05Tabletext"/>
              <w:jc w:val="center"/>
            </w:pPr>
            <w:r>
              <w:t>No head-to-head trials</w:t>
            </w:r>
          </w:p>
          <w:p w:rsidR="006D03EA" w:rsidRPr="003C2FA4" w:rsidRDefault="006D03EA" w:rsidP="006D03EA">
            <w:pPr>
              <w:pStyle w:val="06Tabletextspacebefore"/>
              <w:spacing w:before="20"/>
              <w:jc w:val="center"/>
            </w:pPr>
            <w:r>
              <w:t>Indirect comparisons with both placebo and TIO as common comparators</w:t>
            </w:r>
          </w:p>
        </w:tc>
        <w:tc>
          <w:tcPr>
            <w:tcW w:w="515" w:type="pct"/>
            <w:shd w:val="clear" w:color="auto" w:fill="F2F2F2" w:themeFill="background1" w:themeFillShade="F2"/>
          </w:tcPr>
          <w:p w:rsidR="006D03EA" w:rsidRDefault="006D03EA" w:rsidP="006D03EA">
            <w:pPr>
              <w:pStyle w:val="05Tabletext"/>
              <w:jc w:val="center"/>
            </w:pPr>
            <w:r>
              <w:t>BUD/EFO vs FLU/SAL</w:t>
            </w:r>
          </w:p>
        </w:tc>
        <w:tc>
          <w:tcPr>
            <w:tcW w:w="2794" w:type="pct"/>
            <w:shd w:val="clear" w:color="auto" w:fill="F2F2F2" w:themeFill="background1" w:themeFillShade="F2"/>
          </w:tcPr>
          <w:p w:rsidR="006D03EA" w:rsidRDefault="006D03EA" w:rsidP="00CD1D07">
            <w:pPr>
              <w:pStyle w:val="05Tabletext"/>
              <w:numPr>
                <w:ilvl w:val="0"/>
                <w:numId w:val="23"/>
              </w:numPr>
              <w:ind w:left="227" w:hanging="227"/>
            </w:pPr>
            <w:r>
              <w:t>BUD/EFO was non-inferior in terms of comparative efficacy and similar safety to FLU/SAL, and was cost-minimised.</w:t>
            </w:r>
          </w:p>
        </w:tc>
      </w:tr>
      <w:tr w:rsidR="006D03EA" w:rsidTr="005F5E0D">
        <w:trPr>
          <w:cantSplit/>
        </w:trPr>
        <w:tc>
          <w:tcPr>
            <w:tcW w:w="586" w:type="pct"/>
            <w:tcBorders>
              <w:top w:val="nil"/>
            </w:tcBorders>
            <w:shd w:val="clear" w:color="auto" w:fill="auto"/>
          </w:tcPr>
          <w:p w:rsidR="006D03EA" w:rsidRDefault="006D03EA" w:rsidP="006D03EA">
            <w:pPr>
              <w:pStyle w:val="05Tabletext"/>
            </w:pPr>
            <w:r>
              <w:t>New evidence</w:t>
            </w:r>
          </w:p>
        </w:tc>
        <w:tc>
          <w:tcPr>
            <w:tcW w:w="1105" w:type="pct"/>
            <w:shd w:val="clear" w:color="auto" w:fill="auto"/>
          </w:tcPr>
          <w:p w:rsidR="006D03EA" w:rsidRDefault="006D03EA" w:rsidP="006D03EA">
            <w:pPr>
              <w:pStyle w:val="05Tabletext"/>
              <w:jc w:val="center"/>
            </w:pPr>
            <w:r>
              <w:t>No head-to-head trials</w:t>
            </w:r>
          </w:p>
        </w:tc>
        <w:tc>
          <w:tcPr>
            <w:tcW w:w="515" w:type="pct"/>
          </w:tcPr>
          <w:p w:rsidR="006D03EA" w:rsidRDefault="006D03EA" w:rsidP="006D03EA">
            <w:pPr>
              <w:pStyle w:val="05Tabletext"/>
              <w:jc w:val="center"/>
            </w:pPr>
            <w:r>
              <w:t>N/A</w:t>
            </w:r>
          </w:p>
        </w:tc>
        <w:tc>
          <w:tcPr>
            <w:tcW w:w="2794" w:type="pct"/>
            <w:shd w:val="clear" w:color="auto" w:fill="auto"/>
          </w:tcPr>
          <w:p w:rsidR="006D03EA" w:rsidRDefault="006D03EA" w:rsidP="00CD1D07">
            <w:pPr>
              <w:pStyle w:val="05Tabletext"/>
              <w:numPr>
                <w:ilvl w:val="0"/>
                <w:numId w:val="23"/>
              </w:numPr>
              <w:ind w:left="227" w:hanging="227"/>
            </w:pPr>
            <w:r>
              <w:t>No new RCTs were identified that directly compared BUD/EFO with any PBS-listed single or dual therapies.</w:t>
            </w:r>
          </w:p>
        </w:tc>
      </w:tr>
      <w:tr w:rsidR="006D03EA" w:rsidRPr="00FC1297" w:rsidTr="005F5E0D">
        <w:trPr>
          <w:cantSplit/>
        </w:trPr>
        <w:tc>
          <w:tcPr>
            <w:tcW w:w="5000" w:type="pct"/>
            <w:gridSpan w:val="4"/>
            <w:tcBorders>
              <w:top w:val="single" w:sz="4" w:space="0" w:color="auto"/>
              <w:bottom w:val="single" w:sz="4" w:space="0" w:color="auto"/>
            </w:tcBorders>
            <w:shd w:val="clear" w:color="auto" w:fill="000000" w:themeFill="text1"/>
            <w:vAlign w:val="center"/>
          </w:tcPr>
          <w:p w:rsidR="006D03EA" w:rsidRPr="00A45F70" w:rsidRDefault="006D03EA" w:rsidP="006D03EA">
            <w:pPr>
              <w:pStyle w:val="05Tabletext"/>
              <w:rPr>
                <w:b/>
              </w:rPr>
            </w:pPr>
            <w:r w:rsidRPr="00A45F70">
              <w:rPr>
                <w:b/>
              </w:rPr>
              <w:t>UME/VIL: LAMA/LABA vs ICS/LABA</w:t>
            </w:r>
          </w:p>
        </w:tc>
      </w:tr>
      <w:tr w:rsidR="006D03EA" w:rsidRPr="00FC1297" w:rsidTr="005F5E0D">
        <w:trPr>
          <w:cantSplit/>
        </w:trPr>
        <w:tc>
          <w:tcPr>
            <w:tcW w:w="586" w:type="pct"/>
            <w:tcBorders>
              <w:top w:val="nil"/>
              <w:bottom w:val="single" w:sz="4" w:space="0" w:color="auto"/>
            </w:tcBorders>
            <w:shd w:val="clear" w:color="auto" w:fill="auto"/>
          </w:tcPr>
          <w:p w:rsidR="006D03EA" w:rsidRDefault="006D03EA" w:rsidP="006D03EA">
            <w:pPr>
              <w:pStyle w:val="05Tabletext"/>
            </w:pPr>
            <w:r>
              <w:t>New evidence</w:t>
            </w:r>
          </w:p>
        </w:tc>
        <w:tc>
          <w:tcPr>
            <w:tcW w:w="1105" w:type="pct"/>
            <w:shd w:val="clear" w:color="auto" w:fill="auto"/>
          </w:tcPr>
          <w:p w:rsidR="006D03EA" w:rsidRPr="003F32FE" w:rsidRDefault="006D03EA" w:rsidP="006D03EA">
            <w:pPr>
              <w:pStyle w:val="05Tabletext"/>
              <w:jc w:val="center"/>
            </w:pPr>
            <w:r w:rsidRPr="003F32FE">
              <w:t>Si</w:t>
            </w:r>
            <w:r w:rsidRPr="009B45C7">
              <w:t>ngh (2015</w:t>
            </w:r>
            <w:r w:rsidRPr="003F32FE">
              <w:t>a)</w:t>
            </w:r>
            <w:r w:rsidRPr="003F32FE">
              <w:br/>
              <w:t>Superiority, double-blind, double-dummy</w:t>
            </w:r>
            <w:r w:rsidRPr="003F32FE">
              <w:br/>
              <w:t>Good quality</w:t>
            </w:r>
            <w:r w:rsidRPr="003F32FE">
              <w:br/>
              <w:t>N=716; 12 weeks</w:t>
            </w:r>
          </w:p>
        </w:tc>
        <w:tc>
          <w:tcPr>
            <w:tcW w:w="515" w:type="pct"/>
          </w:tcPr>
          <w:p w:rsidR="006D03EA" w:rsidRPr="003F32FE" w:rsidRDefault="006D03EA" w:rsidP="006D03EA">
            <w:pPr>
              <w:pStyle w:val="05Tabletext"/>
              <w:jc w:val="center"/>
            </w:pPr>
            <w:r w:rsidRPr="003F32FE">
              <w:t>UME/VIL vs FLU/SAL</w:t>
            </w:r>
          </w:p>
        </w:tc>
        <w:tc>
          <w:tcPr>
            <w:tcW w:w="2794" w:type="pct"/>
            <w:shd w:val="clear" w:color="auto" w:fill="auto"/>
          </w:tcPr>
          <w:p w:rsidR="006D03EA" w:rsidRPr="003F32FE" w:rsidRDefault="006D03EA" w:rsidP="00CD1D07">
            <w:pPr>
              <w:pStyle w:val="05Tabletext"/>
              <w:numPr>
                <w:ilvl w:val="0"/>
                <w:numId w:val="24"/>
              </w:numPr>
              <w:ind w:left="227" w:hanging="227"/>
            </w:pPr>
            <w:r w:rsidRPr="003F32FE">
              <w:t>UME/VIL was found to be statistically superior to FLU/SAL based on change from baseline in trough FEV</w:t>
            </w:r>
            <w:r w:rsidRPr="003F32FE">
              <w:rPr>
                <w:vertAlign w:val="subscript"/>
              </w:rPr>
              <w:t xml:space="preserve">1 </w:t>
            </w:r>
            <w:r w:rsidRPr="003F32FE">
              <w:t>in patients with no history of exacerbations that required oral corticosteroids, antibiotics and/or hospitalisation in the previous year. However, the trial did not demonstrate any differences between the treatment groups with respect to symptom and quality of life outcomes.</w:t>
            </w:r>
          </w:p>
        </w:tc>
      </w:tr>
      <w:tr w:rsidR="006D03EA" w:rsidRPr="00ED72DB" w:rsidTr="005F5E0D">
        <w:trPr>
          <w:cantSplit/>
        </w:trPr>
        <w:tc>
          <w:tcPr>
            <w:tcW w:w="5000" w:type="pct"/>
            <w:gridSpan w:val="4"/>
            <w:tcBorders>
              <w:bottom w:val="nil"/>
            </w:tcBorders>
            <w:shd w:val="clear" w:color="auto" w:fill="000000" w:themeFill="text1"/>
          </w:tcPr>
          <w:p w:rsidR="006D03EA" w:rsidRPr="00A45F70" w:rsidRDefault="006D03EA" w:rsidP="006D03EA">
            <w:pPr>
              <w:pStyle w:val="05Tabletext"/>
              <w:keepNext/>
              <w:rPr>
                <w:b/>
                <w:highlight w:val="yellow"/>
              </w:rPr>
            </w:pPr>
            <w:r w:rsidRPr="00A45F70">
              <w:rPr>
                <w:b/>
                <w:color w:val="FFFFFF" w:themeColor="background1"/>
              </w:rPr>
              <w:t>GLY/IND: LAMA/LABA vs ICS/LABA</w:t>
            </w:r>
          </w:p>
        </w:tc>
      </w:tr>
      <w:tr w:rsidR="006D03EA" w:rsidRPr="00ED72DB" w:rsidTr="005F5E0D">
        <w:trPr>
          <w:cantSplit/>
        </w:trPr>
        <w:tc>
          <w:tcPr>
            <w:tcW w:w="586" w:type="pct"/>
            <w:tcBorders>
              <w:bottom w:val="nil"/>
            </w:tcBorders>
            <w:shd w:val="clear" w:color="auto" w:fill="auto"/>
          </w:tcPr>
          <w:p w:rsidR="006D03EA" w:rsidRDefault="006D03EA" w:rsidP="006D03EA">
            <w:pPr>
              <w:pStyle w:val="05Tabletext"/>
              <w:keepNext/>
            </w:pPr>
            <w:r>
              <w:t>New evidence</w:t>
            </w:r>
          </w:p>
        </w:tc>
        <w:tc>
          <w:tcPr>
            <w:tcW w:w="1105" w:type="pct"/>
            <w:shd w:val="clear" w:color="auto" w:fill="auto"/>
          </w:tcPr>
          <w:p w:rsidR="006D03EA" w:rsidRPr="005D1003" w:rsidRDefault="006D03EA" w:rsidP="006D03EA">
            <w:pPr>
              <w:pStyle w:val="05Tabletext"/>
              <w:keepNext/>
              <w:jc w:val="center"/>
            </w:pPr>
            <w:r w:rsidRPr="005D1003">
              <w:t>ILLUMINATE</w:t>
            </w:r>
            <w:r w:rsidRPr="005D1003">
              <w:br/>
              <w:t>Superiority, double-blind, double-dummy</w:t>
            </w:r>
            <w:r w:rsidRPr="005D1003">
              <w:br/>
              <w:t>Good quality</w:t>
            </w:r>
            <w:r w:rsidRPr="005D1003">
              <w:br/>
              <w:t>N=523; 26 weeks</w:t>
            </w:r>
          </w:p>
        </w:tc>
        <w:tc>
          <w:tcPr>
            <w:tcW w:w="515" w:type="pct"/>
          </w:tcPr>
          <w:p w:rsidR="006D03EA" w:rsidRPr="005D1003" w:rsidRDefault="006D03EA" w:rsidP="006D03EA">
            <w:pPr>
              <w:pStyle w:val="05Tabletext"/>
              <w:keepNext/>
              <w:jc w:val="center"/>
            </w:pPr>
            <w:r w:rsidRPr="005D1003">
              <w:t>GLY/IND vs FLU/SAL</w:t>
            </w:r>
          </w:p>
        </w:tc>
        <w:tc>
          <w:tcPr>
            <w:tcW w:w="2794" w:type="pct"/>
            <w:shd w:val="clear" w:color="auto" w:fill="auto"/>
          </w:tcPr>
          <w:p w:rsidR="006D03EA" w:rsidRPr="005D1003" w:rsidRDefault="006D03EA" w:rsidP="00CD1D07">
            <w:pPr>
              <w:pStyle w:val="05Tabletext"/>
              <w:keepNext/>
              <w:numPr>
                <w:ilvl w:val="0"/>
                <w:numId w:val="25"/>
              </w:numPr>
              <w:ind w:left="227" w:hanging="227"/>
            </w:pPr>
            <w:r w:rsidRPr="005D1003">
              <w:t>GLY/IND provided significantly better and clinically relevant improvements in trough FEV</w:t>
            </w:r>
            <w:r w:rsidRPr="005D1003">
              <w:rPr>
                <w:vertAlign w:val="subscript"/>
              </w:rPr>
              <w:t xml:space="preserve">1 </w:t>
            </w:r>
            <w:r w:rsidRPr="005D1003">
              <w:t>over FLU/SAL in patients who had not experienced an exacerbation requiring treatment with antibiotics, systemic corticosteroids, or hospitalisation in the previous year.</w:t>
            </w:r>
          </w:p>
        </w:tc>
      </w:tr>
      <w:tr w:rsidR="006D03EA" w:rsidRPr="00E2365E" w:rsidTr="005F5E0D">
        <w:trPr>
          <w:cantSplit/>
        </w:trPr>
        <w:tc>
          <w:tcPr>
            <w:tcW w:w="586" w:type="pct"/>
            <w:tcBorders>
              <w:top w:val="nil"/>
              <w:bottom w:val="nil"/>
            </w:tcBorders>
            <w:shd w:val="clear" w:color="auto" w:fill="auto"/>
          </w:tcPr>
          <w:p w:rsidR="006D03EA" w:rsidRDefault="006D03EA" w:rsidP="006D03EA">
            <w:pPr>
              <w:pStyle w:val="05Tabletext"/>
            </w:pPr>
          </w:p>
        </w:tc>
        <w:tc>
          <w:tcPr>
            <w:tcW w:w="1105" w:type="pct"/>
            <w:shd w:val="clear" w:color="auto" w:fill="auto"/>
          </w:tcPr>
          <w:p w:rsidR="006D03EA" w:rsidRPr="005D1003" w:rsidRDefault="006D03EA" w:rsidP="006D03EA">
            <w:pPr>
              <w:pStyle w:val="05Tabletext"/>
              <w:jc w:val="center"/>
            </w:pPr>
            <w:r w:rsidRPr="005D1003">
              <w:t>LANTERN</w:t>
            </w:r>
            <w:r w:rsidRPr="005D1003">
              <w:br/>
              <w:t>Non-inferiority, double-blind, double-dummy</w:t>
            </w:r>
            <w:r w:rsidRPr="005D1003">
              <w:br/>
              <w:t>Good quality</w:t>
            </w:r>
            <w:r w:rsidRPr="005D1003">
              <w:br/>
              <w:t>N=744; 26 weeks</w:t>
            </w:r>
          </w:p>
        </w:tc>
        <w:tc>
          <w:tcPr>
            <w:tcW w:w="515" w:type="pct"/>
          </w:tcPr>
          <w:p w:rsidR="006D03EA" w:rsidRPr="005D1003" w:rsidRDefault="006D03EA" w:rsidP="006D03EA">
            <w:pPr>
              <w:pStyle w:val="05Tabletext"/>
              <w:jc w:val="center"/>
            </w:pPr>
            <w:r w:rsidRPr="005D1003">
              <w:t>GLY/IND vs FLU/SAL</w:t>
            </w:r>
          </w:p>
        </w:tc>
        <w:tc>
          <w:tcPr>
            <w:tcW w:w="2794" w:type="pct"/>
            <w:shd w:val="clear" w:color="auto" w:fill="auto"/>
          </w:tcPr>
          <w:p w:rsidR="006D03EA" w:rsidRPr="005D1003" w:rsidRDefault="006D03EA" w:rsidP="00CD1D07">
            <w:pPr>
              <w:pStyle w:val="05Tabletext"/>
              <w:numPr>
                <w:ilvl w:val="0"/>
                <w:numId w:val="25"/>
              </w:numPr>
              <w:ind w:left="227" w:hanging="227"/>
            </w:pPr>
            <w:r w:rsidRPr="005D1003">
              <w:t>In patients with low risk of exacerbations, GLY/IND was shown to be non-inferior and, on a subsequent superiority analysis, superior to FLU/SAL on the basis of trough FEV</w:t>
            </w:r>
            <w:r w:rsidRPr="005D1003">
              <w:rPr>
                <w:vertAlign w:val="subscript"/>
              </w:rPr>
              <w:t>1</w:t>
            </w:r>
            <w:r w:rsidRPr="005D1003">
              <w:t xml:space="preserve"> and was also associated with statistically significant improvements in time to first moderate or severe exacerbation. Several patient-reported outcomes were also assessed in the study, and failed to demonstrate a significant difference between treatments.</w:t>
            </w:r>
          </w:p>
        </w:tc>
      </w:tr>
      <w:tr w:rsidR="006D03EA" w:rsidTr="005F5E0D">
        <w:trPr>
          <w:cantSplit/>
        </w:trPr>
        <w:tc>
          <w:tcPr>
            <w:tcW w:w="586" w:type="pct"/>
            <w:tcBorders>
              <w:top w:val="nil"/>
            </w:tcBorders>
            <w:shd w:val="clear" w:color="auto" w:fill="auto"/>
          </w:tcPr>
          <w:p w:rsidR="006D03EA" w:rsidRDefault="006D03EA" w:rsidP="006D03EA">
            <w:pPr>
              <w:pStyle w:val="05Tabletext"/>
            </w:pPr>
          </w:p>
        </w:tc>
        <w:tc>
          <w:tcPr>
            <w:tcW w:w="1105" w:type="pct"/>
            <w:shd w:val="clear" w:color="auto" w:fill="auto"/>
          </w:tcPr>
          <w:p w:rsidR="006D03EA" w:rsidRPr="005D1003" w:rsidRDefault="006D03EA" w:rsidP="006D03EA">
            <w:pPr>
              <w:pStyle w:val="05Tabletext"/>
              <w:jc w:val="center"/>
            </w:pPr>
            <w:r w:rsidRPr="005D1003">
              <w:t>FLAME</w:t>
            </w:r>
            <w:r w:rsidRPr="005D1003">
              <w:br/>
              <w:t>Non-inferiority, double-blind, double-dummy</w:t>
            </w:r>
            <w:r w:rsidRPr="005D1003">
              <w:br/>
              <w:t>Good quality</w:t>
            </w:r>
            <w:r w:rsidRPr="005D1003">
              <w:br/>
              <w:t>N=3,362; 52 weeks</w:t>
            </w:r>
          </w:p>
        </w:tc>
        <w:tc>
          <w:tcPr>
            <w:tcW w:w="515" w:type="pct"/>
          </w:tcPr>
          <w:p w:rsidR="006D03EA" w:rsidRPr="00A45F70" w:rsidRDefault="006D03EA" w:rsidP="006D03EA">
            <w:pPr>
              <w:pStyle w:val="05Tabletext"/>
              <w:jc w:val="center"/>
            </w:pPr>
            <w:r w:rsidRPr="005D1003">
              <w:t>GLY/IND vs FLU/SAL</w:t>
            </w:r>
          </w:p>
        </w:tc>
        <w:tc>
          <w:tcPr>
            <w:tcW w:w="2794" w:type="pct"/>
            <w:shd w:val="clear" w:color="auto" w:fill="auto"/>
          </w:tcPr>
          <w:p w:rsidR="006D03EA" w:rsidRPr="005D1003" w:rsidRDefault="006D03EA" w:rsidP="00CD1D07">
            <w:pPr>
              <w:pStyle w:val="05Tabletext"/>
              <w:numPr>
                <w:ilvl w:val="0"/>
                <w:numId w:val="25"/>
              </w:numPr>
              <w:ind w:left="227" w:hanging="227"/>
            </w:pPr>
            <w:r w:rsidRPr="005D1003">
              <w:t>In patients with a history of at least one exacerbation during the previous year, GLY/IND achieved non-</w:t>
            </w:r>
            <w:proofErr w:type="spellStart"/>
            <w:r w:rsidRPr="005D1003">
              <w:t>inferioty</w:t>
            </w:r>
            <w:proofErr w:type="spellEnd"/>
            <w:r w:rsidRPr="005D1003">
              <w:t xml:space="preserve"> to FLU/SAL on the basis of annual rate of COPD exacerbations. A subsequent superiority analysis showed that GLY/IND was consistently superior to FLU/SAL on the basis of exacerbations, lung function and health status outcomes.</w:t>
            </w:r>
          </w:p>
        </w:tc>
      </w:tr>
      <w:tr w:rsidR="006D03EA" w:rsidTr="005F5E0D">
        <w:trPr>
          <w:cantSplit/>
        </w:trPr>
        <w:tc>
          <w:tcPr>
            <w:tcW w:w="1691" w:type="pct"/>
            <w:gridSpan w:val="2"/>
            <w:shd w:val="clear" w:color="auto" w:fill="000000" w:themeFill="text1"/>
          </w:tcPr>
          <w:p w:rsidR="006D03EA" w:rsidRPr="00A45F70" w:rsidRDefault="006D03EA" w:rsidP="006D03EA">
            <w:pPr>
              <w:pStyle w:val="05Tabletext"/>
              <w:rPr>
                <w:b/>
              </w:rPr>
            </w:pPr>
            <w:r w:rsidRPr="00A45F70">
              <w:rPr>
                <w:b/>
              </w:rPr>
              <w:t>TIO/OLO: LAMA/LABA</w:t>
            </w:r>
            <w:r>
              <w:rPr>
                <w:b/>
              </w:rPr>
              <w:t xml:space="preserve"> vs ICS/LABA</w:t>
            </w:r>
          </w:p>
        </w:tc>
        <w:tc>
          <w:tcPr>
            <w:tcW w:w="515" w:type="pct"/>
            <w:shd w:val="clear" w:color="auto" w:fill="000000" w:themeFill="text1"/>
          </w:tcPr>
          <w:p w:rsidR="006D03EA" w:rsidRDefault="006D03EA" w:rsidP="006D03EA">
            <w:pPr>
              <w:pStyle w:val="05Tabletext"/>
              <w:jc w:val="center"/>
            </w:pPr>
          </w:p>
        </w:tc>
        <w:tc>
          <w:tcPr>
            <w:tcW w:w="2794" w:type="pct"/>
            <w:shd w:val="clear" w:color="auto" w:fill="000000" w:themeFill="text1"/>
          </w:tcPr>
          <w:p w:rsidR="006D03EA" w:rsidRDefault="006D03EA" w:rsidP="006D03EA">
            <w:pPr>
              <w:pStyle w:val="05Tabletext"/>
            </w:pPr>
          </w:p>
        </w:tc>
      </w:tr>
      <w:tr w:rsidR="006D03EA" w:rsidTr="005F5E0D">
        <w:trPr>
          <w:cantSplit/>
        </w:trPr>
        <w:tc>
          <w:tcPr>
            <w:tcW w:w="586" w:type="pct"/>
            <w:shd w:val="clear" w:color="auto" w:fill="auto"/>
          </w:tcPr>
          <w:p w:rsidR="006D03EA" w:rsidRDefault="006D03EA" w:rsidP="006D03EA">
            <w:pPr>
              <w:pStyle w:val="05Tabletext"/>
            </w:pPr>
            <w:r>
              <w:t>New evidence</w:t>
            </w:r>
          </w:p>
        </w:tc>
        <w:tc>
          <w:tcPr>
            <w:tcW w:w="1105" w:type="pct"/>
            <w:shd w:val="clear" w:color="auto" w:fill="auto"/>
          </w:tcPr>
          <w:p w:rsidR="006D03EA" w:rsidRPr="00527AE0" w:rsidRDefault="006D03EA" w:rsidP="006D03EA">
            <w:pPr>
              <w:pStyle w:val="05Tabletext"/>
              <w:jc w:val="center"/>
            </w:pPr>
            <w:r>
              <w:t>ENERGITO</w:t>
            </w:r>
            <w:r>
              <w:br/>
              <w:t>Superiority, double-blind, cross-over</w:t>
            </w:r>
            <w:r>
              <w:br/>
              <w:t>Fair quality</w:t>
            </w:r>
            <w:r>
              <w:br/>
              <w:t>N=229; 6 weeks</w:t>
            </w:r>
          </w:p>
        </w:tc>
        <w:tc>
          <w:tcPr>
            <w:tcW w:w="515" w:type="pct"/>
          </w:tcPr>
          <w:p w:rsidR="006D03EA" w:rsidRDefault="006D03EA" w:rsidP="006D03EA">
            <w:pPr>
              <w:pStyle w:val="05Tabletext"/>
              <w:jc w:val="center"/>
            </w:pPr>
            <w:r>
              <w:t>TIO/OLO vs FLU/SAL</w:t>
            </w:r>
          </w:p>
        </w:tc>
        <w:tc>
          <w:tcPr>
            <w:tcW w:w="2794" w:type="pct"/>
            <w:shd w:val="clear" w:color="auto" w:fill="auto"/>
          </w:tcPr>
          <w:p w:rsidR="006D03EA" w:rsidRDefault="006D03EA" w:rsidP="00CD1D07">
            <w:pPr>
              <w:pStyle w:val="05Tabletext"/>
              <w:numPr>
                <w:ilvl w:val="0"/>
                <w:numId w:val="26"/>
              </w:numPr>
              <w:ind w:left="227" w:hanging="227"/>
            </w:pPr>
            <w:r>
              <w:t>TIO/OLO was associated with statistically significant improvements in trough FEV</w:t>
            </w:r>
            <w:r>
              <w:rPr>
                <w:vertAlign w:val="subscript"/>
              </w:rPr>
              <w:t>1</w:t>
            </w:r>
            <w:r>
              <w:t xml:space="preserve"> over FLU/SAL; however, the magnitude of the adjusted mean difference between the treatment arms (58 mL) is unlikely to represent a clinically meaningful difference.</w:t>
            </w:r>
          </w:p>
        </w:tc>
      </w:tr>
      <w:tr w:rsidR="006D03EA" w:rsidTr="005F5E0D">
        <w:trPr>
          <w:cantSplit/>
        </w:trPr>
        <w:tc>
          <w:tcPr>
            <w:tcW w:w="1691" w:type="pct"/>
            <w:gridSpan w:val="2"/>
            <w:shd w:val="clear" w:color="auto" w:fill="000000" w:themeFill="text1"/>
          </w:tcPr>
          <w:p w:rsidR="006D03EA" w:rsidRDefault="006D03EA" w:rsidP="006D03EA">
            <w:pPr>
              <w:pStyle w:val="04Tablesubheading"/>
              <w:keepNext w:val="0"/>
            </w:pPr>
            <w:r>
              <w:t>ICS/LABA vs ICS/LABA</w:t>
            </w:r>
          </w:p>
        </w:tc>
        <w:tc>
          <w:tcPr>
            <w:tcW w:w="515" w:type="pct"/>
            <w:shd w:val="clear" w:color="auto" w:fill="000000" w:themeFill="text1"/>
          </w:tcPr>
          <w:p w:rsidR="006D03EA" w:rsidRDefault="006D03EA" w:rsidP="006D03EA">
            <w:pPr>
              <w:pStyle w:val="04Tablesubheading"/>
              <w:keepNext w:val="0"/>
              <w:jc w:val="center"/>
            </w:pPr>
          </w:p>
        </w:tc>
        <w:tc>
          <w:tcPr>
            <w:tcW w:w="2794" w:type="pct"/>
            <w:shd w:val="clear" w:color="auto" w:fill="000000" w:themeFill="text1"/>
          </w:tcPr>
          <w:p w:rsidR="006D03EA" w:rsidRDefault="006D03EA" w:rsidP="006D03EA">
            <w:pPr>
              <w:pStyle w:val="04Tablesubheading"/>
              <w:keepNext w:val="0"/>
            </w:pPr>
          </w:p>
        </w:tc>
      </w:tr>
      <w:tr w:rsidR="006D03EA" w:rsidRPr="00AA4C6F" w:rsidTr="005F5E0D">
        <w:trPr>
          <w:cantSplit/>
        </w:trPr>
        <w:tc>
          <w:tcPr>
            <w:tcW w:w="586" w:type="pct"/>
            <w:shd w:val="clear" w:color="auto" w:fill="F2F2F2" w:themeFill="background1" w:themeFillShade="F2"/>
          </w:tcPr>
          <w:p w:rsidR="006D03EA" w:rsidRDefault="006D03EA" w:rsidP="006D03EA">
            <w:pPr>
              <w:pStyle w:val="05Tabletext"/>
              <w:keepNext/>
            </w:pPr>
            <w:r>
              <w:t>July 2014</w:t>
            </w:r>
          </w:p>
        </w:tc>
        <w:tc>
          <w:tcPr>
            <w:tcW w:w="1105" w:type="pct"/>
            <w:shd w:val="clear" w:color="auto" w:fill="F2F2F2" w:themeFill="background1" w:themeFillShade="F2"/>
          </w:tcPr>
          <w:p w:rsidR="006D03EA" w:rsidRDefault="006D03EA" w:rsidP="006D03EA">
            <w:pPr>
              <w:pStyle w:val="05Tabletext"/>
              <w:jc w:val="center"/>
            </w:pPr>
            <w:r w:rsidRPr="001D2B05">
              <w:t>HZC113107</w:t>
            </w:r>
          </w:p>
        </w:tc>
        <w:tc>
          <w:tcPr>
            <w:tcW w:w="515" w:type="pct"/>
            <w:shd w:val="clear" w:color="auto" w:fill="F2F2F2" w:themeFill="background1" w:themeFillShade="F2"/>
          </w:tcPr>
          <w:p w:rsidR="006D03EA" w:rsidRDefault="006D03EA" w:rsidP="006D03EA">
            <w:pPr>
              <w:pStyle w:val="05Tabletext"/>
              <w:jc w:val="center"/>
            </w:pPr>
            <w:r w:rsidRPr="009B75A5">
              <w:t>FLU/VIL vs FLU/SAL</w:t>
            </w:r>
          </w:p>
        </w:tc>
        <w:tc>
          <w:tcPr>
            <w:tcW w:w="2794" w:type="pct"/>
            <w:shd w:val="clear" w:color="auto" w:fill="F2F2F2" w:themeFill="background1" w:themeFillShade="F2"/>
          </w:tcPr>
          <w:p w:rsidR="006D03EA" w:rsidRDefault="006D03EA" w:rsidP="00CD1D07">
            <w:pPr>
              <w:pStyle w:val="05Tabletext"/>
              <w:numPr>
                <w:ilvl w:val="0"/>
                <w:numId w:val="27"/>
              </w:numPr>
              <w:ind w:left="227" w:hanging="227"/>
            </w:pPr>
            <w:r w:rsidRPr="00803406">
              <w:t xml:space="preserve">No evidence was shown for </w:t>
            </w:r>
            <w:r>
              <w:t>triple therapy with FLU/VIL</w:t>
            </w:r>
            <w:r w:rsidRPr="00803406">
              <w:t>.</w:t>
            </w:r>
          </w:p>
          <w:p w:rsidR="006D03EA" w:rsidRDefault="006D03EA" w:rsidP="00CD1D07">
            <w:pPr>
              <w:pStyle w:val="05Tabletext"/>
              <w:numPr>
                <w:ilvl w:val="0"/>
                <w:numId w:val="27"/>
              </w:numPr>
              <w:ind w:left="227" w:hanging="227"/>
            </w:pPr>
            <w:r>
              <w:t>FLU/VIL was considered non-inferior in terms of comparative effectiveness and safety to FLU/SAL. FLU/VIL was cost-minimised to FLU/SAL.</w:t>
            </w:r>
          </w:p>
          <w:p w:rsidR="006D03EA" w:rsidRPr="00AA4C6F" w:rsidRDefault="006D03EA" w:rsidP="006D03EA">
            <w:pPr>
              <w:pStyle w:val="06Tabletextspacebefore"/>
            </w:pPr>
          </w:p>
        </w:tc>
      </w:tr>
    </w:tbl>
    <w:p w:rsidR="00AA39D1" w:rsidRDefault="00AA39D1" w:rsidP="00AA39D1">
      <w:pPr>
        <w:pStyle w:val="11TableorFigurefootnotenostick"/>
      </w:pPr>
      <w:r>
        <w:t xml:space="preserve">Abbreviations: ACL, </w:t>
      </w:r>
      <w:proofErr w:type="spellStart"/>
      <w:r>
        <w:t>aclidinium</w:t>
      </w:r>
      <w:proofErr w:type="spellEnd"/>
      <w:r>
        <w:t xml:space="preserve">; BUD, budesonide; COPD, chronic obstructive pulmonary disease; EFO, </w:t>
      </w:r>
      <w:proofErr w:type="spellStart"/>
      <w:r>
        <w:t>eformoterol</w:t>
      </w:r>
      <w:proofErr w:type="spellEnd"/>
      <w:r>
        <w:t>; FEV</w:t>
      </w:r>
      <w:r>
        <w:rPr>
          <w:vertAlign w:val="subscript"/>
        </w:rPr>
        <w:t>1</w:t>
      </w:r>
      <w:r>
        <w:t xml:space="preserve">, forced expiratory volume in one second; FLU, fluticasone; GLY, </w:t>
      </w:r>
      <w:proofErr w:type="spellStart"/>
      <w:r>
        <w:t>glycopyrronium</w:t>
      </w:r>
      <w:proofErr w:type="spellEnd"/>
      <w:r>
        <w:t xml:space="preserve">; GOLD, Global Initiative for Chronic Obstructive Lung Disease; ICS; inhaled corticosteroid; IND, </w:t>
      </w:r>
      <w:proofErr w:type="spellStart"/>
      <w:r>
        <w:t>indacaterol</w:t>
      </w:r>
      <w:proofErr w:type="spellEnd"/>
      <w:r>
        <w:t xml:space="preserve">; LABA; </w:t>
      </w:r>
      <w:r w:rsidRPr="001E5A23">
        <w:t xml:space="preserve">long-acting beta-2 agonist; </w:t>
      </w:r>
      <w:r>
        <w:t xml:space="preserve">OLO, </w:t>
      </w:r>
      <w:proofErr w:type="spellStart"/>
      <w:r>
        <w:t>olodaterol</w:t>
      </w:r>
      <w:proofErr w:type="spellEnd"/>
      <w:r>
        <w:t>;</w:t>
      </w:r>
      <w:r w:rsidRPr="00A11CA0">
        <w:t xml:space="preserve"> PBAC, Pharmaceutic Benefits Advisory Committee; </w:t>
      </w:r>
      <w:r>
        <w:t xml:space="preserve">PBS, Pharmaceutical Benefits Scheme; RCT, randomised controlled trial; SAL, salmeterol; TIO, tiotropium; UME, </w:t>
      </w:r>
      <w:proofErr w:type="spellStart"/>
      <w:r>
        <w:t>umeclidinium</w:t>
      </w:r>
      <w:proofErr w:type="spellEnd"/>
      <w:r>
        <w:t xml:space="preserve">; VIL, </w:t>
      </w:r>
      <w:proofErr w:type="spellStart"/>
      <w:r>
        <w:t>vilanterol</w:t>
      </w:r>
      <w:proofErr w:type="spellEnd"/>
      <w:r>
        <w:t>.</w:t>
      </w:r>
    </w:p>
    <w:p w:rsidR="00AA39D1" w:rsidRDefault="00AA39D1" w:rsidP="000558C0">
      <w:pPr>
        <w:pStyle w:val="Heading4"/>
      </w:pPr>
      <w:r>
        <w:t>Dual therapy versus triple therapy in patients with COPD</w:t>
      </w:r>
    </w:p>
    <w:p w:rsidR="00FB43C5" w:rsidRDefault="00AA39D1" w:rsidP="002F6331">
      <w:pPr>
        <w:pStyle w:val="BodyText"/>
        <w:rPr>
          <w:rFonts w:cs="Arial"/>
          <w:b/>
          <w:sz w:val="22"/>
          <w:szCs w:val="20"/>
        </w:rPr>
      </w:pPr>
      <w:r>
        <w:t xml:space="preserve">Table </w:t>
      </w:r>
      <w:r w:rsidR="00964323">
        <w:t>ES</w:t>
      </w:r>
      <w:r w:rsidR="007B72D0">
        <w:t xml:space="preserve"> </w:t>
      </w:r>
      <w:r w:rsidR="00964323">
        <w:t>6</w:t>
      </w:r>
      <w:r>
        <w:t xml:space="preserve"> shows s</w:t>
      </w:r>
      <w:r w:rsidRPr="00A40E26">
        <w:t xml:space="preserve">tudies that investigated the benefit of adding a LAMA to ICS/LABA dual therapy </w:t>
      </w:r>
      <w:r w:rsidR="00207891">
        <w:t xml:space="preserve">which </w:t>
      </w:r>
      <w:r w:rsidRPr="00A40E26">
        <w:t>showed that the step up from dual to triple therapy results in stati</w:t>
      </w:r>
      <w:r w:rsidR="00207891">
        <w:t>sti</w:t>
      </w:r>
      <w:r w:rsidRPr="00A40E26">
        <w:t>cally significant and clinically meaningful improvements in trough FEV</w:t>
      </w:r>
      <w:r w:rsidRPr="00A40E26">
        <w:rPr>
          <w:vertAlign w:val="subscript"/>
        </w:rPr>
        <w:t>1</w:t>
      </w:r>
      <w:r w:rsidRPr="00A40E26">
        <w:t>.</w:t>
      </w:r>
      <w:r>
        <w:t xml:space="preserve"> The PBAC has previously seen evidence from the GLISTEN trial that demonstrated that </w:t>
      </w:r>
      <w:proofErr w:type="spellStart"/>
      <w:r>
        <w:t>glycopyrronium</w:t>
      </w:r>
      <w:proofErr w:type="spellEnd"/>
      <w:r>
        <w:t xml:space="preserve"> plus fluticasone</w:t>
      </w:r>
      <w:r w:rsidR="00207891">
        <w:t xml:space="preserve"> propionate</w:t>
      </w:r>
      <w:r>
        <w:t>/salmeterol is statistically superior to fluticasone</w:t>
      </w:r>
      <w:r w:rsidR="00207891" w:rsidRPr="00207891">
        <w:t xml:space="preserve"> </w:t>
      </w:r>
      <w:r w:rsidR="00207891">
        <w:t>propionate</w:t>
      </w:r>
      <w:r>
        <w:t>/salmeterol alone in terms of trough FEV</w:t>
      </w:r>
      <w:r>
        <w:rPr>
          <w:vertAlign w:val="subscript"/>
        </w:rPr>
        <w:t>1</w:t>
      </w:r>
      <w:r>
        <w:t xml:space="preserve"> (November 2015 PSD for </w:t>
      </w:r>
      <w:proofErr w:type="spellStart"/>
      <w:r>
        <w:t>glycopyrronium</w:t>
      </w:r>
      <w:proofErr w:type="spellEnd"/>
      <w:r>
        <w:t>).</w:t>
      </w:r>
    </w:p>
    <w:p w:rsidR="00AA39D1" w:rsidRDefault="00AA39D1" w:rsidP="00C53964">
      <w:pPr>
        <w:pStyle w:val="ExSTableHeader"/>
      </w:pPr>
      <w:bookmarkStart w:id="20" w:name="_Toc486853627"/>
      <w:r>
        <w:t xml:space="preserve">Table </w:t>
      </w:r>
      <w:r w:rsidR="00964323">
        <w:t>ES</w:t>
      </w:r>
      <w:r w:rsidR="007B72D0">
        <w:t xml:space="preserve"> </w:t>
      </w:r>
      <w:r w:rsidR="00964323">
        <w:t>6</w:t>
      </w:r>
      <w:r w:rsidR="00F33DF6">
        <w:tab/>
      </w:r>
      <w:r>
        <w:t>Summary of new evidence for dual therapy versus triple therapy in patients with COPD</w:t>
      </w:r>
      <w:bookmarkEnd w:id="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Caption w:val="Key findings"/>
        <w:tblDescription w:val="Summary of evidence for dual therapy versus triple therapy"/>
      </w:tblPr>
      <w:tblGrid>
        <w:gridCol w:w="1131"/>
        <w:gridCol w:w="1908"/>
        <w:gridCol w:w="1073"/>
        <w:gridCol w:w="5536"/>
      </w:tblGrid>
      <w:tr w:rsidR="00AA39D1" w:rsidRPr="00F01736" w:rsidTr="005F5E0D">
        <w:trPr>
          <w:cantSplit/>
          <w:tblHeader/>
        </w:trPr>
        <w:tc>
          <w:tcPr>
            <w:tcW w:w="586" w:type="pct"/>
            <w:shd w:val="clear" w:color="auto" w:fill="BFBFBF"/>
          </w:tcPr>
          <w:p w:rsidR="00AA39D1" w:rsidRPr="00F01736" w:rsidRDefault="00AA39D1" w:rsidP="007B72D0">
            <w:pPr>
              <w:pStyle w:val="01TableHEADINGleftaligned"/>
              <w:keepLines/>
            </w:pPr>
            <w:r>
              <w:t>PBAC consideration</w:t>
            </w:r>
          </w:p>
        </w:tc>
        <w:tc>
          <w:tcPr>
            <w:tcW w:w="989" w:type="pct"/>
            <w:shd w:val="clear" w:color="auto" w:fill="BFBFBF"/>
          </w:tcPr>
          <w:p w:rsidR="00AA39D1" w:rsidRPr="00F01736" w:rsidRDefault="00AA39D1" w:rsidP="007B72D0">
            <w:pPr>
              <w:pStyle w:val="01TableHEADINGleftaligned"/>
              <w:keepLines/>
              <w:jc w:val="center"/>
            </w:pPr>
            <w:r>
              <w:t>Head-to-head trials</w:t>
            </w:r>
          </w:p>
        </w:tc>
        <w:tc>
          <w:tcPr>
            <w:tcW w:w="556" w:type="pct"/>
            <w:shd w:val="clear" w:color="auto" w:fill="BFBFBF"/>
          </w:tcPr>
          <w:p w:rsidR="00AA39D1" w:rsidRDefault="00AA39D1" w:rsidP="007B72D0">
            <w:pPr>
              <w:pStyle w:val="01TableHEADINGleftaligned"/>
              <w:keepLines/>
              <w:jc w:val="center"/>
            </w:pPr>
            <w:r>
              <w:t>Comparison</w:t>
            </w:r>
          </w:p>
        </w:tc>
        <w:tc>
          <w:tcPr>
            <w:tcW w:w="2869" w:type="pct"/>
            <w:shd w:val="clear" w:color="auto" w:fill="BFBFBF"/>
          </w:tcPr>
          <w:p w:rsidR="00AA39D1" w:rsidRPr="00F01736" w:rsidRDefault="00AA39D1" w:rsidP="007B72D0">
            <w:pPr>
              <w:pStyle w:val="01TableHEADINGleftaligned"/>
              <w:keepLines/>
              <w:jc w:val="center"/>
            </w:pPr>
            <w:r>
              <w:t>Summary of findings</w:t>
            </w:r>
          </w:p>
        </w:tc>
      </w:tr>
      <w:tr w:rsidR="00AA39D1" w:rsidRPr="00194011" w:rsidTr="005F5E0D">
        <w:trPr>
          <w:cantSplit/>
        </w:trPr>
        <w:tc>
          <w:tcPr>
            <w:tcW w:w="1575" w:type="pct"/>
            <w:gridSpan w:val="2"/>
            <w:shd w:val="clear" w:color="auto" w:fill="000000" w:themeFill="text1"/>
          </w:tcPr>
          <w:p w:rsidR="00AA39D1" w:rsidRDefault="00AA39D1" w:rsidP="007B72D0">
            <w:pPr>
              <w:pStyle w:val="04Tablesubheading"/>
              <w:keepLines/>
            </w:pPr>
            <w:r>
              <w:t>ICS/LABA + LAMA vs ICS/LABA</w:t>
            </w:r>
          </w:p>
        </w:tc>
        <w:tc>
          <w:tcPr>
            <w:tcW w:w="556" w:type="pct"/>
            <w:shd w:val="clear" w:color="auto" w:fill="000000" w:themeFill="text1"/>
          </w:tcPr>
          <w:p w:rsidR="00AA39D1" w:rsidRDefault="00AA39D1" w:rsidP="007B72D0">
            <w:pPr>
              <w:pStyle w:val="04Tablesubheading"/>
              <w:keepLines/>
              <w:jc w:val="center"/>
            </w:pPr>
          </w:p>
        </w:tc>
        <w:tc>
          <w:tcPr>
            <w:tcW w:w="2869" w:type="pct"/>
            <w:shd w:val="clear" w:color="auto" w:fill="000000" w:themeFill="text1"/>
          </w:tcPr>
          <w:p w:rsidR="00AA39D1" w:rsidRDefault="00AA39D1" w:rsidP="007B72D0">
            <w:pPr>
              <w:pStyle w:val="04Tablesubheading"/>
              <w:keepLines/>
            </w:pPr>
          </w:p>
        </w:tc>
      </w:tr>
      <w:tr w:rsidR="00AA39D1" w:rsidRPr="00194011" w:rsidTr="005F5E0D">
        <w:trPr>
          <w:cantSplit/>
        </w:trPr>
        <w:tc>
          <w:tcPr>
            <w:tcW w:w="586" w:type="pct"/>
            <w:shd w:val="clear" w:color="auto" w:fill="F2F2F2" w:themeFill="background1" w:themeFillShade="F2"/>
          </w:tcPr>
          <w:p w:rsidR="00AA39D1" w:rsidRDefault="00AA39D1" w:rsidP="007B72D0">
            <w:pPr>
              <w:pStyle w:val="05Tabletext"/>
              <w:keepNext/>
              <w:keepLines/>
            </w:pPr>
            <w:r>
              <w:t>July 2014</w:t>
            </w:r>
          </w:p>
        </w:tc>
        <w:tc>
          <w:tcPr>
            <w:tcW w:w="989" w:type="pct"/>
            <w:shd w:val="clear" w:color="auto" w:fill="F2F2F2" w:themeFill="background1" w:themeFillShade="F2"/>
          </w:tcPr>
          <w:p w:rsidR="00AA39D1" w:rsidRDefault="00AA39D1" w:rsidP="007B72D0">
            <w:pPr>
              <w:pStyle w:val="05Tabletext"/>
              <w:keepNext/>
              <w:keepLines/>
              <w:jc w:val="center"/>
            </w:pPr>
            <w:r>
              <w:t>GLISTEN (2015)</w:t>
            </w:r>
          </w:p>
        </w:tc>
        <w:tc>
          <w:tcPr>
            <w:tcW w:w="556" w:type="pct"/>
            <w:shd w:val="clear" w:color="auto" w:fill="F2F2F2" w:themeFill="background1" w:themeFillShade="F2"/>
          </w:tcPr>
          <w:p w:rsidR="00AA39D1" w:rsidRDefault="00AA39D1" w:rsidP="007B72D0">
            <w:pPr>
              <w:pStyle w:val="05Tabletext"/>
              <w:keepNext/>
              <w:keepLines/>
              <w:jc w:val="center"/>
            </w:pPr>
            <w:r>
              <w:t xml:space="preserve">GLY+ </w:t>
            </w:r>
            <w:r w:rsidRPr="009B75A5">
              <w:t>FLU/SAL</w:t>
            </w:r>
            <w:r>
              <w:t xml:space="preserve"> vs</w:t>
            </w:r>
          </w:p>
          <w:p w:rsidR="00AA39D1" w:rsidRDefault="00AA39D1" w:rsidP="007B72D0">
            <w:pPr>
              <w:pStyle w:val="05Tabletext"/>
              <w:keepNext/>
              <w:keepLines/>
              <w:jc w:val="center"/>
            </w:pPr>
            <w:r w:rsidRPr="009B75A5">
              <w:t>FLU/SAL</w:t>
            </w:r>
            <w:r>
              <w:t xml:space="preserve"> </w:t>
            </w:r>
          </w:p>
        </w:tc>
        <w:tc>
          <w:tcPr>
            <w:tcW w:w="2869" w:type="pct"/>
            <w:shd w:val="clear" w:color="auto" w:fill="F2F2F2" w:themeFill="background1" w:themeFillShade="F2"/>
          </w:tcPr>
          <w:p w:rsidR="00AA39D1" w:rsidRPr="00AA4C6F" w:rsidRDefault="00AA39D1" w:rsidP="00CD1D07">
            <w:pPr>
              <w:pStyle w:val="05Tabletext"/>
              <w:keepNext/>
              <w:keepLines/>
              <w:numPr>
                <w:ilvl w:val="0"/>
                <w:numId w:val="28"/>
              </w:numPr>
            </w:pPr>
            <w:r w:rsidRPr="00094088">
              <w:t xml:space="preserve">Interim results </w:t>
            </w:r>
            <w:r>
              <w:t xml:space="preserve">presented to the PBAC </w:t>
            </w:r>
            <w:r w:rsidRPr="00094088">
              <w:t>from the study up to Week 12 indicated that triple therapy provided statistically significant improvements in trough FEV1 compared to fluticasone/salmeterol alone</w:t>
            </w:r>
            <w:r>
              <w:t>.</w:t>
            </w:r>
          </w:p>
        </w:tc>
      </w:tr>
      <w:tr w:rsidR="00AA39D1" w:rsidRPr="00194011" w:rsidTr="005F5E0D">
        <w:trPr>
          <w:cantSplit/>
        </w:trPr>
        <w:tc>
          <w:tcPr>
            <w:tcW w:w="586" w:type="pct"/>
            <w:vMerge w:val="restart"/>
            <w:shd w:val="clear" w:color="auto" w:fill="auto"/>
          </w:tcPr>
          <w:p w:rsidR="00AA39D1" w:rsidRPr="009C73B0" w:rsidRDefault="00AA39D1" w:rsidP="007B72D0">
            <w:pPr>
              <w:pStyle w:val="05Tabletext"/>
              <w:keepNext/>
              <w:keepLines/>
            </w:pPr>
            <w:r>
              <w:t>New evidence</w:t>
            </w:r>
          </w:p>
        </w:tc>
        <w:tc>
          <w:tcPr>
            <w:tcW w:w="989" w:type="pct"/>
            <w:shd w:val="clear" w:color="auto" w:fill="auto"/>
          </w:tcPr>
          <w:p w:rsidR="00AA39D1" w:rsidRPr="009C73B0" w:rsidRDefault="00AA39D1" w:rsidP="007B72D0">
            <w:pPr>
              <w:pStyle w:val="05Tabletext"/>
              <w:keepNext/>
              <w:keepLines/>
              <w:jc w:val="center"/>
            </w:pPr>
            <w:r>
              <w:t>Siler (2015)</w:t>
            </w:r>
            <w:r>
              <w:br/>
              <w:t>Superiority, double-blind</w:t>
            </w:r>
            <w:r>
              <w:br/>
              <w:t>Good quality</w:t>
            </w:r>
            <w:r>
              <w:br/>
              <w:t>N=1,239; 12 weeks</w:t>
            </w:r>
          </w:p>
        </w:tc>
        <w:tc>
          <w:tcPr>
            <w:tcW w:w="556" w:type="pct"/>
          </w:tcPr>
          <w:p w:rsidR="00AA39D1" w:rsidRDefault="00AA39D1" w:rsidP="007B72D0">
            <w:pPr>
              <w:pStyle w:val="05Tabletext"/>
              <w:keepNext/>
              <w:keepLines/>
              <w:jc w:val="center"/>
            </w:pPr>
            <w:r>
              <w:t>FLU/VIL+PBO vs FLU/VIL+ UME</w:t>
            </w:r>
          </w:p>
        </w:tc>
        <w:tc>
          <w:tcPr>
            <w:tcW w:w="2869" w:type="pct"/>
            <w:shd w:val="clear" w:color="auto" w:fill="auto"/>
          </w:tcPr>
          <w:p w:rsidR="00AA39D1" w:rsidRPr="000234B4" w:rsidRDefault="00AA39D1" w:rsidP="00CD1D07">
            <w:pPr>
              <w:pStyle w:val="05Tabletext"/>
              <w:keepNext/>
              <w:keepLines/>
              <w:numPr>
                <w:ilvl w:val="0"/>
                <w:numId w:val="27"/>
              </w:numPr>
              <w:ind w:left="227" w:hanging="227"/>
            </w:pPr>
            <w:r>
              <w:t>Triple therapy with FLU/VIL plus UME was associated with clinically meaningful improvements in trough FEV</w:t>
            </w:r>
            <w:r>
              <w:rPr>
                <w:vertAlign w:val="subscript"/>
              </w:rPr>
              <w:t>1</w:t>
            </w:r>
            <w:r>
              <w:t xml:space="preserve"> compared with FLU/VIL (plus placebo).</w:t>
            </w:r>
          </w:p>
        </w:tc>
      </w:tr>
      <w:tr w:rsidR="00AA39D1" w:rsidRPr="00194011" w:rsidTr="005F5E0D">
        <w:trPr>
          <w:cantSplit/>
        </w:trPr>
        <w:tc>
          <w:tcPr>
            <w:tcW w:w="586" w:type="pct"/>
            <w:vMerge/>
            <w:shd w:val="clear" w:color="auto" w:fill="auto"/>
          </w:tcPr>
          <w:p w:rsidR="00AA39D1" w:rsidRDefault="00AA39D1" w:rsidP="007B72D0">
            <w:pPr>
              <w:pStyle w:val="05Tabletext"/>
              <w:keepNext/>
              <w:keepLines/>
              <w:ind w:left="227" w:hanging="227"/>
            </w:pPr>
          </w:p>
        </w:tc>
        <w:tc>
          <w:tcPr>
            <w:tcW w:w="989" w:type="pct"/>
            <w:shd w:val="clear" w:color="auto" w:fill="auto"/>
          </w:tcPr>
          <w:p w:rsidR="00AA39D1" w:rsidRPr="009C73B0" w:rsidRDefault="00AA39D1" w:rsidP="007B72D0">
            <w:pPr>
              <w:pStyle w:val="05Tabletext"/>
              <w:keepNext/>
              <w:keepLines/>
              <w:jc w:val="center"/>
            </w:pPr>
            <w:r>
              <w:t>Sousa (2016)</w:t>
            </w:r>
            <w:r>
              <w:br/>
              <w:t>Superiority, double-blind</w:t>
            </w:r>
            <w:r>
              <w:br/>
              <w:t>Fair quality</w:t>
            </w:r>
            <w:r>
              <w:br/>
              <w:t>N=236; 12 weeks</w:t>
            </w:r>
          </w:p>
        </w:tc>
        <w:tc>
          <w:tcPr>
            <w:tcW w:w="556" w:type="pct"/>
          </w:tcPr>
          <w:p w:rsidR="00AA39D1" w:rsidRDefault="00AA39D1" w:rsidP="007B72D0">
            <w:pPr>
              <w:pStyle w:val="05Tabletext"/>
              <w:keepNext/>
              <w:keepLines/>
              <w:jc w:val="center"/>
            </w:pPr>
            <w:r>
              <w:t>ICS/LABA+ PBO vs ICS/LABA+ UME</w:t>
            </w:r>
          </w:p>
        </w:tc>
        <w:tc>
          <w:tcPr>
            <w:tcW w:w="2869" w:type="pct"/>
            <w:shd w:val="clear" w:color="auto" w:fill="auto"/>
          </w:tcPr>
          <w:p w:rsidR="00AA39D1" w:rsidRPr="00DB1A85" w:rsidRDefault="00AA39D1" w:rsidP="00CD1D07">
            <w:pPr>
              <w:pStyle w:val="05Tabletext"/>
              <w:keepNext/>
              <w:keepLines/>
              <w:numPr>
                <w:ilvl w:val="0"/>
                <w:numId w:val="27"/>
              </w:numPr>
              <w:ind w:left="227" w:hanging="227"/>
            </w:pPr>
            <w:r>
              <w:t>The addition of UME to ICS/LABAs produced statistically significant and clinically meaningful improvements over dual therapy with ICS/LABA (plus placebo), based on trough FEV</w:t>
            </w:r>
            <w:r>
              <w:rPr>
                <w:vertAlign w:val="subscript"/>
              </w:rPr>
              <w:t>1</w:t>
            </w:r>
            <w:r>
              <w:t>.</w:t>
            </w:r>
          </w:p>
        </w:tc>
      </w:tr>
    </w:tbl>
    <w:p w:rsidR="00AA39D1" w:rsidRDefault="00AA39D1" w:rsidP="007B72D0">
      <w:pPr>
        <w:pStyle w:val="11TableorFigurefootnotenostick"/>
        <w:keepNext/>
        <w:keepLines/>
      </w:pPr>
      <w:r>
        <w:t>Abbreviations: FEV</w:t>
      </w:r>
      <w:r>
        <w:rPr>
          <w:vertAlign w:val="subscript"/>
        </w:rPr>
        <w:t>1</w:t>
      </w:r>
      <w:r>
        <w:t>, forced expiratory volume in one second; FLU, fluticasone; ICS, inhaled corticosteroid; LABA,</w:t>
      </w:r>
      <w:r w:rsidRPr="00C07F6E">
        <w:t xml:space="preserve"> long-acting beta-2 agonist</w:t>
      </w:r>
      <w:r>
        <w:t xml:space="preserve">; </w:t>
      </w:r>
      <w:r w:rsidRPr="00A11CA0">
        <w:t xml:space="preserve">PBAC, Pharmaceutic Benefits Advisory Committee; </w:t>
      </w:r>
      <w:r>
        <w:t xml:space="preserve">PBO, placebo; UME, </w:t>
      </w:r>
      <w:proofErr w:type="spellStart"/>
      <w:r>
        <w:t>umeclidinium</w:t>
      </w:r>
      <w:proofErr w:type="spellEnd"/>
      <w:r>
        <w:t xml:space="preserve">; VIL, </w:t>
      </w:r>
      <w:proofErr w:type="spellStart"/>
      <w:r>
        <w:t>vilanterol</w:t>
      </w:r>
      <w:proofErr w:type="spellEnd"/>
      <w:r>
        <w:t>.</w:t>
      </w:r>
    </w:p>
    <w:p w:rsidR="00AA39D1" w:rsidRDefault="00207891" w:rsidP="00AA39D1">
      <w:pPr>
        <w:pStyle w:val="BodyText"/>
      </w:pPr>
      <w:r>
        <w:t>N</w:t>
      </w:r>
      <w:r w:rsidR="00AA39D1">
        <w:t>o RCTs or large observational studies were identified that examined the comparative efficacy and safety of ICS + LAMA/LABA versus LAMA/LABA.</w:t>
      </w:r>
      <w:r w:rsidR="000A4022">
        <w:t xml:space="preserve"> </w:t>
      </w:r>
      <w:r w:rsidR="007B72D0">
        <w:t xml:space="preserve"> A recent Cochrane r</w:t>
      </w:r>
      <w:r w:rsidR="00AA39D1">
        <w:t>eview also failed to identify any ongoing or completed RCTs comparing the treatment of stable COPD with ICS plus combination LAMA/LABA inhalers against combination LAMA/LABA inhalers alone (Tan</w:t>
      </w:r>
      <w:r>
        <w:t xml:space="preserve"> et al,</w:t>
      </w:r>
      <w:r w:rsidR="00AA39D1">
        <w:t xml:space="preserve"> 2016). </w:t>
      </w:r>
    </w:p>
    <w:p w:rsidR="00AA39D1" w:rsidRDefault="00AA39D1">
      <w:pPr>
        <w:pStyle w:val="BodyText"/>
      </w:pPr>
      <w:r w:rsidRPr="00B03B07">
        <w:lastRenderedPageBreak/>
        <w:t>New inhaled ICS/LABA/LAMA FDCs,</w:t>
      </w:r>
      <w:r>
        <w:t xml:space="preserve"> including fluticasone</w:t>
      </w:r>
      <w:r w:rsidRPr="00B03B07">
        <w:t>/</w:t>
      </w:r>
      <w:proofErr w:type="spellStart"/>
      <w:r w:rsidRPr="00B03B07">
        <w:t>vilanterol</w:t>
      </w:r>
      <w:proofErr w:type="spellEnd"/>
      <w:r w:rsidRPr="00B03B07">
        <w:t>/</w:t>
      </w:r>
      <w:proofErr w:type="spellStart"/>
      <w:r w:rsidRPr="00B03B07">
        <w:t>umeclidinium</w:t>
      </w:r>
      <w:proofErr w:type="spellEnd"/>
      <w:r w:rsidRPr="00B03B07">
        <w:t>, budesonide/formoterol/</w:t>
      </w:r>
      <w:proofErr w:type="spellStart"/>
      <w:r w:rsidRPr="00B03B07">
        <w:t>glycopyrronium</w:t>
      </w:r>
      <w:proofErr w:type="spellEnd"/>
      <w:r w:rsidRPr="00B03B07">
        <w:t xml:space="preserve"> and </w:t>
      </w:r>
      <w:proofErr w:type="spellStart"/>
      <w:r w:rsidRPr="00B03B07">
        <w:t>beclometasone</w:t>
      </w:r>
      <w:proofErr w:type="spellEnd"/>
      <w:r w:rsidRPr="00B03B07">
        <w:t>/formoterol/</w:t>
      </w:r>
      <w:proofErr w:type="spellStart"/>
      <w:r w:rsidRPr="00B03B07">
        <w:t>glycopyrronium</w:t>
      </w:r>
      <w:proofErr w:type="spellEnd"/>
      <w:r w:rsidRPr="00B03B07">
        <w:t>, are in Phase III of clinical development for COPD.</w:t>
      </w:r>
    </w:p>
    <w:p w:rsidR="00AA39D1" w:rsidRDefault="00AA39D1" w:rsidP="000558C0">
      <w:pPr>
        <w:pStyle w:val="Heading4"/>
      </w:pPr>
      <w:r>
        <w:t>Stakeholder views</w:t>
      </w:r>
    </w:p>
    <w:p w:rsidR="00207891" w:rsidRDefault="00207891" w:rsidP="00CD1D07">
      <w:pPr>
        <w:pStyle w:val="ListParagraph"/>
        <w:numPr>
          <w:ilvl w:val="0"/>
          <w:numId w:val="14"/>
        </w:numPr>
        <w:spacing w:before="0" w:after="200"/>
      </w:pPr>
      <w:r w:rsidRPr="00611DE5">
        <w:t xml:space="preserve">The FLAME trial </w:t>
      </w:r>
      <w:r>
        <w:t xml:space="preserve">included patients with predominately a history of one exacerbation. Superiority of the LAMA/LABA compared to the ICS/LABA was not established in patients </w:t>
      </w:r>
      <w:r w:rsidR="000C5F7D">
        <w:t xml:space="preserve">with </w:t>
      </w:r>
      <w:r>
        <w:t xml:space="preserve">a history of two or more exacerbations. </w:t>
      </w:r>
    </w:p>
    <w:p w:rsidR="00207891" w:rsidRDefault="00207891" w:rsidP="00CD1D07">
      <w:pPr>
        <w:pStyle w:val="ListParagraph"/>
        <w:numPr>
          <w:ilvl w:val="0"/>
          <w:numId w:val="14"/>
        </w:numPr>
        <w:ind w:left="357" w:hanging="357"/>
      </w:pPr>
      <w:r>
        <w:t>The authors of</w:t>
      </w:r>
      <w:r w:rsidR="00BF0B78">
        <w:t xml:space="preserve"> the</w:t>
      </w:r>
      <w:r>
        <w:t xml:space="preserve"> AFFIRM trial (recently published) claim that combined therapy with </w:t>
      </w:r>
      <w:proofErr w:type="spellStart"/>
      <w:r>
        <w:t>aclidinium</w:t>
      </w:r>
      <w:proofErr w:type="spellEnd"/>
      <w:r>
        <w:t>/formoterol demonstrated superiority over salmeterol/fluticasone in peak FEV</w:t>
      </w:r>
      <w:r w:rsidRPr="00C36E4E">
        <w:rPr>
          <w:vertAlign w:val="subscript"/>
        </w:rPr>
        <w:t>1</w:t>
      </w:r>
      <w:r>
        <w:t xml:space="preserve">. Improvements in dyspnoea and symptom control were comparable between treatment groups. </w:t>
      </w:r>
    </w:p>
    <w:p w:rsidR="00AA39D1" w:rsidRDefault="00AA39D1" w:rsidP="00CD1D07">
      <w:pPr>
        <w:pStyle w:val="ListParagraph"/>
        <w:numPr>
          <w:ilvl w:val="0"/>
          <w:numId w:val="14"/>
        </w:numPr>
        <w:ind w:left="357" w:hanging="357"/>
      </w:pPr>
      <w:r w:rsidRPr="008E5820">
        <w:t xml:space="preserve">The GOLD Strategy Report (2017) </w:t>
      </w:r>
      <w:r>
        <w:t xml:space="preserve">recommends that where dual therapy is appropriate, </w:t>
      </w:r>
      <w:r w:rsidRPr="008E5820">
        <w:t xml:space="preserve">LAMA/LABA is preferred </w:t>
      </w:r>
      <w:r>
        <w:t>to</w:t>
      </w:r>
      <w:r w:rsidRPr="008E5820">
        <w:t xml:space="preserve"> ICS/LABA</w:t>
      </w:r>
      <w:r>
        <w:t xml:space="preserve">. Many stakeholders considered that further evidence is required to establish the comparative effectiveness of ICS/LABA to LAMA/LABA therapies, and amend Australian clinical guidelines and PBS </w:t>
      </w:r>
      <w:r w:rsidR="00C90553">
        <w:t>restrictions</w:t>
      </w:r>
      <w:r>
        <w:t>.</w:t>
      </w:r>
    </w:p>
    <w:p w:rsidR="00207891" w:rsidRPr="00207891" w:rsidRDefault="00207891" w:rsidP="00CD1D07">
      <w:pPr>
        <w:pStyle w:val="ListParagraph"/>
        <w:numPr>
          <w:ilvl w:val="0"/>
          <w:numId w:val="14"/>
        </w:numPr>
        <w:spacing w:before="0" w:after="200"/>
        <w:rPr>
          <w:lang w:val="en-US"/>
        </w:rPr>
      </w:pPr>
      <w:r w:rsidRPr="005A1B3C">
        <w:rPr>
          <w:lang w:val="en-US"/>
        </w:rPr>
        <w:t>Recent post-hoc analysis of the WISDOM study indicates that withdrawal of ICS from triple therapy (ICS/LAMA/LABA) increased the risk of exacerbations in a small group of patients with high eo</w:t>
      </w:r>
      <w:r>
        <w:rPr>
          <w:lang w:val="en-US"/>
        </w:rPr>
        <w:t>sinophil counts and history of two</w:t>
      </w:r>
      <w:r w:rsidRPr="005A1B3C">
        <w:rPr>
          <w:lang w:val="en-US"/>
        </w:rPr>
        <w:t xml:space="preserve"> or more exacerbations.</w:t>
      </w:r>
    </w:p>
    <w:p w:rsidR="00FB43C5" w:rsidRPr="00CF537F" w:rsidRDefault="00FB43C5" w:rsidP="00CD1D07">
      <w:pPr>
        <w:pStyle w:val="ListParagraph"/>
        <w:numPr>
          <w:ilvl w:val="0"/>
          <w:numId w:val="14"/>
        </w:numPr>
        <w:spacing w:before="0" w:after="200"/>
        <w:rPr>
          <w:b/>
          <w:i/>
          <w:lang w:val="en-US"/>
        </w:rPr>
      </w:pPr>
      <w:r w:rsidRPr="008E5820">
        <w:t>ICS monotherapy is not TGA indicated for COPD.</w:t>
      </w:r>
      <w:r>
        <w:t xml:space="preserve"> </w:t>
      </w:r>
      <w:r w:rsidRPr="008E5820">
        <w:t>Restricting PBS access to ICS/LABA to patients with asthma or combined asthma/COPD is problematic given the low use of spirometry and misdiagnosis of COPD.</w:t>
      </w:r>
    </w:p>
    <w:p w:rsidR="00C86512" w:rsidRDefault="00AA39D1" w:rsidP="00CD1D07">
      <w:pPr>
        <w:pStyle w:val="ListParagraph"/>
        <w:numPr>
          <w:ilvl w:val="0"/>
          <w:numId w:val="14"/>
        </w:numPr>
        <w:spacing w:before="0" w:after="200"/>
        <w:ind w:left="357" w:hanging="357"/>
      </w:pPr>
      <w:r w:rsidRPr="008E5820">
        <w:t xml:space="preserve">A culture change is already occurring and clinicians are </w:t>
      </w:r>
      <w:r>
        <w:t xml:space="preserve">prescribing </w:t>
      </w:r>
      <w:r w:rsidRPr="008E5820">
        <w:t xml:space="preserve">LAMA/LABA in preference to ICS/LABA </w:t>
      </w:r>
      <w:r>
        <w:t xml:space="preserve">in COPD only patients </w:t>
      </w:r>
      <w:r w:rsidRPr="008E5820">
        <w:t>to reduce the risk of pneumonia.</w:t>
      </w:r>
    </w:p>
    <w:p w:rsidR="003A28EE" w:rsidRPr="003A28EE" w:rsidRDefault="003A28EE">
      <w:pPr>
        <w:pStyle w:val="Heading3"/>
        <w:numPr>
          <w:ilvl w:val="0"/>
          <w:numId w:val="0"/>
        </w:numPr>
      </w:pPr>
      <w:bookmarkStart w:id="21" w:name="_Toc486853477"/>
      <w:proofErr w:type="spellStart"/>
      <w:r w:rsidRPr="003A28EE">
        <w:t>ToR</w:t>
      </w:r>
      <w:proofErr w:type="spellEnd"/>
      <w:r w:rsidRPr="003A28EE">
        <w:t xml:space="preserve"> </w:t>
      </w:r>
      <w:r w:rsidR="00BD647E">
        <w:t xml:space="preserve">4: </w:t>
      </w:r>
      <w:r w:rsidRPr="003A28EE">
        <w:t xml:space="preserve">Review </w:t>
      </w:r>
      <w:r w:rsidR="000558C0">
        <w:t>of the safety of prolonged ICS use</w:t>
      </w:r>
      <w:bookmarkEnd w:id="21"/>
    </w:p>
    <w:p w:rsidR="00C70F34" w:rsidRDefault="00C70F34" w:rsidP="00C70F34">
      <w:pPr>
        <w:pStyle w:val="Bullettext"/>
      </w:pPr>
      <w:r>
        <w:t>Both meta-analyses and observational studies report increases in the risk of pneumonia of 40% to 70%.</w:t>
      </w:r>
    </w:p>
    <w:p w:rsidR="00C70F34" w:rsidRDefault="00C70F34" w:rsidP="00C70F34">
      <w:pPr>
        <w:pStyle w:val="Bullettext"/>
      </w:pPr>
      <w:r>
        <w:t>All-cause mortality was found to consistently favour ICS use in observational studies for both the general COPD population and those with pneumonia.</w:t>
      </w:r>
    </w:p>
    <w:p w:rsidR="00C70F34" w:rsidRDefault="00C70F34" w:rsidP="00C70F34">
      <w:pPr>
        <w:pStyle w:val="Bullettext"/>
      </w:pPr>
      <w:r>
        <w:t>There is some evidence for an intra-class difference for pneumonia risk between fluticasone and budesonide, favouring budesonide, but it is not conclusive.</w:t>
      </w:r>
    </w:p>
    <w:p w:rsidR="00C70F34" w:rsidRDefault="00C70F34" w:rsidP="00C70F34">
      <w:pPr>
        <w:pStyle w:val="Bullettext"/>
      </w:pPr>
      <w:r>
        <w:t>An ICS dose-response for pneumonia is apparent, but not conclusive.</w:t>
      </w:r>
    </w:p>
    <w:p w:rsidR="00C70F34" w:rsidRDefault="00C70F34" w:rsidP="00C70F34">
      <w:pPr>
        <w:pStyle w:val="Bullettext"/>
      </w:pPr>
      <w:r>
        <w:t>While the concept of a dose-response for pneumonia risk has biological plausibility and there is some supportive clinical evidence, this has not been demonstrated conclusively across all studies.</w:t>
      </w:r>
    </w:p>
    <w:p w:rsidR="00C70F34" w:rsidRDefault="00C70F34" w:rsidP="00C70F34">
      <w:pPr>
        <w:pStyle w:val="Bullettext"/>
      </w:pPr>
      <w:r>
        <w:t>RCTs and observational studies provide some evidence of an increased risk of fracture, but this was not conclusive.</w:t>
      </w:r>
    </w:p>
    <w:p w:rsidR="009B30D4" w:rsidRDefault="009B30D4" w:rsidP="00BA66F7">
      <w:pPr>
        <w:pStyle w:val="Heading4"/>
      </w:pPr>
      <w:r>
        <w:lastRenderedPageBreak/>
        <w:t xml:space="preserve">Stakeholder </w:t>
      </w:r>
      <w:r w:rsidR="00126077">
        <w:t>views</w:t>
      </w:r>
    </w:p>
    <w:p w:rsidR="00EC25AD" w:rsidRDefault="00EC25AD" w:rsidP="00EC25AD">
      <w:pPr>
        <w:pStyle w:val="Bullettext"/>
      </w:pPr>
      <w:r>
        <w:t>Predictors of individual pa</w:t>
      </w:r>
      <w:r w:rsidR="00B30386">
        <w:t>tient risk of pneumonia include:</w:t>
      </w:r>
      <w:r>
        <w:t xml:space="preserve"> age, severity of FEV</w:t>
      </w:r>
      <w:r w:rsidRPr="00D92F94">
        <w:rPr>
          <w:vertAlign w:val="subscript"/>
        </w:rPr>
        <w:t>1</w:t>
      </w:r>
      <w:r>
        <w:t xml:space="preserve"> &lt;50%, season, </w:t>
      </w:r>
      <w:proofErr w:type="gramStart"/>
      <w:r>
        <w:t>recent</w:t>
      </w:r>
      <w:proofErr w:type="gramEnd"/>
      <w:r>
        <w:t xml:space="preserve"> history of exac</w:t>
      </w:r>
      <w:r w:rsidR="00B30386">
        <w:t>erbations, lower socio-economic status</w:t>
      </w:r>
      <w:r>
        <w:t>, current smokers</w:t>
      </w:r>
      <w:r w:rsidR="00B30386">
        <w:t>,</w:t>
      </w:r>
      <w:r>
        <w:t xml:space="preserve"> and those with worse dyspnoea.</w:t>
      </w:r>
    </w:p>
    <w:p w:rsidR="00EC25AD" w:rsidRPr="002E7FF1" w:rsidRDefault="00EC25AD" w:rsidP="00EC25AD">
      <w:pPr>
        <w:pStyle w:val="Bullettext"/>
      </w:pPr>
      <w:r w:rsidRPr="002E7FF1">
        <w:t xml:space="preserve">Patient requirement for ICS treatment and whether withdrawal is appropriate should be </w:t>
      </w:r>
      <w:r>
        <w:t xml:space="preserve">individually </w:t>
      </w:r>
      <w:r w:rsidRPr="002E7FF1">
        <w:t>considered.</w:t>
      </w:r>
      <w:r>
        <w:t xml:space="preserve"> Withdrawal of ICS treatment is not recommended for patients with ACOS and is potentially harmful.</w:t>
      </w:r>
    </w:p>
    <w:p w:rsidR="00EC25AD" w:rsidRDefault="00EC25AD" w:rsidP="00EC25AD">
      <w:pPr>
        <w:pStyle w:val="Bullettext"/>
      </w:pPr>
      <w:r w:rsidRPr="002E7FF1">
        <w:t xml:space="preserve">Diagnostic analysis of eosinophils may help with patient risk stratification. Retrospective evidence indicates that patients with higher eosinophil levels, but within normal levels, achieve greater clinical benefit from ICS treatment. </w:t>
      </w:r>
      <w:r w:rsidRPr="00AE595B">
        <w:t>P</w:t>
      </w:r>
      <w:r w:rsidRPr="002E7FF1">
        <w:t>atients with levels within the low range of normal have a higher risk of pneumonia based on a post hoc analysis.</w:t>
      </w:r>
      <w:r w:rsidR="00B30386">
        <w:t xml:space="preserve"> </w:t>
      </w:r>
    </w:p>
    <w:p w:rsidR="00B30386" w:rsidRDefault="00B30386" w:rsidP="00EC25AD">
      <w:pPr>
        <w:pStyle w:val="Bullettext"/>
      </w:pPr>
      <w:r>
        <w:t>F</w:t>
      </w:r>
      <w:r w:rsidRPr="002E7FF1">
        <w:t xml:space="preserve">urther evidence is </w:t>
      </w:r>
      <w:r>
        <w:t xml:space="preserve">also </w:t>
      </w:r>
      <w:r w:rsidRPr="002E7FF1">
        <w:t>required prior to eosinophils being measured routinely in clinical practice</w:t>
      </w:r>
      <w:r>
        <w:t xml:space="preserve"> and included in clinical guidelines</w:t>
      </w:r>
      <w:r w:rsidRPr="002E7FF1">
        <w:t>.</w:t>
      </w:r>
    </w:p>
    <w:p w:rsidR="00EC25AD" w:rsidRDefault="00EC25AD" w:rsidP="00EC25AD">
      <w:pPr>
        <w:pStyle w:val="Bullettext"/>
      </w:pPr>
      <w:r>
        <w:t>LAMA/LABA agents are likely to provide an effective, convenient and potentially safer alternative for persistently symptomatic COPD patients.</w:t>
      </w:r>
    </w:p>
    <w:p w:rsidR="00B30386" w:rsidRDefault="00B30386" w:rsidP="00B30386">
      <w:pPr>
        <w:pStyle w:val="Bullettext"/>
      </w:pPr>
      <w:r>
        <w:t xml:space="preserve">A recent retrospective analysis of the UPLIFT trial claimed that ICS use was associated with an increase in respiratory adverse event rates and subgroup analysis showed that excess of morbidity in the ICS group appears to be associated with those receiving </w:t>
      </w:r>
      <w:r w:rsidRPr="001D54F3">
        <w:t xml:space="preserve">fluticasone </w:t>
      </w:r>
      <w:proofErr w:type="spellStart"/>
      <w:r>
        <w:t>proprionate</w:t>
      </w:r>
      <w:proofErr w:type="spellEnd"/>
      <w:r>
        <w:t xml:space="preserve"> at randomisation.</w:t>
      </w:r>
    </w:p>
    <w:p w:rsidR="00EC25AD" w:rsidRDefault="00EC25AD" w:rsidP="00EC25AD">
      <w:pPr>
        <w:pStyle w:val="Bullettext"/>
      </w:pPr>
      <w:r w:rsidRPr="000A6697">
        <w:t>Longer-term studies are required to characterise the risk of pneumonia in patients treated with fluticasone</w:t>
      </w:r>
      <w:r>
        <w:t xml:space="preserve">. </w:t>
      </w:r>
    </w:p>
    <w:p w:rsidR="00B30386" w:rsidRDefault="009B30D4" w:rsidP="00BD647E">
      <w:pPr>
        <w:pStyle w:val="Heading3"/>
        <w:numPr>
          <w:ilvl w:val="0"/>
          <w:numId w:val="0"/>
        </w:numPr>
      </w:pPr>
      <w:bookmarkStart w:id="22" w:name="_Toc486853478"/>
      <w:proofErr w:type="spellStart"/>
      <w:r w:rsidRPr="00BA66F7">
        <w:t>ToR</w:t>
      </w:r>
      <w:proofErr w:type="spellEnd"/>
      <w:r w:rsidRPr="00BA66F7">
        <w:t xml:space="preserve"> 5: </w:t>
      </w:r>
      <w:r w:rsidR="000558C0">
        <w:t>Current utilisation of PBS-</w:t>
      </w:r>
      <w:r w:rsidRPr="00BA66F7">
        <w:t>listed COPD medicines</w:t>
      </w:r>
      <w:bookmarkEnd w:id="22"/>
    </w:p>
    <w:p w:rsidR="009B30D4" w:rsidRPr="00BA66F7" w:rsidRDefault="00B30386" w:rsidP="00B30386">
      <w:pPr>
        <w:pStyle w:val="Heading4"/>
      </w:pPr>
      <w:r>
        <w:t>Utilisation analysis of PBS/RPBS claims data</w:t>
      </w:r>
      <w:r w:rsidR="009B30D4" w:rsidRPr="00BA66F7">
        <w:t xml:space="preserve"> </w:t>
      </w:r>
    </w:p>
    <w:p w:rsidR="00B30386" w:rsidRDefault="002073A5" w:rsidP="00026054">
      <w:pPr>
        <w:pStyle w:val="Bullettext"/>
      </w:pPr>
      <w:r w:rsidRPr="00D6538A">
        <w:t xml:space="preserve">The number of PBS/RPBS prescriptions for </w:t>
      </w:r>
      <w:r w:rsidR="006F4B4E">
        <w:t>COPD/a</w:t>
      </w:r>
      <w:r w:rsidRPr="00975CB4">
        <w:t>sthma medicines (LAMA, LABA and ICS)</w:t>
      </w:r>
      <w:r w:rsidRPr="00D6538A">
        <w:t xml:space="preserve"> in the 2016 calendar year was approximately 5.2 million scripts based on claims processed. This </w:t>
      </w:r>
      <w:r>
        <w:t xml:space="preserve">number </w:t>
      </w:r>
      <w:r w:rsidRPr="00D6538A">
        <w:t>has increased by 70.5% compared to 2006.</w:t>
      </w:r>
      <w:r w:rsidR="006F4B4E">
        <w:t xml:space="preserve"> </w:t>
      </w:r>
    </w:p>
    <w:p w:rsidR="009B30D4" w:rsidRDefault="009B30D4" w:rsidP="00026054">
      <w:pPr>
        <w:pStyle w:val="Bullettext"/>
      </w:pPr>
      <w:r>
        <w:t>The total PBS/RPBS benefits paid for COPD/asthma medicines in the 2016 calendar year was $299 million based on claims processed.</w:t>
      </w:r>
      <w:r w:rsidR="00B30386">
        <w:t xml:space="preserve"> </w:t>
      </w:r>
      <w:r w:rsidR="00B30386" w:rsidRPr="005D3504">
        <w:t>This number has grown from $215.2 million in 2006, which represents an increase in benefits paid of $84.1 million or 39.1%</w:t>
      </w:r>
      <w:r w:rsidR="00BF0B78">
        <w:t>.</w:t>
      </w:r>
    </w:p>
    <w:p w:rsidR="009B30D4" w:rsidRDefault="009B30D4" w:rsidP="009B30D4">
      <w:pPr>
        <w:pStyle w:val="Bullettext"/>
      </w:pPr>
      <w:r>
        <w:t xml:space="preserve">A COPD only cohort was identified from PBS unit record data based on: patients aged 35 years and above who initiated on medicines restricted to COPD only e.g. tiotropium, </w:t>
      </w:r>
      <w:proofErr w:type="spellStart"/>
      <w:r>
        <w:t>indacaterol</w:t>
      </w:r>
      <w:proofErr w:type="spellEnd"/>
      <w:r>
        <w:t xml:space="preserve"> or LAMA/LABA. </w:t>
      </w:r>
    </w:p>
    <w:p w:rsidR="00B30386" w:rsidRDefault="009B30D4" w:rsidP="00B30386">
      <w:pPr>
        <w:pStyle w:val="Bullettext"/>
      </w:pPr>
      <w:r>
        <w:t>The perc</w:t>
      </w:r>
      <w:r w:rsidR="006F4B4E">
        <w:t>entage of patients in the COPD c</w:t>
      </w:r>
      <w:r>
        <w:t>ohort initiating to combinations ou</w:t>
      </w:r>
      <w:r w:rsidR="00B30386">
        <w:t>tside COPD-X guidelines was 13.2</w:t>
      </w:r>
      <w:r>
        <w:t xml:space="preserve">% in 2010 </w:t>
      </w:r>
      <w:r w:rsidR="00B30386">
        <w:t>and 25.7</w:t>
      </w:r>
      <w:r>
        <w:t>% in 2016. The percentage of use outside COPD-X guidelines is dominated by initiation to</w:t>
      </w:r>
      <w:r w:rsidR="00B30386">
        <w:t xml:space="preserve"> combinations of LABA/LAMA (15.4%) and ICS/LABA plus LAMA (8.3</w:t>
      </w:r>
      <w:r>
        <w:t>%).</w:t>
      </w:r>
    </w:p>
    <w:p w:rsidR="00B30386" w:rsidRDefault="00B30386" w:rsidP="00B30386">
      <w:pPr>
        <w:pStyle w:val="Heading4"/>
      </w:pPr>
      <w:r>
        <w:lastRenderedPageBreak/>
        <w:t>MedicineInsight data analysis</w:t>
      </w:r>
    </w:p>
    <w:p w:rsidR="00BA66F7" w:rsidRDefault="00BA66F7" w:rsidP="00BA66F7">
      <w:pPr>
        <w:pStyle w:val="Bullettext"/>
      </w:pPr>
      <w:r>
        <w:t xml:space="preserve">Of the 1.28 million </w:t>
      </w:r>
      <w:r w:rsidR="006F4B4E">
        <w:t xml:space="preserve">current </w:t>
      </w:r>
      <w:r>
        <w:t>MedicineInsight patients aged 35 years and over included in th</w:t>
      </w:r>
      <w:r w:rsidR="00E6019D">
        <w:t>e</w:t>
      </w:r>
      <w:r>
        <w:t xml:space="preserve"> analysis, 3% were ever diagnosed with COPD only (n=38,650)</w:t>
      </w:r>
      <w:r w:rsidR="00B30386">
        <w:t xml:space="preserve">, </w:t>
      </w:r>
      <w:r>
        <w:t xml:space="preserve"> and 1.6% with COPD plus asthma (n=20,546).</w:t>
      </w:r>
    </w:p>
    <w:p w:rsidR="00BA66F7" w:rsidRDefault="00BA66F7" w:rsidP="00BA66F7">
      <w:pPr>
        <w:pStyle w:val="Bullettext"/>
      </w:pPr>
      <w:r>
        <w:t>In MedicineInsight data in 2016, 51,903 prescriptions for the medicines of interest were ordered for current patients with COPD only and 54,197 prescriptions for COPD plus asthma.  For all COPD and COPD plus asthma patients, 41.6% had no prescriptions written for any SAMA, SABA, LAMA, LABA or ICS (including combinations) inhalers in 2016.</w:t>
      </w:r>
    </w:p>
    <w:p w:rsidR="00BA66F7" w:rsidRDefault="00BA66F7" w:rsidP="00BA66F7">
      <w:pPr>
        <w:pStyle w:val="Bullettext"/>
      </w:pPr>
      <w:r>
        <w:t>Based on MedicineInsight data, for COPD only patients</w:t>
      </w:r>
      <w:r w:rsidR="006F4B4E">
        <w:t>,</w:t>
      </w:r>
      <w:r>
        <w:t xml:space="preserve"> 3.6% were at risk of unsafe duplicated therapy and 1.6% </w:t>
      </w:r>
      <w:proofErr w:type="gramStart"/>
      <w:r>
        <w:t>were</w:t>
      </w:r>
      <w:proofErr w:type="gramEnd"/>
      <w:r>
        <w:t xml:space="preserve"> on combinations of SAMA and LAMA.</w:t>
      </w:r>
      <w:r w:rsidR="00E6019D">
        <w:t xml:space="preserve"> </w:t>
      </w:r>
      <w:r>
        <w:t>For patients with COPD plus asthma, 6.1% may be at risk of unsafe duplicated therapy and 3.2% were on combinations of SAMA and LAMA.</w:t>
      </w:r>
    </w:p>
    <w:p w:rsidR="003F3B3D" w:rsidRDefault="00BA66F7" w:rsidP="00E55643">
      <w:pPr>
        <w:pStyle w:val="Bullettext"/>
        <w:ind w:left="357" w:hanging="357"/>
      </w:pPr>
      <w:r>
        <w:t>Based on MedicineInsight data, between 1 July 2015 and 31 December 2016</w:t>
      </w:r>
      <w:r w:rsidR="00E6019D">
        <w:t>,</w:t>
      </w:r>
      <w:r>
        <w:t xml:space="preserve"> </w:t>
      </w:r>
      <w:r w:rsidR="006F4B4E">
        <w:t>of pa</w:t>
      </w:r>
      <w:r w:rsidR="00B30386">
        <w:t>tients initiating COPD therapy</w:t>
      </w:r>
      <w:r w:rsidR="003F3B3D">
        <w:t xml:space="preserve">, </w:t>
      </w:r>
      <w:r>
        <w:t>45.9% were prescribed only one medicine of interest as initial therapy, 49.0% were prescribed dual therapy</w:t>
      </w:r>
      <w:r w:rsidR="003F3B3D">
        <w:t>,</w:t>
      </w:r>
      <w:r>
        <w:t xml:space="preserve"> and 4.5% triple therapy (excluding SABA).  A significant amount of combination use of COPD medications was therefore observed to be outside clinical guidelines</w:t>
      </w:r>
      <w:r w:rsidR="007E00E2">
        <w:t xml:space="preserve"> and PBS restrictions (53.5%). </w:t>
      </w:r>
    </w:p>
    <w:p w:rsidR="00BA66F7" w:rsidRDefault="00BA66F7" w:rsidP="00E55643">
      <w:pPr>
        <w:pStyle w:val="Bullettext"/>
        <w:ind w:left="357" w:hanging="357"/>
      </w:pPr>
      <w:r>
        <w:t>Among patients with COPD and COPD</w:t>
      </w:r>
      <w:r w:rsidR="003F3B3D">
        <w:t xml:space="preserve"> plus asthma, 38.1% (n=22,524) </w:t>
      </w:r>
      <w:r>
        <w:t>ever had a record of one or more spirometry tests.</w:t>
      </w:r>
    </w:p>
    <w:p w:rsidR="007C7B04" w:rsidRDefault="007C7B04" w:rsidP="00BA66F7">
      <w:pPr>
        <w:pStyle w:val="Heading4"/>
      </w:pPr>
      <w:r>
        <w:t xml:space="preserve">Stakeholder </w:t>
      </w:r>
      <w:r w:rsidR="00B30386">
        <w:t>views</w:t>
      </w:r>
    </w:p>
    <w:p w:rsidR="00525DC3" w:rsidRPr="00714C0B" w:rsidRDefault="00525DC3" w:rsidP="00525DC3">
      <w:pPr>
        <w:pStyle w:val="Bullettext"/>
      </w:pPr>
      <w:r>
        <w:t>I</w:t>
      </w:r>
      <w:r w:rsidRPr="00714C0B">
        <w:t>n the PBS</w:t>
      </w:r>
      <w:r>
        <w:t xml:space="preserve"> </w:t>
      </w:r>
      <w:r w:rsidRPr="00714C0B">
        <w:t xml:space="preserve">data </w:t>
      </w:r>
      <w:r>
        <w:t>analysis, t</w:t>
      </w:r>
      <w:r w:rsidRPr="00714C0B">
        <w:t xml:space="preserve">he exclusion of </w:t>
      </w:r>
      <w:r>
        <w:t xml:space="preserve">patients initiating therapy with </w:t>
      </w:r>
      <w:r w:rsidRPr="00714C0B">
        <w:t xml:space="preserve">ICS/LABA </w:t>
      </w:r>
      <w:r>
        <w:t xml:space="preserve">may </w:t>
      </w:r>
      <w:r w:rsidRPr="00714C0B">
        <w:t xml:space="preserve">significantly underestimate the COPD only population. </w:t>
      </w:r>
    </w:p>
    <w:p w:rsidR="00525DC3" w:rsidRDefault="00525DC3" w:rsidP="00525DC3">
      <w:pPr>
        <w:pStyle w:val="Bullettext"/>
      </w:pPr>
      <w:r>
        <w:t>T</w:t>
      </w:r>
      <w:r w:rsidRPr="00BE4B15">
        <w:t xml:space="preserve">he </w:t>
      </w:r>
      <w:r>
        <w:t xml:space="preserve">PBS data </w:t>
      </w:r>
      <w:r w:rsidRPr="00BE4B15">
        <w:t>analysis did not consider samples</w:t>
      </w:r>
      <w:r>
        <w:t>,</w:t>
      </w:r>
      <w:r w:rsidRPr="00BE4B15">
        <w:t xml:space="preserve"> hospital initiations</w:t>
      </w:r>
      <w:r>
        <w:t>, or over-the-counter SABA use, which may lead to an overestimation of use outside guidelines and PBS restrictions.</w:t>
      </w:r>
      <w:r w:rsidRPr="00BE4B15">
        <w:t xml:space="preserve"> </w:t>
      </w:r>
    </w:p>
    <w:p w:rsidR="00525DC3" w:rsidRPr="0081172E" w:rsidRDefault="00525DC3" w:rsidP="00525DC3">
      <w:pPr>
        <w:pStyle w:val="Bullettext"/>
      </w:pPr>
      <w:r w:rsidRPr="0016687F">
        <w:t>Analysis of SAMA, SABA and ICS/LABA patient utilisation</w:t>
      </w:r>
      <w:r>
        <w:t>,</w:t>
      </w:r>
      <w:r w:rsidRPr="0016687F">
        <w:t xml:space="preserve"> including initiations</w:t>
      </w:r>
      <w:r>
        <w:t>,</w:t>
      </w:r>
      <w:r w:rsidRPr="0016687F">
        <w:t xml:space="preserve"> is required to better understand the overall use of all </w:t>
      </w:r>
      <w:r>
        <w:t>COPD medications.</w:t>
      </w:r>
    </w:p>
    <w:p w:rsidR="00951342" w:rsidRDefault="00525DC3" w:rsidP="00525DC3">
      <w:pPr>
        <w:pStyle w:val="Bullettext"/>
      </w:pPr>
      <w:r>
        <w:t xml:space="preserve">The MedicineInsight analysis underestimates the utilisation of SABA medications (available over-the-counter) and should be interpreted with caution. </w:t>
      </w:r>
    </w:p>
    <w:p w:rsidR="00525DC3" w:rsidRDefault="00525DC3" w:rsidP="00525DC3">
      <w:pPr>
        <w:pStyle w:val="Bullettext"/>
      </w:pPr>
      <w:r>
        <w:t>International evidence was presented regarding the uncertainty in COPD patient identification. Concerns were expressed by a number of stakeholders as to whether healthcare utilisation databases are adequate to inform PBAC decision making.</w:t>
      </w:r>
    </w:p>
    <w:p w:rsidR="00174875" w:rsidRDefault="00BA66F7" w:rsidP="00BD647E">
      <w:pPr>
        <w:pStyle w:val="Heading3"/>
        <w:numPr>
          <w:ilvl w:val="0"/>
          <w:numId w:val="0"/>
        </w:numPr>
      </w:pPr>
      <w:bookmarkStart w:id="23" w:name="_Toc486853479"/>
      <w:proofErr w:type="spellStart"/>
      <w:r>
        <w:t>ToR</w:t>
      </w:r>
      <w:proofErr w:type="spellEnd"/>
      <w:r>
        <w:t xml:space="preserve"> 6: </w:t>
      </w:r>
      <w:r w:rsidR="000558C0">
        <w:t>Need for a review of cost-effectiveness</w:t>
      </w:r>
      <w:bookmarkEnd w:id="23"/>
    </w:p>
    <w:bookmarkEnd w:id="3"/>
    <w:p w:rsidR="00EB3E68" w:rsidRDefault="00EB3E68" w:rsidP="000558C0">
      <w:pPr>
        <w:pStyle w:val="Heading4"/>
      </w:pPr>
      <w:r>
        <w:t>Utilisation</w:t>
      </w:r>
    </w:p>
    <w:p w:rsidR="00EB3E68" w:rsidRDefault="00EB3E68" w:rsidP="00E55643">
      <w:pPr>
        <w:pStyle w:val="Bullettext"/>
        <w:ind w:left="357" w:hanging="357"/>
      </w:pPr>
      <w:r>
        <w:t xml:space="preserve">From a cost and QUM perspective, the key concern identified by the Review is the growing proportion of patients initiating </w:t>
      </w:r>
      <w:r w:rsidR="00E6019D">
        <w:t xml:space="preserve">to </w:t>
      </w:r>
      <w:r>
        <w:t>dual or triple inhaled therapy of the COPD medicines in scope (a quarter of patients</w:t>
      </w:r>
      <w:r w:rsidR="007E00E2">
        <w:t xml:space="preserve"> based on PBS/RPBS data</w:t>
      </w:r>
      <w:r>
        <w:t xml:space="preserve">). This is not recommended in the COPD-X </w:t>
      </w:r>
      <w:r w:rsidR="00951342">
        <w:t>guidelines</w:t>
      </w:r>
      <w:r>
        <w:t>, is not in line with the PBS restrictions, and the cost-effectiveness of this use is unknown.</w:t>
      </w:r>
    </w:p>
    <w:p w:rsidR="00EB3E68" w:rsidRDefault="00EB3E68" w:rsidP="00E55643">
      <w:pPr>
        <w:pStyle w:val="Bullettext"/>
        <w:ind w:left="357" w:hanging="357"/>
      </w:pPr>
      <w:r>
        <w:lastRenderedPageBreak/>
        <w:t>NPS MedicineInsight data indicates that around 3.9% of patients recorded with a diagnosis of COPD only, and 6.1% of patients recorded with a diagnosis of COPD plus asthma, may have duplicated therapy.</w:t>
      </w:r>
    </w:p>
    <w:p w:rsidR="00EB3E68" w:rsidRDefault="00EB3E68" w:rsidP="000558C0">
      <w:pPr>
        <w:pStyle w:val="Heading4"/>
      </w:pPr>
      <w:r>
        <w:t>Efficacy and safety</w:t>
      </w:r>
    </w:p>
    <w:p w:rsidR="00EB3E68" w:rsidRDefault="00525DC3" w:rsidP="00E55643">
      <w:pPr>
        <w:pStyle w:val="Bullettext"/>
        <w:ind w:left="357" w:hanging="357"/>
      </w:pPr>
      <w:r>
        <w:t xml:space="preserve">Previous PBAC decision </w:t>
      </w:r>
      <w:r w:rsidR="00EB3E68">
        <w:t>making has considered medicines in the LAMA, LABA, ICS/LABA and LAMA/LABA classes to be of comparable efficacy and similar safety to other medicines within their class. Where available, new evidence generally supports these decisions and the previously determined price relativities.</w:t>
      </w:r>
    </w:p>
    <w:p w:rsidR="00525DC3" w:rsidRDefault="00EB3E68" w:rsidP="00525DC3">
      <w:pPr>
        <w:pStyle w:val="Bullettext"/>
        <w:ind w:left="357" w:hanging="357"/>
      </w:pPr>
      <w:r>
        <w:t xml:space="preserve">PBS-listed LAMAs, LABAs and ICS/LABAs were all considered by the PBAC to be of comparative efficacy and similar safety and were cost-minimised. </w:t>
      </w:r>
      <w:r w:rsidR="00E6019D">
        <w:t xml:space="preserve"> </w:t>
      </w:r>
      <w:r w:rsidRPr="00B43E32">
        <w:t>Overall, new evidence regarding the comparative efficacy and safety of LAMAs and LABAs compared to ICS/LABA FDCs is inconclusive, but does not support a change to previous PBAC decision-making, which considered these therapies generally comparable.</w:t>
      </w:r>
      <w:r>
        <w:t xml:space="preserve"> </w:t>
      </w:r>
      <w:r w:rsidR="00E6019D">
        <w:t xml:space="preserve"> </w:t>
      </w:r>
      <w:r>
        <w:t>No new evidence was identified that would change the previously determined price relativities for these therapies.</w:t>
      </w:r>
    </w:p>
    <w:p w:rsidR="00525DC3" w:rsidRPr="0041298F" w:rsidRDefault="0041298F" w:rsidP="0041298F">
      <w:pPr>
        <w:pStyle w:val="Bullettext"/>
        <w:numPr>
          <w:ilvl w:val="0"/>
          <w:numId w:val="0"/>
        </w:numPr>
        <w:ind w:left="357" w:hanging="357"/>
        <w:rPr>
          <w:highlight w:val="black"/>
        </w:rPr>
      </w:pP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r>
        <w:rPr>
          <w:rFonts w:ascii="Symbol" w:hAnsi="Symbol"/>
          <w:noProof/>
          <w:color w:val="000000"/>
          <w:highlight w:val="black"/>
        </w:rPr>
        <w:t></w:t>
      </w:r>
    </w:p>
    <w:p w:rsidR="00EB3E68" w:rsidRDefault="00EB3E68" w:rsidP="00E55643">
      <w:pPr>
        <w:pStyle w:val="Bullettext"/>
        <w:ind w:left="357" w:hanging="357"/>
      </w:pPr>
      <w:r>
        <w:t xml:space="preserve">There is evidence to support a modest benefit of stepping up from LAMA </w:t>
      </w:r>
      <w:proofErr w:type="gramStart"/>
      <w:r>
        <w:t>monotherapy</w:t>
      </w:r>
      <w:proofErr w:type="gramEnd"/>
      <w:r>
        <w:t xml:space="preserve"> to LAMA/LABA dual therapy. Based on four studies identified in this review, the mean difference in trough FEV</w:t>
      </w:r>
      <w:r w:rsidRPr="00B7573A">
        <w:rPr>
          <w:vertAlign w:val="subscript"/>
        </w:rPr>
        <w:t xml:space="preserve">1 </w:t>
      </w:r>
      <w:r>
        <w:t>between LAMA alone and LABA/LAMA ranged from 28 mL (Singh</w:t>
      </w:r>
      <w:r w:rsidR="00525DC3">
        <w:t xml:space="preserve"> et al,</w:t>
      </w:r>
      <w:r>
        <w:t xml:space="preserve"> 2015b) to 112 mL (</w:t>
      </w:r>
      <w:proofErr w:type="spellStart"/>
      <w:r>
        <w:t>Maleki-Yazdi</w:t>
      </w:r>
      <w:proofErr w:type="spellEnd"/>
      <w:r>
        <w:t xml:space="preserve"> </w:t>
      </w:r>
      <w:r w:rsidR="00525DC3">
        <w:t xml:space="preserve">et al, </w:t>
      </w:r>
      <w:r w:rsidR="007E00E2">
        <w:t xml:space="preserve">2014). </w:t>
      </w:r>
      <w:r w:rsidRPr="007E00E2">
        <w:t>It is worth noting that the PBAC has previously considered the MCID for change in trough FEV</w:t>
      </w:r>
      <w:r w:rsidRPr="007E00E2">
        <w:rPr>
          <w:vertAlign w:val="subscript"/>
        </w:rPr>
        <w:t>1</w:t>
      </w:r>
      <w:r w:rsidRPr="007E00E2">
        <w:t xml:space="preserve"> was in the range of 100 to 140 </w:t>
      </w:r>
      <w:proofErr w:type="spellStart"/>
      <w:r w:rsidRPr="007E00E2">
        <w:t>mL.</w:t>
      </w:r>
      <w:proofErr w:type="spellEnd"/>
      <w:r>
        <w:t xml:space="preserve"> No studies were identified that examined the benefits of stepping up from LABA monotherapy to LAMA/LABA dual therapy.</w:t>
      </w:r>
    </w:p>
    <w:p w:rsidR="00CF7EB8" w:rsidRDefault="00EB3E68" w:rsidP="00E55643">
      <w:pPr>
        <w:pStyle w:val="Bullettext"/>
        <w:ind w:left="357" w:hanging="357"/>
      </w:pPr>
      <w:r>
        <w:t xml:space="preserve">Of the four RCTs identified that compared LAMA </w:t>
      </w:r>
      <w:proofErr w:type="gramStart"/>
      <w:r>
        <w:t>monotherapy</w:t>
      </w:r>
      <w:proofErr w:type="gramEnd"/>
      <w:r>
        <w:t xml:space="preserve"> to LAMA/LABA dual therapy, the following PROs were reported: SGRQ (3 studies), rescue medication (2</w:t>
      </w:r>
      <w:r w:rsidR="00D5154D">
        <w:t> </w:t>
      </w:r>
      <w:r>
        <w:t xml:space="preserve">studies), time to first exacerbation (1 study), and physiological response to exercise during SMETT (1 study). </w:t>
      </w:r>
    </w:p>
    <w:p w:rsidR="00EB3E68" w:rsidRDefault="00EB3E68" w:rsidP="00E55643">
      <w:pPr>
        <w:pStyle w:val="Bullettext"/>
        <w:ind w:left="357" w:hanging="357"/>
      </w:pPr>
      <w:r>
        <w:t>The SGRQ results from the TONADO 1 and 2 studies have previously been considered by the PBAC (Ferguson</w:t>
      </w:r>
      <w:r w:rsidR="00525DC3">
        <w:t xml:space="preserve"> et al, </w:t>
      </w:r>
      <w:r>
        <w:t>2015).</w:t>
      </w:r>
      <w:r w:rsidR="00E6019D">
        <w:t xml:space="preserve"> </w:t>
      </w:r>
      <w:r>
        <w:t xml:space="preserve"> Singh (2015b and 2016) concluded of the OTEMTO study that treatment with tiotropium/</w:t>
      </w:r>
      <w:proofErr w:type="spellStart"/>
      <w:r>
        <w:t>olodaterol</w:t>
      </w:r>
      <w:proofErr w:type="spellEnd"/>
      <w:r>
        <w:t xml:space="preserve"> versus tiotropium led to improvements in lung function over tiotropium that “were translated into clinically significant improvements in symptoms and health-related quality of life”. </w:t>
      </w:r>
      <w:r w:rsidR="00E6019D">
        <w:t xml:space="preserve"> </w:t>
      </w:r>
      <w:proofErr w:type="spellStart"/>
      <w:r w:rsidR="007E00E2">
        <w:t>Maleki-Yazdi</w:t>
      </w:r>
      <w:proofErr w:type="spellEnd"/>
      <w:r w:rsidR="007E00E2">
        <w:t xml:space="preserve"> </w:t>
      </w:r>
      <w:r>
        <w:t xml:space="preserve">(2014) showed that time to </w:t>
      </w:r>
      <w:r>
        <w:lastRenderedPageBreak/>
        <w:t xml:space="preserve">first exacerbation favoured dual therapy over monotherapy with marginal statistical significance. </w:t>
      </w:r>
    </w:p>
    <w:p w:rsidR="00EB3E68" w:rsidRDefault="00EB3E68" w:rsidP="00E55643">
      <w:pPr>
        <w:pStyle w:val="Bullettext"/>
        <w:ind w:left="357" w:hanging="357"/>
      </w:pPr>
      <w:r>
        <w:t>Several RCTs were identified that examined the comparative efficacy and safety of LAMA/LABA and ICS/LABA FDCs. In general, these studies found LAMA/LABA FDCs provide superior efficacy and similar safety to ICS/LABA FDCs in COPD patients.</w:t>
      </w:r>
    </w:p>
    <w:p w:rsidR="00EB3E68" w:rsidRDefault="00EB3E68" w:rsidP="00E55643">
      <w:pPr>
        <w:pStyle w:val="Bullettext"/>
        <w:ind w:left="357" w:hanging="357"/>
      </w:pPr>
      <w:r>
        <w:t xml:space="preserve">No RCTs or large observational studies were identified that examined the comparative efficacy and safety of ICS plus LAMA/LABA versus LAMA/LABA. </w:t>
      </w:r>
      <w:r w:rsidR="00E6019D">
        <w:t xml:space="preserve"> </w:t>
      </w:r>
      <w:r>
        <w:t>A recent Cochrane review also failed to identify any ongoing or completed RCTs comparing these treatm</w:t>
      </w:r>
      <w:r w:rsidR="007E00E2">
        <w:t xml:space="preserve">ents in stable COPD (Tan </w:t>
      </w:r>
      <w:r w:rsidR="00525DC3">
        <w:t xml:space="preserve">et al, </w:t>
      </w:r>
      <w:r>
        <w:t xml:space="preserve">2016). </w:t>
      </w:r>
      <w:r w:rsidR="00CA4C2A">
        <w:t>Thus it is uncertain if triple therapy is cost-effective over dual therapy with LABA/LAMA.</w:t>
      </w:r>
    </w:p>
    <w:p w:rsidR="006F0B92" w:rsidRDefault="006F0B92" w:rsidP="006F0B92">
      <w:pPr>
        <w:pStyle w:val="Heading4"/>
      </w:pPr>
      <w:r>
        <w:t xml:space="preserve">Stakeholder views </w:t>
      </w:r>
    </w:p>
    <w:p w:rsidR="006F0B92" w:rsidRDefault="006F0B92" w:rsidP="00CD1D07">
      <w:pPr>
        <w:pStyle w:val="Bullettext"/>
        <w:numPr>
          <w:ilvl w:val="0"/>
          <w:numId w:val="30"/>
        </w:numPr>
        <w:spacing w:after="120"/>
      </w:pPr>
      <w:r>
        <w:t>PBAC recommendations are required to be considered in the context of the available clinical evidence</w:t>
      </w:r>
      <w:r w:rsidR="00525DC3">
        <w:t xml:space="preserve"> and</w:t>
      </w:r>
      <w:r>
        <w:t xml:space="preserve"> best practice guidelines. A number of stakeholders provided </w:t>
      </w:r>
      <w:r w:rsidR="00525DC3">
        <w:t xml:space="preserve">additional recent published </w:t>
      </w:r>
      <w:r>
        <w:t>evidence</w:t>
      </w:r>
      <w:r w:rsidR="00525DC3">
        <w:t>, including updates to guidelines</w:t>
      </w:r>
      <w:r>
        <w:t xml:space="preserve"> </w:t>
      </w:r>
      <w:r w:rsidR="005777F4">
        <w:t>and further utilisation analyse</w:t>
      </w:r>
      <w:r>
        <w:t>s</w:t>
      </w:r>
      <w:r w:rsidR="005777F4">
        <w:t xml:space="preserve"> (r</w:t>
      </w:r>
      <w:r>
        <w:t xml:space="preserve">efer to </w:t>
      </w:r>
      <w:proofErr w:type="spellStart"/>
      <w:r>
        <w:t>ToR</w:t>
      </w:r>
      <w:proofErr w:type="spellEnd"/>
      <w:r>
        <w:t xml:space="preserve"> 1 to</w:t>
      </w:r>
      <w:r w:rsidR="005777F4">
        <w:t xml:space="preserve"> </w:t>
      </w:r>
      <w:proofErr w:type="gramStart"/>
      <w:r>
        <w:t>5</w:t>
      </w:r>
      <w:r w:rsidR="005777F4">
        <w:t>,</w:t>
      </w:r>
      <w:proofErr w:type="gramEnd"/>
      <w:r w:rsidR="005777F4">
        <w:t xml:space="preserve"> and Appendix U)</w:t>
      </w:r>
      <w:r>
        <w:t>.</w:t>
      </w:r>
    </w:p>
    <w:p w:rsidR="006F0B92" w:rsidRDefault="005777F4" w:rsidP="00CD1D07">
      <w:pPr>
        <w:pStyle w:val="Bullettext"/>
        <w:numPr>
          <w:ilvl w:val="0"/>
          <w:numId w:val="30"/>
        </w:numPr>
        <w:spacing w:after="120"/>
      </w:pPr>
      <w:r>
        <w:t>Refer to the Options section (below)</w:t>
      </w:r>
      <w:r w:rsidR="006F0B92">
        <w:t xml:space="preserve"> for further information</w:t>
      </w:r>
      <w:r>
        <w:t xml:space="preserve"> on</w:t>
      </w:r>
      <w:r w:rsidR="0066152B">
        <w:t xml:space="preserve"> stakeholder views</w:t>
      </w:r>
      <w:r w:rsidR="006F0B92">
        <w:t>.</w:t>
      </w:r>
    </w:p>
    <w:p w:rsidR="008437AC" w:rsidRDefault="008437AC" w:rsidP="007E00E2">
      <w:pPr>
        <w:pStyle w:val="Heading2"/>
        <w:numPr>
          <w:ilvl w:val="0"/>
          <w:numId w:val="0"/>
        </w:numPr>
        <w:rPr>
          <w:sz w:val="28"/>
          <w:szCs w:val="32"/>
        </w:rPr>
      </w:pPr>
      <w:bookmarkStart w:id="24" w:name="_Toc486853480"/>
      <w:r>
        <w:t>COPD Review Options</w:t>
      </w:r>
      <w:bookmarkEnd w:id="24"/>
    </w:p>
    <w:p w:rsidR="008437AC" w:rsidRDefault="000C4088" w:rsidP="008437AC">
      <w:r>
        <w:t>Review O</w:t>
      </w:r>
      <w:r w:rsidR="00FD3EDE">
        <w:t>ptions 1-12 were included in the draft COPD Review Report that was provided for public consultation</w:t>
      </w:r>
      <w:r w:rsidR="006A24BB">
        <w:t>,</w:t>
      </w:r>
      <w:r w:rsidR="00FD3EDE">
        <w:t xml:space="preserve"> and considered by the Economic Sub-Committee (ESC) and the Drug Utilisation Sub Committee (DUSC) of the PBAC in June 2017. </w:t>
      </w:r>
      <w:r w:rsidR="006A24BB">
        <w:t xml:space="preserve">Options 13-14 were added following the consultation process. The </w:t>
      </w:r>
      <w:r w:rsidR="004B3268">
        <w:t>RG</w:t>
      </w:r>
      <w:r w:rsidR="008437AC">
        <w:t xml:space="preserve"> </w:t>
      </w:r>
      <w:r w:rsidR="009E646B">
        <w:t>considered the public and sponsor comments, and DUSC and ESC advice to the PBAC, in July 2017, and commented on</w:t>
      </w:r>
      <w:r w:rsidR="006A24BB">
        <w:t xml:space="preserve"> the following 14 </w:t>
      </w:r>
      <w:r w:rsidR="008437AC">
        <w:t xml:space="preserve">options. </w:t>
      </w:r>
    </w:p>
    <w:p w:rsidR="008437AC" w:rsidRDefault="008437AC" w:rsidP="007E00E2">
      <w:pPr>
        <w:pStyle w:val="Heading3"/>
        <w:numPr>
          <w:ilvl w:val="0"/>
          <w:numId w:val="0"/>
        </w:numPr>
      </w:pPr>
      <w:bookmarkStart w:id="25" w:name="_Toc486853481"/>
      <w:r>
        <w:t>PBS Restriction Text</w:t>
      </w:r>
      <w:bookmarkEnd w:id="25"/>
    </w:p>
    <w:p w:rsidR="008437AC" w:rsidRDefault="008437AC">
      <w:pPr>
        <w:pStyle w:val="Heading4"/>
      </w:pPr>
      <w:r>
        <w:t>Option 1</w:t>
      </w:r>
    </w:p>
    <w:p w:rsidR="008437AC" w:rsidRDefault="008437AC" w:rsidP="008437AC">
      <w:pPr>
        <w:rPr>
          <w:b/>
        </w:rPr>
      </w:pPr>
      <w:r>
        <w:rPr>
          <w:b/>
        </w:rPr>
        <w:t>Remove the requirement to stabilise patients on a LAMA and LABA separately, prior to initiation of LAMA/LABA FDC.</w:t>
      </w:r>
    </w:p>
    <w:p w:rsidR="008437AC" w:rsidRDefault="008437AC" w:rsidP="008437AC">
      <w:pPr>
        <w:keepNext/>
        <w:keepLines/>
      </w:pPr>
      <w:r>
        <w:rPr>
          <w:u w:val="single"/>
        </w:rPr>
        <w:t>Current</w:t>
      </w:r>
      <w:r w:rsidR="00A7602F">
        <w:rPr>
          <w:u w:val="single"/>
        </w:rPr>
        <w:t xml:space="preserve"> LABA/LAMA</w:t>
      </w:r>
      <w:r>
        <w:rPr>
          <w:u w:val="single"/>
        </w:rPr>
        <w:t xml:space="preserve"> </w:t>
      </w:r>
      <w:r w:rsidR="002B4E90">
        <w:rPr>
          <w:u w:val="single"/>
        </w:rPr>
        <w:t xml:space="preserve">PBS </w:t>
      </w:r>
      <w:r>
        <w:rPr>
          <w:u w:val="single"/>
        </w:rPr>
        <w:t>restriction</w:t>
      </w:r>
      <w:r w:rsidR="002B4E90">
        <w:rPr>
          <w:u w:val="single"/>
        </w:rPr>
        <w:t xml:space="preserve"> </w:t>
      </w:r>
    </w:p>
    <w:p w:rsidR="008437AC" w:rsidRDefault="008437AC" w:rsidP="008437AC">
      <w:pPr>
        <w:keepNext/>
        <w:keepLines/>
        <w:rPr>
          <w:rStyle w:val="Emphasis"/>
        </w:rPr>
      </w:pPr>
      <w:r>
        <w:rPr>
          <w:rStyle w:val="Emphasis"/>
        </w:rPr>
        <w:t xml:space="preserve">Clinical criteria: Patient must have been stabilised on a combination of a long acting muscarinic antagonist and long acting beta-2 agonist. </w:t>
      </w:r>
    </w:p>
    <w:p w:rsidR="006E4F0D" w:rsidRPr="006E4F0D" w:rsidRDefault="006E4F0D" w:rsidP="006E4F0D">
      <w:pPr>
        <w:rPr>
          <w:u w:val="single"/>
        </w:rPr>
      </w:pPr>
      <w:r w:rsidRPr="006E4F0D">
        <w:rPr>
          <w:u w:val="single"/>
        </w:rPr>
        <w:t>Rationale</w:t>
      </w:r>
    </w:p>
    <w:p w:rsidR="006E4F0D" w:rsidRDefault="006E4F0D" w:rsidP="00E55643">
      <w:pPr>
        <w:pStyle w:val="Bullettext"/>
        <w:ind w:left="357" w:hanging="357"/>
      </w:pPr>
      <w:r>
        <w:t>The current restriction does not align with clinical guidelines, which state that combined therapy with LAMA/LABA should be available to patients who remain symptomatic despite treatment with a LAMA or LABA alone.</w:t>
      </w:r>
    </w:p>
    <w:p w:rsidR="006E4F0D" w:rsidRDefault="006E4F0D" w:rsidP="006E4F0D">
      <w:pPr>
        <w:pStyle w:val="Bullettext"/>
      </w:pPr>
      <w:r>
        <w:t>The current requirement increases cost and confusion for consumers, who have to familiarise themselves with an additional device and medicine.</w:t>
      </w:r>
    </w:p>
    <w:p w:rsidR="006E4F0D" w:rsidRDefault="006E4F0D" w:rsidP="006E4F0D">
      <w:pPr>
        <w:pStyle w:val="Bullettext"/>
      </w:pPr>
      <w:r>
        <w:lastRenderedPageBreak/>
        <w:t xml:space="preserve">The current process may also be confusing for clinicians and lead to unnecessary consultations. </w:t>
      </w:r>
      <w:r w:rsidR="00BA0653">
        <w:t xml:space="preserve"> </w:t>
      </w:r>
      <w:r>
        <w:t xml:space="preserve">Following the change, clinicians could initiate a patient on LAMA monotherapy with the expectation of prescribing that same LAMA as part of a LAMA/LABA FDC at a later stage, without the current need to introduce (and then possibly discontinue) </w:t>
      </w:r>
      <w:proofErr w:type="spellStart"/>
      <w:r>
        <w:t>indacaterol</w:t>
      </w:r>
      <w:proofErr w:type="spellEnd"/>
      <w:r>
        <w:t xml:space="preserve"> as an intermediate step.</w:t>
      </w:r>
    </w:p>
    <w:p w:rsidR="00A37D5C" w:rsidRPr="00A37D5C" w:rsidRDefault="006A24BB" w:rsidP="00A37D5C">
      <w:pPr>
        <w:pStyle w:val="Bullettext"/>
        <w:numPr>
          <w:ilvl w:val="0"/>
          <w:numId w:val="0"/>
        </w:numPr>
        <w:rPr>
          <w:u w:val="single"/>
        </w:rPr>
      </w:pPr>
      <w:r>
        <w:rPr>
          <w:u w:val="single"/>
        </w:rPr>
        <w:t>Suggested</w:t>
      </w:r>
      <w:r w:rsidR="00A7602F">
        <w:rPr>
          <w:u w:val="single"/>
        </w:rPr>
        <w:t xml:space="preserve"> LABA/LAMA PBS</w:t>
      </w:r>
      <w:r>
        <w:rPr>
          <w:u w:val="single"/>
        </w:rPr>
        <w:t xml:space="preserve"> restriction</w:t>
      </w:r>
    </w:p>
    <w:p w:rsidR="00A37D5C" w:rsidRDefault="00A37D5C" w:rsidP="00E55643">
      <w:pPr>
        <w:pStyle w:val="Bullettext"/>
        <w:ind w:left="357" w:hanging="357"/>
        <w:contextualSpacing w:val="0"/>
      </w:pPr>
      <w:r>
        <w:rPr>
          <w:rStyle w:val="Emphasis"/>
        </w:rPr>
        <w:t>Clinical criteria: Patient symptoms must be inadequately controlled by treatment with either a long acting muscarinic antagonist or long acting beta-2 agonist.</w:t>
      </w:r>
    </w:p>
    <w:p w:rsidR="00C9630C" w:rsidRPr="006A24BB" w:rsidRDefault="00C9630C" w:rsidP="006A24BB">
      <w:pPr>
        <w:pStyle w:val="BodyTextnospacebefore"/>
        <w:spacing w:before="120"/>
        <w:rPr>
          <w:u w:val="single"/>
        </w:rPr>
      </w:pPr>
      <w:r w:rsidRPr="006A24BB">
        <w:rPr>
          <w:u w:val="single"/>
        </w:rPr>
        <w:t>S</w:t>
      </w:r>
      <w:r w:rsidR="00EB29D4" w:rsidRPr="006A24BB">
        <w:rPr>
          <w:u w:val="single"/>
        </w:rPr>
        <w:t xml:space="preserve">takeholder </w:t>
      </w:r>
      <w:r w:rsidR="006A24BB">
        <w:rPr>
          <w:u w:val="single"/>
        </w:rPr>
        <w:t>v</w:t>
      </w:r>
      <w:r w:rsidR="00E55CBB" w:rsidRPr="006A24BB">
        <w:rPr>
          <w:u w:val="single"/>
        </w:rPr>
        <w:t>iews</w:t>
      </w:r>
    </w:p>
    <w:p w:rsidR="00DE68F9" w:rsidRDefault="00C9229B" w:rsidP="00DE68F9">
      <w:pPr>
        <w:pStyle w:val="Bullettext"/>
      </w:pPr>
      <w:r w:rsidRPr="00C9229B">
        <w:t xml:space="preserve">Stakeholders </w:t>
      </w:r>
      <w:r w:rsidR="00DE68F9">
        <w:t>were generally supportive of this</w:t>
      </w:r>
      <w:r w:rsidRPr="00C9229B">
        <w:t xml:space="preserve"> change. </w:t>
      </w:r>
    </w:p>
    <w:p w:rsidR="00C9229B" w:rsidRDefault="006A24BB" w:rsidP="009E646B">
      <w:pPr>
        <w:pStyle w:val="Bullettext"/>
        <w:spacing w:after="120"/>
      </w:pPr>
      <w:r>
        <w:t xml:space="preserve">QUM </w:t>
      </w:r>
      <w:r w:rsidR="00C9229B">
        <w:t>concern</w:t>
      </w:r>
      <w:r>
        <w:t>s</w:t>
      </w:r>
      <w:r w:rsidR="00C9229B">
        <w:t xml:space="preserve"> regarding</w:t>
      </w:r>
      <w:r w:rsidR="00593EE5">
        <w:t xml:space="preserve"> the current PBS criteria</w:t>
      </w:r>
      <w:r>
        <w:t xml:space="preserve"> included: i</w:t>
      </w:r>
      <w:r w:rsidR="00C9229B">
        <w:t>nconsistency with clinical guidelines,</w:t>
      </w:r>
      <w:r>
        <w:t xml:space="preserve"> d</w:t>
      </w:r>
      <w:r w:rsidR="000F026D">
        <w:t xml:space="preserve">elays in optimal treatment, </w:t>
      </w:r>
      <w:r>
        <w:t>p</w:t>
      </w:r>
      <w:r w:rsidR="000F026D">
        <w:t xml:space="preserve">rescriber and patient confusion from </w:t>
      </w:r>
      <w:r>
        <w:t>therapy changes</w:t>
      </w:r>
      <w:r w:rsidR="00593EE5">
        <w:t>,</w:t>
      </w:r>
      <w:r>
        <w:t xml:space="preserve"> and challenges for patients with poor vision or manual dexterity in using the only available LABA</w:t>
      </w:r>
      <w:r w:rsidR="00C9229B">
        <w:t xml:space="preserve"> monotherapy </w:t>
      </w:r>
      <w:r>
        <w:t>on the PBS</w:t>
      </w:r>
      <w:r w:rsidR="00593EE5">
        <w:t>.</w:t>
      </w:r>
    </w:p>
    <w:p w:rsidR="009E646B" w:rsidRPr="009E646B" w:rsidRDefault="004B3268" w:rsidP="009E646B">
      <w:pPr>
        <w:rPr>
          <w:u w:val="single"/>
        </w:rPr>
      </w:pPr>
      <w:r>
        <w:rPr>
          <w:u w:val="single"/>
        </w:rPr>
        <w:t>RG</w:t>
      </w:r>
      <w:r w:rsidR="009E646B" w:rsidRPr="009E646B">
        <w:rPr>
          <w:u w:val="single"/>
        </w:rPr>
        <w:t xml:space="preserve"> comments</w:t>
      </w:r>
    </w:p>
    <w:p w:rsidR="009E646B" w:rsidRPr="009E646B" w:rsidRDefault="00601235" w:rsidP="009E646B">
      <w:pPr>
        <w:pStyle w:val="Bullettext"/>
        <w:rPr>
          <w:i/>
        </w:rPr>
      </w:pPr>
      <w:r>
        <w:t xml:space="preserve">The </w:t>
      </w:r>
      <w:r w:rsidR="004B3268">
        <w:t>RG</w:t>
      </w:r>
      <w:r>
        <w:t xml:space="preserve"> supported </w:t>
      </w:r>
      <w:r w:rsidR="002B4E90">
        <w:t xml:space="preserve">the removal of the current PBS requirement to stabilise patients on </w:t>
      </w:r>
      <w:r w:rsidR="00A7602F">
        <w:t>both</w:t>
      </w:r>
      <w:r w:rsidR="002B4E90">
        <w:t xml:space="preserve"> individual monotherapy inhalers before commencing FDC LAMA/LABA</w:t>
      </w:r>
      <w:r w:rsidR="00A7602F">
        <w:t xml:space="preserve">. </w:t>
      </w:r>
    </w:p>
    <w:p w:rsidR="008437AC" w:rsidRDefault="008437AC" w:rsidP="008437AC">
      <w:pPr>
        <w:pStyle w:val="Heading4"/>
      </w:pPr>
      <w:r>
        <w:t>Option 2</w:t>
      </w:r>
    </w:p>
    <w:p w:rsidR="008437AC" w:rsidRDefault="008437AC" w:rsidP="008437AC">
      <w:pPr>
        <w:keepNext/>
        <w:keepLines/>
        <w:rPr>
          <w:b/>
        </w:rPr>
      </w:pPr>
      <w:r>
        <w:rPr>
          <w:b/>
        </w:rPr>
        <w:t>Add a PBS note regarding potentially unsafe medicine combinations to all LAMA, LABA and ICS/LABA products on the PBS, based on the notes currently used for LAMA/LABA products.</w:t>
      </w:r>
    </w:p>
    <w:p w:rsidR="008437AC" w:rsidRDefault="008437AC" w:rsidP="008437AC">
      <w:r>
        <w:rPr>
          <w:u w:val="single"/>
        </w:rPr>
        <w:t>Current notes</w:t>
      </w:r>
    </w:p>
    <w:p w:rsidR="008437AC" w:rsidRPr="002F6331" w:rsidRDefault="008437AC" w:rsidP="008437AC">
      <w:pPr>
        <w:spacing w:line="300" w:lineRule="atLeast"/>
      </w:pPr>
      <w:r w:rsidRPr="002F6331">
        <w:t xml:space="preserve">LAMA/LABA FDCs: </w:t>
      </w:r>
    </w:p>
    <w:p w:rsidR="008437AC" w:rsidRDefault="008437AC" w:rsidP="001C3A23">
      <w:pPr>
        <w:spacing w:before="0"/>
        <w:rPr>
          <w:rFonts w:asciiTheme="majorHAnsi" w:hAnsiTheme="majorHAnsi"/>
          <w:i/>
          <w:lang w:eastAsia="en-AU"/>
        </w:rPr>
      </w:pPr>
      <w:r>
        <w:rPr>
          <w:i/>
          <w:lang w:eastAsia="en-AU"/>
        </w:rPr>
        <w:t xml:space="preserve">Note: </w:t>
      </w:r>
      <w:r>
        <w:rPr>
          <w:i/>
          <w:color w:val="222222"/>
          <w:lang w:eastAsia="en-AU"/>
        </w:rPr>
        <w:t xml:space="preserve">The treatment must not be used in combination with an ICS/LABA, or LAMA or LABA monotherapy. </w:t>
      </w:r>
    </w:p>
    <w:p w:rsidR="008437AC" w:rsidRDefault="008437AC" w:rsidP="001C3A23">
      <w:pPr>
        <w:spacing w:before="0"/>
        <w:rPr>
          <w:i/>
          <w:lang w:eastAsia="en-AU"/>
        </w:rPr>
      </w:pPr>
      <w:r>
        <w:rPr>
          <w:i/>
          <w:lang w:eastAsia="en-AU"/>
        </w:rPr>
        <w:t xml:space="preserve">Note: </w:t>
      </w:r>
      <w:r>
        <w:rPr>
          <w:i/>
          <w:color w:val="222222"/>
          <w:lang w:eastAsia="en-AU"/>
        </w:rPr>
        <w:t xml:space="preserve">A LAMA includes tiotropium, </w:t>
      </w:r>
      <w:proofErr w:type="spellStart"/>
      <w:r>
        <w:rPr>
          <w:i/>
          <w:color w:val="222222"/>
          <w:lang w:eastAsia="en-AU"/>
        </w:rPr>
        <w:t>glycopyrronium</w:t>
      </w:r>
      <w:proofErr w:type="spellEnd"/>
      <w:r>
        <w:rPr>
          <w:i/>
          <w:color w:val="222222"/>
          <w:lang w:eastAsia="en-AU"/>
        </w:rPr>
        <w:t xml:space="preserve">, </w:t>
      </w:r>
      <w:proofErr w:type="spellStart"/>
      <w:r>
        <w:rPr>
          <w:i/>
          <w:color w:val="222222"/>
          <w:lang w:eastAsia="en-AU"/>
        </w:rPr>
        <w:t>aclidinium</w:t>
      </w:r>
      <w:proofErr w:type="spellEnd"/>
      <w:r>
        <w:rPr>
          <w:i/>
          <w:color w:val="222222"/>
          <w:lang w:eastAsia="en-AU"/>
        </w:rPr>
        <w:t xml:space="preserve"> or </w:t>
      </w:r>
      <w:proofErr w:type="spellStart"/>
      <w:r>
        <w:rPr>
          <w:i/>
          <w:color w:val="222222"/>
          <w:lang w:eastAsia="en-AU"/>
        </w:rPr>
        <w:t>umeclidinium</w:t>
      </w:r>
      <w:proofErr w:type="spellEnd"/>
      <w:r>
        <w:rPr>
          <w:i/>
          <w:color w:val="222222"/>
          <w:lang w:eastAsia="en-AU"/>
        </w:rPr>
        <w:t>.</w:t>
      </w:r>
    </w:p>
    <w:p w:rsidR="008437AC" w:rsidRDefault="008437AC" w:rsidP="001C3A23">
      <w:pPr>
        <w:spacing w:before="0"/>
        <w:rPr>
          <w:i/>
          <w:color w:val="222222"/>
          <w:lang w:eastAsia="en-AU"/>
        </w:rPr>
      </w:pPr>
      <w:r>
        <w:rPr>
          <w:i/>
          <w:lang w:eastAsia="en-AU"/>
        </w:rPr>
        <w:t xml:space="preserve">Note: </w:t>
      </w:r>
      <w:r>
        <w:rPr>
          <w:i/>
          <w:color w:val="222222"/>
          <w:lang w:eastAsia="en-AU"/>
        </w:rPr>
        <w:t xml:space="preserve">A LABA includes </w:t>
      </w:r>
      <w:proofErr w:type="spellStart"/>
      <w:r>
        <w:rPr>
          <w:i/>
          <w:color w:val="222222"/>
          <w:lang w:eastAsia="en-AU"/>
        </w:rPr>
        <w:t>olodaterol</w:t>
      </w:r>
      <w:proofErr w:type="spellEnd"/>
      <w:r>
        <w:rPr>
          <w:i/>
          <w:color w:val="222222"/>
          <w:lang w:eastAsia="en-AU"/>
        </w:rPr>
        <w:t xml:space="preserve">, </w:t>
      </w:r>
      <w:proofErr w:type="spellStart"/>
      <w:r>
        <w:rPr>
          <w:i/>
          <w:color w:val="222222"/>
          <w:lang w:eastAsia="en-AU"/>
        </w:rPr>
        <w:t>indacaterol</w:t>
      </w:r>
      <w:proofErr w:type="spellEnd"/>
      <w:r>
        <w:rPr>
          <w:i/>
          <w:color w:val="222222"/>
          <w:lang w:eastAsia="en-AU"/>
        </w:rPr>
        <w:t xml:space="preserve">, salmeterol, </w:t>
      </w:r>
      <w:proofErr w:type="spellStart"/>
      <w:r>
        <w:rPr>
          <w:i/>
          <w:color w:val="222222"/>
          <w:lang w:eastAsia="en-AU"/>
        </w:rPr>
        <w:t>eformoterol</w:t>
      </w:r>
      <w:proofErr w:type="spellEnd"/>
      <w:r>
        <w:rPr>
          <w:i/>
          <w:color w:val="222222"/>
          <w:lang w:eastAsia="en-AU"/>
        </w:rPr>
        <w:t xml:space="preserve"> or </w:t>
      </w:r>
      <w:proofErr w:type="spellStart"/>
      <w:r>
        <w:rPr>
          <w:i/>
          <w:color w:val="222222"/>
          <w:lang w:eastAsia="en-AU"/>
        </w:rPr>
        <w:t>vilanterol</w:t>
      </w:r>
      <w:proofErr w:type="spellEnd"/>
      <w:r>
        <w:rPr>
          <w:i/>
          <w:color w:val="222222"/>
          <w:lang w:eastAsia="en-AU"/>
        </w:rPr>
        <w:t>.</w:t>
      </w:r>
    </w:p>
    <w:p w:rsidR="001C3A23" w:rsidRDefault="001C3A23" w:rsidP="001C3A23">
      <w:pPr>
        <w:keepNext/>
        <w:keepLines/>
        <w:rPr>
          <w:color w:val="222222"/>
          <w:lang w:eastAsia="en-AU"/>
        </w:rPr>
      </w:pPr>
      <w:r>
        <w:rPr>
          <w:color w:val="222222"/>
          <w:lang w:eastAsia="en-AU"/>
        </w:rPr>
        <w:t>ICS/LABA FDCs:</w:t>
      </w:r>
    </w:p>
    <w:p w:rsidR="001C3A23" w:rsidRDefault="001C3A23" w:rsidP="001C3A23">
      <w:pPr>
        <w:keepNext/>
        <w:keepLines/>
        <w:spacing w:before="0"/>
        <w:rPr>
          <w:i/>
          <w:lang w:eastAsia="en-AU"/>
        </w:rPr>
      </w:pPr>
      <w:r>
        <w:rPr>
          <w:i/>
          <w:lang w:eastAsia="en-AU"/>
        </w:rPr>
        <w:t xml:space="preserve">Note: </w:t>
      </w:r>
      <w:r>
        <w:rPr>
          <w:i/>
          <w:color w:val="222222"/>
          <w:lang w:eastAsia="en-AU"/>
        </w:rPr>
        <w:t>Patient must not be on a concomitant single agent long-acting beta-2 agonist.</w:t>
      </w:r>
    </w:p>
    <w:p w:rsidR="001C3A23" w:rsidRPr="002F6331" w:rsidRDefault="001C3A23" w:rsidP="001C3A23">
      <w:pPr>
        <w:rPr>
          <w:color w:val="222222"/>
          <w:lang w:eastAsia="en-AU"/>
        </w:rPr>
      </w:pPr>
      <w:r w:rsidRPr="002F6331">
        <w:rPr>
          <w:color w:val="222222"/>
          <w:lang w:eastAsia="en-AU"/>
        </w:rPr>
        <w:t>LAMA and LABA monotherapy products: Nil notes.</w:t>
      </w:r>
    </w:p>
    <w:p w:rsidR="00A37D5C" w:rsidRPr="006E4F0D" w:rsidRDefault="00DE68F9" w:rsidP="001C3A23">
      <w:pPr>
        <w:keepNext/>
        <w:keepLines/>
        <w:rPr>
          <w:u w:val="single"/>
        </w:rPr>
      </w:pPr>
      <w:r>
        <w:rPr>
          <w:u w:val="single"/>
        </w:rPr>
        <w:t>Rationale</w:t>
      </w:r>
    </w:p>
    <w:p w:rsidR="00A37D5C" w:rsidRPr="006E4F0D" w:rsidRDefault="00A37D5C" w:rsidP="001C3A23">
      <w:pPr>
        <w:pStyle w:val="Bullettext"/>
        <w:keepNext/>
        <w:keepLines/>
        <w:rPr>
          <w:rFonts w:ascii="Times New Roman" w:hAnsi="Times New Roman"/>
        </w:rPr>
      </w:pPr>
      <w:r w:rsidRPr="006E4F0D">
        <w:t xml:space="preserve">The Review found that a small proportion of COPD patients are using potentially unsafe combinations, and </w:t>
      </w:r>
      <w:r w:rsidRPr="0053025E">
        <w:t>highlighted</w:t>
      </w:r>
      <w:r w:rsidRPr="006E4F0D">
        <w:t xml:space="preserve"> that consistent advice is not provided across PBS products. </w:t>
      </w:r>
    </w:p>
    <w:p w:rsidR="00A37D5C" w:rsidRPr="006E4F0D" w:rsidRDefault="00A37D5C">
      <w:pPr>
        <w:pStyle w:val="Bullettext"/>
      </w:pPr>
      <w:r w:rsidRPr="006E4F0D">
        <w:t xml:space="preserve">Stakeholders considered that prescribing of unsafe combinations by the clinician or inadvertent polypharmacy is occurring due to a lack of understanding on behalf of the clinician or patient. </w:t>
      </w:r>
      <w:r w:rsidR="0053025E">
        <w:t xml:space="preserve"> </w:t>
      </w:r>
      <w:r w:rsidRPr="0053025E">
        <w:t>Various</w:t>
      </w:r>
      <w:r w:rsidRPr="006E4F0D">
        <w:t xml:space="preserve"> trade names of respiratory inhaler products may be a point of confusion and the active ingredients may not be well understood.</w:t>
      </w:r>
    </w:p>
    <w:p w:rsidR="006E4F0D" w:rsidRPr="00F84A52" w:rsidRDefault="006E4F0D" w:rsidP="00283E41">
      <w:pPr>
        <w:keepNext/>
        <w:keepLines/>
      </w:pPr>
      <w:r w:rsidRPr="00F84A52">
        <w:rPr>
          <w:u w:val="single"/>
        </w:rPr>
        <w:lastRenderedPageBreak/>
        <w:t>Suggested notes</w:t>
      </w:r>
    </w:p>
    <w:p w:rsidR="001C3A23" w:rsidRPr="002F6331" w:rsidRDefault="001C3A23" w:rsidP="00283E41">
      <w:pPr>
        <w:keepNext/>
        <w:keepLines/>
      </w:pPr>
      <w:r w:rsidRPr="002F6331">
        <w:t>ICS/LABA FDCs:</w:t>
      </w:r>
    </w:p>
    <w:p w:rsidR="001C3A23" w:rsidRPr="00F84A52" w:rsidRDefault="001C3A23" w:rsidP="00283E41">
      <w:pPr>
        <w:keepNext/>
        <w:keepLines/>
        <w:spacing w:before="0"/>
        <w:rPr>
          <w:i/>
          <w:lang w:eastAsia="en-AU"/>
        </w:rPr>
      </w:pPr>
      <w:r w:rsidRPr="00F84A52">
        <w:rPr>
          <w:i/>
          <w:lang w:eastAsia="en-AU"/>
        </w:rPr>
        <w:t xml:space="preserve">Note: </w:t>
      </w:r>
      <w:r w:rsidRPr="00F84A52">
        <w:rPr>
          <w:i/>
          <w:color w:val="222222"/>
          <w:lang w:eastAsia="en-AU"/>
        </w:rPr>
        <w:t>The treatment must not be used in combination with LABA monotherapy</w:t>
      </w:r>
      <w:r w:rsidR="00DE68F9" w:rsidRPr="00F84A52">
        <w:rPr>
          <w:i/>
          <w:color w:val="222222"/>
          <w:lang w:eastAsia="en-AU"/>
        </w:rPr>
        <w:t xml:space="preserve"> or LAMA/LABA combination therapy</w:t>
      </w:r>
      <w:r w:rsidRPr="00F84A52">
        <w:rPr>
          <w:i/>
          <w:color w:val="222222"/>
          <w:lang w:eastAsia="en-AU"/>
        </w:rPr>
        <w:t xml:space="preserve">. </w:t>
      </w:r>
    </w:p>
    <w:p w:rsidR="001C3A23" w:rsidRPr="00F84A52" w:rsidRDefault="001C3A23" w:rsidP="001C3A23">
      <w:pPr>
        <w:spacing w:before="0"/>
        <w:rPr>
          <w:i/>
          <w:color w:val="222222"/>
          <w:lang w:eastAsia="en-AU"/>
        </w:rPr>
      </w:pPr>
      <w:r w:rsidRPr="00F84A52">
        <w:rPr>
          <w:i/>
          <w:lang w:eastAsia="en-AU"/>
        </w:rPr>
        <w:t xml:space="preserve">Note: </w:t>
      </w:r>
      <w:r w:rsidRPr="00F84A52">
        <w:rPr>
          <w:i/>
          <w:color w:val="222222"/>
          <w:lang w:eastAsia="en-AU"/>
        </w:rPr>
        <w:t xml:space="preserve">A LABA includes </w:t>
      </w:r>
      <w:proofErr w:type="spellStart"/>
      <w:r w:rsidRPr="00F84A52">
        <w:rPr>
          <w:i/>
          <w:color w:val="222222"/>
          <w:lang w:eastAsia="en-AU"/>
        </w:rPr>
        <w:t>olodaterol</w:t>
      </w:r>
      <w:proofErr w:type="spellEnd"/>
      <w:r w:rsidRPr="00F84A52">
        <w:rPr>
          <w:i/>
          <w:color w:val="222222"/>
          <w:lang w:eastAsia="en-AU"/>
        </w:rPr>
        <w:t xml:space="preserve">, </w:t>
      </w:r>
      <w:proofErr w:type="spellStart"/>
      <w:r w:rsidRPr="00F84A52">
        <w:rPr>
          <w:i/>
          <w:color w:val="222222"/>
          <w:lang w:eastAsia="en-AU"/>
        </w:rPr>
        <w:t>indacaterol</w:t>
      </w:r>
      <w:proofErr w:type="spellEnd"/>
      <w:r w:rsidRPr="00F84A52">
        <w:rPr>
          <w:i/>
          <w:color w:val="222222"/>
          <w:lang w:eastAsia="en-AU"/>
        </w:rPr>
        <w:t xml:space="preserve">, salmeterol, </w:t>
      </w:r>
      <w:proofErr w:type="spellStart"/>
      <w:r w:rsidRPr="00F84A52">
        <w:rPr>
          <w:i/>
          <w:color w:val="222222"/>
          <w:lang w:eastAsia="en-AU"/>
        </w:rPr>
        <w:t>eformoterol</w:t>
      </w:r>
      <w:proofErr w:type="spellEnd"/>
      <w:r w:rsidRPr="00F84A52">
        <w:rPr>
          <w:i/>
          <w:color w:val="222222"/>
          <w:lang w:eastAsia="en-AU"/>
        </w:rPr>
        <w:t xml:space="preserve"> or </w:t>
      </w:r>
      <w:proofErr w:type="spellStart"/>
      <w:r w:rsidRPr="00F84A52">
        <w:rPr>
          <w:i/>
          <w:color w:val="222222"/>
          <w:lang w:eastAsia="en-AU"/>
        </w:rPr>
        <w:t>vilanterol</w:t>
      </w:r>
      <w:proofErr w:type="spellEnd"/>
      <w:r w:rsidRPr="00F84A52">
        <w:rPr>
          <w:i/>
          <w:color w:val="222222"/>
          <w:lang w:eastAsia="en-AU"/>
        </w:rPr>
        <w:t>.</w:t>
      </w:r>
    </w:p>
    <w:p w:rsidR="00DE68F9" w:rsidRPr="00F84A52" w:rsidRDefault="00DE68F9" w:rsidP="00DE68F9">
      <w:pPr>
        <w:spacing w:before="0"/>
        <w:rPr>
          <w:i/>
          <w:lang w:eastAsia="en-AU"/>
        </w:rPr>
      </w:pPr>
      <w:r w:rsidRPr="00F84A52">
        <w:rPr>
          <w:i/>
          <w:lang w:eastAsia="en-AU"/>
        </w:rPr>
        <w:t xml:space="preserve">Note: </w:t>
      </w:r>
      <w:r w:rsidRPr="00F84A52">
        <w:rPr>
          <w:i/>
          <w:color w:val="222222"/>
          <w:lang w:eastAsia="en-AU"/>
        </w:rPr>
        <w:t xml:space="preserve">A LAMA/LABA includes </w:t>
      </w:r>
      <w:proofErr w:type="spellStart"/>
      <w:r w:rsidRPr="00F84A52">
        <w:rPr>
          <w:i/>
          <w:color w:val="222222"/>
          <w:lang w:eastAsia="en-AU"/>
        </w:rPr>
        <w:t>aclidinium</w:t>
      </w:r>
      <w:proofErr w:type="spellEnd"/>
      <w:r w:rsidRPr="00F84A52">
        <w:rPr>
          <w:i/>
          <w:color w:val="222222"/>
          <w:lang w:eastAsia="en-AU"/>
        </w:rPr>
        <w:t>/</w:t>
      </w:r>
      <w:proofErr w:type="spellStart"/>
      <w:r w:rsidRPr="00F84A52">
        <w:rPr>
          <w:i/>
          <w:color w:val="222222"/>
          <w:lang w:eastAsia="en-AU"/>
        </w:rPr>
        <w:t>eformoterol</w:t>
      </w:r>
      <w:proofErr w:type="spellEnd"/>
      <w:r w:rsidRPr="00F84A52">
        <w:rPr>
          <w:i/>
          <w:color w:val="222222"/>
          <w:lang w:eastAsia="en-AU"/>
        </w:rPr>
        <w:t xml:space="preserve">, </w:t>
      </w:r>
      <w:proofErr w:type="spellStart"/>
      <w:r w:rsidRPr="00F84A52">
        <w:rPr>
          <w:i/>
          <w:color w:val="222222"/>
          <w:lang w:eastAsia="en-AU"/>
        </w:rPr>
        <w:t>glycopyrronium</w:t>
      </w:r>
      <w:proofErr w:type="spellEnd"/>
      <w:r w:rsidRPr="00F84A52">
        <w:rPr>
          <w:i/>
          <w:color w:val="222222"/>
          <w:lang w:eastAsia="en-AU"/>
        </w:rPr>
        <w:t>/</w:t>
      </w:r>
      <w:proofErr w:type="spellStart"/>
      <w:r w:rsidRPr="00F84A52">
        <w:rPr>
          <w:i/>
          <w:color w:val="222222"/>
          <w:lang w:eastAsia="en-AU"/>
        </w:rPr>
        <w:t>indacaterol</w:t>
      </w:r>
      <w:proofErr w:type="spellEnd"/>
      <w:r w:rsidRPr="00F84A52">
        <w:rPr>
          <w:i/>
          <w:color w:val="222222"/>
          <w:lang w:eastAsia="en-AU"/>
        </w:rPr>
        <w:t>, tiotropium/</w:t>
      </w:r>
      <w:proofErr w:type="spellStart"/>
      <w:r w:rsidRPr="00F84A52">
        <w:rPr>
          <w:i/>
          <w:color w:val="222222"/>
          <w:lang w:eastAsia="en-AU"/>
        </w:rPr>
        <w:t>olodaterol</w:t>
      </w:r>
      <w:proofErr w:type="spellEnd"/>
      <w:r w:rsidRPr="00F84A52">
        <w:rPr>
          <w:i/>
          <w:color w:val="222222"/>
          <w:lang w:eastAsia="en-AU"/>
        </w:rPr>
        <w:t xml:space="preserve">, or </w:t>
      </w:r>
      <w:proofErr w:type="spellStart"/>
      <w:r w:rsidRPr="00F84A52">
        <w:rPr>
          <w:i/>
          <w:color w:val="222222"/>
          <w:lang w:eastAsia="en-AU"/>
        </w:rPr>
        <w:t>umeclidinium</w:t>
      </w:r>
      <w:proofErr w:type="spellEnd"/>
      <w:r w:rsidRPr="00F84A52">
        <w:rPr>
          <w:i/>
          <w:color w:val="222222"/>
          <w:lang w:eastAsia="en-AU"/>
        </w:rPr>
        <w:t>/</w:t>
      </w:r>
      <w:proofErr w:type="spellStart"/>
      <w:r w:rsidRPr="00F84A52">
        <w:rPr>
          <w:i/>
          <w:color w:val="222222"/>
          <w:lang w:eastAsia="en-AU"/>
        </w:rPr>
        <w:t>vilanterol</w:t>
      </w:r>
      <w:proofErr w:type="spellEnd"/>
      <w:r w:rsidRPr="00F84A52">
        <w:rPr>
          <w:i/>
          <w:color w:val="222222"/>
          <w:lang w:eastAsia="en-AU"/>
        </w:rPr>
        <w:t>.</w:t>
      </w:r>
    </w:p>
    <w:p w:rsidR="008437AC" w:rsidRPr="002F6331" w:rsidRDefault="008437AC" w:rsidP="008437AC">
      <w:pPr>
        <w:spacing w:line="300" w:lineRule="atLeast"/>
      </w:pPr>
      <w:r w:rsidRPr="002F6331">
        <w:t xml:space="preserve">LAMA/LABA FDCs: </w:t>
      </w:r>
    </w:p>
    <w:p w:rsidR="008437AC" w:rsidRPr="002F6331" w:rsidRDefault="008437AC" w:rsidP="001C3A23">
      <w:pPr>
        <w:spacing w:before="0"/>
        <w:rPr>
          <w:rFonts w:asciiTheme="majorHAnsi" w:hAnsiTheme="majorHAnsi"/>
          <w:i/>
          <w:lang w:eastAsia="en-AU"/>
        </w:rPr>
      </w:pPr>
      <w:r w:rsidRPr="00F84A52">
        <w:rPr>
          <w:i/>
          <w:lang w:eastAsia="en-AU"/>
        </w:rPr>
        <w:t xml:space="preserve">Note: </w:t>
      </w:r>
      <w:r w:rsidRPr="00F84A52">
        <w:rPr>
          <w:i/>
          <w:color w:val="222222"/>
          <w:lang w:eastAsia="en-AU"/>
        </w:rPr>
        <w:t xml:space="preserve">The treatment must not be used in combination with an ICS/LABA, LAMA, LABA, or SAMA. </w:t>
      </w:r>
    </w:p>
    <w:p w:rsidR="008437AC" w:rsidRPr="00F84A52" w:rsidRDefault="008437AC" w:rsidP="001C3A23">
      <w:pPr>
        <w:spacing w:before="0"/>
        <w:rPr>
          <w:i/>
          <w:lang w:eastAsia="en-AU"/>
        </w:rPr>
      </w:pPr>
      <w:r w:rsidRPr="00F84A52">
        <w:rPr>
          <w:i/>
          <w:lang w:eastAsia="en-AU"/>
        </w:rPr>
        <w:t xml:space="preserve">Note: </w:t>
      </w:r>
      <w:r w:rsidRPr="00F84A52">
        <w:rPr>
          <w:i/>
          <w:color w:val="222222"/>
          <w:lang w:eastAsia="en-AU"/>
        </w:rPr>
        <w:t xml:space="preserve">A LAMA includes tiotropium, </w:t>
      </w:r>
      <w:proofErr w:type="spellStart"/>
      <w:r w:rsidRPr="00F84A52">
        <w:rPr>
          <w:i/>
          <w:color w:val="222222"/>
          <w:lang w:eastAsia="en-AU"/>
        </w:rPr>
        <w:t>glycopyrronium</w:t>
      </w:r>
      <w:proofErr w:type="spellEnd"/>
      <w:r w:rsidRPr="00F84A52">
        <w:rPr>
          <w:i/>
          <w:color w:val="222222"/>
          <w:lang w:eastAsia="en-AU"/>
        </w:rPr>
        <w:t xml:space="preserve">, </w:t>
      </w:r>
      <w:proofErr w:type="spellStart"/>
      <w:r w:rsidRPr="00F84A52">
        <w:rPr>
          <w:i/>
          <w:color w:val="222222"/>
          <w:lang w:eastAsia="en-AU"/>
        </w:rPr>
        <w:t>aclidinium</w:t>
      </w:r>
      <w:proofErr w:type="spellEnd"/>
      <w:r w:rsidRPr="00F84A52">
        <w:rPr>
          <w:i/>
          <w:color w:val="222222"/>
          <w:lang w:eastAsia="en-AU"/>
        </w:rPr>
        <w:t xml:space="preserve"> or </w:t>
      </w:r>
      <w:proofErr w:type="spellStart"/>
      <w:r w:rsidRPr="00F84A52">
        <w:rPr>
          <w:i/>
          <w:color w:val="222222"/>
          <w:lang w:eastAsia="en-AU"/>
        </w:rPr>
        <w:t>umeclidinium</w:t>
      </w:r>
      <w:proofErr w:type="spellEnd"/>
      <w:r w:rsidRPr="00F84A52">
        <w:rPr>
          <w:i/>
          <w:color w:val="222222"/>
          <w:lang w:eastAsia="en-AU"/>
        </w:rPr>
        <w:t>.</w:t>
      </w:r>
    </w:p>
    <w:p w:rsidR="008437AC" w:rsidRPr="00F84A52" w:rsidRDefault="008437AC" w:rsidP="001C3A23">
      <w:pPr>
        <w:spacing w:before="0"/>
        <w:rPr>
          <w:i/>
          <w:color w:val="222222"/>
          <w:lang w:eastAsia="en-AU"/>
        </w:rPr>
      </w:pPr>
      <w:r w:rsidRPr="00F84A52">
        <w:rPr>
          <w:i/>
          <w:lang w:eastAsia="en-AU"/>
        </w:rPr>
        <w:t xml:space="preserve">Note: </w:t>
      </w:r>
      <w:r w:rsidRPr="00F84A52">
        <w:rPr>
          <w:i/>
          <w:color w:val="222222"/>
          <w:lang w:eastAsia="en-AU"/>
        </w:rPr>
        <w:t xml:space="preserve">A LABA includes </w:t>
      </w:r>
      <w:proofErr w:type="spellStart"/>
      <w:r w:rsidRPr="00F84A52">
        <w:rPr>
          <w:i/>
          <w:color w:val="222222"/>
          <w:lang w:eastAsia="en-AU"/>
        </w:rPr>
        <w:t>olodaterol</w:t>
      </w:r>
      <w:proofErr w:type="spellEnd"/>
      <w:r w:rsidRPr="00F84A52">
        <w:rPr>
          <w:i/>
          <w:color w:val="222222"/>
          <w:lang w:eastAsia="en-AU"/>
        </w:rPr>
        <w:t xml:space="preserve">, </w:t>
      </w:r>
      <w:proofErr w:type="spellStart"/>
      <w:r w:rsidRPr="00F84A52">
        <w:rPr>
          <w:i/>
          <w:color w:val="222222"/>
          <w:lang w:eastAsia="en-AU"/>
        </w:rPr>
        <w:t>indacaterol</w:t>
      </w:r>
      <w:proofErr w:type="spellEnd"/>
      <w:r w:rsidRPr="00F84A52">
        <w:rPr>
          <w:i/>
          <w:color w:val="222222"/>
          <w:lang w:eastAsia="en-AU"/>
        </w:rPr>
        <w:t xml:space="preserve">, salmeterol, </w:t>
      </w:r>
      <w:proofErr w:type="spellStart"/>
      <w:r w:rsidRPr="00F84A52">
        <w:rPr>
          <w:i/>
          <w:color w:val="222222"/>
          <w:lang w:eastAsia="en-AU"/>
        </w:rPr>
        <w:t>eformoterol</w:t>
      </w:r>
      <w:proofErr w:type="spellEnd"/>
      <w:r w:rsidRPr="00F84A52">
        <w:rPr>
          <w:i/>
          <w:color w:val="222222"/>
          <w:lang w:eastAsia="en-AU"/>
        </w:rPr>
        <w:t xml:space="preserve"> or </w:t>
      </w:r>
      <w:proofErr w:type="spellStart"/>
      <w:r w:rsidRPr="00F84A52">
        <w:rPr>
          <w:i/>
          <w:color w:val="222222"/>
          <w:lang w:eastAsia="en-AU"/>
        </w:rPr>
        <w:t>vilanterol</w:t>
      </w:r>
      <w:proofErr w:type="spellEnd"/>
      <w:r w:rsidRPr="00F84A52">
        <w:rPr>
          <w:i/>
          <w:color w:val="222222"/>
          <w:lang w:eastAsia="en-AU"/>
        </w:rPr>
        <w:t>.</w:t>
      </w:r>
    </w:p>
    <w:p w:rsidR="008437AC" w:rsidRPr="00F84A52" w:rsidRDefault="008437AC" w:rsidP="001C3A23">
      <w:pPr>
        <w:spacing w:before="0"/>
        <w:rPr>
          <w:i/>
          <w:color w:val="222222"/>
          <w:lang w:eastAsia="en-AU"/>
        </w:rPr>
      </w:pPr>
      <w:r w:rsidRPr="00F84A52">
        <w:rPr>
          <w:i/>
          <w:color w:val="222222"/>
          <w:lang w:eastAsia="en-AU"/>
        </w:rPr>
        <w:t>Note: A SAMA includes ipratropium.</w:t>
      </w:r>
    </w:p>
    <w:p w:rsidR="008437AC" w:rsidRPr="002F6331" w:rsidRDefault="008437AC" w:rsidP="008437AC">
      <w:r w:rsidRPr="002F6331">
        <w:t>LAMA:</w:t>
      </w:r>
    </w:p>
    <w:p w:rsidR="008437AC" w:rsidRPr="002F6331" w:rsidRDefault="008437AC" w:rsidP="001C3A23">
      <w:pPr>
        <w:spacing w:before="0"/>
        <w:rPr>
          <w:i/>
          <w:lang w:eastAsia="en-AU"/>
        </w:rPr>
      </w:pPr>
      <w:r w:rsidRPr="00F84A52">
        <w:rPr>
          <w:i/>
          <w:lang w:eastAsia="en-AU"/>
        </w:rPr>
        <w:t xml:space="preserve">Note: </w:t>
      </w:r>
      <w:r w:rsidRPr="00F84A52">
        <w:rPr>
          <w:i/>
          <w:color w:val="222222"/>
          <w:lang w:eastAsia="en-AU"/>
        </w:rPr>
        <w:t xml:space="preserve">The treatment must not be used in combination with </w:t>
      </w:r>
      <w:r w:rsidR="002F6331">
        <w:rPr>
          <w:i/>
          <w:color w:val="222222"/>
          <w:lang w:eastAsia="en-AU"/>
        </w:rPr>
        <w:t xml:space="preserve">a </w:t>
      </w:r>
      <w:r w:rsidRPr="00F84A52">
        <w:rPr>
          <w:i/>
          <w:color w:val="222222"/>
          <w:lang w:eastAsia="en-AU"/>
        </w:rPr>
        <w:t xml:space="preserve">LAMA/LABA, or SAMA. </w:t>
      </w:r>
    </w:p>
    <w:p w:rsidR="008437AC" w:rsidRPr="00F84A52" w:rsidRDefault="008437AC" w:rsidP="001C3A23">
      <w:pPr>
        <w:spacing w:before="0"/>
        <w:rPr>
          <w:i/>
          <w:color w:val="222222"/>
          <w:lang w:eastAsia="en-AU"/>
        </w:rPr>
      </w:pPr>
      <w:r w:rsidRPr="00F84A52">
        <w:rPr>
          <w:i/>
          <w:lang w:eastAsia="en-AU"/>
        </w:rPr>
        <w:t xml:space="preserve">Note: </w:t>
      </w:r>
      <w:r w:rsidRPr="00F84A52">
        <w:rPr>
          <w:i/>
          <w:color w:val="222222"/>
          <w:lang w:eastAsia="en-AU"/>
        </w:rPr>
        <w:t xml:space="preserve">A LAMA/LABA includes </w:t>
      </w:r>
      <w:proofErr w:type="spellStart"/>
      <w:r w:rsidRPr="00F84A52">
        <w:rPr>
          <w:i/>
          <w:color w:val="222222"/>
          <w:lang w:eastAsia="en-AU"/>
        </w:rPr>
        <w:t>aclidinium</w:t>
      </w:r>
      <w:proofErr w:type="spellEnd"/>
      <w:r w:rsidRPr="00F84A52">
        <w:rPr>
          <w:i/>
          <w:color w:val="222222"/>
          <w:lang w:eastAsia="en-AU"/>
        </w:rPr>
        <w:t>/</w:t>
      </w:r>
      <w:proofErr w:type="spellStart"/>
      <w:r w:rsidRPr="00F84A52">
        <w:rPr>
          <w:i/>
          <w:color w:val="222222"/>
          <w:lang w:eastAsia="en-AU"/>
        </w:rPr>
        <w:t>eformoterol</w:t>
      </w:r>
      <w:proofErr w:type="spellEnd"/>
      <w:r w:rsidRPr="00F84A52">
        <w:rPr>
          <w:i/>
          <w:color w:val="222222"/>
          <w:lang w:eastAsia="en-AU"/>
        </w:rPr>
        <w:t xml:space="preserve">, </w:t>
      </w:r>
      <w:proofErr w:type="spellStart"/>
      <w:r w:rsidRPr="00F84A52">
        <w:rPr>
          <w:i/>
          <w:color w:val="222222"/>
          <w:lang w:eastAsia="en-AU"/>
        </w:rPr>
        <w:t>glycopyrronium</w:t>
      </w:r>
      <w:proofErr w:type="spellEnd"/>
      <w:r w:rsidRPr="00F84A52">
        <w:rPr>
          <w:i/>
          <w:color w:val="222222"/>
          <w:lang w:eastAsia="en-AU"/>
        </w:rPr>
        <w:t>/</w:t>
      </w:r>
      <w:proofErr w:type="spellStart"/>
      <w:r w:rsidRPr="00F84A52">
        <w:rPr>
          <w:i/>
          <w:color w:val="222222"/>
          <w:lang w:eastAsia="en-AU"/>
        </w:rPr>
        <w:t>indacaterol</w:t>
      </w:r>
      <w:proofErr w:type="spellEnd"/>
      <w:r w:rsidRPr="00F84A52">
        <w:rPr>
          <w:i/>
          <w:color w:val="222222"/>
          <w:lang w:eastAsia="en-AU"/>
        </w:rPr>
        <w:t>, tiotropium/</w:t>
      </w:r>
      <w:proofErr w:type="spellStart"/>
      <w:r w:rsidRPr="00F84A52">
        <w:rPr>
          <w:i/>
          <w:color w:val="222222"/>
          <w:lang w:eastAsia="en-AU"/>
        </w:rPr>
        <w:t>olodaterol</w:t>
      </w:r>
      <w:proofErr w:type="spellEnd"/>
      <w:r w:rsidRPr="00F84A52">
        <w:rPr>
          <w:i/>
          <w:color w:val="222222"/>
          <w:lang w:eastAsia="en-AU"/>
        </w:rPr>
        <w:t xml:space="preserve">, or </w:t>
      </w:r>
      <w:proofErr w:type="spellStart"/>
      <w:r w:rsidRPr="00F84A52">
        <w:rPr>
          <w:i/>
          <w:color w:val="222222"/>
          <w:lang w:eastAsia="en-AU"/>
        </w:rPr>
        <w:t>umeclidinium</w:t>
      </w:r>
      <w:proofErr w:type="spellEnd"/>
      <w:r w:rsidRPr="00F84A52">
        <w:rPr>
          <w:i/>
          <w:color w:val="222222"/>
          <w:lang w:eastAsia="en-AU"/>
        </w:rPr>
        <w:t>/</w:t>
      </w:r>
      <w:proofErr w:type="spellStart"/>
      <w:r w:rsidRPr="00F84A52">
        <w:rPr>
          <w:i/>
          <w:color w:val="222222"/>
          <w:lang w:eastAsia="en-AU"/>
        </w:rPr>
        <w:t>vilanterol</w:t>
      </w:r>
      <w:proofErr w:type="spellEnd"/>
      <w:r w:rsidRPr="00F84A52">
        <w:rPr>
          <w:i/>
          <w:color w:val="222222"/>
          <w:lang w:eastAsia="en-AU"/>
        </w:rPr>
        <w:t>.</w:t>
      </w:r>
    </w:p>
    <w:p w:rsidR="008437AC" w:rsidRPr="00F84A52" w:rsidRDefault="008437AC" w:rsidP="001C3A23">
      <w:pPr>
        <w:spacing w:before="0"/>
        <w:rPr>
          <w:i/>
          <w:color w:val="222222"/>
          <w:lang w:eastAsia="en-AU"/>
        </w:rPr>
      </w:pPr>
      <w:r w:rsidRPr="00F84A52">
        <w:rPr>
          <w:i/>
          <w:color w:val="222222"/>
          <w:lang w:eastAsia="en-AU"/>
        </w:rPr>
        <w:t>Note: A SAMA includes ipratropium.</w:t>
      </w:r>
    </w:p>
    <w:p w:rsidR="008437AC" w:rsidRPr="002F6331" w:rsidRDefault="008437AC" w:rsidP="00C53964">
      <w:pPr>
        <w:keepNext/>
      </w:pPr>
      <w:r w:rsidRPr="002F6331">
        <w:t>LABA:</w:t>
      </w:r>
    </w:p>
    <w:p w:rsidR="008437AC" w:rsidRPr="00F84A52" w:rsidRDefault="008437AC" w:rsidP="001C3A23">
      <w:pPr>
        <w:spacing w:before="0"/>
        <w:rPr>
          <w:rFonts w:asciiTheme="majorHAnsi" w:hAnsiTheme="majorHAnsi"/>
          <w:i/>
          <w:color w:val="222222"/>
          <w:lang w:eastAsia="en-AU"/>
        </w:rPr>
      </w:pPr>
      <w:r w:rsidRPr="00F84A52">
        <w:rPr>
          <w:i/>
          <w:lang w:eastAsia="en-AU"/>
        </w:rPr>
        <w:t xml:space="preserve">Note: </w:t>
      </w:r>
      <w:r w:rsidRPr="00F84A52">
        <w:rPr>
          <w:i/>
          <w:color w:val="222222"/>
          <w:lang w:eastAsia="en-AU"/>
        </w:rPr>
        <w:t xml:space="preserve">The treatment must not be used in combination with an ICS/LABA, or LAMA/LABA. </w:t>
      </w:r>
    </w:p>
    <w:p w:rsidR="008437AC" w:rsidRPr="00F84A52" w:rsidRDefault="008437AC" w:rsidP="001C3A23">
      <w:pPr>
        <w:spacing w:before="0"/>
        <w:rPr>
          <w:i/>
          <w:lang w:eastAsia="en-AU"/>
        </w:rPr>
      </w:pPr>
      <w:r w:rsidRPr="00F84A52">
        <w:rPr>
          <w:i/>
          <w:lang w:eastAsia="en-AU"/>
        </w:rPr>
        <w:t xml:space="preserve">Note: </w:t>
      </w:r>
      <w:r w:rsidRPr="00F84A52">
        <w:rPr>
          <w:i/>
          <w:color w:val="222222"/>
          <w:lang w:eastAsia="en-AU"/>
        </w:rPr>
        <w:t xml:space="preserve">A LAMA/LABA includes </w:t>
      </w:r>
      <w:proofErr w:type="spellStart"/>
      <w:r w:rsidRPr="00F84A52">
        <w:rPr>
          <w:i/>
          <w:color w:val="222222"/>
          <w:lang w:eastAsia="en-AU"/>
        </w:rPr>
        <w:t>aclidinium</w:t>
      </w:r>
      <w:proofErr w:type="spellEnd"/>
      <w:r w:rsidRPr="00F84A52">
        <w:rPr>
          <w:i/>
          <w:color w:val="222222"/>
          <w:lang w:eastAsia="en-AU"/>
        </w:rPr>
        <w:t>/</w:t>
      </w:r>
      <w:proofErr w:type="spellStart"/>
      <w:r w:rsidRPr="00F84A52">
        <w:rPr>
          <w:i/>
          <w:color w:val="222222"/>
          <w:lang w:eastAsia="en-AU"/>
        </w:rPr>
        <w:t>eformoterol</w:t>
      </w:r>
      <w:proofErr w:type="spellEnd"/>
      <w:r w:rsidRPr="00F84A52">
        <w:rPr>
          <w:i/>
          <w:color w:val="222222"/>
          <w:lang w:eastAsia="en-AU"/>
        </w:rPr>
        <w:t xml:space="preserve">, </w:t>
      </w:r>
      <w:proofErr w:type="spellStart"/>
      <w:r w:rsidRPr="00F84A52">
        <w:rPr>
          <w:i/>
          <w:color w:val="222222"/>
          <w:lang w:eastAsia="en-AU"/>
        </w:rPr>
        <w:t>glycopyrronium</w:t>
      </w:r>
      <w:proofErr w:type="spellEnd"/>
      <w:r w:rsidRPr="00F84A52">
        <w:rPr>
          <w:i/>
          <w:color w:val="222222"/>
          <w:lang w:eastAsia="en-AU"/>
        </w:rPr>
        <w:t>/</w:t>
      </w:r>
      <w:proofErr w:type="spellStart"/>
      <w:r w:rsidRPr="00F84A52">
        <w:rPr>
          <w:i/>
          <w:color w:val="222222"/>
          <w:lang w:eastAsia="en-AU"/>
        </w:rPr>
        <w:t>indacaterol</w:t>
      </w:r>
      <w:proofErr w:type="spellEnd"/>
      <w:r w:rsidRPr="00F84A52">
        <w:rPr>
          <w:i/>
          <w:color w:val="222222"/>
          <w:lang w:eastAsia="en-AU"/>
        </w:rPr>
        <w:t>, tiotropium/</w:t>
      </w:r>
      <w:proofErr w:type="spellStart"/>
      <w:r w:rsidRPr="00F84A52">
        <w:rPr>
          <w:i/>
          <w:color w:val="222222"/>
          <w:lang w:eastAsia="en-AU"/>
        </w:rPr>
        <w:t>olodaterol</w:t>
      </w:r>
      <w:proofErr w:type="spellEnd"/>
      <w:r w:rsidRPr="00F84A52">
        <w:rPr>
          <w:i/>
          <w:color w:val="222222"/>
          <w:lang w:eastAsia="en-AU"/>
        </w:rPr>
        <w:t xml:space="preserve">, or </w:t>
      </w:r>
      <w:proofErr w:type="spellStart"/>
      <w:r w:rsidRPr="00F84A52">
        <w:rPr>
          <w:i/>
          <w:color w:val="222222"/>
          <w:lang w:eastAsia="en-AU"/>
        </w:rPr>
        <w:t>umeclidinium</w:t>
      </w:r>
      <w:proofErr w:type="spellEnd"/>
      <w:r w:rsidRPr="00F84A52">
        <w:rPr>
          <w:i/>
          <w:color w:val="222222"/>
          <w:lang w:eastAsia="en-AU"/>
        </w:rPr>
        <w:t>/</w:t>
      </w:r>
      <w:proofErr w:type="spellStart"/>
      <w:r w:rsidRPr="00F84A52">
        <w:rPr>
          <w:i/>
          <w:color w:val="222222"/>
          <w:lang w:eastAsia="en-AU"/>
        </w:rPr>
        <w:t>vilanterol</w:t>
      </w:r>
      <w:proofErr w:type="spellEnd"/>
      <w:r w:rsidRPr="00F84A52">
        <w:rPr>
          <w:i/>
          <w:color w:val="222222"/>
          <w:lang w:eastAsia="en-AU"/>
        </w:rPr>
        <w:t>.</w:t>
      </w:r>
    </w:p>
    <w:p w:rsidR="004B5313" w:rsidRPr="00F84A52" w:rsidRDefault="008437AC" w:rsidP="004B5313">
      <w:pPr>
        <w:spacing w:before="0"/>
        <w:rPr>
          <w:i/>
          <w:lang w:eastAsia="en-AU"/>
        </w:rPr>
      </w:pPr>
      <w:r w:rsidRPr="00F84A52">
        <w:rPr>
          <w:i/>
          <w:lang w:eastAsia="en-AU"/>
        </w:rPr>
        <w:t>Note: An ICS/LABA includes budesonide/</w:t>
      </w:r>
      <w:proofErr w:type="spellStart"/>
      <w:r w:rsidRPr="00F84A52">
        <w:rPr>
          <w:i/>
          <w:lang w:eastAsia="en-AU"/>
        </w:rPr>
        <w:t>eformoterol</w:t>
      </w:r>
      <w:proofErr w:type="spellEnd"/>
      <w:r w:rsidRPr="00F84A52">
        <w:rPr>
          <w:i/>
          <w:lang w:eastAsia="en-AU"/>
        </w:rPr>
        <w:t>, fluticasone/salmeterol, or fluticasone/</w:t>
      </w:r>
      <w:proofErr w:type="spellStart"/>
      <w:r w:rsidRPr="00F84A52">
        <w:rPr>
          <w:i/>
          <w:lang w:eastAsia="en-AU"/>
        </w:rPr>
        <w:t>vilanterol</w:t>
      </w:r>
      <w:proofErr w:type="spellEnd"/>
      <w:r w:rsidRPr="00F84A52">
        <w:rPr>
          <w:i/>
          <w:lang w:eastAsia="en-AU"/>
        </w:rPr>
        <w:t>.</w:t>
      </w:r>
    </w:p>
    <w:p w:rsidR="000F026D" w:rsidRPr="00DE68F9" w:rsidRDefault="000F026D" w:rsidP="00001BAA">
      <w:pPr>
        <w:pStyle w:val="BodyTextnospacebefore"/>
        <w:keepNext/>
        <w:keepLines/>
        <w:spacing w:before="120"/>
        <w:rPr>
          <w:u w:val="single"/>
        </w:rPr>
      </w:pPr>
      <w:r w:rsidRPr="00DE68F9">
        <w:rPr>
          <w:u w:val="single"/>
        </w:rPr>
        <w:t xml:space="preserve">Stakeholder </w:t>
      </w:r>
      <w:r w:rsidR="00DE68F9" w:rsidRPr="00DE68F9">
        <w:rPr>
          <w:u w:val="single"/>
        </w:rPr>
        <w:t>views</w:t>
      </w:r>
    </w:p>
    <w:p w:rsidR="00DE68F9" w:rsidRPr="00DE68F9" w:rsidRDefault="000F026D" w:rsidP="00001BAA">
      <w:pPr>
        <w:pStyle w:val="Bullettext"/>
        <w:keepNext/>
        <w:keepLines/>
        <w:rPr>
          <w:i/>
        </w:rPr>
      </w:pPr>
      <w:r w:rsidRPr="00C9229B">
        <w:t>Stakeholders</w:t>
      </w:r>
      <w:r w:rsidR="00DE68F9">
        <w:t xml:space="preserve"> were generally supportive of this change. </w:t>
      </w:r>
    </w:p>
    <w:p w:rsidR="00DE68F9" w:rsidRPr="00001BAA" w:rsidRDefault="00DE68F9" w:rsidP="00DE68F9">
      <w:pPr>
        <w:pStyle w:val="Bullettext"/>
        <w:rPr>
          <w:i/>
        </w:rPr>
      </w:pPr>
      <w:r>
        <w:t>Stakeholders noted that ICS/LABA should not be used in combination with LAMA/LABA, which has been incorporated into the suggested notes text above.</w:t>
      </w:r>
    </w:p>
    <w:p w:rsidR="00001BAA" w:rsidRPr="009E646B" w:rsidRDefault="004B3268" w:rsidP="00001BAA">
      <w:pPr>
        <w:rPr>
          <w:u w:val="single"/>
        </w:rPr>
      </w:pPr>
      <w:r>
        <w:rPr>
          <w:u w:val="single"/>
        </w:rPr>
        <w:t>RG</w:t>
      </w:r>
      <w:r w:rsidR="00001BAA" w:rsidRPr="009E646B">
        <w:rPr>
          <w:u w:val="single"/>
        </w:rPr>
        <w:t xml:space="preserve"> comments</w:t>
      </w:r>
    </w:p>
    <w:p w:rsidR="000F6712" w:rsidRPr="00D30141" w:rsidRDefault="00601235" w:rsidP="00001BAA">
      <w:pPr>
        <w:pStyle w:val="Bullettext"/>
        <w:rPr>
          <w:i/>
        </w:rPr>
      </w:pPr>
      <w:r>
        <w:t xml:space="preserve">The </w:t>
      </w:r>
      <w:r w:rsidR="004B3268">
        <w:t>RG</w:t>
      </w:r>
      <w:r>
        <w:t xml:space="preserve"> supported this option on the condition that </w:t>
      </w:r>
      <w:r w:rsidR="000F6712">
        <w:t xml:space="preserve">the notes for all currently listed COPD medicines would be updated when </w:t>
      </w:r>
      <w:proofErr w:type="gramStart"/>
      <w:r w:rsidR="002B4E90">
        <w:t xml:space="preserve">similar </w:t>
      </w:r>
      <w:r w:rsidR="000F6712">
        <w:t xml:space="preserve"> COPD</w:t>
      </w:r>
      <w:proofErr w:type="gramEnd"/>
      <w:r w:rsidR="000F6712">
        <w:t xml:space="preserve"> medicines are listed on the PBS</w:t>
      </w:r>
      <w:r>
        <w:t xml:space="preserve">. </w:t>
      </w:r>
    </w:p>
    <w:p w:rsidR="00001BAA" w:rsidRPr="00001BAA" w:rsidRDefault="00601235" w:rsidP="00001BAA">
      <w:pPr>
        <w:pStyle w:val="Bullettext"/>
        <w:rPr>
          <w:i/>
        </w:rPr>
      </w:pPr>
      <w:r>
        <w:t xml:space="preserve">The </w:t>
      </w:r>
      <w:r w:rsidR="004B3268">
        <w:t>RG</w:t>
      </w:r>
      <w:r>
        <w:t xml:space="preserve"> considered that it was useful to include the generic names of the medicines in the </w:t>
      </w:r>
      <w:r w:rsidR="000F6712">
        <w:t xml:space="preserve">restriction </w:t>
      </w:r>
      <w:r>
        <w:t>notes given</w:t>
      </w:r>
      <w:r w:rsidR="00556E82">
        <w:t xml:space="preserve"> the evidence of polypharmacy</w:t>
      </w:r>
      <w:r>
        <w:t>.</w:t>
      </w:r>
    </w:p>
    <w:p w:rsidR="008437AC" w:rsidRPr="00E55643" w:rsidRDefault="004B5313" w:rsidP="00C53964">
      <w:pPr>
        <w:pStyle w:val="Heading4"/>
      </w:pPr>
      <w:r>
        <w:lastRenderedPageBreak/>
        <w:t>O</w:t>
      </w:r>
      <w:r w:rsidR="008437AC" w:rsidRPr="00E55643">
        <w:t>ption 3</w:t>
      </w:r>
    </w:p>
    <w:p w:rsidR="008437AC" w:rsidRDefault="008437AC" w:rsidP="004B5313">
      <w:pPr>
        <w:keepNext/>
        <w:keepLines/>
        <w:rPr>
          <w:b/>
        </w:rPr>
      </w:pPr>
      <w:r>
        <w:rPr>
          <w:b/>
        </w:rPr>
        <w:t xml:space="preserve">Add a PBS note on checking device technique and adherence to all products </w:t>
      </w:r>
      <w:r w:rsidR="00F61C3C">
        <w:rPr>
          <w:b/>
        </w:rPr>
        <w:t xml:space="preserve">listed for COPD treatment </w:t>
      </w:r>
      <w:r>
        <w:rPr>
          <w:b/>
        </w:rPr>
        <w:t>on the PBS.</w:t>
      </w:r>
    </w:p>
    <w:p w:rsidR="008437AC" w:rsidRPr="001C3A23" w:rsidRDefault="00DE68F9" w:rsidP="004B5313">
      <w:pPr>
        <w:keepNext/>
        <w:keepLines/>
        <w:rPr>
          <w:u w:val="single"/>
        </w:rPr>
      </w:pPr>
      <w:r>
        <w:rPr>
          <w:u w:val="single"/>
        </w:rPr>
        <w:t>Rationale</w:t>
      </w:r>
    </w:p>
    <w:p w:rsidR="008437AC" w:rsidRPr="002F6331" w:rsidRDefault="008437AC" w:rsidP="004B5313">
      <w:pPr>
        <w:pStyle w:val="Bullettext"/>
        <w:keepNext/>
        <w:keepLines/>
      </w:pPr>
      <w:r w:rsidRPr="001F050A">
        <w:t>The COPD-X guidelines highlight the importance of reviewing inhaler technique and adherence at each visit.</w:t>
      </w:r>
      <w:r w:rsidR="0053025E" w:rsidRPr="001F050A">
        <w:t xml:space="preserve"> </w:t>
      </w:r>
      <w:r w:rsidRPr="001F050A">
        <w:t xml:space="preserve"> PBS restrictions do not currently specify that clinicians must have reviewed adherence and inhaler technique before adding or changing treatments. </w:t>
      </w:r>
    </w:p>
    <w:p w:rsidR="008437AC" w:rsidRPr="002F6331" w:rsidRDefault="008437AC" w:rsidP="00E55643">
      <w:pPr>
        <w:pStyle w:val="Bullettext"/>
      </w:pPr>
      <w:r w:rsidRPr="002F6331">
        <w:t xml:space="preserve">Improved medication efficacy, safety and cost-effectiveness may be achieved from improved inhaler technique. </w:t>
      </w:r>
    </w:p>
    <w:p w:rsidR="008437AC" w:rsidRPr="002F6331" w:rsidRDefault="008437AC" w:rsidP="00E55643">
      <w:pPr>
        <w:pStyle w:val="Bullettext"/>
      </w:pPr>
      <w:r w:rsidRPr="001F050A">
        <w:t>An Australian study found that 50% to 83% of COPD patients made at least one error in inhaler technique.</w:t>
      </w:r>
      <w:r w:rsidRPr="001F050A">
        <w:rPr>
          <w:rStyle w:val="FootnoteReference"/>
        </w:rPr>
        <w:footnoteReference w:id="4"/>
      </w:r>
    </w:p>
    <w:p w:rsidR="008437AC" w:rsidRDefault="008437AC" w:rsidP="00E55643">
      <w:pPr>
        <w:pStyle w:val="Bullettext"/>
      </w:pPr>
      <w:r w:rsidRPr="001F050A">
        <w:t xml:space="preserve">Stakeholders indicated a need for greater support in inhaler technique. </w:t>
      </w:r>
      <w:r w:rsidR="0053025E" w:rsidRPr="001F050A">
        <w:t xml:space="preserve"> </w:t>
      </w:r>
      <w:r w:rsidRPr="001F050A">
        <w:t xml:space="preserve">The different techniques required between devices can be complicated and confusing for patients and clinicians. </w:t>
      </w:r>
      <w:r w:rsidR="0053025E" w:rsidRPr="001F050A">
        <w:t xml:space="preserve"> </w:t>
      </w:r>
      <w:r w:rsidRPr="001F050A">
        <w:t>While most patients received some initial instruction on device use, often from a pharmacist, some patients suggested that the GP practice nurse or respiratory nurse could provide this advice</w:t>
      </w:r>
      <w:r>
        <w:t>.</w:t>
      </w:r>
    </w:p>
    <w:p w:rsidR="008437AC" w:rsidRDefault="008437AC" w:rsidP="00A37D5C">
      <w:pPr>
        <w:keepNext/>
        <w:keepLines/>
      </w:pPr>
      <w:r>
        <w:rPr>
          <w:u w:val="single"/>
        </w:rPr>
        <w:t>Suggested note</w:t>
      </w:r>
    </w:p>
    <w:p w:rsidR="00A37D5C" w:rsidRDefault="008437AC" w:rsidP="00A37D5C">
      <w:pPr>
        <w:keepNext/>
        <w:keepLines/>
        <w:rPr>
          <w:i/>
        </w:rPr>
      </w:pPr>
      <w:r>
        <w:rPr>
          <w:i/>
        </w:rPr>
        <w:t>Note: Adherence to current treatment and device (inhaler) technique should be reviewed at each clinical visit and before “stepping up” a patient’s medication regimen.</w:t>
      </w:r>
    </w:p>
    <w:p w:rsidR="00DD5A83" w:rsidRPr="00DE68F9" w:rsidRDefault="00DD5A83" w:rsidP="00DE68F9">
      <w:pPr>
        <w:rPr>
          <w:u w:val="single"/>
        </w:rPr>
      </w:pPr>
      <w:r w:rsidRPr="00DE68F9">
        <w:rPr>
          <w:u w:val="single"/>
        </w:rPr>
        <w:t xml:space="preserve">Stakeholder </w:t>
      </w:r>
      <w:r w:rsidR="00DE68F9" w:rsidRPr="00DE68F9">
        <w:rPr>
          <w:u w:val="single"/>
        </w:rPr>
        <w:t>views</w:t>
      </w:r>
    </w:p>
    <w:p w:rsidR="00DE68F9" w:rsidRDefault="00DE68F9" w:rsidP="00C53964">
      <w:pPr>
        <w:pStyle w:val="Bullettext"/>
      </w:pPr>
      <w:r>
        <w:t>Stakeholders were supportive of this option.</w:t>
      </w:r>
    </w:p>
    <w:p w:rsidR="00A37D5C" w:rsidRDefault="00A01D61" w:rsidP="00C53964">
      <w:pPr>
        <w:pStyle w:val="Bullettext"/>
      </w:pPr>
      <w:r>
        <w:t>Some stakeholders recommended i</w:t>
      </w:r>
      <w:r w:rsidR="00C72BA0">
        <w:t>nclu</w:t>
      </w:r>
      <w:r w:rsidR="00916041">
        <w:t xml:space="preserve">sion of </w:t>
      </w:r>
      <w:r w:rsidR="00104969">
        <w:t xml:space="preserve">educational resource </w:t>
      </w:r>
      <w:r w:rsidR="00916041">
        <w:t>website links</w:t>
      </w:r>
      <w:r w:rsidR="00C72BA0">
        <w:t xml:space="preserve"> </w:t>
      </w:r>
      <w:r w:rsidR="00104969">
        <w:t>to</w:t>
      </w:r>
      <w:r>
        <w:t xml:space="preserve"> the PBS restriction notes. A list of e</w:t>
      </w:r>
      <w:r w:rsidR="00396B9C">
        <w:t xml:space="preserve">ducational materials </w:t>
      </w:r>
      <w:r>
        <w:t xml:space="preserve">provided by stakeholders is at </w:t>
      </w:r>
      <w:r w:rsidR="00364DEA">
        <w:t xml:space="preserve">Appendix </w:t>
      </w:r>
      <w:r w:rsidR="00692B73">
        <w:t>V</w:t>
      </w:r>
      <w:r w:rsidR="00364DEA">
        <w:t>.</w:t>
      </w:r>
    </w:p>
    <w:p w:rsidR="00001BAA" w:rsidRPr="009E646B" w:rsidRDefault="004B3268" w:rsidP="00001BAA">
      <w:pPr>
        <w:rPr>
          <w:u w:val="single"/>
        </w:rPr>
      </w:pPr>
      <w:r>
        <w:rPr>
          <w:u w:val="single"/>
        </w:rPr>
        <w:t>RG</w:t>
      </w:r>
      <w:r w:rsidR="00001BAA" w:rsidRPr="009E646B">
        <w:rPr>
          <w:u w:val="single"/>
        </w:rPr>
        <w:t xml:space="preserve"> comments</w:t>
      </w:r>
    </w:p>
    <w:p w:rsidR="00001BAA" w:rsidRPr="009E646B" w:rsidRDefault="00A319DF" w:rsidP="00001BAA">
      <w:pPr>
        <w:pStyle w:val="Bullettext"/>
        <w:rPr>
          <w:i/>
        </w:rPr>
      </w:pPr>
      <w:r>
        <w:t xml:space="preserve">The </w:t>
      </w:r>
      <w:r w:rsidR="004B3268">
        <w:t>RG</w:t>
      </w:r>
      <w:r>
        <w:t xml:space="preserve"> supported this option, and considered that checking device technique and adherence was part of standard clinical service. The </w:t>
      </w:r>
      <w:r w:rsidR="004B3268">
        <w:t>RG</w:t>
      </w:r>
      <w:r>
        <w:t xml:space="preserve"> noted that it would be unusual to reference educational websites or guidelines in a PBS restriction, and that there may be issues with maintaining the currency of the information if included.</w:t>
      </w:r>
    </w:p>
    <w:p w:rsidR="008437AC" w:rsidRPr="00E55643" w:rsidRDefault="008437AC" w:rsidP="00001BAA">
      <w:pPr>
        <w:pStyle w:val="Heading4"/>
      </w:pPr>
      <w:r w:rsidRPr="00E55643">
        <w:lastRenderedPageBreak/>
        <w:t>Option 4</w:t>
      </w:r>
    </w:p>
    <w:p w:rsidR="008437AC" w:rsidRDefault="008437AC" w:rsidP="00001BAA">
      <w:pPr>
        <w:keepNext/>
        <w:keepLines/>
        <w:rPr>
          <w:b/>
        </w:rPr>
      </w:pPr>
      <w:r>
        <w:rPr>
          <w:b/>
        </w:rPr>
        <w:t>Add a PBS note regarding the requirement to confirm COPD diagnosis with spirometry</w:t>
      </w:r>
      <w:r w:rsidR="00F61C3C">
        <w:rPr>
          <w:b/>
        </w:rPr>
        <w:t xml:space="preserve"> to all products listed for COPD treatment on the PBS</w:t>
      </w:r>
      <w:r>
        <w:rPr>
          <w:b/>
        </w:rPr>
        <w:t>.</w:t>
      </w:r>
    </w:p>
    <w:p w:rsidR="008437AC" w:rsidRPr="001C3A23" w:rsidRDefault="00DE68F9" w:rsidP="00001BAA">
      <w:pPr>
        <w:keepNext/>
        <w:keepLines/>
        <w:tabs>
          <w:tab w:val="left" w:pos="7602"/>
        </w:tabs>
        <w:rPr>
          <w:u w:val="single"/>
        </w:rPr>
      </w:pPr>
      <w:r>
        <w:rPr>
          <w:u w:val="single"/>
        </w:rPr>
        <w:t>Rationale</w:t>
      </w:r>
    </w:p>
    <w:p w:rsidR="008437AC" w:rsidRDefault="008437AC" w:rsidP="00001BAA">
      <w:pPr>
        <w:pStyle w:val="Bullettext"/>
        <w:keepNext/>
        <w:keepLines/>
      </w:pPr>
      <w:r>
        <w:t xml:space="preserve">The treatment algorithms for asthma, COPD and asthma-COPD overlap syndrome are different. </w:t>
      </w:r>
      <w:r w:rsidR="0053025E">
        <w:t xml:space="preserve"> </w:t>
      </w:r>
      <w:r>
        <w:t>The COPD-X guidelines state that accurate diagnosis of COPD, including the use of spirometry to confirm the presence of airflow obstruction, is needed to ensure appropriate treatment.</w:t>
      </w:r>
    </w:p>
    <w:p w:rsidR="008437AC" w:rsidRDefault="008437AC" w:rsidP="001C3A23">
      <w:pPr>
        <w:pStyle w:val="Bullettext"/>
      </w:pPr>
      <w:r>
        <w:t>Stakeholders and various data sources indicate that many Australian COPD patients do not have lung function testing within the first 12 months of therapy initiation.</w:t>
      </w:r>
    </w:p>
    <w:p w:rsidR="008437AC" w:rsidRDefault="008437AC" w:rsidP="002F6331">
      <w:pPr>
        <w:keepNext/>
        <w:keepLines/>
      </w:pPr>
      <w:r>
        <w:rPr>
          <w:u w:val="single"/>
        </w:rPr>
        <w:t>Suggested note</w:t>
      </w:r>
    </w:p>
    <w:p w:rsidR="008437AC" w:rsidRDefault="008437AC" w:rsidP="002F6331">
      <w:pPr>
        <w:keepNext/>
        <w:keepLines/>
        <w:rPr>
          <w:i/>
        </w:rPr>
      </w:pPr>
      <w:r>
        <w:rPr>
          <w:i/>
        </w:rPr>
        <w:t>Note: Diagnosis of COPD should include measurement of airflow obstruction using spirometry.</w:t>
      </w:r>
    </w:p>
    <w:p w:rsidR="00EB29D4" w:rsidRPr="00A01D61" w:rsidRDefault="00EB29D4" w:rsidP="00A01D61">
      <w:pPr>
        <w:rPr>
          <w:u w:val="single"/>
        </w:rPr>
      </w:pPr>
      <w:r w:rsidRPr="00A01D61">
        <w:rPr>
          <w:u w:val="single"/>
        </w:rPr>
        <w:t xml:space="preserve">Stakeholder </w:t>
      </w:r>
      <w:r w:rsidR="00A01D61" w:rsidRPr="00A01D61">
        <w:rPr>
          <w:u w:val="single"/>
        </w:rPr>
        <w:t>views</w:t>
      </w:r>
    </w:p>
    <w:p w:rsidR="00A01D61" w:rsidRDefault="00364DEA" w:rsidP="00A01D61">
      <w:pPr>
        <w:pStyle w:val="Bullettext"/>
      </w:pPr>
      <w:r w:rsidRPr="00190B63">
        <w:t>Stakeholders</w:t>
      </w:r>
      <w:r w:rsidR="00A01D61">
        <w:t xml:space="preserve"> were generally supportive of this change</w:t>
      </w:r>
      <w:r w:rsidRPr="00190B63">
        <w:t>.</w:t>
      </w:r>
      <w:r w:rsidR="00190B63" w:rsidRPr="00190B63">
        <w:t xml:space="preserve"> </w:t>
      </w:r>
    </w:p>
    <w:p w:rsidR="00E83A21" w:rsidRDefault="00A01D61" w:rsidP="00A01D61">
      <w:pPr>
        <w:pStyle w:val="Bullettext"/>
      </w:pPr>
      <w:r>
        <w:t xml:space="preserve">One stakeholder </w:t>
      </w:r>
      <w:r w:rsidR="00E713B7" w:rsidRPr="00190B63">
        <w:t>recommended th</w:t>
      </w:r>
      <w:r w:rsidR="00BE2609" w:rsidRPr="00190B63">
        <w:t>at the PBS</w:t>
      </w:r>
      <w:r w:rsidR="00E713B7" w:rsidRPr="00190B63">
        <w:t xml:space="preserve"> note </w:t>
      </w:r>
      <w:r w:rsidR="00BE2609" w:rsidRPr="00190B63">
        <w:t xml:space="preserve">should include measurement of airflow obstruction using spirometry, with confirmation of post-bronchodilator airflow obstruction. </w:t>
      </w:r>
      <w:r w:rsidR="00E83A21" w:rsidRPr="00190B63">
        <w:t xml:space="preserve">A confirmatory spirometry reading </w:t>
      </w:r>
      <w:r>
        <w:t>was also</w:t>
      </w:r>
      <w:r w:rsidR="00BE2609" w:rsidRPr="00190B63">
        <w:t xml:space="preserve"> recommended </w:t>
      </w:r>
      <w:r w:rsidR="00E83A21" w:rsidRPr="00190B63">
        <w:t xml:space="preserve">to determine eligibility for a change </w:t>
      </w:r>
      <w:r w:rsidR="0033716D" w:rsidRPr="00190B63">
        <w:t xml:space="preserve">in COPD </w:t>
      </w:r>
      <w:r w:rsidR="00E83A21" w:rsidRPr="00190B63">
        <w:t>treatment</w:t>
      </w:r>
      <w:r w:rsidR="009F7A17">
        <w:t>s</w:t>
      </w:r>
      <w:r w:rsidR="00190B63">
        <w:t>.</w:t>
      </w:r>
    </w:p>
    <w:p w:rsidR="00001BAA" w:rsidRPr="009E646B" w:rsidRDefault="004B3268" w:rsidP="00001BAA">
      <w:pPr>
        <w:rPr>
          <w:u w:val="single"/>
        </w:rPr>
      </w:pPr>
      <w:r>
        <w:rPr>
          <w:u w:val="single"/>
        </w:rPr>
        <w:t>RG</w:t>
      </w:r>
      <w:r w:rsidR="00001BAA" w:rsidRPr="009E646B">
        <w:rPr>
          <w:u w:val="single"/>
        </w:rPr>
        <w:t xml:space="preserve"> comments</w:t>
      </w:r>
    </w:p>
    <w:p w:rsidR="00A319DF" w:rsidRPr="00D30141" w:rsidRDefault="00A319DF" w:rsidP="00001BAA">
      <w:pPr>
        <w:pStyle w:val="Bullettext"/>
        <w:rPr>
          <w:i/>
        </w:rPr>
      </w:pPr>
      <w:r>
        <w:t xml:space="preserve">The </w:t>
      </w:r>
      <w:r w:rsidR="004B3268">
        <w:t>RG</w:t>
      </w:r>
      <w:r>
        <w:t xml:space="preserve"> supported this option with the following revised wording:</w:t>
      </w:r>
    </w:p>
    <w:p w:rsidR="00001BAA" w:rsidRPr="002E138A" w:rsidRDefault="00A319DF" w:rsidP="00D30141">
      <w:pPr>
        <w:pStyle w:val="Bullettext"/>
        <w:numPr>
          <w:ilvl w:val="0"/>
          <w:numId w:val="0"/>
        </w:numPr>
        <w:ind w:left="360"/>
        <w:rPr>
          <w:i/>
        </w:rPr>
      </w:pPr>
      <w:r w:rsidRPr="00D30141">
        <w:rPr>
          <w:i/>
        </w:rPr>
        <w:t xml:space="preserve">Note: </w:t>
      </w:r>
      <w:r w:rsidRPr="002E138A">
        <w:rPr>
          <w:i/>
        </w:rPr>
        <w:t xml:space="preserve">Diagnosis of COPD should include measurement of airflow obstruction using spirometry, </w:t>
      </w:r>
      <w:r w:rsidRPr="00D30141">
        <w:rPr>
          <w:i/>
        </w:rPr>
        <w:t>with confirmation of post-bronchodilator airflow obstruction</w:t>
      </w:r>
      <w:r w:rsidRPr="002E138A">
        <w:rPr>
          <w:i/>
        </w:rPr>
        <w:t>.</w:t>
      </w:r>
    </w:p>
    <w:p w:rsidR="008437AC" w:rsidRDefault="008437AC" w:rsidP="001C3A23">
      <w:pPr>
        <w:pStyle w:val="Heading3"/>
        <w:keepLines/>
        <w:numPr>
          <w:ilvl w:val="0"/>
          <w:numId w:val="0"/>
        </w:numPr>
      </w:pPr>
      <w:bookmarkStart w:id="26" w:name="_Toc486853482"/>
      <w:r>
        <w:t>PBS Restriction Levels</w:t>
      </w:r>
      <w:bookmarkEnd w:id="26"/>
    </w:p>
    <w:p w:rsidR="008437AC" w:rsidRPr="00774F5D" w:rsidRDefault="008437AC">
      <w:pPr>
        <w:pStyle w:val="Heading4"/>
      </w:pPr>
      <w:r w:rsidRPr="00774F5D">
        <w:t>Option 5</w:t>
      </w:r>
    </w:p>
    <w:p w:rsidR="008437AC" w:rsidRDefault="008437AC" w:rsidP="001C3A23">
      <w:pPr>
        <w:keepNext/>
        <w:keepLines/>
        <w:rPr>
          <w:b/>
        </w:rPr>
      </w:pPr>
      <w:r>
        <w:rPr>
          <w:b/>
        </w:rPr>
        <w:t>Increase the restriction level for ICS/LABAs listed on the PBS for the treatment of COPD to Authority Required (STREAMLINED).</w:t>
      </w:r>
    </w:p>
    <w:p w:rsidR="00890788" w:rsidRDefault="00890788" w:rsidP="001C3A23">
      <w:pPr>
        <w:keepNext/>
        <w:keepLines/>
        <w:rPr>
          <w:b/>
        </w:rPr>
      </w:pPr>
      <w:r>
        <w:t>The</w:t>
      </w:r>
      <w:r w:rsidR="009376AB">
        <w:t xml:space="preserve"> PBS</w:t>
      </w:r>
      <w:r>
        <w:t xml:space="preserve"> restriction changes would apply only to ICS/LABA doses listed for </w:t>
      </w:r>
      <w:r w:rsidR="003E3385">
        <w:t xml:space="preserve">both </w:t>
      </w:r>
      <w:r>
        <w:t>COPD</w:t>
      </w:r>
      <w:r w:rsidR="003E3385">
        <w:t xml:space="preserve"> and asthma</w:t>
      </w:r>
      <w:r>
        <w:t xml:space="preserve"> treatment (refer to Background, Table B.1). Doses listed for the treatment of asthma only would continue to be Restricted Benefits.</w:t>
      </w:r>
    </w:p>
    <w:p w:rsidR="00890788" w:rsidRDefault="00A01D61" w:rsidP="00D30141">
      <w:r>
        <w:rPr>
          <w:u w:val="single"/>
        </w:rPr>
        <w:t>Rationale</w:t>
      </w:r>
    </w:p>
    <w:p w:rsidR="008437AC" w:rsidRDefault="008437AC" w:rsidP="00C53964">
      <w:pPr>
        <w:pStyle w:val="Bullettext"/>
        <w:ind w:left="357" w:hanging="357"/>
      </w:pPr>
      <w:r>
        <w:t xml:space="preserve">The review found that both meta-analyses and observational studies of ICS/LABA use in COPD patients report increases in the risk of pneumonia of 40% to 80%. </w:t>
      </w:r>
      <w:r w:rsidR="0053025E">
        <w:t xml:space="preserve"> </w:t>
      </w:r>
      <w:r>
        <w:t>RCTs and observational studies also provide some evidence of an increased risk of fracture, but this was inconclusive.</w:t>
      </w:r>
    </w:p>
    <w:p w:rsidR="008437AC" w:rsidRDefault="00890788" w:rsidP="00E55643">
      <w:pPr>
        <w:pStyle w:val="Bullettext"/>
      </w:pPr>
      <w:r>
        <w:t xml:space="preserve">Makes the restriction level for ICS/LABAs and LAMA/LABAs the same, to </w:t>
      </w:r>
      <w:r w:rsidR="008437AC">
        <w:t xml:space="preserve">encourage </w:t>
      </w:r>
      <w:r>
        <w:t xml:space="preserve">appropriate </w:t>
      </w:r>
      <w:r w:rsidR="008437AC">
        <w:t>use of</w:t>
      </w:r>
      <w:r>
        <w:t xml:space="preserve"> these medicines</w:t>
      </w:r>
      <w:r w:rsidR="008437AC">
        <w:t xml:space="preserve"> in line with guideline recommendations</w:t>
      </w:r>
      <w:r w:rsidR="009376AB">
        <w:t xml:space="preserve"> and to</w:t>
      </w:r>
      <w:r w:rsidR="008437AC">
        <w:t xml:space="preserve"> </w:t>
      </w:r>
      <w:r w:rsidR="008437AC">
        <w:lastRenderedPageBreak/>
        <w:t>improv</w:t>
      </w:r>
      <w:r w:rsidR="009376AB">
        <w:t>e</w:t>
      </w:r>
      <w:r w:rsidR="008437AC">
        <w:t xml:space="preserve"> </w:t>
      </w:r>
      <w:r>
        <w:t xml:space="preserve">the </w:t>
      </w:r>
      <w:r w:rsidR="008437AC">
        <w:t>quality of care</w:t>
      </w:r>
      <w:r>
        <w:t xml:space="preserve"> for COPD patients</w:t>
      </w:r>
      <w:r w:rsidR="008437AC">
        <w:t xml:space="preserve">. </w:t>
      </w:r>
      <w:r w:rsidR="0053025E">
        <w:t xml:space="preserve"> </w:t>
      </w:r>
      <w:r w:rsidR="008437AC">
        <w:t xml:space="preserve">NPS MedicineInsight data indicates that a large proportion of COPD patients without asthma commence ICS/LABA therapy. </w:t>
      </w:r>
    </w:p>
    <w:p w:rsidR="008437AC" w:rsidRDefault="008437AC" w:rsidP="00E55643">
      <w:pPr>
        <w:pStyle w:val="Bullettext"/>
      </w:pPr>
      <w:r>
        <w:t>Would allow data collection on comparative use for COPD versus asthma, through use of a different streamlined code.</w:t>
      </w:r>
    </w:p>
    <w:p w:rsidR="008437AC" w:rsidRDefault="008437AC" w:rsidP="00E55643">
      <w:pPr>
        <w:pStyle w:val="Bullettext"/>
      </w:pPr>
      <w:r>
        <w:t xml:space="preserve">Meets the criteria for Authority </w:t>
      </w:r>
      <w:proofErr w:type="gramStart"/>
      <w:r>
        <w:t>Required</w:t>
      </w:r>
      <w:proofErr w:type="gramEnd"/>
      <w:r>
        <w:t xml:space="preserve"> medicines.</w:t>
      </w:r>
    </w:p>
    <w:p w:rsidR="008437AC" w:rsidRPr="001C3A23" w:rsidRDefault="000749AA" w:rsidP="00001BAA">
      <w:pPr>
        <w:keepNext/>
        <w:keepLines/>
        <w:rPr>
          <w:u w:val="single"/>
        </w:rPr>
      </w:pPr>
      <w:r>
        <w:rPr>
          <w:u w:val="single"/>
        </w:rPr>
        <w:t>Risks/d</w:t>
      </w:r>
      <w:r w:rsidR="00A01D61">
        <w:rPr>
          <w:u w:val="single"/>
        </w:rPr>
        <w:t>isadvantages</w:t>
      </w:r>
    </w:p>
    <w:p w:rsidR="008437AC" w:rsidRDefault="008437AC" w:rsidP="00001BAA">
      <w:pPr>
        <w:pStyle w:val="Bullettext"/>
        <w:keepNext/>
        <w:keepLines/>
      </w:pPr>
      <w:r>
        <w:t>May be unpopular with prescribers.</w:t>
      </w:r>
    </w:p>
    <w:p w:rsidR="0033716D" w:rsidRPr="00A01D61" w:rsidRDefault="008437AC" w:rsidP="00A01D61">
      <w:pPr>
        <w:pStyle w:val="Bullettext"/>
      </w:pPr>
      <w:r>
        <w:t xml:space="preserve">If spirometry is not undertaken to accurately determine diagnosis, some patients with </w:t>
      </w:r>
      <w:r w:rsidR="005D74E7">
        <w:t xml:space="preserve">ACOS </w:t>
      </w:r>
      <w:r>
        <w:t>may only receive LAMA/LA</w:t>
      </w:r>
      <w:r w:rsidR="0070554A">
        <w:t>B</w:t>
      </w:r>
      <w:r>
        <w:t>A treatment, which may</w:t>
      </w:r>
      <w:r w:rsidR="00A01D61">
        <w:t xml:space="preserve"> be detrimental to their care. </w:t>
      </w:r>
    </w:p>
    <w:p w:rsidR="0033716D" w:rsidRPr="00A01D61" w:rsidRDefault="0033716D" w:rsidP="00A01D61">
      <w:pPr>
        <w:rPr>
          <w:u w:val="single"/>
        </w:rPr>
      </w:pPr>
      <w:r w:rsidRPr="00A01D61">
        <w:rPr>
          <w:u w:val="single"/>
        </w:rPr>
        <w:t xml:space="preserve">Stakeholder </w:t>
      </w:r>
      <w:r w:rsidR="00A01D61" w:rsidRPr="00A01D61">
        <w:rPr>
          <w:u w:val="single"/>
        </w:rPr>
        <w:t>views</w:t>
      </w:r>
    </w:p>
    <w:p w:rsidR="00301EDF" w:rsidRDefault="005D74E7" w:rsidP="005D74E7">
      <w:pPr>
        <w:pStyle w:val="Bullettext"/>
      </w:pPr>
      <w:r>
        <w:t xml:space="preserve">Some stakeholders supported this option, while others did not. Some considered that </w:t>
      </w:r>
      <w:r w:rsidRPr="006D3083">
        <w:t xml:space="preserve">the </w:t>
      </w:r>
      <w:r>
        <w:t>PBS restriction level</w:t>
      </w:r>
      <w:r w:rsidRPr="006D3083">
        <w:t xml:space="preserve"> for</w:t>
      </w:r>
      <w:r>
        <w:t xml:space="preserve"> LAMA/LABA and ICS/LABA FDCs should be consistent</w:t>
      </w:r>
      <w:r w:rsidRPr="006D3083">
        <w:t>.</w:t>
      </w:r>
    </w:p>
    <w:p w:rsidR="005D74E7" w:rsidRPr="005D74E7" w:rsidRDefault="00301EDF" w:rsidP="005D74E7">
      <w:pPr>
        <w:pStyle w:val="Bullettext"/>
      </w:pPr>
      <w:r>
        <w:t>A number of stakeholders were not supportive of</w:t>
      </w:r>
      <w:r w:rsidR="005D74E7">
        <w:rPr>
          <w:rFonts w:eastAsia="Times New Roman"/>
          <w:iCs/>
        </w:rPr>
        <w:t xml:space="preserve"> </w:t>
      </w:r>
      <w:r w:rsidR="000C4088">
        <w:rPr>
          <w:rFonts w:eastAsia="Times New Roman"/>
          <w:iCs/>
        </w:rPr>
        <w:t>O</w:t>
      </w:r>
      <w:r w:rsidRPr="005D74E7">
        <w:rPr>
          <w:rFonts w:eastAsia="Times New Roman"/>
          <w:iCs/>
        </w:rPr>
        <w:t>ption 5 for th</w:t>
      </w:r>
      <w:r w:rsidR="006D3083" w:rsidRPr="005D74E7">
        <w:rPr>
          <w:rFonts w:eastAsia="Times New Roman"/>
          <w:iCs/>
        </w:rPr>
        <w:t xml:space="preserve">e following </w:t>
      </w:r>
      <w:r w:rsidRPr="005D74E7">
        <w:rPr>
          <w:rFonts w:eastAsia="Times New Roman"/>
          <w:iCs/>
        </w:rPr>
        <w:t>reasons</w:t>
      </w:r>
      <w:r w:rsidR="005D74E7">
        <w:rPr>
          <w:rFonts w:eastAsia="Times New Roman"/>
          <w:iCs/>
        </w:rPr>
        <w:t>:</w:t>
      </w:r>
    </w:p>
    <w:p w:rsidR="00E24FA2" w:rsidRPr="005D74E7" w:rsidRDefault="000A5CF7" w:rsidP="00CD1D07">
      <w:pPr>
        <w:pStyle w:val="Bullettext"/>
        <w:numPr>
          <w:ilvl w:val="0"/>
          <w:numId w:val="31"/>
        </w:numPr>
      </w:pPr>
      <w:r w:rsidRPr="005D74E7">
        <w:rPr>
          <w:rFonts w:eastAsia="Times New Roman"/>
          <w:iCs/>
        </w:rPr>
        <w:t>P</w:t>
      </w:r>
      <w:r w:rsidR="00E24FA2" w:rsidRPr="005D74E7">
        <w:rPr>
          <w:rFonts w:eastAsia="Times New Roman"/>
          <w:iCs/>
        </w:rPr>
        <w:t>atients should be assessed for disease severity</w:t>
      </w:r>
      <w:r w:rsidR="005D74E7">
        <w:rPr>
          <w:rFonts w:eastAsia="Times New Roman"/>
          <w:iCs/>
        </w:rPr>
        <w:t xml:space="preserve"> and </w:t>
      </w:r>
      <w:r w:rsidR="00E24FA2" w:rsidRPr="005D74E7">
        <w:rPr>
          <w:rFonts w:eastAsia="Times New Roman"/>
          <w:iCs/>
        </w:rPr>
        <w:t>pneumonia</w:t>
      </w:r>
      <w:r w:rsidRPr="005D74E7">
        <w:rPr>
          <w:rFonts w:eastAsia="Times New Roman"/>
          <w:iCs/>
        </w:rPr>
        <w:t xml:space="preserve"> </w:t>
      </w:r>
      <w:r w:rsidR="005D74E7">
        <w:rPr>
          <w:rFonts w:eastAsia="Times New Roman"/>
          <w:iCs/>
        </w:rPr>
        <w:t xml:space="preserve">risk, </w:t>
      </w:r>
      <w:r w:rsidRPr="005D74E7">
        <w:rPr>
          <w:rFonts w:eastAsia="Times New Roman"/>
          <w:iCs/>
        </w:rPr>
        <w:t>and receiv</w:t>
      </w:r>
      <w:r w:rsidR="005D74E7">
        <w:rPr>
          <w:rFonts w:eastAsia="Times New Roman"/>
          <w:iCs/>
        </w:rPr>
        <w:t>e individually tailored therapy.</w:t>
      </w:r>
    </w:p>
    <w:p w:rsidR="005D74E7" w:rsidRDefault="005D74E7" w:rsidP="00CD1D07">
      <w:pPr>
        <w:pStyle w:val="ListParagraph"/>
        <w:numPr>
          <w:ilvl w:val="0"/>
          <w:numId w:val="31"/>
        </w:numPr>
        <w:spacing w:before="0"/>
        <w:rPr>
          <w:rFonts w:eastAsia="Times New Roman"/>
          <w:iCs/>
        </w:rPr>
      </w:pPr>
      <w:r>
        <w:t>M</w:t>
      </w:r>
      <w:r w:rsidRPr="0027650E">
        <w:t>any patients gain symptomatic benefit from ICS/LABA treatment</w:t>
      </w:r>
      <w:r>
        <w:t>.</w:t>
      </w:r>
    </w:p>
    <w:p w:rsidR="000A5CF7" w:rsidRDefault="005D74E7" w:rsidP="00CD1D07">
      <w:pPr>
        <w:pStyle w:val="ListParagraph"/>
        <w:numPr>
          <w:ilvl w:val="0"/>
          <w:numId w:val="31"/>
        </w:numPr>
        <w:rPr>
          <w:rFonts w:eastAsia="Times New Roman"/>
          <w:iCs/>
        </w:rPr>
      </w:pPr>
      <w:r>
        <w:rPr>
          <w:rFonts w:eastAsia="Times New Roman"/>
          <w:iCs/>
        </w:rPr>
        <w:t>International and n</w:t>
      </w:r>
      <w:r w:rsidR="009F7A17">
        <w:rPr>
          <w:rFonts w:eastAsia="Times New Roman"/>
          <w:iCs/>
        </w:rPr>
        <w:t xml:space="preserve">ational evidence supports that </w:t>
      </w:r>
      <w:r w:rsidR="000A5CF7">
        <w:rPr>
          <w:rFonts w:eastAsia="Times New Roman"/>
          <w:iCs/>
        </w:rPr>
        <w:t xml:space="preserve">COPD treatments are </w:t>
      </w:r>
      <w:r w:rsidR="00C31DF8">
        <w:rPr>
          <w:rFonts w:eastAsia="Times New Roman"/>
          <w:iCs/>
        </w:rPr>
        <w:t>underutilised</w:t>
      </w:r>
      <w:r>
        <w:rPr>
          <w:rFonts w:eastAsia="Times New Roman"/>
          <w:iCs/>
        </w:rPr>
        <w:t>.</w:t>
      </w:r>
      <w:r w:rsidR="000A5CF7">
        <w:rPr>
          <w:rFonts w:eastAsia="Times New Roman"/>
          <w:iCs/>
        </w:rPr>
        <w:t xml:space="preserve"> </w:t>
      </w:r>
    </w:p>
    <w:p w:rsidR="009B4F7D" w:rsidRDefault="009B4F7D" w:rsidP="00CD1D07">
      <w:pPr>
        <w:pStyle w:val="ListParagraph"/>
        <w:numPr>
          <w:ilvl w:val="0"/>
          <w:numId w:val="31"/>
        </w:numPr>
        <w:rPr>
          <w:rFonts w:eastAsia="Times New Roman"/>
          <w:iCs/>
        </w:rPr>
      </w:pPr>
      <w:r>
        <w:rPr>
          <w:rFonts w:eastAsia="Times New Roman"/>
          <w:iCs/>
        </w:rPr>
        <w:t>The real world evidence for ICS withdrawal is u</w:t>
      </w:r>
      <w:r w:rsidR="005D74E7">
        <w:rPr>
          <w:rFonts w:eastAsia="Times New Roman"/>
          <w:iCs/>
        </w:rPr>
        <w:t>ncertain.</w:t>
      </w:r>
    </w:p>
    <w:p w:rsidR="00CC022F" w:rsidRDefault="005D74E7" w:rsidP="00CD1D07">
      <w:pPr>
        <w:pStyle w:val="ListParagraph"/>
        <w:numPr>
          <w:ilvl w:val="0"/>
          <w:numId w:val="31"/>
        </w:numPr>
        <w:rPr>
          <w:rFonts w:eastAsia="Times New Roman"/>
          <w:iCs/>
        </w:rPr>
      </w:pPr>
      <w:r>
        <w:rPr>
          <w:rFonts w:eastAsia="Times New Roman"/>
          <w:iCs/>
        </w:rPr>
        <w:t xml:space="preserve">May </w:t>
      </w:r>
      <w:r w:rsidR="00CC022F">
        <w:rPr>
          <w:rFonts w:eastAsia="Times New Roman"/>
          <w:iCs/>
        </w:rPr>
        <w:t>r</w:t>
      </w:r>
      <w:r>
        <w:rPr>
          <w:rFonts w:eastAsia="Times New Roman"/>
          <w:iCs/>
        </w:rPr>
        <w:t xml:space="preserve">educe access to appropriate treatment for </w:t>
      </w:r>
      <w:r w:rsidR="00C1022D">
        <w:rPr>
          <w:rFonts w:eastAsia="Times New Roman"/>
          <w:iCs/>
        </w:rPr>
        <w:t xml:space="preserve">Asthma-COPD Overlap </w:t>
      </w:r>
      <w:r>
        <w:rPr>
          <w:rFonts w:eastAsia="Times New Roman"/>
          <w:iCs/>
        </w:rPr>
        <w:t>patients.</w:t>
      </w:r>
    </w:p>
    <w:p w:rsidR="00E24FA2" w:rsidRDefault="005D74E7" w:rsidP="00CD1D07">
      <w:pPr>
        <w:pStyle w:val="ListParagraph"/>
        <w:numPr>
          <w:ilvl w:val="0"/>
          <w:numId w:val="31"/>
        </w:numPr>
        <w:rPr>
          <w:rFonts w:eastAsia="Times New Roman"/>
          <w:iCs/>
        </w:rPr>
      </w:pPr>
      <w:r>
        <w:rPr>
          <w:rFonts w:eastAsia="Times New Roman"/>
          <w:iCs/>
        </w:rPr>
        <w:t>I</w:t>
      </w:r>
      <w:r w:rsidR="00586161">
        <w:rPr>
          <w:rFonts w:eastAsia="Times New Roman"/>
          <w:iCs/>
        </w:rPr>
        <w:t>ncrease</w:t>
      </w:r>
      <w:r>
        <w:rPr>
          <w:rFonts w:eastAsia="Times New Roman"/>
          <w:iCs/>
        </w:rPr>
        <w:t>d</w:t>
      </w:r>
      <w:r w:rsidR="00586161">
        <w:rPr>
          <w:rFonts w:eastAsia="Times New Roman"/>
          <w:iCs/>
        </w:rPr>
        <w:t xml:space="preserve"> p</w:t>
      </w:r>
      <w:r w:rsidR="00CC022F">
        <w:rPr>
          <w:rFonts w:eastAsia="Times New Roman"/>
          <w:iCs/>
        </w:rPr>
        <w:t>rescriber administration burden</w:t>
      </w:r>
      <w:r>
        <w:rPr>
          <w:rFonts w:eastAsia="Times New Roman"/>
          <w:iCs/>
        </w:rPr>
        <w:t>.</w:t>
      </w:r>
    </w:p>
    <w:p w:rsidR="009B4F7D" w:rsidRDefault="00586161" w:rsidP="00CD1D07">
      <w:pPr>
        <w:pStyle w:val="ListParagraph"/>
        <w:numPr>
          <w:ilvl w:val="0"/>
          <w:numId w:val="31"/>
        </w:numPr>
        <w:rPr>
          <w:rFonts w:eastAsia="Times New Roman"/>
          <w:iCs/>
        </w:rPr>
      </w:pPr>
      <w:r w:rsidRPr="005D74E7">
        <w:rPr>
          <w:rFonts w:eastAsia="Times New Roman"/>
          <w:iCs/>
        </w:rPr>
        <w:t xml:space="preserve">Appropriate prescribing </w:t>
      </w:r>
      <w:r w:rsidR="000A5CF7" w:rsidRPr="005D74E7">
        <w:rPr>
          <w:rFonts w:eastAsia="Times New Roman"/>
          <w:iCs/>
        </w:rPr>
        <w:t xml:space="preserve">and use </w:t>
      </w:r>
      <w:r w:rsidRPr="005D74E7">
        <w:rPr>
          <w:rFonts w:eastAsia="Times New Roman"/>
          <w:iCs/>
        </w:rPr>
        <w:t xml:space="preserve">of ICS/LABAs may </w:t>
      </w:r>
      <w:r w:rsidR="005D74E7">
        <w:rPr>
          <w:rFonts w:eastAsia="Times New Roman"/>
          <w:iCs/>
        </w:rPr>
        <w:t xml:space="preserve">be </w:t>
      </w:r>
      <w:r w:rsidRPr="005D74E7">
        <w:rPr>
          <w:rFonts w:eastAsia="Times New Roman"/>
          <w:iCs/>
        </w:rPr>
        <w:t>achieved by increased access to educational activities</w:t>
      </w:r>
      <w:r w:rsidR="005D74E7">
        <w:rPr>
          <w:rFonts w:eastAsia="Times New Roman"/>
          <w:iCs/>
        </w:rPr>
        <w:t xml:space="preserve"> for</w:t>
      </w:r>
      <w:r w:rsidR="000A5CF7" w:rsidRPr="005D74E7">
        <w:rPr>
          <w:rFonts w:eastAsia="Times New Roman"/>
          <w:iCs/>
        </w:rPr>
        <w:t xml:space="preserve"> prescribers and patients</w:t>
      </w:r>
      <w:r w:rsidR="009F43C6" w:rsidRPr="005D74E7">
        <w:rPr>
          <w:rFonts w:eastAsia="Times New Roman"/>
          <w:iCs/>
        </w:rPr>
        <w:t>.</w:t>
      </w:r>
    </w:p>
    <w:p w:rsidR="00001BAA" w:rsidRPr="009E646B" w:rsidRDefault="004B3268" w:rsidP="00283E41">
      <w:pPr>
        <w:keepNext/>
        <w:keepLines/>
        <w:rPr>
          <w:u w:val="single"/>
        </w:rPr>
      </w:pPr>
      <w:r>
        <w:rPr>
          <w:u w:val="single"/>
        </w:rPr>
        <w:t>RG</w:t>
      </w:r>
      <w:r w:rsidR="00001BAA" w:rsidRPr="009E646B">
        <w:rPr>
          <w:u w:val="single"/>
        </w:rPr>
        <w:t xml:space="preserve"> comments</w:t>
      </w:r>
    </w:p>
    <w:p w:rsidR="005D7B2C" w:rsidRPr="00D30141" w:rsidRDefault="005E3C89" w:rsidP="00283E41">
      <w:pPr>
        <w:pStyle w:val="Bullettext"/>
        <w:keepNext/>
        <w:keepLines/>
        <w:rPr>
          <w:i/>
        </w:rPr>
      </w:pPr>
      <w:r>
        <w:t xml:space="preserve">The majority of </w:t>
      </w:r>
      <w:r w:rsidR="004B3268">
        <w:t>RG</w:t>
      </w:r>
      <w:r>
        <w:t xml:space="preserve"> members supported this option. The </w:t>
      </w:r>
      <w:r w:rsidR="004B3268">
        <w:t>RG</w:t>
      </w:r>
      <w:r>
        <w:t xml:space="preserve"> </w:t>
      </w:r>
      <w:r w:rsidR="005D7B2C">
        <w:t xml:space="preserve">noted that the recent Post-market Review of Authority Required Medicines aimed to reduce the burden of authority restrictions on prescribers, but </w:t>
      </w:r>
      <w:r>
        <w:t xml:space="preserve">considered that a streamlined authority was not onerous on prescribers and that aligning the restriction levels for ICS/LABAs and LAMA/LABAs would encourage more appropriate prescribing. </w:t>
      </w:r>
    </w:p>
    <w:p w:rsidR="00001BAA" w:rsidRPr="009E646B" w:rsidRDefault="005E3C89" w:rsidP="00283E41">
      <w:pPr>
        <w:pStyle w:val="Bullettext"/>
        <w:keepNext/>
        <w:keepLines/>
        <w:rPr>
          <w:i/>
        </w:rPr>
      </w:pPr>
      <w:r>
        <w:t xml:space="preserve">The </w:t>
      </w:r>
      <w:r w:rsidR="004B3268">
        <w:t>RG</w:t>
      </w:r>
      <w:r>
        <w:t xml:space="preserve"> recommended that a streamlined code also be included for</w:t>
      </w:r>
      <w:r w:rsidR="00C1022D">
        <w:t xml:space="preserve"> </w:t>
      </w:r>
      <w:r w:rsidR="00C1022D">
        <w:rPr>
          <w:rFonts w:eastAsia="Times New Roman"/>
          <w:iCs/>
        </w:rPr>
        <w:t>Asthma-COPD Overlap</w:t>
      </w:r>
      <w:r>
        <w:t>, to improve awareness of the condition and allow data collection on medicines use for treatment.</w:t>
      </w:r>
    </w:p>
    <w:p w:rsidR="008437AC" w:rsidRDefault="008437AC" w:rsidP="006C3314">
      <w:pPr>
        <w:pStyle w:val="Heading4"/>
      </w:pPr>
      <w:r>
        <w:t>Option 6</w:t>
      </w:r>
    </w:p>
    <w:p w:rsidR="008437AC" w:rsidRPr="000558C0" w:rsidRDefault="008437AC" w:rsidP="000558C0">
      <w:pPr>
        <w:rPr>
          <w:b/>
        </w:rPr>
      </w:pPr>
      <w:r w:rsidRPr="000558C0">
        <w:rPr>
          <w:b/>
        </w:rPr>
        <w:t xml:space="preserve">Increase the restriction level for ICS/LABAs and LAMA/LABAs listed on the PBS for the treatment of COPD to Authority </w:t>
      </w:r>
      <w:proofErr w:type="gramStart"/>
      <w:r w:rsidRPr="000558C0">
        <w:rPr>
          <w:b/>
        </w:rPr>
        <w:t>Required</w:t>
      </w:r>
      <w:proofErr w:type="gramEnd"/>
      <w:r w:rsidRPr="000558C0">
        <w:rPr>
          <w:b/>
        </w:rPr>
        <w:t xml:space="preserve"> (online).</w:t>
      </w:r>
    </w:p>
    <w:p w:rsidR="008437AC" w:rsidRPr="00C06BD0" w:rsidRDefault="000C4088" w:rsidP="008437AC">
      <w:pPr>
        <w:rPr>
          <w:u w:val="single"/>
        </w:rPr>
      </w:pPr>
      <w:r>
        <w:rPr>
          <w:u w:val="single"/>
        </w:rPr>
        <w:t>Rationale</w:t>
      </w:r>
    </w:p>
    <w:p w:rsidR="008437AC" w:rsidRDefault="008437AC" w:rsidP="00E55643">
      <w:pPr>
        <w:pStyle w:val="Bullettext"/>
      </w:pPr>
      <w:r>
        <w:t>As for Option 5.</w:t>
      </w:r>
    </w:p>
    <w:p w:rsidR="008437AC" w:rsidRDefault="008437AC" w:rsidP="00E55643">
      <w:pPr>
        <w:pStyle w:val="Bullettext"/>
      </w:pPr>
      <w:r>
        <w:t>Sends a stronger and more auditable signal to prescribers that the patient should not comme</w:t>
      </w:r>
      <w:r w:rsidR="000749AA">
        <w:t xml:space="preserve">nce therapy with a combination. </w:t>
      </w:r>
      <w:r>
        <w:t xml:space="preserve">Medicines utilisation data indicates that a </w:t>
      </w:r>
      <w:r>
        <w:lastRenderedPageBreak/>
        <w:t>significant and growing proportion of COPD patients commence therapy with ICS/LABA and LAMA/LABA FDCs.</w:t>
      </w:r>
    </w:p>
    <w:p w:rsidR="008437AC" w:rsidRPr="00C06BD0" w:rsidRDefault="000749AA" w:rsidP="00D30141">
      <w:pPr>
        <w:keepNext/>
        <w:keepLines/>
        <w:rPr>
          <w:u w:val="single"/>
        </w:rPr>
      </w:pPr>
      <w:r>
        <w:rPr>
          <w:u w:val="single"/>
        </w:rPr>
        <w:t>Risks/d</w:t>
      </w:r>
      <w:r w:rsidR="00001BAA">
        <w:rPr>
          <w:u w:val="single"/>
        </w:rPr>
        <w:t>isadvantages</w:t>
      </w:r>
    </w:p>
    <w:p w:rsidR="008437AC" w:rsidRDefault="008437AC" w:rsidP="00D30141">
      <w:pPr>
        <w:pStyle w:val="Bullettext"/>
        <w:keepNext/>
        <w:keepLines/>
      </w:pPr>
      <w:r>
        <w:t>As for Option 5.</w:t>
      </w:r>
    </w:p>
    <w:p w:rsidR="008437AC" w:rsidRDefault="008437AC" w:rsidP="00E55643">
      <w:pPr>
        <w:pStyle w:val="Bullettext"/>
      </w:pPr>
      <w:r>
        <w:t>Online authority system is not yet complete.</w:t>
      </w:r>
    </w:p>
    <w:p w:rsidR="000A5CF7" w:rsidRPr="00001BAA" w:rsidRDefault="000A5CF7" w:rsidP="00001BAA">
      <w:pPr>
        <w:rPr>
          <w:u w:val="single"/>
        </w:rPr>
      </w:pPr>
      <w:r w:rsidRPr="00001BAA">
        <w:rPr>
          <w:u w:val="single"/>
        </w:rPr>
        <w:t xml:space="preserve">Stakeholder </w:t>
      </w:r>
      <w:r w:rsidR="00001BAA">
        <w:rPr>
          <w:u w:val="single"/>
        </w:rPr>
        <w:t>views</w:t>
      </w:r>
    </w:p>
    <w:p w:rsidR="00C31DF8" w:rsidRPr="00EC25AD" w:rsidRDefault="00D3657E" w:rsidP="00D3657E">
      <w:pPr>
        <w:pStyle w:val="Bullettext"/>
      </w:pPr>
      <w:r>
        <w:t xml:space="preserve">Stakeholders generally did not support this option, and </w:t>
      </w:r>
      <w:r w:rsidR="000A5CF7" w:rsidRPr="001674AD">
        <w:t xml:space="preserve">considered the change </w:t>
      </w:r>
      <w:r>
        <w:t xml:space="preserve">may </w:t>
      </w:r>
      <w:r w:rsidR="000A5CF7" w:rsidRPr="001674AD">
        <w:t>be problematic for prescribers/patients.</w:t>
      </w:r>
    </w:p>
    <w:p w:rsidR="00001BAA" w:rsidRPr="009E646B" w:rsidRDefault="004B3268" w:rsidP="00001BAA">
      <w:pPr>
        <w:rPr>
          <w:u w:val="single"/>
        </w:rPr>
      </w:pPr>
      <w:r>
        <w:rPr>
          <w:u w:val="single"/>
        </w:rPr>
        <w:t>RG</w:t>
      </w:r>
      <w:r w:rsidR="00001BAA" w:rsidRPr="009E646B">
        <w:rPr>
          <w:u w:val="single"/>
        </w:rPr>
        <w:t xml:space="preserve"> comments</w:t>
      </w:r>
    </w:p>
    <w:p w:rsidR="00001BAA" w:rsidRPr="009E646B" w:rsidRDefault="005E3C89" w:rsidP="00001BAA">
      <w:pPr>
        <w:pStyle w:val="Bullettext"/>
        <w:rPr>
          <w:i/>
        </w:rPr>
      </w:pPr>
      <w:r>
        <w:t xml:space="preserve">The </w:t>
      </w:r>
      <w:r w:rsidR="004B3268">
        <w:t>RG</w:t>
      </w:r>
      <w:r>
        <w:t xml:space="preserve"> did not support this option</w:t>
      </w:r>
      <w:r w:rsidR="005D7B2C">
        <w:t>, as it was considered that too little information was currently available on the proposed online authority system.</w:t>
      </w:r>
    </w:p>
    <w:p w:rsidR="008437AC" w:rsidRDefault="008437AC" w:rsidP="001C3A23">
      <w:pPr>
        <w:pStyle w:val="Heading4"/>
      </w:pPr>
      <w:r>
        <w:t>Option 7</w:t>
      </w:r>
    </w:p>
    <w:p w:rsidR="008437AC" w:rsidRDefault="008437AC" w:rsidP="001C3A23">
      <w:pPr>
        <w:keepNext/>
        <w:keepLines/>
        <w:rPr>
          <w:b/>
        </w:rPr>
      </w:pPr>
      <w:r>
        <w:rPr>
          <w:b/>
        </w:rPr>
        <w:t>Reduce the restriction level for LAMA/LABAs to Restricted Benefit.</w:t>
      </w:r>
    </w:p>
    <w:p w:rsidR="008437AC" w:rsidRPr="001C3A23" w:rsidRDefault="00001BAA" w:rsidP="001C3A23">
      <w:pPr>
        <w:keepNext/>
        <w:keepLines/>
        <w:rPr>
          <w:u w:val="single"/>
        </w:rPr>
      </w:pPr>
      <w:r>
        <w:rPr>
          <w:u w:val="single"/>
        </w:rPr>
        <w:t>Rationale</w:t>
      </w:r>
    </w:p>
    <w:p w:rsidR="008437AC" w:rsidRDefault="008437AC" w:rsidP="00E55643">
      <w:pPr>
        <w:pStyle w:val="Bullettext"/>
      </w:pPr>
      <w:r>
        <w:t xml:space="preserve">LAMA/LABAs are only listed for the treatment of COPD. </w:t>
      </w:r>
      <w:r w:rsidR="0053025E">
        <w:t xml:space="preserve"> </w:t>
      </w:r>
      <w:r>
        <w:t>Therefore, a streamlined code is unnecessary to collect indication data.</w:t>
      </w:r>
    </w:p>
    <w:p w:rsidR="008437AC" w:rsidRPr="001C3A23" w:rsidRDefault="00D3657E" w:rsidP="008437AC">
      <w:pPr>
        <w:rPr>
          <w:u w:val="single"/>
        </w:rPr>
      </w:pPr>
      <w:r>
        <w:rPr>
          <w:u w:val="single"/>
        </w:rPr>
        <w:t>Risks/d</w:t>
      </w:r>
      <w:r w:rsidR="00001BAA">
        <w:rPr>
          <w:u w:val="single"/>
        </w:rPr>
        <w:t>isadvantages</w:t>
      </w:r>
    </w:p>
    <w:p w:rsidR="008437AC" w:rsidRDefault="008437AC" w:rsidP="00E55643">
      <w:pPr>
        <w:pStyle w:val="Bullettext"/>
      </w:pPr>
      <w:r>
        <w:t xml:space="preserve">May increase the proportion of patients initiating on a LAMA/LABA FDC, which is both a QUM and cost-effectiveness issue. </w:t>
      </w:r>
    </w:p>
    <w:p w:rsidR="008437AC" w:rsidRDefault="008437AC" w:rsidP="00E55643">
      <w:pPr>
        <w:pStyle w:val="Bullettext"/>
      </w:pPr>
      <w:r>
        <w:t>Medicines utilisation data indicates that the proportion of COPD patients initiating therapy with LAMA/LABA FDCs is growing.</w:t>
      </w:r>
    </w:p>
    <w:p w:rsidR="006C3314" w:rsidRDefault="008437AC" w:rsidP="00E55643">
      <w:pPr>
        <w:pStyle w:val="Bullettext"/>
      </w:pPr>
      <w:r>
        <w:t>From a cost perspective, LAMA/LABAs are priced over LAMA, LABA or ICS/LABA alone.</w:t>
      </w:r>
    </w:p>
    <w:p w:rsidR="009071EC" w:rsidRPr="00D3657E" w:rsidRDefault="009071EC" w:rsidP="00D3657E">
      <w:pPr>
        <w:rPr>
          <w:u w:val="single"/>
        </w:rPr>
      </w:pPr>
      <w:r w:rsidRPr="00D3657E">
        <w:rPr>
          <w:u w:val="single"/>
        </w:rPr>
        <w:t xml:space="preserve">Stakeholder </w:t>
      </w:r>
      <w:r w:rsidR="00D3657E">
        <w:rPr>
          <w:u w:val="single"/>
        </w:rPr>
        <w:t>views</w:t>
      </w:r>
    </w:p>
    <w:p w:rsidR="00D3657E" w:rsidRDefault="00D3657E" w:rsidP="00D3657E">
      <w:pPr>
        <w:pStyle w:val="Bullettext"/>
      </w:pPr>
      <w:r>
        <w:t xml:space="preserve">The majority of stakeholders were supportive of this option. </w:t>
      </w:r>
    </w:p>
    <w:p w:rsidR="004B5313" w:rsidRDefault="00442C56" w:rsidP="00D3657E">
      <w:pPr>
        <w:pStyle w:val="Bullettext"/>
      </w:pPr>
      <w:r>
        <w:t>A less restrictive PBS listing for LAMA/LABA FDC</w:t>
      </w:r>
      <w:r w:rsidR="00D3657E">
        <w:t>s</w:t>
      </w:r>
      <w:r w:rsidR="00F64764">
        <w:t xml:space="preserve"> </w:t>
      </w:r>
      <w:r w:rsidR="00D3657E">
        <w:t>was</w:t>
      </w:r>
      <w:r w:rsidR="009F7A17">
        <w:t xml:space="preserve"> considered to</w:t>
      </w:r>
      <w:r w:rsidR="00F64764">
        <w:t xml:space="preserve"> reduce barriers to patient access, improve </w:t>
      </w:r>
      <w:r w:rsidR="00D3657E">
        <w:t>QUM, and reduce administrative</w:t>
      </w:r>
      <w:r w:rsidR="00F64764">
        <w:t xml:space="preserve"> burden for prescribers.</w:t>
      </w:r>
    </w:p>
    <w:p w:rsidR="002419FC" w:rsidRPr="009E646B" w:rsidRDefault="004B3268" w:rsidP="002419FC">
      <w:pPr>
        <w:rPr>
          <w:u w:val="single"/>
        </w:rPr>
      </w:pPr>
      <w:r>
        <w:rPr>
          <w:u w:val="single"/>
        </w:rPr>
        <w:t>RG</w:t>
      </w:r>
      <w:r w:rsidR="002419FC" w:rsidRPr="009E646B">
        <w:rPr>
          <w:u w:val="single"/>
        </w:rPr>
        <w:t xml:space="preserve"> comments</w:t>
      </w:r>
    </w:p>
    <w:p w:rsidR="002419FC" w:rsidRPr="009E646B" w:rsidRDefault="005D7B2C" w:rsidP="002419FC">
      <w:pPr>
        <w:pStyle w:val="Bullettext"/>
        <w:rPr>
          <w:i/>
        </w:rPr>
      </w:pPr>
      <w:r>
        <w:t xml:space="preserve">The majority of </w:t>
      </w:r>
      <w:r w:rsidR="004B3268">
        <w:t>RG</w:t>
      </w:r>
      <w:r>
        <w:t xml:space="preserve"> members did not support this option, as </w:t>
      </w:r>
      <w:proofErr w:type="gramStart"/>
      <w:r w:rsidR="009376AB">
        <w:t xml:space="preserve">they </w:t>
      </w:r>
      <w:r>
        <w:t xml:space="preserve"> considered</w:t>
      </w:r>
      <w:proofErr w:type="gramEnd"/>
      <w:r>
        <w:t xml:space="preserve"> that </w:t>
      </w:r>
      <w:r w:rsidR="009376AB">
        <w:t xml:space="preserve">a  streamlined authority restriction </w:t>
      </w:r>
      <w:r>
        <w:t>level for LAMA/LABAs and ICS/LABAs (</w:t>
      </w:r>
      <w:r w:rsidR="00A04F22">
        <w:t>PBS-</w:t>
      </w:r>
      <w:r>
        <w:t xml:space="preserve">listed for COPD treatment) would encourage </w:t>
      </w:r>
      <w:r w:rsidR="00A04F22">
        <w:t>more appropriate prescribing of both medicine classes.</w:t>
      </w:r>
    </w:p>
    <w:p w:rsidR="008437AC" w:rsidRDefault="008437AC" w:rsidP="00D30141">
      <w:pPr>
        <w:pStyle w:val="Heading3"/>
        <w:keepLines/>
        <w:numPr>
          <w:ilvl w:val="0"/>
          <w:numId w:val="0"/>
        </w:numPr>
      </w:pPr>
      <w:bookmarkStart w:id="27" w:name="_Toc486853483"/>
      <w:r>
        <w:lastRenderedPageBreak/>
        <w:t>Cost-effectiveness</w:t>
      </w:r>
      <w:bookmarkEnd w:id="27"/>
    </w:p>
    <w:p w:rsidR="008437AC" w:rsidRDefault="008437AC">
      <w:pPr>
        <w:pStyle w:val="Heading4"/>
      </w:pPr>
      <w:r w:rsidRPr="006C3314">
        <w:t>Option</w:t>
      </w:r>
      <w:r>
        <w:t xml:space="preserve"> 8</w:t>
      </w:r>
    </w:p>
    <w:p w:rsidR="008437AC" w:rsidRDefault="008437AC" w:rsidP="00D30141">
      <w:pPr>
        <w:keepNext/>
        <w:keepLines/>
        <w:rPr>
          <w:b/>
        </w:rPr>
      </w:pPr>
      <w:r>
        <w:rPr>
          <w:b/>
        </w:rPr>
        <w:t>Reconsider the cost-effectiveness of FDC inhalers for COPD.</w:t>
      </w:r>
    </w:p>
    <w:p w:rsidR="008437AC" w:rsidRPr="001C3A23" w:rsidRDefault="00001BAA" w:rsidP="00D30141">
      <w:pPr>
        <w:keepNext/>
        <w:keepLines/>
        <w:rPr>
          <w:b/>
          <w:i/>
          <w:u w:val="single"/>
        </w:rPr>
      </w:pPr>
      <w:r>
        <w:rPr>
          <w:u w:val="single"/>
        </w:rPr>
        <w:t>Rationale</w:t>
      </w:r>
    </w:p>
    <w:p w:rsidR="008437AC" w:rsidRDefault="008437AC" w:rsidP="00D30141">
      <w:pPr>
        <w:pStyle w:val="Bullettext"/>
        <w:keepNext/>
        <w:keepLines/>
      </w:pPr>
      <w:r>
        <w:t>There is evidence from both PBS data and MedicineInsight (prescriber data) of increasing use of FDC inhalers in first</w:t>
      </w:r>
      <w:r w:rsidR="006807CD">
        <w:t>-</w:t>
      </w:r>
      <w:r>
        <w:t xml:space="preserve">line therapy. </w:t>
      </w:r>
      <w:r w:rsidR="0053025E">
        <w:t xml:space="preserve"> </w:t>
      </w:r>
      <w:r>
        <w:t xml:space="preserve">This use is not in line with the COPD-X guidelines. </w:t>
      </w:r>
    </w:p>
    <w:p w:rsidR="008437AC" w:rsidRDefault="008437AC" w:rsidP="00E55643">
      <w:pPr>
        <w:pStyle w:val="Bullettext"/>
        <w:rPr>
          <w:b/>
          <w:i/>
        </w:rPr>
      </w:pPr>
      <w:r>
        <w:t>FDCs of both LABA/LAMA and ICS/LABA contribute to inappropriate use such as duplicated therapy, potentially causing harm and wastage.</w:t>
      </w:r>
    </w:p>
    <w:p w:rsidR="008437AC" w:rsidRDefault="008437AC" w:rsidP="00E55643">
      <w:pPr>
        <w:pStyle w:val="Bullettext"/>
      </w:pPr>
      <w:r>
        <w:t xml:space="preserve">LAMA/LABAs are priced over LAMA, LABA and ICS/LABA alone. </w:t>
      </w:r>
      <w:r w:rsidR="0053025E">
        <w:t xml:space="preserve"> </w:t>
      </w:r>
      <w:r>
        <w:t>The cost-effectiveness of first-line use of LAMA/LABAs has not been considered by the PBAC.</w:t>
      </w:r>
    </w:p>
    <w:p w:rsidR="00301EDF" w:rsidRPr="00001BAA" w:rsidRDefault="00D3657E" w:rsidP="00001BAA">
      <w:pPr>
        <w:rPr>
          <w:u w:val="single"/>
        </w:rPr>
      </w:pPr>
      <w:r>
        <w:rPr>
          <w:u w:val="single"/>
        </w:rPr>
        <w:t>Stakeholder views</w:t>
      </w:r>
    </w:p>
    <w:p w:rsidR="00D3657E" w:rsidRDefault="00D3657E" w:rsidP="00CD1D07">
      <w:pPr>
        <w:pStyle w:val="ListParagraph"/>
        <w:numPr>
          <w:ilvl w:val="0"/>
          <w:numId w:val="30"/>
        </w:numPr>
      </w:pPr>
      <w:r>
        <w:t>Pharmaceutical industry stakeholders were generally not supportive of</w:t>
      </w:r>
      <w:r w:rsidR="00EB6C00">
        <w:t xml:space="preserve"> this option, but </w:t>
      </w:r>
      <w:r>
        <w:t>other stakeholders were.</w:t>
      </w:r>
    </w:p>
    <w:p w:rsidR="00EB6C00" w:rsidRDefault="00EB6C00" w:rsidP="00CD1D07">
      <w:pPr>
        <w:pStyle w:val="ListParagraph"/>
        <w:numPr>
          <w:ilvl w:val="0"/>
          <w:numId w:val="30"/>
        </w:numPr>
      </w:pPr>
      <w:r>
        <w:t>Stakeholders opposed to this option gave the following reasons:</w:t>
      </w:r>
    </w:p>
    <w:p w:rsidR="00301EDF" w:rsidRDefault="00301EDF" w:rsidP="00CD1D07">
      <w:pPr>
        <w:pStyle w:val="ListParagraph"/>
        <w:numPr>
          <w:ilvl w:val="1"/>
          <w:numId w:val="30"/>
        </w:numPr>
        <w:ind w:left="709" w:hanging="283"/>
      </w:pPr>
      <w:r>
        <w:t xml:space="preserve">The PBAC has previously established and accepted the cost-effectiveness of </w:t>
      </w:r>
      <w:r w:rsidR="00EB6C00">
        <w:t xml:space="preserve">these </w:t>
      </w:r>
      <w:r>
        <w:t xml:space="preserve">medicines through a robust evaluation process. </w:t>
      </w:r>
    </w:p>
    <w:p w:rsidR="00301EDF" w:rsidRDefault="00EB6C00" w:rsidP="00CD1D07">
      <w:pPr>
        <w:pStyle w:val="ListParagraph"/>
        <w:numPr>
          <w:ilvl w:val="1"/>
          <w:numId w:val="30"/>
        </w:numPr>
        <w:ind w:left="709" w:hanging="283"/>
      </w:pPr>
      <w:r>
        <w:t xml:space="preserve">The Review </w:t>
      </w:r>
      <w:r w:rsidR="00301EDF">
        <w:t xml:space="preserve">findings </w:t>
      </w:r>
      <w:r>
        <w:t>are insufficient to warrant a cost-</w:t>
      </w:r>
      <w:r w:rsidR="00301EDF">
        <w:t>effectiveness review.</w:t>
      </w:r>
    </w:p>
    <w:p w:rsidR="00EB6C00" w:rsidRDefault="00301EDF" w:rsidP="00CD1D07">
      <w:pPr>
        <w:pStyle w:val="ListParagraph"/>
        <w:numPr>
          <w:ilvl w:val="1"/>
          <w:numId w:val="30"/>
        </w:numPr>
        <w:ind w:left="709" w:hanging="283"/>
      </w:pPr>
      <w:r w:rsidRPr="00A455D0">
        <w:t xml:space="preserve">Inappropriate prescribing </w:t>
      </w:r>
      <w:r>
        <w:t>may</w:t>
      </w:r>
      <w:r w:rsidRPr="00A455D0">
        <w:t xml:space="preserve"> be managed by education</w:t>
      </w:r>
      <w:r>
        <w:t xml:space="preserve"> and </w:t>
      </w:r>
      <w:r w:rsidR="00EB6C00">
        <w:t xml:space="preserve">QUM </w:t>
      </w:r>
      <w:r>
        <w:t>measures.</w:t>
      </w:r>
    </w:p>
    <w:p w:rsidR="00EB6C00" w:rsidRDefault="00EB6C00" w:rsidP="00CD1D07">
      <w:pPr>
        <w:pStyle w:val="ListParagraph"/>
        <w:numPr>
          <w:ilvl w:val="1"/>
          <w:numId w:val="30"/>
        </w:numPr>
        <w:ind w:left="709" w:hanging="283"/>
      </w:pPr>
      <w:r>
        <w:t xml:space="preserve">The price disparity in combination products resulting from individual component drugs not being listed on the PBS has been remedied by the 2017 Medicines Australia Agreement. Substantial savings will also result from this Agreement, due to </w:t>
      </w:r>
      <w:r w:rsidR="00A4260F">
        <w:t xml:space="preserve">future </w:t>
      </w:r>
      <w:r>
        <w:t xml:space="preserve">statutory price reductions to </w:t>
      </w:r>
      <w:r w:rsidR="00A4260F">
        <w:t xml:space="preserve">PBS-listed </w:t>
      </w:r>
      <w:r>
        <w:t xml:space="preserve">COPD medicines. </w:t>
      </w:r>
    </w:p>
    <w:p w:rsidR="004645BC" w:rsidRDefault="00EB6C00" w:rsidP="00CD1D07">
      <w:pPr>
        <w:pStyle w:val="ListParagraph"/>
        <w:numPr>
          <w:ilvl w:val="1"/>
          <w:numId w:val="30"/>
        </w:numPr>
        <w:ind w:left="709" w:hanging="283"/>
      </w:pPr>
      <w:r>
        <w:t>The Review’s u</w:t>
      </w:r>
      <w:r w:rsidR="00301EDF">
        <w:t xml:space="preserve">tilisation </w:t>
      </w:r>
      <w:r>
        <w:t>analysis overestimates the use of combination therapy that is outside of clinical guidelines and PBS restrictions</w:t>
      </w:r>
      <w:r w:rsidR="00301EDF">
        <w:t>.</w:t>
      </w:r>
    </w:p>
    <w:p w:rsidR="00301EDF" w:rsidRDefault="00EB6C00" w:rsidP="00CD1D07">
      <w:pPr>
        <w:pStyle w:val="ListParagraph"/>
        <w:numPr>
          <w:ilvl w:val="1"/>
          <w:numId w:val="30"/>
        </w:numPr>
        <w:ind w:left="709" w:hanging="283"/>
      </w:pPr>
      <w:r>
        <w:t>COPD classes have different</w:t>
      </w:r>
      <w:r w:rsidR="00301EDF">
        <w:t xml:space="preserve"> pharmacological properties, safety profiles</w:t>
      </w:r>
      <w:r w:rsidR="004645BC">
        <w:t xml:space="preserve"> and clinical places in therapy, and establishing price relativities across classes is not appropriate.</w:t>
      </w:r>
    </w:p>
    <w:p w:rsidR="002419FC" w:rsidRPr="009E646B" w:rsidRDefault="004B3268" w:rsidP="002419FC">
      <w:pPr>
        <w:rPr>
          <w:u w:val="single"/>
        </w:rPr>
      </w:pPr>
      <w:r>
        <w:rPr>
          <w:u w:val="single"/>
        </w:rPr>
        <w:t>RG</w:t>
      </w:r>
      <w:r w:rsidR="002419FC" w:rsidRPr="009E646B">
        <w:rPr>
          <w:u w:val="single"/>
        </w:rPr>
        <w:t xml:space="preserve"> comments</w:t>
      </w:r>
    </w:p>
    <w:p w:rsidR="00A04F22" w:rsidRPr="00D30141" w:rsidRDefault="00A04F22" w:rsidP="002419FC">
      <w:pPr>
        <w:pStyle w:val="Bullettext"/>
        <w:rPr>
          <w:i/>
        </w:rPr>
      </w:pPr>
      <w:r>
        <w:t xml:space="preserve">The </w:t>
      </w:r>
      <w:r w:rsidR="004B3268">
        <w:t>RG</w:t>
      </w:r>
      <w:r>
        <w:t xml:space="preserve"> considered that the</w:t>
      </w:r>
      <w:r w:rsidR="00515474">
        <w:t xml:space="preserve"> Review had not identified any</w:t>
      </w:r>
      <w:r>
        <w:t xml:space="preserve"> new</w:t>
      </w:r>
      <w:r w:rsidR="00515474">
        <w:t>, good quality</w:t>
      </w:r>
      <w:r>
        <w:t xml:space="preserve"> evidence </w:t>
      </w:r>
      <w:r w:rsidR="00A14090">
        <w:t xml:space="preserve">on the effectiveness of FDC inhalers </w:t>
      </w:r>
      <w:r w:rsidR="00515474">
        <w:t xml:space="preserve">not previously considered by the PBAC </w:t>
      </w:r>
      <w:r>
        <w:t>that would justify a review of the</w:t>
      </w:r>
      <w:r w:rsidR="00A14090">
        <w:t>ir</w:t>
      </w:r>
      <w:r>
        <w:t xml:space="preserve"> cost-effectiveness, noting that the Review did not consider the use of dual therapy for first-line treatment. </w:t>
      </w:r>
    </w:p>
    <w:p w:rsidR="002419FC" w:rsidRPr="009E646B" w:rsidRDefault="00A14090" w:rsidP="002419FC">
      <w:pPr>
        <w:pStyle w:val="Bullettext"/>
        <w:rPr>
          <w:i/>
        </w:rPr>
      </w:pPr>
      <w:r>
        <w:t xml:space="preserve">The </w:t>
      </w:r>
      <w:r w:rsidR="004B3268">
        <w:t>RG</w:t>
      </w:r>
      <w:r>
        <w:t xml:space="preserve"> noted that the cost-effectiveness of dual therapy FDC inhalers may need to be re-considered if the PBAC received an application to list a triple therapy FDC inhaler for COPD treatment.</w:t>
      </w:r>
    </w:p>
    <w:p w:rsidR="008437AC" w:rsidRDefault="008437AC" w:rsidP="00283E41">
      <w:pPr>
        <w:pStyle w:val="Heading3"/>
        <w:keepLines/>
        <w:numPr>
          <w:ilvl w:val="0"/>
          <w:numId w:val="0"/>
        </w:numPr>
      </w:pPr>
      <w:bookmarkStart w:id="28" w:name="_Toc486853484"/>
      <w:r>
        <w:lastRenderedPageBreak/>
        <w:t>Non-PBS Recommendations</w:t>
      </w:r>
      <w:bookmarkEnd w:id="28"/>
    </w:p>
    <w:p w:rsidR="008437AC" w:rsidRPr="00EC25AD" w:rsidRDefault="008437AC" w:rsidP="00283E41">
      <w:pPr>
        <w:pStyle w:val="Heading4"/>
      </w:pPr>
      <w:r w:rsidRPr="00EC25AD">
        <w:t>Option 9</w:t>
      </w:r>
    </w:p>
    <w:p w:rsidR="008437AC" w:rsidRPr="006C3314" w:rsidRDefault="008437AC" w:rsidP="00283E41">
      <w:pPr>
        <w:keepNext/>
        <w:keepLines/>
        <w:rPr>
          <w:b/>
        </w:rPr>
      </w:pPr>
      <w:proofErr w:type="gramStart"/>
      <w:r>
        <w:rPr>
          <w:b/>
        </w:rPr>
        <w:t xml:space="preserve">PBAC to write to manufacturers regarding </w:t>
      </w:r>
      <w:r w:rsidR="003236A6">
        <w:rPr>
          <w:b/>
        </w:rPr>
        <w:t xml:space="preserve">device use and medicine </w:t>
      </w:r>
      <w:r>
        <w:rPr>
          <w:b/>
        </w:rPr>
        <w:t>packaging issues raised by stakeholders during the Review.</w:t>
      </w:r>
      <w:proofErr w:type="gramEnd"/>
    </w:p>
    <w:p w:rsidR="008437AC" w:rsidRPr="001C3A23" w:rsidRDefault="002419FC" w:rsidP="00283E41">
      <w:pPr>
        <w:keepNext/>
        <w:keepLines/>
        <w:rPr>
          <w:b/>
          <w:i/>
          <w:u w:val="single"/>
        </w:rPr>
      </w:pPr>
      <w:r>
        <w:rPr>
          <w:u w:val="single"/>
        </w:rPr>
        <w:t>Rationale</w:t>
      </w:r>
    </w:p>
    <w:p w:rsidR="008437AC" w:rsidRDefault="008437AC" w:rsidP="00283E41">
      <w:pPr>
        <w:pStyle w:val="Bullettext"/>
        <w:keepNext/>
        <w:keepLines/>
      </w:pPr>
      <w:r>
        <w:t xml:space="preserve">Stakeholders suggested the addition of instructional video </w:t>
      </w:r>
      <w:r w:rsidR="003236A6">
        <w:t>website</w:t>
      </w:r>
      <w:r>
        <w:t>s to packaging, and a referral to the Lung Foundation Australia for ongoing support with using devices.</w:t>
      </w:r>
    </w:p>
    <w:p w:rsidR="008437AC" w:rsidRDefault="008437AC" w:rsidP="00E55643">
      <w:pPr>
        <w:pStyle w:val="Bullettext"/>
      </w:pPr>
      <w:r>
        <w:t xml:space="preserve">Problems determining when devices were empty and problems with removing tablets from foil </w:t>
      </w:r>
      <w:proofErr w:type="gramStart"/>
      <w:r>
        <w:t>packaging,</w:t>
      </w:r>
      <w:proofErr w:type="gramEnd"/>
      <w:r>
        <w:t xml:space="preserve"> were also raised.</w:t>
      </w:r>
    </w:p>
    <w:p w:rsidR="00E92871" w:rsidRDefault="00E92871" w:rsidP="00E92871">
      <w:pPr>
        <w:pStyle w:val="Bullettext"/>
      </w:pPr>
      <w:r>
        <w:t>Stakeholders noted issues with accessing placebo inhalers on which to demonstrate device technique.</w:t>
      </w:r>
    </w:p>
    <w:p w:rsidR="005C087D" w:rsidRPr="00001BAA" w:rsidRDefault="002419FC" w:rsidP="00001BAA">
      <w:pPr>
        <w:rPr>
          <w:u w:val="single"/>
        </w:rPr>
      </w:pPr>
      <w:r>
        <w:rPr>
          <w:u w:val="single"/>
        </w:rPr>
        <w:t>Stakeholder views</w:t>
      </w:r>
    </w:p>
    <w:p w:rsidR="002419FC" w:rsidRDefault="005C087D" w:rsidP="002419FC">
      <w:pPr>
        <w:pStyle w:val="Bullettext"/>
      </w:pPr>
      <w:r w:rsidRPr="00C9229B">
        <w:t xml:space="preserve">Stakeholders </w:t>
      </w:r>
      <w:r w:rsidR="002419FC">
        <w:t xml:space="preserve">were generally supportive of this option, and for </w:t>
      </w:r>
      <w:r>
        <w:t>additional support for consumers to ensure they correctly understand their medicines and how to use them.</w:t>
      </w:r>
    </w:p>
    <w:p w:rsidR="005C087D" w:rsidRDefault="002419FC" w:rsidP="002419FC">
      <w:pPr>
        <w:pStyle w:val="Bullettext"/>
      </w:pPr>
      <w:r>
        <w:t>These i</w:t>
      </w:r>
      <w:r w:rsidR="002D06A1">
        <w:t xml:space="preserve">ssues would need to be discussed in the context of </w:t>
      </w:r>
      <w:r>
        <w:t>Therapeutic Goods Administration (</w:t>
      </w:r>
      <w:r w:rsidR="002D06A1">
        <w:t>TGA</w:t>
      </w:r>
      <w:r>
        <w:t>)</w:t>
      </w:r>
      <w:r w:rsidR="002D06A1">
        <w:t xml:space="preserve"> regulations.</w:t>
      </w:r>
    </w:p>
    <w:p w:rsidR="002419FC" w:rsidRPr="009E646B" w:rsidRDefault="004B3268" w:rsidP="002419FC">
      <w:pPr>
        <w:rPr>
          <w:u w:val="single"/>
        </w:rPr>
      </w:pPr>
      <w:r>
        <w:rPr>
          <w:u w:val="single"/>
        </w:rPr>
        <w:t>RG</w:t>
      </w:r>
      <w:r w:rsidR="002419FC" w:rsidRPr="009E646B">
        <w:rPr>
          <w:u w:val="single"/>
        </w:rPr>
        <w:t xml:space="preserve"> comments</w:t>
      </w:r>
    </w:p>
    <w:p w:rsidR="002419FC" w:rsidRPr="009E646B" w:rsidRDefault="00A14090" w:rsidP="002419FC">
      <w:pPr>
        <w:pStyle w:val="Bullettext"/>
        <w:rPr>
          <w:i/>
        </w:rPr>
      </w:pPr>
      <w:r>
        <w:t xml:space="preserve">The </w:t>
      </w:r>
      <w:r w:rsidR="004B3268">
        <w:t>RG</w:t>
      </w:r>
      <w:r>
        <w:t xml:space="preserve"> supported this option.</w:t>
      </w:r>
    </w:p>
    <w:p w:rsidR="008437AC" w:rsidRPr="00EC25AD" w:rsidRDefault="008437AC" w:rsidP="001674AD">
      <w:pPr>
        <w:pStyle w:val="Heading4"/>
      </w:pPr>
      <w:r w:rsidRPr="00EC25AD">
        <w:t>Option 10</w:t>
      </w:r>
    </w:p>
    <w:p w:rsidR="008437AC" w:rsidRDefault="008437AC" w:rsidP="001C3A23">
      <w:pPr>
        <w:keepNext/>
        <w:keepLines/>
        <w:rPr>
          <w:b/>
        </w:rPr>
      </w:pPr>
      <w:proofErr w:type="gramStart"/>
      <w:r>
        <w:rPr>
          <w:b/>
        </w:rPr>
        <w:t>PBAC to write to</w:t>
      </w:r>
      <w:r w:rsidR="00A14090">
        <w:rPr>
          <w:b/>
        </w:rPr>
        <w:t>, and</w:t>
      </w:r>
      <w:r>
        <w:rPr>
          <w:b/>
        </w:rPr>
        <w:t xml:space="preserve"> engage, appropriate organisation</w:t>
      </w:r>
      <w:r w:rsidR="00A14090">
        <w:rPr>
          <w:b/>
        </w:rPr>
        <w:t>s</w:t>
      </w:r>
      <w:r>
        <w:rPr>
          <w:b/>
        </w:rPr>
        <w:t xml:space="preserve"> to improve access to evidence-based</w:t>
      </w:r>
      <w:r w:rsidR="006C3314">
        <w:rPr>
          <w:b/>
        </w:rPr>
        <w:t xml:space="preserve"> </w:t>
      </w:r>
      <w:r>
        <w:rPr>
          <w:b/>
        </w:rPr>
        <w:t>educational materials and resources on COPD management for both health professionals and consumers.</w:t>
      </w:r>
      <w:proofErr w:type="gramEnd"/>
    </w:p>
    <w:p w:rsidR="008437AC" w:rsidRPr="001C3A23" w:rsidRDefault="002419FC" w:rsidP="008437AC">
      <w:pPr>
        <w:rPr>
          <w:u w:val="single"/>
        </w:rPr>
      </w:pPr>
      <w:r>
        <w:rPr>
          <w:u w:val="single"/>
        </w:rPr>
        <w:t>Rationale</w:t>
      </w:r>
    </w:p>
    <w:p w:rsidR="008437AC" w:rsidRDefault="008437AC" w:rsidP="00E55643">
      <w:pPr>
        <w:pStyle w:val="Bullettext"/>
      </w:pPr>
      <w:r>
        <w:t>Stakeholders requested improved access to educational resources, and development of a standardised national list of educational materials to avoid prescriber, pharmacist and patient confusion.</w:t>
      </w:r>
    </w:p>
    <w:p w:rsidR="008437AC" w:rsidRDefault="008437AC" w:rsidP="00E55643">
      <w:pPr>
        <w:pStyle w:val="Bullettext"/>
      </w:pPr>
      <w:r>
        <w:t>May improve the quality of care for COPD patients, including improved diagnosis, adherence to guidelines, and inhaler technique.</w:t>
      </w:r>
    </w:p>
    <w:p w:rsidR="006807CD" w:rsidRDefault="002419FC" w:rsidP="00E55643">
      <w:pPr>
        <w:pStyle w:val="Bullettext"/>
      </w:pPr>
      <w:r>
        <w:t xml:space="preserve">The LFA </w:t>
      </w:r>
      <w:r w:rsidR="008437AC">
        <w:t xml:space="preserve">has an </w:t>
      </w:r>
      <w:r>
        <w:t>established suite of practical/</w:t>
      </w:r>
      <w:r w:rsidR="008437AC">
        <w:t xml:space="preserve">online training options and resources covering topics such as inhaler device technique, COPD medicines and pulmonary rehabilitation. </w:t>
      </w:r>
      <w:r w:rsidR="0053025E">
        <w:t xml:space="preserve"> </w:t>
      </w:r>
      <w:r w:rsidR="008437AC">
        <w:t>These are tailored to the specific audience and focused on up skilling of clinicians and optimising self-management fo</w:t>
      </w:r>
      <w:r w:rsidR="00C06BD0">
        <w:t xml:space="preserve">r consumers. </w:t>
      </w:r>
    </w:p>
    <w:p w:rsidR="008437AC" w:rsidRDefault="008437AC" w:rsidP="00E55643">
      <w:pPr>
        <w:pStyle w:val="Bullettext"/>
      </w:pPr>
      <w:r>
        <w:t>The NPS MedicineWise website also has a range of educational materials on COPD for GPs, pharmacists and nurses.</w:t>
      </w:r>
    </w:p>
    <w:p w:rsidR="002D06A1" w:rsidRPr="00001BAA" w:rsidRDefault="00001BAA" w:rsidP="00001BAA">
      <w:pPr>
        <w:rPr>
          <w:u w:val="single"/>
        </w:rPr>
      </w:pPr>
      <w:r>
        <w:rPr>
          <w:u w:val="single"/>
        </w:rPr>
        <w:t>Stakeholder v</w:t>
      </w:r>
      <w:r w:rsidR="002D06A1" w:rsidRPr="00001BAA">
        <w:rPr>
          <w:u w:val="single"/>
        </w:rPr>
        <w:t>iews</w:t>
      </w:r>
    </w:p>
    <w:p w:rsidR="002419FC" w:rsidRDefault="002D06A1" w:rsidP="002419FC">
      <w:pPr>
        <w:pStyle w:val="Bullettext"/>
      </w:pPr>
      <w:r w:rsidRPr="000B2F1E">
        <w:t>Stakeholders</w:t>
      </w:r>
      <w:r w:rsidR="002419FC">
        <w:t xml:space="preserve"> were generally supportive of this option</w:t>
      </w:r>
      <w:r w:rsidRPr="000B2F1E">
        <w:t xml:space="preserve">. </w:t>
      </w:r>
    </w:p>
    <w:p w:rsidR="002419FC" w:rsidRDefault="002D06A1" w:rsidP="002419FC">
      <w:pPr>
        <w:pStyle w:val="Bullettext"/>
      </w:pPr>
      <w:r w:rsidRPr="000B2F1E">
        <w:lastRenderedPageBreak/>
        <w:t xml:space="preserve">A number of manufacturers stated they had developed educational resources that supported </w:t>
      </w:r>
      <w:r w:rsidR="000F6812">
        <w:t xml:space="preserve">prescribing </w:t>
      </w:r>
      <w:r w:rsidR="002419FC" w:rsidRPr="000B2F1E">
        <w:t xml:space="preserve">consistent </w:t>
      </w:r>
      <w:r w:rsidRPr="000B2F1E">
        <w:t xml:space="preserve">with COPD-X guidelines and PBS restrictions. </w:t>
      </w:r>
    </w:p>
    <w:p w:rsidR="00AF6E02" w:rsidRDefault="002419FC" w:rsidP="002419FC">
      <w:pPr>
        <w:pStyle w:val="Bullettext"/>
      </w:pPr>
      <w:r>
        <w:t>LFA</w:t>
      </w:r>
      <w:r w:rsidR="00DE4367" w:rsidRPr="000B2F1E">
        <w:t xml:space="preserve"> and</w:t>
      </w:r>
      <w:r w:rsidR="006314C8" w:rsidRPr="000B2F1E">
        <w:t xml:space="preserve"> NPS</w:t>
      </w:r>
      <w:r>
        <w:t xml:space="preserve"> MedicineWise</w:t>
      </w:r>
      <w:r w:rsidR="006314C8" w:rsidRPr="000B2F1E">
        <w:t xml:space="preserve"> educational activities </w:t>
      </w:r>
      <w:r w:rsidR="000F6812">
        <w:t>were endorsed by a number of stakeholders</w:t>
      </w:r>
      <w:r>
        <w:t>,</w:t>
      </w:r>
      <w:r w:rsidR="000F6812">
        <w:t xml:space="preserve"> </w:t>
      </w:r>
      <w:r w:rsidR="008546C5">
        <w:t>includ</w:t>
      </w:r>
      <w:r w:rsidR="000F6812">
        <w:t>ing</w:t>
      </w:r>
      <w:r w:rsidR="008546C5">
        <w:t xml:space="preserve"> materials </w:t>
      </w:r>
      <w:r w:rsidR="000F6812">
        <w:t>to support</w:t>
      </w:r>
      <w:r w:rsidR="00244DEF">
        <w:t xml:space="preserve"> </w:t>
      </w:r>
      <w:r w:rsidR="000B2F1E">
        <w:t>correct inhaler technique</w:t>
      </w:r>
      <w:r>
        <w:t xml:space="preserve"> (refer to Appendix </w:t>
      </w:r>
      <w:r w:rsidR="000C7785">
        <w:t>V)</w:t>
      </w:r>
      <w:r w:rsidR="00DE4367" w:rsidRPr="000B2F1E">
        <w:t>.</w:t>
      </w:r>
    </w:p>
    <w:p w:rsidR="002419FC" w:rsidRPr="009E646B" w:rsidRDefault="004B3268" w:rsidP="002419FC">
      <w:pPr>
        <w:rPr>
          <w:u w:val="single"/>
        </w:rPr>
      </w:pPr>
      <w:r>
        <w:rPr>
          <w:u w:val="single"/>
        </w:rPr>
        <w:t>RG</w:t>
      </w:r>
      <w:r w:rsidR="002419FC" w:rsidRPr="009E646B">
        <w:rPr>
          <w:u w:val="single"/>
        </w:rPr>
        <w:t xml:space="preserve"> comments</w:t>
      </w:r>
    </w:p>
    <w:p w:rsidR="002419FC" w:rsidRPr="009E646B" w:rsidRDefault="00A14090" w:rsidP="002419FC">
      <w:pPr>
        <w:pStyle w:val="Bullettext"/>
        <w:rPr>
          <w:i/>
        </w:rPr>
      </w:pPr>
      <w:r>
        <w:t xml:space="preserve">The </w:t>
      </w:r>
      <w:r w:rsidR="004B3268">
        <w:t>RG</w:t>
      </w:r>
      <w:r>
        <w:t xml:space="preserve"> supported this option. The </w:t>
      </w:r>
      <w:r w:rsidR="004B3268">
        <w:t>RG</w:t>
      </w:r>
      <w:r>
        <w:t xml:space="preserve"> considered that a wide range of quality educational resources was available, but that there was a need to improve access to and use of these resources.</w:t>
      </w:r>
    </w:p>
    <w:p w:rsidR="008437AC" w:rsidRPr="001674AD" w:rsidRDefault="008437AC" w:rsidP="001674AD">
      <w:pPr>
        <w:pStyle w:val="Heading4"/>
        <w:rPr>
          <w:b w:val="0"/>
        </w:rPr>
      </w:pPr>
      <w:r w:rsidRPr="00EC25AD">
        <w:t>Option 11</w:t>
      </w:r>
    </w:p>
    <w:p w:rsidR="008437AC" w:rsidRDefault="008437AC" w:rsidP="008437AC">
      <w:pPr>
        <w:rPr>
          <w:sz w:val="22"/>
          <w:szCs w:val="22"/>
        </w:rPr>
      </w:pPr>
      <w:r>
        <w:rPr>
          <w:b/>
          <w:bCs/>
        </w:rPr>
        <w:t xml:space="preserve">PBAC to request that the Pharmaceutical Benefits Division liaise with the Practice Incentives Programme (PIP) team in Health Services Division to highlight the relevant </w:t>
      </w:r>
      <w:r w:rsidR="002419FC">
        <w:rPr>
          <w:b/>
          <w:bCs/>
        </w:rPr>
        <w:t xml:space="preserve">QUM </w:t>
      </w:r>
      <w:r>
        <w:rPr>
          <w:b/>
          <w:bCs/>
        </w:rPr>
        <w:t>findings from the Review.</w:t>
      </w:r>
    </w:p>
    <w:p w:rsidR="008437AC" w:rsidRPr="001C3A23" w:rsidRDefault="00001BAA" w:rsidP="008437AC">
      <w:pPr>
        <w:rPr>
          <w:u w:val="single"/>
        </w:rPr>
      </w:pPr>
      <w:r>
        <w:rPr>
          <w:u w:val="single"/>
        </w:rPr>
        <w:t>Rationale</w:t>
      </w:r>
    </w:p>
    <w:p w:rsidR="008437AC" w:rsidRDefault="008437AC" w:rsidP="0095578C">
      <w:pPr>
        <w:pStyle w:val="Bullettext"/>
      </w:pPr>
      <w:r>
        <w:t xml:space="preserve">Greater awareness of the Review’s findings on QUM issues in COPD therapy may assist in linking general practice payments to quality improvements in the care of COPD patients. </w:t>
      </w:r>
      <w:r w:rsidR="0095578C" w:rsidRPr="00E742C5">
        <w:t>The new PIP Quality Improvement Incentive will be implemented from 1 May 2018.</w:t>
      </w:r>
      <w:r w:rsidR="0095578C">
        <w:rPr>
          <w:color w:val="FF0000"/>
        </w:rPr>
        <w:t xml:space="preserve">  </w:t>
      </w:r>
      <w:r w:rsidR="0095578C">
        <w:t> </w:t>
      </w:r>
    </w:p>
    <w:p w:rsidR="008437AC" w:rsidRDefault="008437AC" w:rsidP="00E55643">
      <w:pPr>
        <w:pStyle w:val="Bullettext"/>
      </w:pPr>
      <w:r>
        <w:t xml:space="preserve">The medicines utilisation </w:t>
      </w:r>
      <w:r w:rsidR="0095578C">
        <w:t xml:space="preserve">analysis </w:t>
      </w:r>
      <w:r>
        <w:t xml:space="preserve">identified issues with initiation of dual and triple therapy, and duplicated therapy. </w:t>
      </w:r>
      <w:r w:rsidR="0053025E">
        <w:t xml:space="preserve"> </w:t>
      </w:r>
      <w:r w:rsidR="0095578C">
        <w:t>The R</w:t>
      </w:r>
      <w:r>
        <w:t>eview has also highlighted the need for greater use of spirometry to ensure correct diagnosis and treatment, the importance of referring patients for pulmonary rehabilitation, and the importance of health care providers training patients in</w:t>
      </w:r>
      <w:r w:rsidR="00CC0C47">
        <w:t>,</w:t>
      </w:r>
      <w:r>
        <w:t xml:space="preserve"> and checking</w:t>
      </w:r>
      <w:r w:rsidR="00CC0C47">
        <w:t xml:space="preserve"> their,</w:t>
      </w:r>
      <w:r>
        <w:t xml:space="preserve"> inhaler technique.</w:t>
      </w:r>
    </w:p>
    <w:p w:rsidR="00AD6935" w:rsidRPr="00001BAA" w:rsidRDefault="00001BAA" w:rsidP="00001BAA">
      <w:pPr>
        <w:rPr>
          <w:u w:val="single"/>
        </w:rPr>
      </w:pPr>
      <w:r>
        <w:rPr>
          <w:u w:val="single"/>
        </w:rPr>
        <w:t>Stakeholder views</w:t>
      </w:r>
    </w:p>
    <w:p w:rsidR="0095578C" w:rsidRDefault="00A5297C" w:rsidP="002419FC">
      <w:pPr>
        <w:pStyle w:val="Bullettext"/>
      </w:pPr>
      <w:r w:rsidRPr="00A5297C">
        <w:t>Stakeholders</w:t>
      </w:r>
      <w:r w:rsidR="0095578C">
        <w:t xml:space="preserve"> were generally supportive of this option</w:t>
      </w:r>
      <w:r w:rsidRPr="00A5297C">
        <w:t>.</w:t>
      </w:r>
      <w:r>
        <w:t xml:space="preserve"> </w:t>
      </w:r>
    </w:p>
    <w:p w:rsidR="0095578C" w:rsidRDefault="00525EAD" w:rsidP="0095578C">
      <w:pPr>
        <w:pStyle w:val="Bullettext"/>
      </w:pPr>
      <w:r>
        <w:t>Health profes</w:t>
      </w:r>
      <w:r w:rsidR="0095578C">
        <w:t xml:space="preserve">sionals should be supported to: </w:t>
      </w:r>
      <w:r w:rsidR="008546C5">
        <w:t>use spirometry to</w:t>
      </w:r>
      <w:r w:rsidR="00A5297C">
        <w:t xml:space="preserve"> </w:t>
      </w:r>
      <w:r w:rsidR="008546C5">
        <w:t xml:space="preserve">ensure correct diagnosis and </w:t>
      </w:r>
      <w:proofErr w:type="gramStart"/>
      <w:r w:rsidR="008546C5">
        <w:t>treatment</w:t>
      </w:r>
      <w:r w:rsidR="00A5297C">
        <w:t>,</w:t>
      </w:r>
      <w:proofErr w:type="gramEnd"/>
      <w:r w:rsidR="00A5297C">
        <w:t xml:space="preserve"> </w:t>
      </w:r>
      <w:r w:rsidR="0095578C">
        <w:t>a</w:t>
      </w:r>
      <w:r>
        <w:t xml:space="preserve">ppropriately refer </w:t>
      </w:r>
      <w:r w:rsidR="008546C5">
        <w:t>patients for</w:t>
      </w:r>
      <w:r w:rsidR="00A5297C">
        <w:t xml:space="preserve"> </w:t>
      </w:r>
      <w:r w:rsidR="008546C5">
        <w:t>pulmonary rehabilitation</w:t>
      </w:r>
      <w:r>
        <w:t>,</w:t>
      </w:r>
      <w:r w:rsidR="0095578C">
        <w:t xml:space="preserve"> and r</w:t>
      </w:r>
      <w:r>
        <w:t>egularly</w:t>
      </w:r>
      <w:r w:rsidR="00A5297C">
        <w:t xml:space="preserve"> </w:t>
      </w:r>
      <w:r w:rsidR="008546C5">
        <w:t>train</w:t>
      </w:r>
      <w:r>
        <w:t xml:space="preserve"> and check patients’</w:t>
      </w:r>
      <w:r w:rsidR="008546C5">
        <w:t xml:space="preserve"> inhaler</w:t>
      </w:r>
      <w:r w:rsidR="00A5297C">
        <w:t xml:space="preserve"> </w:t>
      </w:r>
      <w:r w:rsidR="008546C5">
        <w:t>technique</w:t>
      </w:r>
      <w:r w:rsidR="000C0BAB">
        <w:t>.</w:t>
      </w:r>
      <w:r w:rsidR="00A5297C">
        <w:t xml:space="preserve"> </w:t>
      </w:r>
    </w:p>
    <w:p w:rsidR="008546C5" w:rsidRDefault="0095578C" w:rsidP="0095578C">
      <w:pPr>
        <w:pStyle w:val="Bullettext"/>
      </w:pPr>
      <w:r>
        <w:t>The addition of MBS</w:t>
      </w:r>
      <w:r w:rsidR="00A5297C">
        <w:t xml:space="preserve"> items for patient education on device technique </w:t>
      </w:r>
      <w:r>
        <w:t xml:space="preserve">was </w:t>
      </w:r>
      <w:r w:rsidR="008A237E">
        <w:t>suggested</w:t>
      </w:r>
      <w:r w:rsidR="00BA38B3">
        <w:t>.</w:t>
      </w:r>
    </w:p>
    <w:p w:rsidR="00001BAA" w:rsidRPr="009E646B" w:rsidRDefault="004B3268" w:rsidP="00001BAA">
      <w:pPr>
        <w:rPr>
          <w:u w:val="single"/>
        </w:rPr>
      </w:pPr>
      <w:r>
        <w:rPr>
          <w:u w:val="single"/>
        </w:rPr>
        <w:t>RG</w:t>
      </w:r>
      <w:r w:rsidR="00001BAA" w:rsidRPr="009E646B">
        <w:rPr>
          <w:u w:val="single"/>
        </w:rPr>
        <w:t xml:space="preserve"> comments</w:t>
      </w:r>
    </w:p>
    <w:p w:rsidR="00001BAA" w:rsidRPr="009E646B" w:rsidRDefault="002E138A" w:rsidP="00001BAA">
      <w:pPr>
        <w:pStyle w:val="Bullettext"/>
        <w:rPr>
          <w:i/>
        </w:rPr>
      </w:pPr>
      <w:r>
        <w:t xml:space="preserve">The </w:t>
      </w:r>
      <w:r w:rsidR="004B3268">
        <w:t>RG</w:t>
      </w:r>
      <w:r>
        <w:t xml:space="preserve"> supported this option. </w:t>
      </w:r>
    </w:p>
    <w:p w:rsidR="008437AC" w:rsidRPr="00E55643" w:rsidRDefault="008437AC" w:rsidP="0001285E">
      <w:pPr>
        <w:pStyle w:val="Heading4"/>
      </w:pPr>
      <w:r w:rsidRPr="00E55643">
        <w:t>Option 12</w:t>
      </w:r>
    </w:p>
    <w:p w:rsidR="008437AC" w:rsidRDefault="008437AC" w:rsidP="0001285E">
      <w:pPr>
        <w:keepNext/>
        <w:keepLines/>
        <w:rPr>
          <w:b/>
        </w:rPr>
      </w:pPr>
      <w:r>
        <w:rPr>
          <w:b/>
        </w:rPr>
        <w:t xml:space="preserve">PBAC to write to the MBS Review Taskforce to provide support for “Recommendation 1: Spirometry” in the </w:t>
      </w:r>
      <w:r>
        <w:rPr>
          <w:b/>
          <w:i/>
        </w:rPr>
        <w:t>Report from the Thoracic Medicine Clinical Committee (August 2016)</w:t>
      </w:r>
      <w:r>
        <w:rPr>
          <w:b/>
        </w:rPr>
        <w:t xml:space="preserve">. </w:t>
      </w:r>
    </w:p>
    <w:p w:rsidR="008437AC" w:rsidRPr="001C3A23" w:rsidRDefault="00001BAA" w:rsidP="0001285E">
      <w:pPr>
        <w:keepNext/>
        <w:keepLines/>
        <w:rPr>
          <w:u w:val="single"/>
        </w:rPr>
      </w:pPr>
      <w:r>
        <w:rPr>
          <w:u w:val="single"/>
        </w:rPr>
        <w:t>Rationale</w:t>
      </w:r>
    </w:p>
    <w:p w:rsidR="008437AC" w:rsidRDefault="008437AC" w:rsidP="00E55643">
      <w:pPr>
        <w:pStyle w:val="Bullettext"/>
      </w:pPr>
      <w:r>
        <w:t>The Review highlighted the need for greater utilisation of spirometry to confirm diagnosis of COPD and ensure appropriate treatment.</w:t>
      </w:r>
      <w:r w:rsidR="0053025E">
        <w:t xml:space="preserve"> </w:t>
      </w:r>
      <w:r>
        <w:t xml:space="preserve">The MBS Review proposes a number of </w:t>
      </w:r>
      <w:r>
        <w:lastRenderedPageBreak/>
        <w:t>changes to spirometry items to encourage the use of spirometry in primary care to confirm COPD diagnosis.</w:t>
      </w:r>
    </w:p>
    <w:p w:rsidR="00825558" w:rsidRPr="00001BAA" w:rsidRDefault="00001BAA" w:rsidP="00001BAA">
      <w:pPr>
        <w:rPr>
          <w:u w:val="single"/>
        </w:rPr>
      </w:pPr>
      <w:r>
        <w:rPr>
          <w:u w:val="single"/>
        </w:rPr>
        <w:t>Stakeholder views</w:t>
      </w:r>
    </w:p>
    <w:p w:rsidR="0001285E" w:rsidRDefault="00AE595B" w:rsidP="0001285E">
      <w:pPr>
        <w:pStyle w:val="Bullettext"/>
      </w:pPr>
      <w:r w:rsidRPr="00EC25AD">
        <w:t xml:space="preserve">Stakeholders </w:t>
      </w:r>
      <w:r w:rsidR="0001285E">
        <w:t>were generally supportive of this option.</w:t>
      </w:r>
    </w:p>
    <w:p w:rsidR="00AE595B" w:rsidRPr="0020755C" w:rsidRDefault="00AE595B" w:rsidP="0001285E">
      <w:pPr>
        <w:pStyle w:val="Bullettext"/>
      </w:pPr>
      <w:r>
        <w:t xml:space="preserve">It was noted that the </w:t>
      </w:r>
      <w:r w:rsidRPr="007032B0">
        <w:t xml:space="preserve">GOLD </w:t>
      </w:r>
      <w:r w:rsidR="00387569">
        <w:t>Strategy R</w:t>
      </w:r>
      <w:r>
        <w:t xml:space="preserve">eport (2017) </w:t>
      </w:r>
      <w:r w:rsidRPr="007032B0">
        <w:t xml:space="preserve">suggests </w:t>
      </w:r>
      <w:r>
        <w:t xml:space="preserve">that </w:t>
      </w:r>
      <w:r w:rsidRPr="007032B0">
        <w:t>post-bronchodilator spirometry is adequate for diagnosis</w:t>
      </w:r>
      <w:r>
        <w:t xml:space="preserve">. However, the supporting clinical evidence </w:t>
      </w:r>
      <w:r w:rsidRPr="007032B0">
        <w:t xml:space="preserve">does not consider </w:t>
      </w:r>
      <w:r>
        <w:t>asthma patients</w:t>
      </w:r>
      <w:r w:rsidRPr="007032B0">
        <w:t xml:space="preserve"> with significant bronchodilator reve</w:t>
      </w:r>
      <w:r>
        <w:t>rsibility.</w:t>
      </w:r>
    </w:p>
    <w:p w:rsidR="00001BAA" w:rsidRPr="009E646B" w:rsidRDefault="004B3268" w:rsidP="00387569">
      <w:pPr>
        <w:keepNext/>
        <w:keepLines/>
        <w:rPr>
          <w:u w:val="single"/>
        </w:rPr>
      </w:pPr>
      <w:r>
        <w:rPr>
          <w:u w:val="single"/>
        </w:rPr>
        <w:t>RG</w:t>
      </w:r>
      <w:r w:rsidR="00001BAA" w:rsidRPr="009E646B">
        <w:rPr>
          <w:u w:val="single"/>
        </w:rPr>
        <w:t xml:space="preserve"> comments</w:t>
      </w:r>
    </w:p>
    <w:p w:rsidR="0001285E" w:rsidRDefault="002E138A" w:rsidP="00387569">
      <w:pPr>
        <w:pStyle w:val="Bullettext"/>
        <w:keepNext/>
        <w:keepLines/>
        <w:rPr>
          <w:i/>
        </w:rPr>
      </w:pPr>
      <w:r>
        <w:t xml:space="preserve">The </w:t>
      </w:r>
      <w:r w:rsidR="004B3268">
        <w:t>RG</w:t>
      </w:r>
      <w:r>
        <w:t xml:space="preserve"> supported this option. </w:t>
      </w:r>
    </w:p>
    <w:p w:rsidR="0001285E" w:rsidRPr="006A74A3" w:rsidRDefault="0001285E" w:rsidP="0001285E">
      <w:pPr>
        <w:spacing w:before="240" w:line="240" w:lineRule="auto"/>
        <w:rPr>
          <w:b/>
        </w:rPr>
      </w:pPr>
      <w:r w:rsidRPr="006A74A3">
        <w:rPr>
          <w:b/>
        </w:rPr>
        <w:t>Option 13</w:t>
      </w:r>
    </w:p>
    <w:p w:rsidR="0001285E" w:rsidRDefault="0001285E" w:rsidP="0001285E">
      <w:pPr>
        <w:spacing w:line="240" w:lineRule="auto"/>
        <w:rPr>
          <w:b/>
        </w:rPr>
      </w:pPr>
      <w:proofErr w:type="gramStart"/>
      <w:r w:rsidRPr="006A74A3">
        <w:rPr>
          <w:b/>
        </w:rPr>
        <w:t>PBAC to write to the TGA regarding the development of guidelines for naming, packaging and device design of inhalers.</w:t>
      </w:r>
      <w:proofErr w:type="gramEnd"/>
    </w:p>
    <w:p w:rsidR="0001285E" w:rsidRPr="006A74A3" w:rsidRDefault="0001285E" w:rsidP="0001285E">
      <w:pPr>
        <w:spacing w:line="240" w:lineRule="auto"/>
        <w:rPr>
          <w:u w:val="single"/>
        </w:rPr>
      </w:pPr>
      <w:r>
        <w:rPr>
          <w:u w:val="single"/>
        </w:rPr>
        <w:t>Rationale</w:t>
      </w:r>
    </w:p>
    <w:p w:rsidR="0001285E" w:rsidRDefault="0001285E" w:rsidP="002F6331">
      <w:pPr>
        <w:pStyle w:val="Bullettext"/>
      </w:pPr>
      <w:r>
        <w:t>Stakeholders considered that unclear naming and packaging, and differences in use between devices, was contributing to prescriber and patient confusion, incorrect use and therapy duplication.  Clear identification of active ingredients and medicine class was considered important to reduce potentially unsafe use.</w:t>
      </w:r>
    </w:p>
    <w:p w:rsidR="0001285E" w:rsidRPr="00475AC0" w:rsidRDefault="0001285E" w:rsidP="0001285E">
      <w:pPr>
        <w:keepNext/>
        <w:keepLines/>
        <w:rPr>
          <w:u w:val="single"/>
        </w:rPr>
      </w:pPr>
      <w:r>
        <w:rPr>
          <w:u w:val="single"/>
        </w:rPr>
        <w:t>Risks/disadvantages</w:t>
      </w:r>
    </w:p>
    <w:p w:rsidR="0001285E" w:rsidRPr="00475AC0" w:rsidRDefault="0001285E" w:rsidP="00387569">
      <w:pPr>
        <w:pStyle w:val="Bullettext"/>
      </w:pPr>
      <w:r>
        <w:t>As products are supplied internationally, it may be difficult for the TGA to influence naming, packaging and device design of COPD inhalers.</w:t>
      </w:r>
    </w:p>
    <w:p w:rsidR="0001285E" w:rsidRDefault="0001285E" w:rsidP="0001285E">
      <w:pPr>
        <w:rPr>
          <w:u w:val="single"/>
        </w:rPr>
      </w:pPr>
      <w:r>
        <w:rPr>
          <w:u w:val="single"/>
        </w:rPr>
        <w:t>Stakeholder views</w:t>
      </w:r>
    </w:p>
    <w:p w:rsidR="00387569" w:rsidRDefault="00387569" w:rsidP="00387569">
      <w:pPr>
        <w:pStyle w:val="Bullettext"/>
      </w:pPr>
      <w:r>
        <w:t>This option was included after public consultation on the draft Review Report.</w:t>
      </w:r>
    </w:p>
    <w:p w:rsidR="0001285E" w:rsidRPr="009E646B" w:rsidRDefault="004B3268" w:rsidP="0001285E">
      <w:pPr>
        <w:rPr>
          <w:u w:val="single"/>
        </w:rPr>
      </w:pPr>
      <w:r>
        <w:rPr>
          <w:u w:val="single"/>
        </w:rPr>
        <w:t>RG</w:t>
      </w:r>
      <w:r w:rsidR="0001285E" w:rsidRPr="009E646B">
        <w:rPr>
          <w:u w:val="single"/>
        </w:rPr>
        <w:t xml:space="preserve"> comments</w:t>
      </w:r>
    </w:p>
    <w:p w:rsidR="00293678" w:rsidRDefault="002E138A" w:rsidP="002F6331">
      <w:pPr>
        <w:pStyle w:val="Bullettext"/>
        <w:rPr>
          <w:i/>
        </w:rPr>
      </w:pPr>
      <w:r>
        <w:t xml:space="preserve">The </w:t>
      </w:r>
      <w:r w:rsidR="004B3268">
        <w:t>RG</w:t>
      </w:r>
      <w:r>
        <w:t xml:space="preserve"> supported this option. </w:t>
      </w:r>
    </w:p>
    <w:p w:rsidR="00293678" w:rsidRDefault="0001285E" w:rsidP="002F6331">
      <w:pPr>
        <w:spacing w:before="240" w:line="240" w:lineRule="auto"/>
        <w:rPr>
          <w:b/>
        </w:rPr>
      </w:pPr>
      <w:r w:rsidRPr="002F6331">
        <w:rPr>
          <w:b/>
        </w:rPr>
        <w:t>Option 14</w:t>
      </w:r>
    </w:p>
    <w:p w:rsidR="00293678" w:rsidRDefault="0001285E" w:rsidP="002F6331">
      <w:pPr>
        <w:spacing w:before="240" w:line="240" w:lineRule="auto"/>
        <w:rPr>
          <w:u w:val="single"/>
        </w:rPr>
      </w:pPr>
      <w:proofErr w:type="gramStart"/>
      <w:r w:rsidRPr="006A74A3">
        <w:rPr>
          <w:b/>
        </w:rPr>
        <w:t xml:space="preserve">PBAC to liaise with the Medical Services Advisory Committee (MSAC) to </w:t>
      </w:r>
      <w:r w:rsidR="00295C7A">
        <w:rPr>
          <w:b/>
        </w:rPr>
        <w:t xml:space="preserve">convey the Reference Group’s </w:t>
      </w:r>
      <w:r>
        <w:rPr>
          <w:b/>
        </w:rPr>
        <w:t xml:space="preserve">support </w:t>
      </w:r>
      <w:r w:rsidR="00295C7A">
        <w:rPr>
          <w:b/>
        </w:rPr>
        <w:t xml:space="preserve">for reimbursement </w:t>
      </w:r>
      <w:r w:rsidRPr="006A74A3">
        <w:rPr>
          <w:b/>
        </w:rPr>
        <w:t xml:space="preserve">of </w:t>
      </w:r>
      <w:r w:rsidR="00295C7A">
        <w:rPr>
          <w:b/>
        </w:rPr>
        <w:t xml:space="preserve">evidence-based </w:t>
      </w:r>
      <w:r w:rsidRPr="006A74A3">
        <w:rPr>
          <w:b/>
        </w:rPr>
        <w:t>pulmonary rehabilitation.</w:t>
      </w:r>
      <w:proofErr w:type="gramEnd"/>
    </w:p>
    <w:p w:rsidR="0001285E" w:rsidRPr="006A74A3" w:rsidRDefault="0001285E" w:rsidP="002F6331">
      <w:pPr>
        <w:spacing w:before="240" w:line="240" w:lineRule="auto"/>
        <w:rPr>
          <w:rFonts w:eastAsia="Times New Roman" w:cs="Arial"/>
          <w:b/>
          <w:color w:val="222222"/>
          <w:lang w:eastAsia="en-AU"/>
        </w:rPr>
      </w:pPr>
      <w:r>
        <w:rPr>
          <w:u w:val="single"/>
        </w:rPr>
        <w:t>Rationale</w:t>
      </w:r>
    </w:p>
    <w:p w:rsidR="00387569" w:rsidRDefault="00387569" w:rsidP="00CD1D07">
      <w:pPr>
        <w:pStyle w:val="ListParagraph"/>
        <w:numPr>
          <w:ilvl w:val="0"/>
          <w:numId w:val="32"/>
        </w:numPr>
        <w:spacing w:line="256" w:lineRule="auto"/>
        <w:ind w:left="426" w:hanging="426"/>
        <w:jc w:val="left"/>
      </w:pPr>
      <w:r>
        <w:t>Pulmonary rehabilitation provides an opportunity to reinforce self-management principles including inhaler device technique.</w:t>
      </w:r>
    </w:p>
    <w:p w:rsidR="00387569" w:rsidRDefault="0001285E" w:rsidP="00CD1D07">
      <w:pPr>
        <w:pStyle w:val="ListParagraph"/>
        <w:numPr>
          <w:ilvl w:val="0"/>
          <w:numId w:val="32"/>
        </w:numPr>
        <w:spacing w:line="256" w:lineRule="auto"/>
        <w:ind w:left="426" w:hanging="426"/>
        <w:jc w:val="left"/>
      </w:pPr>
      <w:r>
        <w:t xml:space="preserve">Increased use of </w:t>
      </w:r>
      <w:r w:rsidR="00AD42C9">
        <w:t xml:space="preserve">evidence-based </w:t>
      </w:r>
      <w:r>
        <w:t xml:space="preserve">pulmonary rehabilitation </w:t>
      </w:r>
      <w:r w:rsidR="00AD42C9">
        <w:t xml:space="preserve">programmes </w:t>
      </w:r>
      <w:r>
        <w:t>may reduce medicines usage.</w:t>
      </w:r>
    </w:p>
    <w:p w:rsidR="00387569" w:rsidRDefault="00387569" w:rsidP="00CD1D07">
      <w:pPr>
        <w:pStyle w:val="ListParagraph"/>
        <w:numPr>
          <w:ilvl w:val="0"/>
          <w:numId w:val="32"/>
        </w:numPr>
        <w:spacing w:line="256" w:lineRule="auto"/>
        <w:ind w:left="426" w:hanging="426"/>
        <w:jc w:val="left"/>
      </w:pPr>
      <w:r>
        <w:t xml:space="preserve">An application to the MSAC for reimbursement of pulmonary rehabilitation was deferred at the November 2016 meeting, and will likely be re-considered in November 2017. </w:t>
      </w:r>
    </w:p>
    <w:p w:rsidR="00387569" w:rsidRDefault="00387569" w:rsidP="00CD1D07">
      <w:pPr>
        <w:pStyle w:val="ListParagraph"/>
        <w:numPr>
          <w:ilvl w:val="0"/>
          <w:numId w:val="32"/>
        </w:numPr>
        <w:spacing w:line="256" w:lineRule="auto"/>
        <w:ind w:left="426" w:hanging="426"/>
        <w:jc w:val="left"/>
      </w:pPr>
      <w:r>
        <w:lastRenderedPageBreak/>
        <w:t xml:space="preserve">The LFA has recently released the </w:t>
      </w:r>
      <w:r w:rsidRPr="00B42707">
        <w:t>Australia and New Zealand Pulmonary Rehabilitation Guidelines</w:t>
      </w:r>
      <w:r>
        <w:t xml:space="preserve">, which provides evidence-based recommendations for the practice of pulmonary rehabilitation specific to the Australian and New Zealand healthcare settings. </w:t>
      </w:r>
    </w:p>
    <w:p w:rsidR="0001285E" w:rsidRDefault="0001285E" w:rsidP="002F6331">
      <w:pPr>
        <w:rPr>
          <w:u w:val="single"/>
        </w:rPr>
      </w:pPr>
      <w:r>
        <w:rPr>
          <w:u w:val="single"/>
        </w:rPr>
        <w:t>Stakeholder views</w:t>
      </w:r>
    </w:p>
    <w:p w:rsidR="00387569" w:rsidRDefault="00387569" w:rsidP="002F6331">
      <w:pPr>
        <w:pStyle w:val="Bullettext"/>
      </w:pPr>
      <w:r>
        <w:t>This option was included after public consultation on the draft Review Report.</w:t>
      </w:r>
    </w:p>
    <w:p w:rsidR="0001285E" w:rsidRPr="009E646B" w:rsidRDefault="004B3268" w:rsidP="002F6331">
      <w:pPr>
        <w:keepNext/>
        <w:keepLines/>
        <w:rPr>
          <w:u w:val="single"/>
        </w:rPr>
      </w:pPr>
      <w:r>
        <w:rPr>
          <w:u w:val="single"/>
        </w:rPr>
        <w:t>RG</w:t>
      </w:r>
      <w:r w:rsidR="0001285E" w:rsidRPr="009E646B">
        <w:rPr>
          <w:u w:val="single"/>
        </w:rPr>
        <w:t xml:space="preserve"> comments</w:t>
      </w:r>
    </w:p>
    <w:p w:rsidR="00387569" w:rsidRPr="002E138A" w:rsidRDefault="002E138A" w:rsidP="00D30141">
      <w:pPr>
        <w:pStyle w:val="Bullettext"/>
        <w:keepNext/>
        <w:keepLines/>
        <w:spacing w:line="256" w:lineRule="auto"/>
        <w:jc w:val="left"/>
        <w:rPr>
          <w:i/>
        </w:rPr>
      </w:pPr>
      <w:r>
        <w:t xml:space="preserve">The </w:t>
      </w:r>
      <w:r w:rsidR="004B3268">
        <w:t>RG</w:t>
      </w:r>
      <w:r>
        <w:t xml:space="preserve"> supported this option. </w:t>
      </w:r>
      <w:r w:rsidR="00387569">
        <w:t xml:space="preserve">The </w:t>
      </w:r>
      <w:r w:rsidR="004B3268">
        <w:t>RG</w:t>
      </w:r>
      <w:r w:rsidR="00387569">
        <w:t xml:space="preserve"> agreed that </w:t>
      </w:r>
      <w:r w:rsidR="00AD42C9">
        <w:t xml:space="preserve">evidence-based </w:t>
      </w:r>
      <w:r w:rsidR="00387569">
        <w:t xml:space="preserve">pulmonary rehabilitation </w:t>
      </w:r>
      <w:r w:rsidR="00AD42C9">
        <w:t xml:space="preserve">programmes </w:t>
      </w:r>
      <w:r w:rsidR="00387569">
        <w:t>w</w:t>
      </w:r>
      <w:r w:rsidR="00AD42C9">
        <w:t>ere</w:t>
      </w:r>
      <w:r w:rsidR="00387569">
        <w:t xml:space="preserve"> a key and highly cost-effective component of COPD treatment, and should be considered for all patients prior to, or concurrent with, starting pharmacotherapy.</w:t>
      </w:r>
    </w:p>
    <w:p w:rsidR="0001285E" w:rsidRPr="0001285E" w:rsidRDefault="0001285E" w:rsidP="0001285E">
      <w:pPr>
        <w:pStyle w:val="Bullettext"/>
        <w:numPr>
          <w:ilvl w:val="0"/>
          <w:numId w:val="0"/>
        </w:numPr>
        <w:rPr>
          <w:i/>
        </w:rPr>
      </w:pPr>
    </w:p>
    <w:sectPr w:rsidR="0001285E" w:rsidRPr="0001285E" w:rsidSect="00CB3D44">
      <w:headerReference w:type="default" r:id="rId12"/>
      <w:footerReference w:type="defaul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882" w:rsidRDefault="00FB7882" w:rsidP="00DD796F">
      <w:pPr>
        <w:spacing w:before="0" w:line="240" w:lineRule="auto"/>
      </w:pPr>
      <w:r>
        <w:separator/>
      </w:r>
    </w:p>
    <w:p w:rsidR="00FB7882" w:rsidRDefault="00FB7882"/>
  </w:endnote>
  <w:endnote w:type="continuationSeparator" w:id="0">
    <w:p w:rsidR="00FB7882" w:rsidRDefault="00FB7882" w:rsidP="00DD796F">
      <w:pPr>
        <w:spacing w:before="0" w:line="240" w:lineRule="auto"/>
      </w:pPr>
      <w:r>
        <w:continuationSeparator/>
      </w:r>
    </w:p>
    <w:p w:rsidR="00FB7882" w:rsidRDefault="00FB78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E66" w:rsidRPr="00E17A89" w:rsidRDefault="002A2E66" w:rsidP="00E17A89">
    <w:pPr>
      <w:pStyle w:val="Header"/>
      <w:pBdr>
        <w:bottom w:val="none" w:sz="0" w:space="0" w:color="auto"/>
      </w:pBdr>
      <w:spacing w:after="0"/>
      <w:jc w:val="center"/>
      <w:rPr>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E66" w:rsidRDefault="002A2E66" w:rsidP="00C87BFE">
    <w:pPr>
      <w:pStyle w:val="FooterwithPortrait"/>
      <w:rPr>
        <w:noProof/>
      </w:rPr>
    </w:pPr>
    <w:r>
      <w:tab/>
    </w:r>
    <w:r>
      <w:fldChar w:fldCharType="begin"/>
    </w:r>
    <w:r>
      <w:instrText xml:space="preserve"> PAGE   \* MERGEFORMAT </w:instrText>
    </w:r>
    <w:r>
      <w:fldChar w:fldCharType="separate"/>
    </w:r>
    <w:r w:rsidR="008A534E">
      <w:rPr>
        <w:noProof/>
      </w:rPr>
      <w:t>32</w:t>
    </w:r>
    <w:r>
      <w:rPr>
        <w:noProof/>
      </w:rPr>
      <w:fldChar w:fldCharType="end"/>
    </w:r>
  </w:p>
  <w:p w:rsidR="002A2E66" w:rsidRPr="00E17A89" w:rsidRDefault="002A2E66" w:rsidP="00E17A89">
    <w:pPr>
      <w:pStyle w:val="Header"/>
      <w:pBdr>
        <w:bottom w:val="none" w:sz="0" w:space="0" w:color="auto"/>
      </w:pBdr>
      <w:spacing w:after="0"/>
      <w:jc w:val="center"/>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882" w:rsidRDefault="00FB7882" w:rsidP="00DD796F">
      <w:pPr>
        <w:spacing w:before="0" w:line="240" w:lineRule="auto"/>
      </w:pPr>
      <w:r>
        <w:separator/>
      </w:r>
    </w:p>
  </w:footnote>
  <w:footnote w:type="continuationSeparator" w:id="0">
    <w:p w:rsidR="00FB7882" w:rsidRDefault="00FB7882" w:rsidP="00DD796F">
      <w:pPr>
        <w:spacing w:before="0" w:line="240" w:lineRule="auto"/>
      </w:pPr>
      <w:r>
        <w:continuationSeparator/>
      </w:r>
    </w:p>
    <w:p w:rsidR="00FB7882" w:rsidRDefault="00FB7882"/>
  </w:footnote>
  <w:footnote w:id="1">
    <w:p w:rsidR="002A2E66" w:rsidRDefault="002A2E66" w:rsidP="00AA39D1">
      <w:pPr>
        <w:pStyle w:val="FootnoteText"/>
      </w:pPr>
      <w:r>
        <w:rPr>
          <w:rStyle w:val="FootnoteReference"/>
        </w:rPr>
        <w:footnoteRef/>
      </w:r>
      <w:r>
        <w:t xml:space="preserve"> </w:t>
      </w:r>
      <w:proofErr w:type="gramStart"/>
      <w:r>
        <w:t xml:space="preserve">Noted in March 2014 PSD for </w:t>
      </w:r>
      <w:proofErr w:type="spellStart"/>
      <w:r>
        <w:t>glycopyrronium</w:t>
      </w:r>
      <w:proofErr w:type="spellEnd"/>
      <w:r>
        <w:t>/</w:t>
      </w:r>
      <w:proofErr w:type="spellStart"/>
      <w:r>
        <w:t>indacaterol</w:t>
      </w:r>
      <w:proofErr w:type="spellEnd"/>
      <w:r>
        <w:t xml:space="preserve"> FDC.</w:t>
      </w:r>
      <w:proofErr w:type="gramEnd"/>
      <w:r>
        <w:t xml:space="preserve"> The MCID was 100-140 </w:t>
      </w:r>
      <w:proofErr w:type="spellStart"/>
      <w:r>
        <w:t>mL.</w:t>
      </w:r>
      <w:proofErr w:type="spellEnd"/>
    </w:p>
  </w:footnote>
  <w:footnote w:id="2">
    <w:p w:rsidR="002A2E66" w:rsidRDefault="002A2E66" w:rsidP="00AA39D1">
      <w:pPr>
        <w:pStyle w:val="FootnoteText"/>
      </w:pPr>
      <w:r>
        <w:rPr>
          <w:rStyle w:val="FootnoteReference"/>
        </w:rPr>
        <w:footnoteRef/>
      </w:r>
      <w:r>
        <w:t xml:space="preserve"> Note that a subgroup analysis of the FLAME RCT suggests that superiority (in terms of reducing exacerbations) is primarily driven by patients who had experienced only one exacerbation in the previous year. There was no statistically significant difference between the FDCs in patients who had experienced two or more exacerbations in the previous year.</w:t>
      </w:r>
    </w:p>
  </w:footnote>
  <w:footnote w:id="3">
    <w:p w:rsidR="002A2E66" w:rsidRDefault="002A2E66">
      <w:pPr>
        <w:pStyle w:val="FootnoteText"/>
      </w:pPr>
      <w:r>
        <w:rPr>
          <w:rStyle w:val="FootnoteReference"/>
        </w:rPr>
        <w:footnoteRef/>
      </w:r>
      <w:r>
        <w:t xml:space="preserve"> The PBS restrictions for ICS/LABAs limit use for COPD treatment to patients with a history of two or more exacerbations in the previous year.</w:t>
      </w:r>
    </w:p>
  </w:footnote>
  <w:footnote w:id="4">
    <w:p w:rsidR="002A2E66" w:rsidRDefault="002A2E66" w:rsidP="008437AC">
      <w:pPr>
        <w:pStyle w:val="FootnoteText"/>
      </w:pPr>
      <w:r>
        <w:rPr>
          <w:rStyle w:val="FootnoteReference"/>
        </w:rPr>
        <w:footnoteRef/>
      </w:r>
      <w:r>
        <w:t xml:space="preserve"> SRIRAM, K. B. &amp; PERCIVAL, M. 2016. Suboptimal inhaler medication adherence and incorrect technique are common among chronic obstructive pulmonary disease patients. </w:t>
      </w:r>
      <w:proofErr w:type="spellStart"/>
      <w:r>
        <w:rPr>
          <w:rFonts w:eastAsiaTheme="majorEastAsia"/>
          <w:i/>
        </w:rPr>
        <w:t>Chron</w:t>
      </w:r>
      <w:proofErr w:type="spellEnd"/>
      <w:r>
        <w:rPr>
          <w:rFonts w:eastAsiaTheme="majorEastAsia"/>
          <w:i/>
        </w:rPr>
        <w:t xml:space="preserve"> </w:t>
      </w:r>
      <w:proofErr w:type="spellStart"/>
      <w:r>
        <w:rPr>
          <w:rFonts w:eastAsiaTheme="majorEastAsia"/>
          <w:i/>
        </w:rPr>
        <w:t>Respir</w:t>
      </w:r>
      <w:proofErr w:type="spellEnd"/>
      <w:r>
        <w:rPr>
          <w:rFonts w:eastAsiaTheme="majorEastAsia"/>
          <w:i/>
        </w:rPr>
        <w:t xml:space="preserve"> Dis</w:t>
      </w:r>
      <w:r>
        <w:rPr>
          <w:rFonts w:eastAsiaTheme="majorEastAsia"/>
        </w:rPr>
        <w:t>,</w:t>
      </w:r>
      <w:r>
        <w:t xml:space="preserve"> 13, 13-22.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E66" w:rsidRPr="00E17A89" w:rsidRDefault="002A2E66" w:rsidP="00E17A89">
    <w:pPr>
      <w:pStyle w:val="Header"/>
      <w:pBdr>
        <w:bottom w:val="none" w:sz="0" w:space="0" w:color="auto"/>
      </w:pBdr>
      <w:spacing w:after="0"/>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E66" w:rsidRDefault="002A2E66" w:rsidP="00EC5257">
    <w:pPr>
      <w:pStyle w:val="Header"/>
    </w:pPr>
    <w:r>
      <w:t>Post-market Review of COPD Medicines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77482"/>
    <w:multiLevelType w:val="hybridMultilevel"/>
    <w:tmpl w:val="ED44FCB2"/>
    <w:lvl w:ilvl="0" w:tplc="FFC6DE9E">
      <w:start w:val="1"/>
      <w:numFmt w:val="bullet"/>
      <w:pStyle w:val="08Bulletsseriesofsentence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8474935"/>
    <w:multiLevelType w:val="hybridMultilevel"/>
    <w:tmpl w:val="56F67F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AA3325B"/>
    <w:multiLevelType w:val="hybridMultilevel"/>
    <w:tmpl w:val="1E702376"/>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3">
    <w:nsid w:val="0B47640B"/>
    <w:multiLevelType w:val="hybridMultilevel"/>
    <w:tmpl w:val="BFBC4684"/>
    <w:lvl w:ilvl="0" w:tplc="0C090001">
      <w:start w:val="1"/>
      <w:numFmt w:val="bullet"/>
      <w:lvlText w:val=""/>
      <w:lvlJc w:val="left"/>
      <w:pPr>
        <w:ind w:left="-1005" w:hanging="360"/>
      </w:pPr>
      <w:rPr>
        <w:rFonts w:ascii="Symbol" w:hAnsi="Symbol" w:hint="default"/>
      </w:rPr>
    </w:lvl>
    <w:lvl w:ilvl="1" w:tplc="0C090003">
      <w:start w:val="1"/>
      <w:numFmt w:val="bullet"/>
      <w:lvlText w:val="o"/>
      <w:lvlJc w:val="left"/>
      <w:pPr>
        <w:ind w:left="-285" w:hanging="360"/>
      </w:pPr>
      <w:rPr>
        <w:rFonts w:ascii="Courier New" w:hAnsi="Courier New" w:cs="Courier New" w:hint="default"/>
      </w:rPr>
    </w:lvl>
    <w:lvl w:ilvl="2" w:tplc="B93480FE">
      <w:start w:val="1"/>
      <w:numFmt w:val="bullet"/>
      <w:lvlText w:val=""/>
      <w:lvlJc w:val="left"/>
      <w:pPr>
        <w:ind w:left="435" w:hanging="360"/>
      </w:pPr>
      <w:rPr>
        <w:rFonts w:ascii="Symbol" w:hAnsi="Symbol" w:hint="default"/>
        <w:sz w:val="24"/>
        <w:szCs w:val="24"/>
      </w:rPr>
    </w:lvl>
    <w:lvl w:ilvl="3" w:tplc="0C090003">
      <w:start w:val="1"/>
      <w:numFmt w:val="bullet"/>
      <w:lvlText w:val="o"/>
      <w:lvlJc w:val="left"/>
      <w:pPr>
        <w:ind w:left="1155" w:hanging="360"/>
      </w:pPr>
      <w:rPr>
        <w:rFonts w:ascii="Courier New" w:hAnsi="Courier New" w:cs="Courier New" w:hint="default"/>
      </w:rPr>
    </w:lvl>
    <w:lvl w:ilvl="4" w:tplc="0C090003">
      <w:start w:val="1"/>
      <w:numFmt w:val="bullet"/>
      <w:lvlText w:val="o"/>
      <w:lvlJc w:val="left"/>
      <w:pPr>
        <w:ind w:left="1875" w:hanging="360"/>
      </w:pPr>
      <w:rPr>
        <w:rFonts w:ascii="Courier New" w:hAnsi="Courier New" w:cs="Courier New" w:hint="default"/>
      </w:rPr>
    </w:lvl>
    <w:lvl w:ilvl="5" w:tplc="0C090005">
      <w:start w:val="1"/>
      <w:numFmt w:val="bullet"/>
      <w:lvlText w:val=""/>
      <w:lvlJc w:val="left"/>
      <w:pPr>
        <w:ind w:left="2595" w:hanging="360"/>
      </w:pPr>
      <w:rPr>
        <w:rFonts w:ascii="Wingdings" w:hAnsi="Wingdings" w:hint="default"/>
      </w:rPr>
    </w:lvl>
    <w:lvl w:ilvl="6" w:tplc="0C090001">
      <w:start w:val="1"/>
      <w:numFmt w:val="bullet"/>
      <w:lvlText w:val=""/>
      <w:lvlJc w:val="left"/>
      <w:pPr>
        <w:ind w:left="3315" w:hanging="360"/>
      </w:pPr>
      <w:rPr>
        <w:rFonts w:ascii="Symbol" w:hAnsi="Symbol" w:hint="default"/>
      </w:rPr>
    </w:lvl>
    <w:lvl w:ilvl="7" w:tplc="0C090003">
      <w:start w:val="1"/>
      <w:numFmt w:val="bullet"/>
      <w:lvlText w:val="o"/>
      <w:lvlJc w:val="left"/>
      <w:pPr>
        <w:ind w:left="4035" w:hanging="360"/>
      </w:pPr>
      <w:rPr>
        <w:rFonts w:ascii="Courier New" w:hAnsi="Courier New" w:cs="Courier New" w:hint="default"/>
      </w:rPr>
    </w:lvl>
    <w:lvl w:ilvl="8" w:tplc="0C090005">
      <w:start w:val="1"/>
      <w:numFmt w:val="bullet"/>
      <w:lvlText w:val=""/>
      <w:lvlJc w:val="left"/>
      <w:pPr>
        <w:ind w:left="4755" w:hanging="360"/>
      </w:pPr>
      <w:rPr>
        <w:rFonts w:ascii="Wingdings" w:hAnsi="Wingdings" w:hint="default"/>
      </w:rPr>
    </w:lvl>
  </w:abstractNum>
  <w:abstractNum w:abstractNumId="4">
    <w:nsid w:val="114951C0"/>
    <w:multiLevelType w:val="hybridMultilevel"/>
    <w:tmpl w:val="DEB2F22A"/>
    <w:lvl w:ilvl="0" w:tplc="7ECA6BCC">
      <w:start w:val="1"/>
      <w:numFmt w:val="bullet"/>
      <w:pStyle w:val="Bullettextsecondlevel"/>
      <w:lvlText w:val=""/>
      <w:lvlJc w:val="left"/>
      <w:pPr>
        <w:ind w:left="814" w:hanging="360"/>
      </w:pPr>
      <w:rPr>
        <w:rFonts w:ascii="Wingdings" w:hAnsi="Wingdings" w:hint="default"/>
        <w:sz w:val="1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5837D9F"/>
    <w:multiLevelType w:val="hybridMultilevel"/>
    <w:tmpl w:val="132A90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1FDD14F8"/>
    <w:multiLevelType w:val="hybridMultilevel"/>
    <w:tmpl w:val="E524431A"/>
    <w:styleLink w:val="Numberedlist1"/>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0B74A9F"/>
    <w:multiLevelType w:val="hybridMultilevel"/>
    <w:tmpl w:val="05808254"/>
    <w:lvl w:ilvl="0" w:tplc="6F8E1BF0">
      <w:start w:val="1"/>
      <w:numFmt w:val="bullet"/>
      <w:lvlText w:val="o"/>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13E7C55"/>
    <w:multiLevelType w:val="hybridMultilevel"/>
    <w:tmpl w:val="5DAAAB16"/>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9">
    <w:nsid w:val="24660FB5"/>
    <w:multiLevelType w:val="hybridMultilevel"/>
    <w:tmpl w:val="8C865A78"/>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0">
    <w:nsid w:val="25200690"/>
    <w:multiLevelType w:val="hybridMultilevel"/>
    <w:tmpl w:val="CFCC5C68"/>
    <w:lvl w:ilvl="0" w:tplc="3D380E06">
      <w:start w:val="1"/>
      <w:numFmt w:val="bullet"/>
      <w:pStyle w:val="08Tablebulletsecondlevel"/>
      <w:lvlText w:val=""/>
      <w:lvlJc w:val="left"/>
      <w:pPr>
        <w:ind w:left="1117" w:hanging="360"/>
      </w:pPr>
      <w:rPr>
        <w:rFonts w:ascii="Wingdings" w:hAnsi="Wingdings" w:hint="default"/>
        <w:sz w:val="17"/>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11">
    <w:nsid w:val="25C53B03"/>
    <w:multiLevelType w:val="multilevel"/>
    <w:tmpl w:val="164243D4"/>
    <w:styleLink w:val="Headings"/>
    <w:lvl w:ilvl="0">
      <w:start w:val="1"/>
      <w:numFmt w:val="decimal"/>
      <w:pStyle w:val="Heading1"/>
      <w:suff w:val="nothing"/>
      <w:lvlText w:val="Section %1"/>
      <w:lvlJc w:val="left"/>
      <w:pPr>
        <w:ind w:left="0" w:firstLine="0"/>
      </w:pPr>
      <w:rPr>
        <w:rFonts w:hint="default"/>
      </w:rPr>
    </w:lvl>
    <w:lvl w:ilvl="1">
      <w:start w:val="1"/>
      <w:numFmt w:val="decimal"/>
      <w:pStyle w:val="Heading2"/>
      <w:lvlText w:val="%1.%2"/>
      <w:lvlJc w:val="left"/>
      <w:pPr>
        <w:tabs>
          <w:tab w:val="num" w:pos="851"/>
        </w:tabs>
        <w:ind w:left="0" w:firstLine="0"/>
      </w:pPr>
      <w:rPr>
        <w:rFonts w:hint="default"/>
      </w:rPr>
    </w:lvl>
    <w:lvl w:ilvl="2">
      <w:start w:val="1"/>
      <w:numFmt w:val="decimal"/>
      <w:pStyle w:val="Heading3"/>
      <w:lvlText w:val="%1.%2.%3"/>
      <w:lvlJc w:val="left"/>
      <w:pPr>
        <w:tabs>
          <w:tab w:val="num" w:pos="851"/>
        </w:tabs>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lvlText w:val="Appendix %7"/>
      <w:lvlJc w:val="left"/>
      <w:pPr>
        <w:ind w:left="0" w:firstLine="0"/>
      </w:pPr>
      <w:rPr>
        <w:rFonts w:hint="default"/>
      </w:rPr>
    </w:lvl>
    <w:lvl w:ilvl="7">
      <w:start w:val="1"/>
      <w:numFmt w:val="decimal"/>
      <w:pStyle w:val="Heading8"/>
      <w:lvlText w:val="%7.%8"/>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2">
    <w:nsid w:val="2A2C0845"/>
    <w:multiLevelType w:val="hybridMultilevel"/>
    <w:tmpl w:val="BEF2021E"/>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3">
    <w:nsid w:val="337956D8"/>
    <w:multiLevelType w:val="hybridMultilevel"/>
    <w:tmpl w:val="ADF4DB74"/>
    <w:lvl w:ilvl="0" w:tplc="E24AE6A4">
      <w:start w:val="1"/>
      <w:numFmt w:val="bullet"/>
      <w:pStyle w:val="Bullettex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33A74FDD"/>
    <w:multiLevelType w:val="multilevel"/>
    <w:tmpl w:val="89AC073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4FA0F2B"/>
    <w:multiLevelType w:val="hybridMultilevel"/>
    <w:tmpl w:val="8A068968"/>
    <w:lvl w:ilvl="0" w:tplc="ECE0CFFE">
      <w:start w:val="1"/>
      <w:numFmt w:val="bullet"/>
      <w:pStyle w:val="07Table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A517A55"/>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D510C8E"/>
    <w:multiLevelType w:val="multilevel"/>
    <w:tmpl w:val="526C7668"/>
    <w:styleLink w:val="Numberedlist"/>
    <w:lvl w:ilvl="0">
      <w:start w:val="1"/>
      <w:numFmt w:val="none"/>
      <w:lvlText w:val="(%11)"/>
      <w:lvlJc w:val="left"/>
      <w:pPr>
        <w:ind w:left="0" w:firstLine="0"/>
      </w:pPr>
      <w:rPr>
        <w:rFonts w:hint="default"/>
      </w:rPr>
    </w:lvl>
    <w:lvl w:ilvl="1">
      <w:start w:val="2"/>
      <w:numFmt w:val="decimal"/>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nsid w:val="45C9616B"/>
    <w:multiLevelType w:val="hybridMultilevel"/>
    <w:tmpl w:val="0046C9B8"/>
    <w:styleLink w:val="1111111"/>
    <w:lvl w:ilvl="0" w:tplc="878C752C">
      <w:start w:val="1"/>
      <w:numFmt w:val="decimal"/>
      <w:lvlText w:val="%1."/>
      <w:lvlJc w:val="left"/>
      <w:pPr>
        <w:ind w:left="777" w:hanging="360"/>
      </w:pPr>
      <w:rPr>
        <w:b/>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19">
    <w:nsid w:val="488963D1"/>
    <w:multiLevelType w:val="hybridMultilevel"/>
    <w:tmpl w:val="306CE80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4F3C6D96"/>
    <w:multiLevelType w:val="hybridMultilevel"/>
    <w:tmpl w:val="CBBC6A7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1">
    <w:nsid w:val="51F84E87"/>
    <w:multiLevelType w:val="multilevel"/>
    <w:tmpl w:val="89AC073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70E079D"/>
    <w:multiLevelType w:val="hybridMultilevel"/>
    <w:tmpl w:val="82FC9D78"/>
    <w:lvl w:ilvl="0" w:tplc="79E258BC">
      <w:start w:val="1"/>
      <w:numFmt w:val="bullet"/>
      <w:pStyle w:val="Bullettext-indentedlastspaceafter"/>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3">
    <w:nsid w:val="57176124"/>
    <w:multiLevelType w:val="hybridMultilevel"/>
    <w:tmpl w:val="FED02FD4"/>
    <w:lvl w:ilvl="0" w:tplc="0C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nsid w:val="58DF3C06"/>
    <w:multiLevelType w:val="hybridMultilevel"/>
    <w:tmpl w:val="33EEB0CE"/>
    <w:lvl w:ilvl="0" w:tplc="754A2E36">
      <w:start w:val="1"/>
      <w:numFmt w:val="bullet"/>
      <w:pStyle w:val="Table10ptbullet"/>
      <w:lvlText w:val=""/>
      <w:lvlJc w:val="left"/>
      <w:pPr>
        <w:ind w:left="2345"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A011A79"/>
    <w:multiLevelType w:val="hybridMultilevel"/>
    <w:tmpl w:val="6E82F930"/>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6">
    <w:nsid w:val="5B244956"/>
    <w:multiLevelType w:val="hybridMultilevel"/>
    <w:tmpl w:val="4FB8C1DC"/>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7">
    <w:nsid w:val="640316ED"/>
    <w:multiLevelType w:val="hybridMultilevel"/>
    <w:tmpl w:val="67F24B86"/>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8">
    <w:nsid w:val="66330A33"/>
    <w:multiLevelType w:val="hybridMultilevel"/>
    <w:tmpl w:val="CC9AA3BA"/>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9">
    <w:nsid w:val="6DC73C84"/>
    <w:multiLevelType w:val="hybridMultilevel"/>
    <w:tmpl w:val="C736F06E"/>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30">
    <w:nsid w:val="6ED7790B"/>
    <w:multiLevelType w:val="hybridMultilevel"/>
    <w:tmpl w:val="E6747D3C"/>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31">
    <w:nsid w:val="6F833670"/>
    <w:multiLevelType w:val="hybridMultilevel"/>
    <w:tmpl w:val="7D6863B8"/>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32">
    <w:nsid w:val="70DE3970"/>
    <w:multiLevelType w:val="hybridMultilevel"/>
    <w:tmpl w:val="32EC07D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3">
    <w:nsid w:val="75A91527"/>
    <w:multiLevelType w:val="hybridMultilevel"/>
    <w:tmpl w:val="5E6257D0"/>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34">
    <w:nsid w:val="7C1E57E8"/>
    <w:multiLevelType w:val="multilevel"/>
    <w:tmpl w:val="41526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D697339"/>
    <w:multiLevelType w:val="hybridMultilevel"/>
    <w:tmpl w:val="84263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15"/>
  </w:num>
  <w:num w:numId="4">
    <w:abstractNumId w:val="6"/>
  </w:num>
  <w:num w:numId="5">
    <w:abstractNumId w:val="10"/>
  </w:num>
  <w:num w:numId="6">
    <w:abstractNumId w:val="0"/>
  </w:num>
  <w:num w:numId="7">
    <w:abstractNumId w:val="24"/>
  </w:num>
  <w:num w:numId="8">
    <w:abstractNumId w:val="22"/>
  </w:num>
  <w:num w:numId="9">
    <w:abstractNumId w:val="17"/>
  </w:num>
  <w:num w:numId="10">
    <w:abstractNumId w:val="16"/>
  </w:num>
  <w:num w:numId="11">
    <w:abstractNumId w:val="18"/>
  </w:num>
  <w:num w:numId="12">
    <w:abstractNumId w:val="11"/>
  </w:num>
  <w:num w:numId="13">
    <w:abstractNumId w:val="3"/>
  </w:num>
  <w:num w:numId="14">
    <w:abstractNumId w:val="32"/>
  </w:num>
  <w:num w:numId="15">
    <w:abstractNumId w:val="31"/>
  </w:num>
  <w:num w:numId="16">
    <w:abstractNumId w:val="9"/>
  </w:num>
  <w:num w:numId="17">
    <w:abstractNumId w:val="33"/>
  </w:num>
  <w:num w:numId="18">
    <w:abstractNumId w:val="29"/>
  </w:num>
  <w:num w:numId="19">
    <w:abstractNumId w:val="12"/>
  </w:num>
  <w:num w:numId="20">
    <w:abstractNumId w:val="25"/>
  </w:num>
  <w:num w:numId="21">
    <w:abstractNumId w:val="26"/>
  </w:num>
  <w:num w:numId="22">
    <w:abstractNumId w:val="27"/>
  </w:num>
  <w:num w:numId="23">
    <w:abstractNumId w:val="30"/>
  </w:num>
  <w:num w:numId="24">
    <w:abstractNumId w:val="2"/>
  </w:num>
  <w:num w:numId="25">
    <w:abstractNumId w:val="20"/>
  </w:num>
  <w:num w:numId="26">
    <w:abstractNumId w:val="8"/>
  </w:num>
  <w:num w:numId="27">
    <w:abstractNumId w:val="28"/>
  </w:num>
  <w:num w:numId="28">
    <w:abstractNumId w:val="1"/>
  </w:num>
  <w:num w:numId="29">
    <w:abstractNumId w:val="5"/>
  </w:num>
  <w:num w:numId="30">
    <w:abstractNumId w:val="19"/>
  </w:num>
  <w:num w:numId="31">
    <w:abstractNumId w:val="7"/>
  </w:num>
  <w:num w:numId="32">
    <w:abstractNumId w:val="35"/>
  </w:num>
  <w:num w:numId="33">
    <w:abstractNumId w:val="23"/>
  </w:num>
  <w:num w:numId="34">
    <w:abstractNumId w:val="34"/>
  </w:num>
  <w:num w:numId="35">
    <w:abstractNumId w:val="21"/>
  </w:num>
  <w:num w:numId="36">
    <w:abstractNumId w:val="14"/>
  </w:num>
  <w:num w:numId="37">
    <w:abstractNumId w:val="1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uthor-Date HC&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ttpezfr0jezvsle2vz0x5vps2ad90atpppsw&quot;&gt;COPD Review_ToR3_Medline and EMBASE_31Aug2016&lt;record-ids&gt;&lt;item&gt;1011&lt;/item&gt;&lt;/record-ids&gt;&lt;/item&gt;&lt;/Libraries&gt;"/>
  </w:docVars>
  <w:rsids>
    <w:rsidRoot w:val="000B0C8C"/>
    <w:rsid w:val="00000676"/>
    <w:rsid w:val="00001143"/>
    <w:rsid w:val="00001BAA"/>
    <w:rsid w:val="00002CBE"/>
    <w:rsid w:val="000058DE"/>
    <w:rsid w:val="0000707E"/>
    <w:rsid w:val="000077CE"/>
    <w:rsid w:val="00012746"/>
    <w:rsid w:val="0001276B"/>
    <w:rsid w:val="0001285E"/>
    <w:rsid w:val="00012A89"/>
    <w:rsid w:val="00012C43"/>
    <w:rsid w:val="00012EF0"/>
    <w:rsid w:val="00013DEC"/>
    <w:rsid w:val="00013DF5"/>
    <w:rsid w:val="000145AF"/>
    <w:rsid w:val="00016BF6"/>
    <w:rsid w:val="0001713E"/>
    <w:rsid w:val="00017C1F"/>
    <w:rsid w:val="00017FBF"/>
    <w:rsid w:val="0002051B"/>
    <w:rsid w:val="000210C1"/>
    <w:rsid w:val="0002235B"/>
    <w:rsid w:val="00022DA6"/>
    <w:rsid w:val="00022E3F"/>
    <w:rsid w:val="00022F95"/>
    <w:rsid w:val="000232A6"/>
    <w:rsid w:val="000245BD"/>
    <w:rsid w:val="000246C5"/>
    <w:rsid w:val="0002479A"/>
    <w:rsid w:val="00026054"/>
    <w:rsid w:val="00026B3C"/>
    <w:rsid w:val="00026CB1"/>
    <w:rsid w:val="00027216"/>
    <w:rsid w:val="00032398"/>
    <w:rsid w:val="00033623"/>
    <w:rsid w:val="00033681"/>
    <w:rsid w:val="0003409D"/>
    <w:rsid w:val="000347D4"/>
    <w:rsid w:val="00034EAB"/>
    <w:rsid w:val="00035C43"/>
    <w:rsid w:val="00035CAA"/>
    <w:rsid w:val="0003622D"/>
    <w:rsid w:val="00037387"/>
    <w:rsid w:val="0003789A"/>
    <w:rsid w:val="00040BD7"/>
    <w:rsid w:val="00041372"/>
    <w:rsid w:val="000416AB"/>
    <w:rsid w:val="00043CB4"/>
    <w:rsid w:val="0004409C"/>
    <w:rsid w:val="00045558"/>
    <w:rsid w:val="000460DF"/>
    <w:rsid w:val="00047E33"/>
    <w:rsid w:val="000504A4"/>
    <w:rsid w:val="00052353"/>
    <w:rsid w:val="000546C2"/>
    <w:rsid w:val="0005536D"/>
    <w:rsid w:val="000558C0"/>
    <w:rsid w:val="000559E2"/>
    <w:rsid w:val="00055DCD"/>
    <w:rsid w:val="00055F77"/>
    <w:rsid w:val="00056161"/>
    <w:rsid w:val="000604DC"/>
    <w:rsid w:val="00062FC9"/>
    <w:rsid w:val="000637FC"/>
    <w:rsid w:val="00064658"/>
    <w:rsid w:val="00064766"/>
    <w:rsid w:val="00064C83"/>
    <w:rsid w:val="00064E2F"/>
    <w:rsid w:val="00065489"/>
    <w:rsid w:val="00065F42"/>
    <w:rsid w:val="000660F8"/>
    <w:rsid w:val="000662F1"/>
    <w:rsid w:val="00066834"/>
    <w:rsid w:val="00066D06"/>
    <w:rsid w:val="000676BE"/>
    <w:rsid w:val="00071C9F"/>
    <w:rsid w:val="00071DBA"/>
    <w:rsid w:val="000724B1"/>
    <w:rsid w:val="00072A71"/>
    <w:rsid w:val="00072D53"/>
    <w:rsid w:val="0007323D"/>
    <w:rsid w:val="000744DE"/>
    <w:rsid w:val="000749AA"/>
    <w:rsid w:val="0007521E"/>
    <w:rsid w:val="00075AE3"/>
    <w:rsid w:val="00075D0E"/>
    <w:rsid w:val="0007681B"/>
    <w:rsid w:val="00076A20"/>
    <w:rsid w:val="00080ED5"/>
    <w:rsid w:val="00080EDD"/>
    <w:rsid w:val="000824DB"/>
    <w:rsid w:val="00082793"/>
    <w:rsid w:val="00083208"/>
    <w:rsid w:val="000852FB"/>
    <w:rsid w:val="00087A6A"/>
    <w:rsid w:val="00091491"/>
    <w:rsid w:val="00092310"/>
    <w:rsid w:val="000940EB"/>
    <w:rsid w:val="00094EC1"/>
    <w:rsid w:val="0009607F"/>
    <w:rsid w:val="00097C45"/>
    <w:rsid w:val="00097E3A"/>
    <w:rsid w:val="000A193C"/>
    <w:rsid w:val="000A1B83"/>
    <w:rsid w:val="000A1C21"/>
    <w:rsid w:val="000A1EBA"/>
    <w:rsid w:val="000A2DB5"/>
    <w:rsid w:val="000A30C5"/>
    <w:rsid w:val="000A4022"/>
    <w:rsid w:val="000A4677"/>
    <w:rsid w:val="000A5911"/>
    <w:rsid w:val="000A5CF7"/>
    <w:rsid w:val="000A6228"/>
    <w:rsid w:val="000A7292"/>
    <w:rsid w:val="000A72FD"/>
    <w:rsid w:val="000A787A"/>
    <w:rsid w:val="000B0485"/>
    <w:rsid w:val="000B0C8C"/>
    <w:rsid w:val="000B1B9E"/>
    <w:rsid w:val="000B23AB"/>
    <w:rsid w:val="000B254C"/>
    <w:rsid w:val="000B2F1E"/>
    <w:rsid w:val="000B6B79"/>
    <w:rsid w:val="000C06A9"/>
    <w:rsid w:val="000C0BAB"/>
    <w:rsid w:val="000C0D98"/>
    <w:rsid w:val="000C4088"/>
    <w:rsid w:val="000C4305"/>
    <w:rsid w:val="000C46DF"/>
    <w:rsid w:val="000C49E2"/>
    <w:rsid w:val="000C585D"/>
    <w:rsid w:val="000C5F7D"/>
    <w:rsid w:val="000C60B4"/>
    <w:rsid w:val="000C61FF"/>
    <w:rsid w:val="000C66AF"/>
    <w:rsid w:val="000C66B3"/>
    <w:rsid w:val="000C70E2"/>
    <w:rsid w:val="000C745C"/>
    <w:rsid w:val="000C74B1"/>
    <w:rsid w:val="000C7785"/>
    <w:rsid w:val="000D0670"/>
    <w:rsid w:val="000D1D1E"/>
    <w:rsid w:val="000D2511"/>
    <w:rsid w:val="000D27CF"/>
    <w:rsid w:val="000D2FC8"/>
    <w:rsid w:val="000D3BCC"/>
    <w:rsid w:val="000D40BF"/>
    <w:rsid w:val="000D4B07"/>
    <w:rsid w:val="000D564C"/>
    <w:rsid w:val="000D596F"/>
    <w:rsid w:val="000D5A2C"/>
    <w:rsid w:val="000D5DD0"/>
    <w:rsid w:val="000D69AC"/>
    <w:rsid w:val="000D7D43"/>
    <w:rsid w:val="000E1BDD"/>
    <w:rsid w:val="000E1F27"/>
    <w:rsid w:val="000E28FF"/>
    <w:rsid w:val="000E294F"/>
    <w:rsid w:val="000E36F8"/>
    <w:rsid w:val="000E44BE"/>
    <w:rsid w:val="000E79FE"/>
    <w:rsid w:val="000F0119"/>
    <w:rsid w:val="000F026D"/>
    <w:rsid w:val="000F044F"/>
    <w:rsid w:val="000F0E1B"/>
    <w:rsid w:val="000F2E0E"/>
    <w:rsid w:val="000F3079"/>
    <w:rsid w:val="000F3EBE"/>
    <w:rsid w:val="000F4182"/>
    <w:rsid w:val="000F4BA3"/>
    <w:rsid w:val="000F6712"/>
    <w:rsid w:val="000F6812"/>
    <w:rsid w:val="000F68D2"/>
    <w:rsid w:val="000F7E14"/>
    <w:rsid w:val="00100017"/>
    <w:rsid w:val="00100197"/>
    <w:rsid w:val="00101225"/>
    <w:rsid w:val="00101A77"/>
    <w:rsid w:val="001024C8"/>
    <w:rsid w:val="001046AF"/>
    <w:rsid w:val="00104969"/>
    <w:rsid w:val="001051F9"/>
    <w:rsid w:val="001055C5"/>
    <w:rsid w:val="00105AA9"/>
    <w:rsid w:val="00105B66"/>
    <w:rsid w:val="001066D2"/>
    <w:rsid w:val="001103FF"/>
    <w:rsid w:val="00110455"/>
    <w:rsid w:val="00110ABA"/>
    <w:rsid w:val="00111E4E"/>
    <w:rsid w:val="00113E34"/>
    <w:rsid w:val="00113F1E"/>
    <w:rsid w:val="001211AE"/>
    <w:rsid w:val="00122438"/>
    <w:rsid w:val="001234DA"/>
    <w:rsid w:val="00123AD8"/>
    <w:rsid w:val="00123B14"/>
    <w:rsid w:val="00124027"/>
    <w:rsid w:val="00125AF7"/>
    <w:rsid w:val="00126077"/>
    <w:rsid w:val="0012643A"/>
    <w:rsid w:val="00126D7C"/>
    <w:rsid w:val="00127CC2"/>
    <w:rsid w:val="00127D46"/>
    <w:rsid w:val="00130B4A"/>
    <w:rsid w:val="00132E10"/>
    <w:rsid w:val="0013307D"/>
    <w:rsid w:val="001344FA"/>
    <w:rsid w:val="001356C1"/>
    <w:rsid w:val="001368CE"/>
    <w:rsid w:val="0013782E"/>
    <w:rsid w:val="001406D9"/>
    <w:rsid w:val="00140B62"/>
    <w:rsid w:val="00141508"/>
    <w:rsid w:val="00142557"/>
    <w:rsid w:val="0014300C"/>
    <w:rsid w:val="00145CE3"/>
    <w:rsid w:val="00146692"/>
    <w:rsid w:val="00146A18"/>
    <w:rsid w:val="00146A8B"/>
    <w:rsid w:val="0015014E"/>
    <w:rsid w:val="001504AA"/>
    <w:rsid w:val="00150CBE"/>
    <w:rsid w:val="00150D82"/>
    <w:rsid w:val="00150DBD"/>
    <w:rsid w:val="00150DC0"/>
    <w:rsid w:val="00151A01"/>
    <w:rsid w:val="001526EF"/>
    <w:rsid w:val="001532AF"/>
    <w:rsid w:val="0015420F"/>
    <w:rsid w:val="00154702"/>
    <w:rsid w:val="00156EB5"/>
    <w:rsid w:val="001639A2"/>
    <w:rsid w:val="00164021"/>
    <w:rsid w:val="00164C1C"/>
    <w:rsid w:val="001660ED"/>
    <w:rsid w:val="00167375"/>
    <w:rsid w:val="00167471"/>
    <w:rsid w:val="001674AD"/>
    <w:rsid w:val="0016766E"/>
    <w:rsid w:val="00171297"/>
    <w:rsid w:val="00174481"/>
    <w:rsid w:val="00174875"/>
    <w:rsid w:val="001761C7"/>
    <w:rsid w:val="001776BF"/>
    <w:rsid w:val="001779A4"/>
    <w:rsid w:val="0018016B"/>
    <w:rsid w:val="00180812"/>
    <w:rsid w:val="00181151"/>
    <w:rsid w:val="0018288F"/>
    <w:rsid w:val="001835B6"/>
    <w:rsid w:val="00183A64"/>
    <w:rsid w:val="0018400D"/>
    <w:rsid w:val="001841A9"/>
    <w:rsid w:val="00184332"/>
    <w:rsid w:val="00184ED9"/>
    <w:rsid w:val="00186004"/>
    <w:rsid w:val="001863E5"/>
    <w:rsid w:val="00186728"/>
    <w:rsid w:val="00187E28"/>
    <w:rsid w:val="00190463"/>
    <w:rsid w:val="001904AD"/>
    <w:rsid w:val="0019078B"/>
    <w:rsid w:val="001909F5"/>
    <w:rsid w:val="00190B63"/>
    <w:rsid w:val="0019224F"/>
    <w:rsid w:val="0019235B"/>
    <w:rsid w:val="00193204"/>
    <w:rsid w:val="0019393C"/>
    <w:rsid w:val="00194011"/>
    <w:rsid w:val="00195E30"/>
    <w:rsid w:val="00196FAB"/>
    <w:rsid w:val="001976D5"/>
    <w:rsid w:val="001A03AD"/>
    <w:rsid w:val="001A1802"/>
    <w:rsid w:val="001A1B19"/>
    <w:rsid w:val="001A20AE"/>
    <w:rsid w:val="001A4566"/>
    <w:rsid w:val="001A49DD"/>
    <w:rsid w:val="001A4CCF"/>
    <w:rsid w:val="001A4EB3"/>
    <w:rsid w:val="001A57C7"/>
    <w:rsid w:val="001A675B"/>
    <w:rsid w:val="001A6A82"/>
    <w:rsid w:val="001A6FA9"/>
    <w:rsid w:val="001A747A"/>
    <w:rsid w:val="001A7EE6"/>
    <w:rsid w:val="001A7F97"/>
    <w:rsid w:val="001B0312"/>
    <w:rsid w:val="001B0A73"/>
    <w:rsid w:val="001B1DAA"/>
    <w:rsid w:val="001B21DF"/>
    <w:rsid w:val="001B38BB"/>
    <w:rsid w:val="001B6836"/>
    <w:rsid w:val="001B6EE5"/>
    <w:rsid w:val="001B72DE"/>
    <w:rsid w:val="001C09B9"/>
    <w:rsid w:val="001C0AB9"/>
    <w:rsid w:val="001C1006"/>
    <w:rsid w:val="001C1E27"/>
    <w:rsid w:val="001C2742"/>
    <w:rsid w:val="001C349D"/>
    <w:rsid w:val="001C3A23"/>
    <w:rsid w:val="001C3B62"/>
    <w:rsid w:val="001C41A4"/>
    <w:rsid w:val="001C4302"/>
    <w:rsid w:val="001C5235"/>
    <w:rsid w:val="001C6234"/>
    <w:rsid w:val="001C79F5"/>
    <w:rsid w:val="001D0185"/>
    <w:rsid w:val="001D0732"/>
    <w:rsid w:val="001D1093"/>
    <w:rsid w:val="001D10A1"/>
    <w:rsid w:val="001D17E9"/>
    <w:rsid w:val="001D21EC"/>
    <w:rsid w:val="001D2F0A"/>
    <w:rsid w:val="001D3838"/>
    <w:rsid w:val="001D4A97"/>
    <w:rsid w:val="001D55A7"/>
    <w:rsid w:val="001D5CF9"/>
    <w:rsid w:val="001D61C0"/>
    <w:rsid w:val="001D6584"/>
    <w:rsid w:val="001D6865"/>
    <w:rsid w:val="001D769E"/>
    <w:rsid w:val="001E0756"/>
    <w:rsid w:val="001E0978"/>
    <w:rsid w:val="001E1B87"/>
    <w:rsid w:val="001E4C07"/>
    <w:rsid w:val="001E50F5"/>
    <w:rsid w:val="001E634F"/>
    <w:rsid w:val="001E7125"/>
    <w:rsid w:val="001E793F"/>
    <w:rsid w:val="001F044A"/>
    <w:rsid w:val="001F050A"/>
    <w:rsid w:val="001F064C"/>
    <w:rsid w:val="001F06A3"/>
    <w:rsid w:val="001F09E7"/>
    <w:rsid w:val="001F14CB"/>
    <w:rsid w:val="001F1F12"/>
    <w:rsid w:val="001F40B2"/>
    <w:rsid w:val="001F43F7"/>
    <w:rsid w:val="001F46A2"/>
    <w:rsid w:val="001F4F67"/>
    <w:rsid w:val="001F599E"/>
    <w:rsid w:val="001F6496"/>
    <w:rsid w:val="001F65FA"/>
    <w:rsid w:val="001F6AC1"/>
    <w:rsid w:val="001F70C1"/>
    <w:rsid w:val="001F73A8"/>
    <w:rsid w:val="00200F50"/>
    <w:rsid w:val="00201497"/>
    <w:rsid w:val="00201F71"/>
    <w:rsid w:val="00202D4D"/>
    <w:rsid w:val="00203356"/>
    <w:rsid w:val="00203E3E"/>
    <w:rsid w:val="00205A79"/>
    <w:rsid w:val="00205AA5"/>
    <w:rsid w:val="00205B06"/>
    <w:rsid w:val="00205BCE"/>
    <w:rsid w:val="00205F79"/>
    <w:rsid w:val="00206369"/>
    <w:rsid w:val="002073A5"/>
    <w:rsid w:val="0020755C"/>
    <w:rsid w:val="00207891"/>
    <w:rsid w:val="00211F2D"/>
    <w:rsid w:val="00212382"/>
    <w:rsid w:val="00212941"/>
    <w:rsid w:val="002136BC"/>
    <w:rsid w:val="00215768"/>
    <w:rsid w:val="002174D7"/>
    <w:rsid w:val="00220C07"/>
    <w:rsid w:val="00221A10"/>
    <w:rsid w:val="0022228D"/>
    <w:rsid w:val="002227D3"/>
    <w:rsid w:val="00222FFA"/>
    <w:rsid w:val="00224431"/>
    <w:rsid w:val="002258FA"/>
    <w:rsid w:val="002274A5"/>
    <w:rsid w:val="00230C5A"/>
    <w:rsid w:val="002312DA"/>
    <w:rsid w:val="00231338"/>
    <w:rsid w:val="00231B1D"/>
    <w:rsid w:val="0023265F"/>
    <w:rsid w:val="00233738"/>
    <w:rsid w:val="00233948"/>
    <w:rsid w:val="00234634"/>
    <w:rsid w:val="00234FD7"/>
    <w:rsid w:val="002360F5"/>
    <w:rsid w:val="002378F3"/>
    <w:rsid w:val="0024003B"/>
    <w:rsid w:val="0024006E"/>
    <w:rsid w:val="002419FC"/>
    <w:rsid w:val="00242EA0"/>
    <w:rsid w:val="0024328B"/>
    <w:rsid w:val="002442E7"/>
    <w:rsid w:val="00244675"/>
    <w:rsid w:val="0024467B"/>
    <w:rsid w:val="00244728"/>
    <w:rsid w:val="00244DEF"/>
    <w:rsid w:val="00245CB8"/>
    <w:rsid w:val="00247AFC"/>
    <w:rsid w:val="002503CC"/>
    <w:rsid w:val="00250EBD"/>
    <w:rsid w:val="00251919"/>
    <w:rsid w:val="0025314D"/>
    <w:rsid w:val="002532EC"/>
    <w:rsid w:val="00253B90"/>
    <w:rsid w:val="00254CB5"/>
    <w:rsid w:val="00255731"/>
    <w:rsid w:val="00257E1E"/>
    <w:rsid w:val="00262AD2"/>
    <w:rsid w:val="0026536F"/>
    <w:rsid w:val="00265391"/>
    <w:rsid w:val="002677E1"/>
    <w:rsid w:val="00267A57"/>
    <w:rsid w:val="00270357"/>
    <w:rsid w:val="00270A37"/>
    <w:rsid w:val="00270CFC"/>
    <w:rsid w:val="00271086"/>
    <w:rsid w:val="002718B3"/>
    <w:rsid w:val="002733B2"/>
    <w:rsid w:val="00276415"/>
    <w:rsid w:val="002824C8"/>
    <w:rsid w:val="00282865"/>
    <w:rsid w:val="00283E41"/>
    <w:rsid w:val="00283E6D"/>
    <w:rsid w:val="00284BD6"/>
    <w:rsid w:val="00284EBE"/>
    <w:rsid w:val="0028628F"/>
    <w:rsid w:val="0028753E"/>
    <w:rsid w:val="002876CD"/>
    <w:rsid w:val="0029005A"/>
    <w:rsid w:val="0029058D"/>
    <w:rsid w:val="00290B6A"/>
    <w:rsid w:val="00291747"/>
    <w:rsid w:val="00292185"/>
    <w:rsid w:val="002928D0"/>
    <w:rsid w:val="00293678"/>
    <w:rsid w:val="002940DC"/>
    <w:rsid w:val="00295C7A"/>
    <w:rsid w:val="002963C1"/>
    <w:rsid w:val="002965EB"/>
    <w:rsid w:val="00296A77"/>
    <w:rsid w:val="00296C04"/>
    <w:rsid w:val="0029701D"/>
    <w:rsid w:val="0029749A"/>
    <w:rsid w:val="0029750E"/>
    <w:rsid w:val="00297721"/>
    <w:rsid w:val="002A0DA1"/>
    <w:rsid w:val="002A2E66"/>
    <w:rsid w:val="002A391C"/>
    <w:rsid w:val="002A3E1A"/>
    <w:rsid w:val="002A406D"/>
    <w:rsid w:val="002A44E0"/>
    <w:rsid w:val="002A52A1"/>
    <w:rsid w:val="002A5739"/>
    <w:rsid w:val="002A59F9"/>
    <w:rsid w:val="002A5CA2"/>
    <w:rsid w:val="002A64C2"/>
    <w:rsid w:val="002A6729"/>
    <w:rsid w:val="002A73C2"/>
    <w:rsid w:val="002B11AF"/>
    <w:rsid w:val="002B14FA"/>
    <w:rsid w:val="002B16D4"/>
    <w:rsid w:val="002B17E6"/>
    <w:rsid w:val="002B3187"/>
    <w:rsid w:val="002B3E8B"/>
    <w:rsid w:val="002B4347"/>
    <w:rsid w:val="002B4E90"/>
    <w:rsid w:val="002B6604"/>
    <w:rsid w:val="002B756B"/>
    <w:rsid w:val="002C0832"/>
    <w:rsid w:val="002C154C"/>
    <w:rsid w:val="002C1E4D"/>
    <w:rsid w:val="002C383E"/>
    <w:rsid w:val="002C7B12"/>
    <w:rsid w:val="002D06A1"/>
    <w:rsid w:val="002D228E"/>
    <w:rsid w:val="002D27FE"/>
    <w:rsid w:val="002D33AD"/>
    <w:rsid w:val="002D4A37"/>
    <w:rsid w:val="002D503C"/>
    <w:rsid w:val="002D583D"/>
    <w:rsid w:val="002D6BFF"/>
    <w:rsid w:val="002D785D"/>
    <w:rsid w:val="002E0693"/>
    <w:rsid w:val="002E12C0"/>
    <w:rsid w:val="002E138A"/>
    <w:rsid w:val="002E3C48"/>
    <w:rsid w:val="002E4E0B"/>
    <w:rsid w:val="002E5CBD"/>
    <w:rsid w:val="002E5D56"/>
    <w:rsid w:val="002E68F1"/>
    <w:rsid w:val="002E7A5F"/>
    <w:rsid w:val="002F0002"/>
    <w:rsid w:val="002F06A0"/>
    <w:rsid w:val="002F18F7"/>
    <w:rsid w:val="002F1F0B"/>
    <w:rsid w:val="002F1FF1"/>
    <w:rsid w:val="002F2D88"/>
    <w:rsid w:val="002F2DC4"/>
    <w:rsid w:val="002F3008"/>
    <w:rsid w:val="002F38B0"/>
    <w:rsid w:val="002F3DF8"/>
    <w:rsid w:val="002F60E8"/>
    <w:rsid w:val="002F6331"/>
    <w:rsid w:val="002F6D08"/>
    <w:rsid w:val="002F7095"/>
    <w:rsid w:val="002F7338"/>
    <w:rsid w:val="003000A1"/>
    <w:rsid w:val="0030053F"/>
    <w:rsid w:val="00300A50"/>
    <w:rsid w:val="00301A67"/>
    <w:rsid w:val="00301EDF"/>
    <w:rsid w:val="00302076"/>
    <w:rsid w:val="00302C19"/>
    <w:rsid w:val="00303106"/>
    <w:rsid w:val="0030374E"/>
    <w:rsid w:val="003037BB"/>
    <w:rsid w:val="00303FB1"/>
    <w:rsid w:val="0030435D"/>
    <w:rsid w:val="00305A9F"/>
    <w:rsid w:val="00306A0D"/>
    <w:rsid w:val="00306DCF"/>
    <w:rsid w:val="00307AEA"/>
    <w:rsid w:val="003109CA"/>
    <w:rsid w:val="003114C7"/>
    <w:rsid w:val="00312DEB"/>
    <w:rsid w:val="00315159"/>
    <w:rsid w:val="00315A30"/>
    <w:rsid w:val="00317610"/>
    <w:rsid w:val="00317DF1"/>
    <w:rsid w:val="00317E57"/>
    <w:rsid w:val="00321179"/>
    <w:rsid w:val="003214BC"/>
    <w:rsid w:val="003229AC"/>
    <w:rsid w:val="003236A6"/>
    <w:rsid w:val="00324C1A"/>
    <w:rsid w:val="00324F88"/>
    <w:rsid w:val="00325A2E"/>
    <w:rsid w:val="00325EF8"/>
    <w:rsid w:val="00327B56"/>
    <w:rsid w:val="003315C7"/>
    <w:rsid w:val="003316D9"/>
    <w:rsid w:val="003330DE"/>
    <w:rsid w:val="00333962"/>
    <w:rsid w:val="00333E1B"/>
    <w:rsid w:val="003350B7"/>
    <w:rsid w:val="003357E6"/>
    <w:rsid w:val="003365EA"/>
    <w:rsid w:val="0033676F"/>
    <w:rsid w:val="0033716D"/>
    <w:rsid w:val="00341FEC"/>
    <w:rsid w:val="0034246B"/>
    <w:rsid w:val="00342CF9"/>
    <w:rsid w:val="00342D87"/>
    <w:rsid w:val="003431CA"/>
    <w:rsid w:val="0034378E"/>
    <w:rsid w:val="00343EB1"/>
    <w:rsid w:val="003461B9"/>
    <w:rsid w:val="0034780D"/>
    <w:rsid w:val="00350357"/>
    <w:rsid w:val="00350E5D"/>
    <w:rsid w:val="00353CA5"/>
    <w:rsid w:val="0035554F"/>
    <w:rsid w:val="00355FEF"/>
    <w:rsid w:val="00356F2D"/>
    <w:rsid w:val="00357929"/>
    <w:rsid w:val="00357C25"/>
    <w:rsid w:val="0036146E"/>
    <w:rsid w:val="00363DC4"/>
    <w:rsid w:val="00364A9B"/>
    <w:rsid w:val="00364C35"/>
    <w:rsid w:val="00364DEA"/>
    <w:rsid w:val="00364E7C"/>
    <w:rsid w:val="00365863"/>
    <w:rsid w:val="0036687A"/>
    <w:rsid w:val="00366ED2"/>
    <w:rsid w:val="0037014F"/>
    <w:rsid w:val="00371DA1"/>
    <w:rsid w:val="00371EC9"/>
    <w:rsid w:val="00372290"/>
    <w:rsid w:val="00373E92"/>
    <w:rsid w:val="00374609"/>
    <w:rsid w:val="003748E9"/>
    <w:rsid w:val="00375777"/>
    <w:rsid w:val="00376226"/>
    <w:rsid w:val="003771D8"/>
    <w:rsid w:val="003803FD"/>
    <w:rsid w:val="00380525"/>
    <w:rsid w:val="00381AA8"/>
    <w:rsid w:val="00381D29"/>
    <w:rsid w:val="00383046"/>
    <w:rsid w:val="00384449"/>
    <w:rsid w:val="00385515"/>
    <w:rsid w:val="00385A1D"/>
    <w:rsid w:val="00386CFD"/>
    <w:rsid w:val="003871E0"/>
    <w:rsid w:val="00387569"/>
    <w:rsid w:val="00387FC7"/>
    <w:rsid w:val="003900AD"/>
    <w:rsid w:val="003903BC"/>
    <w:rsid w:val="00390EF7"/>
    <w:rsid w:val="00391F0B"/>
    <w:rsid w:val="003932E0"/>
    <w:rsid w:val="00394BD2"/>
    <w:rsid w:val="00394CC8"/>
    <w:rsid w:val="003958E3"/>
    <w:rsid w:val="00395AEC"/>
    <w:rsid w:val="00396A99"/>
    <w:rsid w:val="00396B9C"/>
    <w:rsid w:val="003A0136"/>
    <w:rsid w:val="003A1886"/>
    <w:rsid w:val="003A28EE"/>
    <w:rsid w:val="003A4C1A"/>
    <w:rsid w:val="003A5590"/>
    <w:rsid w:val="003A5FE7"/>
    <w:rsid w:val="003A6C5F"/>
    <w:rsid w:val="003B23BC"/>
    <w:rsid w:val="003B3F80"/>
    <w:rsid w:val="003B401C"/>
    <w:rsid w:val="003B61E8"/>
    <w:rsid w:val="003B7564"/>
    <w:rsid w:val="003B7777"/>
    <w:rsid w:val="003B79F7"/>
    <w:rsid w:val="003C1705"/>
    <w:rsid w:val="003C391E"/>
    <w:rsid w:val="003C5308"/>
    <w:rsid w:val="003C5912"/>
    <w:rsid w:val="003C5C6D"/>
    <w:rsid w:val="003C6123"/>
    <w:rsid w:val="003C67FE"/>
    <w:rsid w:val="003C78F2"/>
    <w:rsid w:val="003D0211"/>
    <w:rsid w:val="003D028D"/>
    <w:rsid w:val="003D0736"/>
    <w:rsid w:val="003D1878"/>
    <w:rsid w:val="003D22D0"/>
    <w:rsid w:val="003D34A6"/>
    <w:rsid w:val="003D3682"/>
    <w:rsid w:val="003D49DB"/>
    <w:rsid w:val="003D6003"/>
    <w:rsid w:val="003D66A6"/>
    <w:rsid w:val="003D695A"/>
    <w:rsid w:val="003D77FF"/>
    <w:rsid w:val="003E0741"/>
    <w:rsid w:val="003E0985"/>
    <w:rsid w:val="003E19C5"/>
    <w:rsid w:val="003E2952"/>
    <w:rsid w:val="003E2B15"/>
    <w:rsid w:val="003E3104"/>
    <w:rsid w:val="003E3385"/>
    <w:rsid w:val="003E40C5"/>
    <w:rsid w:val="003E46E7"/>
    <w:rsid w:val="003E59A2"/>
    <w:rsid w:val="003E65E9"/>
    <w:rsid w:val="003E6949"/>
    <w:rsid w:val="003E6BCB"/>
    <w:rsid w:val="003E7620"/>
    <w:rsid w:val="003F03FF"/>
    <w:rsid w:val="003F0E27"/>
    <w:rsid w:val="003F1021"/>
    <w:rsid w:val="003F29F5"/>
    <w:rsid w:val="003F2B7F"/>
    <w:rsid w:val="003F3B3D"/>
    <w:rsid w:val="003F3C2D"/>
    <w:rsid w:val="003F7E3D"/>
    <w:rsid w:val="003F7EA5"/>
    <w:rsid w:val="00400396"/>
    <w:rsid w:val="00401C78"/>
    <w:rsid w:val="004033C7"/>
    <w:rsid w:val="00404EC4"/>
    <w:rsid w:val="00405F3C"/>
    <w:rsid w:val="00407050"/>
    <w:rsid w:val="004072A5"/>
    <w:rsid w:val="0040751C"/>
    <w:rsid w:val="004078DC"/>
    <w:rsid w:val="00407C06"/>
    <w:rsid w:val="00410011"/>
    <w:rsid w:val="00410A95"/>
    <w:rsid w:val="00411B59"/>
    <w:rsid w:val="00411BF3"/>
    <w:rsid w:val="0041298F"/>
    <w:rsid w:val="00413EE3"/>
    <w:rsid w:val="00414F21"/>
    <w:rsid w:val="00415EC6"/>
    <w:rsid w:val="00417354"/>
    <w:rsid w:val="00417A76"/>
    <w:rsid w:val="00420735"/>
    <w:rsid w:val="00421B3C"/>
    <w:rsid w:val="00423053"/>
    <w:rsid w:val="0042410E"/>
    <w:rsid w:val="00424342"/>
    <w:rsid w:val="00425085"/>
    <w:rsid w:val="004253F0"/>
    <w:rsid w:val="00425D10"/>
    <w:rsid w:val="00431B1B"/>
    <w:rsid w:val="00432352"/>
    <w:rsid w:val="00432C93"/>
    <w:rsid w:val="004334B2"/>
    <w:rsid w:val="00433A16"/>
    <w:rsid w:val="004341D3"/>
    <w:rsid w:val="00440ED1"/>
    <w:rsid w:val="004411F8"/>
    <w:rsid w:val="00442C56"/>
    <w:rsid w:val="00446D86"/>
    <w:rsid w:val="00447A4C"/>
    <w:rsid w:val="004504BE"/>
    <w:rsid w:val="00451234"/>
    <w:rsid w:val="004522F0"/>
    <w:rsid w:val="00452BFD"/>
    <w:rsid w:val="00453911"/>
    <w:rsid w:val="0045396D"/>
    <w:rsid w:val="00454B4A"/>
    <w:rsid w:val="00454BB8"/>
    <w:rsid w:val="00454D71"/>
    <w:rsid w:val="004553BB"/>
    <w:rsid w:val="00455DBE"/>
    <w:rsid w:val="00455F8B"/>
    <w:rsid w:val="004569B8"/>
    <w:rsid w:val="00456B7D"/>
    <w:rsid w:val="004571D9"/>
    <w:rsid w:val="004610DD"/>
    <w:rsid w:val="004624D8"/>
    <w:rsid w:val="00463EA6"/>
    <w:rsid w:val="00464133"/>
    <w:rsid w:val="00464256"/>
    <w:rsid w:val="004645BC"/>
    <w:rsid w:val="0046562B"/>
    <w:rsid w:val="00465ACD"/>
    <w:rsid w:val="00470678"/>
    <w:rsid w:val="00471451"/>
    <w:rsid w:val="004723BC"/>
    <w:rsid w:val="0047255E"/>
    <w:rsid w:val="004730D1"/>
    <w:rsid w:val="004745FF"/>
    <w:rsid w:val="00475727"/>
    <w:rsid w:val="00475F6C"/>
    <w:rsid w:val="0047767E"/>
    <w:rsid w:val="00480351"/>
    <w:rsid w:val="00480633"/>
    <w:rsid w:val="00481343"/>
    <w:rsid w:val="0048170A"/>
    <w:rsid w:val="00481DDF"/>
    <w:rsid w:val="00482360"/>
    <w:rsid w:val="004823AB"/>
    <w:rsid w:val="004831F9"/>
    <w:rsid w:val="00483846"/>
    <w:rsid w:val="00483EC5"/>
    <w:rsid w:val="00484543"/>
    <w:rsid w:val="00485127"/>
    <w:rsid w:val="00485972"/>
    <w:rsid w:val="004864BF"/>
    <w:rsid w:val="00486EDA"/>
    <w:rsid w:val="00487016"/>
    <w:rsid w:val="004878F1"/>
    <w:rsid w:val="00487E9D"/>
    <w:rsid w:val="004902F5"/>
    <w:rsid w:val="004906AD"/>
    <w:rsid w:val="00491126"/>
    <w:rsid w:val="004915B2"/>
    <w:rsid w:val="00492ECC"/>
    <w:rsid w:val="004932AA"/>
    <w:rsid w:val="004933B8"/>
    <w:rsid w:val="00494974"/>
    <w:rsid w:val="00494989"/>
    <w:rsid w:val="00494E79"/>
    <w:rsid w:val="004955C1"/>
    <w:rsid w:val="00497729"/>
    <w:rsid w:val="004977A9"/>
    <w:rsid w:val="004A1247"/>
    <w:rsid w:val="004A1925"/>
    <w:rsid w:val="004A22FB"/>
    <w:rsid w:val="004A281B"/>
    <w:rsid w:val="004A29A8"/>
    <w:rsid w:val="004A2DAC"/>
    <w:rsid w:val="004A32FE"/>
    <w:rsid w:val="004A440D"/>
    <w:rsid w:val="004A571D"/>
    <w:rsid w:val="004A5E3D"/>
    <w:rsid w:val="004A67A6"/>
    <w:rsid w:val="004A6DA4"/>
    <w:rsid w:val="004B09CC"/>
    <w:rsid w:val="004B15BA"/>
    <w:rsid w:val="004B22B1"/>
    <w:rsid w:val="004B2444"/>
    <w:rsid w:val="004B3268"/>
    <w:rsid w:val="004B3554"/>
    <w:rsid w:val="004B3CA1"/>
    <w:rsid w:val="004B5313"/>
    <w:rsid w:val="004B5C24"/>
    <w:rsid w:val="004B6002"/>
    <w:rsid w:val="004C01A3"/>
    <w:rsid w:val="004C24B0"/>
    <w:rsid w:val="004C31C4"/>
    <w:rsid w:val="004C5F7E"/>
    <w:rsid w:val="004C6601"/>
    <w:rsid w:val="004C7053"/>
    <w:rsid w:val="004D0B97"/>
    <w:rsid w:val="004D15F5"/>
    <w:rsid w:val="004D3838"/>
    <w:rsid w:val="004D6BA7"/>
    <w:rsid w:val="004E0A8C"/>
    <w:rsid w:val="004E1863"/>
    <w:rsid w:val="004E1E8D"/>
    <w:rsid w:val="004E2BCA"/>
    <w:rsid w:val="004E3008"/>
    <w:rsid w:val="004E35BF"/>
    <w:rsid w:val="004E3B9D"/>
    <w:rsid w:val="004E3FC0"/>
    <w:rsid w:val="004E4602"/>
    <w:rsid w:val="004E5209"/>
    <w:rsid w:val="004E5399"/>
    <w:rsid w:val="004E6220"/>
    <w:rsid w:val="004E6CF0"/>
    <w:rsid w:val="004F0FBF"/>
    <w:rsid w:val="004F1211"/>
    <w:rsid w:val="004F1557"/>
    <w:rsid w:val="004F1882"/>
    <w:rsid w:val="004F2441"/>
    <w:rsid w:val="004F2764"/>
    <w:rsid w:val="004F2DC1"/>
    <w:rsid w:val="004F3579"/>
    <w:rsid w:val="004F3821"/>
    <w:rsid w:val="004F490B"/>
    <w:rsid w:val="004F6D9A"/>
    <w:rsid w:val="00500769"/>
    <w:rsid w:val="00500B3C"/>
    <w:rsid w:val="00501401"/>
    <w:rsid w:val="00501622"/>
    <w:rsid w:val="00501D63"/>
    <w:rsid w:val="00502D28"/>
    <w:rsid w:val="00506B62"/>
    <w:rsid w:val="00510722"/>
    <w:rsid w:val="00510D5F"/>
    <w:rsid w:val="00510DC8"/>
    <w:rsid w:val="00511DD8"/>
    <w:rsid w:val="00511F7C"/>
    <w:rsid w:val="00512442"/>
    <w:rsid w:val="00515169"/>
    <w:rsid w:val="00515348"/>
    <w:rsid w:val="00515474"/>
    <w:rsid w:val="00517155"/>
    <w:rsid w:val="00520066"/>
    <w:rsid w:val="00520E9E"/>
    <w:rsid w:val="00522F3E"/>
    <w:rsid w:val="00523242"/>
    <w:rsid w:val="00524F40"/>
    <w:rsid w:val="0052547F"/>
    <w:rsid w:val="00525DC3"/>
    <w:rsid w:val="00525EAD"/>
    <w:rsid w:val="005269D4"/>
    <w:rsid w:val="005270DD"/>
    <w:rsid w:val="0053025E"/>
    <w:rsid w:val="00530493"/>
    <w:rsid w:val="00530A07"/>
    <w:rsid w:val="00532271"/>
    <w:rsid w:val="00534393"/>
    <w:rsid w:val="00536105"/>
    <w:rsid w:val="00536864"/>
    <w:rsid w:val="00540527"/>
    <w:rsid w:val="00541584"/>
    <w:rsid w:val="00541AE5"/>
    <w:rsid w:val="00541F61"/>
    <w:rsid w:val="00542271"/>
    <w:rsid w:val="0054248E"/>
    <w:rsid w:val="0054272D"/>
    <w:rsid w:val="00544588"/>
    <w:rsid w:val="00544B4E"/>
    <w:rsid w:val="00545328"/>
    <w:rsid w:val="0054680E"/>
    <w:rsid w:val="00546890"/>
    <w:rsid w:val="00546B6E"/>
    <w:rsid w:val="00547A4D"/>
    <w:rsid w:val="00547BA5"/>
    <w:rsid w:val="00553F4B"/>
    <w:rsid w:val="005548BA"/>
    <w:rsid w:val="00554965"/>
    <w:rsid w:val="00555E5D"/>
    <w:rsid w:val="00556562"/>
    <w:rsid w:val="00556E82"/>
    <w:rsid w:val="00557AAF"/>
    <w:rsid w:val="00561DEA"/>
    <w:rsid w:val="005628A1"/>
    <w:rsid w:val="00562B76"/>
    <w:rsid w:val="00562F0C"/>
    <w:rsid w:val="00563643"/>
    <w:rsid w:val="00564BF5"/>
    <w:rsid w:val="00564DDB"/>
    <w:rsid w:val="005653F2"/>
    <w:rsid w:val="00565B06"/>
    <w:rsid w:val="00571626"/>
    <w:rsid w:val="00572F5C"/>
    <w:rsid w:val="00574FB9"/>
    <w:rsid w:val="00574FFB"/>
    <w:rsid w:val="005756F4"/>
    <w:rsid w:val="00575C09"/>
    <w:rsid w:val="005769C5"/>
    <w:rsid w:val="005777F4"/>
    <w:rsid w:val="00577EEF"/>
    <w:rsid w:val="0058099A"/>
    <w:rsid w:val="00583D01"/>
    <w:rsid w:val="00584A21"/>
    <w:rsid w:val="00585268"/>
    <w:rsid w:val="0058528C"/>
    <w:rsid w:val="00585C90"/>
    <w:rsid w:val="00586161"/>
    <w:rsid w:val="0058657B"/>
    <w:rsid w:val="00586BD2"/>
    <w:rsid w:val="005935CF"/>
    <w:rsid w:val="00593EE5"/>
    <w:rsid w:val="00595172"/>
    <w:rsid w:val="005952D3"/>
    <w:rsid w:val="00596C5A"/>
    <w:rsid w:val="005A0693"/>
    <w:rsid w:val="005A0BAE"/>
    <w:rsid w:val="005A0C4F"/>
    <w:rsid w:val="005A1876"/>
    <w:rsid w:val="005A2AA3"/>
    <w:rsid w:val="005A3267"/>
    <w:rsid w:val="005A38D6"/>
    <w:rsid w:val="005A4B2C"/>
    <w:rsid w:val="005A5203"/>
    <w:rsid w:val="005B041A"/>
    <w:rsid w:val="005B0EAE"/>
    <w:rsid w:val="005B1314"/>
    <w:rsid w:val="005B1EA0"/>
    <w:rsid w:val="005B35AB"/>
    <w:rsid w:val="005B45F8"/>
    <w:rsid w:val="005B5D2A"/>
    <w:rsid w:val="005B5D32"/>
    <w:rsid w:val="005B6BCC"/>
    <w:rsid w:val="005C087D"/>
    <w:rsid w:val="005C0D11"/>
    <w:rsid w:val="005C12D4"/>
    <w:rsid w:val="005C17E3"/>
    <w:rsid w:val="005C19BC"/>
    <w:rsid w:val="005C2D4B"/>
    <w:rsid w:val="005C3000"/>
    <w:rsid w:val="005C39AB"/>
    <w:rsid w:val="005C489C"/>
    <w:rsid w:val="005C4DCD"/>
    <w:rsid w:val="005C4EFD"/>
    <w:rsid w:val="005C538B"/>
    <w:rsid w:val="005C7344"/>
    <w:rsid w:val="005C7650"/>
    <w:rsid w:val="005C76DD"/>
    <w:rsid w:val="005D2F63"/>
    <w:rsid w:val="005D377E"/>
    <w:rsid w:val="005D4A7A"/>
    <w:rsid w:val="005D4F0A"/>
    <w:rsid w:val="005D5814"/>
    <w:rsid w:val="005D68B2"/>
    <w:rsid w:val="005D6FC3"/>
    <w:rsid w:val="005D74E7"/>
    <w:rsid w:val="005D7B2C"/>
    <w:rsid w:val="005E0F89"/>
    <w:rsid w:val="005E1BF0"/>
    <w:rsid w:val="005E3C89"/>
    <w:rsid w:val="005E5A64"/>
    <w:rsid w:val="005E5CF5"/>
    <w:rsid w:val="005E6576"/>
    <w:rsid w:val="005E6B72"/>
    <w:rsid w:val="005E7127"/>
    <w:rsid w:val="005F18FE"/>
    <w:rsid w:val="005F2BC2"/>
    <w:rsid w:val="005F4150"/>
    <w:rsid w:val="005F46F0"/>
    <w:rsid w:val="005F4A50"/>
    <w:rsid w:val="005F54FE"/>
    <w:rsid w:val="005F5E0D"/>
    <w:rsid w:val="005F6E76"/>
    <w:rsid w:val="005F738E"/>
    <w:rsid w:val="005F7965"/>
    <w:rsid w:val="005F7CDB"/>
    <w:rsid w:val="00600108"/>
    <w:rsid w:val="00600372"/>
    <w:rsid w:val="00600C83"/>
    <w:rsid w:val="00601235"/>
    <w:rsid w:val="006032D4"/>
    <w:rsid w:val="00603DA0"/>
    <w:rsid w:val="006055B4"/>
    <w:rsid w:val="006060C4"/>
    <w:rsid w:val="006068D9"/>
    <w:rsid w:val="006069DE"/>
    <w:rsid w:val="00607DAA"/>
    <w:rsid w:val="0061001D"/>
    <w:rsid w:val="00610E40"/>
    <w:rsid w:val="0061251F"/>
    <w:rsid w:val="006135AB"/>
    <w:rsid w:val="00613E37"/>
    <w:rsid w:val="00614500"/>
    <w:rsid w:val="006152C4"/>
    <w:rsid w:val="00616140"/>
    <w:rsid w:val="00616319"/>
    <w:rsid w:val="006170BA"/>
    <w:rsid w:val="0062061D"/>
    <w:rsid w:val="00622316"/>
    <w:rsid w:val="00623B9C"/>
    <w:rsid w:val="00625781"/>
    <w:rsid w:val="00626C56"/>
    <w:rsid w:val="00626D47"/>
    <w:rsid w:val="006314C8"/>
    <w:rsid w:val="006325A4"/>
    <w:rsid w:val="00632F7C"/>
    <w:rsid w:val="0063355B"/>
    <w:rsid w:val="00633861"/>
    <w:rsid w:val="006346DB"/>
    <w:rsid w:val="00634966"/>
    <w:rsid w:val="00634A38"/>
    <w:rsid w:val="0063506B"/>
    <w:rsid w:val="00635B21"/>
    <w:rsid w:val="006406A6"/>
    <w:rsid w:val="006416AE"/>
    <w:rsid w:val="006433EF"/>
    <w:rsid w:val="00643A08"/>
    <w:rsid w:val="00643CDE"/>
    <w:rsid w:val="00645DDD"/>
    <w:rsid w:val="00646FBF"/>
    <w:rsid w:val="00647101"/>
    <w:rsid w:val="006477B4"/>
    <w:rsid w:val="00650B25"/>
    <w:rsid w:val="006512DF"/>
    <w:rsid w:val="00651A08"/>
    <w:rsid w:val="006522D4"/>
    <w:rsid w:val="00652C91"/>
    <w:rsid w:val="006600B3"/>
    <w:rsid w:val="006604E2"/>
    <w:rsid w:val="00660E47"/>
    <w:rsid w:val="0066152B"/>
    <w:rsid w:val="00661581"/>
    <w:rsid w:val="00662DCF"/>
    <w:rsid w:val="0066300C"/>
    <w:rsid w:val="00663CBC"/>
    <w:rsid w:val="006641C2"/>
    <w:rsid w:val="00664F2E"/>
    <w:rsid w:val="00665791"/>
    <w:rsid w:val="00667BDC"/>
    <w:rsid w:val="006701F2"/>
    <w:rsid w:val="00672B68"/>
    <w:rsid w:val="006756B5"/>
    <w:rsid w:val="00675C84"/>
    <w:rsid w:val="00675E77"/>
    <w:rsid w:val="006769EC"/>
    <w:rsid w:val="00676B78"/>
    <w:rsid w:val="00680250"/>
    <w:rsid w:val="00680468"/>
    <w:rsid w:val="00680476"/>
    <w:rsid w:val="006807CD"/>
    <w:rsid w:val="0068098A"/>
    <w:rsid w:val="00682F21"/>
    <w:rsid w:val="00682F9C"/>
    <w:rsid w:val="00683965"/>
    <w:rsid w:val="00683D01"/>
    <w:rsid w:val="00684BAB"/>
    <w:rsid w:val="00685B08"/>
    <w:rsid w:val="00686689"/>
    <w:rsid w:val="00686EDC"/>
    <w:rsid w:val="006875EE"/>
    <w:rsid w:val="00687948"/>
    <w:rsid w:val="006917D9"/>
    <w:rsid w:val="00692B73"/>
    <w:rsid w:val="00693F55"/>
    <w:rsid w:val="00693FEC"/>
    <w:rsid w:val="006962A1"/>
    <w:rsid w:val="00696AC8"/>
    <w:rsid w:val="00696BA6"/>
    <w:rsid w:val="00696C98"/>
    <w:rsid w:val="00697BEE"/>
    <w:rsid w:val="006A004D"/>
    <w:rsid w:val="006A0BF0"/>
    <w:rsid w:val="006A0F9A"/>
    <w:rsid w:val="006A24BB"/>
    <w:rsid w:val="006A397E"/>
    <w:rsid w:val="006A4F43"/>
    <w:rsid w:val="006A5D37"/>
    <w:rsid w:val="006A5D40"/>
    <w:rsid w:val="006A66FA"/>
    <w:rsid w:val="006A6969"/>
    <w:rsid w:val="006A73D1"/>
    <w:rsid w:val="006A7E57"/>
    <w:rsid w:val="006B07F0"/>
    <w:rsid w:val="006B2832"/>
    <w:rsid w:val="006B31FE"/>
    <w:rsid w:val="006B3423"/>
    <w:rsid w:val="006B49D5"/>
    <w:rsid w:val="006B6D9C"/>
    <w:rsid w:val="006C3314"/>
    <w:rsid w:val="006C561D"/>
    <w:rsid w:val="006C5C55"/>
    <w:rsid w:val="006C6C08"/>
    <w:rsid w:val="006C6ECA"/>
    <w:rsid w:val="006C6FAE"/>
    <w:rsid w:val="006C71C1"/>
    <w:rsid w:val="006D03EA"/>
    <w:rsid w:val="006D0E77"/>
    <w:rsid w:val="006D12AB"/>
    <w:rsid w:val="006D15EB"/>
    <w:rsid w:val="006D164D"/>
    <w:rsid w:val="006D236B"/>
    <w:rsid w:val="006D2969"/>
    <w:rsid w:val="006D3083"/>
    <w:rsid w:val="006D5CA4"/>
    <w:rsid w:val="006D6315"/>
    <w:rsid w:val="006D6ED3"/>
    <w:rsid w:val="006E0197"/>
    <w:rsid w:val="006E0764"/>
    <w:rsid w:val="006E1435"/>
    <w:rsid w:val="006E24EB"/>
    <w:rsid w:val="006E3EFB"/>
    <w:rsid w:val="006E4F0D"/>
    <w:rsid w:val="006E5548"/>
    <w:rsid w:val="006E7433"/>
    <w:rsid w:val="006F0B92"/>
    <w:rsid w:val="006F1826"/>
    <w:rsid w:val="006F2460"/>
    <w:rsid w:val="006F28D3"/>
    <w:rsid w:val="006F4B4E"/>
    <w:rsid w:val="006F6DCC"/>
    <w:rsid w:val="007031FC"/>
    <w:rsid w:val="007032B0"/>
    <w:rsid w:val="007039FF"/>
    <w:rsid w:val="007048DD"/>
    <w:rsid w:val="0070554A"/>
    <w:rsid w:val="00705E3A"/>
    <w:rsid w:val="00706951"/>
    <w:rsid w:val="007070EB"/>
    <w:rsid w:val="0070795F"/>
    <w:rsid w:val="00707E7A"/>
    <w:rsid w:val="00710ABC"/>
    <w:rsid w:val="007121F2"/>
    <w:rsid w:val="0071270D"/>
    <w:rsid w:val="00712D29"/>
    <w:rsid w:val="00713F9D"/>
    <w:rsid w:val="00715FE0"/>
    <w:rsid w:val="00716937"/>
    <w:rsid w:val="00716C73"/>
    <w:rsid w:val="00717262"/>
    <w:rsid w:val="00720ECF"/>
    <w:rsid w:val="00722609"/>
    <w:rsid w:val="00722FE3"/>
    <w:rsid w:val="007249B1"/>
    <w:rsid w:val="00724A37"/>
    <w:rsid w:val="00724B96"/>
    <w:rsid w:val="00725312"/>
    <w:rsid w:val="007263A4"/>
    <w:rsid w:val="007265BC"/>
    <w:rsid w:val="0073004B"/>
    <w:rsid w:val="0073018C"/>
    <w:rsid w:val="007308DC"/>
    <w:rsid w:val="00730CF8"/>
    <w:rsid w:val="007349AB"/>
    <w:rsid w:val="0073511B"/>
    <w:rsid w:val="00735C13"/>
    <w:rsid w:val="007360B8"/>
    <w:rsid w:val="00736852"/>
    <w:rsid w:val="00736A72"/>
    <w:rsid w:val="00737AD3"/>
    <w:rsid w:val="00737C40"/>
    <w:rsid w:val="00741F5F"/>
    <w:rsid w:val="007420FA"/>
    <w:rsid w:val="0074243E"/>
    <w:rsid w:val="0074269E"/>
    <w:rsid w:val="00743483"/>
    <w:rsid w:val="00743606"/>
    <w:rsid w:val="00744350"/>
    <w:rsid w:val="0074456F"/>
    <w:rsid w:val="007445A0"/>
    <w:rsid w:val="00745BC6"/>
    <w:rsid w:val="00745C47"/>
    <w:rsid w:val="00746429"/>
    <w:rsid w:val="00746A02"/>
    <w:rsid w:val="00747A32"/>
    <w:rsid w:val="00747D14"/>
    <w:rsid w:val="0075063A"/>
    <w:rsid w:val="00753761"/>
    <w:rsid w:val="00754A76"/>
    <w:rsid w:val="00754C65"/>
    <w:rsid w:val="00754E3C"/>
    <w:rsid w:val="00756449"/>
    <w:rsid w:val="00757276"/>
    <w:rsid w:val="00757493"/>
    <w:rsid w:val="00757EE4"/>
    <w:rsid w:val="00760E24"/>
    <w:rsid w:val="007619CD"/>
    <w:rsid w:val="0076241E"/>
    <w:rsid w:val="007641DD"/>
    <w:rsid w:val="00764F4B"/>
    <w:rsid w:val="0076503B"/>
    <w:rsid w:val="00765491"/>
    <w:rsid w:val="00765FF0"/>
    <w:rsid w:val="007660BB"/>
    <w:rsid w:val="0076735F"/>
    <w:rsid w:val="0077137C"/>
    <w:rsid w:val="00771A08"/>
    <w:rsid w:val="00771CD0"/>
    <w:rsid w:val="00773726"/>
    <w:rsid w:val="00774F5D"/>
    <w:rsid w:val="00774F83"/>
    <w:rsid w:val="00776E8A"/>
    <w:rsid w:val="00777978"/>
    <w:rsid w:val="007808A6"/>
    <w:rsid w:val="00781174"/>
    <w:rsid w:val="007815A9"/>
    <w:rsid w:val="007819EE"/>
    <w:rsid w:val="00784B31"/>
    <w:rsid w:val="0078562C"/>
    <w:rsid w:val="007868A9"/>
    <w:rsid w:val="00787215"/>
    <w:rsid w:val="0079008B"/>
    <w:rsid w:val="0079066B"/>
    <w:rsid w:val="00791134"/>
    <w:rsid w:val="0079162F"/>
    <w:rsid w:val="00794C6E"/>
    <w:rsid w:val="007957A0"/>
    <w:rsid w:val="00796817"/>
    <w:rsid w:val="00797895"/>
    <w:rsid w:val="007A0654"/>
    <w:rsid w:val="007A0DBF"/>
    <w:rsid w:val="007A1315"/>
    <w:rsid w:val="007A1D58"/>
    <w:rsid w:val="007A218A"/>
    <w:rsid w:val="007A264E"/>
    <w:rsid w:val="007A3C7A"/>
    <w:rsid w:val="007A3CC9"/>
    <w:rsid w:val="007A437F"/>
    <w:rsid w:val="007A57F0"/>
    <w:rsid w:val="007A7D76"/>
    <w:rsid w:val="007B0368"/>
    <w:rsid w:val="007B0F52"/>
    <w:rsid w:val="007B3C09"/>
    <w:rsid w:val="007B4820"/>
    <w:rsid w:val="007B51D7"/>
    <w:rsid w:val="007B53CF"/>
    <w:rsid w:val="007B581A"/>
    <w:rsid w:val="007B6336"/>
    <w:rsid w:val="007B6A32"/>
    <w:rsid w:val="007B6EF7"/>
    <w:rsid w:val="007B6F4C"/>
    <w:rsid w:val="007B72D0"/>
    <w:rsid w:val="007C028C"/>
    <w:rsid w:val="007C16D6"/>
    <w:rsid w:val="007C1CC6"/>
    <w:rsid w:val="007C2310"/>
    <w:rsid w:val="007C2CD3"/>
    <w:rsid w:val="007C2D07"/>
    <w:rsid w:val="007C3461"/>
    <w:rsid w:val="007C4609"/>
    <w:rsid w:val="007C58C6"/>
    <w:rsid w:val="007C5D3D"/>
    <w:rsid w:val="007C6024"/>
    <w:rsid w:val="007C6357"/>
    <w:rsid w:val="007C7A3B"/>
    <w:rsid w:val="007C7B04"/>
    <w:rsid w:val="007D14C2"/>
    <w:rsid w:val="007D1985"/>
    <w:rsid w:val="007D2180"/>
    <w:rsid w:val="007D218C"/>
    <w:rsid w:val="007D34F5"/>
    <w:rsid w:val="007D3EAF"/>
    <w:rsid w:val="007D5559"/>
    <w:rsid w:val="007D55AF"/>
    <w:rsid w:val="007D61C1"/>
    <w:rsid w:val="007D70C4"/>
    <w:rsid w:val="007D7183"/>
    <w:rsid w:val="007D7AD8"/>
    <w:rsid w:val="007E00E2"/>
    <w:rsid w:val="007E038D"/>
    <w:rsid w:val="007E0608"/>
    <w:rsid w:val="007E0651"/>
    <w:rsid w:val="007E0829"/>
    <w:rsid w:val="007E29B9"/>
    <w:rsid w:val="007E3E1D"/>
    <w:rsid w:val="007E4208"/>
    <w:rsid w:val="007E48BE"/>
    <w:rsid w:val="007E5786"/>
    <w:rsid w:val="007E7C95"/>
    <w:rsid w:val="007F0049"/>
    <w:rsid w:val="007F0556"/>
    <w:rsid w:val="007F0849"/>
    <w:rsid w:val="007F0CF0"/>
    <w:rsid w:val="007F0E94"/>
    <w:rsid w:val="007F3320"/>
    <w:rsid w:val="007F339F"/>
    <w:rsid w:val="007F380D"/>
    <w:rsid w:val="007F389B"/>
    <w:rsid w:val="007F6775"/>
    <w:rsid w:val="007F67A6"/>
    <w:rsid w:val="008019B2"/>
    <w:rsid w:val="00802365"/>
    <w:rsid w:val="0080274F"/>
    <w:rsid w:val="008050A3"/>
    <w:rsid w:val="00805F1D"/>
    <w:rsid w:val="0080777B"/>
    <w:rsid w:val="00810587"/>
    <w:rsid w:val="00810797"/>
    <w:rsid w:val="0081171D"/>
    <w:rsid w:val="008126B4"/>
    <w:rsid w:val="00812ACA"/>
    <w:rsid w:val="008130AF"/>
    <w:rsid w:val="008155C6"/>
    <w:rsid w:val="0081581A"/>
    <w:rsid w:val="00815A33"/>
    <w:rsid w:val="0081710F"/>
    <w:rsid w:val="0081764C"/>
    <w:rsid w:val="008179EC"/>
    <w:rsid w:val="00817FE2"/>
    <w:rsid w:val="0082039D"/>
    <w:rsid w:val="0082108D"/>
    <w:rsid w:val="00823BBD"/>
    <w:rsid w:val="00823E67"/>
    <w:rsid w:val="00825558"/>
    <w:rsid w:val="008257A8"/>
    <w:rsid w:val="008269E8"/>
    <w:rsid w:val="00826A8F"/>
    <w:rsid w:val="00826B5E"/>
    <w:rsid w:val="00827AAF"/>
    <w:rsid w:val="00827D83"/>
    <w:rsid w:val="00830534"/>
    <w:rsid w:val="008316FE"/>
    <w:rsid w:val="008323BB"/>
    <w:rsid w:val="00834DC2"/>
    <w:rsid w:val="008351C6"/>
    <w:rsid w:val="008352BF"/>
    <w:rsid w:val="008356AC"/>
    <w:rsid w:val="008362F8"/>
    <w:rsid w:val="00836AAD"/>
    <w:rsid w:val="00840122"/>
    <w:rsid w:val="00840B7D"/>
    <w:rsid w:val="00841049"/>
    <w:rsid w:val="00842075"/>
    <w:rsid w:val="0084232B"/>
    <w:rsid w:val="008437AC"/>
    <w:rsid w:val="008458C0"/>
    <w:rsid w:val="008468FA"/>
    <w:rsid w:val="00846BE0"/>
    <w:rsid w:val="00846E29"/>
    <w:rsid w:val="00847462"/>
    <w:rsid w:val="00851139"/>
    <w:rsid w:val="008511F4"/>
    <w:rsid w:val="0085272C"/>
    <w:rsid w:val="00854483"/>
    <w:rsid w:val="008546C5"/>
    <w:rsid w:val="0085664C"/>
    <w:rsid w:val="00857D2B"/>
    <w:rsid w:val="00857ECC"/>
    <w:rsid w:val="0086165C"/>
    <w:rsid w:val="0086399C"/>
    <w:rsid w:val="00864148"/>
    <w:rsid w:val="00864C88"/>
    <w:rsid w:val="00864E0D"/>
    <w:rsid w:val="00865B4E"/>
    <w:rsid w:val="008676F1"/>
    <w:rsid w:val="008742EC"/>
    <w:rsid w:val="00874CC1"/>
    <w:rsid w:val="0087714C"/>
    <w:rsid w:val="00877CA0"/>
    <w:rsid w:val="0088097A"/>
    <w:rsid w:val="00881096"/>
    <w:rsid w:val="0088224C"/>
    <w:rsid w:val="008822C7"/>
    <w:rsid w:val="0088264B"/>
    <w:rsid w:val="00883EE0"/>
    <w:rsid w:val="00885546"/>
    <w:rsid w:val="008861B5"/>
    <w:rsid w:val="00887686"/>
    <w:rsid w:val="008877E5"/>
    <w:rsid w:val="0088796B"/>
    <w:rsid w:val="00890788"/>
    <w:rsid w:val="00891AEF"/>
    <w:rsid w:val="00893445"/>
    <w:rsid w:val="00893B38"/>
    <w:rsid w:val="008940E7"/>
    <w:rsid w:val="00894600"/>
    <w:rsid w:val="00894B40"/>
    <w:rsid w:val="00895270"/>
    <w:rsid w:val="00896006"/>
    <w:rsid w:val="0089664D"/>
    <w:rsid w:val="00896B0E"/>
    <w:rsid w:val="00896B6A"/>
    <w:rsid w:val="00896DC0"/>
    <w:rsid w:val="00897DB1"/>
    <w:rsid w:val="008A237E"/>
    <w:rsid w:val="008A317C"/>
    <w:rsid w:val="008A4355"/>
    <w:rsid w:val="008A534E"/>
    <w:rsid w:val="008A721C"/>
    <w:rsid w:val="008B030A"/>
    <w:rsid w:val="008B150C"/>
    <w:rsid w:val="008B2319"/>
    <w:rsid w:val="008B268D"/>
    <w:rsid w:val="008B419D"/>
    <w:rsid w:val="008B6973"/>
    <w:rsid w:val="008B7B51"/>
    <w:rsid w:val="008C0289"/>
    <w:rsid w:val="008C0DBC"/>
    <w:rsid w:val="008C1F49"/>
    <w:rsid w:val="008C3EAF"/>
    <w:rsid w:val="008C3F43"/>
    <w:rsid w:val="008C4687"/>
    <w:rsid w:val="008C4D8F"/>
    <w:rsid w:val="008C52AB"/>
    <w:rsid w:val="008C5303"/>
    <w:rsid w:val="008C5319"/>
    <w:rsid w:val="008C55B2"/>
    <w:rsid w:val="008C66FD"/>
    <w:rsid w:val="008C6E42"/>
    <w:rsid w:val="008D05D4"/>
    <w:rsid w:val="008D092A"/>
    <w:rsid w:val="008D13CD"/>
    <w:rsid w:val="008D2AE4"/>
    <w:rsid w:val="008D2C2D"/>
    <w:rsid w:val="008D30BD"/>
    <w:rsid w:val="008D440A"/>
    <w:rsid w:val="008D455A"/>
    <w:rsid w:val="008D4567"/>
    <w:rsid w:val="008D4D09"/>
    <w:rsid w:val="008D58AF"/>
    <w:rsid w:val="008D65E3"/>
    <w:rsid w:val="008D79B3"/>
    <w:rsid w:val="008D7AD5"/>
    <w:rsid w:val="008D7C61"/>
    <w:rsid w:val="008E0B5B"/>
    <w:rsid w:val="008E1AB0"/>
    <w:rsid w:val="008E1D91"/>
    <w:rsid w:val="008E29BE"/>
    <w:rsid w:val="008E413F"/>
    <w:rsid w:val="008E4DB6"/>
    <w:rsid w:val="008E4E6A"/>
    <w:rsid w:val="008E5B3E"/>
    <w:rsid w:val="008E5BB7"/>
    <w:rsid w:val="008E5E1A"/>
    <w:rsid w:val="008F14F1"/>
    <w:rsid w:val="008F15C2"/>
    <w:rsid w:val="008F3005"/>
    <w:rsid w:val="008F40F8"/>
    <w:rsid w:val="008F4176"/>
    <w:rsid w:val="009006D0"/>
    <w:rsid w:val="0090167D"/>
    <w:rsid w:val="00901AEA"/>
    <w:rsid w:val="00902475"/>
    <w:rsid w:val="009047C6"/>
    <w:rsid w:val="00904869"/>
    <w:rsid w:val="00907130"/>
    <w:rsid w:val="009071EC"/>
    <w:rsid w:val="00907F3E"/>
    <w:rsid w:val="00907F4C"/>
    <w:rsid w:val="00910536"/>
    <w:rsid w:val="009113EF"/>
    <w:rsid w:val="009124E5"/>
    <w:rsid w:val="00913697"/>
    <w:rsid w:val="0091401F"/>
    <w:rsid w:val="00915DE8"/>
    <w:rsid w:val="00916041"/>
    <w:rsid w:val="00916C10"/>
    <w:rsid w:val="00916E6D"/>
    <w:rsid w:val="00917790"/>
    <w:rsid w:val="00921F25"/>
    <w:rsid w:val="009248FB"/>
    <w:rsid w:val="00925541"/>
    <w:rsid w:val="00925A9C"/>
    <w:rsid w:val="0092600E"/>
    <w:rsid w:val="00930A02"/>
    <w:rsid w:val="00931109"/>
    <w:rsid w:val="00931223"/>
    <w:rsid w:val="00932124"/>
    <w:rsid w:val="00932555"/>
    <w:rsid w:val="0093268E"/>
    <w:rsid w:val="00932EAE"/>
    <w:rsid w:val="009332C9"/>
    <w:rsid w:val="00933892"/>
    <w:rsid w:val="0093423E"/>
    <w:rsid w:val="00934338"/>
    <w:rsid w:val="009349AC"/>
    <w:rsid w:val="00934E09"/>
    <w:rsid w:val="0093675F"/>
    <w:rsid w:val="009376AB"/>
    <w:rsid w:val="009421CC"/>
    <w:rsid w:val="009450E2"/>
    <w:rsid w:val="009453BA"/>
    <w:rsid w:val="009462B7"/>
    <w:rsid w:val="009463F4"/>
    <w:rsid w:val="0094662D"/>
    <w:rsid w:val="0094744D"/>
    <w:rsid w:val="009474A6"/>
    <w:rsid w:val="00947A51"/>
    <w:rsid w:val="00947C6F"/>
    <w:rsid w:val="00947DC2"/>
    <w:rsid w:val="00951342"/>
    <w:rsid w:val="009514C4"/>
    <w:rsid w:val="0095257E"/>
    <w:rsid w:val="00952A83"/>
    <w:rsid w:val="00954ED8"/>
    <w:rsid w:val="0095578C"/>
    <w:rsid w:val="009567D1"/>
    <w:rsid w:val="009569C8"/>
    <w:rsid w:val="0096052D"/>
    <w:rsid w:val="0096056C"/>
    <w:rsid w:val="00962049"/>
    <w:rsid w:val="0096271D"/>
    <w:rsid w:val="00962FBF"/>
    <w:rsid w:val="0096306C"/>
    <w:rsid w:val="00964153"/>
    <w:rsid w:val="00964323"/>
    <w:rsid w:val="00964831"/>
    <w:rsid w:val="00964D9E"/>
    <w:rsid w:val="00965831"/>
    <w:rsid w:val="00967C30"/>
    <w:rsid w:val="0097080E"/>
    <w:rsid w:val="0097190D"/>
    <w:rsid w:val="00972686"/>
    <w:rsid w:val="009736CB"/>
    <w:rsid w:val="00974479"/>
    <w:rsid w:val="00975155"/>
    <w:rsid w:val="00975557"/>
    <w:rsid w:val="00976974"/>
    <w:rsid w:val="0097780F"/>
    <w:rsid w:val="009800DE"/>
    <w:rsid w:val="00980233"/>
    <w:rsid w:val="009806FB"/>
    <w:rsid w:val="0098271C"/>
    <w:rsid w:val="00987F82"/>
    <w:rsid w:val="009901D6"/>
    <w:rsid w:val="0099024A"/>
    <w:rsid w:val="00990D59"/>
    <w:rsid w:val="009922BE"/>
    <w:rsid w:val="009924A5"/>
    <w:rsid w:val="00992D6C"/>
    <w:rsid w:val="00992E4B"/>
    <w:rsid w:val="00993B8B"/>
    <w:rsid w:val="0099401A"/>
    <w:rsid w:val="009945D2"/>
    <w:rsid w:val="00995976"/>
    <w:rsid w:val="009969BD"/>
    <w:rsid w:val="00996C97"/>
    <w:rsid w:val="00996D81"/>
    <w:rsid w:val="009970DD"/>
    <w:rsid w:val="00997232"/>
    <w:rsid w:val="00997241"/>
    <w:rsid w:val="00997AB2"/>
    <w:rsid w:val="009A0320"/>
    <w:rsid w:val="009A0C5D"/>
    <w:rsid w:val="009A10CC"/>
    <w:rsid w:val="009A153B"/>
    <w:rsid w:val="009A18E3"/>
    <w:rsid w:val="009A3000"/>
    <w:rsid w:val="009A3B2F"/>
    <w:rsid w:val="009A5231"/>
    <w:rsid w:val="009A65E7"/>
    <w:rsid w:val="009A6AEA"/>
    <w:rsid w:val="009A7EF8"/>
    <w:rsid w:val="009B10F5"/>
    <w:rsid w:val="009B2620"/>
    <w:rsid w:val="009B30D4"/>
    <w:rsid w:val="009B4D20"/>
    <w:rsid w:val="009B4F7D"/>
    <w:rsid w:val="009B6314"/>
    <w:rsid w:val="009B6770"/>
    <w:rsid w:val="009B6C11"/>
    <w:rsid w:val="009B7CBE"/>
    <w:rsid w:val="009B7CF3"/>
    <w:rsid w:val="009C0ADE"/>
    <w:rsid w:val="009C1181"/>
    <w:rsid w:val="009C31EB"/>
    <w:rsid w:val="009C3786"/>
    <w:rsid w:val="009C58E8"/>
    <w:rsid w:val="009C60A7"/>
    <w:rsid w:val="009C6872"/>
    <w:rsid w:val="009D367C"/>
    <w:rsid w:val="009D373F"/>
    <w:rsid w:val="009D58D5"/>
    <w:rsid w:val="009D617B"/>
    <w:rsid w:val="009D6433"/>
    <w:rsid w:val="009D6A8A"/>
    <w:rsid w:val="009D6DDC"/>
    <w:rsid w:val="009D7142"/>
    <w:rsid w:val="009E020E"/>
    <w:rsid w:val="009E04E9"/>
    <w:rsid w:val="009E1614"/>
    <w:rsid w:val="009E17E1"/>
    <w:rsid w:val="009E24C1"/>
    <w:rsid w:val="009E45CB"/>
    <w:rsid w:val="009E54E2"/>
    <w:rsid w:val="009E646B"/>
    <w:rsid w:val="009E6C45"/>
    <w:rsid w:val="009E73EB"/>
    <w:rsid w:val="009E7AF4"/>
    <w:rsid w:val="009E7BBE"/>
    <w:rsid w:val="009F126C"/>
    <w:rsid w:val="009F139D"/>
    <w:rsid w:val="009F43C6"/>
    <w:rsid w:val="009F4F18"/>
    <w:rsid w:val="009F5A65"/>
    <w:rsid w:val="009F7A17"/>
    <w:rsid w:val="00A01D61"/>
    <w:rsid w:val="00A02135"/>
    <w:rsid w:val="00A0230C"/>
    <w:rsid w:val="00A03F9D"/>
    <w:rsid w:val="00A040FF"/>
    <w:rsid w:val="00A046AA"/>
    <w:rsid w:val="00A04F22"/>
    <w:rsid w:val="00A0593A"/>
    <w:rsid w:val="00A063C5"/>
    <w:rsid w:val="00A06E67"/>
    <w:rsid w:val="00A108DF"/>
    <w:rsid w:val="00A10939"/>
    <w:rsid w:val="00A134B0"/>
    <w:rsid w:val="00A14090"/>
    <w:rsid w:val="00A14CA8"/>
    <w:rsid w:val="00A156F0"/>
    <w:rsid w:val="00A15A1A"/>
    <w:rsid w:val="00A16371"/>
    <w:rsid w:val="00A1774E"/>
    <w:rsid w:val="00A2043B"/>
    <w:rsid w:val="00A2354C"/>
    <w:rsid w:val="00A247D9"/>
    <w:rsid w:val="00A2513B"/>
    <w:rsid w:val="00A27B71"/>
    <w:rsid w:val="00A27C4C"/>
    <w:rsid w:val="00A319DF"/>
    <w:rsid w:val="00A332E5"/>
    <w:rsid w:val="00A332EB"/>
    <w:rsid w:val="00A3778B"/>
    <w:rsid w:val="00A377ED"/>
    <w:rsid w:val="00A37D5C"/>
    <w:rsid w:val="00A37FC3"/>
    <w:rsid w:val="00A4092E"/>
    <w:rsid w:val="00A4103C"/>
    <w:rsid w:val="00A4260F"/>
    <w:rsid w:val="00A42875"/>
    <w:rsid w:val="00A42BF3"/>
    <w:rsid w:val="00A43C0C"/>
    <w:rsid w:val="00A44BFF"/>
    <w:rsid w:val="00A45DDC"/>
    <w:rsid w:val="00A51C05"/>
    <w:rsid w:val="00A5297C"/>
    <w:rsid w:val="00A54385"/>
    <w:rsid w:val="00A54B74"/>
    <w:rsid w:val="00A55480"/>
    <w:rsid w:val="00A56231"/>
    <w:rsid w:val="00A56E19"/>
    <w:rsid w:val="00A609BA"/>
    <w:rsid w:val="00A611FD"/>
    <w:rsid w:val="00A61F6B"/>
    <w:rsid w:val="00A634D7"/>
    <w:rsid w:val="00A64237"/>
    <w:rsid w:val="00A64AAD"/>
    <w:rsid w:val="00A64F2A"/>
    <w:rsid w:val="00A671BD"/>
    <w:rsid w:val="00A67E40"/>
    <w:rsid w:val="00A67F43"/>
    <w:rsid w:val="00A700F7"/>
    <w:rsid w:val="00A72234"/>
    <w:rsid w:val="00A7277F"/>
    <w:rsid w:val="00A73612"/>
    <w:rsid w:val="00A738EB"/>
    <w:rsid w:val="00A73BA6"/>
    <w:rsid w:val="00A73E34"/>
    <w:rsid w:val="00A740DC"/>
    <w:rsid w:val="00A74122"/>
    <w:rsid w:val="00A74F27"/>
    <w:rsid w:val="00A750B2"/>
    <w:rsid w:val="00A7574B"/>
    <w:rsid w:val="00A7602F"/>
    <w:rsid w:val="00A76D0A"/>
    <w:rsid w:val="00A83C72"/>
    <w:rsid w:val="00A83F3F"/>
    <w:rsid w:val="00A85718"/>
    <w:rsid w:val="00A862BF"/>
    <w:rsid w:val="00A8642B"/>
    <w:rsid w:val="00A8643B"/>
    <w:rsid w:val="00A865FF"/>
    <w:rsid w:val="00A86753"/>
    <w:rsid w:val="00A878FD"/>
    <w:rsid w:val="00A87BEF"/>
    <w:rsid w:val="00A9371A"/>
    <w:rsid w:val="00A94102"/>
    <w:rsid w:val="00A9459E"/>
    <w:rsid w:val="00A946A0"/>
    <w:rsid w:val="00A97BC4"/>
    <w:rsid w:val="00AA238A"/>
    <w:rsid w:val="00AA39D1"/>
    <w:rsid w:val="00AA3C1A"/>
    <w:rsid w:val="00AA4B72"/>
    <w:rsid w:val="00AA5A76"/>
    <w:rsid w:val="00AA6113"/>
    <w:rsid w:val="00AA61A9"/>
    <w:rsid w:val="00AA718A"/>
    <w:rsid w:val="00AA7C86"/>
    <w:rsid w:val="00AA7D14"/>
    <w:rsid w:val="00AB1B2B"/>
    <w:rsid w:val="00AB1D40"/>
    <w:rsid w:val="00AB399E"/>
    <w:rsid w:val="00AB4587"/>
    <w:rsid w:val="00AB4AA2"/>
    <w:rsid w:val="00AB4F49"/>
    <w:rsid w:val="00AB594B"/>
    <w:rsid w:val="00AC0686"/>
    <w:rsid w:val="00AC105C"/>
    <w:rsid w:val="00AC17EE"/>
    <w:rsid w:val="00AC5BE9"/>
    <w:rsid w:val="00AC6B0E"/>
    <w:rsid w:val="00AD0911"/>
    <w:rsid w:val="00AD0E3F"/>
    <w:rsid w:val="00AD0FF9"/>
    <w:rsid w:val="00AD22F5"/>
    <w:rsid w:val="00AD2827"/>
    <w:rsid w:val="00AD297C"/>
    <w:rsid w:val="00AD2F26"/>
    <w:rsid w:val="00AD3A80"/>
    <w:rsid w:val="00AD3C2B"/>
    <w:rsid w:val="00AD42C9"/>
    <w:rsid w:val="00AD65E4"/>
    <w:rsid w:val="00AD6935"/>
    <w:rsid w:val="00AD7383"/>
    <w:rsid w:val="00AD76AC"/>
    <w:rsid w:val="00AE06FC"/>
    <w:rsid w:val="00AE1061"/>
    <w:rsid w:val="00AE21B6"/>
    <w:rsid w:val="00AE21CB"/>
    <w:rsid w:val="00AE5251"/>
    <w:rsid w:val="00AE595B"/>
    <w:rsid w:val="00AE5CF9"/>
    <w:rsid w:val="00AE6653"/>
    <w:rsid w:val="00AE6800"/>
    <w:rsid w:val="00AE73CF"/>
    <w:rsid w:val="00AF1D3A"/>
    <w:rsid w:val="00AF1EA3"/>
    <w:rsid w:val="00AF240A"/>
    <w:rsid w:val="00AF439E"/>
    <w:rsid w:val="00AF5421"/>
    <w:rsid w:val="00AF5CD3"/>
    <w:rsid w:val="00AF6570"/>
    <w:rsid w:val="00AF6E02"/>
    <w:rsid w:val="00AF74B9"/>
    <w:rsid w:val="00AF7B62"/>
    <w:rsid w:val="00AF7C09"/>
    <w:rsid w:val="00B006C1"/>
    <w:rsid w:val="00B01F73"/>
    <w:rsid w:val="00B02745"/>
    <w:rsid w:val="00B02A7F"/>
    <w:rsid w:val="00B03355"/>
    <w:rsid w:val="00B03431"/>
    <w:rsid w:val="00B04125"/>
    <w:rsid w:val="00B04567"/>
    <w:rsid w:val="00B04BFF"/>
    <w:rsid w:val="00B057CB"/>
    <w:rsid w:val="00B069DC"/>
    <w:rsid w:val="00B07120"/>
    <w:rsid w:val="00B07275"/>
    <w:rsid w:val="00B0730C"/>
    <w:rsid w:val="00B12AD8"/>
    <w:rsid w:val="00B144AC"/>
    <w:rsid w:val="00B15859"/>
    <w:rsid w:val="00B21E79"/>
    <w:rsid w:val="00B2264E"/>
    <w:rsid w:val="00B22CAD"/>
    <w:rsid w:val="00B23442"/>
    <w:rsid w:val="00B23726"/>
    <w:rsid w:val="00B245C5"/>
    <w:rsid w:val="00B24C9F"/>
    <w:rsid w:val="00B24CB7"/>
    <w:rsid w:val="00B264C5"/>
    <w:rsid w:val="00B26FC8"/>
    <w:rsid w:val="00B27A3F"/>
    <w:rsid w:val="00B30386"/>
    <w:rsid w:val="00B35164"/>
    <w:rsid w:val="00B358F2"/>
    <w:rsid w:val="00B360D9"/>
    <w:rsid w:val="00B36226"/>
    <w:rsid w:val="00B3667E"/>
    <w:rsid w:val="00B37053"/>
    <w:rsid w:val="00B403AD"/>
    <w:rsid w:val="00B406CB"/>
    <w:rsid w:val="00B419BF"/>
    <w:rsid w:val="00B41DF3"/>
    <w:rsid w:val="00B420AB"/>
    <w:rsid w:val="00B42707"/>
    <w:rsid w:val="00B438B0"/>
    <w:rsid w:val="00B43D19"/>
    <w:rsid w:val="00B451DA"/>
    <w:rsid w:val="00B4581D"/>
    <w:rsid w:val="00B4639E"/>
    <w:rsid w:val="00B46EE5"/>
    <w:rsid w:val="00B50337"/>
    <w:rsid w:val="00B518C9"/>
    <w:rsid w:val="00B51C8E"/>
    <w:rsid w:val="00B525BC"/>
    <w:rsid w:val="00B53BB6"/>
    <w:rsid w:val="00B55CCE"/>
    <w:rsid w:val="00B565D9"/>
    <w:rsid w:val="00B56C8D"/>
    <w:rsid w:val="00B575EB"/>
    <w:rsid w:val="00B60ABD"/>
    <w:rsid w:val="00B623C7"/>
    <w:rsid w:val="00B62F6D"/>
    <w:rsid w:val="00B634DC"/>
    <w:rsid w:val="00B63EC9"/>
    <w:rsid w:val="00B64A81"/>
    <w:rsid w:val="00B656E7"/>
    <w:rsid w:val="00B66560"/>
    <w:rsid w:val="00B66CC1"/>
    <w:rsid w:val="00B67603"/>
    <w:rsid w:val="00B67C3B"/>
    <w:rsid w:val="00B7018E"/>
    <w:rsid w:val="00B71ABD"/>
    <w:rsid w:val="00B71F03"/>
    <w:rsid w:val="00B73ACD"/>
    <w:rsid w:val="00B741FF"/>
    <w:rsid w:val="00B744A8"/>
    <w:rsid w:val="00B7534E"/>
    <w:rsid w:val="00B758DC"/>
    <w:rsid w:val="00B75E93"/>
    <w:rsid w:val="00B76E2D"/>
    <w:rsid w:val="00B771FE"/>
    <w:rsid w:val="00B77439"/>
    <w:rsid w:val="00B77C4C"/>
    <w:rsid w:val="00B806EA"/>
    <w:rsid w:val="00B82864"/>
    <w:rsid w:val="00B83CE7"/>
    <w:rsid w:val="00B84666"/>
    <w:rsid w:val="00B85241"/>
    <w:rsid w:val="00B867E7"/>
    <w:rsid w:val="00B8682C"/>
    <w:rsid w:val="00B8696D"/>
    <w:rsid w:val="00B917BF"/>
    <w:rsid w:val="00B91F3F"/>
    <w:rsid w:val="00B924EC"/>
    <w:rsid w:val="00B92CC9"/>
    <w:rsid w:val="00B92E5F"/>
    <w:rsid w:val="00B933A9"/>
    <w:rsid w:val="00B95CD5"/>
    <w:rsid w:val="00B9620F"/>
    <w:rsid w:val="00BA0380"/>
    <w:rsid w:val="00BA0653"/>
    <w:rsid w:val="00BA25A7"/>
    <w:rsid w:val="00BA2E75"/>
    <w:rsid w:val="00BA38B3"/>
    <w:rsid w:val="00BA52D1"/>
    <w:rsid w:val="00BA5322"/>
    <w:rsid w:val="00BA5CE0"/>
    <w:rsid w:val="00BA66F7"/>
    <w:rsid w:val="00BB04C9"/>
    <w:rsid w:val="00BB0746"/>
    <w:rsid w:val="00BB1273"/>
    <w:rsid w:val="00BB14CF"/>
    <w:rsid w:val="00BB2EC2"/>
    <w:rsid w:val="00BB3466"/>
    <w:rsid w:val="00BB3609"/>
    <w:rsid w:val="00BB390F"/>
    <w:rsid w:val="00BB3B4D"/>
    <w:rsid w:val="00BB3D10"/>
    <w:rsid w:val="00BB40DD"/>
    <w:rsid w:val="00BB5950"/>
    <w:rsid w:val="00BB7124"/>
    <w:rsid w:val="00BC0629"/>
    <w:rsid w:val="00BC1162"/>
    <w:rsid w:val="00BC22F4"/>
    <w:rsid w:val="00BC24BB"/>
    <w:rsid w:val="00BC43A8"/>
    <w:rsid w:val="00BC4E6E"/>
    <w:rsid w:val="00BC6FA6"/>
    <w:rsid w:val="00BC7D86"/>
    <w:rsid w:val="00BD003C"/>
    <w:rsid w:val="00BD065F"/>
    <w:rsid w:val="00BD0F57"/>
    <w:rsid w:val="00BD4F6E"/>
    <w:rsid w:val="00BD517A"/>
    <w:rsid w:val="00BD647E"/>
    <w:rsid w:val="00BE1D4C"/>
    <w:rsid w:val="00BE2609"/>
    <w:rsid w:val="00BE4F56"/>
    <w:rsid w:val="00BE5BCE"/>
    <w:rsid w:val="00BE6E74"/>
    <w:rsid w:val="00BE7D82"/>
    <w:rsid w:val="00BE7EE0"/>
    <w:rsid w:val="00BF0303"/>
    <w:rsid w:val="00BF0B78"/>
    <w:rsid w:val="00BF0C06"/>
    <w:rsid w:val="00BF2C11"/>
    <w:rsid w:val="00BF32A1"/>
    <w:rsid w:val="00BF4C85"/>
    <w:rsid w:val="00BF652C"/>
    <w:rsid w:val="00BF6AA5"/>
    <w:rsid w:val="00C01E13"/>
    <w:rsid w:val="00C01E26"/>
    <w:rsid w:val="00C02217"/>
    <w:rsid w:val="00C0293A"/>
    <w:rsid w:val="00C069EA"/>
    <w:rsid w:val="00C06BD0"/>
    <w:rsid w:val="00C06D9B"/>
    <w:rsid w:val="00C076F5"/>
    <w:rsid w:val="00C07AD9"/>
    <w:rsid w:val="00C1022D"/>
    <w:rsid w:val="00C102DA"/>
    <w:rsid w:val="00C10FF6"/>
    <w:rsid w:val="00C1211E"/>
    <w:rsid w:val="00C12457"/>
    <w:rsid w:val="00C1317F"/>
    <w:rsid w:val="00C13FA8"/>
    <w:rsid w:val="00C14922"/>
    <w:rsid w:val="00C15A5C"/>
    <w:rsid w:val="00C163E9"/>
    <w:rsid w:val="00C23087"/>
    <w:rsid w:val="00C23E86"/>
    <w:rsid w:val="00C24ED8"/>
    <w:rsid w:val="00C26F4F"/>
    <w:rsid w:val="00C274DC"/>
    <w:rsid w:val="00C301CA"/>
    <w:rsid w:val="00C306D1"/>
    <w:rsid w:val="00C30B32"/>
    <w:rsid w:val="00C31B32"/>
    <w:rsid w:val="00C31DF8"/>
    <w:rsid w:val="00C3387A"/>
    <w:rsid w:val="00C34272"/>
    <w:rsid w:val="00C35148"/>
    <w:rsid w:val="00C37735"/>
    <w:rsid w:val="00C413D3"/>
    <w:rsid w:val="00C43DE4"/>
    <w:rsid w:val="00C44E9D"/>
    <w:rsid w:val="00C47782"/>
    <w:rsid w:val="00C47C21"/>
    <w:rsid w:val="00C5098E"/>
    <w:rsid w:val="00C50AF1"/>
    <w:rsid w:val="00C52478"/>
    <w:rsid w:val="00C53490"/>
    <w:rsid w:val="00C53964"/>
    <w:rsid w:val="00C53A78"/>
    <w:rsid w:val="00C549B0"/>
    <w:rsid w:val="00C5538B"/>
    <w:rsid w:val="00C56020"/>
    <w:rsid w:val="00C56892"/>
    <w:rsid w:val="00C56A89"/>
    <w:rsid w:val="00C57123"/>
    <w:rsid w:val="00C57319"/>
    <w:rsid w:val="00C57644"/>
    <w:rsid w:val="00C605CE"/>
    <w:rsid w:val="00C61D9F"/>
    <w:rsid w:val="00C62339"/>
    <w:rsid w:val="00C62770"/>
    <w:rsid w:val="00C62BBB"/>
    <w:rsid w:val="00C63477"/>
    <w:rsid w:val="00C64B08"/>
    <w:rsid w:val="00C66162"/>
    <w:rsid w:val="00C67236"/>
    <w:rsid w:val="00C70DFB"/>
    <w:rsid w:val="00C70F34"/>
    <w:rsid w:val="00C7222E"/>
    <w:rsid w:val="00C72BA0"/>
    <w:rsid w:val="00C73ACA"/>
    <w:rsid w:val="00C747BF"/>
    <w:rsid w:val="00C74B65"/>
    <w:rsid w:val="00C767CF"/>
    <w:rsid w:val="00C77CFA"/>
    <w:rsid w:val="00C80790"/>
    <w:rsid w:val="00C80DC9"/>
    <w:rsid w:val="00C81229"/>
    <w:rsid w:val="00C81799"/>
    <w:rsid w:val="00C8193F"/>
    <w:rsid w:val="00C81AA2"/>
    <w:rsid w:val="00C81AE8"/>
    <w:rsid w:val="00C81E4A"/>
    <w:rsid w:val="00C821EB"/>
    <w:rsid w:val="00C82592"/>
    <w:rsid w:val="00C8402D"/>
    <w:rsid w:val="00C8554B"/>
    <w:rsid w:val="00C861D1"/>
    <w:rsid w:val="00C86512"/>
    <w:rsid w:val="00C8746F"/>
    <w:rsid w:val="00C87545"/>
    <w:rsid w:val="00C87BFE"/>
    <w:rsid w:val="00C90553"/>
    <w:rsid w:val="00C912B7"/>
    <w:rsid w:val="00C9229B"/>
    <w:rsid w:val="00C9284A"/>
    <w:rsid w:val="00C93363"/>
    <w:rsid w:val="00C93BAA"/>
    <w:rsid w:val="00C95257"/>
    <w:rsid w:val="00C95A2F"/>
    <w:rsid w:val="00C9630C"/>
    <w:rsid w:val="00C96ACA"/>
    <w:rsid w:val="00CA01D8"/>
    <w:rsid w:val="00CA0346"/>
    <w:rsid w:val="00CA043B"/>
    <w:rsid w:val="00CA0FF4"/>
    <w:rsid w:val="00CA3E84"/>
    <w:rsid w:val="00CA3E8E"/>
    <w:rsid w:val="00CA456B"/>
    <w:rsid w:val="00CA4C2A"/>
    <w:rsid w:val="00CA5F9A"/>
    <w:rsid w:val="00CA66BF"/>
    <w:rsid w:val="00CA7BCC"/>
    <w:rsid w:val="00CA7EE3"/>
    <w:rsid w:val="00CB019F"/>
    <w:rsid w:val="00CB0429"/>
    <w:rsid w:val="00CB0DA8"/>
    <w:rsid w:val="00CB145A"/>
    <w:rsid w:val="00CB3D44"/>
    <w:rsid w:val="00CB4D24"/>
    <w:rsid w:val="00CB565A"/>
    <w:rsid w:val="00CB707A"/>
    <w:rsid w:val="00CC0111"/>
    <w:rsid w:val="00CC022F"/>
    <w:rsid w:val="00CC0C47"/>
    <w:rsid w:val="00CC1772"/>
    <w:rsid w:val="00CC18D4"/>
    <w:rsid w:val="00CC1BDA"/>
    <w:rsid w:val="00CC24F3"/>
    <w:rsid w:val="00CC2C77"/>
    <w:rsid w:val="00CC2F12"/>
    <w:rsid w:val="00CC3216"/>
    <w:rsid w:val="00CC523A"/>
    <w:rsid w:val="00CC5C21"/>
    <w:rsid w:val="00CC5F92"/>
    <w:rsid w:val="00CC62DB"/>
    <w:rsid w:val="00CC69D0"/>
    <w:rsid w:val="00CC6F31"/>
    <w:rsid w:val="00CD09B4"/>
    <w:rsid w:val="00CD0CC2"/>
    <w:rsid w:val="00CD0EDA"/>
    <w:rsid w:val="00CD1175"/>
    <w:rsid w:val="00CD1C5E"/>
    <w:rsid w:val="00CD1D07"/>
    <w:rsid w:val="00CD25B9"/>
    <w:rsid w:val="00CD2BB2"/>
    <w:rsid w:val="00CD3897"/>
    <w:rsid w:val="00CD3DB8"/>
    <w:rsid w:val="00CD51EE"/>
    <w:rsid w:val="00CD5286"/>
    <w:rsid w:val="00CD5478"/>
    <w:rsid w:val="00CD72DA"/>
    <w:rsid w:val="00CD7A6F"/>
    <w:rsid w:val="00CD7B8E"/>
    <w:rsid w:val="00CE0CDB"/>
    <w:rsid w:val="00CE1579"/>
    <w:rsid w:val="00CE246F"/>
    <w:rsid w:val="00CE43F2"/>
    <w:rsid w:val="00CE56D8"/>
    <w:rsid w:val="00CF07CB"/>
    <w:rsid w:val="00CF1F6B"/>
    <w:rsid w:val="00CF234D"/>
    <w:rsid w:val="00CF3711"/>
    <w:rsid w:val="00CF3840"/>
    <w:rsid w:val="00CF3C5F"/>
    <w:rsid w:val="00CF43B7"/>
    <w:rsid w:val="00CF4702"/>
    <w:rsid w:val="00CF7EB8"/>
    <w:rsid w:val="00D00F67"/>
    <w:rsid w:val="00D0151F"/>
    <w:rsid w:val="00D02689"/>
    <w:rsid w:val="00D03617"/>
    <w:rsid w:val="00D05874"/>
    <w:rsid w:val="00D067B2"/>
    <w:rsid w:val="00D07DF9"/>
    <w:rsid w:val="00D10DBA"/>
    <w:rsid w:val="00D120B0"/>
    <w:rsid w:val="00D13A5D"/>
    <w:rsid w:val="00D1612C"/>
    <w:rsid w:val="00D17F30"/>
    <w:rsid w:val="00D2108F"/>
    <w:rsid w:val="00D21214"/>
    <w:rsid w:val="00D21E9C"/>
    <w:rsid w:val="00D23289"/>
    <w:rsid w:val="00D2587B"/>
    <w:rsid w:val="00D26220"/>
    <w:rsid w:val="00D26869"/>
    <w:rsid w:val="00D30141"/>
    <w:rsid w:val="00D30D5E"/>
    <w:rsid w:val="00D30E4B"/>
    <w:rsid w:val="00D30F08"/>
    <w:rsid w:val="00D311E1"/>
    <w:rsid w:val="00D344F3"/>
    <w:rsid w:val="00D3657E"/>
    <w:rsid w:val="00D36C3C"/>
    <w:rsid w:val="00D37241"/>
    <w:rsid w:val="00D412C6"/>
    <w:rsid w:val="00D4141C"/>
    <w:rsid w:val="00D42352"/>
    <w:rsid w:val="00D42384"/>
    <w:rsid w:val="00D42450"/>
    <w:rsid w:val="00D4275C"/>
    <w:rsid w:val="00D4411F"/>
    <w:rsid w:val="00D45823"/>
    <w:rsid w:val="00D46B6A"/>
    <w:rsid w:val="00D471E5"/>
    <w:rsid w:val="00D478B6"/>
    <w:rsid w:val="00D5154D"/>
    <w:rsid w:val="00D51720"/>
    <w:rsid w:val="00D51D76"/>
    <w:rsid w:val="00D52C9E"/>
    <w:rsid w:val="00D55902"/>
    <w:rsid w:val="00D559E8"/>
    <w:rsid w:val="00D5639B"/>
    <w:rsid w:val="00D56C84"/>
    <w:rsid w:val="00D56F16"/>
    <w:rsid w:val="00D5723F"/>
    <w:rsid w:val="00D604C6"/>
    <w:rsid w:val="00D605E1"/>
    <w:rsid w:val="00D611C7"/>
    <w:rsid w:val="00D63589"/>
    <w:rsid w:val="00D66143"/>
    <w:rsid w:val="00D66696"/>
    <w:rsid w:val="00D70F81"/>
    <w:rsid w:val="00D72786"/>
    <w:rsid w:val="00D7278D"/>
    <w:rsid w:val="00D73EC8"/>
    <w:rsid w:val="00D758A1"/>
    <w:rsid w:val="00D80E5F"/>
    <w:rsid w:val="00D81BC8"/>
    <w:rsid w:val="00D82DEE"/>
    <w:rsid w:val="00D83770"/>
    <w:rsid w:val="00D840C4"/>
    <w:rsid w:val="00D85ADF"/>
    <w:rsid w:val="00D866EC"/>
    <w:rsid w:val="00D86D3A"/>
    <w:rsid w:val="00D86D62"/>
    <w:rsid w:val="00D87CEC"/>
    <w:rsid w:val="00D904E5"/>
    <w:rsid w:val="00D90CEC"/>
    <w:rsid w:val="00D93391"/>
    <w:rsid w:val="00D951CB"/>
    <w:rsid w:val="00D9546B"/>
    <w:rsid w:val="00D96BD1"/>
    <w:rsid w:val="00D96CCC"/>
    <w:rsid w:val="00DA0A3E"/>
    <w:rsid w:val="00DA0C23"/>
    <w:rsid w:val="00DA0FB3"/>
    <w:rsid w:val="00DA3D12"/>
    <w:rsid w:val="00DA494B"/>
    <w:rsid w:val="00DA4DA4"/>
    <w:rsid w:val="00DA4F6D"/>
    <w:rsid w:val="00DA6636"/>
    <w:rsid w:val="00DA67D8"/>
    <w:rsid w:val="00DA71AF"/>
    <w:rsid w:val="00DB1648"/>
    <w:rsid w:val="00DB1CDB"/>
    <w:rsid w:val="00DB21C9"/>
    <w:rsid w:val="00DB3085"/>
    <w:rsid w:val="00DB4269"/>
    <w:rsid w:val="00DB48CD"/>
    <w:rsid w:val="00DB52B7"/>
    <w:rsid w:val="00DB5C2C"/>
    <w:rsid w:val="00DB5E7C"/>
    <w:rsid w:val="00DB6148"/>
    <w:rsid w:val="00DC1CD9"/>
    <w:rsid w:val="00DC299A"/>
    <w:rsid w:val="00DC5080"/>
    <w:rsid w:val="00DC576A"/>
    <w:rsid w:val="00DC60A9"/>
    <w:rsid w:val="00DC64AE"/>
    <w:rsid w:val="00DC78CC"/>
    <w:rsid w:val="00DD03D3"/>
    <w:rsid w:val="00DD078A"/>
    <w:rsid w:val="00DD0C8D"/>
    <w:rsid w:val="00DD1215"/>
    <w:rsid w:val="00DD165D"/>
    <w:rsid w:val="00DD2073"/>
    <w:rsid w:val="00DD21F2"/>
    <w:rsid w:val="00DD25CC"/>
    <w:rsid w:val="00DD2D7E"/>
    <w:rsid w:val="00DD37D3"/>
    <w:rsid w:val="00DD383E"/>
    <w:rsid w:val="00DD5668"/>
    <w:rsid w:val="00DD5A83"/>
    <w:rsid w:val="00DD6FBA"/>
    <w:rsid w:val="00DD796F"/>
    <w:rsid w:val="00DD79EF"/>
    <w:rsid w:val="00DE2C42"/>
    <w:rsid w:val="00DE4367"/>
    <w:rsid w:val="00DE4CDA"/>
    <w:rsid w:val="00DE5B84"/>
    <w:rsid w:val="00DE60B1"/>
    <w:rsid w:val="00DE6586"/>
    <w:rsid w:val="00DE68F9"/>
    <w:rsid w:val="00DF2090"/>
    <w:rsid w:val="00DF293F"/>
    <w:rsid w:val="00DF3115"/>
    <w:rsid w:val="00DF577F"/>
    <w:rsid w:val="00DF7477"/>
    <w:rsid w:val="00E007C4"/>
    <w:rsid w:val="00E00C88"/>
    <w:rsid w:val="00E018D8"/>
    <w:rsid w:val="00E01A78"/>
    <w:rsid w:val="00E01B01"/>
    <w:rsid w:val="00E02BEB"/>
    <w:rsid w:val="00E02C5B"/>
    <w:rsid w:val="00E0306C"/>
    <w:rsid w:val="00E036E1"/>
    <w:rsid w:val="00E03A9B"/>
    <w:rsid w:val="00E05486"/>
    <w:rsid w:val="00E055DF"/>
    <w:rsid w:val="00E05863"/>
    <w:rsid w:val="00E06305"/>
    <w:rsid w:val="00E102A4"/>
    <w:rsid w:val="00E102DA"/>
    <w:rsid w:val="00E10697"/>
    <w:rsid w:val="00E10E0C"/>
    <w:rsid w:val="00E12085"/>
    <w:rsid w:val="00E12340"/>
    <w:rsid w:val="00E13021"/>
    <w:rsid w:val="00E13B60"/>
    <w:rsid w:val="00E14E19"/>
    <w:rsid w:val="00E161ED"/>
    <w:rsid w:val="00E16366"/>
    <w:rsid w:val="00E17A89"/>
    <w:rsid w:val="00E20538"/>
    <w:rsid w:val="00E20FAF"/>
    <w:rsid w:val="00E21F22"/>
    <w:rsid w:val="00E23107"/>
    <w:rsid w:val="00E23B0C"/>
    <w:rsid w:val="00E24FA2"/>
    <w:rsid w:val="00E269D0"/>
    <w:rsid w:val="00E273E8"/>
    <w:rsid w:val="00E3070E"/>
    <w:rsid w:val="00E31988"/>
    <w:rsid w:val="00E330B5"/>
    <w:rsid w:val="00E3370B"/>
    <w:rsid w:val="00E34048"/>
    <w:rsid w:val="00E40939"/>
    <w:rsid w:val="00E41ABF"/>
    <w:rsid w:val="00E42737"/>
    <w:rsid w:val="00E43844"/>
    <w:rsid w:val="00E44586"/>
    <w:rsid w:val="00E44FDD"/>
    <w:rsid w:val="00E45296"/>
    <w:rsid w:val="00E45401"/>
    <w:rsid w:val="00E45501"/>
    <w:rsid w:val="00E46D63"/>
    <w:rsid w:val="00E50793"/>
    <w:rsid w:val="00E5237E"/>
    <w:rsid w:val="00E52EB0"/>
    <w:rsid w:val="00E53553"/>
    <w:rsid w:val="00E54F41"/>
    <w:rsid w:val="00E55643"/>
    <w:rsid w:val="00E55B97"/>
    <w:rsid w:val="00E55CBB"/>
    <w:rsid w:val="00E56C35"/>
    <w:rsid w:val="00E56EDD"/>
    <w:rsid w:val="00E6010F"/>
    <w:rsid w:val="00E6019D"/>
    <w:rsid w:val="00E61162"/>
    <w:rsid w:val="00E61884"/>
    <w:rsid w:val="00E62FF0"/>
    <w:rsid w:val="00E638F2"/>
    <w:rsid w:val="00E6573B"/>
    <w:rsid w:val="00E65C83"/>
    <w:rsid w:val="00E668F5"/>
    <w:rsid w:val="00E67A95"/>
    <w:rsid w:val="00E70CF1"/>
    <w:rsid w:val="00E71270"/>
    <w:rsid w:val="00E713B7"/>
    <w:rsid w:val="00E72DC8"/>
    <w:rsid w:val="00E72F62"/>
    <w:rsid w:val="00E73F26"/>
    <w:rsid w:val="00E74857"/>
    <w:rsid w:val="00E760DA"/>
    <w:rsid w:val="00E76317"/>
    <w:rsid w:val="00E829FD"/>
    <w:rsid w:val="00E82D9C"/>
    <w:rsid w:val="00E83A21"/>
    <w:rsid w:val="00E83BBD"/>
    <w:rsid w:val="00E843F8"/>
    <w:rsid w:val="00E85362"/>
    <w:rsid w:val="00E86344"/>
    <w:rsid w:val="00E87BEB"/>
    <w:rsid w:val="00E90C8F"/>
    <w:rsid w:val="00E91A60"/>
    <w:rsid w:val="00E91AF2"/>
    <w:rsid w:val="00E91EEC"/>
    <w:rsid w:val="00E922C8"/>
    <w:rsid w:val="00E92871"/>
    <w:rsid w:val="00E92DFF"/>
    <w:rsid w:val="00E9635D"/>
    <w:rsid w:val="00E963C8"/>
    <w:rsid w:val="00E97FED"/>
    <w:rsid w:val="00EA0482"/>
    <w:rsid w:val="00EA0EF2"/>
    <w:rsid w:val="00EA17C2"/>
    <w:rsid w:val="00EA3ABD"/>
    <w:rsid w:val="00EA3F2C"/>
    <w:rsid w:val="00EA5424"/>
    <w:rsid w:val="00EA54AB"/>
    <w:rsid w:val="00EA54E5"/>
    <w:rsid w:val="00EA5DEE"/>
    <w:rsid w:val="00EA6CA5"/>
    <w:rsid w:val="00EB16C4"/>
    <w:rsid w:val="00EB29D4"/>
    <w:rsid w:val="00EB3480"/>
    <w:rsid w:val="00EB3902"/>
    <w:rsid w:val="00EB3E68"/>
    <w:rsid w:val="00EB4F04"/>
    <w:rsid w:val="00EB5595"/>
    <w:rsid w:val="00EB6547"/>
    <w:rsid w:val="00EB6C00"/>
    <w:rsid w:val="00EB779C"/>
    <w:rsid w:val="00EB7B32"/>
    <w:rsid w:val="00EB7E11"/>
    <w:rsid w:val="00EC050B"/>
    <w:rsid w:val="00EC1027"/>
    <w:rsid w:val="00EC25AD"/>
    <w:rsid w:val="00EC3DBE"/>
    <w:rsid w:val="00EC4819"/>
    <w:rsid w:val="00EC5257"/>
    <w:rsid w:val="00EC5396"/>
    <w:rsid w:val="00EC5E7B"/>
    <w:rsid w:val="00EC6093"/>
    <w:rsid w:val="00EC6604"/>
    <w:rsid w:val="00EC6BFD"/>
    <w:rsid w:val="00ED3D82"/>
    <w:rsid w:val="00ED6106"/>
    <w:rsid w:val="00ED7065"/>
    <w:rsid w:val="00ED72D7"/>
    <w:rsid w:val="00ED79D8"/>
    <w:rsid w:val="00EE03F7"/>
    <w:rsid w:val="00EE0847"/>
    <w:rsid w:val="00EE0F22"/>
    <w:rsid w:val="00EE115C"/>
    <w:rsid w:val="00EE18F8"/>
    <w:rsid w:val="00EE2098"/>
    <w:rsid w:val="00EE3CAD"/>
    <w:rsid w:val="00EE601E"/>
    <w:rsid w:val="00EE60AC"/>
    <w:rsid w:val="00EE6D6D"/>
    <w:rsid w:val="00EE6EE1"/>
    <w:rsid w:val="00EE729E"/>
    <w:rsid w:val="00EE73E9"/>
    <w:rsid w:val="00EF08BE"/>
    <w:rsid w:val="00EF19F1"/>
    <w:rsid w:val="00EF31DA"/>
    <w:rsid w:val="00EF33F8"/>
    <w:rsid w:val="00EF64B0"/>
    <w:rsid w:val="00EF74A5"/>
    <w:rsid w:val="00EF7C25"/>
    <w:rsid w:val="00F00CB9"/>
    <w:rsid w:val="00F01736"/>
    <w:rsid w:val="00F01C4C"/>
    <w:rsid w:val="00F01FE3"/>
    <w:rsid w:val="00F020D1"/>
    <w:rsid w:val="00F02D11"/>
    <w:rsid w:val="00F03019"/>
    <w:rsid w:val="00F0415C"/>
    <w:rsid w:val="00F04C7B"/>
    <w:rsid w:val="00F05B92"/>
    <w:rsid w:val="00F05DD4"/>
    <w:rsid w:val="00F11A36"/>
    <w:rsid w:val="00F12C6D"/>
    <w:rsid w:val="00F12CE7"/>
    <w:rsid w:val="00F13458"/>
    <w:rsid w:val="00F13741"/>
    <w:rsid w:val="00F13BD6"/>
    <w:rsid w:val="00F13C4A"/>
    <w:rsid w:val="00F148D1"/>
    <w:rsid w:val="00F14FB9"/>
    <w:rsid w:val="00F1531B"/>
    <w:rsid w:val="00F1643A"/>
    <w:rsid w:val="00F174AC"/>
    <w:rsid w:val="00F17E21"/>
    <w:rsid w:val="00F17E74"/>
    <w:rsid w:val="00F20035"/>
    <w:rsid w:val="00F207B9"/>
    <w:rsid w:val="00F21B7D"/>
    <w:rsid w:val="00F22077"/>
    <w:rsid w:val="00F221C6"/>
    <w:rsid w:val="00F2294E"/>
    <w:rsid w:val="00F22BEC"/>
    <w:rsid w:val="00F238AE"/>
    <w:rsid w:val="00F24116"/>
    <w:rsid w:val="00F24EEF"/>
    <w:rsid w:val="00F2510C"/>
    <w:rsid w:val="00F325E6"/>
    <w:rsid w:val="00F32FD6"/>
    <w:rsid w:val="00F33DF6"/>
    <w:rsid w:val="00F351D5"/>
    <w:rsid w:val="00F35579"/>
    <w:rsid w:val="00F358CA"/>
    <w:rsid w:val="00F35F38"/>
    <w:rsid w:val="00F3737B"/>
    <w:rsid w:val="00F40645"/>
    <w:rsid w:val="00F40C3D"/>
    <w:rsid w:val="00F41601"/>
    <w:rsid w:val="00F416D8"/>
    <w:rsid w:val="00F4232A"/>
    <w:rsid w:val="00F423D3"/>
    <w:rsid w:val="00F439AF"/>
    <w:rsid w:val="00F43D2D"/>
    <w:rsid w:val="00F45D0D"/>
    <w:rsid w:val="00F4676A"/>
    <w:rsid w:val="00F505BD"/>
    <w:rsid w:val="00F51BE8"/>
    <w:rsid w:val="00F52801"/>
    <w:rsid w:val="00F5284C"/>
    <w:rsid w:val="00F5414B"/>
    <w:rsid w:val="00F543B0"/>
    <w:rsid w:val="00F5470E"/>
    <w:rsid w:val="00F5507A"/>
    <w:rsid w:val="00F56027"/>
    <w:rsid w:val="00F566CD"/>
    <w:rsid w:val="00F60D13"/>
    <w:rsid w:val="00F61C3C"/>
    <w:rsid w:val="00F61D20"/>
    <w:rsid w:val="00F62524"/>
    <w:rsid w:val="00F62E63"/>
    <w:rsid w:val="00F62EB6"/>
    <w:rsid w:val="00F6389C"/>
    <w:rsid w:val="00F64453"/>
    <w:rsid w:val="00F6463A"/>
    <w:rsid w:val="00F64764"/>
    <w:rsid w:val="00F70A1F"/>
    <w:rsid w:val="00F71264"/>
    <w:rsid w:val="00F71327"/>
    <w:rsid w:val="00F719E1"/>
    <w:rsid w:val="00F71D4F"/>
    <w:rsid w:val="00F742FA"/>
    <w:rsid w:val="00F7472A"/>
    <w:rsid w:val="00F751CC"/>
    <w:rsid w:val="00F753E8"/>
    <w:rsid w:val="00F766CD"/>
    <w:rsid w:val="00F76CED"/>
    <w:rsid w:val="00F807D1"/>
    <w:rsid w:val="00F8097B"/>
    <w:rsid w:val="00F8234A"/>
    <w:rsid w:val="00F832A7"/>
    <w:rsid w:val="00F83B5B"/>
    <w:rsid w:val="00F84A52"/>
    <w:rsid w:val="00F85C88"/>
    <w:rsid w:val="00F86FF4"/>
    <w:rsid w:val="00F87050"/>
    <w:rsid w:val="00F95BAD"/>
    <w:rsid w:val="00FA02B5"/>
    <w:rsid w:val="00FA20C1"/>
    <w:rsid w:val="00FA2508"/>
    <w:rsid w:val="00FA44AA"/>
    <w:rsid w:val="00FA54E6"/>
    <w:rsid w:val="00FA63FD"/>
    <w:rsid w:val="00FB0828"/>
    <w:rsid w:val="00FB15AA"/>
    <w:rsid w:val="00FB2AA8"/>
    <w:rsid w:val="00FB2ED3"/>
    <w:rsid w:val="00FB3405"/>
    <w:rsid w:val="00FB43C5"/>
    <w:rsid w:val="00FB46ED"/>
    <w:rsid w:val="00FB48BB"/>
    <w:rsid w:val="00FB4DFC"/>
    <w:rsid w:val="00FB4E9A"/>
    <w:rsid w:val="00FB5B27"/>
    <w:rsid w:val="00FB642B"/>
    <w:rsid w:val="00FB675E"/>
    <w:rsid w:val="00FB6CC6"/>
    <w:rsid w:val="00FB7882"/>
    <w:rsid w:val="00FC1353"/>
    <w:rsid w:val="00FC2752"/>
    <w:rsid w:val="00FC2B73"/>
    <w:rsid w:val="00FC47EE"/>
    <w:rsid w:val="00FC5174"/>
    <w:rsid w:val="00FC52FB"/>
    <w:rsid w:val="00FC5E75"/>
    <w:rsid w:val="00FC6A1A"/>
    <w:rsid w:val="00FC70B7"/>
    <w:rsid w:val="00FD0519"/>
    <w:rsid w:val="00FD1163"/>
    <w:rsid w:val="00FD2254"/>
    <w:rsid w:val="00FD235A"/>
    <w:rsid w:val="00FD2422"/>
    <w:rsid w:val="00FD3EDE"/>
    <w:rsid w:val="00FD508C"/>
    <w:rsid w:val="00FD6CDB"/>
    <w:rsid w:val="00FE0019"/>
    <w:rsid w:val="00FE021C"/>
    <w:rsid w:val="00FE06A1"/>
    <w:rsid w:val="00FE0951"/>
    <w:rsid w:val="00FE09FD"/>
    <w:rsid w:val="00FE0A96"/>
    <w:rsid w:val="00FE1506"/>
    <w:rsid w:val="00FE269E"/>
    <w:rsid w:val="00FE2728"/>
    <w:rsid w:val="00FE48AF"/>
    <w:rsid w:val="00FE5144"/>
    <w:rsid w:val="00FE610F"/>
    <w:rsid w:val="00FE66FB"/>
    <w:rsid w:val="00FE67B5"/>
    <w:rsid w:val="00FE73CD"/>
    <w:rsid w:val="00FE7D9F"/>
    <w:rsid w:val="00FF0B4F"/>
    <w:rsid w:val="00FF15C7"/>
    <w:rsid w:val="00FF1830"/>
    <w:rsid w:val="00FF1B22"/>
    <w:rsid w:val="00FF1D5A"/>
    <w:rsid w:val="00FF20DE"/>
    <w:rsid w:val="00FF53E7"/>
    <w:rsid w:val="00FF67CA"/>
    <w:rsid w:val="00FF6CC5"/>
    <w:rsid w:val="00FF6E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387"/>
    <w:pPr>
      <w:spacing w:before="120" w:line="276" w:lineRule="auto"/>
      <w:jc w:val="both"/>
    </w:pPr>
    <w:rPr>
      <w:sz w:val="24"/>
      <w:szCs w:val="24"/>
      <w:lang w:eastAsia="en-US"/>
    </w:rPr>
  </w:style>
  <w:style w:type="paragraph" w:styleId="Heading1">
    <w:name w:val="heading 1"/>
    <w:next w:val="BodyText"/>
    <w:link w:val="Heading1Char"/>
    <w:uiPriority w:val="9"/>
    <w:qFormat/>
    <w:rsid w:val="00037387"/>
    <w:pPr>
      <w:numPr>
        <w:numId w:val="12"/>
      </w:numPr>
      <w:spacing w:before="120" w:after="480"/>
      <w:jc w:val="center"/>
      <w:outlineLvl w:val="0"/>
    </w:pPr>
    <w:rPr>
      <w:rFonts w:eastAsia="Times New Roman"/>
      <w:b/>
      <w:color w:val="4F81BD"/>
      <w:sz w:val="36"/>
      <w:szCs w:val="32"/>
      <w:lang w:eastAsia="en-US"/>
    </w:rPr>
  </w:style>
  <w:style w:type="paragraph" w:styleId="Heading2">
    <w:name w:val="heading 2"/>
    <w:next w:val="BodyText"/>
    <w:link w:val="Heading2Char"/>
    <w:uiPriority w:val="9"/>
    <w:unhideWhenUsed/>
    <w:qFormat/>
    <w:rsid w:val="006068D9"/>
    <w:pPr>
      <w:keepNext/>
      <w:numPr>
        <w:ilvl w:val="1"/>
        <w:numId w:val="12"/>
      </w:numPr>
      <w:spacing w:before="360" w:line="276" w:lineRule="auto"/>
      <w:jc w:val="both"/>
      <w:outlineLvl w:val="1"/>
    </w:pPr>
    <w:rPr>
      <w:rFonts w:eastAsia="Times New Roman"/>
      <w:b/>
      <w:color w:val="4F81BD"/>
      <w:sz w:val="32"/>
      <w:szCs w:val="26"/>
      <w:lang w:eastAsia="en-US"/>
    </w:rPr>
  </w:style>
  <w:style w:type="paragraph" w:styleId="Heading3">
    <w:name w:val="heading 3"/>
    <w:next w:val="BodyText"/>
    <w:link w:val="Heading3Char"/>
    <w:uiPriority w:val="9"/>
    <w:unhideWhenUsed/>
    <w:qFormat/>
    <w:rsid w:val="006068D9"/>
    <w:pPr>
      <w:keepNext/>
      <w:numPr>
        <w:ilvl w:val="2"/>
        <w:numId w:val="12"/>
      </w:numPr>
      <w:spacing w:before="360" w:line="276" w:lineRule="auto"/>
      <w:jc w:val="both"/>
      <w:outlineLvl w:val="2"/>
    </w:pPr>
    <w:rPr>
      <w:rFonts w:eastAsia="Times New Roman"/>
      <w:b/>
      <w:i/>
      <w:sz w:val="30"/>
      <w:szCs w:val="24"/>
      <w:lang w:eastAsia="en-US"/>
    </w:rPr>
  </w:style>
  <w:style w:type="paragraph" w:styleId="Heading4">
    <w:name w:val="heading 4"/>
    <w:next w:val="BodyText"/>
    <w:link w:val="Heading4Char"/>
    <w:uiPriority w:val="9"/>
    <w:unhideWhenUsed/>
    <w:qFormat/>
    <w:rsid w:val="006068D9"/>
    <w:pPr>
      <w:keepNext/>
      <w:keepLines/>
      <w:numPr>
        <w:ilvl w:val="3"/>
        <w:numId w:val="12"/>
      </w:numPr>
      <w:spacing w:before="240" w:line="276" w:lineRule="auto"/>
      <w:jc w:val="both"/>
      <w:outlineLvl w:val="3"/>
    </w:pPr>
    <w:rPr>
      <w:rFonts w:eastAsia="Times New Roman"/>
      <w:b/>
      <w:iCs/>
      <w:sz w:val="24"/>
      <w:szCs w:val="24"/>
      <w:lang w:eastAsia="en-US"/>
    </w:rPr>
  </w:style>
  <w:style w:type="paragraph" w:styleId="Heading5">
    <w:name w:val="heading 5"/>
    <w:next w:val="BodyText"/>
    <w:link w:val="Heading5Char"/>
    <w:uiPriority w:val="9"/>
    <w:unhideWhenUsed/>
    <w:qFormat/>
    <w:rsid w:val="006068D9"/>
    <w:pPr>
      <w:keepNext/>
      <w:numPr>
        <w:ilvl w:val="4"/>
        <w:numId w:val="12"/>
      </w:numPr>
      <w:spacing w:before="120" w:line="276" w:lineRule="auto"/>
      <w:jc w:val="both"/>
      <w:outlineLvl w:val="4"/>
    </w:pPr>
    <w:rPr>
      <w:rFonts w:eastAsia="Times New Roman"/>
      <w:sz w:val="24"/>
      <w:szCs w:val="24"/>
      <w:u w:val="single"/>
      <w:lang w:eastAsia="en-US"/>
    </w:rPr>
  </w:style>
  <w:style w:type="paragraph" w:styleId="Heading6">
    <w:name w:val="heading 6"/>
    <w:next w:val="BodyText"/>
    <w:link w:val="Heading6Char"/>
    <w:uiPriority w:val="9"/>
    <w:unhideWhenUsed/>
    <w:qFormat/>
    <w:rsid w:val="006068D9"/>
    <w:pPr>
      <w:keepNext/>
      <w:keepLines/>
      <w:numPr>
        <w:ilvl w:val="5"/>
        <w:numId w:val="12"/>
      </w:numPr>
      <w:spacing w:before="40"/>
      <w:outlineLvl w:val="5"/>
    </w:pPr>
    <w:rPr>
      <w:rFonts w:ascii="Calibri" w:eastAsia="Times New Roman" w:hAnsi="Calibri"/>
      <w:i/>
      <w:sz w:val="24"/>
      <w:szCs w:val="24"/>
      <w:lang w:eastAsia="en-US"/>
    </w:rPr>
  </w:style>
  <w:style w:type="paragraph" w:styleId="Heading7">
    <w:name w:val="heading 7"/>
    <w:aliases w:val="App Heading 1"/>
    <w:next w:val="BodyText"/>
    <w:link w:val="Heading7Char"/>
    <w:uiPriority w:val="9"/>
    <w:unhideWhenUsed/>
    <w:qFormat/>
    <w:rsid w:val="006068D9"/>
    <w:pPr>
      <w:pageBreakBefore/>
      <w:numPr>
        <w:ilvl w:val="6"/>
        <w:numId w:val="12"/>
      </w:numPr>
      <w:tabs>
        <w:tab w:val="left" w:pos="2268"/>
      </w:tabs>
      <w:spacing w:after="360" w:line="276" w:lineRule="auto"/>
      <w:jc w:val="both"/>
      <w:outlineLvl w:val="6"/>
    </w:pPr>
    <w:rPr>
      <w:rFonts w:eastAsia="Times New Roman"/>
      <w:b/>
      <w:iCs/>
      <w:color w:val="4F81BD"/>
      <w:sz w:val="36"/>
      <w:szCs w:val="24"/>
      <w:lang w:eastAsia="en-US"/>
    </w:rPr>
  </w:style>
  <w:style w:type="paragraph" w:styleId="Heading8">
    <w:name w:val="heading 8"/>
    <w:aliases w:val="App Heading 2"/>
    <w:next w:val="BodyText"/>
    <w:link w:val="Heading8Char"/>
    <w:uiPriority w:val="9"/>
    <w:unhideWhenUsed/>
    <w:qFormat/>
    <w:rsid w:val="006068D9"/>
    <w:pPr>
      <w:keepNext/>
      <w:numPr>
        <w:ilvl w:val="7"/>
        <w:numId w:val="12"/>
      </w:numPr>
      <w:tabs>
        <w:tab w:val="left" w:pos="851"/>
      </w:tabs>
      <w:spacing w:before="360" w:line="276" w:lineRule="auto"/>
      <w:jc w:val="both"/>
      <w:outlineLvl w:val="7"/>
    </w:pPr>
    <w:rPr>
      <w:rFonts w:eastAsia="Times New Roman"/>
      <w:color w:val="4F81BD"/>
      <w:sz w:val="32"/>
      <w:szCs w:val="21"/>
      <w:lang w:eastAsia="en-US"/>
    </w:rPr>
  </w:style>
  <w:style w:type="paragraph" w:styleId="Heading9">
    <w:name w:val="heading 9"/>
    <w:aliases w:val="App Heading 3"/>
    <w:next w:val="BodyText"/>
    <w:link w:val="Heading9Char"/>
    <w:uiPriority w:val="9"/>
    <w:unhideWhenUsed/>
    <w:qFormat/>
    <w:rsid w:val="006068D9"/>
    <w:pPr>
      <w:keepNext/>
      <w:numPr>
        <w:ilvl w:val="8"/>
        <w:numId w:val="12"/>
      </w:numPr>
      <w:tabs>
        <w:tab w:val="left" w:pos="851"/>
      </w:tabs>
      <w:spacing w:before="360" w:line="276" w:lineRule="auto"/>
      <w:jc w:val="both"/>
      <w:outlineLvl w:val="8"/>
    </w:pPr>
    <w:rPr>
      <w:rFonts w:eastAsia="Times New Roman"/>
      <w:b/>
      <w:i/>
      <w:iCs/>
      <w:color w:val="272727"/>
      <w:sz w:val="28"/>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37387"/>
    <w:rPr>
      <w:rFonts w:eastAsia="Times New Roman"/>
      <w:b/>
      <w:color w:val="4F81BD"/>
      <w:sz w:val="36"/>
      <w:szCs w:val="32"/>
      <w:lang w:eastAsia="en-US"/>
    </w:rPr>
  </w:style>
  <w:style w:type="paragraph" w:customStyle="1" w:styleId="ToR">
    <w:name w:val="ToR"/>
    <w:next w:val="BodyText"/>
    <w:qFormat/>
    <w:rsid w:val="003F03FF"/>
    <w:pPr>
      <w:tabs>
        <w:tab w:val="left" w:pos="794"/>
      </w:tabs>
      <w:spacing w:before="240" w:line="276" w:lineRule="auto"/>
      <w:jc w:val="both"/>
    </w:pPr>
    <w:rPr>
      <w:i/>
      <w:sz w:val="24"/>
      <w:szCs w:val="24"/>
      <w:lang w:eastAsia="en-US"/>
    </w:rPr>
  </w:style>
  <w:style w:type="paragraph" w:styleId="BodyText">
    <w:name w:val="Body Text"/>
    <w:link w:val="BodyTextChar"/>
    <w:uiPriority w:val="99"/>
    <w:unhideWhenUsed/>
    <w:rsid w:val="008E29BE"/>
    <w:pPr>
      <w:spacing w:before="240" w:line="276" w:lineRule="auto"/>
      <w:jc w:val="both"/>
    </w:pPr>
    <w:rPr>
      <w:sz w:val="24"/>
      <w:szCs w:val="24"/>
      <w:lang w:eastAsia="en-US"/>
    </w:rPr>
  </w:style>
  <w:style w:type="character" w:customStyle="1" w:styleId="BodyTextChar">
    <w:name w:val="Body Text Char"/>
    <w:basedOn w:val="DefaultParagraphFont"/>
    <w:link w:val="BodyText"/>
    <w:uiPriority w:val="99"/>
    <w:rsid w:val="008E29BE"/>
  </w:style>
  <w:style w:type="paragraph" w:customStyle="1" w:styleId="ToRsinboxwithhangingindent">
    <w:name w:val="ToRs in box with hanging indent"/>
    <w:qFormat/>
    <w:rsid w:val="005B5D2A"/>
    <w:pPr>
      <w:keepNext/>
      <w:pBdr>
        <w:top w:val="single" w:sz="4" w:space="8" w:color="auto"/>
        <w:left w:val="single" w:sz="4" w:space="4" w:color="auto"/>
        <w:bottom w:val="single" w:sz="4" w:space="8" w:color="auto"/>
        <w:right w:val="single" w:sz="4" w:space="4" w:color="auto"/>
      </w:pBdr>
      <w:shd w:val="clear" w:color="auto" w:fill="F2F2F2"/>
      <w:tabs>
        <w:tab w:val="left" w:pos="1304"/>
      </w:tabs>
      <w:spacing w:before="120" w:line="276" w:lineRule="auto"/>
      <w:ind w:left="1304" w:hanging="1304"/>
      <w:jc w:val="both"/>
    </w:pPr>
    <w:rPr>
      <w:sz w:val="24"/>
      <w:szCs w:val="24"/>
      <w:lang w:eastAsia="en-US"/>
    </w:rPr>
  </w:style>
  <w:style w:type="character" w:customStyle="1" w:styleId="Heading2Char">
    <w:name w:val="Heading 2 Char"/>
    <w:link w:val="Heading2"/>
    <w:uiPriority w:val="9"/>
    <w:rsid w:val="003D66A6"/>
    <w:rPr>
      <w:rFonts w:eastAsia="Times New Roman"/>
      <w:b/>
      <w:color w:val="4F81BD"/>
      <w:sz w:val="32"/>
      <w:szCs w:val="26"/>
      <w:lang w:eastAsia="en-US"/>
    </w:rPr>
  </w:style>
  <w:style w:type="paragraph" w:customStyle="1" w:styleId="ToRinbox">
    <w:name w:val="ToR in box"/>
    <w:basedOn w:val="ToRsinboxwithhangingindent"/>
    <w:qFormat/>
    <w:rsid w:val="00BB390F"/>
    <w:pPr>
      <w:pBdr>
        <w:top w:val="single" w:sz="4" w:space="6" w:color="auto"/>
        <w:bottom w:val="single" w:sz="4" w:space="6" w:color="auto"/>
      </w:pBdr>
      <w:tabs>
        <w:tab w:val="clear" w:pos="1304"/>
      </w:tabs>
      <w:ind w:left="0" w:firstLine="0"/>
    </w:pPr>
  </w:style>
  <w:style w:type="character" w:customStyle="1" w:styleId="Heading3Char">
    <w:name w:val="Heading 3 Char"/>
    <w:link w:val="Heading3"/>
    <w:uiPriority w:val="9"/>
    <w:rsid w:val="003D66A6"/>
    <w:rPr>
      <w:rFonts w:eastAsia="Times New Roman"/>
      <w:b/>
      <w:i/>
      <w:sz w:val="30"/>
      <w:szCs w:val="24"/>
      <w:lang w:eastAsia="en-US"/>
    </w:rPr>
  </w:style>
  <w:style w:type="paragraph" w:customStyle="1" w:styleId="Bullettext">
    <w:name w:val="Bullet text"/>
    <w:link w:val="BullettextChar"/>
    <w:qFormat/>
    <w:rsid w:val="00907F4C"/>
    <w:pPr>
      <w:numPr>
        <w:numId w:val="1"/>
      </w:numPr>
      <w:spacing w:before="120" w:line="276" w:lineRule="auto"/>
      <w:contextualSpacing/>
      <w:jc w:val="both"/>
    </w:pPr>
    <w:rPr>
      <w:sz w:val="24"/>
      <w:szCs w:val="24"/>
      <w:lang w:eastAsia="en-US"/>
    </w:rPr>
  </w:style>
  <w:style w:type="paragraph" w:customStyle="1" w:styleId="Bullettextsecondlevel">
    <w:name w:val="Bullet text second level"/>
    <w:qFormat/>
    <w:rsid w:val="00907F4C"/>
    <w:pPr>
      <w:numPr>
        <w:numId w:val="2"/>
      </w:numPr>
      <w:spacing w:line="276" w:lineRule="auto"/>
      <w:ind w:left="851" w:hanging="284"/>
      <w:jc w:val="both"/>
    </w:pPr>
    <w:rPr>
      <w:sz w:val="24"/>
      <w:szCs w:val="24"/>
      <w:lang w:eastAsia="en-US"/>
    </w:rPr>
  </w:style>
  <w:style w:type="character" w:customStyle="1" w:styleId="Heading4Char">
    <w:name w:val="Heading 4 Char"/>
    <w:link w:val="Heading4"/>
    <w:uiPriority w:val="9"/>
    <w:rsid w:val="00D866EC"/>
    <w:rPr>
      <w:rFonts w:eastAsia="Times New Roman"/>
      <w:b/>
      <w:iCs/>
      <w:sz w:val="24"/>
      <w:szCs w:val="24"/>
      <w:lang w:eastAsia="en-US"/>
    </w:rPr>
  </w:style>
  <w:style w:type="character" w:customStyle="1" w:styleId="Heading5Char">
    <w:name w:val="Heading 5 Char"/>
    <w:link w:val="Heading5"/>
    <w:uiPriority w:val="9"/>
    <w:rsid w:val="00D866EC"/>
    <w:rPr>
      <w:rFonts w:eastAsia="Times New Roman"/>
      <w:sz w:val="24"/>
      <w:szCs w:val="24"/>
      <w:u w:val="single"/>
      <w:lang w:eastAsia="en-US"/>
    </w:rPr>
  </w:style>
  <w:style w:type="paragraph" w:customStyle="1" w:styleId="BodyTextnospacebefore">
    <w:name w:val="Body Text – no space before"/>
    <w:next w:val="BodyText"/>
    <w:qFormat/>
    <w:rsid w:val="00D866EC"/>
    <w:pPr>
      <w:spacing w:line="276" w:lineRule="auto"/>
      <w:jc w:val="both"/>
    </w:pPr>
    <w:rPr>
      <w:sz w:val="24"/>
      <w:szCs w:val="24"/>
      <w:lang w:eastAsia="en-US"/>
    </w:rPr>
  </w:style>
  <w:style w:type="paragraph" w:customStyle="1" w:styleId="BodyTextBoldandItalic">
    <w:name w:val="Body Text Bold and Italic"/>
    <w:next w:val="BodyText"/>
    <w:qFormat/>
    <w:rsid w:val="003748E9"/>
    <w:pPr>
      <w:keepNext/>
      <w:spacing w:before="240" w:line="276" w:lineRule="auto"/>
      <w:jc w:val="both"/>
    </w:pPr>
    <w:rPr>
      <w:b/>
      <w:i/>
      <w:sz w:val="24"/>
      <w:szCs w:val="24"/>
      <w:lang w:eastAsia="en-US"/>
    </w:rPr>
  </w:style>
  <w:style w:type="paragraph" w:customStyle="1" w:styleId="05Tabletext">
    <w:name w:val="05 Table text"/>
    <w:next w:val="06Tabletextspacebefore"/>
    <w:qFormat/>
    <w:rsid w:val="00300A50"/>
    <w:pPr>
      <w:spacing w:before="20"/>
      <w:ind w:left="57" w:right="57"/>
    </w:pPr>
    <w:rPr>
      <w:rFonts w:ascii="Arial Narrow" w:hAnsi="Arial Narrow"/>
      <w:sz w:val="18"/>
      <w:szCs w:val="24"/>
      <w:lang w:eastAsia="en-US"/>
    </w:rPr>
  </w:style>
  <w:style w:type="table" w:styleId="TableGrid">
    <w:name w:val="Table Grid"/>
    <w:basedOn w:val="TableNormal"/>
    <w:uiPriority w:val="59"/>
    <w:rsid w:val="00E01A78"/>
    <w:rPr>
      <w:rFonts w:ascii="Arial Narrow" w:hAnsi="Arial Narrow"/>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Pr>
    <w:trPr>
      <w:cantSplit/>
    </w:trPr>
    <w:tcPr>
      <w:shd w:val="clear" w:color="auto" w:fill="auto"/>
    </w:tcPr>
    <w:tblStylePr w:type="firstRow">
      <w:tblPr/>
      <w:trPr>
        <w:tblHeader/>
      </w:trPr>
      <w:tcPr>
        <w:shd w:val="clear" w:color="auto" w:fill="BFBFBF"/>
      </w:tcPr>
    </w:tblStylePr>
  </w:style>
  <w:style w:type="paragraph" w:styleId="Caption">
    <w:name w:val="caption"/>
    <w:next w:val="05Tabletext"/>
    <w:uiPriority w:val="35"/>
    <w:unhideWhenUsed/>
    <w:qFormat/>
    <w:rsid w:val="00C076F5"/>
    <w:pPr>
      <w:keepNext/>
      <w:tabs>
        <w:tab w:val="left" w:pos="1134"/>
      </w:tabs>
      <w:spacing w:before="240" w:after="40"/>
      <w:ind w:left="1134" w:hanging="1134"/>
      <w:jc w:val="both"/>
    </w:pPr>
    <w:rPr>
      <w:rFonts w:ascii="Arial" w:hAnsi="Arial"/>
      <w:b/>
      <w:iCs/>
      <w:szCs w:val="18"/>
      <w:lang w:eastAsia="en-US"/>
    </w:rPr>
  </w:style>
  <w:style w:type="paragraph" w:customStyle="1" w:styleId="06Tabletextspacebefore">
    <w:name w:val="06 Table text space before"/>
    <w:qFormat/>
    <w:rsid w:val="00055F77"/>
    <w:pPr>
      <w:spacing w:before="80"/>
      <w:ind w:left="57" w:right="57"/>
    </w:pPr>
    <w:rPr>
      <w:rFonts w:ascii="Arial Narrow" w:hAnsi="Arial Narrow"/>
      <w:sz w:val="18"/>
      <w:szCs w:val="24"/>
      <w:lang w:eastAsia="en-US"/>
    </w:rPr>
  </w:style>
  <w:style w:type="paragraph" w:customStyle="1" w:styleId="10TableorFigurefootnote">
    <w:name w:val="10 Table or Figure footnote"/>
    <w:qFormat/>
    <w:rsid w:val="0063506B"/>
    <w:pPr>
      <w:keepNext/>
    </w:pPr>
    <w:rPr>
      <w:rFonts w:ascii="Arial Narrow" w:hAnsi="Arial Narrow"/>
      <w:sz w:val="16"/>
      <w:szCs w:val="24"/>
      <w:lang w:eastAsia="en-US"/>
    </w:rPr>
  </w:style>
  <w:style w:type="paragraph" w:customStyle="1" w:styleId="11TableorFigurefootnotenostick">
    <w:name w:val="11 Table or Figure footnote – no stick"/>
    <w:next w:val="BodyText"/>
    <w:qFormat/>
    <w:rsid w:val="0099024A"/>
    <w:pPr>
      <w:spacing w:after="360"/>
    </w:pPr>
    <w:rPr>
      <w:rFonts w:ascii="Arial Narrow" w:hAnsi="Arial Narrow"/>
      <w:sz w:val="16"/>
      <w:szCs w:val="24"/>
      <w:lang w:eastAsia="en-US"/>
    </w:rPr>
  </w:style>
  <w:style w:type="paragraph" w:customStyle="1" w:styleId="01TableHEADINGleftaligned">
    <w:name w:val="01 Table HEADING left aligned"/>
    <w:basedOn w:val="BodyText"/>
    <w:qFormat/>
    <w:rsid w:val="003D0211"/>
    <w:pPr>
      <w:keepNext/>
      <w:spacing w:before="60" w:line="240" w:lineRule="auto"/>
      <w:ind w:left="57" w:right="57"/>
      <w:jc w:val="left"/>
    </w:pPr>
    <w:rPr>
      <w:rFonts w:ascii="Arial Narrow" w:hAnsi="Arial Narrow"/>
      <w:b/>
      <w:sz w:val="18"/>
    </w:rPr>
  </w:style>
  <w:style w:type="paragraph" w:customStyle="1" w:styleId="02TableHEADINGcentred">
    <w:name w:val="02 Table HEADING centred"/>
    <w:qFormat/>
    <w:rsid w:val="009800DE"/>
    <w:pPr>
      <w:keepNext/>
      <w:spacing w:before="60"/>
      <w:ind w:left="57" w:right="57"/>
      <w:jc w:val="center"/>
    </w:pPr>
    <w:rPr>
      <w:rFonts w:ascii="Arial Narrow" w:hAnsi="Arial Narrow"/>
      <w:b/>
      <w:sz w:val="18"/>
      <w:szCs w:val="24"/>
      <w:lang w:eastAsia="en-US"/>
    </w:rPr>
  </w:style>
  <w:style w:type="paragraph" w:customStyle="1" w:styleId="09Tablerightaligned">
    <w:name w:val="09 Table right aligned ($)"/>
    <w:qFormat/>
    <w:rsid w:val="00E01A78"/>
    <w:pPr>
      <w:spacing w:before="20"/>
      <w:ind w:left="57" w:right="170"/>
      <w:jc w:val="right"/>
    </w:pPr>
    <w:rPr>
      <w:rFonts w:ascii="Arial Narrow" w:hAnsi="Arial Narrow"/>
      <w:sz w:val="18"/>
      <w:szCs w:val="24"/>
      <w:lang w:eastAsia="en-US"/>
    </w:rPr>
  </w:style>
  <w:style w:type="paragraph" w:customStyle="1" w:styleId="07Tablebullet">
    <w:name w:val="07 Table bullet"/>
    <w:qFormat/>
    <w:rsid w:val="0029750E"/>
    <w:pPr>
      <w:numPr>
        <w:numId w:val="3"/>
      </w:numPr>
      <w:ind w:left="227" w:right="57" w:hanging="170"/>
    </w:pPr>
    <w:rPr>
      <w:rFonts w:ascii="Arial Narrow" w:hAnsi="Arial Narrow"/>
      <w:sz w:val="18"/>
      <w:szCs w:val="24"/>
      <w:lang w:eastAsia="en-US"/>
    </w:rPr>
  </w:style>
  <w:style w:type="numbering" w:customStyle="1" w:styleId="Headings">
    <w:name w:val="Headings"/>
    <w:uiPriority w:val="99"/>
    <w:rsid w:val="006068D9"/>
    <w:pPr>
      <w:numPr>
        <w:numId w:val="12"/>
      </w:numPr>
    </w:pPr>
  </w:style>
  <w:style w:type="paragraph" w:styleId="TOC2">
    <w:name w:val="toc 2"/>
    <w:basedOn w:val="Normal"/>
    <w:next w:val="Normal"/>
    <w:autoRedefine/>
    <w:uiPriority w:val="39"/>
    <w:unhideWhenUsed/>
    <w:rsid w:val="00515169"/>
    <w:pPr>
      <w:tabs>
        <w:tab w:val="left" w:pos="1134"/>
        <w:tab w:val="right" w:leader="dot" w:pos="9628"/>
      </w:tabs>
      <w:spacing w:before="60"/>
      <w:ind w:left="1134" w:right="567" w:hanging="567"/>
      <w:jc w:val="left"/>
    </w:pPr>
  </w:style>
  <w:style w:type="paragraph" w:styleId="TOC1">
    <w:name w:val="toc 1"/>
    <w:autoRedefine/>
    <w:uiPriority w:val="39"/>
    <w:unhideWhenUsed/>
    <w:rsid w:val="00BA0380"/>
    <w:pPr>
      <w:tabs>
        <w:tab w:val="right" w:leader="dot" w:pos="9628"/>
      </w:tabs>
      <w:spacing w:before="120" w:line="276" w:lineRule="auto"/>
      <w:ind w:left="1134" w:right="567" w:hanging="1134"/>
    </w:pPr>
    <w:rPr>
      <w:noProof/>
      <w:sz w:val="24"/>
      <w:szCs w:val="24"/>
      <w:lang w:eastAsia="en-US"/>
    </w:rPr>
  </w:style>
  <w:style w:type="paragraph" w:styleId="TOC3">
    <w:name w:val="toc 3"/>
    <w:basedOn w:val="Normal"/>
    <w:next w:val="Normal"/>
    <w:autoRedefine/>
    <w:uiPriority w:val="39"/>
    <w:unhideWhenUsed/>
    <w:rsid w:val="00150D82"/>
    <w:pPr>
      <w:tabs>
        <w:tab w:val="left" w:pos="1320"/>
        <w:tab w:val="right" w:leader="dot" w:pos="9628"/>
      </w:tabs>
      <w:spacing w:before="0"/>
      <w:ind w:left="1701" w:right="567" w:hanging="567"/>
      <w:jc w:val="left"/>
    </w:pPr>
  </w:style>
  <w:style w:type="character" w:styleId="Hyperlink">
    <w:name w:val="Hyperlink"/>
    <w:uiPriority w:val="99"/>
    <w:unhideWhenUsed/>
    <w:rsid w:val="00663CBC"/>
    <w:rPr>
      <w:color w:val="0000FF"/>
      <w:u w:val="single"/>
    </w:rPr>
  </w:style>
  <w:style w:type="paragraph" w:styleId="TOCHeading">
    <w:name w:val="TOC Heading"/>
    <w:next w:val="BodyText"/>
    <w:uiPriority w:val="39"/>
    <w:unhideWhenUsed/>
    <w:qFormat/>
    <w:rsid w:val="001C5235"/>
    <w:pPr>
      <w:pageBreakBefore/>
      <w:spacing w:before="360" w:after="360" w:line="276" w:lineRule="auto"/>
      <w:jc w:val="center"/>
    </w:pPr>
    <w:rPr>
      <w:rFonts w:eastAsia="Times New Roman"/>
      <w:b/>
      <w:color w:val="4F81BD"/>
      <w:sz w:val="40"/>
      <w:szCs w:val="32"/>
      <w:lang w:eastAsia="en-US"/>
    </w:rPr>
  </w:style>
  <w:style w:type="character" w:styleId="CommentReference">
    <w:name w:val="annotation reference"/>
    <w:aliases w:val="Table Title"/>
    <w:uiPriority w:val="99"/>
    <w:unhideWhenUsed/>
    <w:qFormat/>
    <w:rsid w:val="007C6357"/>
    <w:rPr>
      <w:sz w:val="16"/>
      <w:szCs w:val="16"/>
    </w:rPr>
  </w:style>
  <w:style w:type="paragraph" w:styleId="CommentText">
    <w:name w:val="annotation text"/>
    <w:basedOn w:val="Normal"/>
    <w:link w:val="CommentTextChar"/>
    <w:unhideWhenUsed/>
    <w:rsid w:val="007C6357"/>
    <w:pPr>
      <w:spacing w:line="240" w:lineRule="auto"/>
    </w:pPr>
    <w:rPr>
      <w:sz w:val="20"/>
      <w:szCs w:val="20"/>
    </w:rPr>
  </w:style>
  <w:style w:type="character" w:customStyle="1" w:styleId="CommentTextChar">
    <w:name w:val="Comment Text Char"/>
    <w:link w:val="CommentText"/>
    <w:rsid w:val="007C6357"/>
    <w:rPr>
      <w:sz w:val="20"/>
      <w:szCs w:val="20"/>
    </w:rPr>
  </w:style>
  <w:style w:type="paragraph" w:styleId="CommentSubject">
    <w:name w:val="annotation subject"/>
    <w:basedOn w:val="CommentText"/>
    <w:next w:val="CommentText"/>
    <w:link w:val="CommentSubjectChar"/>
    <w:uiPriority w:val="99"/>
    <w:semiHidden/>
    <w:unhideWhenUsed/>
    <w:rsid w:val="007C6357"/>
    <w:rPr>
      <w:b/>
      <w:bCs/>
    </w:rPr>
  </w:style>
  <w:style w:type="character" w:customStyle="1" w:styleId="CommentSubjectChar">
    <w:name w:val="Comment Subject Char"/>
    <w:link w:val="CommentSubject"/>
    <w:uiPriority w:val="99"/>
    <w:semiHidden/>
    <w:rsid w:val="007C6357"/>
    <w:rPr>
      <w:b/>
      <w:bCs/>
      <w:sz w:val="20"/>
      <w:szCs w:val="20"/>
    </w:rPr>
  </w:style>
  <w:style w:type="paragraph" w:styleId="BalloonText">
    <w:name w:val="Balloon Text"/>
    <w:basedOn w:val="Normal"/>
    <w:link w:val="BalloonTextChar"/>
    <w:uiPriority w:val="99"/>
    <w:semiHidden/>
    <w:unhideWhenUsed/>
    <w:rsid w:val="007C6357"/>
    <w:pPr>
      <w:spacing w:before="0" w:line="240" w:lineRule="auto"/>
    </w:pPr>
    <w:rPr>
      <w:rFonts w:ascii="Segoe UI" w:hAnsi="Segoe UI" w:cs="Segoe UI"/>
      <w:sz w:val="18"/>
      <w:szCs w:val="18"/>
    </w:rPr>
  </w:style>
  <w:style w:type="character" w:customStyle="1" w:styleId="BalloonTextChar">
    <w:name w:val="Balloon Text Char"/>
    <w:link w:val="BalloonText"/>
    <w:uiPriority w:val="99"/>
    <w:semiHidden/>
    <w:rsid w:val="007C6357"/>
    <w:rPr>
      <w:rFonts w:ascii="Segoe UI" w:hAnsi="Segoe UI" w:cs="Segoe UI"/>
      <w:sz w:val="18"/>
      <w:szCs w:val="18"/>
    </w:rPr>
  </w:style>
  <w:style w:type="paragraph" w:customStyle="1" w:styleId="Picturewithbox">
    <w:name w:val="Picture with box"/>
    <w:next w:val="11TableorFigurefootnotenostick"/>
    <w:qFormat/>
    <w:rsid w:val="00C076F5"/>
    <w:pPr>
      <w:pBdr>
        <w:top w:val="single" w:sz="4" w:space="4" w:color="auto"/>
        <w:left w:val="single" w:sz="4" w:space="0" w:color="auto"/>
        <w:bottom w:val="single" w:sz="4" w:space="4" w:color="auto"/>
        <w:right w:val="single" w:sz="4" w:space="0" w:color="auto"/>
      </w:pBdr>
      <w:jc w:val="center"/>
    </w:pPr>
    <w:rPr>
      <w:sz w:val="24"/>
      <w:szCs w:val="24"/>
      <w:lang w:eastAsia="en-US"/>
    </w:rPr>
  </w:style>
  <w:style w:type="paragraph" w:styleId="TableofFigures">
    <w:name w:val="table of figures"/>
    <w:aliases w:val="- TOC for list of Figures or Tables"/>
    <w:uiPriority w:val="99"/>
    <w:unhideWhenUsed/>
    <w:rsid w:val="00A54385"/>
    <w:pPr>
      <w:ind w:left="1418" w:right="567" w:hanging="1418"/>
    </w:pPr>
    <w:rPr>
      <w:sz w:val="24"/>
      <w:szCs w:val="24"/>
      <w:lang w:eastAsia="en-US"/>
    </w:rPr>
  </w:style>
  <w:style w:type="paragraph" w:customStyle="1" w:styleId="Titlepage">
    <w:name w:val="Title page"/>
    <w:qFormat/>
    <w:rsid w:val="005B5D2A"/>
    <w:pPr>
      <w:spacing w:before="120" w:line="276" w:lineRule="auto"/>
      <w:jc w:val="center"/>
    </w:pPr>
    <w:rPr>
      <w:sz w:val="40"/>
      <w:szCs w:val="40"/>
      <w:lang w:eastAsia="en-US"/>
    </w:rPr>
  </w:style>
  <w:style w:type="character" w:customStyle="1" w:styleId="Heading6Char">
    <w:name w:val="Heading 6 Char"/>
    <w:link w:val="Heading6"/>
    <w:uiPriority w:val="9"/>
    <w:rsid w:val="0088224C"/>
    <w:rPr>
      <w:rFonts w:ascii="Calibri" w:eastAsia="Times New Roman" w:hAnsi="Calibri"/>
      <w:i/>
      <w:sz w:val="24"/>
      <w:szCs w:val="24"/>
      <w:lang w:eastAsia="en-US"/>
    </w:rPr>
  </w:style>
  <w:style w:type="character" w:customStyle="1" w:styleId="Heading7Char">
    <w:name w:val="Heading 7 Char"/>
    <w:aliases w:val="App Heading 1 Char"/>
    <w:link w:val="Heading7"/>
    <w:uiPriority w:val="9"/>
    <w:rsid w:val="00683D01"/>
    <w:rPr>
      <w:rFonts w:eastAsia="Times New Roman"/>
      <w:b/>
      <w:iCs/>
      <w:color w:val="4F81BD"/>
      <w:sz w:val="36"/>
      <w:szCs w:val="24"/>
      <w:lang w:eastAsia="en-US"/>
    </w:rPr>
  </w:style>
  <w:style w:type="character" w:customStyle="1" w:styleId="Heading8Char">
    <w:name w:val="Heading 8 Char"/>
    <w:aliases w:val="App Heading 2 Char"/>
    <w:link w:val="Heading8"/>
    <w:uiPriority w:val="9"/>
    <w:rsid w:val="00916C10"/>
    <w:rPr>
      <w:rFonts w:eastAsia="Times New Roman"/>
      <w:color w:val="4F81BD"/>
      <w:sz w:val="32"/>
      <w:szCs w:val="21"/>
      <w:lang w:eastAsia="en-US"/>
    </w:rPr>
  </w:style>
  <w:style w:type="character" w:customStyle="1" w:styleId="Heading9Char">
    <w:name w:val="Heading 9 Char"/>
    <w:aliases w:val="App Heading 3 Char"/>
    <w:link w:val="Heading9"/>
    <w:uiPriority w:val="9"/>
    <w:rsid w:val="00343EB1"/>
    <w:rPr>
      <w:rFonts w:eastAsia="Times New Roman"/>
      <w:b/>
      <w:i/>
      <w:iCs/>
      <w:color w:val="272727"/>
      <w:sz w:val="28"/>
      <w:szCs w:val="21"/>
      <w:lang w:eastAsia="en-US"/>
    </w:rPr>
  </w:style>
  <w:style w:type="paragraph" w:styleId="Footer">
    <w:name w:val="footer"/>
    <w:link w:val="FooterChar"/>
    <w:uiPriority w:val="99"/>
    <w:unhideWhenUsed/>
    <w:rsid w:val="006C71C1"/>
    <w:pPr>
      <w:pBdr>
        <w:top w:val="single" w:sz="4" w:space="1" w:color="auto"/>
      </w:pBdr>
    </w:pPr>
    <w:rPr>
      <w:szCs w:val="24"/>
      <w:lang w:eastAsia="en-US"/>
    </w:rPr>
  </w:style>
  <w:style w:type="paragraph" w:styleId="Header">
    <w:name w:val="header"/>
    <w:link w:val="HeaderChar"/>
    <w:uiPriority w:val="99"/>
    <w:unhideWhenUsed/>
    <w:rsid w:val="008D13CD"/>
    <w:pPr>
      <w:pBdr>
        <w:bottom w:val="single" w:sz="4" w:space="1" w:color="auto"/>
      </w:pBdr>
      <w:tabs>
        <w:tab w:val="center" w:pos="4513"/>
        <w:tab w:val="right" w:pos="9026"/>
      </w:tabs>
      <w:spacing w:after="240"/>
    </w:pPr>
    <w:rPr>
      <w:szCs w:val="24"/>
      <w:lang w:eastAsia="en-US"/>
    </w:rPr>
  </w:style>
  <w:style w:type="character" w:customStyle="1" w:styleId="HeaderChar">
    <w:name w:val="Header Char"/>
    <w:link w:val="Header"/>
    <w:uiPriority w:val="99"/>
    <w:rsid w:val="008D13CD"/>
    <w:rPr>
      <w:sz w:val="20"/>
    </w:rPr>
  </w:style>
  <w:style w:type="character" w:customStyle="1" w:styleId="FooterChar">
    <w:name w:val="Footer Char"/>
    <w:link w:val="Footer"/>
    <w:uiPriority w:val="99"/>
    <w:rsid w:val="006C71C1"/>
    <w:rPr>
      <w:szCs w:val="24"/>
      <w:lang w:eastAsia="en-US"/>
    </w:rPr>
  </w:style>
  <w:style w:type="character" w:customStyle="1" w:styleId="BullettextChar">
    <w:name w:val="Bullet text Char"/>
    <w:link w:val="Bullettext"/>
    <w:rsid w:val="00DA3D12"/>
    <w:rPr>
      <w:sz w:val="24"/>
      <w:szCs w:val="24"/>
      <w:lang w:eastAsia="en-US"/>
    </w:rPr>
  </w:style>
  <w:style w:type="paragraph" w:styleId="FootnoteText">
    <w:name w:val="footnote text"/>
    <w:basedOn w:val="Normal"/>
    <w:link w:val="FootnoteTextChar"/>
    <w:uiPriority w:val="99"/>
    <w:unhideWhenUsed/>
    <w:rsid w:val="00CC24F3"/>
    <w:pPr>
      <w:spacing w:before="0" w:line="240" w:lineRule="auto"/>
      <w:jc w:val="left"/>
    </w:pPr>
    <w:rPr>
      <w:rFonts w:ascii="Arial Narrow" w:hAnsi="Arial Narrow"/>
      <w:sz w:val="18"/>
      <w:szCs w:val="20"/>
    </w:rPr>
  </w:style>
  <w:style w:type="character" w:customStyle="1" w:styleId="FootnoteTextChar">
    <w:name w:val="Footnote Text Char"/>
    <w:link w:val="FootnoteText"/>
    <w:uiPriority w:val="99"/>
    <w:rsid w:val="00CC24F3"/>
    <w:rPr>
      <w:rFonts w:ascii="Arial Narrow" w:hAnsi="Arial Narrow"/>
      <w:sz w:val="18"/>
      <w:lang w:eastAsia="en-US"/>
    </w:rPr>
  </w:style>
  <w:style w:type="character" w:customStyle="1" w:styleId="searchhistory-search-term">
    <w:name w:val="searchhistory-search-term"/>
    <w:basedOn w:val="DefaultParagraphFont"/>
    <w:rsid w:val="00DB52B7"/>
  </w:style>
  <w:style w:type="paragraph" w:customStyle="1" w:styleId="TableorFigurefootnote">
    <w:name w:val="Table or Figure footnote"/>
    <w:next w:val="BodyText"/>
    <w:qFormat/>
    <w:rsid w:val="00ED6106"/>
    <w:pPr>
      <w:spacing w:after="240"/>
      <w:contextualSpacing/>
    </w:pPr>
    <w:rPr>
      <w:rFonts w:ascii="Garamond" w:hAnsi="Garamond"/>
      <w:sz w:val="16"/>
      <w:szCs w:val="22"/>
      <w:lang w:eastAsia="en-US"/>
    </w:rPr>
  </w:style>
  <w:style w:type="character" w:styleId="FootnoteReference">
    <w:name w:val="footnote reference"/>
    <w:uiPriority w:val="99"/>
    <w:unhideWhenUsed/>
    <w:rsid w:val="00A332EB"/>
    <w:rPr>
      <w:vertAlign w:val="superscript"/>
    </w:rPr>
  </w:style>
  <w:style w:type="paragraph" w:customStyle="1" w:styleId="08Tablebulletsecondlevel">
    <w:name w:val="08 Table bullet second level"/>
    <w:qFormat/>
    <w:rsid w:val="0029750E"/>
    <w:pPr>
      <w:numPr>
        <w:numId w:val="5"/>
      </w:numPr>
      <w:ind w:left="397" w:hanging="170"/>
    </w:pPr>
    <w:rPr>
      <w:rFonts w:ascii="Arial Narrow" w:hAnsi="Arial Narrow"/>
      <w:sz w:val="18"/>
      <w:szCs w:val="24"/>
      <w:lang w:eastAsia="en-US"/>
    </w:rPr>
  </w:style>
  <w:style w:type="paragraph" w:customStyle="1" w:styleId="03TableHEADINGrightaligned">
    <w:name w:val="03 Table HEADING right aligned ($)"/>
    <w:qFormat/>
    <w:rsid w:val="003D0211"/>
    <w:pPr>
      <w:keepNext/>
      <w:spacing w:before="60"/>
      <w:ind w:left="57" w:right="170"/>
      <w:jc w:val="right"/>
    </w:pPr>
    <w:rPr>
      <w:rFonts w:ascii="Arial Narrow" w:hAnsi="Arial Narrow"/>
      <w:b/>
      <w:sz w:val="18"/>
      <w:szCs w:val="24"/>
      <w:lang w:eastAsia="en-US"/>
    </w:rPr>
  </w:style>
  <w:style w:type="paragraph" w:styleId="Revision">
    <w:name w:val="Revision"/>
    <w:hidden/>
    <w:uiPriority w:val="99"/>
    <w:semiHidden/>
    <w:rsid w:val="007660BB"/>
    <w:rPr>
      <w:sz w:val="24"/>
      <w:szCs w:val="24"/>
      <w:lang w:eastAsia="en-US"/>
    </w:rPr>
  </w:style>
  <w:style w:type="paragraph" w:styleId="EndnoteText">
    <w:name w:val="endnote text"/>
    <w:basedOn w:val="Normal"/>
    <w:link w:val="EndnoteTextChar"/>
    <w:uiPriority w:val="99"/>
    <w:semiHidden/>
    <w:unhideWhenUsed/>
    <w:rsid w:val="00A3778B"/>
    <w:pPr>
      <w:spacing w:before="0" w:line="240" w:lineRule="auto"/>
    </w:pPr>
    <w:rPr>
      <w:sz w:val="20"/>
      <w:szCs w:val="20"/>
    </w:rPr>
  </w:style>
  <w:style w:type="character" w:customStyle="1" w:styleId="EndnoteTextChar">
    <w:name w:val="Endnote Text Char"/>
    <w:link w:val="EndnoteText"/>
    <w:uiPriority w:val="99"/>
    <w:semiHidden/>
    <w:rsid w:val="00A3778B"/>
    <w:rPr>
      <w:sz w:val="20"/>
      <w:szCs w:val="20"/>
    </w:rPr>
  </w:style>
  <w:style w:type="character" w:styleId="EndnoteReference">
    <w:name w:val="endnote reference"/>
    <w:uiPriority w:val="99"/>
    <w:semiHidden/>
    <w:unhideWhenUsed/>
    <w:rsid w:val="00A3778B"/>
    <w:rPr>
      <w:vertAlign w:val="superscript"/>
    </w:rPr>
  </w:style>
  <w:style w:type="paragraph" w:customStyle="1" w:styleId="Default">
    <w:name w:val="Default"/>
    <w:rsid w:val="00E45401"/>
    <w:pPr>
      <w:autoSpaceDE w:val="0"/>
      <w:autoSpaceDN w:val="0"/>
      <w:adjustRightInd w:val="0"/>
    </w:pPr>
    <w:rPr>
      <w:rFonts w:ascii="Calibri" w:hAnsi="Calibri" w:cs="Calibri"/>
      <w:color w:val="000000"/>
      <w:sz w:val="24"/>
      <w:szCs w:val="24"/>
      <w:lang w:eastAsia="en-US"/>
    </w:rPr>
  </w:style>
  <w:style w:type="paragraph" w:customStyle="1" w:styleId="04Tablesubheading">
    <w:name w:val="04 Table subheading"/>
    <w:qFormat/>
    <w:rsid w:val="00055F77"/>
    <w:pPr>
      <w:keepNext/>
      <w:spacing w:before="20"/>
      <w:ind w:left="57" w:right="57"/>
    </w:pPr>
    <w:rPr>
      <w:rFonts w:ascii="Arial Narrow" w:hAnsi="Arial Narrow"/>
      <w:b/>
      <w:sz w:val="18"/>
      <w:szCs w:val="24"/>
      <w:lang w:eastAsia="en-US"/>
    </w:rPr>
  </w:style>
  <w:style w:type="paragraph" w:customStyle="1" w:styleId="FooterwithLandscape">
    <w:name w:val="Footer with # Landscape"/>
    <w:qFormat/>
    <w:rsid w:val="006C71C1"/>
    <w:pPr>
      <w:pBdr>
        <w:top w:val="single" w:sz="4" w:space="1" w:color="auto"/>
      </w:pBdr>
      <w:tabs>
        <w:tab w:val="right" w:pos="14572"/>
      </w:tabs>
      <w:spacing w:before="240"/>
    </w:pPr>
    <w:rPr>
      <w:szCs w:val="24"/>
      <w:lang w:eastAsia="en-US"/>
    </w:rPr>
  </w:style>
  <w:style w:type="paragraph" w:customStyle="1" w:styleId="FooterwithPortrait">
    <w:name w:val="Footer with # Portrait"/>
    <w:basedOn w:val="FooterwithLandscape"/>
    <w:qFormat/>
    <w:rsid w:val="006C71C1"/>
    <w:pPr>
      <w:tabs>
        <w:tab w:val="clear" w:pos="14572"/>
        <w:tab w:val="right" w:pos="9639"/>
      </w:tabs>
    </w:pPr>
  </w:style>
  <w:style w:type="character" w:styleId="FollowedHyperlink">
    <w:name w:val="FollowedHyperlink"/>
    <w:uiPriority w:val="99"/>
    <w:semiHidden/>
    <w:unhideWhenUsed/>
    <w:rsid w:val="00916E6D"/>
    <w:rPr>
      <w:color w:val="800080"/>
      <w:u w:val="single"/>
    </w:rPr>
  </w:style>
  <w:style w:type="paragraph" w:customStyle="1" w:styleId="03Tabletext">
    <w:name w:val="03 Table text"/>
    <w:next w:val="Normal"/>
    <w:qFormat/>
    <w:rsid w:val="00DD2073"/>
    <w:rPr>
      <w:rFonts w:ascii="Arial Narrow" w:hAnsi="Arial Narrow"/>
      <w:szCs w:val="24"/>
      <w:lang w:eastAsia="en-US"/>
    </w:rPr>
  </w:style>
  <w:style w:type="paragraph" w:customStyle="1" w:styleId="08TableorFigurefootnotenostick">
    <w:name w:val="08 Table or Figure footnote – no stick"/>
    <w:next w:val="BodyText"/>
    <w:qFormat/>
    <w:rsid w:val="00DD2073"/>
    <w:pPr>
      <w:spacing w:after="360"/>
    </w:pPr>
    <w:rPr>
      <w:rFonts w:ascii="Arial Narrow" w:hAnsi="Arial Narrow"/>
      <w:sz w:val="16"/>
      <w:szCs w:val="24"/>
      <w:lang w:eastAsia="en-US"/>
    </w:rPr>
  </w:style>
  <w:style w:type="paragraph" w:customStyle="1" w:styleId="02Tableheadingcentred0">
    <w:name w:val="02 Table heading centred"/>
    <w:qFormat/>
    <w:rsid w:val="00DD2073"/>
    <w:pPr>
      <w:spacing w:before="80"/>
      <w:jc w:val="center"/>
    </w:pPr>
    <w:rPr>
      <w:rFonts w:ascii="Arial Narrow" w:hAnsi="Arial Narrow"/>
      <w:b/>
      <w:szCs w:val="24"/>
      <w:lang w:eastAsia="en-US"/>
    </w:rPr>
  </w:style>
  <w:style w:type="paragraph" w:customStyle="1" w:styleId="08Bulletsseriesofsentences">
    <w:name w:val="08. Bullets – series of sentences"/>
    <w:link w:val="08BulletsseriesofsentencesChar"/>
    <w:qFormat/>
    <w:rsid w:val="00325A2E"/>
    <w:pPr>
      <w:numPr>
        <w:numId w:val="6"/>
      </w:numPr>
      <w:spacing w:before="120"/>
      <w:ind w:left="357" w:hanging="357"/>
    </w:pPr>
    <w:rPr>
      <w:rFonts w:ascii="Garamond" w:hAnsi="Garamond"/>
      <w:sz w:val="24"/>
      <w:szCs w:val="22"/>
      <w:lang w:eastAsia="en-US"/>
    </w:rPr>
  </w:style>
  <w:style w:type="character" w:customStyle="1" w:styleId="08BulletsseriesofsentencesChar">
    <w:name w:val="08. Bullets – series of sentences Char"/>
    <w:link w:val="08Bulletsseriesofsentences"/>
    <w:rsid w:val="00325A2E"/>
    <w:rPr>
      <w:rFonts w:ascii="Garamond" w:hAnsi="Garamond"/>
      <w:sz w:val="24"/>
      <w:szCs w:val="22"/>
      <w:lang w:eastAsia="en-US"/>
    </w:rPr>
  </w:style>
  <w:style w:type="paragraph" w:customStyle="1" w:styleId="Table10ptalignedleft">
    <w:name w:val="Table 10pt aligned left"/>
    <w:qFormat/>
    <w:rsid w:val="00325A2E"/>
    <w:rPr>
      <w:rFonts w:ascii="Garamond" w:hAnsi="Garamond"/>
      <w:szCs w:val="22"/>
      <w:lang w:eastAsia="en-US"/>
    </w:rPr>
  </w:style>
  <w:style w:type="paragraph" w:customStyle="1" w:styleId="04Tabletextspacebefore">
    <w:name w:val="04 Table text space before"/>
    <w:qFormat/>
    <w:rsid w:val="00F439AF"/>
    <w:pPr>
      <w:spacing w:before="80"/>
    </w:pPr>
    <w:rPr>
      <w:rFonts w:ascii="Arial Narrow" w:hAnsi="Arial Narrow"/>
      <w:szCs w:val="24"/>
      <w:lang w:eastAsia="en-US"/>
    </w:rPr>
  </w:style>
  <w:style w:type="paragraph" w:customStyle="1" w:styleId="01Tableheadingleftaligned0">
    <w:name w:val="01 Table heading left aligned"/>
    <w:basedOn w:val="BodyText"/>
    <w:qFormat/>
    <w:rsid w:val="00F439AF"/>
    <w:pPr>
      <w:spacing w:before="80" w:line="240" w:lineRule="auto"/>
      <w:jc w:val="left"/>
    </w:pPr>
    <w:rPr>
      <w:rFonts w:ascii="Arial Narrow" w:hAnsi="Arial Narrow"/>
      <w:b/>
      <w:sz w:val="20"/>
    </w:rPr>
  </w:style>
  <w:style w:type="paragraph" w:customStyle="1" w:styleId="05Tablebullet">
    <w:name w:val="05 Table bullet"/>
    <w:qFormat/>
    <w:rsid w:val="00F439AF"/>
    <w:pPr>
      <w:ind w:left="170" w:hanging="170"/>
    </w:pPr>
    <w:rPr>
      <w:rFonts w:ascii="Arial Narrow" w:hAnsi="Arial Narrow"/>
      <w:szCs w:val="24"/>
      <w:lang w:eastAsia="en-US"/>
    </w:rPr>
  </w:style>
  <w:style w:type="paragraph" w:customStyle="1" w:styleId="07TableorFigurefootnote">
    <w:name w:val="07 Table or Figure footnote"/>
    <w:qFormat/>
    <w:rsid w:val="00E56C35"/>
    <w:rPr>
      <w:rFonts w:ascii="Arial Narrow" w:hAnsi="Arial Narrow"/>
      <w:sz w:val="16"/>
      <w:szCs w:val="24"/>
      <w:lang w:eastAsia="en-US"/>
    </w:rPr>
  </w:style>
  <w:style w:type="paragraph" w:customStyle="1" w:styleId="Table10ptbullet">
    <w:name w:val="Table 10pt bullet"/>
    <w:qFormat/>
    <w:rsid w:val="007249B1"/>
    <w:pPr>
      <w:numPr>
        <w:numId w:val="7"/>
      </w:numPr>
      <w:tabs>
        <w:tab w:val="left" w:pos="227"/>
      </w:tabs>
      <w:ind w:left="227" w:hanging="227"/>
    </w:pPr>
    <w:rPr>
      <w:rFonts w:ascii="Garamond" w:hAnsi="Garamond"/>
      <w:szCs w:val="22"/>
      <w:lang w:eastAsia="en-US"/>
    </w:rPr>
  </w:style>
  <w:style w:type="paragraph" w:customStyle="1" w:styleId="Bullettext-indentedlastspaceafter">
    <w:name w:val="Bullet text-indented last (space after)"/>
    <w:qFormat/>
    <w:rsid w:val="007249B1"/>
    <w:pPr>
      <w:numPr>
        <w:numId w:val="8"/>
      </w:numPr>
      <w:tabs>
        <w:tab w:val="left" w:pos="357"/>
      </w:tabs>
      <w:spacing w:after="240"/>
      <w:jc w:val="both"/>
    </w:pPr>
    <w:rPr>
      <w:rFonts w:ascii="Garamond" w:hAnsi="Garamond"/>
      <w:sz w:val="24"/>
      <w:szCs w:val="22"/>
      <w:lang w:eastAsia="en-US"/>
    </w:rPr>
  </w:style>
  <w:style w:type="numbering" w:customStyle="1" w:styleId="NoList1">
    <w:name w:val="No List1"/>
    <w:next w:val="NoList"/>
    <w:uiPriority w:val="99"/>
    <w:semiHidden/>
    <w:unhideWhenUsed/>
    <w:rsid w:val="00B92CC9"/>
  </w:style>
  <w:style w:type="table" w:customStyle="1" w:styleId="TableGrid1">
    <w:name w:val="Table Grid1"/>
    <w:basedOn w:val="TableNormal"/>
    <w:next w:val="TableGrid"/>
    <w:uiPriority w:val="59"/>
    <w:rsid w:val="00B92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Pr>
    <w:trPr>
      <w:cantSplit/>
    </w:trPr>
    <w:tcPr>
      <w:shd w:val="clear" w:color="auto" w:fill="auto"/>
    </w:tcPr>
    <w:tblStylePr w:type="firstRow">
      <w:rPr>
        <w:color w:val="BFBFBF"/>
      </w:rPr>
      <w:tblPr/>
      <w:trPr>
        <w:tblHeader/>
      </w:trPr>
      <w:tcPr>
        <w:shd w:val="clear" w:color="auto" w:fill="BFBFBF"/>
      </w:tcPr>
    </w:tblStylePr>
  </w:style>
  <w:style w:type="numbering" w:customStyle="1" w:styleId="Numberedlist">
    <w:name w:val="Numbered list"/>
    <w:uiPriority w:val="99"/>
    <w:rsid w:val="00B92CC9"/>
    <w:pPr>
      <w:numPr>
        <w:numId w:val="9"/>
      </w:numPr>
    </w:pPr>
  </w:style>
  <w:style w:type="paragraph" w:styleId="ListParagraph">
    <w:name w:val="List Paragraph"/>
    <w:aliases w:val="Footnote,BulletPoints,List Paragraph1,Recommendation"/>
    <w:basedOn w:val="Normal"/>
    <w:link w:val="ListParagraphChar"/>
    <w:uiPriority w:val="72"/>
    <w:qFormat/>
    <w:rsid w:val="00B92CC9"/>
    <w:pPr>
      <w:ind w:left="720"/>
      <w:contextualSpacing/>
    </w:pPr>
  </w:style>
  <w:style w:type="numbering" w:styleId="111111">
    <w:name w:val="Outline List 2"/>
    <w:basedOn w:val="NoList"/>
    <w:uiPriority w:val="99"/>
    <w:semiHidden/>
    <w:unhideWhenUsed/>
    <w:rsid w:val="00B92CC9"/>
    <w:pPr>
      <w:numPr>
        <w:numId w:val="10"/>
      </w:numPr>
    </w:pPr>
  </w:style>
  <w:style w:type="character" w:styleId="Emphasis">
    <w:name w:val="Emphasis"/>
    <w:qFormat/>
    <w:rsid w:val="00B92CC9"/>
    <w:rPr>
      <w:i/>
      <w:iCs/>
    </w:rPr>
  </w:style>
  <w:style w:type="paragraph" w:customStyle="1" w:styleId="Table10ptheadingalignedleft">
    <w:name w:val="Table 10pt heading aligned left"/>
    <w:qFormat/>
    <w:rsid w:val="00B92CC9"/>
    <w:rPr>
      <w:rFonts w:ascii="Garamond" w:hAnsi="Garamond"/>
      <w:b/>
      <w:color w:val="FFFFFF"/>
      <w:szCs w:val="22"/>
      <w:lang w:eastAsia="en-US"/>
    </w:rPr>
  </w:style>
  <w:style w:type="numbering" w:customStyle="1" w:styleId="NoList2">
    <w:name w:val="No List2"/>
    <w:next w:val="NoList"/>
    <w:uiPriority w:val="99"/>
    <w:semiHidden/>
    <w:unhideWhenUsed/>
    <w:rsid w:val="000E79FE"/>
  </w:style>
  <w:style w:type="table" w:customStyle="1" w:styleId="TableGrid2">
    <w:name w:val="Table Grid2"/>
    <w:basedOn w:val="TableNormal"/>
    <w:next w:val="TableGrid"/>
    <w:uiPriority w:val="59"/>
    <w:rsid w:val="000E7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Pr>
    <w:trPr>
      <w:cantSplit/>
    </w:trPr>
    <w:tcPr>
      <w:shd w:val="clear" w:color="auto" w:fill="auto"/>
    </w:tcPr>
    <w:tblStylePr w:type="firstRow">
      <w:rPr>
        <w:color w:val="BFBFBF"/>
      </w:rPr>
      <w:tblPr/>
      <w:trPr>
        <w:tblHeader/>
      </w:trPr>
      <w:tcPr>
        <w:shd w:val="clear" w:color="auto" w:fill="BFBFBF"/>
      </w:tcPr>
    </w:tblStylePr>
  </w:style>
  <w:style w:type="numbering" w:customStyle="1" w:styleId="Numberedlist1">
    <w:name w:val="Numbered list1"/>
    <w:uiPriority w:val="99"/>
    <w:rsid w:val="000E79FE"/>
    <w:pPr>
      <w:numPr>
        <w:numId w:val="4"/>
      </w:numPr>
    </w:pPr>
  </w:style>
  <w:style w:type="numbering" w:customStyle="1" w:styleId="1111111">
    <w:name w:val="1 / 1.1 / 1.1.11"/>
    <w:basedOn w:val="NoList"/>
    <w:next w:val="111111"/>
    <w:uiPriority w:val="99"/>
    <w:semiHidden/>
    <w:unhideWhenUsed/>
    <w:rsid w:val="000E79FE"/>
    <w:pPr>
      <w:numPr>
        <w:numId w:val="11"/>
      </w:numPr>
    </w:pPr>
  </w:style>
  <w:style w:type="paragraph" w:customStyle="1" w:styleId="01BODYTEXT">
    <w:name w:val="01. BODY TEXT"/>
    <w:qFormat/>
    <w:rsid w:val="001A675B"/>
    <w:pPr>
      <w:spacing w:before="240"/>
      <w:jc w:val="both"/>
    </w:pPr>
    <w:rPr>
      <w:rFonts w:ascii="Garamond" w:hAnsi="Garamond"/>
      <w:sz w:val="24"/>
      <w:szCs w:val="22"/>
      <w:lang w:eastAsia="en-US"/>
    </w:rPr>
  </w:style>
  <w:style w:type="paragraph" w:customStyle="1" w:styleId="TableFigureheading">
    <w:name w:val="Table/Figure heading"/>
    <w:basedOn w:val="Normal"/>
    <w:next w:val="Normal"/>
    <w:uiPriority w:val="99"/>
    <w:qFormat/>
    <w:rsid w:val="001A675B"/>
    <w:pPr>
      <w:spacing w:before="240" w:after="120" w:line="240" w:lineRule="auto"/>
      <w:jc w:val="center"/>
    </w:pPr>
    <w:rPr>
      <w:rFonts w:ascii="Garamond" w:eastAsia="Times New Roman" w:hAnsi="Garamond"/>
      <w:b/>
      <w:sz w:val="20"/>
      <w:szCs w:val="20"/>
    </w:rPr>
  </w:style>
  <w:style w:type="paragraph" w:styleId="TOC4">
    <w:name w:val="toc 4"/>
    <w:basedOn w:val="Normal"/>
    <w:next w:val="Normal"/>
    <w:autoRedefine/>
    <w:uiPriority w:val="39"/>
    <w:unhideWhenUsed/>
    <w:rsid w:val="005F738E"/>
    <w:pPr>
      <w:tabs>
        <w:tab w:val="left" w:pos="1588"/>
        <w:tab w:val="right" w:leader="dot" w:pos="9639"/>
      </w:tabs>
      <w:ind w:left="680" w:right="567" w:hanging="680"/>
      <w:jc w:val="left"/>
    </w:pPr>
    <w:rPr>
      <w:rFonts w:eastAsia="Times New Roman"/>
      <w:szCs w:val="22"/>
      <w:lang w:eastAsia="en-AU"/>
    </w:rPr>
  </w:style>
  <w:style w:type="paragraph" w:styleId="TOC5">
    <w:name w:val="toc 5"/>
    <w:basedOn w:val="Normal"/>
    <w:next w:val="Normal"/>
    <w:autoRedefine/>
    <w:uiPriority w:val="39"/>
    <w:unhideWhenUsed/>
    <w:rsid w:val="00FA02B5"/>
    <w:pPr>
      <w:spacing w:before="0" w:after="100" w:line="259" w:lineRule="auto"/>
      <w:ind w:left="880"/>
      <w:jc w:val="left"/>
    </w:pPr>
    <w:rPr>
      <w:rFonts w:ascii="Calibri" w:eastAsia="Times New Roman" w:hAnsi="Calibri"/>
      <w:sz w:val="22"/>
      <w:szCs w:val="22"/>
      <w:lang w:eastAsia="en-AU"/>
    </w:rPr>
  </w:style>
  <w:style w:type="paragraph" w:styleId="TOC6">
    <w:name w:val="toc 6"/>
    <w:basedOn w:val="Normal"/>
    <w:next w:val="Normal"/>
    <w:autoRedefine/>
    <w:uiPriority w:val="39"/>
    <w:unhideWhenUsed/>
    <w:rsid w:val="00FA02B5"/>
    <w:pPr>
      <w:spacing w:before="0" w:after="100" w:line="259" w:lineRule="auto"/>
      <w:ind w:left="1100"/>
      <w:jc w:val="left"/>
    </w:pPr>
    <w:rPr>
      <w:rFonts w:ascii="Calibri" w:eastAsia="Times New Roman" w:hAnsi="Calibri"/>
      <w:sz w:val="22"/>
      <w:szCs w:val="22"/>
      <w:lang w:eastAsia="en-AU"/>
    </w:rPr>
  </w:style>
  <w:style w:type="paragraph" w:styleId="TOC7">
    <w:name w:val="toc 7"/>
    <w:basedOn w:val="Normal"/>
    <w:next w:val="Normal"/>
    <w:autoRedefine/>
    <w:uiPriority w:val="39"/>
    <w:unhideWhenUsed/>
    <w:rsid w:val="00FA02B5"/>
    <w:pPr>
      <w:spacing w:before="0" w:after="100" w:line="259" w:lineRule="auto"/>
      <w:ind w:left="1320"/>
      <w:jc w:val="left"/>
    </w:pPr>
    <w:rPr>
      <w:rFonts w:ascii="Calibri" w:eastAsia="Times New Roman" w:hAnsi="Calibri"/>
      <w:sz w:val="22"/>
      <w:szCs w:val="22"/>
      <w:lang w:eastAsia="en-AU"/>
    </w:rPr>
  </w:style>
  <w:style w:type="paragraph" w:styleId="TOC8">
    <w:name w:val="toc 8"/>
    <w:basedOn w:val="Normal"/>
    <w:next w:val="Normal"/>
    <w:autoRedefine/>
    <w:uiPriority w:val="39"/>
    <w:unhideWhenUsed/>
    <w:rsid w:val="00FA02B5"/>
    <w:pPr>
      <w:spacing w:before="0" w:after="100" w:line="259" w:lineRule="auto"/>
      <w:ind w:left="1540"/>
      <w:jc w:val="left"/>
    </w:pPr>
    <w:rPr>
      <w:rFonts w:ascii="Calibri" w:eastAsia="Times New Roman" w:hAnsi="Calibri"/>
      <w:sz w:val="22"/>
      <w:szCs w:val="22"/>
      <w:lang w:eastAsia="en-AU"/>
    </w:rPr>
  </w:style>
  <w:style w:type="paragraph" w:styleId="TOC9">
    <w:name w:val="toc 9"/>
    <w:basedOn w:val="Normal"/>
    <w:next w:val="Normal"/>
    <w:autoRedefine/>
    <w:uiPriority w:val="39"/>
    <w:unhideWhenUsed/>
    <w:rsid w:val="00FA02B5"/>
    <w:pPr>
      <w:spacing w:before="0" w:after="100" w:line="259" w:lineRule="auto"/>
      <w:ind w:left="1760"/>
      <w:jc w:val="left"/>
    </w:pPr>
    <w:rPr>
      <w:rFonts w:ascii="Calibri" w:eastAsia="Times New Roman" w:hAnsi="Calibri"/>
      <w:sz w:val="22"/>
      <w:szCs w:val="22"/>
      <w:lang w:eastAsia="en-AU"/>
    </w:rPr>
  </w:style>
  <w:style w:type="paragraph" w:customStyle="1" w:styleId="Table9ptalignedleftspacebefore">
    <w:name w:val="Table 9pt aligned left space before"/>
    <w:qFormat/>
    <w:rsid w:val="006701F2"/>
    <w:pPr>
      <w:spacing w:before="120"/>
    </w:pPr>
    <w:rPr>
      <w:rFonts w:ascii="Garamond" w:hAnsi="Garamond"/>
      <w:sz w:val="18"/>
      <w:szCs w:val="22"/>
      <w:lang w:eastAsia="en-US"/>
    </w:rPr>
  </w:style>
  <w:style w:type="paragraph" w:customStyle="1" w:styleId="Table9ptalignedleft">
    <w:name w:val="Table 9pt aligned left"/>
    <w:next w:val="Table9ptalignedleftspacebefore"/>
    <w:qFormat/>
    <w:rsid w:val="006701F2"/>
    <w:rPr>
      <w:rFonts w:ascii="Garamond" w:hAnsi="Garamond"/>
      <w:sz w:val="18"/>
      <w:szCs w:val="22"/>
      <w:lang w:eastAsia="en-US"/>
    </w:rPr>
  </w:style>
  <w:style w:type="paragraph" w:customStyle="1" w:styleId="Table9ptsubheadingwithincell">
    <w:name w:val="Table 9pt subheading within cell"/>
    <w:qFormat/>
    <w:rsid w:val="006701F2"/>
    <w:pPr>
      <w:keepNext/>
    </w:pPr>
    <w:rPr>
      <w:rFonts w:ascii="Garamond" w:hAnsi="Garamond"/>
      <w:b/>
      <w:sz w:val="18"/>
      <w:szCs w:val="22"/>
      <w:lang w:eastAsia="en-US"/>
    </w:rPr>
  </w:style>
  <w:style w:type="paragraph" w:customStyle="1" w:styleId="Table9ptheadingalignedleft">
    <w:name w:val="Table 9pt heading aligned left"/>
    <w:qFormat/>
    <w:rsid w:val="006701F2"/>
    <w:pPr>
      <w:spacing w:before="40"/>
    </w:pPr>
    <w:rPr>
      <w:rFonts w:ascii="Garamond" w:hAnsi="Garamond"/>
      <w:b/>
      <w:color w:val="FFFFFF"/>
      <w:sz w:val="18"/>
      <w:szCs w:val="22"/>
      <w:lang w:eastAsia="en-US"/>
    </w:rPr>
  </w:style>
  <w:style w:type="paragraph" w:customStyle="1" w:styleId="Table10ptheadingcentred">
    <w:name w:val="Table 10pt heading centred"/>
    <w:qFormat/>
    <w:rsid w:val="00771A08"/>
    <w:pPr>
      <w:jc w:val="center"/>
    </w:pPr>
    <w:rPr>
      <w:rFonts w:ascii="Garamond" w:hAnsi="Garamond"/>
      <w:b/>
      <w:color w:val="FFFFFF"/>
      <w:szCs w:val="22"/>
      <w:lang w:eastAsia="en-US"/>
    </w:rPr>
  </w:style>
  <w:style w:type="paragraph" w:customStyle="1" w:styleId="References">
    <w:name w:val="References"/>
    <w:qFormat/>
    <w:rsid w:val="004504BE"/>
    <w:pPr>
      <w:spacing w:before="80"/>
      <w:ind w:left="284" w:hanging="284"/>
    </w:pPr>
    <w:rPr>
      <w:sz w:val="18"/>
      <w:szCs w:val="24"/>
      <w:lang w:eastAsia="en-US"/>
    </w:rPr>
  </w:style>
  <w:style w:type="character" w:customStyle="1" w:styleId="ListParagraphChar">
    <w:name w:val="List Paragraph Char"/>
    <w:aliases w:val="Footnote Char,BulletPoints Char,List Paragraph1 Char,Recommendation Char"/>
    <w:basedOn w:val="DefaultParagraphFont"/>
    <w:link w:val="ListParagraph"/>
    <w:uiPriority w:val="34"/>
    <w:rsid w:val="0035554F"/>
    <w:rPr>
      <w:sz w:val="24"/>
      <w:szCs w:val="24"/>
      <w:lang w:eastAsia="en-US"/>
    </w:rPr>
  </w:style>
  <w:style w:type="paragraph" w:customStyle="1" w:styleId="ExSFigureHeader">
    <w:name w:val="ExS Figure Header"/>
    <w:basedOn w:val="BodyText"/>
    <w:link w:val="ExSFigureHeaderChar"/>
    <w:qFormat/>
    <w:rsid w:val="00A9371A"/>
    <w:rPr>
      <w:b/>
    </w:rPr>
  </w:style>
  <w:style w:type="paragraph" w:customStyle="1" w:styleId="ExSTableHeader">
    <w:name w:val="ExS Table Header"/>
    <w:basedOn w:val="BodyText"/>
    <w:link w:val="ExSTableHeaderChar"/>
    <w:qFormat/>
    <w:rsid w:val="00A9371A"/>
    <w:rPr>
      <w:rFonts w:cs="Arial"/>
      <w:b/>
      <w:sz w:val="22"/>
      <w:szCs w:val="20"/>
    </w:rPr>
  </w:style>
  <w:style w:type="character" w:customStyle="1" w:styleId="ExSFigureHeaderChar">
    <w:name w:val="ExS Figure Header Char"/>
    <w:basedOn w:val="BodyTextChar"/>
    <w:link w:val="ExSFigureHeader"/>
    <w:rsid w:val="00A9371A"/>
    <w:rPr>
      <w:b/>
      <w:sz w:val="24"/>
      <w:szCs w:val="24"/>
      <w:lang w:eastAsia="en-US"/>
    </w:rPr>
  </w:style>
  <w:style w:type="character" w:customStyle="1" w:styleId="ExSTableHeaderChar">
    <w:name w:val="ExS Table Header Char"/>
    <w:basedOn w:val="BodyTextChar"/>
    <w:link w:val="ExSTableHeader"/>
    <w:rsid w:val="00A9371A"/>
    <w:rPr>
      <w:rFonts w:cs="Arial"/>
      <w:b/>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387"/>
    <w:pPr>
      <w:spacing w:before="120" w:line="276" w:lineRule="auto"/>
      <w:jc w:val="both"/>
    </w:pPr>
    <w:rPr>
      <w:sz w:val="24"/>
      <w:szCs w:val="24"/>
      <w:lang w:eastAsia="en-US"/>
    </w:rPr>
  </w:style>
  <w:style w:type="paragraph" w:styleId="Heading1">
    <w:name w:val="heading 1"/>
    <w:next w:val="BodyText"/>
    <w:link w:val="Heading1Char"/>
    <w:uiPriority w:val="9"/>
    <w:qFormat/>
    <w:rsid w:val="00037387"/>
    <w:pPr>
      <w:numPr>
        <w:numId w:val="12"/>
      </w:numPr>
      <w:spacing w:before="120" w:after="480"/>
      <w:jc w:val="center"/>
      <w:outlineLvl w:val="0"/>
    </w:pPr>
    <w:rPr>
      <w:rFonts w:eastAsia="Times New Roman"/>
      <w:b/>
      <w:color w:val="4F81BD"/>
      <w:sz w:val="36"/>
      <w:szCs w:val="32"/>
      <w:lang w:eastAsia="en-US"/>
    </w:rPr>
  </w:style>
  <w:style w:type="paragraph" w:styleId="Heading2">
    <w:name w:val="heading 2"/>
    <w:next w:val="BodyText"/>
    <w:link w:val="Heading2Char"/>
    <w:uiPriority w:val="9"/>
    <w:unhideWhenUsed/>
    <w:qFormat/>
    <w:rsid w:val="006068D9"/>
    <w:pPr>
      <w:keepNext/>
      <w:numPr>
        <w:ilvl w:val="1"/>
        <w:numId w:val="12"/>
      </w:numPr>
      <w:spacing w:before="360" w:line="276" w:lineRule="auto"/>
      <w:jc w:val="both"/>
      <w:outlineLvl w:val="1"/>
    </w:pPr>
    <w:rPr>
      <w:rFonts w:eastAsia="Times New Roman"/>
      <w:b/>
      <w:color w:val="4F81BD"/>
      <w:sz w:val="32"/>
      <w:szCs w:val="26"/>
      <w:lang w:eastAsia="en-US"/>
    </w:rPr>
  </w:style>
  <w:style w:type="paragraph" w:styleId="Heading3">
    <w:name w:val="heading 3"/>
    <w:next w:val="BodyText"/>
    <w:link w:val="Heading3Char"/>
    <w:uiPriority w:val="9"/>
    <w:unhideWhenUsed/>
    <w:qFormat/>
    <w:rsid w:val="006068D9"/>
    <w:pPr>
      <w:keepNext/>
      <w:numPr>
        <w:ilvl w:val="2"/>
        <w:numId w:val="12"/>
      </w:numPr>
      <w:spacing w:before="360" w:line="276" w:lineRule="auto"/>
      <w:jc w:val="both"/>
      <w:outlineLvl w:val="2"/>
    </w:pPr>
    <w:rPr>
      <w:rFonts w:eastAsia="Times New Roman"/>
      <w:b/>
      <w:i/>
      <w:sz w:val="30"/>
      <w:szCs w:val="24"/>
      <w:lang w:eastAsia="en-US"/>
    </w:rPr>
  </w:style>
  <w:style w:type="paragraph" w:styleId="Heading4">
    <w:name w:val="heading 4"/>
    <w:next w:val="BodyText"/>
    <w:link w:val="Heading4Char"/>
    <w:uiPriority w:val="9"/>
    <w:unhideWhenUsed/>
    <w:qFormat/>
    <w:rsid w:val="006068D9"/>
    <w:pPr>
      <w:keepNext/>
      <w:keepLines/>
      <w:numPr>
        <w:ilvl w:val="3"/>
        <w:numId w:val="12"/>
      </w:numPr>
      <w:spacing w:before="240" w:line="276" w:lineRule="auto"/>
      <w:jc w:val="both"/>
      <w:outlineLvl w:val="3"/>
    </w:pPr>
    <w:rPr>
      <w:rFonts w:eastAsia="Times New Roman"/>
      <w:b/>
      <w:iCs/>
      <w:sz w:val="24"/>
      <w:szCs w:val="24"/>
      <w:lang w:eastAsia="en-US"/>
    </w:rPr>
  </w:style>
  <w:style w:type="paragraph" w:styleId="Heading5">
    <w:name w:val="heading 5"/>
    <w:next w:val="BodyText"/>
    <w:link w:val="Heading5Char"/>
    <w:uiPriority w:val="9"/>
    <w:unhideWhenUsed/>
    <w:qFormat/>
    <w:rsid w:val="006068D9"/>
    <w:pPr>
      <w:keepNext/>
      <w:numPr>
        <w:ilvl w:val="4"/>
        <w:numId w:val="12"/>
      </w:numPr>
      <w:spacing w:before="120" w:line="276" w:lineRule="auto"/>
      <w:jc w:val="both"/>
      <w:outlineLvl w:val="4"/>
    </w:pPr>
    <w:rPr>
      <w:rFonts w:eastAsia="Times New Roman"/>
      <w:sz w:val="24"/>
      <w:szCs w:val="24"/>
      <w:u w:val="single"/>
      <w:lang w:eastAsia="en-US"/>
    </w:rPr>
  </w:style>
  <w:style w:type="paragraph" w:styleId="Heading6">
    <w:name w:val="heading 6"/>
    <w:next w:val="BodyText"/>
    <w:link w:val="Heading6Char"/>
    <w:uiPriority w:val="9"/>
    <w:unhideWhenUsed/>
    <w:qFormat/>
    <w:rsid w:val="006068D9"/>
    <w:pPr>
      <w:keepNext/>
      <w:keepLines/>
      <w:numPr>
        <w:ilvl w:val="5"/>
        <w:numId w:val="12"/>
      </w:numPr>
      <w:spacing w:before="40"/>
      <w:outlineLvl w:val="5"/>
    </w:pPr>
    <w:rPr>
      <w:rFonts w:ascii="Calibri" w:eastAsia="Times New Roman" w:hAnsi="Calibri"/>
      <w:i/>
      <w:sz w:val="24"/>
      <w:szCs w:val="24"/>
      <w:lang w:eastAsia="en-US"/>
    </w:rPr>
  </w:style>
  <w:style w:type="paragraph" w:styleId="Heading7">
    <w:name w:val="heading 7"/>
    <w:aliases w:val="App Heading 1"/>
    <w:next w:val="BodyText"/>
    <w:link w:val="Heading7Char"/>
    <w:uiPriority w:val="9"/>
    <w:unhideWhenUsed/>
    <w:qFormat/>
    <w:rsid w:val="006068D9"/>
    <w:pPr>
      <w:pageBreakBefore/>
      <w:numPr>
        <w:ilvl w:val="6"/>
        <w:numId w:val="12"/>
      </w:numPr>
      <w:tabs>
        <w:tab w:val="left" w:pos="2268"/>
      </w:tabs>
      <w:spacing w:after="360" w:line="276" w:lineRule="auto"/>
      <w:jc w:val="both"/>
      <w:outlineLvl w:val="6"/>
    </w:pPr>
    <w:rPr>
      <w:rFonts w:eastAsia="Times New Roman"/>
      <w:b/>
      <w:iCs/>
      <w:color w:val="4F81BD"/>
      <w:sz w:val="36"/>
      <w:szCs w:val="24"/>
      <w:lang w:eastAsia="en-US"/>
    </w:rPr>
  </w:style>
  <w:style w:type="paragraph" w:styleId="Heading8">
    <w:name w:val="heading 8"/>
    <w:aliases w:val="App Heading 2"/>
    <w:next w:val="BodyText"/>
    <w:link w:val="Heading8Char"/>
    <w:uiPriority w:val="9"/>
    <w:unhideWhenUsed/>
    <w:qFormat/>
    <w:rsid w:val="006068D9"/>
    <w:pPr>
      <w:keepNext/>
      <w:numPr>
        <w:ilvl w:val="7"/>
        <w:numId w:val="12"/>
      </w:numPr>
      <w:tabs>
        <w:tab w:val="left" w:pos="851"/>
      </w:tabs>
      <w:spacing w:before="360" w:line="276" w:lineRule="auto"/>
      <w:jc w:val="both"/>
      <w:outlineLvl w:val="7"/>
    </w:pPr>
    <w:rPr>
      <w:rFonts w:eastAsia="Times New Roman"/>
      <w:color w:val="4F81BD"/>
      <w:sz w:val="32"/>
      <w:szCs w:val="21"/>
      <w:lang w:eastAsia="en-US"/>
    </w:rPr>
  </w:style>
  <w:style w:type="paragraph" w:styleId="Heading9">
    <w:name w:val="heading 9"/>
    <w:aliases w:val="App Heading 3"/>
    <w:next w:val="BodyText"/>
    <w:link w:val="Heading9Char"/>
    <w:uiPriority w:val="9"/>
    <w:unhideWhenUsed/>
    <w:qFormat/>
    <w:rsid w:val="006068D9"/>
    <w:pPr>
      <w:keepNext/>
      <w:numPr>
        <w:ilvl w:val="8"/>
        <w:numId w:val="12"/>
      </w:numPr>
      <w:tabs>
        <w:tab w:val="left" w:pos="851"/>
      </w:tabs>
      <w:spacing w:before="360" w:line="276" w:lineRule="auto"/>
      <w:jc w:val="both"/>
      <w:outlineLvl w:val="8"/>
    </w:pPr>
    <w:rPr>
      <w:rFonts w:eastAsia="Times New Roman"/>
      <w:b/>
      <w:i/>
      <w:iCs/>
      <w:color w:val="272727"/>
      <w:sz w:val="28"/>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37387"/>
    <w:rPr>
      <w:rFonts w:eastAsia="Times New Roman"/>
      <w:b/>
      <w:color w:val="4F81BD"/>
      <w:sz w:val="36"/>
      <w:szCs w:val="32"/>
      <w:lang w:eastAsia="en-US"/>
    </w:rPr>
  </w:style>
  <w:style w:type="paragraph" w:customStyle="1" w:styleId="ToR">
    <w:name w:val="ToR"/>
    <w:next w:val="BodyText"/>
    <w:qFormat/>
    <w:rsid w:val="003F03FF"/>
    <w:pPr>
      <w:tabs>
        <w:tab w:val="left" w:pos="794"/>
      </w:tabs>
      <w:spacing w:before="240" w:line="276" w:lineRule="auto"/>
      <w:jc w:val="both"/>
    </w:pPr>
    <w:rPr>
      <w:i/>
      <w:sz w:val="24"/>
      <w:szCs w:val="24"/>
      <w:lang w:eastAsia="en-US"/>
    </w:rPr>
  </w:style>
  <w:style w:type="paragraph" w:styleId="BodyText">
    <w:name w:val="Body Text"/>
    <w:link w:val="BodyTextChar"/>
    <w:uiPriority w:val="99"/>
    <w:unhideWhenUsed/>
    <w:rsid w:val="008E29BE"/>
    <w:pPr>
      <w:spacing w:before="240" w:line="276" w:lineRule="auto"/>
      <w:jc w:val="both"/>
    </w:pPr>
    <w:rPr>
      <w:sz w:val="24"/>
      <w:szCs w:val="24"/>
      <w:lang w:eastAsia="en-US"/>
    </w:rPr>
  </w:style>
  <w:style w:type="character" w:customStyle="1" w:styleId="BodyTextChar">
    <w:name w:val="Body Text Char"/>
    <w:basedOn w:val="DefaultParagraphFont"/>
    <w:link w:val="BodyText"/>
    <w:uiPriority w:val="99"/>
    <w:rsid w:val="008E29BE"/>
  </w:style>
  <w:style w:type="paragraph" w:customStyle="1" w:styleId="ToRsinboxwithhangingindent">
    <w:name w:val="ToRs in box with hanging indent"/>
    <w:qFormat/>
    <w:rsid w:val="005B5D2A"/>
    <w:pPr>
      <w:keepNext/>
      <w:pBdr>
        <w:top w:val="single" w:sz="4" w:space="8" w:color="auto"/>
        <w:left w:val="single" w:sz="4" w:space="4" w:color="auto"/>
        <w:bottom w:val="single" w:sz="4" w:space="8" w:color="auto"/>
        <w:right w:val="single" w:sz="4" w:space="4" w:color="auto"/>
      </w:pBdr>
      <w:shd w:val="clear" w:color="auto" w:fill="F2F2F2"/>
      <w:tabs>
        <w:tab w:val="left" w:pos="1304"/>
      </w:tabs>
      <w:spacing w:before="120" w:line="276" w:lineRule="auto"/>
      <w:ind w:left="1304" w:hanging="1304"/>
      <w:jc w:val="both"/>
    </w:pPr>
    <w:rPr>
      <w:sz w:val="24"/>
      <w:szCs w:val="24"/>
      <w:lang w:eastAsia="en-US"/>
    </w:rPr>
  </w:style>
  <w:style w:type="character" w:customStyle="1" w:styleId="Heading2Char">
    <w:name w:val="Heading 2 Char"/>
    <w:link w:val="Heading2"/>
    <w:uiPriority w:val="9"/>
    <w:rsid w:val="003D66A6"/>
    <w:rPr>
      <w:rFonts w:eastAsia="Times New Roman"/>
      <w:b/>
      <w:color w:val="4F81BD"/>
      <w:sz w:val="32"/>
      <w:szCs w:val="26"/>
      <w:lang w:eastAsia="en-US"/>
    </w:rPr>
  </w:style>
  <w:style w:type="paragraph" w:customStyle="1" w:styleId="ToRinbox">
    <w:name w:val="ToR in box"/>
    <w:basedOn w:val="ToRsinboxwithhangingindent"/>
    <w:qFormat/>
    <w:rsid w:val="00BB390F"/>
    <w:pPr>
      <w:pBdr>
        <w:top w:val="single" w:sz="4" w:space="6" w:color="auto"/>
        <w:bottom w:val="single" w:sz="4" w:space="6" w:color="auto"/>
      </w:pBdr>
      <w:tabs>
        <w:tab w:val="clear" w:pos="1304"/>
      </w:tabs>
      <w:ind w:left="0" w:firstLine="0"/>
    </w:pPr>
  </w:style>
  <w:style w:type="character" w:customStyle="1" w:styleId="Heading3Char">
    <w:name w:val="Heading 3 Char"/>
    <w:link w:val="Heading3"/>
    <w:uiPriority w:val="9"/>
    <w:rsid w:val="003D66A6"/>
    <w:rPr>
      <w:rFonts w:eastAsia="Times New Roman"/>
      <w:b/>
      <w:i/>
      <w:sz w:val="30"/>
      <w:szCs w:val="24"/>
      <w:lang w:eastAsia="en-US"/>
    </w:rPr>
  </w:style>
  <w:style w:type="paragraph" w:customStyle="1" w:styleId="Bullettext">
    <w:name w:val="Bullet text"/>
    <w:link w:val="BullettextChar"/>
    <w:qFormat/>
    <w:rsid w:val="00907F4C"/>
    <w:pPr>
      <w:numPr>
        <w:numId w:val="1"/>
      </w:numPr>
      <w:spacing w:before="120" w:line="276" w:lineRule="auto"/>
      <w:contextualSpacing/>
      <w:jc w:val="both"/>
    </w:pPr>
    <w:rPr>
      <w:sz w:val="24"/>
      <w:szCs w:val="24"/>
      <w:lang w:eastAsia="en-US"/>
    </w:rPr>
  </w:style>
  <w:style w:type="paragraph" w:customStyle="1" w:styleId="Bullettextsecondlevel">
    <w:name w:val="Bullet text second level"/>
    <w:qFormat/>
    <w:rsid w:val="00907F4C"/>
    <w:pPr>
      <w:numPr>
        <w:numId w:val="2"/>
      </w:numPr>
      <w:spacing w:line="276" w:lineRule="auto"/>
      <w:ind w:left="851" w:hanging="284"/>
      <w:jc w:val="both"/>
    </w:pPr>
    <w:rPr>
      <w:sz w:val="24"/>
      <w:szCs w:val="24"/>
      <w:lang w:eastAsia="en-US"/>
    </w:rPr>
  </w:style>
  <w:style w:type="character" w:customStyle="1" w:styleId="Heading4Char">
    <w:name w:val="Heading 4 Char"/>
    <w:link w:val="Heading4"/>
    <w:uiPriority w:val="9"/>
    <w:rsid w:val="00D866EC"/>
    <w:rPr>
      <w:rFonts w:eastAsia="Times New Roman"/>
      <w:b/>
      <w:iCs/>
      <w:sz w:val="24"/>
      <w:szCs w:val="24"/>
      <w:lang w:eastAsia="en-US"/>
    </w:rPr>
  </w:style>
  <w:style w:type="character" w:customStyle="1" w:styleId="Heading5Char">
    <w:name w:val="Heading 5 Char"/>
    <w:link w:val="Heading5"/>
    <w:uiPriority w:val="9"/>
    <w:rsid w:val="00D866EC"/>
    <w:rPr>
      <w:rFonts w:eastAsia="Times New Roman"/>
      <w:sz w:val="24"/>
      <w:szCs w:val="24"/>
      <w:u w:val="single"/>
      <w:lang w:eastAsia="en-US"/>
    </w:rPr>
  </w:style>
  <w:style w:type="paragraph" w:customStyle="1" w:styleId="BodyTextnospacebefore">
    <w:name w:val="Body Text – no space before"/>
    <w:next w:val="BodyText"/>
    <w:qFormat/>
    <w:rsid w:val="00D866EC"/>
    <w:pPr>
      <w:spacing w:line="276" w:lineRule="auto"/>
      <w:jc w:val="both"/>
    </w:pPr>
    <w:rPr>
      <w:sz w:val="24"/>
      <w:szCs w:val="24"/>
      <w:lang w:eastAsia="en-US"/>
    </w:rPr>
  </w:style>
  <w:style w:type="paragraph" w:customStyle="1" w:styleId="BodyTextBoldandItalic">
    <w:name w:val="Body Text Bold and Italic"/>
    <w:next w:val="BodyText"/>
    <w:qFormat/>
    <w:rsid w:val="003748E9"/>
    <w:pPr>
      <w:keepNext/>
      <w:spacing w:before="240" w:line="276" w:lineRule="auto"/>
      <w:jc w:val="both"/>
    </w:pPr>
    <w:rPr>
      <w:b/>
      <w:i/>
      <w:sz w:val="24"/>
      <w:szCs w:val="24"/>
      <w:lang w:eastAsia="en-US"/>
    </w:rPr>
  </w:style>
  <w:style w:type="paragraph" w:customStyle="1" w:styleId="05Tabletext">
    <w:name w:val="05 Table text"/>
    <w:next w:val="06Tabletextspacebefore"/>
    <w:qFormat/>
    <w:rsid w:val="00300A50"/>
    <w:pPr>
      <w:spacing w:before="20"/>
      <w:ind w:left="57" w:right="57"/>
    </w:pPr>
    <w:rPr>
      <w:rFonts w:ascii="Arial Narrow" w:hAnsi="Arial Narrow"/>
      <w:sz w:val="18"/>
      <w:szCs w:val="24"/>
      <w:lang w:eastAsia="en-US"/>
    </w:rPr>
  </w:style>
  <w:style w:type="table" w:styleId="TableGrid">
    <w:name w:val="Table Grid"/>
    <w:basedOn w:val="TableNormal"/>
    <w:uiPriority w:val="59"/>
    <w:rsid w:val="00E01A78"/>
    <w:rPr>
      <w:rFonts w:ascii="Arial Narrow" w:hAnsi="Arial Narrow"/>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Pr>
    <w:trPr>
      <w:cantSplit/>
    </w:trPr>
    <w:tcPr>
      <w:shd w:val="clear" w:color="auto" w:fill="auto"/>
    </w:tcPr>
    <w:tblStylePr w:type="firstRow">
      <w:tblPr/>
      <w:trPr>
        <w:tblHeader/>
      </w:trPr>
      <w:tcPr>
        <w:shd w:val="clear" w:color="auto" w:fill="BFBFBF"/>
      </w:tcPr>
    </w:tblStylePr>
  </w:style>
  <w:style w:type="paragraph" w:styleId="Caption">
    <w:name w:val="caption"/>
    <w:next w:val="05Tabletext"/>
    <w:uiPriority w:val="35"/>
    <w:unhideWhenUsed/>
    <w:qFormat/>
    <w:rsid w:val="00C076F5"/>
    <w:pPr>
      <w:keepNext/>
      <w:tabs>
        <w:tab w:val="left" w:pos="1134"/>
      </w:tabs>
      <w:spacing w:before="240" w:after="40"/>
      <w:ind w:left="1134" w:hanging="1134"/>
      <w:jc w:val="both"/>
    </w:pPr>
    <w:rPr>
      <w:rFonts w:ascii="Arial" w:hAnsi="Arial"/>
      <w:b/>
      <w:iCs/>
      <w:szCs w:val="18"/>
      <w:lang w:eastAsia="en-US"/>
    </w:rPr>
  </w:style>
  <w:style w:type="paragraph" w:customStyle="1" w:styleId="06Tabletextspacebefore">
    <w:name w:val="06 Table text space before"/>
    <w:qFormat/>
    <w:rsid w:val="00055F77"/>
    <w:pPr>
      <w:spacing w:before="80"/>
      <w:ind w:left="57" w:right="57"/>
    </w:pPr>
    <w:rPr>
      <w:rFonts w:ascii="Arial Narrow" w:hAnsi="Arial Narrow"/>
      <w:sz w:val="18"/>
      <w:szCs w:val="24"/>
      <w:lang w:eastAsia="en-US"/>
    </w:rPr>
  </w:style>
  <w:style w:type="paragraph" w:customStyle="1" w:styleId="10TableorFigurefootnote">
    <w:name w:val="10 Table or Figure footnote"/>
    <w:qFormat/>
    <w:rsid w:val="0063506B"/>
    <w:pPr>
      <w:keepNext/>
    </w:pPr>
    <w:rPr>
      <w:rFonts w:ascii="Arial Narrow" w:hAnsi="Arial Narrow"/>
      <w:sz w:val="16"/>
      <w:szCs w:val="24"/>
      <w:lang w:eastAsia="en-US"/>
    </w:rPr>
  </w:style>
  <w:style w:type="paragraph" w:customStyle="1" w:styleId="11TableorFigurefootnotenostick">
    <w:name w:val="11 Table or Figure footnote – no stick"/>
    <w:next w:val="BodyText"/>
    <w:qFormat/>
    <w:rsid w:val="0099024A"/>
    <w:pPr>
      <w:spacing w:after="360"/>
    </w:pPr>
    <w:rPr>
      <w:rFonts w:ascii="Arial Narrow" w:hAnsi="Arial Narrow"/>
      <w:sz w:val="16"/>
      <w:szCs w:val="24"/>
      <w:lang w:eastAsia="en-US"/>
    </w:rPr>
  </w:style>
  <w:style w:type="paragraph" w:customStyle="1" w:styleId="01TableHEADINGleftaligned">
    <w:name w:val="01 Table HEADING left aligned"/>
    <w:basedOn w:val="BodyText"/>
    <w:qFormat/>
    <w:rsid w:val="003D0211"/>
    <w:pPr>
      <w:keepNext/>
      <w:spacing w:before="60" w:line="240" w:lineRule="auto"/>
      <w:ind w:left="57" w:right="57"/>
      <w:jc w:val="left"/>
    </w:pPr>
    <w:rPr>
      <w:rFonts w:ascii="Arial Narrow" w:hAnsi="Arial Narrow"/>
      <w:b/>
      <w:sz w:val="18"/>
    </w:rPr>
  </w:style>
  <w:style w:type="paragraph" w:customStyle="1" w:styleId="02TableHEADINGcentred">
    <w:name w:val="02 Table HEADING centred"/>
    <w:qFormat/>
    <w:rsid w:val="009800DE"/>
    <w:pPr>
      <w:keepNext/>
      <w:spacing w:before="60"/>
      <w:ind w:left="57" w:right="57"/>
      <w:jc w:val="center"/>
    </w:pPr>
    <w:rPr>
      <w:rFonts w:ascii="Arial Narrow" w:hAnsi="Arial Narrow"/>
      <w:b/>
      <w:sz w:val="18"/>
      <w:szCs w:val="24"/>
      <w:lang w:eastAsia="en-US"/>
    </w:rPr>
  </w:style>
  <w:style w:type="paragraph" w:customStyle="1" w:styleId="09Tablerightaligned">
    <w:name w:val="09 Table right aligned ($)"/>
    <w:qFormat/>
    <w:rsid w:val="00E01A78"/>
    <w:pPr>
      <w:spacing w:before="20"/>
      <w:ind w:left="57" w:right="170"/>
      <w:jc w:val="right"/>
    </w:pPr>
    <w:rPr>
      <w:rFonts w:ascii="Arial Narrow" w:hAnsi="Arial Narrow"/>
      <w:sz w:val="18"/>
      <w:szCs w:val="24"/>
      <w:lang w:eastAsia="en-US"/>
    </w:rPr>
  </w:style>
  <w:style w:type="paragraph" w:customStyle="1" w:styleId="07Tablebullet">
    <w:name w:val="07 Table bullet"/>
    <w:qFormat/>
    <w:rsid w:val="0029750E"/>
    <w:pPr>
      <w:numPr>
        <w:numId w:val="3"/>
      </w:numPr>
      <w:ind w:left="227" w:right="57" w:hanging="170"/>
    </w:pPr>
    <w:rPr>
      <w:rFonts w:ascii="Arial Narrow" w:hAnsi="Arial Narrow"/>
      <w:sz w:val="18"/>
      <w:szCs w:val="24"/>
      <w:lang w:eastAsia="en-US"/>
    </w:rPr>
  </w:style>
  <w:style w:type="numbering" w:customStyle="1" w:styleId="Headings">
    <w:name w:val="Headings"/>
    <w:uiPriority w:val="99"/>
    <w:rsid w:val="006068D9"/>
    <w:pPr>
      <w:numPr>
        <w:numId w:val="12"/>
      </w:numPr>
    </w:pPr>
  </w:style>
  <w:style w:type="paragraph" w:styleId="TOC2">
    <w:name w:val="toc 2"/>
    <w:basedOn w:val="Normal"/>
    <w:next w:val="Normal"/>
    <w:autoRedefine/>
    <w:uiPriority w:val="39"/>
    <w:unhideWhenUsed/>
    <w:rsid w:val="00515169"/>
    <w:pPr>
      <w:tabs>
        <w:tab w:val="left" w:pos="1134"/>
        <w:tab w:val="right" w:leader="dot" w:pos="9628"/>
      </w:tabs>
      <w:spacing w:before="60"/>
      <w:ind w:left="1134" w:right="567" w:hanging="567"/>
      <w:jc w:val="left"/>
    </w:pPr>
  </w:style>
  <w:style w:type="paragraph" w:styleId="TOC1">
    <w:name w:val="toc 1"/>
    <w:autoRedefine/>
    <w:uiPriority w:val="39"/>
    <w:unhideWhenUsed/>
    <w:rsid w:val="00BA0380"/>
    <w:pPr>
      <w:tabs>
        <w:tab w:val="right" w:leader="dot" w:pos="9628"/>
      </w:tabs>
      <w:spacing w:before="120" w:line="276" w:lineRule="auto"/>
      <w:ind w:left="1134" w:right="567" w:hanging="1134"/>
    </w:pPr>
    <w:rPr>
      <w:noProof/>
      <w:sz w:val="24"/>
      <w:szCs w:val="24"/>
      <w:lang w:eastAsia="en-US"/>
    </w:rPr>
  </w:style>
  <w:style w:type="paragraph" w:styleId="TOC3">
    <w:name w:val="toc 3"/>
    <w:basedOn w:val="Normal"/>
    <w:next w:val="Normal"/>
    <w:autoRedefine/>
    <w:uiPriority w:val="39"/>
    <w:unhideWhenUsed/>
    <w:rsid w:val="00150D82"/>
    <w:pPr>
      <w:tabs>
        <w:tab w:val="left" w:pos="1320"/>
        <w:tab w:val="right" w:leader="dot" w:pos="9628"/>
      </w:tabs>
      <w:spacing w:before="0"/>
      <w:ind w:left="1701" w:right="567" w:hanging="567"/>
      <w:jc w:val="left"/>
    </w:pPr>
  </w:style>
  <w:style w:type="character" w:styleId="Hyperlink">
    <w:name w:val="Hyperlink"/>
    <w:uiPriority w:val="99"/>
    <w:unhideWhenUsed/>
    <w:rsid w:val="00663CBC"/>
    <w:rPr>
      <w:color w:val="0000FF"/>
      <w:u w:val="single"/>
    </w:rPr>
  </w:style>
  <w:style w:type="paragraph" w:styleId="TOCHeading">
    <w:name w:val="TOC Heading"/>
    <w:next w:val="BodyText"/>
    <w:uiPriority w:val="39"/>
    <w:unhideWhenUsed/>
    <w:qFormat/>
    <w:rsid w:val="001C5235"/>
    <w:pPr>
      <w:pageBreakBefore/>
      <w:spacing w:before="360" w:after="360" w:line="276" w:lineRule="auto"/>
      <w:jc w:val="center"/>
    </w:pPr>
    <w:rPr>
      <w:rFonts w:eastAsia="Times New Roman"/>
      <w:b/>
      <w:color w:val="4F81BD"/>
      <w:sz w:val="40"/>
      <w:szCs w:val="32"/>
      <w:lang w:eastAsia="en-US"/>
    </w:rPr>
  </w:style>
  <w:style w:type="character" w:styleId="CommentReference">
    <w:name w:val="annotation reference"/>
    <w:aliases w:val="Table Title"/>
    <w:uiPriority w:val="99"/>
    <w:unhideWhenUsed/>
    <w:qFormat/>
    <w:rsid w:val="007C6357"/>
    <w:rPr>
      <w:sz w:val="16"/>
      <w:szCs w:val="16"/>
    </w:rPr>
  </w:style>
  <w:style w:type="paragraph" w:styleId="CommentText">
    <w:name w:val="annotation text"/>
    <w:basedOn w:val="Normal"/>
    <w:link w:val="CommentTextChar"/>
    <w:unhideWhenUsed/>
    <w:rsid w:val="007C6357"/>
    <w:pPr>
      <w:spacing w:line="240" w:lineRule="auto"/>
    </w:pPr>
    <w:rPr>
      <w:sz w:val="20"/>
      <w:szCs w:val="20"/>
    </w:rPr>
  </w:style>
  <w:style w:type="character" w:customStyle="1" w:styleId="CommentTextChar">
    <w:name w:val="Comment Text Char"/>
    <w:link w:val="CommentText"/>
    <w:rsid w:val="007C6357"/>
    <w:rPr>
      <w:sz w:val="20"/>
      <w:szCs w:val="20"/>
    </w:rPr>
  </w:style>
  <w:style w:type="paragraph" w:styleId="CommentSubject">
    <w:name w:val="annotation subject"/>
    <w:basedOn w:val="CommentText"/>
    <w:next w:val="CommentText"/>
    <w:link w:val="CommentSubjectChar"/>
    <w:uiPriority w:val="99"/>
    <w:semiHidden/>
    <w:unhideWhenUsed/>
    <w:rsid w:val="007C6357"/>
    <w:rPr>
      <w:b/>
      <w:bCs/>
    </w:rPr>
  </w:style>
  <w:style w:type="character" w:customStyle="1" w:styleId="CommentSubjectChar">
    <w:name w:val="Comment Subject Char"/>
    <w:link w:val="CommentSubject"/>
    <w:uiPriority w:val="99"/>
    <w:semiHidden/>
    <w:rsid w:val="007C6357"/>
    <w:rPr>
      <w:b/>
      <w:bCs/>
      <w:sz w:val="20"/>
      <w:szCs w:val="20"/>
    </w:rPr>
  </w:style>
  <w:style w:type="paragraph" w:styleId="BalloonText">
    <w:name w:val="Balloon Text"/>
    <w:basedOn w:val="Normal"/>
    <w:link w:val="BalloonTextChar"/>
    <w:uiPriority w:val="99"/>
    <w:semiHidden/>
    <w:unhideWhenUsed/>
    <w:rsid w:val="007C6357"/>
    <w:pPr>
      <w:spacing w:before="0" w:line="240" w:lineRule="auto"/>
    </w:pPr>
    <w:rPr>
      <w:rFonts w:ascii="Segoe UI" w:hAnsi="Segoe UI" w:cs="Segoe UI"/>
      <w:sz w:val="18"/>
      <w:szCs w:val="18"/>
    </w:rPr>
  </w:style>
  <w:style w:type="character" w:customStyle="1" w:styleId="BalloonTextChar">
    <w:name w:val="Balloon Text Char"/>
    <w:link w:val="BalloonText"/>
    <w:uiPriority w:val="99"/>
    <w:semiHidden/>
    <w:rsid w:val="007C6357"/>
    <w:rPr>
      <w:rFonts w:ascii="Segoe UI" w:hAnsi="Segoe UI" w:cs="Segoe UI"/>
      <w:sz w:val="18"/>
      <w:szCs w:val="18"/>
    </w:rPr>
  </w:style>
  <w:style w:type="paragraph" w:customStyle="1" w:styleId="Picturewithbox">
    <w:name w:val="Picture with box"/>
    <w:next w:val="11TableorFigurefootnotenostick"/>
    <w:qFormat/>
    <w:rsid w:val="00C076F5"/>
    <w:pPr>
      <w:pBdr>
        <w:top w:val="single" w:sz="4" w:space="4" w:color="auto"/>
        <w:left w:val="single" w:sz="4" w:space="0" w:color="auto"/>
        <w:bottom w:val="single" w:sz="4" w:space="4" w:color="auto"/>
        <w:right w:val="single" w:sz="4" w:space="0" w:color="auto"/>
      </w:pBdr>
      <w:jc w:val="center"/>
    </w:pPr>
    <w:rPr>
      <w:sz w:val="24"/>
      <w:szCs w:val="24"/>
      <w:lang w:eastAsia="en-US"/>
    </w:rPr>
  </w:style>
  <w:style w:type="paragraph" w:styleId="TableofFigures">
    <w:name w:val="table of figures"/>
    <w:aliases w:val="- TOC for list of Figures or Tables"/>
    <w:uiPriority w:val="99"/>
    <w:unhideWhenUsed/>
    <w:rsid w:val="00A54385"/>
    <w:pPr>
      <w:ind w:left="1418" w:right="567" w:hanging="1418"/>
    </w:pPr>
    <w:rPr>
      <w:sz w:val="24"/>
      <w:szCs w:val="24"/>
      <w:lang w:eastAsia="en-US"/>
    </w:rPr>
  </w:style>
  <w:style w:type="paragraph" w:customStyle="1" w:styleId="Titlepage">
    <w:name w:val="Title page"/>
    <w:qFormat/>
    <w:rsid w:val="005B5D2A"/>
    <w:pPr>
      <w:spacing w:before="120" w:line="276" w:lineRule="auto"/>
      <w:jc w:val="center"/>
    </w:pPr>
    <w:rPr>
      <w:sz w:val="40"/>
      <w:szCs w:val="40"/>
      <w:lang w:eastAsia="en-US"/>
    </w:rPr>
  </w:style>
  <w:style w:type="character" w:customStyle="1" w:styleId="Heading6Char">
    <w:name w:val="Heading 6 Char"/>
    <w:link w:val="Heading6"/>
    <w:uiPriority w:val="9"/>
    <w:rsid w:val="0088224C"/>
    <w:rPr>
      <w:rFonts w:ascii="Calibri" w:eastAsia="Times New Roman" w:hAnsi="Calibri"/>
      <w:i/>
      <w:sz w:val="24"/>
      <w:szCs w:val="24"/>
      <w:lang w:eastAsia="en-US"/>
    </w:rPr>
  </w:style>
  <w:style w:type="character" w:customStyle="1" w:styleId="Heading7Char">
    <w:name w:val="Heading 7 Char"/>
    <w:aliases w:val="App Heading 1 Char"/>
    <w:link w:val="Heading7"/>
    <w:uiPriority w:val="9"/>
    <w:rsid w:val="00683D01"/>
    <w:rPr>
      <w:rFonts w:eastAsia="Times New Roman"/>
      <w:b/>
      <w:iCs/>
      <w:color w:val="4F81BD"/>
      <w:sz w:val="36"/>
      <w:szCs w:val="24"/>
      <w:lang w:eastAsia="en-US"/>
    </w:rPr>
  </w:style>
  <w:style w:type="character" w:customStyle="1" w:styleId="Heading8Char">
    <w:name w:val="Heading 8 Char"/>
    <w:aliases w:val="App Heading 2 Char"/>
    <w:link w:val="Heading8"/>
    <w:uiPriority w:val="9"/>
    <w:rsid w:val="00916C10"/>
    <w:rPr>
      <w:rFonts w:eastAsia="Times New Roman"/>
      <w:color w:val="4F81BD"/>
      <w:sz w:val="32"/>
      <w:szCs w:val="21"/>
      <w:lang w:eastAsia="en-US"/>
    </w:rPr>
  </w:style>
  <w:style w:type="character" w:customStyle="1" w:styleId="Heading9Char">
    <w:name w:val="Heading 9 Char"/>
    <w:aliases w:val="App Heading 3 Char"/>
    <w:link w:val="Heading9"/>
    <w:uiPriority w:val="9"/>
    <w:rsid w:val="00343EB1"/>
    <w:rPr>
      <w:rFonts w:eastAsia="Times New Roman"/>
      <w:b/>
      <w:i/>
      <w:iCs/>
      <w:color w:val="272727"/>
      <w:sz w:val="28"/>
      <w:szCs w:val="21"/>
      <w:lang w:eastAsia="en-US"/>
    </w:rPr>
  </w:style>
  <w:style w:type="paragraph" w:styleId="Footer">
    <w:name w:val="footer"/>
    <w:link w:val="FooterChar"/>
    <w:uiPriority w:val="99"/>
    <w:unhideWhenUsed/>
    <w:rsid w:val="006C71C1"/>
    <w:pPr>
      <w:pBdr>
        <w:top w:val="single" w:sz="4" w:space="1" w:color="auto"/>
      </w:pBdr>
    </w:pPr>
    <w:rPr>
      <w:szCs w:val="24"/>
      <w:lang w:eastAsia="en-US"/>
    </w:rPr>
  </w:style>
  <w:style w:type="paragraph" w:styleId="Header">
    <w:name w:val="header"/>
    <w:link w:val="HeaderChar"/>
    <w:uiPriority w:val="99"/>
    <w:unhideWhenUsed/>
    <w:rsid w:val="008D13CD"/>
    <w:pPr>
      <w:pBdr>
        <w:bottom w:val="single" w:sz="4" w:space="1" w:color="auto"/>
      </w:pBdr>
      <w:tabs>
        <w:tab w:val="center" w:pos="4513"/>
        <w:tab w:val="right" w:pos="9026"/>
      </w:tabs>
      <w:spacing w:after="240"/>
    </w:pPr>
    <w:rPr>
      <w:szCs w:val="24"/>
      <w:lang w:eastAsia="en-US"/>
    </w:rPr>
  </w:style>
  <w:style w:type="character" w:customStyle="1" w:styleId="HeaderChar">
    <w:name w:val="Header Char"/>
    <w:link w:val="Header"/>
    <w:uiPriority w:val="99"/>
    <w:rsid w:val="008D13CD"/>
    <w:rPr>
      <w:sz w:val="20"/>
    </w:rPr>
  </w:style>
  <w:style w:type="character" w:customStyle="1" w:styleId="FooterChar">
    <w:name w:val="Footer Char"/>
    <w:link w:val="Footer"/>
    <w:uiPriority w:val="99"/>
    <w:rsid w:val="006C71C1"/>
    <w:rPr>
      <w:szCs w:val="24"/>
      <w:lang w:eastAsia="en-US"/>
    </w:rPr>
  </w:style>
  <w:style w:type="character" w:customStyle="1" w:styleId="BullettextChar">
    <w:name w:val="Bullet text Char"/>
    <w:link w:val="Bullettext"/>
    <w:rsid w:val="00DA3D12"/>
    <w:rPr>
      <w:sz w:val="24"/>
      <w:szCs w:val="24"/>
      <w:lang w:eastAsia="en-US"/>
    </w:rPr>
  </w:style>
  <w:style w:type="paragraph" w:styleId="FootnoteText">
    <w:name w:val="footnote text"/>
    <w:basedOn w:val="Normal"/>
    <w:link w:val="FootnoteTextChar"/>
    <w:uiPriority w:val="99"/>
    <w:unhideWhenUsed/>
    <w:rsid w:val="00CC24F3"/>
    <w:pPr>
      <w:spacing w:before="0" w:line="240" w:lineRule="auto"/>
      <w:jc w:val="left"/>
    </w:pPr>
    <w:rPr>
      <w:rFonts w:ascii="Arial Narrow" w:hAnsi="Arial Narrow"/>
      <w:sz w:val="18"/>
      <w:szCs w:val="20"/>
    </w:rPr>
  </w:style>
  <w:style w:type="character" w:customStyle="1" w:styleId="FootnoteTextChar">
    <w:name w:val="Footnote Text Char"/>
    <w:link w:val="FootnoteText"/>
    <w:uiPriority w:val="99"/>
    <w:rsid w:val="00CC24F3"/>
    <w:rPr>
      <w:rFonts w:ascii="Arial Narrow" w:hAnsi="Arial Narrow"/>
      <w:sz w:val="18"/>
      <w:lang w:eastAsia="en-US"/>
    </w:rPr>
  </w:style>
  <w:style w:type="character" w:customStyle="1" w:styleId="searchhistory-search-term">
    <w:name w:val="searchhistory-search-term"/>
    <w:basedOn w:val="DefaultParagraphFont"/>
    <w:rsid w:val="00DB52B7"/>
  </w:style>
  <w:style w:type="paragraph" w:customStyle="1" w:styleId="TableorFigurefootnote">
    <w:name w:val="Table or Figure footnote"/>
    <w:next w:val="BodyText"/>
    <w:qFormat/>
    <w:rsid w:val="00ED6106"/>
    <w:pPr>
      <w:spacing w:after="240"/>
      <w:contextualSpacing/>
    </w:pPr>
    <w:rPr>
      <w:rFonts w:ascii="Garamond" w:hAnsi="Garamond"/>
      <w:sz w:val="16"/>
      <w:szCs w:val="22"/>
      <w:lang w:eastAsia="en-US"/>
    </w:rPr>
  </w:style>
  <w:style w:type="character" w:styleId="FootnoteReference">
    <w:name w:val="footnote reference"/>
    <w:uiPriority w:val="99"/>
    <w:unhideWhenUsed/>
    <w:rsid w:val="00A332EB"/>
    <w:rPr>
      <w:vertAlign w:val="superscript"/>
    </w:rPr>
  </w:style>
  <w:style w:type="paragraph" w:customStyle="1" w:styleId="08Tablebulletsecondlevel">
    <w:name w:val="08 Table bullet second level"/>
    <w:qFormat/>
    <w:rsid w:val="0029750E"/>
    <w:pPr>
      <w:numPr>
        <w:numId w:val="5"/>
      </w:numPr>
      <w:ind w:left="397" w:hanging="170"/>
    </w:pPr>
    <w:rPr>
      <w:rFonts w:ascii="Arial Narrow" w:hAnsi="Arial Narrow"/>
      <w:sz w:val="18"/>
      <w:szCs w:val="24"/>
      <w:lang w:eastAsia="en-US"/>
    </w:rPr>
  </w:style>
  <w:style w:type="paragraph" w:customStyle="1" w:styleId="03TableHEADINGrightaligned">
    <w:name w:val="03 Table HEADING right aligned ($)"/>
    <w:qFormat/>
    <w:rsid w:val="003D0211"/>
    <w:pPr>
      <w:keepNext/>
      <w:spacing w:before="60"/>
      <w:ind w:left="57" w:right="170"/>
      <w:jc w:val="right"/>
    </w:pPr>
    <w:rPr>
      <w:rFonts w:ascii="Arial Narrow" w:hAnsi="Arial Narrow"/>
      <w:b/>
      <w:sz w:val="18"/>
      <w:szCs w:val="24"/>
      <w:lang w:eastAsia="en-US"/>
    </w:rPr>
  </w:style>
  <w:style w:type="paragraph" w:styleId="Revision">
    <w:name w:val="Revision"/>
    <w:hidden/>
    <w:uiPriority w:val="99"/>
    <w:semiHidden/>
    <w:rsid w:val="007660BB"/>
    <w:rPr>
      <w:sz w:val="24"/>
      <w:szCs w:val="24"/>
      <w:lang w:eastAsia="en-US"/>
    </w:rPr>
  </w:style>
  <w:style w:type="paragraph" w:styleId="EndnoteText">
    <w:name w:val="endnote text"/>
    <w:basedOn w:val="Normal"/>
    <w:link w:val="EndnoteTextChar"/>
    <w:uiPriority w:val="99"/>
    <w:semiHidden/>
    <w:unhideWhenUsed/>
    <w:rsid w:val="00A3778B"/>
    <w:pPr>
      <w:spacing w:before="0" w:line="240" w:lineRule="auto"/>
    </w:pPr>
    <w:rPr>
      <w:sz w:val="20"/>
      <w:szCs w:val="20"/>
    </w:rPr>
  </w:style>
  <w:style w:type="character" w:customStyle="1" w:styleId="EndnoteTextChar">
    <w:name w:val="Endnote Text Char"/>
    <w:link w:val="EndnoteText"/>
    <w:uiPriority w:val="99"/>
    <w:semiHidden/>
    <w:rsid w:val="00A3778B"/>
    <w:rPr>
      <w:sz w:val="20"/>
      <w:szCs w:val="20"/>
    </w:rPr>
  </w:style>
  <w:style w:type="character" w:styleId="EndnoteReference">
    <w:name w:val="endnote reference"/>
    <w:uiPriority w:val="99"/>
    <w:semiHidden/>
    <w:unhideWhenUsed/>
    <w:rsid w:val="00A3778B"/>
    <w:rPr>
      <w:vertAlign w:val="superscript"/>
    </w:rPr>
  </w:style>
  <w:style w:type="paragraph" w:customStyle="1" w:styleId="Default">
    <w:name w:val="Default"/>
    <w:rsid w:val="00E45401"/>
    <w:pPr>
      <w:autoSpaceDE w:val="0"/>
      <w:autoSpaceDN w:val="0"/>
      <w:adjustRightInd w:val="0"/>
    </w:pPr>
    <w:rPr>
      <w:rFonts w:ascii="Calibri" w:hAnsi="Calibri" w:cs="Calibri"/>
      <w:color w:val="000000"/>
      <w:sz w:val="24"/>
      <w:szCs w:val="24"/>
      <w:lang w:eastAsia="en-US"/>
    </w:rPr>
  </w:style>
  <w:style w:type="paragraph" w:customStyle="1" w:styleId="04Tablesubheading">
    <w:name w:val="04 Table subheading"/>
    <w:qFormat/>
    <w:rsid w:val="00055F77"/>
    <w:pPr>
      <w:keepNext/>
      <w:spacing w:before="20"/>
      <w:ind w:left="57" w:right="57"/>
    </w:pPr>
    <w:rPr>
      <w:rFonts w:ascii="Arial Narrow" w:hAnsi="Arial Narrow"/>
      <w:b/>
      <w:sz w:val="18"/>
      <w:szCs w:val="24"/>
      <w:lang w:eastAsia="en-US"/>
    </w:rPr>
  </w:style>
  <w:style w:type="paragraph" w:customStyle="1" w:styleId="FooterwithLandscape">
    <w:name w:val="Footer with # Landscape"/>
    <w:qFormat/>
    <w:rsid w:val="006C71C1"/>
    <w:pPr>
      <w:pBdr>
        <w:top w:val="single" w:sz="4" w:space="1" w:color="auto"/>
      </w:pBdr>
      <w:tabs>
        <w:tab w:val="right" w:pos="14572"/>
      </w:tabs>
      <w:spacing w:before="240"/>
    </w:pPr>
    <w:rPr>
      <w:szCs w:val="24"/>
      <w:lang w:eastAsia="en-US"/>
    </w:rPr>
  </w:style>
  <w:style w:type="paragraph" w:customStyle="1" w:styleId="FooterwithPortrait">
    <w:name w:val="Footer with # Portrait"/>
    <w:basedOn w:val="FooterwithLandscape"/>
    <w:qFormat/>
    <w:rsid w:val="006C71C1"/>
    <w:pPr>
      <w:tabs>
        <w:tab w:val="clear" w:pos="14572"/>
        <w:tab w:val="right" w:pos="9639"/>
      </w:tabs>
    </w:pPr>
  </w:style>
  <w:style w:type="character" w:styleId="FollowedHyperlink">
    <w:name w:val="FollowedHyperlink"/>
    <w:uiPriority w:val="99"/>
    <w:semiHidden/>
    <w:unhideWhenUsed/>
    <w:rsid w:val="00916E6D"/>
    <w:rPr>
      <w:color w:val="800080"/>
      <w:u w:val="single"/>
    </w:rPr>
  </w:style>
  <w:style w:type="paragraph" w:customStyle="1" w:styleId="03Tabletext">
    <w:name w:val="03 Table text"/>
    <w:next w:val="Normal"/>
    <w:qFormat/>
    <w:rsid w:val="00DD2073"/>
    <w:rPr>
      <w:rFonts w:ascii="Arial Narrow" w:hAnsi="Arial Narrow"/>
      <w:szCs w:val="24"/>
      <w:lang w:eastAsia="en-US"/>
    </w:rPr>
  </w:style>
  <w:style w:type="paragraph" w:customStyle="1" w:styleId="08TableorFigurefootnotenostick">
    <w:name w:val="08 Table or Figure footnote – no stick"/>
    <w:next w:val="BodyText"/>
    <w:qFormat/>
    <w:rsid w:val="00DD2073"/>
    <w:pPr>
      <w:spacing w:after="360"/>
    </w:pPr>
    <w:rPr>
      <w:rFonts w:ascii="Arial Narrow" w:hAnsi="Arial Narrow"/>
      <w:sz w:val="16"/>
      <w:szCs w:val="24"/>
      <w:lang w:eastAsia="en-US"/>
    </w:rPr>
  </w:style>
  <w:style w:type="paragraph" w:customStyle="1" w:styleId="02Tableheadingcentred0">
    <w:name w:val="02 Table heading centred"/>
    <w:qFormat/>
    <w:rsid w:val="00DD2073"/>
    <w:pPr>
      <w:spacing w:before="80"/>
      <w:jc w:val="center"/>
    </w:pPr>
    <w:rPr>
      <w:rFonts w:ascii="Arial Narrow" w:hAnsi="Arial Narrow"/>
      <w:b/>
      <w:szCs w:val="24"/>
      <w:lang w:eastAsia="en-US"/>
    </w:rPr>
  </w:style>
  <w:style w:type="paragraph" w:customStyle="1" w:styleId="08Bulletsseriesofsentences">
    <w:name w:val="08. Bullets – series of sentences"/>
    <w:link w:val="08BulletsseriesofsentencesChar"/>
    <w:qFormat/>
    <w:rsid w:val="00325A2E"/>
    <w:pPr>
      <w:numPr>
        <w:numId w:val="6"/>
      </w:numPr>
      <w:spacing w:before="120"/>
      <w:ind w:left="357" w:hanging="357"/>
    </w:pPr>
    <w:rPr>
      <w:rFonts w:ascii="Garamond" w:hAnsi="Garamond"/>
      <w:sz w:val="24"/>
      <w:szCs w:val="22"/>
      <w:lang w:eastAsia="en-US"/>
    </w:rPr>
  </w:style>
  <w:style w:type="character" w:customStyle="1" w:styleId="08BulletsseriesofsentencesChar">
    <w:name w:val="08. Bullets – series of sentences Char"/>
    <w:link w:val="08Bulletsseriesofsentences"/>
    <w:rsid w:val="00325A2E"/>
    <w:rPr>
      <w:rFonts w:ascii="Garamond" w:hAnsi="Garamond"/>
      <w:sz w:val="24"/>
      <w:szCs w:val="22"/>
      <w:lang w:eastAsia="en-US"/>
    </w:rPr>
  </w:style>
  <w:style w:type="paragraph" w:customStyle="1" w:styleId="Table10ptalignedleft">
    <w:name w:val="Table 10pt aligned left"/>
    <w:qFormat/>
    <w:rsid w:val="00325A2E"/>
    <w:rPr>
      <w:rFonts w:ascii="Garamond" w:hAnsi="Garamond"/>
      <w:szCs w:val="22"/>
      <w:lang w:eastAsia="en-US"/>
    </w:rPr>
  </w:style>
  <w:style w:type="paragraph" w:customStyle="1" w:styleId="04Tabletextspacebefore">
    <w:name w:val="04 Table text space before"/>
    <w:qFormat/>
    <w:rsid w:val="00F439AF"/>
    <w:pPr>
      <w:spacing w:before="80"/>
    </w:pPr>
    <w:rPr>
      <w:rFonts w:ascii="Arial Narrow" w:hAnsi="Arial Narrow"/>
      <w:szCs w:val="24"/>
      <w:lang w:eastAsia="en-US"/>
    </w:rPr>
  </w:style>
  <w:style w:type="paragraph" w:customStyle="1" w:styleId="01Tableheadingleftaligned0">
    <w:name w:val="01 Table heading left aligned"/>
    <w:basedOn w:val="BodyText"/>
    <w:qFormat/>
    <w:rsid w:val="00F439AF"/>
    <w:pPr>
      <w:spacing w:before="80" w:line="240" w:lineRule="auto"/>
      <w:jc w:val="left"/>
    </w:pPr>
    <w:rPr>
      <w:rFonts w:ascii="Arial Narrow" w:hAnsi="Arial Narrow"/>
      <w:b/>
      <w:sz w:val="20"/>
    </w:rPr>
  </w:style>
  <w:style w:type="paragraph" w:customStyle="1" w:styleId="05Tablebullet">
    <w:name w:val="05 Table bullet"/>
    <w:qFormat/>
    <w:rsid w:val="00F439AF"/>
    <w:pPr>
      <w:ind w:left="170" w:hanging="170"/>
    </w:pPr>
    <w:rPr>
      <w:rFonts w:ascii="Arial Narrow" w:hAnsi="Arial Narrow"/>
      <w:szCs w:val="24"/>
      <w:lang w:eastAsia="en-US"/>
    </w:rPr>
  </w:style>
  <w:style w:type="paragraph" w:customStyle="1" w:styleId="07TableorFigurefootnote">
    <w:name w:val="07 Table or Figure footnote"/>
    <w:qFormat/>
    <w:rsid w:val="00E56C35"/>
    <w:rPr>
      <w:rFonts w:ascii="Arial Narrow" w:hAnsi="Arial Narrow"/>
      <w:sz w:val="16"/>
      <w:szCs w:val="24"/>
      <w:lang w:eastAsia="en-US"/>
    </w:rPr>
  </w:style>
  <w:style w:type="paragraph" w:customStyle="1" w:styleId="Table10ptbullet">
    <w:name w:val="Table 10pt bullet"/>
    <w:qFormat/>
    <w:rsid w:val="007249B1"/>
    <w:pPr>
      <w:numPr>
        <w:numId w:val="7"/>
      </w:numPr>
      <w:tabs>
        <w:tab w:val="left" w:pos="227"/>
      </w:tabs>
      <w:ind w:left="227" w:hanging="227"/>
    </w:pPr>
    <w:rPr>
      <w:rFonts w:ascii="Garamond" w:hAnsi="Garamond"/>
      <w:szCs w:val="22"/>
      <w:lang w:eastAsia="en-US"/>
    </w:rPr>
  </w:style>
  <w:style w:type="paragraph" w:customStyle="1" w:styleId="Bullettext-indentedlastspaceafter">
    <w:name w:val="Bullet text-indented last (space after)"/>
    <w:qFormat/>
    <w:rsid w:val="007249B1"/>
    <w:pPr>
      <w:numPr>
        <w:numId w:val="8"/>
      </w:numPr>
      <w:tabs>
        <w:tab w:val="left" w:pos="357"/>
      </w:tabs>
      <w:spacing w:after="240"/>
      <w:jc w:val="both"/>
    </w:pPr>
    <w:rPr>
      <w:rFonts w:ascii="Garamond" w:hAnsi="Garamond"/>
      <w:sz w:val="24"/>
      <w:szCs w:val="22"/>
      <w:lang w:eastAsia="en-US"/>
    </w:rPr>
  </w:style>
  <w:style w:type="numbering" w:customStyle="1" w:styleId="NoList1">
    <w:name w:val="No List1"/>
    <w:next w:val="NoList"/>
    <w:uiPriority w:val="99"/>
    <w:semiHidden/>
    <w:unhideWhenUsed/>
    <w:rsid w:val="00B92CC9"/>
  </w:style>
  <w:style w:type="table" w:customStyle="1" w:styleId="TableGrid1">
    <w:name w:val="Table Grid1"/>
    <w:basedOn w:val="TableNormal"/>
    <w:next w:val="TableGrid"/>
    <w:uiPriority w:val="59"/>
    <w:rsid w:val="00B92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Pr>
    <w:trPr>
      <w:cantSplit/>
    </w:trPr>
    <w:tcPr>
      <w:shd w:val="clear" w:color="auto" w:fill="auto"/>
    </w:tcPr>
    <w:tblStylePr w:type="firstRow">
      <w:rPr>
        <w:color w:val="BFBFBF"/>
      </w:rPr>
      <w:tblPr/>
      <w:trPr>
        <w:tblHeader/>
      </w:trPr>
      <w:tcPr>
        <w:shd w:val="clear" w:color="auto" w:fill="BFBFBF"/>
      </w:tcPr>
    </w:tblStylePr>
  </w:style>
  <w:style w:type="numbering" w:customStyle="1" w:styleId="Numberedlist">
    <w:name w:val="Numbered list"/>
    <w:uiPriority w:val="99"/>
    <w:rsid w:val="00B92CC9"/>
    <w:pPr>
      <w:numPr>
        <w:numId w:val="9"/>
      </w:numPr>
    </w:pPr>
  </w:style>
  <w:style w:type="paragraph" w:styleId="ListParagraph">
    <w:name w:val="List Paragraph"/>
    <w:aliases w:val="Footnote,BulletPoints,List Paragraph1,Recommendation"/>
    <w:basedOn w:val="Normal"/>
    <w:link w:val="ListParagraphChar"/>
    <w:uiPriority w:val="72"/>
    <w:qFormat/>
    <w:rsid w:val="00B92CC9"/>
    <w:pPr>
      <w:ind w:left="720"/>
      <w:contextualSpacing/>
    </w:pPr>
  </w:style>
  <w:style w:type="numbering" w:styleId="111111">
    <w:name w:val="Outline List 2"/>
    <w:basedOn w:val="NoList"/>
    <w:uiPriority w:val="99"/>
    <w:semiHidden/>
    <w:unhideWhenUsed/>
    <w:rsid w:val="00B92CC9"/>
    <w:pPr>
      <w:numPr>
        <w:numId w:val="10"/>
      </w:numPr>
    </w:pPr>
  </w:style>
  <w:style w:type="character" w:styleId="Emphasis">
    <w:name w:val="Emphasis"/>
    <w:qFormat/>
    <w:rsid w:val="00B92CC9"/>
    <w:rPr>
      <w:i/>
      <w:iCs/>
    </w:rPr>
  </w:style>
  <w:style w:type="paragraph" w:customStyle="1" w:styleId="Table10ptheadingalignedleft">
    <w:name w:val="Table 10pt heading aligned left"/>
    <w:qFormat/>
    <w:rsid w:val="00B92CC9"/>
    <w:rPr>
      <w:rFonts w:ascii="Garamond" w:hAnsi="Garamond"/>
      <w:b/>
      <w:color w:val="FFFFFF"/>
      <w:szCs w:val="22"/>
      <w:lang w:eastAsia="en-US"/>
    </w:rPr>
  </w:style>
  <w:style w:type="numbering" w:customStyle="1" w:styleId="NoList2">
    <w:name w:val="No List2"/>
    <w:next w:val="NoList"/>
    <w:uiPriority w:val="99"/>
    <w:semiHidden/>
    <w:unhideWhenUsed/>
    <w:rsid w:val="000E79FE"/>
  </w:style>
  <w:style w:type="table" w:customStyle="1" w:styleId="TableGrid2">
    <w:name w:val="Table Grid2"/>
    <w:basedOn w:val="TableNormal"/>
    <w:next w:val="TableGrid"/>
    <w:uiPriority w:val="59"/>
    <w:rsid w:val="000E7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Pr>
    <w:trPr>
      <w:cantSplit/>
    </w:trPr>
    <w:tcPr>
      <w:shd w:val="clear" w:color="auto" w:fill="auto"/>
    </w:tcPr>
    <w:tblStylePr w:type="firstRow">
      <w:rPr>
        <w:color w:val="BFBFBF"/>
      </w:rPr>
      <w:tblPr/>
      <w:trPr>
        <w:tblHeader/>
      </w:trPr>
      <w:tcPr>
        <w:shd w:val="clear" w:color="auto" w:fill="BFBFBF"/>
      </w:tcPr>
    </w:tblStylePr>
  </w:style>
  <w:style w:type="numbering" w:customStyle="1" w:styleId="Numberedlist1">
    <w:name w:val="Numbered list1"/>
    <w:uiPriority w:val="99"/>
    <w:rsid w:val="000E79FE"/>
    <w:pPr>
      <w:numPr>
        <w:numId w:val="4"/>
      </w:numPr>
    </w:pPr>
  </w:style>
  <w:style w:type="numbering" w:customStyle="1" w:styleId="1111111">
    <w:name w:val="1 / 1.1 / 1.1.11"/>
    <w:basedOn w:val="NoList"/>
    <w:next w:val="111111"/>
    <w:uiPriority w:val="99"/>
    <w:semiHidden/>
    <w:unhideWhenUsed/>
    <w:rsid w:val="000E79FE"/>
    <w:pPr>
      <w:numPr>
        <w:numId w:val="11"/>
      </w:numPr>
    </w:pPr>
  </w:style>
  <w:style w:type="paragraph" w:customStyle="1" w:styleId="01BODYTEXT">
    <w:name w:val="01. BODY TEXT"/>
    <w:qFormat/>
    <w:rsid w:val="001A675B"/>
    <w:pPr>
      <w:spacing w:before="240"/>
      <w:jc w:val="both"/>
    </w:pPr>
    <w:rPr>
      <w:rFonts w:ascii="Garamond" w:hAnsi="Garamond"/>
      <w:sz w:val="24"/>
      <w:szCs w:val="22"/>
      <w:lang w:eastAsia="en-US"/>
    </w:rPr>
  </w:style>
  <w:style w:type="paragraph" w:customStyle="1" w:styleId="TableFigureheading">
    <w:name w:val="Table/Figure heading"/>
    <w:basedOn w:val="Normal"/>
    <w:next w:val="Normal"/>
    <w:uiPriority w:val="99"/>
    <w:qFormat/>
    <w:rsid w:val="001A675B"/>
    <w:pPr>
      <w:spacing w:before="240" w:after="120" w:line="240" w:lineRule="auto"/>
      <w:jc w:val="center"/>
    </w:pPr>
    <w:rPr>
      <w:rFonts w:ascii="Garamond" w:eastAsia="Times New Roman" w:hAnsi="Garamond"/>
      <w:b/>
      <w:sz w:val="20"/>
      <w:szCs w:val="20"/>
    </w:rPr>
  </w:style>
  <w:style w:type="paragraph" w:styleId="TOC4">
    <w:name w:val="toc 4"/>
    <w:basedOn w:val="Normal"/>
    <w:next w:val="Normal"/>
    <w:autoRedefine/>
    <w:uiPriority w:val="39"/>
    <w:unhideWhenUsed/>
    <w:rsid w:val="005F738E"/>
    <w:pPr>
      <w:tabs>
        <w:tab w:val="left" w:pos="1588"/>
        <w:tab w:val="right" w:leader="dot" w:pos="9639"/>
      </w:tabs>
      <w:ind w:left="680" w:right="567" w:hanging="680"/>
      <w:jc w:val="left"/>
    </w:pPr>
    <w:rPr>
      <w:rFonts w:eastAsia="Times New Roman"/>
      <w:szCs w:val="22"/>
      <w:lang w:eastAsia="en-AU"/>
    </w:rPr>
  </w:style>
  <w:style w:type="paragraph" w:styleId="TOC5">
    <w:name w:val="toc 5"/>
    <w:basedOn w:val="Normal"/>
    <w:next w:val="Normal"/>
    <w:autoRedefine/>
    <w:uiPriority w:val="39"/>
    <w:unhideWhenUsed/>
    <w:rsid w:val="00FA02B5"/>
    <w:pPr>
      <w:spacing w:before="0" w:after="100" w:line="259" w:lineRule="auto"/>
      <w:ind w:left="880"/>
      <w:jc w:val="left"/>
    </w:pPr>
    <w:rPr>
      <w:rFonts w:ascii="Calibri" w:eastAsia="Times New Roman" w:hAnsi="Calibri"/>
      <w:sz w:val="22"/>
      <w:szCs w:val="22"/>
      <w:lang w:eastAsia="en-AU"/>
    </w:rPr>
  </w:style>
  <w:style w:type="paragraph" w:styleId="TOC6">
    <w:name w:val="toc 6"/>
    <w:basedOn w:val="Normal"/>
    <w:next w:val="Normal"/>
    <w:autoRedefine/>
    <w:uiPriority w:val="39"/>
    <w:unhideWhenUsed/>
    <w:rsid w:val="00FA02B5"/>
    <w:pPr>
      <w:spacing w:before="0" w:after="100" w:line="259" w:lineRule="auto"/>
      <w:ind w:left="1100"/>
      <w:jc w:val="left"/>
    </w:pPr>
    <w:rPr>
      <w:rFonts w:ascii="Calibri" w:eastAsia="Times New Roman" w:hAnsi="Calibri"/>
      <w:sz w:val="22"/>
      <w:szCs w:val="22"/>
      <w:lang w:eastAsia="en-AU"/>
    </w:rPr>
  </w:style>
  <w:style w:type="paragraph" w:styleId="TOC7">
    <w:name w:val="toc 7"/>
    <w:basedOn w:val="Normal"/>
    <w:next w:val="Normal"/>
    <w:autoRedefine/>
    <w:uiPriority w:val="39"/>
    <w:unhideWhenUsed/>
    <w:rsid w:val="00FA02B5"/>
    <w:pPr>
      <w:spacing w:before="0" w:after="100" w:line="259" w:lineRule="auto"/>
      <w:ind w:left="1320"/>
      <w:jc w:val="left"/>
    </w:pPr>
    <w:rPr>
      <w:rFonts w:ascii="Calibri" w:eastAsia="Times New Roman" w:hAnsi="Calibri"/>
      <w:sz w:val="22"/>
      <w:szCs w:val="22"/>
      <w:lang w:eastAsia="en-AU"/>
    </w:rPr>
  </w:style>
  <w:style w:type="paragraph" w:styleId="TOC8">
    <w:name w:val="toc 8"/>
    <w:basedOn w:val="Normal"/>
    <w:next w:val="Normal"/>
    <w:autoRedefine/>
    <w:uiPriority w:val="39"/>
    <w:unhideWhenUsed/>
    <w:rsid w:val="00FA02B5"/>
    <w:pPr>
      <w:spacing w:before="0" w:after="100" w:line="259" w:lineRule="auto"/>
      <w:ind w:left="1540"/>
      <w:jc w:val="left"/>
    </w:pPr>
    <w:rPr>
      <w:rFonts w:ascii="Calibri" w:eastAsia="Times New Roman" w:hAnsi="Calibri"/>
      <w:sz w:val="22"/>
      <w:szCs w:val="22"/>
      <w:lang w:eastAsia="en-AU"/>
    </w:rPr>
  </w:style>
  <w:style w:type="paragraph" w:styleId="TOC9">
    <w:name w:val="toc 9"/>
    <w:basedOn w:val="Normal"/>
    <w:next w:val="Normal"/>
    <w:autoRedefine/>
    <w:uiPriority w:val="39"/>
    <w:unhideWhenUsed/>
    <w:rsid w:val="00FA02B5"/>
    <w:pPr>
      <w:spacing w:before="0" w:after="100" w:line="259" w:lineRule="auto"/>
      <w:ind w:left="1760"/>
      <w:jc w:val="left"/>
    </w:pPr>
    <w:rPr>
      <w:rFonts w:ascii="Calibri" w:eastAsia="Times New Roman" w:hAnsi="Calibri"/>
      <w:sz w:val="22"/>
      <w:szCs w:val="22"/>
      <w:lang w:eastAsia="en-AU"/>
    </w:rPr>
  </w:style>
  <w:style w:type="paragraph" w:customStyle="1" w:styleId="Table9ptalignedleftspacebefore">
    <w:name w:val="Table 9pt aligned left space before"/>
    <w:qFormat/>
    <w:rsid w:val="006701F2"/>
    <w:pPr>
      <w:spacing w:before="120"/>
    </w:pPr>
    <w:rPr>
      <w:rFonts w:ascii="Garamond" w:hAnsi="Garamond"/>
      <w:sz w:val="18"/>
      <w:szCs w:val="22"/>
      <w:lang w:eastAsia="en-US"/>
    </w:rPr>
  </w:style>
  <w:style w:type="paragraph" w:customStyle="1" w:styleId="Table9ptalignedleft">
    <w:name w:val="Table 9pt aligned left"/>
    <w:next w:val="Table9ptalignedleftspacebefore"/>
    <w:qFormat/>
    <w:rsid w:val="006701F2"/>
    <w:rPr>
      <w:rFonts w:ascii="Garamond" w:hAnsi="Garamond"/>
      <w:sz w:val="18"/>
      <w:szCs w:val="22"/>
      <w:lang w:eastAsia="en-US"/>
    </w:rPr>
  </w:style>
  <w:style w:type="paragraph" w:customStyle="1" w:styleId="Table9ptsubheadingwithincell">
    <w:name w:val="Table 9pt subheading within cell"/>
    <w:qFormat/>
    <w:rsid w:val="006701F2"/>
    <w:pPr>
      <w:keepNext/>
    </w:pPr>
    <w:rPr>
      <w:rFonts w:ascii="Garamond" w:hAnsi="Garamond"/>
      <w:b/>
      <w:sz w:val="18"/>
      <w:szCs w:val="22"/>
      <w:lang w:eastAsia="en-US"/>
    </w:rPr>
  </w:style>
  <w:style w:type="paragraph" w:customStyle="1" w:styleId="Table9ptheadingalignedleft">
    <w:name w:val="Table 9pt heading aligned left"/>
    <w:qFormat/>
    <w:rsid w:val="006701F2"/>
    <w:pPr>
      <w:spacing w:before="40"/>
    </w:pPr>
    <w:rPr>
      <w:rFonts w:ascii="Garamond" w:hAnsi="Garamond"/>
      <w:b/>
      <w:color w:val="FFFFFF"/>
      <w:sz w:val="18"/>
      <w:szCs w:val="22"/>
      <w:lang w:eastAsia="en-US"/>
    </w:rPr>
  </w:style>
  <w:style w:type="paragraph" w:customStyle="1" w:styleId="Table10ptheadingcentred">
    <w:name w:val="Table 10pt heading centred"/>
    <w:qFormat/>
    <w:rsid w:val="00771A08"/>
    <w:pPr>
      <w:jc w:val="center"/>
    </w:pPr>
    <w:rPr>
      <w:rFonts w:ascii="Garamond" w:hAnsi="Garamond"/>
      <w:b/>
      <w:color w:val="FFFFFF"/>
      <w:szCs w:val="22"/>
      <w:lang w:eastAsia="en-US"/>
    </w:rPr>
  </w:style>
  <w:style w:type="paragraph" w:customStyle="1" w:styleId="References">
    <w:name w:val="References"/>
    <w:qFormat/>
    <w:rsid w:val="004504BE"/>
    <w:pPr>
      <w:spacing w:before="80"/>
      <w:ind w:left="284" w:hanging="284"/>
    </w:pPr>
    <w:rPr>
      <w:sz w:val="18"/>
      <w:szCs w:val="24"/>
      <w:lang w:eastAsia="en-US"/>
    </w:rPr>
  </w:style>
  <w:style w:type="character" w:customStyle="1" w:styleId="ListParagraphChar">
    <w:name w:val="List Paragraph Char"/>
    <w:aliases w:val="Footnote Char,BulletPoints Char,List Paragraph1 Char,Recommendation Char"/>
    <w:basedOn w:val="DefaultParagraphFont"/>
    <w:link w:val="ListParagraph"/>
    <w:uiPriority w:val="34"/>
    <w:rsid w:val="0035554F"/>
    <w:rPr>
      <w:sz w:val="24"/>
      <w:szCs w:val="24"/>
      <w:lang w:eastAsia="en-US"/>
    </w:rPr>
  </w:style>
  <w:style w:type="paragraph" w:customStyle="1" w:styleId="ExSFigureHeader">
    <w:name w:val="ExS Figure Header"/>
    <w:basedOn w:val="BodyText"/>
    <w:link w:val="ExSFigureHeaderChar"/>
    <w:qFormat/>
    <w:rsid w:val="00A9371A"/>
    <w:rPr>
      <w:b/>
    </w:rPr>
  </w:style>
  <w:style w:type="paragraph" w:customStyle="1" w:styleId="ExSTableHeader">
    <w:name w:val="ExS Table Header"/>
    <w:basedOn w:val="BodyText"/>
    <w:link w:val="ExSTableHeaderChar"/>
    <w:qFormat/>
    <w:rsid w:val="00A9371A"/>
    <w:rPr>
      <w:rFonts w:cs="Arial"/>
      <w:b/>
      <w:sz w:val="22"/>
      <w:szCs w:val="20"/>
    </w:rPr>
  </w:style>
  <w:style w:type="character" w:customStyle="1" w:styleId="ExSFigureHeaderChar">
    <w:name w:val="ExS Figure Header Char"/>
    <w:basedOn w:val="BodyTextChar"/>
    <w:link w:val="ExSFigureHeader"/>
    <w:rsid w:val="00A9371A"/>
    <w:rPr>
      <w:b/>
      <w:sz w:val="24"/>
      <w:szCs w:val="24"/>
      <w:lang w:eastAsia="en-US"/>
    </w:rPr>
  </w:style>
  <w:style w:type="character" w:customStyle="1" w:styleId="ExSTableHeaderChar">
    <w:name w:val="ExS Table Header Char"/>
    <w:basedOn w:val="BodyTextChar"/>
    <w:link w:val="ExSTableHeader"/>
    <w:rsid w:val="00A9371A"/>
    <w:rPr>
      <w:rFonts w:cs="Arial"/>
      <w:b/>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169804">
      <w:bodyDiv w:val="1"/>
      <w:marLeft w:val="0"/>
      <w:marRight w:val="0"/>
      <w:marTop w:val="0"/>
      <w:marBottom w:val="0"/>
      <w:divBdr>
        <w:top w:val="none" w:sz="0" w:space="0" w:color="auto"/>
        <w:left w:val="none" w:sz="0" w:space="0" w:color="auto"/>
        <w:bottom w:val="none" w:sz="0" w:space="0" w:color="auto"/>
        <w:right w:val="none" w:sz="0" w:space="0" w:color="auto"/>
      </w:divBdr>
      <w:divsChild>
        <w:div w:id="1077898468">
          <w:marLeft w:val="0"/>
          <w:marRight w:val="0"/>
          <w:marTop w:val="0"/>
          <w:marBottom w:val="0"/>
          <w:divBdr>
            <w:top w:val="none" w:sz="0" w:space="0" w:color="auto"/>
            <w:left w:val="none" w:sz="0" w:space="0" w:color="auto"/>
            <w:bottom w:val="none" w:sz="0" w:space="0" w:color="auto"/>
            <w:right w:val="none" w:sz="0" w:space="0" w:color="auto"/>
          </w:divBdr>
        </w:div>
      </w:divsChild>
    </w:div>
    <w:div w:id="303782159">
      <w:bodyDiv w:val="1"/>
      <w:marLeft w:val="0"/>
      <w:marRight w:val="0"/>
      <w:marTop w:val="0"/>
      <w:marBottom w:val="0"/>
      <w:divBdr>
        <w:top w:val="none" w:sz="0" w:space="0" w:color="auto"/>
        <w:left w:val="none" w:sz="0" w:space="0" w:color="auto"/>
        <w:bottom w:val="none" w:sz="0" w:space="0" w:color="auto"/>
        <w:right w:val="none" w:sz="0" w:space="0" w:color="auto"/>
      </w:divBdr>
      <w:divsChild>
        <w:div w:id="1614819175">
          <w:marLeft w:val="0"/>
          <w:marRight w:val="0"/>
          <w:marTop w:val="0"/>
          <w:marBottom w:val="0"/>
          <w:divBdr>
            <w:top w:val="none" w:sz="0" w:space="0" w:color="auto"/>
            <w:left w:val="none" w:sz="0" w:space="0" w:color="auto"/>
            <w:bottom w:val="none" w:sz="0" w:space="0" w:color="auto"/>
            <w:right w:val="none" w:sz="0" w:space="0" w:color="auto"/>
          </w:divBdr>
        </w:div>
      </w:divsChild>
    </w:div>
    <w:div w:id="421611784">
      <w:bodyDiv w:val="1"/>
      <w:marLeft w:val="0"/>
      <w:marRight w:val="0"/>
      <w:marTop w:val="0"/>
      <w:marBottom w:val="0"/>
      <w:divBdr>
        <w:top w:val="none" w:sz="0" w:space="0" w:color="auto"/>
        <w:left w:val="none" w:sz="0" w:space="0" w:color="auto"/>
        <w:bottom w:val="none" w:sz="0" w:space="0" w:color="auto"/>
        <w:right w:val="none" w:sz="0" w:space="0" w:color="auto"/>
      </w:divBdr>
    </w:div>
    <w:div w:id="437986782">
      <w:bodyDiv w:val="1"/>
      <w:marLeft w:val="0"/>
      <w:marRight w:val="0"/>
      <w:marTop w:val="0"/>
      <w:marBottom w:val="0"/>
      <w:divBdr>
        <w:top w:val="none" w:sz="0" w:space="0" w:color="auto"/>
        <w:left w:val="none" w:sz="0" w:space="0" w:color="auto"/>
        <w:bottom w:val="none" w:sz="0" w:space="0" w:color="auto"/>
        <w:right w:val="none" w:sz="0" w:space="0" w:color="auto"/>
      </w:divBdr>
    </w:div>
    <w:div w:id="510608629">
      <w:bodyDiv w:val="1"/>
      <w:marLeft w:val="0"/>
      <w:marRight w:val="0"/>
      <w:marTop w:val="0"/>
      <w:marBottom w:val="0"/>
      <w:divBdr>
        <w:top w:val="none" w:sz="0" w:space="0" w:color="auto"/>
        <w:left w:val="none" w:sz="0" w:space="0" w:color="auto"/>
        <w:bottom w:val="none" w:sz="0" w:space="0" w:color="auto"/>
        <w:right w:val="none" w:sz="0" w:space="0" w:color="auto"/>
      </w:divBdr>
    </w:div>
    <w:div w:id="520437451">
      <w:bodyDiv w:val="1"/>
      <w:marLeft w:val="0"/>
      <w:marRight w:val="0"/>
      <w:marTop w:val="0"/>
      <w:marBottom w:val="0"/>
      <w:divBdr>
        <w:top w:val="none" w:sz="0" w:space="0" w:color="auto"/>
        <w:left w:val="none" w:sz="0" w:space="0" w:color="auto"/>
        <w:bottom w:val="none" w:sz="0" w:space="0" w:color="auto"/>
        <w:right w:val="none" w:sz="0" w:space="0" w:color="auto"/>
      </w:divBdr>
    </w:div>
    <w:div w:id="602152205">
      <w:bodyDiv w:val="1"/>
      <w:marLeft w:val="0"/>
      <w:marRight w:val="0"/>
      <w:marTop w:val="0"/>
      <w:marBottom w:val="0"/>
      <w:divBdr>
        <w:top w:val="none" w:sz="0" w:space="0" w:color="auto"/>
        <w:left w:val="none" w:sz="0" w:space="0" w:color="auto"/>
        <w:bottom w:val="none" w:sz="0" w:space="0" w:color="auto"/>
        <w:right w:val="none" w:sz="0" w:space="0" w:color="auto"/>
      </w:divBdr>
      <w:divsChild>
        <w:div w:id="21715720">
          <w:marLeft w:val="720"/>
          <w:marRight w:val="0"/>
          <w:marTop w:val="0"/>
          <w:marBottom w:val="120"/>
          <w:divBdr>
            <w:top w:val="none" w:sz="0" w:space="0" w:color="auto"/>
            <w:left w:val="none" w:sz="0" w:space="0" w:color="auto"/>
            <w:bottom w:val="none" w:sz="0" w:space="0" w:color="auto"/>
            <w:right w:val="none" w:sz="0" w:space="0" w:color="auto"/>
          </w:divBdr>
        </w:div>
        <w:div w:id="50354213">
          <w:marLeft w:val="720"/>
          <w:marRight w:val="0"/>
          <w:marTop w:val="0"/>
          <w:marBottom w:val="120"/>
          <w:divBdr>
            <w:top w:val="none" w:sz="0" w:space="0" w:color="auto"/>
            <w:left w:val="none" w:sz="0" w:space="0" w:color="auto"/>
            <w:bottom w:val="none" w:sz="0" w:space="0" w:color="auto"/>
            <w:right w:val="none" w:sz="0" w:space="0" w:color="auto"/>
          </w:divBdr>
        </w:div>
        <w:div w:id="146094842">
          <w:marLeft w:val="720"/>
          <w:marRight w:val="0"/>
          <w:marTop w:val="0"/>
          <w:marBottom w:val="120"/>
          <w:divBdr>
            <w:top w:val="none" w:sz="0" w:space="0" w:color="auto"/>
            <w:left w:val="none" w:sz="0" w:space="0" w:color="auto"/>
            <w:bottom w:val="none" w:sz="0" w:space="0" w:color="auto"/>
            <w:right w:val="none" w:sz="0" w:space="0" w:color="auto"/>
          </w:divBdr>
        </w:div>
        <w:div w:id="771902195">
          <w:marLeft w:val="720"/>
          <w:marRight w:val="0"/>
          <w:marTop w:val="0"/>
          <w:marBottom w:val="120"/>
          <w:divBdr>
            <w:top w:val="none" w:sz="0" w:space="0" w:color="auto"/>
            <w:left w:val="none" w:sz="0" w:space="0" w:color="auto"/>
            <w:bottom w:val="none" w:sz="0" w:space="0" w:color="auto"/>
            <w:right w:val="none" w:sz="0" w:space="0" w:color="auto"/>
          </w:divBdr>
        </w:div>
        <w:div w:id="1017081977">
          <w:marLeft w:val="720"/>
          <w:marRight w:val="0"/>
          <w:marTop w:val="0"/>
          <w:marBottom w:val="120"/>
          <w:divBdr>
            <w:top w:val="none" w:sz="0" w:space="0" w:color="auto"/>
            <w:left w:val="none" w:sz="0" w:space="0" w:color="auto"/>
            <w:bottom w:val="none" w:sz="0" w:space="0" w:color="auto"/>
            <w:right w:val="none" w:sz="0" w:space="0" w:color="auto"/>
          </w:divBdr>
        </w:div>
      </w:divsChild>
    </w:div>
    <w:div w:id="761804994">
      <w:bodyDiv w:val="1"/>
      <w:marLeft w:val="0"/>
      <w:marRight w:val="0"/>
      <w:marTop w:val="0"/>
      <w:marBottom w:val="0"/>
      <w:divBdr>
        <w:top w:val="none" w:sz="0" w:space="0" w:color="auto"/>
        <w:left w:val="none" w:sz="0" w:space="0" w:color="auto"/>
        <w:bottom w:val="none" w:sz="0" w:space="0" w:color="auto"/>
        <w:right w:val="none" w:sz="0" w:space="0" w:color="auto"/>
      </w:divBdr>
      <w:divsChild>
        <w:div w:id="865023283">
          <w:marLeft w:val="0"/>
          <w:marRight w:val="0"/>
          <w:marTop w:val="0"/>
          <w:marBottom w:val="0"/>
          <w:divBdr>
            <w:top w:val="none" w:sz="0" w:space="0" w:color="auto"/>
            <w:left w:val="none" w:sz="0" w:space="0" w:color="auto"/>
            <w:bottom w:val="none" w:sz="0" w:space="0" w:color="auto"/>
            <w:right w:val="none" w:sz="0" w:space="0" w:color="auto"/>
          </w:divBdr>
        </w:div>
      </w:divsChild>
    </w:div>
    <w:div w:id="781457472">
      <w:bodyDiv w:val="1"/>
      <w:marLeft w:val="0"/>
      <w:marRight w:val="0"/>
      <w:marTop w:val="0"/>
      <w:marBottom w:val="0"/>
      <w:divBdr>
        <w:top w:val="none" w:sz="0" w:space="0" w:color="auto"/>
        <w:left w:val="none" w:sz="0" w:space="0" w:color="auto"/>
        <w:bottom w:val="none" w:sz="0" w:space="0" w:color="auto"/>
        <w:right w:val="none" w:sz="0" w:space="0" w:color="auto"/>
      </w:divBdr>
      <w:divsChild>
        <w:div w:id="1725132626">
          <w:marLeft w:val="0"/>
          <w:marRight w:val="0"/>
          <w:marTop w:val="0"/>
          <w:marBottom w:val="0"/>
          <w:divBdr>
            <w:top w:val="none" w:sz="0" w:space="0" w:color="auto"/>
            <w:left w:val="none" w:sz="0" w:space="0" w:color="auto"/>
            <w:bottom w:val="none" w:sz="0" w:space="0" w:color="auto"/>
            <w:right w:val="none" w:sz="0" w:space="0" w:color="auto"/>
          </w:divBdr>
        </w:div>
      </w:divsChild>
    </w:div>
    <w:div w:id="819543525">
      <w:bodyDiv w:val="1"/>
      <w:marLeft w:val="0"/>
      <w:marRight w:val="0"/>
      <w:marTop w:val="0"/>
      <w:marBottom w:val="0"/>
      <w:divBdr>
        <w:top w:val="none" w:sz="0" w:space="0" w:color="auto"/>
        <w:left w:val="none" w:sz="0" w:space="0" w:color="auto"/>
        <w:bottom w:val="none" w:sz="0" w:space="0" w:color="auto"/>
        <w:right w:val="none" w:sz="0" w:space="0" w:color="auto"/>
      </w:divBdr>
    </w:div>
    <w:div w:id="1151554448">
      <w:bodyDiv w:val="1"/>
      <w:marLeft w:val="0"/>
      <w:marRight w:val="0"/>
      <w:marTop w:val="0"/>
      <w:marBottom w:val="0"/>
      <w:divBdr>
        <w:top w:val="none" w:sz="0" w:space="0" w:color="auto"/>
        <w:left w:val="none" w:sz="0" w:space="0" w:color="auto"/>
        <w:bottom w:val="none" w:sz="0" w:space="0" w:color="auto"/>
        <w:right w:val="none" w:sz="0" w:space="0" w:color="auto"/>
      </w:divBdr>
    </w:div>
    <w:div w:id="1206024084">
      <w:bodyDiv w:val="1"/>
      <w:marLeft w:val="0"/>
      <w:marRight w:val="0"/>
      <w:marTop w:val="0"/>
      <w:marBottom w:val="0"/>
      <w:divBdr>
        <w:top w:val="none" w:sz="0" w:space="0" w:color="auto"/>
        <w:left w:val="none" w:sz="0" w:space="0" w:color="auto"/>
        <w:bottom w:val="none" w:sz="0" w:space="0" w:color="auto"/>
        <w:right w:val="none" w:sz="0" w:space="0" w:color="auto"/>
      </w:divBdr>
      <w:divsChild>
        <w:div w:id="1046753543">
          <w:marLeft w:val="0"/>
          <w:marRight w:val="0"/>
          <w:marTop w:val="0"/>
          <w:marBottom w:val="0"/>
          <w:divBdr>
            <w:top w:val="none" w:sz="0" w:space="0" w:color="auto"/>
            <w:left w:val="none" w:sz="0" w:space="0" w:color="auto"/>
            <w:bottom w:val="none" w:sz="0" w:space="0" w:color="auto"/>
            <w:right w:val="none" w:sz="0" w:space="0" w:color="auto"/>
          </w:divBdr>
        </w:div>
      </w:divsChild>
    </w:div>
    <w:div w:id="1380393745">
      <w:bodyDiv w:val="1"/>
      <w:marLeft w:val="0"/>
      <w:marRight w:val="0"/>
      <w:marTop w:val="0"/>
      <w:marBottom w:val="0"/>
      <w:divBdr>
        <w:top w:val="none" w:sz="0" w:space="0" w:color="auto"/>
        <w:left w:val="none" w:sz="0" w:space="0" w:color="auto"/>
        <w:bottom w:val="none" w:sz="0" w:space="0" w:color="auto"/>
        <w:right w:val="none" w:sz="0" w:space="0" w:color="auto"/>
      </w:divBdr>
    </w:div>
    <w:div w:id="1529832297">
      <w:bodyDiv w:val="1"/>
      <w:marLeft w:val="0"/>
      <w:marRight w:val="0"/>
      <w:marTop w:val="0"/>
      <w:marBottom w:val="0"/>
      <w:divBdr>
        <w:top w:val="none" w:sz="0" w:space="0" w:color="auto"/>
        <w:left w:val="none" w:sz="0" w:space="0" w:color="auto"/>
        <w:bottom w:val="none" w:sz="0" w:space="0" w:color="auto"/>
        <w:right w:val="none" w:sz="0" w:space="0" w:color="auto"/>
      </w:divBdr>
      <w:divsChild>
        <w:div w:id="1102190872">
          <w:marLeft w:val="0"/>
          <w:marRight w:val="0"/>
          <w:marTop w:val="0"/>
          <w:marBottom w:val="0"/>
          <w:divBdr>
            <w:top w:val="none" w:sz="0" w:space="0" w:color="auto"/>
            <w:left w:val="none" w:sz="0" w:space="0" w:color="auto"/>
            <w:bottom w:val="none" w:sz="0" w:space="0" w:color="auto"/>
            <w:right w:val="none" w:sz="0" w:space="0" w:color="auto"/>
          </w:divBdr>
        </w:div>
      </w:divsChild>
    </w:div>
    <w:div w:id="1923490714">
      <w:bodyDiv w:val="1"/>
      <w:marLeft w:val="0"/>
      <w:marRight w:val="0"/>
      <w:marTop w:val="0"/>
      <w:marBottom w:val="0"/>
      <w:divBdr>
        <w:top w:val="none" w:sz="0" w:space="0" w:color="auto"/>
        <w:left w:val="none" w:sz="0" w:space="0" w:color="auto"/>
        <w:bottom w:val="none" w:sz="0" w:space="0" w:color="auto"/>
        <w:right w:val="none" w:sz="0" w:space="0" w:color="auto"/>
      </w:divBdr>
    </w:div>
    <w:div w:id="2022275471">
      <w:bodyDiv w:val="1"/>
      <w:marLeft w:val="0"/>
      <w:marRight w:val="0"/>
      <w:marTop w:val="0"/>
      <w:marBottom w:val="0"/>
      <w:divBdr>
        <w:top w:val="none" w:sz="0" w:space="0" w:color="auto"/>
        <w:left w:val="none" w:sz="0" w:space="0" w:color="auto"/>
        <w:bottom w:val="none" w:sz="0" w:space="0" w:color="auto"/>
        <w:right w:val="none" w:sz="0" w:space="0" w:color="auto"/>
      </w:divBdr>
      <w:divsChild>
        <w:div w:id="1727532769">
          <w:marLeft w:val="0"/>
          <w:marRight w:val="0"/>
          <w:marTop w:val="0"/>
          <w:marBottom w:val="0"/>
          <w:divBdr>
            <w:top w:val="none" w:sz="0" w:space="0" w:color="auto"/>
            <w:left w:val="none" w:sz="0" w:space="0" w:color="auto"/>
            <w:bottom w:val="none" w:sz="0" w:space="0" w:color="auto"/>
            <w:right w:val="none" w:sz="0" w:space="0" w:color="auto"/>
          </w:divBdr>
        </w:div>
      </w:divsChild>
    </w:div>
    <w:div w:id="2035879399">
      <w:bodyDiv w:val="1"/>
      <w:marLeft w:val="0"/>
      <w:marRight w:val="0"/>
      <w:marTop w:val="0"/>
      <w:marBottom w:val="0"/>
      <w:divBdr>
        <w:top w:val="none" w:sz="0" w:space="0" w:color="auto"/>
        <w:left w:val="none" w:sz="0" w:space="0" w:color="auto"/>
        <w:bottom w:val="none" w:sz="0" w:space="0" w:color="auto"/>
        <w:right w:val="none" w:sz="0" w:space="0" w:color="auto"/>
      </w:divBdr>
    </w:div>
    <w:div w:id="206447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F1034-1008-42D7-B94C-F5D7BBC49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11391</Words>
  <Characters>64931</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76170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2017-07-26T03:16:00Z</dcterms:created>
  <dcterms:modified xsi:type="dcterms:W3CDTF">2018-01-23T03:10:00Z</dcterms:modified>
</cp:coreProperties>
</file>