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1266" w14:textId="77777777" w:rsidR="002E61EB" w:rsidRPr="00FE1642" w:rsidRDefault="002E61EB" w:rsidP="002E61EB">
      <w:pPr>
        <w:spacing w:after="240"/>
        <w:jc w:val="center"/>
        <w:rPr>
          <w:b/>
          <w:sz w:val="52"/>
          <w:szCs w:val="52"/>
        </w:rPr>
      </w:pPr>
      <w:r w:rsidRPr="00FE1642">
        <w:rPr>
          <w:b/>
          <w:sz w:val="52"/>
          <w:szCs w:val="52"/>
        </w:rPr>
        <w:t>Pharmaceutical Benefits Scheme</w:t>
      </w:r>
    </w:p>
    <w:p w14:paraId="16CBB4D7" w14:textId="77777777" w:rsidR="002E61EB" w:rsidRPr="00FE1642" w:rsidRDefault="002E61EB" w:rsidP="002E61EB">
      <w:pPr>
        <w:spacing w:before="480" w:after="240"/>
        <w:jc w:val="center"/>
        <w:rPr>
          <w:b/>
          <w:sz w:val="40"/>
          <w:szCs w:val="40"/>
        </w:rPr>
      </w:pPr>
      <w:r w:rsidRPr="00FE1642">
        <w:rPr>
          <w:b/>
          <w:sz w:val="40"/>
          <w:szCs w:val="40"/>
        </w:rPr>
        <w:t>Post-market Review</w:t>
      </w:r>
    </w:p>
    <w:p w14:paraId="1FE55128" w14:textId="77777777" w:rsidR="002E61EB" w:rsidRPr="00FE1642" w:rsidRDefault="002E61EB" w:rsidP="002E61EB">
      <w:pPr>
        <w:spacing w:before="240"/>
        <w:jc w:val="center"/>
        <w:rPr>
          <w:b/>
          <w:color w:val="365F91" w:themeColor="accent1" w:themeShade="BF"/>
          <w:sz w:val="32"/>
          <w:szCs w:val="32"/>
        </w:rPr>
      </w:pPr>
      <w:r w:rsidRPr="00FE1642">
        <w:rPr>
          <w:b/>
          <w:color w:val="365F91" w:themeColor="accent1" w:themeShade="BF"/>
          <w:sz w:val="32"/>
          <w:szCs w:val="32"/>
        </w:rPr>
        <w:t>The use of biologics in the treatment of severe chronic plaque psoriasis</w:t>
      </w:r>
    </w:p>
    <w:p w14:paraId="3B673616" w14:textId="5172FA86" w:rsidR="002E61EB" w:rsidRPr="00FE1642" w:rsidRDefault="002E61EB" w:rsidP="002E61EB">
      <w:pPr>
        <w:spacing w:before="240"/>
        <w:jc w:val="center"/>
        <w:rPr>
          <w:b/>
          <w:i/>
          <w:color w:val="365F91" w:themeColor="accent1" w:themeShade="BF"/>
          <w:sz w:val="28"/>
          <w:szCs w:val="28"/>
        </w:rPr>
      </w:pPr>
      <w:r w:rsidRPr="00FE1642">
        <w:rPr>
          <w:b/>
          <w:i/>
          <w:color w:val="365F91" w:themeColor="accent1" w:themeShade="BF"/>
          <w:sz w:val="28"/>
          <w:szCs w:val="28"/>
        </w:rPr>
        <w:t>Report to PBAC</w:t>
      </w:r>
    </w:p>
    <w:p w14:paraId="0192B992" w14:textId="77777777" w:rsidR="002E61EB" w:rsidRPr="00FE1642" w:rsidRDefault="002E61EB" w:rsidP="002E61EB">
      <w:pPr>
        <w:spacing w:before="240"/>
        <w:jc w:val="center"/>
        <w:rPr>
          <w:b/>
          <w:i/>
          <w:color w:val="365F91" w:themeColor="accent1" w:themeShade="BF"/>
          <w:sz w:val="28"/>
          <w:szCs w:val="28"/>
        </w:rPr>
      </w:pPr>
      <w:r w:rsidRPr="00FE1642">
        <w:rPr>
          <w:b/>
          <w:i/>
          <w:color w:val="365F91" w:themeColor="accent1" w:themeShade="BF"/>
          <w:sz w:val="28"/>
          <w:szCs w:val="28"/>
        </w:rPr>
        <w:t>Executive summary</w:t>
      </w:r>
    </w:p>
    <w:p w14:paraId="74E5C5C4" w14:textId="64741CB8" w:rsidR="002E61EB" w:rsidRDefault="00DA5F52" w:rsidP="002E61EB">
      <w:pPr>
        <w:jc w:val="center"/>
      </w:pPr>
      <w:r>
        <w:rPr>
          <w:b/>
          <w:i/>
          <w:color w:val="365F91" w:themeColor="accent1" w:themeShade="BF"/>
          <w:sz w:val="28"/>
          <w:szCs w:val="28"/>
        </w:rPr>
        <w:t>FINAL</w:t>
      </w:r>
      <w:r w:rsidR="00D85214">
        <w:rPr>
          <w:b/>
          <w:i/>
          <w:color w:val="365F91" w:themeColor="accent1" w:themeShade="BF"/>
          <w:sz w:val="28"/>
          <w:szCs w:val="28"/>
        </w:rPr>
        <w:t xml:space="preserve"> </w:t>
      </w:r>
      <w:r w:rsidR="002E61EB" w:rsidRPr="00FE1642">
        <w:rPr>
          <w:b/>
          <w:i/>
          <w:color w:val="365F91" w:themeColor="accent1" w:themeShade="BF"/>
          <w:sz w:val="28"/>
          <w:szCs w:val="28"/>
        </w:rPr>
        <w:t>REPORT</w:t>
      </w:r>
    </w:p>
    <w:p w14:paraId="2DE0E518" w14:textId="77777777" w:rsidR="00C625C0" w:rsidRDefault="00C625C0" w:rsidP="00A77877">
      <w:pPr>
        <w:sectPr w:rsidR="00C625C0" w:rsidSect="00C625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vAlign w:val="center"/>
          <w:titlePg/>
          <w:docGrid w:linePitch="360"/>
        </w:sectPr>
      </w:pPr>
    </w:p>
    <w:p w14:paraId="27C19686" w14:textId="77777777" w:rsidR="00C625C0" w:rsidRDefault="00C625C0" w:rsidP="00A77877"/>
    <w:sdt>
      <w:sdtPr>
        <w:rPr>
          <w:rFonts w:eastAsiaTheme="minorHAnsi" w:cstheme="minorHAnsi"/>
          <w:b w:val="0"/>
          <w:bCs w:val="0"/>
          <w:color w:val="auto"/>
          <w:sz w:val="24"/>
          <w:szCs w:val="22"/>
          <w:lang w:val="en-AU" w:eastAsia="en-AU"/>
        </w:rPr>
        <w:id w:val="-250509964"/>
        <w:docPartObj>
          <w:docPartGallery w:val="Table of Contents"/>
          <w:docPartUnique/>
        </w:docPartObj>
      </w:sdtPr>
      <w:sdtEndPr>
        <w:rPr>
          <w:noProof/>
        </w:rPr>
      </w:sdtEndPr>
      <w:sdtContent>
        <w:bookmarkStart w:id="0" w:name="_GoBack" w:displacedByCustomXml="prev"/>
        <w:bookmarkEnd w:id="0" w:displacedByCustomXml="prev"/>
        <w:p w14:paraId="48B84D20" w14:textId="77777777" w:rsidR="005F16EA" w:rsidRDefault="005F16EA">
          <w:pPr>
            <w:pStyle w:val="TOCHeading"/>
          </w:pPr>
          <w:r>
            <w:t>Contents</w:t>
          </w:r>
        </w:p>
        <w:p w14:paraId="6173922D" w14:textId="77777777" w:rsidR="00B2653C" w:rsidRDefault="00B2653C">
          <w:pPr>
            <w:pStyle w:val="TOC1"/>
            <w:tabs>
              <w:tab w:val="right" w:leader="dot" w:pos="9016"/>
            </w:tabs>
            <w:rPr>
              <w:rFonts w:eastAsiaTheme="minorEastAsia" w:cstheme="minorBidi"/>
              <w:noProof/>
              <w:sz w:val="22"/>
            </w:rPr>
          </w:pPr>
          <w:r w:rsidRPr="00486E7E">
            <w:rPr>
              <w:noProof/>
            </w:rPr>
            <w:t>List of Tables</w:t>
          </w:r>
          <w:r>
            <w:rPr>
              <w:noProof/>
              <w:webHidden/>
            </w:rPr>
            <w:tab/>
            <w:t>4</w:t>
          </w:r>
        </w:p>
        <w:p w14:paraId="29BBA21D" w14:textId="77777777" w:rsidR="00B2653C" w:rsidRDefault="00B2653C">
          <w:pPr>
            <w:pStyle w:val="TOC1"/>
            <w:tabs>
              <w:tab w:val="right" w:leader="dot" w:pos="9016"/>
            </w:tabs>
            <w:rPr>
              <w:rFonts w:eastAsiaTheme="minorEastAsia" w:cstheme="minorBidi"/>
              <w:noProof/>
              <w:sz w:val="22"/>
            </w:rPr>
          </w:pPr>
          <w:r w:rsidRPr="00486E7E">
            <w:rPr>
              <w:noProof/>
            </w:rPr>
            <w:t>List of Figures</w:t>
          </w:r>
          <w:r>
            <w:rPr>
              <w:noProof/>
              <w:webHidden/>
            </w:rPr>
            <w:tab/>
            <w:t>5</w:t>
          </w:r>
        </w:p>
        <w:p w14:paraId="1E46FD3E" w14:textId="77777777" w:rsidR="00B2653C" w:rsidRDefault="00B2653C">
          <w:pPr>
            <w:pStyle w:val="TOC1"/>
            <w:tabs>
              <w:tab w:val="right" w:leader="dot" w:pos="9016"/>
            </w:tabs>
            <w:rPr>
              <w:rFonts w:eastAsiaTheme="minorEastAsia" w:cstheme="minorBidi"/>
              <w:noProof/>
              <w:sz w:val="22"/>
            </w:rPr>
          </w:pPr>
          <w:r w:rsidRPr="00486E7E">
            <w:rPr>
              <w:noProof/>
            </w:rPr>
            <w:t>Abbreviations</w:t>
          </w:r>
          <w:r>
            <w:rPr>
              <w:noProof/>
              <w:webHidden/>
            </w:rPr>
            <w:tab/>
            <w:t>6</w:t>
          </w:r>
        </w:p>
        <w:p w14:paraId="246DEAAC" w14:textId="77777777" w:rsidR="00B2653C" w:rsidRDefault="00B2653C">
          <w:pPr>
            <w:pStyle w:val="TOC1"/>
            <w:tabs>
              <w:tab w:val="right" w:leader="dot" w:pos="9016"/>
            </w:tabs>
            <w:rPr>
              <w:rFonts w:eastAsiaTheme="minorEastAsia" w:cstheme="minorBidi"/>
              <w:noProof/>
              <w:sz w:val="22"/>
            </w:rPr>
          </w:pPr>
          <w:r w:rsidRPr="00486E7E">
            <w:rPr>
              <w:noProof/>
            </w:rPr>
            <w:t>Executive Summary</w:t>
          </w:r>
          <w:r>
            <w:rPr>
              <w:noProof/>
              <w:webHidden/>
            </w:rPr>
            <w:tab/>
            <w:t>7</w:t>
          </w:r>
        </w:p>
        <w:p w14:paraId="27D09656" w14:textId="77777777" w:rsidR="00B2653C" w:rsidRDefault="00B2653C">
          <w:pPr>
            <w:pStyle w:val="TOC2"/>
            <w:tabs>
              <w:tab w:val="right" w:leader="dot" w:pos="9016"/>
            </w:tabs>
            <w:rPr>
              <w:rFonts w:eastAsiaTheme="minorEastAsia" w:cstheme="minorBidi"/>
              <w:noProof/>
              <w:sz w:val="22"/>
            </w:rPr>
          </w:pPr>
          <w:r w:rsidRPr="00486E7E">
            <w:rPr>
              <w:noProof/>
            </w:rPr>
            <w:t>Background and context</w:t>
          </w:r>
          <w:r>
            <w:rPr>
              <w:noProof/>
              <w:webHidden/>
            </w:rPr>
            <w:tab/>
            <w:t>7</w:t>
          </w:r>
        </w:p>
        <w:p w14:paraId="08243085" w14:textId="77777777" w:rsidR="00B2653C" w:rsidRDefault="00B2653C">
          <w:pPr>
            <w:pStyle w:val="TOC2"/>
            <w:tabs>
              <w:tab w:val="right" w:leader="dot" w:pos="9016"/>
            </w:tabs>
            <w:rPr>
              <w:rFonts w:eastAsiaTheme="minorEastAsia" w:cstheme="minorBidi"/>
              <w:noProof/>
              <w:sz w:val="22"/>
            </w:rPr>
          </w:pPr>
          <w:r w:rsidRPr="00486E7E">
            <w:rPr>
              <w:noProof/>
            </w:rPr>
            <w:t>Review Terms of Reference</w:t>
          </w:r>
          <w:r>
            <w:rPr>
              <w:noProof/>
              <w:webHidden/>
            </w:rPr>
            <w:tab/>
            <w:t>9</w:t>
          </w:r>
        </w:p>
        <w:p w14:paraId="6F661888" w14:textId="77777777" w:rsidR="00B2653C" w:rsidRDefault="00B2653C">
          <w:pPr>
            <w:pStyle w:val="TOC2"/>
            <w:tabs>
              <w:tab w:val="right" w:leader="dot" w:pos="9016"/>
            </w:tabs>
            <w:rPr>
              <w:rFonts w:eastAsiaTheme="minorEastAsia" w:cstheme="minorBidi"/>
              <w:noProof/>
              <w:sz w:val="22"/>
            </w:rPr>
          </w:pPr>
          <w:r w:rsidRPr="00486E7E">
            <w:rPr>
              <w:noProof/>
            </w:rPr>
            <w:t>Methodological approach to the technical report</w:t>
          </w:r>
          <w:r>
            <w:rPr>
              <w:noProof/>
              <w:webHidden/>
            </w:rPr>
            <w:tab/>
            <w:t>9</w:t>
          </w:r>
        </w:p>
        <w:p w14:paraId="3AC81EC7" w14:textId="77777777" w:rsidR="00B2653C" w:rsidRDefault="00B2653C">
          <w:pPr>
            <w:pStyle w:val="TOC2"/>
            <w:tabs>
              <w:tab w:val="right" w:leader="dot" w:pos="9016"/>
            </w:tabs>
            <w:rPr>
              <w:rFonts w:eastAsiaTheme="minorEastAsia" w:cstheme="minorBidi"/>
              <w:noProof/>
              <w:sz w:val="22"/>
            </w:rPr>
          </w:pPr>
          <w:r w:rsidRPr="00486E7E">
            <w:rPr>
              <w:noProof/>
            </w:rPr>
            <w:t>Stakeholder consultation</w:t>
          </w:r>
          <w:r>
            <w:rPr>
              <w:noProof/>
              <w:webHidden/>
            </w:rPr>
            <w:tab/>
            <w:t>10</w:t>
          </w:r>
        </w:p>
        <w:p w14:paraId="2A519E6C" w14:textId="77777777" w:rsidR="00B2653C" w:rsidRDefault="00B2653C">
          <w:pPr>
            <w:pStyle w:val="TOC2"/>
            <w:tabs>
              <w:tab w:val="right" w:leader="dot" w:pos="9016"/>
            </w:tabs>
            <w:rPr>
              <w:rFonts w:eastAsiaTheme="minorEastAsia" w:cstheme="minorBidi"/>
              <w:noProof/>
              <w:sz w:val="22"/>
            </w:rPr>
          </w:pPr>
          <w:r w:rsidRPr="00486E7E">
            <w:rPr>
              <w:noProof/>
            </w:rPr>
            <w:t>Key Review findings</w:t>
          </w:r>
          <w:r>
            <w:rPr>
              <w:noProof/>
              <w:webHidden/>
            </w:rPr>
            <w:tab/>
            <w:t>11</w:t>
          </w:r>
        </w:p>
        <w:p w14:paraId="18375ED1" w14:textId="77777777" w:rsidR="00B2653C" w:rsidRDefault="00B2653C">
          <w:pPr>
            <w:pStyle w:val="TOC2"/>
            <w:tabs>
              <w:tab w:val="right" w:leader="dot" w:pos="9016"/>
            </w:tabs>
            <w:rPr>
              <w:rFonts w:eastAsiaTheme="minorEastAsia" w:cstheme="minorBidi"/>
              <w:noProof/>
              <w:sz w:val="22"/>
            </w:rPr>
          </w:pPr>
          <w:r w:rsidRPr="00486E7E">
            <w:rPr>
              <w:noProof/>
            </w:rPr>
            <w:t>ToR 1: Comparison of prescribing restrictions and clinical guidelines</w:t>
          </w:r>
          <w:r>
            <w:rPr>
              <w:noProof/>
              <w:webHidden/>
            </w:rPr>
            <w:tab/>
            <w:t>11</w:t>
          </w:r>
        </w:p>
        <w:p w14:paraId="1F3D39A4" w14:textId="77777777" w:rsidR="00B2653C" w:rsidRDefault="00B2653C">
          <w:pPr>
            <w:pStyle w:val="TOC3"/>
            <w:tabs>
              <w:tab w:val="right" w:leader="dot" w:pos="9016"/>
            </w:tabs>
            <w:rPr>
              <w:rFonts w:eastAsiaTheme="minorEastAsia" w:cstheme="minorBidi"/>
              <w:noProof/>
              <w:sz w:val="22"/>
            </w:rPr>
          </w:pPr>
          <w:r w:rsidRPr="00486E7E">
            <w:rPr>
              <w:rFonts w:eastAsia="Calibri"/>
              <w:noProof/>
            </w:rPr>
            <w:t>Australian clinical guidelines</w:t>
          </w:r>
          <w:r>
            <w:rPr>
              <w:noProof/>
              <w:webHidden/>
            </w:rPr>
            <w:tab/>
            <w:t>11</w:t>
          </w:r>
        </w:p>
        <w:p w14:paraId="0AD90785" w14:textId="77777777" w:rsidR="00B2653C" w:rsidRDefault="00B2653C">
          <w:pPr>
            <w:pStyle w:val="TOC3"/>
            <w:tabs>
              <w:tab w:val="right" w:leader="dot" w:pos="9016"/>
            </w:tabs>
            <w:rPr>
              <w:rFonts w:eastAsiaTheme="minorEastAsia" w:cstheme="minorBidi"/>
              <w:noProof/>
              <w:sz w:val="22"/>
            </w:rPr>
          </w:pPr>
          <w:r w:rsidRPr="00486E7E">
            <w:rPr>
              <w:rFonts w:eastAsia="Calibri"/>
              <w:noProof/>
            </w:rPr>
            <w:t>International clinical guidelines</w:t>
          </w:r>
          <w:r>
            <w:rPr>
              <w:noProof/>
              <w:webHidden/>
            </w:rPr>
            <w:tab/>
            <w:t>11</w:t>
          </w:r>
        </w:p>
        <w:p w14:paraId="430242F9" w14:textId="77777777" w:rsidR="00B2653C" w:rsidRDefault="00B2653C">
          <w:pPr>
            <w:pStyle w:val="TOC3"/>
            <w:tabs>
              <w:tab w:val="right" w:leader="dot" w:pos="9016"/>
            </w:tabs>
            <w:rPr>
              <w:rFonts w:eastAsiaTheme="minorEastAsia" w:cstheme="minorBidi"/>
              <w:noProof/>
              <w:sz w:val="22"/>
            </w:rPr>
          </w:pPr>
          <w:r w:rsidRPr="00486E7E">
            <w:rPr>
              <w:rFonts w:eastAsia="Calibri"/>
              <w:noProof/>
            </w:rPr>
            <w:t>PBS restrictions compared with clinical guidelines</w:t>
          </w:r>
          <w:r>
            <w:rPr>
              <w:noProof/>
              <w:webHidden/>
            </w:rPr>
            <w:tab/>
            <w:t>12</w:t>
          </w:r>
        </w:p>
        <w:p w14:paraId="48D01323" w14:textId="77777777" w:rsidR="00B2653C" w:rsidRDefault="00B2653C">
          <w:pPr>
            <w:pStyle w:val="TOC3"/>
            <w:tabs>
              <w:tab w:val="right" w:leader="dot" w:pos="9016"/>
            </w:tabs>
            <w:rPr>
              <w:rFonts w:eastAsiaTheme="minorEastAsia" w:cstheme="minorBidi"/>
              <w:noProof/>
              <w:sz w:val="22"/>
            </w:rPr>
          </w:pPr>
          <w:r w:rsidRPr="00486E7E">
            <w:rPr>
              <w:noProof/>
            </w:rPr>
            <w:t>PBS discontinuation criteria compared with clinical guidelines</w:t>
          </w:r>
          <w:r>
            <w:rPr>
              <w:noProof/>
              <w:webHidden/>
            </w:rPr>
            <w:tab/>
            <w:t>15</w:t>
          </w:r>
        </w:p>
        <w:p w14:paraId="717B06E5" w14:textId="77777777" w:rsidR="00B2653C" w:rsidRDefault="00B2653C">
          <w:pPr>
            <w:pStyle w:val="TOC3"/>
            <w:tabs>
              <w:tab w:val="right" w:leader="dot" w:pos="9016"/>
            </w:tabs>
            <w:rPr>
              <w:rFonts w:eastAsiaTheme="minorEastAsia" w:cstheme="minorBidi"/>
              <w:noProof/>
              <w:sz w:val="22"/>
            </w:rPr>
          </w:pPr>
          <w:r w:rsidRPr="00486E7E">
            <w:rPr>
              <w:noProof/>
            </w:rPr>
            <w:t>PBS switching criteria compared with clinical guidelines</w:t>
          </w:r>
          <w:r>
            <w:rPr>
              <w:noProof/>
              <w:webHidden/>
            </w:rPr>
            <w:tab/>
            <w:t>16</w:t>
          </w:r>
        </w:p>
        <w:p w14:paraId="17C46F96" w14:textId="77777777" w:rsidR="00B2653C" w:rsidRDefault="00B2653C">
          <w:pPr>
            <w:pStyle w:val="TOC3"/>
            <w:tabs>
              <w:tab w:val="right" w:leader="dot" w:pos="9016"/>
            </w:tabs>
            <w:rPr>
              <w:rFonts w:eastAsiaTheme="minorEastAsia" w:cstheme="minorBidi"/>
              <w:noProof/>
              <w:sz w:val="22"/>
            </w:rPr>
          </w:pPr>
          <w:r w:rsidRPr="00486E7E">
            <w:rPr>
              <w:noProof/>
            </w:rPr>
            <w:t>PBS restrictions for patients in specific sub</w:t>
          </w:r>
          <w:r w:rsidRPr="00486E7E">
            <w:rPr>
              <w:noProof/>
            </w:rPr>
            <w:noBreakHyphen/>
            <w:t>populations</w:t>
          </w:r>
          <w:r>
            <w:rPr>
              <w:noProof/>
              <w:webHidden/>
            </w:rPr>
            <w:tab/>
            <w:t>17</w:t>
          </w:r>
        </w:p>
        <w:p w14:paraId="65F992A6" w14:textId="77777777" w:rsidR="00B2653C" w:rsidRDefault="00B2653C">
          <w:pPr>
            <w:pStyle w:val="TOC3"/>
            <w:tabs>
              <w:tab w:val="right" w:leader="dot" w:pos="9016"/>
            </w:tabs>
            <w:rPr>
              <w:rFonts w:eastAsiaTheme="minorEastAsia" w:cstheme="minorBidi"/>
              <w:noProof/>
              <w:sz w:val="22"/>
            </w:rPr>
          </w:pPr>
          <w:r w:rsidRPr="00486E7E">
            <w:rPr>
              <w:noProof/>
              <w:lang w:eastAsia="en-US"/>
            </w:rPr>
            <w:t>Clinical assessment measures used to evaluate the severity of CPP</w:t>
          </w:r>
          <w:r>
            <w:rPr>
              <w:noProof/>
              <w:webHidden/>
            </w:rPr>
            <w:tab/>
            <w:t>17</w:t>
          </w:r>
        </w:p>
        <w:p w14:paraId="327BDD3F" w14:textId="77777777" w:rsidR="00B2653C" w:rsidRDefault="00B2653C">
          <w:pPr>
            <w:pStyle w:val="TOC3"/>
            <w:tabs>
              <w:tab w:val="right" w:leader="dot" w:pos="9016"/>
            </w:tabs>
            <w:rPr>
              <w:rFonts w:eastAsiaTheme="minorEastAsia" w:cstheme="minorBidi"/>
              <w:noProof/>
              <w:sz w:val="22"/>
            </w:rPr>
          </w:pPr>
          <w:r w:rsidRPr="00486E7E">
            <w:rPr>
              <w:noProof/>
            </w:rPr>
            <w:t>Stakeholder views (Public consultation and stakeholder forum)</w:t>
          </w:r>
          <w:r>
            <w:rPr>
              <w:noProof/>
              <w:webHidden/>
            </w:rPr>
            <w:tab/>
            <w:t>20</w:t>
          </w:r>
        </w:p>
        <w:p w14:paraId="54E385CA" w14:textId="77777777" w:rsidR="00B2653C" w:rsidRDefault="00B2653C">
          <w:pPr>
            <w:pStyle w:val="TOC3"/>
            <w:tabs>
              <w:tab w:val="right" w:leader="dot" w:pos="9016"/>
            </w:tabs>
            <w:rPr>
              <w:rFonts w:eastAsiaTheme="minorEastAsia" w:cstheme="minorBidi"/>
              <w:noProof/>
              <w:sz w:val="22"/>
            </w:rPr>
          </w:pPr>
          <w:r w:rsidRPr="00486E7E">
            <w:rPr>
              <w:noProof/>
            </w:rPr>
            <w:t>Conclusion</w:t>
          </w:r>
          <w:r>
            <w:rPr>
              <w:noProof/>
              <w:webHidden/>
            </w:rPr>
            <w:tab/>
            <w:t>20</w:t>
          </w:r>
        </w:p>
        <w:p w14:paraId="3790704C" w14:textId="77777777" w:rsidR="00B2653C" w:rsidRDefault="00B2653C">
          <w:pPr>
            <w:pStyle w:val="TOC2"/>
            <w:tabs>
              <w:tab w:val="right" w:leader="dot" w:pos="9016"/>
            </w:tabs>
            <w:rPr>
              <w:rFonts w:eastAsiaTheme="minorEastAsia" w:cstheme="minorBidi"/>
              <w:noProof/>
              <w:sz w:val="22"/>
            </w:rPr>
          </w:pPr>
          <w:r w:rsidRPr="00486E7E">
            <w:rPr>
              <w:noProof/>
            </w:rPr>
            <w:t>ToR 2: Review of the efficacy and safety of biologics used in the treatment of severe CPP</w:t>
          </w:r>
          <w:r>
            <w:rPr>
              <w:noProof/>
              <w:webHidden/>
            </w:rPr>
            <w:tab/>
            <w:t>21</w:t>
          </w:r>
        </w:p>
        <w:p w14:paraId="3B30EC40" w14:textId="77777777" w:rsidR="00B2653C" w:rsidRDefault="00B2653C">
          <w:pPr>
            <w:pStyle w:val="TOC3"/>
            <w:tabs>
              <w:tab w:val="right" w:leader="dot" w:pos="9016"/>
            </w:tabs>
            <w:rPr>
              <w:rFonts w:eastAsiaTheme="minorEastAsia" w:cstheme="minorBidi"/>
              <w:noProof/>
              <w:sz w:val="22"/>
            </w:rPr>
          </w:pPr>
          <w:r w:rsidRPr="00486E7E">
            <w:rPr>
              <w:noProof/>
            </w:rPr>
            <w:t>Efficacy of PBS listed biologics for CPP</w:t>
          </w:r>
          <w:r>
            <w:rPr>
              <w:noProof/>
              <w:webHidden/>
            </w:rPr>
            <w:tab/>
            <w:t>21</w:t>
          </w:r>
        </w:p>
        <w:p w14:paraId="5EE42884" w14:textId="77777777" w:rsidR="00B2653C" w:rsidRDefault="00B2653C">
          <w:pPr>
            <w:pStyle w:val="TOC3"/>
            <w:tabs>
              <w:tab w:val="right" w:leader="dot" w:pos="9016"/>
            </w:tabs>
            <w:rPr>
              <w:rFonts w:eastAsiaTheme="minorEastAsia" w:cstheme="minorBidi"/>
              <w:noProof/>
              <w:sz w:val="22"/>
            </w:rPr>
          </w:pPr>
          <w:r w:rsidRPr="00486E7E">
            <w:rPr>
              <w:noProof/>
            </w:rPr>
            <w:t>Comparison with evidence previously seen by the PBAC</w:t>
          </w:r>
          <w:r>
            <w:rPr>
              <w:noProof/>
              <w:webHidden/>
            </w:rPr>
            <w:tab/>
            <w:t>27</w:t>
          </w:r>
        </w:p>
        <w:p w14:paraId="71F344EA" w14:textId="77777777" w:rsidR="00B2653C" w:rsidRDefault="00B2653C">
          <w:pPr>
            <w:pStyle w:val="TOC3"/>
            <w:tabs>
              <w:tab w:val="right" w:leader="dot" w:pos="9016"/>
            </w:tabs>
            <w:rPr>
              <w:rFonts w:eastAsiaTheme="minorEastAsia" w:cstheme="minorBidi"/>
              <w:noProof/>
              <w:sz w:val="22"/>
            </w:rPr>
          </w:pPr>
          <w:r w:rsidRPr="00486E7E">
            <w:rPr>
              <w:noProof/>
            </w:rPr>
            <w:t>Efficacy and safety of biologics in mild‐moderate disease CPP</w:t>
          </w:r>
          <w:r>
            <w:rPr>
              <w:noProof/>
              <w:webHidden/>
            </w:rPr>
            <w:tab/>
            <w:t>32</w:t>
          </w:r>
        </w:p>
        <w:p w14:paraId="1CA7B39B" w14:textId="77777777" w:rsidR="00B2653C" w:rsidRDefault="00B2653C">
          <w:pPr>
            <w:pStyle w:val="TOC3"/>
            <w:tabs>
              <w:tab w:val="right" w:leader="dot" w:pos="9016"/>
            </w:tabs>
            <w:rPr>
              <w:rFonts w:eastAsiaTheme="minorEastAsia" w:cstheme="minorBidi"/>
              <w:noProof/>
              <w:sz w:val="22"/>
            </w:rPr>
          </w:pPr>
          <w:r w:rsidRPr="00486E7E">
            <w:rPr>
              <w:noProof/>
            </w:rPr>
            <w:t>Efficacy of biologicals in patients in specific sub populations</w:t>
          </w:r>
          <w:r>
            <w:rPr>
              <w:noProof/>
              <w:webHidden/>
            </w:rPr>
            <w:tab/>
            <w:t>33</w:t>
          </w:r>
        </w:p>
        <w:p w14:paraId="68A1F8AE" w14:textId="77777777" w:rsidR="00B2653C" w:rsidRDefault="00B2653C">
          <w:pPr>
            <w:pStyle w:val="TOC3"/>
            <w:tabs>
              <w:tab w:val="right" w:leader="dot" w:pos="9016"/>
            </w:tabs>
            <w:rPr>
              <w:rFonts w:eastAsiaTheme="minorEastAsia" w:cstheme="minorBidi"/>
              <w:noProof/>
              <w:sz w:val="22"/>
            </w:rPr>
          </w:pPr>
          <w:r w:rsidRPr="00486E7E">
            <w:rPr>
              <w:noProof/>
            </w:rPr>
            <w:t>Efficacy of biologicals in specific sites on the body</w:t>
          </w:r>
          <w:r>
            <w:rPr>
              <w:noProof/>
              <w:webHidden/>
            </w:rPr>
            <w:tab/>
            <w:t>34</w:t>
          </w:r>
        </w:p>
        <w:p w14:paraId="28CE0DF8" w14:textId="77777777" w:rsidR="00B2653C" w:rsidRDefault="00B2653C">
          <w:pPr>
            <w:pStyle w:val="TOC3"/>
            <w:tabs>
              <w:tab w:val="right" w:leader="dot" w:pos="9016"/>
            </w:tabs>
            <w:rPr>
              <w:rFonts w:eastAsiaTheme="minorEastAsia" w:cstheme="minorBidi"/>
              <w:noProof/>
              <w:sz w:val="22"/>
            </w:rPr>
          </w:pPr>
          <w:r w:rsidRPr="00486E7E">
            <w:rPr>
              <w:noProof/>
            </w:rPr>
            <w:t>The longer-term safety and efficacy of the PBS-listed biologics</w:t>
          </w:r>
          <w:r>
            <w:rPr>
              <w:noProof/>
              <w:webHidden/>
            </w:rPr>
            <w:tab/>
            <w:t>36</w:t>
          </w:r>
        </w:p>
        <w:p w14:paraId="03FAA602" w14:textId="77777777" w:rsidR="00B2653C" w:rsidRDefault="00B2653C">
          <w:pPr>
            <w:pStyle w:val="TOC3"/>
            <w:tabs>
              <w:tab w:val="right" w:leader="dot" w:pos="9016"/>
            </w:tabs>
            <w:rPr>
              <w:rFonts w:eastAsiaTheme="minorEastAsia" w:cstheme="minorBidi"/>
              <w:noProof/>
              <w:sz w:val="22"/>
            </w:rPr>
          </w:pPr>
          <w:r w:rsidRPr="00486E7E">
            <w:rPr>
              <w:noProof/>
            </w:rPr>
            <w:t>Stakeholder views (Public consultation and stakeholder forum)</w:t>
          </w:r>
          <w:r>
            <w:rPr>
              <w:noProof/>
              <w:webHidden/>
            </w:rPr>
            <w:tab/>
            <w:t>38</w:t>
          </w:r>
        </w:p>
        <w:p w14:paraId="41BF5612" w14:textId="77777777" w:rsidR="00B2653C" w:rsidRDefault="00B2653C">
          <w:pPr>
            <w:pStyle w:val="TOC3"/>
            <w:tabs>
              <w:tab w:val="right" w:leader="dot" w:pos="9016"/>
            </w:tabs>
            <w:rPr>
              <w:rFonts w:eastAsiaTheme="minorEastAsia" w:cstheme="minorBidi"/>
              <w:noProof/>
              <w:sz w:val="22"/>
            </w:rPr>
          </w:pPr>
          <w:r w:rsidRPr="00486E7E">
            <w:rPr>
              <w:noProof/>
            </w:rPr>
            <w:t>Conclusion</w:t>
          </w:r>
          <w:r>
            <w:rPr>
              <w:noProof/>
              <w:webHidden/>
            </w:rPr>
            <w:tab/>
            <w:t>38</w:t>
          </w:r>
        </w:p>
        <w:p w14:paraId="6455C4FB" w14:textId="77777777" w:rsidR="00B2653C" w:rsidRDefault="00B2653C">
          <w:pPr>
            <w:pStyle w:val="TOC2"/>
            <w:tabs>
              <w:tab w:val="right" w:leader="dot" w:pos="9016"/>
            </w:tabs>
            <w:rPr>
              <w:rFonts w:eastAsiaTheme="minorEastAsia" w:cstheme="minorBidi"/>
              <w:noProof/>
              <w:sz w:val="22"/>
            </w:rPr>
          </w:pPr>
          <w:r w:rsidRPr="00486E7E">
            <w:rPr>
              <w:noProof/>
            </w:rPr>
            <w:t>ToR 3: Prevalence and utilisation of PBS listed biologics for CPP</w:t>
          </w:r>
          <w:r>
            <w:rPr>
              <w:noProof/>
              <w:webHidden/>
            </w:rPr>
            <w:tab/>
            <w:t>39</w:t>
          </w:r>
        </w:p>
        <w:p w14:paraId="4972C639" w14:textId="77777777" w:rsidR="00B2653C" w:rsidRDefault="00B2653C">
          <w:pPr>
            <w:pStyle w:val="TOC3"/>
            <w:tabs>
              <w:tab w:val="right" w:leader="dot" w:pos="9016"/>
            </w:tabs>
            <w:rPr>
              <w:rFonts w:eastAsiaTheme="minorEastAsia" w:cstheme="minorBidi"/>
              <w:noProof/>
              <w:sz w:val="22"/>
            </w:rPr>
          </w:pPr>
          <w:r w:rsidRPr="00486E7E">
            <w:rPr>
              <w:noProof/>
            </w:rPr>
            <w:t>Estimating the prevalence of chronic plaque psoriasis</w:t>
          </w:r>
          <w:r>
            <w:rPr>
              <w:noProof/>
              <w:webHidden/>
            </w:rPr>
            <w:tab/>
            <w:t>39</w:t>
          </w:r>
        </w:p>
        <w:p w14:paraId="532B47E8" w14:textId="77777777" w:rsidR="00B2653C" w:rsidRDefault="00B2653C">
          <w:pPr>
            <w:pStyle w:val="TOC3"/>
            <w:tabs>
              <w:tab w:val="right" w:leader="dot" w:pos="9016"/>
            </w:tabs>
            <w:rPr>
              <w:rFonts w:eastAsiaTheme="minorEastAsia" w:cstheme="minorBidi"/>
              <w:noProof/>
              <w:sz w:val="22"/>
            </w:rPr>
          </w:pPr>
          <w:r w:rsidRPr="00486E7E">
            <w:rPr>
              <w:noProof/>
            </w:rPr>
            <w:t>Prevalence of CPP</w:t>
          </w:r>
          <w:r>
            <w:rPr>
              <w:noProof/>
              <w:webHidden/>
            </w:rPr>
            <w:tab/>
            <w:t>39</w:t>
          </w:r>
        </w:p>
        <w:p w14:paraId="3E7268E5" w14:textId="77777777" w:rsidR="00B2653C" w:rsidRDefault="00B2653C">
          <w:pPr>
            <w:pStyle w:val="TOC3"/>
            <w:tabs>
              <w:tab w:val="right" w:leader="dot" w:pos="9016"/>
            </w:tabs>
            <w:rPr>
              <w:rFonts w:eastAsiaTheme="minorEastAsia" w:cstheme="minorBidi"/>
              <w:noProof/>
              <w:sz w:val="22"/>
            </w:rPr>
          </w:pPr>
          <w:r w:rsidRPr="00486E7E">
            <w:rPr>
              <w:noProof/>
            </w:rPr>
            <w:lastRenderedPageBreak/>
            <w:t>Utilisation of PBS listed biologics for chronic plaque psoriasis</w:t>
          </w:r>
          <w:r>
            <w:rPr>
              <w:noProof/>
              <w:webHidden/>
            </w:rPr>
            <w:tab/>
            <w:t>40</w:t>
          </w:r>
        </w:p>
        <w:p w14:paraId="462EFC52" w14:textId="77777777" w:rsidR="00B2653C" w:rsidRDefault="00B2653C">
          <w:pPr>
            <w:pStyle w:val="TOC3"/>
            <w:tabs>
              <w:tab w:val="right" w:leader="dot" w:pos="9016"/>
            </w:tabs>
            <w:rPr>
              <w:rFonts w:eastAsiaTheme="minorEastAsia" w:cstheme="minorBidi"/>
              <w:noProof/>
              <w:sz w:val="22"/>
            </w:rPr>
          </w:pPr>
          <w:r w:rsidRPr="00486E7E">
            <w:rPr>
              <w:noProof/>
            </w:rPr>
            <w:t>Overall utilisation of biologics to treat severe CPP through the PBS</w:t>
          </w:r>
          <w:r>
            <w:rPr>
              <w:noProof/>
              <w:webHidden/>
            </w:rPr>
            <w:tab/>
            <w:t>41</w:t>
          </w:r>
        </w:p>
        <w:p w14:paraId="1392BB8B" w14:textId="77777777" w:rsidR="00B2653C" w:rsidRDefault="00B2653C">
          <w:pPr>
            <w:pStyle w:val="TOC3"/>
            <w:tabs>
              <w:tab w:val="right" w:leader="dot" w:pos="9016"/>
            </w:tabs>
            <w:rPr>
              <w:rFonts w:eastAsiaTheme="minorEastAsia" w:cstheme="minorBidi"/>
              <w:noProof/>
              <w:sz w:val="22"/>
            </w:rPr>
          </w:pPr>
          <w:r w:rsidRPr="00486E7E">
            <w:rPr>
              <w:noProof/>
            </w:rPr>
            <w:t>Treatment length or persistence for PBS listed biologic in CPP</w:t>
          </w:r>
          <w:r>
            <w:rPr>
              <w:noProof/>
              <w:webHidden/>
            </w:rPr>
            <w:tab/>
            <w:t>43</w:t>
          </w:r>
        </w:p>
        <w:p w14:paraId="7F319098" w14:textId="77777777" w:rsidR="00B2653C" w:rsidRDefault="00B2653C">
          <w:pPr>
            <w:pStyle w:val="TOC3"/>
            <w:tabs>
              <w:tab w:val="right" w:leader="dot" w:pos="9016"/>
            </w:tabs>
            <w:rPr>
              <w:rFonts w:eastAsiaTheme="minorEastAsia" w:cstheme="minorBidi"/>
              <w:noProof/>
              <w:sz w:val="22"/>
            </w:rPr>
          </w:pPr>
          <w:r w:rsidRPr="00486E7E">
            <w:rPr>
              <w:noProof/>
            </w:rPr>
            <w:t>Treatment breaks/holidays</w:t>
          </w:r>
          <w:r>
            <w:rPr>
              <w:noProof/>
              <w:webHidden/>
            </w:rPr>
            <w:tab/>
            <w:t>44</w:t>
          </w:r>
        </w:p>
        <w:p w14:paraId="2B8513E7" w14:textId="77777777" w:rsidR="00B2653C" w:rsidRDefault="00B2653C">
          <w:pPr>
            <w:pStyle w:val="TOC3"/>
            <w:tabs>
              <w:tab w:val="right" w:leader="dot" w:pos="9016"/>
            </w:tabs>
            <w:rPr>
              <w:rFonts w:eastAsiaTheme="minorEastAsia" w:cstheme="minorBidi"/>
              <w:noProof/>
              <w:sz w:val="22"/>
            </w:rPr>
          </w:pPr>
          <w:r w:rsidRPr="00486E7E">
            <w:rPr>
              <w:noProof/>
            </w:rPr>
            <w:t>Treatment switching</w:t>
          </w:r>
          <w:r>
            <w:rPr>
              <w:noProof/>
              <w:webHidden/>
            </w:rPr>
            <w:tab/>
            <w:t>45</w:t>
          </w:r>
        </w:p>
        <w:p w14:paraId="2B5941FC" w14:textId="77777777" w:rsidR="00B2653C" w:rsidRDefault="00B2653C">
          <w:pPr>
            <w:pStyle w:val="TOC3"/>
            <w:tabs>
              <w:tab w:val="right" w:leader="dot" w:pos="9016"/>
            </w:tabs>
            <w:rPr>
              <w:rFonts w:eastAsiaTheme="minorEastAsia" w:cstheme="minorBidi"/>
              <w:noProof/>
              <w:sz w:val="22"/>
            </w:rPr>
          </w:pPr>
          <w:r w:rsidRPr="00486E7E">
            <w:rPr>
              <w:noProof/>
            </w:rPr>
            <w:t>Consistence of current utilisation with clinical guidelines and PBS restrictions</w:t>
          </w:r>
          <w:r>
            <w:rPr>
              <w:noProof/>
              <w:webHidden/>
            </w:rPr>
            <w:tab/>
            <w:t>45</w:t>
          </w:r>
        </w:p>
        <w:p w14:paraId="1A453BD0" w14:textId="77777777" w:rsidR="00B2653C" w:rsidRDefault="00B2653C">
          <w:pPr>
            <w:pStyle w:val="TOC3"/>
            <w:tabs>
              <w:tab w:val="right" w:leader="dot" w:pos="9016"/>
            </w:tabs>
            <w:rPr>
              <w:rFonts w:eastAsiaTheme="minorEastAsia" w:cstheme="minorBidi"/>
              <w:noProof/>
              <w:sz w:val="22"/>
            </w:rPr>
          </w:pPr>
          <w:r w:rsidRPr="00486E7E">
            <w:rPr>
              <w:noProof/>
            </w:rPr>
            <w:t>Conclusion</w:t>
          </w:r>
          <w:r>
            <w:rPr>
              <w:noProof/>
              <w:webHidden/>
            </w:rPr>
            <w:tab/>
            <w:t>46</w:t>
          </w:r>
        </w:p>
        <w:p w14:paraId="6D14572D" w14:textId="77777777" w:rsidR="00B2653C" w:rsidRDefault="00B2653C">
          <w:pPr>
            <w:pStyle w:val="TOC3"/>
            <w:tabs>
              <w:tab w:val="right" w:leader="dot" w:pos="9016"/>
            </w:tabs>
            <w:rPr>
              <w:rFonts w:eastAsiaTheme="minorEastAsia" w:cstheme="minorBidi"/>
              <w:noProof/>
              <w:sz w:val="22"/>
            </w:rPr>
          </w:pPr>
          <w:r w:rsidRPr="00486E7E">
            <w:rPr>
              <w:noProof/>
            </w:rPr>
            <w:t>Stakeholder views (Public consultation and stakeholder forum)</w:t>
          </w:r>
          <w:r>
            <w:rPr>
              <w:noProof/>
              <w:webHidden/>
            </w:rPr>
            <w:tab/>
            <w:t>46</w:t>
          </w:r>
        </w:p>
        <w:p w14:paraId="40615787" w14:textId="77777777" w:rsidR="00B2653C" w:rsidRDefault="00B2653C">
          <w:pPr>
            <w:pStyle w:val="TOC2"/>
            <w:tabs>
              <w:tab w:val="right" w:leader="dot" w:pos="9016"/>
            </w:tabs>
            <w:rPr>
              <w:rFonts w:eastAsiaTheme="minorEastAsia" w:cstheme="minorBidi"/>
              <w:noProof/>
              <w:sz w:val="22"/>
            </w:rPr>
          </w:pPr>
          <w:r w:rsidRPr="00486E7E">
            <w:rPr>
              <w:noProof/>
            </w:rPr>
            <w:t>ToR 4: Subject to the findings from Terms of Reference 1, 2 and 3, review the cost-effectiveness of biologics for severe chronic plaque psoriasis.</w:t>
          </w:r>
          <w:r>
            <w:rPr>
              <w:noProof/>
              <w:webHidden/>
            </w:rPr>
            <w:tab/>
            <w:t>47</w:t>
          </w:r>
        </w:p>
        <w:p w14:paraId="7167AB62" w14:textId="77777777" w:rsidR="00B2653C" w:rsidRDefault="00B2653C">
          <w:pPr>
            <w:pStyle w:val="TOC3"/>
            <w:tabs>
              <w:tab w:val="right" w:leader="dot" w:pos="9016"/>
            </w:tabs>
            <w:rPr>
              <w:rFonts w:eastAsiaTheme="minorEastAsia" w:cstheme="minorBidi"/>
              <w:noProof/>
              <w:sz w:val="22"/>
            </w:rPr>
          </w:pPr>
          <w:r w:rsidRPr="00486E7E">
            <w:rPr>
              <w:noProof/>
            </w:rPr>
            <w:t>Stakeholder views (Public consultation and stakeholder forum)</w:t>
          </w:r>
          <w:r>
            <w:rPr>
              <w:noProof/>
              <w:webHidden/>
            </w:rPr>
            <w:tab/>
            <w:t>49</w:t>
          </w:r>
        </w:p>
        <w:p w14:paraId="3126CA89" w14:textId="77777777" w:rsidR="00B2653C" w:rsidRDefault="00B2653C">
          <w:pPr>
            <w:pStyle w:val="TOC1"/>
            <w:tabs>
              <w:tab w:val="right" w:leader="dot" w:pos="9016"/>
            </w:tabs>
            <w:rPr>
              <w:rFonts w:eastAsiaTheme="minorEastAsia" w:cstheme="minorBidi"/>
              <w:noProof/>
              <w:sz w:val="22"/>
            </w:rPr>
          </w:pPr>
          <w:r w:rsidRPr="00486E7E">
            <w:rPr>
              <w:noProof/>
            </w:rPr>
            <w:t>Review Options</w:t>
          </w:r>
          <w:r>
            <w:rPr>
              <w:noProof/>
              <w:webHidden/>
            </w:rPr>
            <w:tab/>
            <w:t>50</w:t>
          </w:r>
        </w:p>
        <w:p w14:paraId="3834AE08" w14:textId="77777777" w:rsidR="00B2653C" w:rsidRDefault="00B2653C">
          <w:pPr>
            <w:pStyle w:val="TOC3"/>
            <w:tabs>
              <w:tab w:val="right" w:leader="dot" w:pos="9016"/>
            </w:tabs>
            <w:rPr>
              <w:rFonts w:eastAsiaTheme="minorEastAsia" w:cstheme="minorBidi"/>
              <w:noProof/>
              <w:sz w:val="22"/>
            </w:rPr>
          </w:pPr>
          <w:r w:rsidRPr="00486E7E">
            <w:rPr>
              <w:noProof/>
            </w:rPr>
            <w:t>Options for cost effectiveness analysis</w:t>
          </w:r>
          <w:r>
            <w:rPr>
              <w:noProof/>
              <w:webHidden/>
            </w:rPr>
            <w:tab/>
            <w:t>53</w:t>
          </w:r>
        </w:p>
        <w:p w14:paraId="58052E97" w14:textId="77777777" w:rsidR="00B2653C" w:rsidRDefault="00B2653C">
          <w:pPr>
            <w:pStyle w:val="TOC1"/>
            <w:tabs>
              <w:tab w:val="right" w:leader="dot" w:pos="9016"/>
            </w:tabs>
            <w:rPr>
              <w:rFonts w:eastAsiaTheme="minorEastAsia" w:cstheme="minorBidi"/>
              <w:noProof/>
              <w:sz w:val="22"/>
            </w:rPr>
          </w:pPr>
          <w:r w:rsidRPr="00486E7E">
            <w:rPr>
              <w:noProof/>
            </w:rPr>
            <w:t>References</w:t>
          </w:r>
          <w:r>
            <w:rPr>
              <w:noProof/>
              <w:webHidden/>
            </w:rPr>
            <w:tab/>
            <w:t>55</w:t>
          </w:r>
        </w:p>
        <w:p w14:paraId="59D92DD9" w14:textId="77777777" w:rsidR="00B2653C" w:rsidRDefault="00B2653C">
          <w:pPr>
            <w:pStyle w:val="TOC1"/>
            <w:tabs>
              <w:tab w:val="right" w:leader="dot" w:pos="9016"/>
            </w:tabs>
            <w:rPr>
              <w:rFonts w:eastAsiaTheme="minorEastAsia" w:cstheme="minorBidi"/>
              <w:noProof/>
              <w:sz w:val="22"/>
            </w:rPr>
          </w:pPr>
          <w:r w:rsidRPr="00486E7E">
            <w:rPr>
              <w:noProof/>
            </w:rPr>
            <w:t xml:space="preserve">Appendix A – </w:t>
          </w:r>
          <w:r w:rsidRPr="00486E7E">
            <w:rPr>
              <w:rFonts w:ascii="Calibri" w:eastAsia="Times New Roman" w:hAnsi="Calibri" w:cs="Times New Roman"/>
              <w:noProof/>
            </w:rPr>
            <w:t>Glossary of terms</w:t>
          </w:r>
          <w:r>
            <w:rPr>
              <w:noProof/>
              <w:webHidden/>
            </w:rPr>
            <w:tab/>
            <w:t>58</w:t>
          </w:r>
        </w:p>
        <w:p w14:paraId="7BC0B33F" w14:textId="77777777" w:rsidR="005F16EA" w:rsidRDefault="006B6B22"/>
      </w:sdtContent>
    </w:sdt>
    <w:p w14:paraId="2AA97ACA" w14:textId="77777777" w:rsidR="00236763" w:rsidRDefault="00236763" w:rsidP="00A75F73">
      <w:pPr>
        <w:pStyle w:val="Heading1"/>
      </w:pPr>
      <w:r w:rsidRPr="00FE1642">
        <w:br w:type="page"/>
      </w:r>
      <w:bookmarkStart w:id="1" w:name="_Toc503274946"/>
      <w:r w:rsidR="00A75F73">
        <w:lastRenderedPageBreak/>
        <w:t>List of Tables</w:t>
      </w:r>
      <w:bookmarkEnd w:id="1"/>
    </w:p>
    <w:p w14:paraId="42D85772" w14:textId="77777777" w:rsidR="00B2653C" w:rsidRDefault="00B2653C">
      <w:pPr>
        <w:pStyle w:val="TableofFigures"/>
        <w:tabs>
          <w:tab w:val="right" w:leader="dot" w:pos="9016"/>
        </w:tabs>
        <w:rPr>
          <w:rFonts w:eastAsiaTheme="minorEastAsia" w:cstheme="minorBidi"/>
          <w:noProof/>
          <w:sz w:val="22"/>
        </w:rPr>
      </w:pPr>
      <w:r>
        <w:rPr>
          <w:noProof/>
        </w:rPr>
        <w:t>Table ES.1: Methodological approach to ToR 1, ToR 2, ToR 3 and ToR 4.</w:t>
      </w:r>
      <w:r>
        <w:rPr>
          <w:noProof/>
        </w:rPr>
        <w:tab/>
        <w:t>10</w:t>
      </w:r>
    </w:p>
    <w:p w14:paraId="009F95DF" w14:textId="77777777" w:rsidR="00B2653C" w:rsidRDefault="00B2653C">
      <w:pPr>
        <w:pStyle w:val="TableofFigures"/>
        <w:tabs>
          <w:tab w:val="right" w:leader="dot" w:pos="9016"/>
        </w:tabs>
        <w:rPr>
          <w:rFonts w:eastAsiaTheme="minorEastAsia" w:cstheme="minorBidi"/>
          <w:noProof/>
          <w:sz w:val="22"/>
        </w:rPr>
      </w:pPr>
      <w:r>
        <w:rPr>
          <w:noProof/>
        </w:rPr>
        <w:t>Table ES.2: Guidance documents included in Term of Reference 1</w:t>
      </w:r>
      <w:r>
        <w:rPr>
          <w:noProof/>
        </w:rPr>
        <w:tab/>
        <w:t>12</w:t>
      </w:r>
    </w:p>
    <w:p w14:paraId="05453D3E" w14:textId="77777777" w:rsidR="00B2653C" w:rsidRDefault="00B2653C">
      <w:pPr>
        <w:pStyle w:val="TableofFigures"/>
        <w:tabs>
          <w:tab w:val="right" w:leader="dot" w:pos="9016"/>
        </w:tabs>
        <w:rPr>
          <w:rFonts w:eastAsiaTheme="minorEastAsia" w:cstheme="minorBidi"/>
          <w:noProof/>
          <w:sz w:val="22"/>
        </w:rPr>
      </w:pPr>
      <w:r>
        <w:rPr>
          <w:noProof/>
        </w:rPr>
        <w:t>Table ES.3: Treatment algorithms for use of biologics in CPP: PBS versus other guidance’s</w:t>
      </w:r>
      <w:r>
        <w:rPr>
          <w:noProof/>
        </w:rPr>
        <w:tab/>
        <w:t>13</w:t>
      </w:r>
    </w:p>
    <w:p w14:paraId="4C4B33F6" w14:textId="77777777" w:rsidR="00B2653C" w:rsidRDefault="00B2653C">
      <w:pPr>
        <w:pStyle w:val="TableofFigures"/>
        <w:tabs>
          <w:tab w:val="right" w:leader="dot" w:pos="9016"/>
        </w:tabs>
        <w:rPr>
          <w:rFonts w:eastAsiaTheme="minorEastAsia" w:cstheme="minorBidi"/>
          <w:noProof/>
          <w:sz w:val="22"/>
        </w:rPr>
      </w:pPr>
      <w:r>
        <w:rPr>
          <w:noProof/>
        </w:rPr>
        <w:t>Table ES.4: Continuation and discontinuation criteria for biologics in CPP</w:t>
      </w:r>
      <w:r>
        <w:rPr>
          <w:noProof/>
        </w:rPr>
        <w:tab/>
        <w:t>15</w:t>
      </w:r>
    </w:p>
    <w:p w14:paraId="7C1551CB" w14:textId="77777777" w:rsidR="00B2653C" w:rsidRDefault="00B2653C">
      <w:pPr>
        <w:pStyle w:val="TableofFigures"/>
        <w:tabs>
          <w:tab w:val="right" w:leader="dot" w:pos="9016"/>
        </w:tabs>
        <w:rPr>
          <w:rFonts w:eastAsiaTheme="minorEastAsia" w:cstheme="minorBidi"/>
          <w:noProof/>
          <w:sz w:val="22"/>
        </w:rPr>
      </w:pPr>
      <w:r>
        <w:rPr>
          <w:noProof/>
        </w:rPr>
        <w:t>Table ES.5: Outcome measures recommended or noted in guidelines</w:t>
      </w:r>
      <w:r>
        <w:rPr>
          <w:noProof/>
        </w:rPr>
        <w:tab/>
        <w:t>19</w:t>
      </w:r>
    </w:p>
    <w:p w14:paraId="58EFC923" w14:textId="77777777" w:rsidR="00B2653C" w:rsidRDefault="00B2653C">
      <w:pPr>
        <w:pStyle w:val="TableofFigures"/>
        <w:tabs>
          <w:tab w:val="right" w:leader="dot" w:pos="9016"/>
        </w:tabs>
        <w:rPr>
          <w:rFonts w:eastAsiaTheme="minorEastAsia" w:cstheme="minorBidi"/>
          <w:noProof/>
          <w:sz w:val="22"/>
        </w:rPr>
      </w:pPr>
      <w:r>
        <w:rPr>
          <w:noProof/>
        </w:rPr>
        <w:t>Table ES.6: Trials (and large observational studies) investigating the use of PBS-listed biologics for the treatment of CPP: overall summary</w:t>
      </w:r>
      <w:r>
        <w:rPr>
          <w:noProof/>
        </w:rPr>
        <w:tab/>
        <w:t>22</w:t>
      </w:r>
    </w:p>
    <w:p w14:paraId="02042F3E" w14:textId="77777777" w:rsidR="00B2653C" w:rsidRDefault="00B2653C">
      <w:pPr>
        <w:pStyle w:val="TableofFigures"/>
        <w:tabs>
          <w:tab w:val="right" w:leader="dot" w:pos="9016"/>
        </w:tabs>
        <w:rPr>
          <w:rFonts w:eastAsiaTheme="minorEastAsia" w:cstheme="minorBidi"/>
          <w:noProof/>
          <w:sz w:val="22"/>
        </w:rPr>
      </w:pPr>
      <w:r>
        <w:rPr>
          <w:noProof/>
        </w:rPr>
        <w:t>Table ES.7: Adalimumab trials: comparison of trial characteristics and PASI 75 response</w:t>
      </w:r>
      <w:r>
        <w:rPr>
          <w:noProof/>
        </w:rPr>
        <w:tab/>
        <w:t>23</w:t>
      </w:r>
    </w:p>
    <w:p w14:paraId="759503BC" w14:textId="4A4320CD" w:rsidR="00B2653C" w:rsidRDefault="00B2653C">
      <w:pPr>
        <w:pStyle w:val="TableofFigures"/>
        <w:tabs>
          <w:tab w:val="right" w:leader="dot" w:pos="9016"/>
        </w:tabs>
        <w:rPr>
          <w:rFonts w:eastAsiaTheme="minorEastAsia" w:cstheme="minorBidi"/>
          <w:noProof/>
          <w:sz w:val="22"/>
        </w:rPr>
      </w:pPr>
      <w:r>
        <w:rPr>
          <w:noProof/>
        </w:rPr>
        <w:t>Table ES.8: Etanercept trials: comparison of trial characteristics and PASI75 response of the placebo</w:t>
      </w:r>
      <w:r w:rsidR="008A2781">
        <w:rPr>
          <w:noProof/>
        </w:rPr>
        <w:t>-</w:t>
      </w:r>
      <w:r>
        <w:rPr>
          <w:noProof/>
        </w:rPr>
        <w:t>controlled trials.</w:t>
      </w:r>
      <w:r>
        <w:rPr>
          <w:noProof/>
        </w:rPr>
        <w:tab/>
        <w:t>24</w:t>
      </w:r>
    </w:p>
    <w:p w14:paraId="70BD3590" w14:textId="77777777" w:rsidR="00B2653C" w:rsidRDefault="00B2653C">
      <w:pPr>
        <w:pStyle w:val="TableofFigures"/>
        <w:tabs>
          <w:tab w:val="right" w:leader="dot" w:pos="9016"/>
        </w:tabs>
        <w:rPr>
          <w:rFonts w:eastAsiaTheme="minorEastAsia" w:cstheme="minorBidi"/>
          <w:noProof/>
          <w:sz w:val="22"/>
        </w:rPr>
      </w:pPr>
      <w:r>
        <w:rPr>
          <w:noProof/>
        </w:rPr>
        <w:t>Table ES.9: Infliximab placebo trials: comparison of trial characteristics and PASI 75 response</w:t>
      </w:r>
      <w:r>
        <w:rPr>
          <w:noProof/>
        </w:rPr>
        <w:tab/>
        <w:t>25</w:t>
      </w:r>
    </w:p>
    <w:p w14:paraId="25BCC63B" w14:textId="77777777" w:rsidR="00B2653C" w:rsidRDefault="00B2653C">
      <w:pPr>
        <w:pStyle w:val="TableofFigures"/>
        <w:tabs>
          <w:tab w:val="right" w:leader="dot" w:pos="9016"/>
        </w:tabs>
        <w:rPr>
          <w:rFonts w:eastAsiaTheme="minorEastAsia" w:cstheme="minorBidi"/>
          <w:noProof/>
          <w:sz w:val="22"/>
        </w:rPr>
      </w:pPr>
      <w:r>
        <w:rPr>
          <w:noProof/>
        </w:rPr>
        <w:t>Table ES.10: ixekizumab placebo trials: comparison of trial characteristics and PASI 75 response</w:t>
      </w:r>
      <w:r>
        <w:rPr>
          <w:noProof/>
        </w:rPr>
        <w:tab/>
        <w:t>25</w:t>
      </w:r>
    </w:p>
    <w:p w14:paraId="560D9515" w14:textId="77777777" w:rsidR="00B2653C" w:rsidRDefault="00B2653C">
      <w:pPr>
        <w:pStyle w:val="TableofFigures"/>
        <w:tabs>
          <w:tab w:val="right" w:leader="dot" w:pos="9016"/>
        </w:tabs>
        <w:rPr>
          <w:rFonts w:eastAsiaTheme="minorEastAsia" w:cstheme="minorBidi"/>
          <w:noProof/>
          <w:sz w:val="22"/>
        </w:rPr>
      </w:pPr>
      <w:r>
        <w:rPr>
          <w:noProof/>
        </w:rPr>
        <w:t>Table ES.11: Secukinumab placebo trials: comparison of trial characteristics and PASI 75 response</w:t>
      </w:r>
      <w:r>
        <w:rPr>
          <w:noProof/>
        </w:rPr>
        <w:tab/>
        <w:t>26</w:t>
      </w:r>
    </w:p>
    <w:p w14:paraId="621D23B0" w14:textId="77777777" w:rsidR="00B2653C" w:rsidRDefault="00B2653C">
      <w:pPr>
        <w:pStyle w:val="TableofFigures"/>
        <w:tabs>
          <w:tab w:val="right" w:leader="dot" w:pos="9016"/>
        </w:tabs>
        <w:rPr>
          <w:rFonts w:eastAsiaTheme="minorEastAsia" w:cstheme="minorBidi"/>
          <w:noProof/>
          <w:sz w:val="22"/>
        </w:rPr>
      </w:pPr>
      <w:r>
        <w:rPr>
          <w:noProof/>
        </w:rPr>
        <w:t>Table ES.12: Ustekinumab placebo trials: comparison of trial characteristics and PASI 75 response</w:t>
      </w:r>
      <w:r>
        <w:rPr>
          <w:noProof/>
        </w:rPr>
        <w:tab/>
        <w:t>27</w:t>
      </w:r>
    </w:p>
    <w:p w14:paraId="12EF07B5" w14:textId="77777777" w:rsidR="00B2653C" w:rsidRDefault="00B2653C">
      <w:pPr>
        <w:pStyle w:val="TableofFigures"/>
        <w:tabs>
          <w:tab w:val="right" w:leader="dot" w:pos="9016"/>
        </w:tabs>
        <w:rPr>
          <w:rFonts w:eastAsiaTheme="minorEastAsia" w:cstheme="minorBidi"/>
          <w:noProof/>
          <w:sz w:val="22"/>
        </w:rPr>
      </w:pPr>
      <w:r>
        <w:rPr>
          <w:noProof/>
        </w:rPr>
        <w:t>Table ES.13: Direct comparisons of PBS-listed biologics: efficacy results</w:t>
      </w:r>
      <w:r>
        <w:rPr>
          <w:noProof/>
        </w:rPr>
        <w:tab/>
        <w:t>29</w:t>
      </w:r>
    </w:p>
    <w:p w14:paraId="77076C63" w14:textId="77777777" w:rsidR="00B2653C" w:rsidRDefault="00B2653C">
      <w:pPr>
        <w:pStyle w:val="TableofFigures"/>
        <w:tabs>
          <w:tab w:val="right" w:leader="dot" w:pos="9016"/>
        </w:tabs>
        <w:rPr>
          <w:rFonts w:eastAsiaTheme="minorEastAsia" w:cstheme="minorBidi"/>
          <w:noProof/>
          <w:sz w:val="22"/>
        </w:rPr>
      </w:pPr>
      <w:r>
        <w:rPr>
          <w:noProof/>
        </w:rPr>
        <w:t>Table ES.14: Mild-to-moderate CPP efficacy results, plus a comparison with severe CPP results</w:t>
      </w:r>
      <w:r>
        <w:rPr>
          <w:noProof/>
        </w:rPr>
        <w:tab/>
        <w:t>32</w:t>
      </w:r>
    </w:p>
    <w:p w14:paraId="72D616A9" w14:textId="77777777" w:rsidR="00B2653C" w:rsidRDefault="00B2653C">
      <w:pPr>
        <w:pStyle w:val="TableofFigures"/>
        <w:tabs>
          <w:tab w:val="right" w:leader="dot" w:pos="9016"/>
        </w:tabs>
        <w:rPr>
          <w:rFonts w:eastAsiaTheme="minorEastAsia" w:cstheme="minorBidi"/>
          <w:noProof/>
          <w:sz w:val="22"/>
        </w:rPr>
      </w:pPr>
      <w:r>
        <w:rPr>
          <w:noProof/>
        </w:rPr>
        <w:t>Table ES.15: Severe CPP and PsA trials: efficacy results</w:t>
      </w:r>
      <w:r>
        <w:rPr>
          <w:noProof/>
        </w:rPr>
        <w:tab/>
        <w:t>33</w:t>
      </w:r>
    </w:p>
    <w:p w14:paraId="1A30459C" w14:textId="77777777" w:rsidR="00B2653C" w:rsidRDefault="00B2653C">
      <w:pPr>
        <w:pStyle w:val="TableofFigures"/>
        <w:tabs>
          <w:tab w:val="right" w:leader="dot" w:pos="9016"/>
        </w:tabs>
        <w:rPr>
          <w:rFonts w:eastAsiaTheme="minorEastAsia" w:cstheme="minorBidi"/>
          <w:noProof/>
          <w:sz w:val="22"/>
        </w:rPr>
      </w:pPr>
      <w:r>
        <w:rPr>
          <w:noProof/>
        </w:rPr>
        <w:t>Table ES.16: Biologics in children and adolescents: efficacy results</w:t>
      </w:r>
      <w:r>
        <w:rPr>
          <w:noProof/>
        </w:rPr>
        <w:tab/>
        <w:t>34</w:t>
      </w:r>
    </w:p>
    <w:p w14:paraId="48EB4105" w14:textId="77777777" w:rsidR="00B2653C" w:rsidRDefault="00B2653C">
      <w:pPr>
        <w:pStyle w:val="TableofFigures"/>
        <w:tabs>
          <w:tab w:val="right" w:leader="dot" w:pos="9016"/>
        </w:tabs>
        <w:rPr>
          <w:rFonts w:eastAsiaTheme="minorEastAsia" w:cstheme="minorBidi"/>
          <w:noProof/>
          <w:sz w:val="22"/>
        </w:rPr>
      </w:pPr>
      <w:r>
        <w:rPr>
          <w:noProof/>
        </w:rPr>
        <w:t>Table ES.17: CPP with hands and/or feet involvement trials: efficacy results</w:t>
      </w:r>
      <w:r>
        <w:rPr>
          <w:noProof/>
        </w:rPr>
        <w:tab/>
        <w:t>35</w:t>
      </w:r>
    </w:p>
    <w:p w14:paraId="042A445F" w14:textId="77777777" w:rsidR="00B2653C" w:rsidRDefault="00B2653C">
      <w:pPr>
        <w:pStyle w:val="TableofFigures"/>
        <w:tabs>
          <w:tab w:val="right" w:leader="dot" w:pos="9016"/>
        </w:tabs>
        <w:rPr>
          <w:rFonts w:eastAsiaTheme="minorEastAsia" w:cstheme="minorBidi"/>
          <w:noProof/>
          <w:sz w:val="22"/>
        </w:rPr>
      </w:pPr>
      <w:r>
        <w:rPr>
          <w:noProof/>
        </w:rPr>
        <w:t>Table ES.18: Longer-term safety of biologics in the treatment of CPP (% of patients affected)</w:t>
      </w:r>
      <w:r>
        <w:rPr>
          <w:noProof/>
        </w:rPr>
        <w:tab/>
        <w:t>36</w:t>
      </w:r>
    </w:p>
    <w:p w14:paraId="648DA509" w14:textId="77777777" w:rsidR="00B2653C" w:rsidRDefault="00B2653C">
      <w:pPr>
        <w:pStyle w:val="TableofFigures"/>
        <w:tabs>
          <w:tab w:val="right" w:leader="dot" w:pos="9016"/>
        </w:tabs>
        <w:rPr>
          <w:rFonts w:eastAsiaTheme="minorEastAsia" w:cstheme="minorBidi"/>
          <w:noProof/>
          <w:sz w:val="22"/>
        </w:rPr>
      </w:pPr>
      <w:r>
        <w:rPr>
          <w:noProof/>
        </w:rPr>
        <w:t>Table ES.19: Pooled mean baseline severity scores of the included trials in the systematic review of efficacy in severe CPP</w:t>
      </w:r>
      <w:r>
        <w:rPr>
          <w:noProof/>
        </w:rPr>
        <w:tab/>
        <w:t>37</w:t>
      </w:r>
    </w:p>
    <w:p w14:paraId="290130C6" w14:textId="77777777" w:rsidR="00B2653C" w:rsidRDefault="00B2653C">
      <w:pPr>
        <w:pStyle w:val="TableofFigures"/>
        <w:tabs>
          <w:tab w:val="right" w:leader="dot" w:pos="9016"/>
        </w:tabs>
        <w:rPr>
          <w:rFonts w:eastAsiaTheme="minorEastAsia" w:cstheme="minorBidi"/>
          <w:noProof/>
          <w:sz w:val="22"/>
        </w:rPr>
      </w:pPr>
      <w:r>
        <w:rPr>
          <w:noProof/>
        </w:rPr>
        <w:t>Table ES.20: Prevalence of severe CPP in Australia</w:t>
      </w:r>
      <w:r>
        <w:rPr>
          <w:noProof/>
        </w:rPr>
        <w:tab/>
        <w:t>40</w:t>
      </w:r>
    </w:p>
    <w:p w14:paraId="2DB8E1FD" w14:textId="77777777" w:rsidR="00B2653C" w:rsidRDefault="00B2653C">
      <w:pPr>
        <w:pStyle w:val="TableofFigures"/>
        <w:tabs>
          <w:tab w:val="right" w:leader="dot" w:pos="9016"/>
        </w:tabs>
        <w:rPr>
          <w:rFonts w:eastAsiaTheme="minorEastAsia" w:cstheme="minorBidi"/>
          <w:noProof/>
          <w:sz w:val="22"/>
        </w:rPr>
      </w:pPr>
      <w:r>
        <w:rPr>
          <w:noProof/>
        </w:rPr>
        <w:t>Table ES.21: Biologic expenditure for severe CPP</w:t>
      </w:r>
      <w:r>
        <w:rPr>
          <w:noProof/>
        </w:rPr>
        <w:tab/>
        <w:t>43</w:t>
      </w:r>
    </w:p>
    <w:p w14:paraId="28C27A62" w14:textId="77777777" w:rsidR="00B2653C" w:rsidRDefault="00B2653C">
      <w:pPr>
        <w:pStyle w:val="TableofFigures"/>
        <w:tabs>
          <w:tab w:val="right" w:leader="dot" w:pos="9016"/>
        </w:tabs>
        <w:rPr>
          <w:rFonts w:eastAsiaTheme="minorEastAsia" w:cstheme="minorBidi"/>
          <w:noProof/>
          <w:sz w:val="22"/>
        </w:rPr>
      </w:pPr>
      <w:r>
        <w:rPr>
          <w:noProof/>
        </w:rPr>
        <w:t>Table ES.22: Persistence of biologics compared with trial PASI 75 outcomes</w:t>
      </w:r>
      <w:r>
        <w:rPr>
          <w:noProof/>
        </w:rPr>
        <w:tab/>
        <w:t>44</w:t>
      </w:r>
    </w:p>
    <w:p w14:paraId="47DDC26A" w14:textId="77777777" w:rsidR="00B2653C" w:rsidRDefault="00B2653C">
      <w:pPr>
        <w:pStyle w:val="TableofFigures"/>
        <w:tabs>
          <w:tab w:val="right" w:leader="dot" w:pos="9016"/>
        </w:tabs>
        <w:rPr>
          <w:rFonts w:eastAsiaTheme="minorEastAsia" w:cstheme="minorBidi"/>
          <w:noProof/>
          <w:sz w:val="22"/>
        </w:rPr>
      </w:pPr>
      <w:r>
        <w:rPr>
          <w:noProof/>
        </w:rPr>
        <w:t>Table ES.23: Most common biologic sequences for CPP</w:t>
      </w:r>
      <w:r>
        <w:rPr>
          <w:noProof/>
        </w:rPr>
        <w:tab/>
        <w:t>45</w:t>
      </w:r>
    </w:p>
    <w:p w14:paraId="21783AEB" w14:textId="77777777" w:rsidR="00B2653C" w:rsidRDefault="00B2653C">
      <w:pPr>
        <w:pStyle w:val="TableofFigures"/>
        <w:tabs>
          <w:tab w:val="right" w:leader="dot" w:pos="9016"/>
        </w:tabs>
        <w:rPr>
          <w:rFonts w:eastAsiaTheme="minorEastAsia" w:cstheme="minorBidi"/>
          <w:noProof/>
          <w:sz w:val="22"/>
        </w:rPr>
      </w:pPr>
      <w:r>
        <w:rPr>
          <w:noProof/>
        </w:rPr>
        <w:t>Table ES.24: Comparison of CUA models for biologics presented to the PBAC</w:t>
      </w:r>
      <w:r>
        <w:rPr>
          <w:noProof/>
        </w:rPr>
        <w:tab/>
        <w:t>48</w:t>
      </w:r>
    </w:p>
    <w:p w14:paraId="1C791E1E" w14:textId="77777777" w:rsidR="00C92BCA" w:rsidRDefault="00C92BCA" w:rsidP="00A75F73">
      <w:pPr>
        <w:pStyle w:val="Heading1"/>
      </w:pPr>
    </w:p>
    <w:p w14:paraId="6D852915" w14:textId="77777777" w:rsidR="00C92BCA" w:rsidRDefault="00C92BCA">
      <w:pPr>
        <w:spacing w:line="276" w:lineRule="auto"/>
        <w:rPr>
          <w:rFonts w:eastAsiaTheme="majorEastAsia" w:cstheme="majorBidi"/>
          <w:b/>
          <w:bCs/>
          <w:color w:val="548DD4" w:themeColor="text2" w:themeTint="99"/>
          <w:sz w:val="40"/>
          <w:szCs w:val="40"/>
        </w:rPr>
      </w:pPr>
      <w:r>
        <w:br w:type="page"/>
      </w:r>
    </w:p>
    <w:p w14:paraId="2885EFB5" w14:textId="77777777" w:rsidR="00A75F73" w:rsidRDefault="00A75F73" w:rsidP="00A75F73">
      <w:pPr>
        <w:pStyle w:val="Heading1"/>
      </w:pPr>
      <w:bookmarkStart w:id="2" w:name="_Toc503274947"/>
      <w:r>
        <w:lastRenderedPageBreak/>
        <w:t>List of Figures</w:t>
      </w:r>
      <w:bookmarkEnd w:id="2"/>
    </w:p>
    <w:p w14:paraId="3549CDF1" w14:textId="77777777" w:rsidR="00B2653C" w:rsidRDefault="00B2653C">
      <w:pPr>
        <w:pStyle w:val="TableofFigures"/>
        <w:tabs>
          <w:tab w:val="right" w:leader="dot" w:pos="9016"/>
        </w:tabs>
        <w:rPr>
          <w:rFonts w:eastAsiaTheme="minorEastAsia" w:cstheme="minorBidi"/>
          <w:noProof/>
          <w:sz w:val="22"/>
        </w:rPr>
      </w:pPr>
      <w:r>
        <w:rPr>
          <w:noProof/>
        </w:rPr>
        <w:t>Figure ES.1: Timeline for PBAC recommendations and listings of medicines on the PBS</w:t>
      </w:r>
      <w:r>
        <w:rPr>
          <w:noProof/>
        </w:rPr>
        <w:tab/>
        <w:t>8</w:t>
      </w:r>
    </w:p>
    <w:p w14:paraId="6B6E728F" w14:textId="77777777" w:rsidR="00B2653C" w:rsidRDefault="00B2653C">
      <w:pPr>
        <w:pStyle w:val="TableofFigures"/>
        <w:tabs>
          <w:tab w:val="right" w:leader="dot" w:pos="9016"/>
        </w:tabs>
        <w:rPr>
          <w:rFonts w:eastAsiaTheme="minorEastAsia" w:cstheme="minorBidi"/>
          <w:noProof/>
          <w:sz w:val="22"/>
        </w:rPr>
      </w:pPr>
      <w:r>
        <w:rPr>
          <w:noProof/>
        </w:rPr>
        <w:t>Figure ES.2: Forest plot of the OR (95% CI) for the proportion of patients achieving a PASI 75 response at 12 weeks – PBS-listed biologic versus placebo.</w:t>
      </w:r>
      <w:r>
        <w:rPr>
          <w:noProof/>
        </w:rPr>
        <w:tab/>
        <w:t>30</w:t>
      </w:r>
    </w:p>
    <w:p w14:paraId="072DDA41" w14:textId="77777777" w:rsidR="00B2653C" w:rsidRDefault="00B2653C">
      <w:pPr>
        <w:pStyle w:val="TableofFigures"/>
        <w:tabs>
          <w:tab w:val="right" w:leader="dot" w:pos="9016"/>
        </w:tabs>
        <w:rPr>
          <w:rFonts w:eastAsiaTheme="minorEastAsia" w:cstheme="minorBidi"/>
          <w:noProof/>
          <w:sz w:val="22"/>
        </w:rPr>
      </w:pPr>
      <w:r>
        <w:rPr>
          <w:noProof/>
        </w:rPr>
        <w:t>Figure ES.3: Forest plot of the OR (95% CI) for the proportion of patients achieving a PASI 75 response at 12 weeks – PBS-listed biologic versus PBS-listed biologic.</w:t>
      </w:r>
      <w:r>
        <w:rPr>
          <w:noProof/>
        </w:rPr>
        <w:tab/>
        <w:t>31</w:t>
      </w:r>
    </w:p>
    <w:p w14:paraId="051A9E4C" w14:textId="77777777" w:rsidR="00B2653C" w:rsidRDefault="00B2653C">
      <w:pPr>
        <w:pStyle w:val="TableofFigures"/>
        <w:tabs>
          <w:tab w:val="right" w:leader="dot" w:pos="9016"/>
        </w:tabs>
        <w:rPr>
          <w:rFonts w:eastAsiaTheme="minorEastAsia" w:cstheme="minorBidi"/>
          <w:noProof/>
          <w:sz w:val="22"/>
        </w:rPr>
      </w:pPr>
      <w:r>
        <w:rPr>
          <w:noProof/>
        </w:rPr>
        <w:t>Figure ES.4: Forest plot of the OR (95% CI) for the proportion of patients experiencing an adverse event at 12 weeks – PBS-listed biologic versus placebo.</w:t>
      </w:r>
      <w:r>
        <w:rPr>
          <w:noProof/>
        </w:rPr>
        <w:tab/>
        <w:t>32</w:t>
      </w:r>
    </w:p>
    <w:p w14:paraId="6937834D" w14:textId="77777777" w:rsidR="00B2653C" w:rsidRDefault="00B2653C">
      <w:pPr>
        <w:pStyle w:val="TableofFigures"/>
        <w:tabs>
          <w:tab w:val="right" w:leader="dot" w:pos="9016"/>
        </w:tabs>
        <w:rPr>
          <w:rFonts w:eastAsiaTheme="minorEastAsia" w:cstheme="minorBidi"/>
          <w:noProof/>
          <w:sz w:val="22"/>
        </w:rPr>
      </w:pPr>
      <w:r>
        <w:rPr>
          <w:noProof/>
        </w:rPr>
        <w:t>Figure ES.5: Number of patients receiving biologics for severe CPP by drug</w:t>
      </w:r>
      <w:r>
        <w:rPr>
          <w:noProof/>
        </w:rPr>
        <w:tab/>
        <w:t>41</w:t>
      </w:r>
    </w:p>
    <w:p w14:paraId="11B51BEF" w14:textId="77777777" w:rsidR="00B2653C" w:rsidRDefault="00B2653C">
      <w:pPr>
        <w:pStyle w:val="TableofFigures"/>
        <w:tabs>
          <w:tab w:val="right" w:leader="dot" w:pos="9016"/>
        </w:tabs>
        <w:rPr>
          <w:rFonts w:eastAsiaTheme="minorEastAsia" w:cstheme="minorBidi"/>
          <w:noProof/>
          <w:sz w:val="22"/>
        </w:rPr>
      </w:pPr>
      <w:r>
        <w:rPr>
          <w:noProof/>
        </w:rPr>
        <w:t>Figure ES.6: Biologic prescriptions for severe CPP, 2013-2016</w:t>
      </w:r>
      <w:r>
        <w:rPr>
          <w:noProof/>
        </w:rPr>
        <w:tab/>
        <w:t>42</w:t>
      </w:r>
    </w:p>
    <w:p w14:paraId="6BFD5612" w14:textId="77777777" w:rsidR="00B2653C" w:rsidRDefault="00B2653C">
      <w:pPr>
        <w:pStyle w:val="TableofFigures"/>
        <w:tabs>
          <w:tab w:val="right" w:leader="dot" w:pos="9016"/>
        </w:tabs>
        <w:rPr>
          <w:rFonts w:eastAsiaTheme="minorEastAsia" w:cstheme="minorBidi"/>
          <w:noProof/>
          <w:sz w:val="22"/>
        </w:rPr>
      </w:pPr>
      <w:r>
        <w:rPr>
          <w:noProof/>
        </w:rPr>
        <w:t xml:space="preserve">Figure ES.7: </w:t>
      </w:r>
      <w:r w:rsidRPr="00F8517B">
        <w:rPr>
          <w:noProof/>
        </w:rPr>
        <w:t>Utilisation</w:t>
      </w:r>
      <w:r>
        <w:rPr>
          <w:noProof/>
        </w:rPr>
        <w:t xml:space="preserve"> by latitude for capital cities (age-adjusted)</w:t>
      </w:r>
      <w:r>
        <w:rPr>
          <w:noProof/>
        </w:rPr>
        <w:tab/>
        <w:t>42</w:t>
      </w:r>
    </w:p>
    <w:p w14:paraId="70DBDDDB" w14:textId="77777777" w:rsidR="00A75F73" w:rsidRPr="00A75F73" w:rsidRDefault="00A75F73" w:rsidP="00A75F73"/>
    <w:p w14:paraId="3DDB1B5C" w14:textId="77777777" w:rsidR="00CD62F9" w:rsidRDefault="00CD62F9">
      <w:pPr>
        <w:spacing w:line="276" w:lineRule="auto"/>
        <w:rPr>
          <w:rFonts w:eastAsiaTheme="majorEastAsia" w:cstheme="majorBidi"/>
          <w:b/>
          <w:bCs/>
          <w:color w:val="548DD4" w:themeColor="text2" w:themeTint="99"/>
          <w:sz w:val="40"/>
          <w:szCs w:val="40"/>
        </w:rPr>
      </w:pPr>
      <w:bookmarkStart w:id="3" w:name="_Toc481076737"/>
      <w:r>
        <w:br w:type="page"/>
      </w:r>
    </w:p>
    <w:p w14:paraId="19B57B8E" w14:textId="77777777" w:rsidR="00D73E11" w:rsidRPr="00FE1642" w:rsidRDefault="00D73E11" w:rsidP="00A77877">
      <w:pPr>
        <w:pStyle w:val="Heading1"/>
      </w:pPr>
      <w:bookmarkStart w:id="4" w:name="_Toc503274948"/>
      <w:r w:rsidRPr="00FE1642">
        <w:lastRenderedPageBreak/>
        <w:t>Abbreviations</w:t>
      </w:r>
      <w:bookmarkEnd w:id="3"/>
      <w:bookmarkEnd w:id="4"/>
    </w:p>
    <w:tbl>
      <w:tblPr>
        <w:tblStyle w:val="TableGrid3"/>
        <w:tblW w:w="0" w:type="auto"/>
        <w:tblLook w:val="01E0" w:firstRow="1" w:lastRow="1" w:firstColumn="1" w:lastColumn="1" w:noHBand="0" w:noVBand="0"/>
        <w:tblCaption w:val="Abbreviation"/>
        <w:tblDescription w:val="Abbreviation"/>
      </w:tblPr>
      <w:tblGrid>
        <w:gridCol w:w="1980"/>
        <w:gridCol w:w="6660"/>
      </w:tblGrid>
      <w:tr w:rsidR="00D73E11" w:rsidRPr="00A75F73" w14:paraId="022CA80E" w14:textId="77777777" w:rsidTr="00F62952">
        <w:trPr>
          <w:trHeight w:val="411"/>
          <w:tblHeader/>
        </w:trPr>
        <w:tc>
          <w:tcPr>
            <w:tcW w:w="1980" w:type="dxa"/>
            <w:shd w:val="clear" w:color="auto" w:fill="A6A6A6" w:themeFill="background1" w:themeFillShade="A6"/>
          </w:tcPr>
          <w:p w14:paraId="6251B5F9" w14:textId="77777777" w:rsidR="00D73E11" w:rsidRPr="00A75F73" w:rsidRDefault="00D73E11" w:rsidP="00A77877">
            <w:pPr>
              <w:pStyle w:val="TableTextDusc"/>
              <w:rPr>
                <w:b/>
              </w:rPr>
            </w:pPr>
            <w:r w:rsidRPr="00A75F73">
              <w:rPr>
                <w:b/>
              </w:rPr>
              <w:t>Abbreviation</w:t>
            </w:r>
          </w:p>
        </w:tc>
        <w:tc>
          <w:tcPr>
            <w:tcW w:w="6660" w:type="dxa"/>
            <w:shd w:val="clear" w:color="auto" w:fill="A6A6A6" w:themeFill="background1" w:themeFillShade="A6"/>
          </w:tcPr>
          <w:p w14:paraId="73BF04EB" w14:textId="77777777" w:rsidR="00D73E11" w:rsidRPr="00A75F73" w:rsidRDefault="00D73E11" w:rsidP="00A77877">
            <w:pPr>
              <w:pStyle w:val="TableTextDusc"/>
              <w:rPr>
                <w:b/>
              </w:rPr>
            </w:pPr>
            <w:r w:rsidRPr="00A75F73">
              <w:rPr>
                <w:b/>
              </w:rPr>
              <w:t xml:space="preserve">Full Name / Wording </w:t>
            </w:r>
          </w:p>
        </w:tc>
      </w:tr>
      <w:tr w:rsidR="00A75F73" w:rsidRPr="00A75F73" w14:paraId="7A3DCAEE" w14:textId="77777777" w:rsidTr="00A75F73">
        <w:trPr>
          <w:trHeight w:val="411"/>
        </w:trPr>
        <w:tc>
          <w:tcPr>
            <w:tcW w:w="1980" w:type="dxa"/>
          </w:tcPr>
          <w:p w14:paraId="0637DE28" w14:textId="77777777" w:rsidR="00A75F73" w:rsidRPr="00A75F73" w:rsidRDefault="00A75F73" w:rsidP="00A75F73">
            <w:pPr>
              <w:pStyle w:val="TableTextDusc"/>
            </w:pPr>
            <w:r w:rsidRPr="00A75F73">
              <w:t xml:space="preserve">AAD </w:t>
            </w:r>
          </w:p>
        </w:tc>
        <w:tc>
          <w:tcPr>
            <w:tcW w:w="6660" w:type="dxa"/>
          </w:tcPr>
          <w:p w14:paraId="2852596F" w14:textId="77777777" w:rsidR="00A75F73" w:rsidRPr="00A75F73" w:rsidRDefault="00A75F73" w:rsidP="00A75F73">
            <w:pPr>
              <w:pStyle w:val="TableTextDusc"/>
            </w:pPr>
            <w:r w:rsidRPr="00A75F73">
              <w:t>American Academy of Dermatology</w:t>
            </w:r>
          </w:p>
        </w:tc>
      </w:tr>
      <w:tr w:rsidR="00A75F73" w:rsidRPr="00A75F73" w14:paraId="0E0BD3BE" w14:textId="77777777" w:rsidTr="00A75F73">
        <w:trPr>
          <w:trHeight w:val="411"/>
        </w:trPr>
        <w:tc>
          <w:tcPr>
            <w:tcW w:w="1980" w:type="dxa"/>
          </w:tcPr>
          <w:p w14:paraId="2F9F18B1" w14:textId="77777777" w:rsidR="00A75F73" w:rsidRPr="00A75F73" w:rsidRDefault="00A75F73" w:rsidP="00A75F73">
            <w:pPr>
              <w:pStyle w:val="TableTextDusc"/>
            </w:pPr>
            <w:r w:rsidRPr="00A75F73">
              <w:t xml:space="preserve">ABS </w:t>
            </w:r>
          </w:p>
        </w:tc>
        <w:tc>
          <w:tcPr>
            <w:tcW w:w="6660" w:type="dxa"/>
          </w:tcPr>
          <w:p w14:paraId="058302B7" w14:textId="77777777" w:rsidR="00A75F73" w:rsidRPr="00A75F73" w:rsidRDefault="00A75F73" w:rsidP="00A75F73">
            <w:pPr>
              <w:pStyle w:val="TableTextDusc"/>
            </w:pPr>
            <w:r w:rsidRPr="00A75F73">
              <w:t>Australian Bureau of Statistics National Health Survey</w:t>
            </w:r>
          </w:p>
        </w:tc>
      </w:tr>
      <w:tr w:rsidR="00693062" w:rsidRPr="00A75F73" w14:paraId="6DE0E4B4" w14:textId="77777777" w:rsidTr="00A75F73">
        <w:trPr>
          <w:trHeight w:val="411"/>
        </w:trPr>
        <w:tc>
          <w:tcPr>
            <w:tcW w:w="1980" w:type="dxa"/>
          </w:tcPr>
          <w:p w14:paraId="76C6C868" w14:textId="77777777" w:rsidR="00693062" w:rsidRPr="00A75F73" w:rsidRDefault="00693062" w:rsidP="00A75F73">
            <w:pPr>
              <w:pStyle w:val="TableTextDusc"/>
            </w:pPr>
            <w:r>
              <w:t>ACD</w:t>
            </w:r>
          </w:p>
        </w:tc>
        <w:tc>
          <w:tcPr>
            <w:tcW w:w="6660" w:type="dxa"/>
          </w:tcPr>
          <w:p w14:paraId="43033A50" w14:textId="77777777" w:rsidR="00693062" w:rsidRPr="00A75F73" w:rsidRDefault="00693062" w:rsidP="00A75F73">
            <w:pPr>
              <w:pStyle w:val="TableTextDusc"/>
            </w:pPr>
            <w:r w:rsidRPr="00693062">
              <w:t>Australasian College of Dermatologists</w:t>
            </w:r>
          </w:p>
        </w:tc>
      </w:tr>
      <w:tr w:rsidR="00693062" w:rsidRPr="00A75F73" w14:paraId="433F7480" w14:textId="77777777" w:rsidTr="00A75F73">
        <w:trPr>
          <w:trHeight w:val="411"/>
        </w:trPr>
        <w:tc>
          <w:tcPr>
            <w:tcW w:w="1980" w:type="dxa"/>
          </w:tcPr>
          <w:p w14:paraId="67B2BED4" w14:textId="77777777" w:rsidR="00693062" w:rsidRPr="00A75F73" w:rsidRDefault="00693062" w:rsidP="00A75F73">
            <w:pPr>
              <w:pStyle w:val="TableTextDusc"/>
            </w:pPr>
            <w:r>
              <w:t>ACR</w:t>
            </w:r>
          </w:p>
        </w:tc>
        <w:tc>
          <w:tcPr>
            <w:tcW w:w="6660" w:type="dxa"/>
          </w:tcPr>
          <w:p w14:paraId="4F4FCB84" w14:textId="77777777" w:rsidR="00693062" w:rsidRPr="00A75F73" w:rsidRDefault="00693062" w:rsidP="00A75F73">
            <w:pPr>
              <w:pStyle w:val="TableTextDusc"/>
            </w:pPr>
            <w:r w:rsidRPr="00693062">
              <w:t>American College of Rheumatology</w:t>
            </w:r>
          </w:p>
        </w:tc>
      </w:tr>
      <w:tr w:rsidR="00A75F73" w:rsidRPr="00A75F73" w14:paraId="58C01CE4" w14:textId="77777777" w:rsidTr="00A75F73">
        <w:trPr>
          <w:trHeight w:val="411"/>
        </w:trPr>
        <w:tc>
          <w:tcPr>
            <w:tcW w:w="1980" w:type="dxa"/>
          </w:tcPr>
          <w:p w14:paraId="74651B67" w14:textId="77777777" w:rsidR="00A75F73" w:rsidRPr="00A75F73" w:rsidRDefault="00A75F73" w:rsidP="00A75F73">
            <w:pPr>
              <w:pStyle w:val="TableTextDusc"/>
            </w:pPr>
            <w:r w:rsidRPr="00A75F73">
              <w:t xml:space="preserve">AGREE </w:t>
            </w:r>
          </w:p>
        </w:tc>
        <w:tc>
          <w:tcPr>
            <w:tcW w:w="6660" w:type="dxa"/>
          </w:tcPr>
          <w:p w14:paraId="65D93481" w14:textId="77777777" w:rsidR="00A75F73" w:rsidRPr="00A75F73" w:rsidRDefault="00A75F73" w:rsidP="00A75F73">
            <w:pPr>
              <w:pStyle w:val="TableTextDusc"/>
            </w:pPr>
            <w:r w:rsidRPr="00A75F73">
              <w:t>Appraisal of Guidelines for Research and Evaluation</w:t>
            </w:r>
          </w:p>
        </w:tc>
      </w:tr>
      <w:tr w:rsidR="00A75F73" w:rsidRPr="00A75F73" w14:paraId="3B70D4B1" w14:textId="77777777" w:rsidTr="00A75F73">
        <w:trPr>
          <w:trHeight w:val="411"/>
        </w:trPr>
        <w:tc>
          <w:tcPr>
            <w:tcW w:w="1980" w:type="dxa"/>
          </w:tcPr>
          <w:p w14:paraId="5D214379" w14:textId="77777777" w:rsidR="00A75F73" w:rsidRPr="00A75F73" w:rsidRDefault="00A75F73" w:rsidP="00A75F73">
            <w:pPr>
              <w:pStyle w:val="TableTextDusc"/>
            </w:pPr>
            <w:r w:rsidRPr="00A75F73">
              <w:t xml:space="preserve">BAD </w:t>
            </w:r>
          </w:p>
        </w:tc>
        <w:tc>
          <w:tcPr>
            <w:tcW w:w="6660" w:type="dxa"/>
          </w:tcPr>
          <w:p w14:paraId="60266155" w14:textId="77777777" w:rsidR="00A75F73" w:rsidRPr="00A75F73" w:rsidRDefault="00A75F73" w:rsidP="00A75F73">
            <w:pPr>
              <w:pStyle w:val="TableTextDusc"/>
            </w:pPr>
            <w:r w:rsidRPr="00A75F73">
              <w:t>British Association of Dermatology</w:t>
            </w:r>
          </w:p>
        </w:tc>
      </w:tr>
      <w:tr w:rsidR="00A75F73" w:rsidRPr="00A75F73" w14:paraId="705130FA" w14:textId="77777777" w:rsidTr="00A75F73">
        <w:trPr>
          <w:trHeight w:val="411"/>
        </w:trPr>
        <w:tc>
          <w:tcPr>
            <w:tcW w:w="1980" w:type="dxa"/>
          </w:tcPr>
          <w:p w14:paraId="729C69D5" w14:textId="77777777" w:rsidR="00A75F73" w:rsidRPr="00A75F73" w:rsidRDefault="00A75F73" w:rsidP="00A75F73">
            <w:pPr>
              <w:pStyle w:val="TableTextDusc"/>
            </w:pPr>
            <w:r w:rsidRPr="00A75F73">
              <w:t xml:space="preserve">CPP </w:t>
            </w:r>
          </w:p>
        </w:tc>
        <w:tc>
          <w:tcPr>
            <w:tcW w:w="6660" w:type="dxa"/>
          </w:tcPr>
          <w:p w14:paraId="759500EB" w14:textId="77777777" w:rsidR="00A75F73" w:rsidRPr="00A75F73" w:rsidRDefault="00A75F73" w:rsidP="00A75F73">
            <w:pPr>
              <w:pStyle w:val="TableTextDusc"/>
            </w:pPr>
            <w:r w:rsidRPr="00A75F73">
              <w:t>chronic plaque psoriasis</w:t>
            </w:r>
          </w:p>
        </w:tc>
      </w:tr>
      <w:tr w:rsidR="0044469B" w:rsidRPr="00A75F73" w14:paraId="7964E176" w14:textId="77777777" w:rsidTr="00A75F73">
        <w:trPr>
          <w:trHeight w:val="411"/>
        </w:trPr>
        <w:tc>
          <w:tcPr>
            <w:tcW w:w="1980" w:type="dxa"/>
          </w:tcPr>
          <w:p w14:paraId="75D0DF87" w14:textId="77777777" w:rsidR="0044469B" w:rsidRPr="00A75F73" w:rsidRDefault="0044469B" w:rsidP="00A75F73">
            <w:pPr>
              <w:pStyle w:val="TableTextDusc"/>
            </w:pPr>
            <w:r>
              <w:t>DHS</w:t>
            </w:r>
          </w:p>
        </w:tc>
        <w:tc>
          <w:tcPr>
            <w:tcW w:w="6660" w:type="dxa"/>
          </w:tcPr>
          <w:p w14:paraId="691C2FDB" w14:textId="77777777" w:rsidR="0044469B" w:rsidRPr="00A75F73" w:rsidRDefault="0044469B" w:rsidP="00A75F73">
            <w:pPr>
              <w:pStyle w:val="TableTextDusc"/>
            </w:pPr>
            <w:r>
              <w:t>Department of Human Services</w:t>
            </w:r>
          </w:p>
        </w:tc>
      </w:tr>
      <w:tr w:rsidR="00A75F73" w:rsidRPr="00A75F73" w14:paraId="277F023B" w14:textId="77777777" w:rsidTr="00A75F73">
        <w:trPr>
          <w:trHeight w:val="411"/>
        </w:trPr>
        <w:tc>
          <w:tcPr>
            <w:tcW w:w="1980" w:type="dxa"/>
          </w:tcPr>
          <w:p w14:paraId="2E2A6434" w14:textId="77777777" w:rsidR="00A75F73" w:rsidRPr="00A75F73" w:rsidRDefault="00A75F73" w:rsidP="00A75F73">
            <w:pPr>
              <w:pStyle w:val="TableTextDusc"/>
            </w:pPr>
            <w:r w:rsidRPr="00A75F73">
              <w:t xml:space="preserve">DLQI </w:t>
            </w:r>
          </w:p>
        </w:tc>
        <w:tc>
          <w:tcPr>
            <w:tcW w:w="6660" w:type="dxa"/>
          </w:tcPr>
          <w:p w14:paraId="2B52EDF1" w14:textId="77777777" w:rsidR="00A75F73" w:rsidRPr="00A75F73" w:rsidRDefault="00A75F73" w:rsidP="00A75F73">
            <w:pPr>
              <w:pStyle w:val="TableTextDusc"/>
            </w:pPr>
            <w:r w:rsidRPr="00A75F73">
              <w:t>Dermatology Life Quality Index</w:t>
            </w:r>
          </w:p>
        </w:tc>
      </w:tr>
      <w:tr w:rsidR="0003141C" w:rsidRPr="00A75F73" w14:paraId="238B773C" w14:textId="77777777" w:rsidTr="00A75F73">
        <w:trPr>
          <w:trHeight w:val="411"/>
        </w:trPr>
        <w:tc>
          <w:tcPr>
            <w:tcW w:w="1980" w:type="dxa"/>
          </w:tcPr>
          <w:p w14:paraId="4E855671" w14:textId="77777777" w:rsidR="0003141C" w:rsidRPr="00A75F73" w:rsidRDefault="0003141C" w:rsidP="00A75F73">
            <w:pPr>
              <w:pStyle w:val="TableTextDusc"/>
            </w:pPr>
            <w:r w:rsidRPr="0003141C">
              <w:t>EQ-5D</w:t>
            </w:r>
          </w:p>
        </w:tc>
        <w:tc>
          <w:tcPr>
            <w:tcW w:w="6660" w:type="dxa"/>
          </w:tcPr>
          <w:p w14:paraId="6C52120D" w14:textId="77777777" w:rsidR="0003141C" w:rsidRPr="00A75F73" w:rsidRDefault="0003141C" w:rsidP="00A75F73">
            <w:pPr>
              <w:pStyle w:val="TableTextDusc"/>
            </w:pPr>
            <w:r w:rsidRPr="0003141C">
              <w:t>The EuroQOL five dimensions questionnaire</w:t>
            </w:r>
          </w:p>
        </w:tc>
      </w:tr>
      <w:tr w:rsidR="00A75F73" w:rsidRPr="00A75F73" w14:paraId="08756EB7" w14:textId="77777777" w:rsidTr="00A75F73">
        <w:trPr>
          <w:trHeight w:val="411"/>
        </w:trPr>
        <w:tc>
          <w:tcPr>
            <w:tcW w:w="1980" w:type="dxa"/>
          </w:tcPr>
          <w:p w14:paraId="3869EBAD" w14:textId="77777777" w:rsidR="00A75F73" w:rsidRPr="00A75F73" w:rsidRDefault="00A75F73" w:rsidP="00A75F73">
            <w:pPr>
              <w:pStyle w:val="TableTextDusc"/>
            </w:pPr>
            <w:r w:rsidRPr="00A75F73">
              <w:t xml:space="preserve">EU </w:t>
            </w:r>
          </w:p>
        </w:tc>
        <w:tc>
          <w:tcPr>
            <w:tcW w:w="6660" w:type="dxa"/>
          </w:tcPr>
          <w:p w14:paraId="52830C23" w14:textId="77777777" w:rsidR="00A75F73" w:rsidRPr="00A75F73" w:rsidRDefault="00A75F73" w:rsidP="00A75F73">
            <w:pPr>
              <w:pStyle w:val="TableTextDusc"/>
            </w:pPr>
            <w:r w:rsidRPr="00A75F73">
              <w:t>European Union</w:t>
            </w:r>
          </w:p>
        </w:tc>
      </w:tr>
      <w:tr w:rsidR="00A75F73" w:rsidRPr="00A75F73" w14:paraId="7B51028E" w14:textId="77777777" w:rsidTr="00A75F73">
        <w:trPr>
          <w:trHeight w:val="411"/>
        </w:trPr>
        <w:tc>
          <w:tcPr>
            <w:tcW w:w="1980" w:type="dxa"/>
          </w:tcPr>
          <w:p w14:paraId="1C250759" w14:textId="77777777" w:rsidR="00A75F73" w:rsidRPr="00A75F73" w:rsidRDefault="00A75F73" w:rsidP="00A75F73">
            <w:pPr>
              <w:pStyle w:val="TableTextDusc"/>
            </w:pPr>
            <w:r w:rsidRPr="00A75F73">
              <w:t xml:space="preserve">NICE </w:t>
            </w:r>
          </w:p>
        </w:tc>
        <w:tc>
          <w:tcPr>
            <w:tcW w:w="6660" w:type="dxa"/>
          </w:tcPr>
          <w:p w14:paraId="5397A2E5" w14:textId="77777777" w:rsidR="00A75F73" w:rsidRPr="00A75F73" w:rsidRDefault="00A75F73" w:rsidP="00A75F73">
            <w:pPr>
              <w:pStyle w:val="TableTextDusc"/>
            </w:pPr>
            <w:r w:rsidRPr="00A75F73">
              <w:t>National Institute for Health and Care Excellence</w:t>
            </w:r>
          </w:p>
        </w:tc>
      </w:tr>
      <w:tr w:rsidR="00A75F73" w:rsidRPr="00A75F73" w14:paraId="23751E03" w14:textId="77777777" w:rsidTr="00A75F73">
        <w:trPr>
          <w:trHeight w:val="411"/>
        </w:trPr>
        <w:tc>
          <w:tcPr>
            <w:tcW w:w="1980" w:type="dxa"/>
          </w:tcPr>
          <w:p w14:paraId="6DDBF9D8" w14:textId="77777777" w:rsidR="00A75F73" w:rsidRPr="00A75F73" w:rsidRDefault="00A75F73" w:rsidP="00A75F73">
            <w:pPr>
              <w:pStyle w:val="TableTextDusc"/>
            </w:pPr>
            <w:r w:rsidRPr="00A75F73">
              <w:t xml:space="preserve">PASI </w:t>
            </w:r>
          </w:p>
        </w:tc>
        <w:tc>
          <w:tcPr>
            <w:tcW w:w="6660" w:type="dxa"/>
          </w:tcPr>
          <w:p w14:paraId="2B0CC1D7" w14:textId="77777777" w:rsidR="00A75F73" w:rsidRPr="00A75F73" w:rsidRDefault="00A75F73" w:rsidP="00A75F73">
            <w:pPr>
              <w:pStyle w:val="TableTextDusc"/>
            </w:pPr>
            <w:r w:rsidRPr="00A75F73">
              <w:t>Psoriasis Area and Severity Index</w:t>
            </w:r>
          </w:p>
        </w:tc>
      </w:tr>
      <w:tr w:rsidR="00A75F73" w:rsidRPr="00A75F73" w14:paraId="343B6881" w14:textId="77777777" w:rsidTr="00A75F73">
        <w:trPr>
          <w:trHeight w:val="411"/>
        </w:trPr>
        <w:tc>
          <w:tcPr>
            <w:tcW w:w="1980" w:type="dxa"/>
          </w:tcPr>
          <w:p w14:paraId="5F0D28D0" w14:textId="77777777" w:rsidR="00A75F73" w:rsidRPr="00A75F73" w:rsidRDefault="00A75F73" w:rsidP="00A75F73">
            <w:pPr>
              <w:pStyle w:val="TableTextDusc"/>
            </w:pPr>
            <w:r w:rsidRPr="00A75F73">
              <w:t xml:space="preserve">PBAC </w:t>
            </w:r>
          </w:p>
        </w:tc>
        <w:tc>
          <w:tcPr>
            <w:tcW w:w="6660" w:type="dxa"/>
          </w:tcPr>
          <w:p w14:paraId="16E39798" w14:textId="77777777" w:rsidR="00A75F73" w:rsidRPr="00A75F73" w:rsidRDefault="00A75F73" w:rsidP="00A75F73">
            <w:pPr>
              <w:pStyle w:val="TableTextDusc"/>
            </w:pPr>
            <w:r w:rsidRPr="00A75F73">
              <w:t>Pharmaceutical Benefits Advisory Committee</w:t>
            </w:r>
          </w:p>
        </w:tc>
      </w:tr>
      <w:tr w:rsidR="00A75F73" w:rsidRPr="00A75F73" w14:paraId="6BD19AF8" w14:textId="77777777" w:rsidTr="00A75F73">
        <w:trPr>
          <w:trHeight w:val="411"/>
        </w:trPr>
        <w:tc>
          <w:tcPr>
            <w:tcW w:w="1980" w:type="dxa"/>
          </w:tcPr>
          <w:p w14:paraId="6624DEE0" w14:textId="77777777" w:rsidR="00A75F73" w:rsidRPr="00A75F73" w:rsidRDefault="00A75F73" w:rsidP="00A75F73">
            <w:pPr>
              <w:pStyle w:val="TableTextDusc"/>
            </w:pPr>
            <w:r w:rsidRPr="00A75F73">
              <w:t>PBS</w:t>
            </w:r>
          </w:p>
        </w:tc>
        <w:tc>
          <w:tcPr>
            <w:tcW w:w="6660" w:type="dxa"/>
          </w:tcPr>
          <w:p w14:paraId="2F871230" w14:textId="77777777" w:rsidR="00A75F73" w:rsidRPr="00A75F73" w:rsidRDefault="00A75F73" w:rsidP="00313FD6">
            <w:pPr>
              <w:pStyle w:val="TableTextDusc"/>
            </w:pPr>
            <w:r w:rsidRPr="00A75F73">
              <w:t>Pharmac</w:t>
            </w:r>
            <w:r w:rsidR="00313FD6">
              <w:t>e</w:t>
            </w:r>
            <w:r w:rsidRPr="00A75F73">
              <w:t xml:space="preserve">utical </w:t>
            </w:r>
            <w:r w:rsidR="00313FD6">
              <w:t>B</w:t>
            </w:r>
            <w:r w:rsidRPr="00A75F73">
              <w:t xml:space="preserve">enefits </w:t>
            </w:r>
            <w:r w:rsidR="00313FD6">
              <w:t>S</w:t>
            </w:r>
            <w:r w:rsidRPr="00A75F73">
              <w:t>cheme</w:t>
            </w:r>
          </w:p>
        </w:tc>
      </w:tr>
      <w:tr w:rsidR="00631814" w:rsidRPr="00A75F73" w14:paraId="06172D24" w14:textId="77777777" w:rsidTr="00A75F73">
        <w:trPr>
          <w:trHeight w:val="411"/>
        </w:trPr>
        <w:tc>
          <w:tcPr>
            <w:tcW w:w="1980" w:type="dxa"/>
          </w:tcPr>
          <w:p w14:paraId="63330CA2" w14:textId="77777777" w:rsidR="00631814" w:rsidRPr="00A75F73" w:rsidRDefault="00631814" w:rsidP="00A75F73">
            <w:pPr>
              <w:pStyle w:val="TableTextDusc"/>
            </w:pPr>
            <w:r>
              <w:t>PsA</w:t>
            </w:r>
          </w:p>
        </w:tc>
        <w:tc>
          <w:tcPr>
            <w:tcW w:w="6660" w:type="dxa"/>
          </w:tcPr>
          <w:p w14:paraId="38789C76" w14:textId="77777777" w:rsidR="00631814" w:rsidRPr="00A75F73" w:rsidRDefault="00380FE0" w:rsidP="00313FD6">
            <w:pPr>
              <w:pStyle w:val="TableTextDusc"/>
            </w:pPr>
            <w:r>
              <w:t>Psoriatic arthritis</w:t>
            </w:r>
          </w:p>
        </w:tc>
      </w:tr>
      <w:tr w:rsidR="00A75F73" w:rsidRPr="00A75F73" w14:paraId="35E206A8" w14:textId="77777777" w:rsidTr="00A75F73">
        <w:trPr>
          <w:trHeight w:val="411"/>
        </w:trPr>
        <w:tc>
          <w:tcPr>
            <w:tcW w:w="1980" w:type="dxa"/>
          </w:tcPr>
          <w:p w14:paraId="422B827D" w14:textId="77777777" w:rsidR="00A75F73" w:rsidRPr="00A75F73" w:rsidRDefault="00A75F73" w:rsidP="00A75F73">
            <w:pPr>
              <w:pStyle w:val="TableTextDusc"/>
            </w:pPr>
            <w:r w:rsidRPr="00A75F73">
              <w:t>RG</w:t>
            </w:r>
          </w:p>
        </w:tc>
        <w:tc>
          <w:tcPr>
            <w:tcW w:w="6660" w:type="dxa"/>
          </w:tcPr>
          <w:p w14:paraId="1A39C908" w14:textId="77777777" w:rsidR="00A75F73" w:rsidRPr="00A75F73" w:rsidRDefault="00A75F73" w:rsidP="00A75F73">
            <w:pPr>
              <w:pStyle w:val="TableTextDusc"/>
            </w:pPr>
            <w:r w:rsidRPr="00A75F73">
              <w:t xml:space="preserve">Reference Group </w:t>
            </w:r>
          </w:p>
        </w:tc>
      </w:tr>
      <w:tr w:rsidR="00A75F73" w:rsidRPr="00A75F73" w14:paraId="2DC36E53" w14:textId="77777777" w:rsidTr="00A75F73">
        <w:trPr>
          <w:trHeight w:val="411"/>
        </w:trPr>
        <w:tc>
          <w:tcPr>
            <w:tcW w:w="1980" w:type="dxa"/>
          </w:tcPr>
          <w:p w14:paraId="3B263133" w14:textId="77777777" w:rsidR="00A75F73" w:rsidRPr="00A75F73" w:rsidRDefault="00A75F73" w:rsidP="00313FD6">
            <w:pPr>
              <w:pStyle w:val="TableTextDusc"/>
            </w:pPr>
            <w:r w:rsidRPr="00A75F73">
              <w:t>T</w:t>
            </w:r>
            <w:r w:rsidR="00313FD6">
              <w:t>o</w:t>
            </w:r>
            <w:r w:rsidRPr="00A75F73">
              <w:t xml:space="preserve">R </w:t>
            </w:r>
          </w:p>
        </w:tc>
        <w:tc>
          <w:tcPr>
            <w:tcW w:w="6660" w:type="dxa"/>
          </w:tcPr>
          <w:p w14:paraId="433A4705" w14:textId="77777777" w:rsidR="00A75F73" w:rsidRPr="00A75F73" w:rsidRDefault="00A75F73" w:rsidP="00A75F73">
            <w:pPr>
              <w:pStyle w:val="TableTextDusc"/>
            </w:pPr>
            <w:r w:rsidRPr="00A75F73">
              <w:t>term of reference</w:t>
            </w:r>
          </w:p>
        </w:tc>
      </w:tr>
      <w:tr w:rsidR="00A75F73" w:rsidRPr="00A75F73" w14:paraId="618DDD09" w14:textId="77777777" w:rsidTr="00A75F73">
        <w:trPr>
          <w:trHeight w:val="411"/>
        </w:trPr>
        <w:tc>
          <w:tcPr>
            <w:tcW w:w="1980" w:type="dxa"/>
          </w:tcPr>
          <w:p w14:paraId="3D6C2205" w14:textId="77777777" w:rsidR="00A75F73" w:rsidRPr="00A75F73" w:rsidRDefault="00A75F73" w:rsidP="00A75F73">
            <w:pPr>
              <w:pStyle w:val="TableTextDusc"/>
            </w:pPr>
            <w:r w:rsidRPr="00A75F73">
              <w:t xml:space="preserve">UK </w:t>
            </w:r>
          </w:p>
        </w:tc>
        <w:tc>
          <w:tcPr>
            <w:tcW w:w="6660" w:type="dxa"/>
          </w:tcPr>
          <w:p w14:paraId="7861F8AC" w14:textId="77777777" w:rsidR="00A75F73" w:rsidRPr="00A75F73" w:rsidRDefault="00A75F73" w:rsidP="00A75F73">
            <w:pPr>
              <w:pStyle w:val="TableTextDusc"/>
            </w:pPr>
            <w:r w:rsidRPr="00A75F73">
              <w:t>United Kingdom</w:t>
            </w:r>
          </w:p>
        </w:tc>
      </w:tr>
      <w:tr w:rsidR="00A75F73" w:rsidRPr="00A75F73" w14:paraId="04B39A79" w14:textId="77777777" w:rsidTr="00A75F73">
        <w:trPr>
          <w:trHeight w:val="411"/>
        </w:trPr>
        <w:tc>
          <w:tcPr>
            <w:tcW w:w="1980" w:type="dxa"/>
          </w:tcPr>
          <w:p w14:paraId="1A659A88" w14:textId="77777777" w:rsidR="00A75F73" w:rsidRPr="00A75F73" w:rsidRDefault="00A75F73" w:rsidP="00A75F73">
            <w:pPr>
              <w:pStyle w:val="TableTextDusc"/>
            </w:pPr>
            <w:r w:rsidRPr="00A75F73">
              <w:t xml:space="preserve">US </w:t>
            </w:r>
          </w:p>
        </w:tc>
        <w:tc>
          <w:tcPr>
            <w:tcW w:w="6660" w:type="dxa"/>
          </w:tcPr>
          <w:p w14:paraId="46E61B56" w14:textId="77777777" w:rsidR="00A75F73" w:rsidRPr="00A75F73" w:rsidRDefault="00A75F73" w:rsidP="00A75F73">
            <w:pPr>
              <w:pStyle w:val="TableTextDusc"/>
            </w:pPr>
            <w:r w:rsidRPr="00A75F73">
              <w:t>United States</w:t>
            </w:r>
          </w:p>
        </w:tc>
      </w:tr>
    </w:tbl>
    <w:p w14:paraId="7939BA78" w14:textId="77777777" w:rsidR="00565915" w:rsidRDefault="00565915" w:rsidP="00A77877"/>
    <w:p w14:paraId="36B3755F" w14:textId="77777777" w:rsidR="00565915" w:rsidRDefault="00565915">
      <w:pPr>
        <w:spacing w:line="276" w:lineRule="auto"/>
      </w:pPr>
      <w:r>
        <w:br w:type="page"/>
      </w:r>
    </w:p>
    <w:p w14:paraId="1DAA8705" w14:textId="77777777" w:rsidR="00D73E11" w:rsidRPr="00FE1642" w:rsidRDefault="00D73E11" w:rsidP="00A77877"/>
    <w:p w14:paraId="320A8590" w14:textId="77777777" w:rsidR="00B14CBF" w:rsidRPr="00FE1642" w:rsidRDefault="00B14CBF" w:rsidP="00A77877">
      <w:pPr>
        <w:pStyle w:val="Heading1"/>
      </w:pPr>
      <w:bookmarkStart w:id="5" w:name="_Toc503274949"/>
      <w:r w:rsidRPr="00FE1642">
        <w:t>Executive Summary</w:t>
      </w:r>
      <w:bookmarkEnd w:id="5"/>
    </w:p>
    <w:p w14:paraId="58B2A85F" w14:textId="77777777" w:rsidR="00F62952" w:rsidRDefault="00C1451B" w:rsidP="00F62952">
      <w:pPr>
        <w:pStyle w:val="MDSubheading"/>
      </w:pPr>
      <w:bookmarkStart w:id="6" w:name="_Toc503274950"/>
      <w:r w:rsidRPr="00F62952">
        <w:t>Background and context</w:t>
      </w:r>
      <w:bookmarkEnd w:id="6"/>
      <w:r w:rsidRPr="00F62952">
        <w:t xml:space="preserve"> </w:t>
      </w:r>
    </w:p>
    <w:p w14:paraId="58F23427" w14:textId="22BDC91A" w:rsidR="00C1451B" w:rsidRPr="00FE1642" w:rsidRDefault="00C1451B" w:rsidP="00F62952">
      <w:r w:rsidRPr="00FE1642">
        <w:t>Psoriasis is a life-long skin condition, commonly characterised by red, scaly areas and patches. The cause is unknown; however</w:t>
      </w:r>
      <w:r w:rsidR="00C625C0">
        <w:t>,</w:t>
      </w:r>
      <w:r w:rsidRPr="00FE1642">
        <w:t xml:space="preserve"> evidence suggests that it is a disorder of the immune system.</w:t>
      </w:r>
      <w:r w:rsidR="006E1646">
        <w:t xml:space="preserve"> </w:t>
      </w:r>
      <w:r w:rsidR="006E05AF">
        <w:rPr>
          <w:noProof/>
        </w:rPr>
        <w:t>(</w:t>
      </w:r>
      <w:r w:rsidR="00F608CD">
        <w:rPr>
          <w:noProof/>
        </w:rPr>
        <w:t>1</w:t>
      </w:r>
      <w:r w:rsidR="006E05AF">
        <w:rPr>
          <w:noProof/>
        </w:rPr>
        <w:t>)</w:t>
      </w:r>
      <w:r w:rsidRPr="00FE1642">
        <w:t xml:space="preserve"> It is more common in people who have a relative with psoriasis and affects approximately 2% of people worldwide.</w:t>
      </w:r>
      <w:r w:rsidR="006E1646">
        <w:t xml:space="preserve"> </w:t>
      </w:r>
      <w:r w:rsidR="006E05AF">
        <w:rPr>
          <w:noProof/>
        </w:rPr>
        <w:t>(</w:t>
      </w:r>
      <w:r w:rsidR="00F608CD">
        <w:rPr>
          <w:noProof/>
        </w:rPr>
        <w:t>1</w:t>
      </w:r>
      <w:r w:rsidR="006E05AF">
        <w:rPr>
          <w:noProof/>
        </w:rPr>
        <w:t xml:space="preserve">, </w:t>
      </w:r>
      <w:r w:rsidR="00F608CD">
        <w:rPr>
          <w:noProof/>
        </w:rPr>
        <w:t>2</w:t>
      </w:r>
      <w:r w:rsidR="006E05AF">
        <w:rPr>
          <w:noProof/>
        </w:rPr>
        <w:t>)</w:t>
      </w:r>
    </w:p>
    <w:p w14:paraId="5EC7AEBB" w14:textId="30C46387" w:rsidR="00C625C0" w:rsidRDefault="00C1451B" w:rsidP="00A77877">
      <w:r w:rsidRPr="00FE1642">
        <w:t xml:space="preserve">Plaque psoriasis occurs in 90% of psoriasis sufferers and has characteristic thick, </w:t>
      </w:r>
      <w:r w:rsidR="00693062">
        <w:t xml:space="preserve">with a </w:t>
      </w:r>
      <w:r w:rsidRPr="00FE1642">
        <w:t>sharp</w:t>
      </w:r>
      <w:r w:rsidR="00693062">
        <w:t xml:space="preserve"> edge</w:t>
      </w:r>
      <w:r w:rsidRPr="00FE1642">
        <w:t xml:space="preserve"> (marginated), red scaly lesions, most commonly on the elbows, knees, lower back and scalp.</w:t>
      </w:r>
      <w:r w:rsidR="007C1E92">
        <w:t xml:space="preserve"> </w:t>
      </w:r>
      <w:r w:rsidR="006E05AF">
        <w:rPr>
          <w:noProof/>
        </w:rPr>
        <w:t>(</w:t>
      </w:r>
      <w:r w:rsidR="00F608CD">
        <w:rPr>
          <w:noProof/>
        </w:rPr>
        <w:t>1</w:t>
      </w:r>
      <w:r w:rsidR="006E05AF">
        <w:rPr>
          <w:noProof/>
        </w:rPr>
        <w:t>)</w:t>
      </w:r>
      <w:r w:rsidRPr="00FE1642">
        <w:t xml:space="preserve"> Psoriasis can also affect the nails and joints and can impact on the emotional and social wellbeing of the affected person.</w:t>
      </w:r>
      <w:r w:rsidR="007C1E92">
        <w:t xml:space="preserve"> </w:t>
      </w:r>
      <w:r w:rsidR="006E05AF">
        <w:rPr>
          <w:noProof/>
        </w:rPr>
        <w:t>(</w:t>
      </w:r>
      <w:r w:rsidR="00F608CD">
        <w:rPr>
          <w:noProof/>
        </w:rPr>
        <w:t>1</w:t>
      </w:r>
      <w:r w:rsidR="006E05AF">
        <w:rPr>
          <w:noProof/>
        </w:rPr>
        <w:t>)</w:t>
      </w:r>
      <w:r w:rsidRPr="00FE1642">
        <w:t xml:space="preserve"> Chronic plaque psoriasis</w:t>
      </w:r>
      <w:r w:rsidR="00DA1B19" w:rsidRPr="00FE1642">
        <w:t xml:space="preserve"> (CPP)</w:t>
      </w:r>
      <w:r w:rsidRPr="00FE1642">
        <w:t xml:space="preserve"> is persistent psoriasis that can be improved with treatment, but is difficult to clear completely.</w:t>
      </w:r>
      <w:r w:rsidR="007C1E92">
        <w:t xml:space="preserve"> </w:t>
      </w:r>
      <w:r w:rsidR="006E05AF">
        <w:rPr>
          <w:noProof/>
        </w:rPr>
        <w:t>(</w:t>
      </w:r>
      <w:r w:rsidR="00F608CD">
        <w:rPr>
          <w:noProof/>
        </w:rPr>
        <w:t>2</w:t>
      </w:r>
      <w:r w:rsidR="006E05AF">
        <w:rPr>
          <w:noProof/>
        </w:rPr>
        <w:t>)</w:t>
      </w:r>
      <w:r w:rsidRPr="00FE1642">
        <w:t xml:space="preserve"> It is characterised by large plaques that may join together to form large areas, and can be localised (e.g. elbows and knees) or generalised (e.g. scalp, trunk and limbs)</w:t>
      </w:r>
      <w:r w:rsidR="007C1E92" w:rsidRPr="00FE1642">
        <w:t>.</w:t>
      </w:r>
      <w:r w:rsidR="007C1E92">
        <w:rPr>
          <w:noProof/>
        </w:rPr>
        <w:t xml:space="preserve"> (</w:t>
      </w:r>
      <w:r w:rsidR="00F608CD">
        <w:rPr>
          <w:noProof/>
        </w:rPr>
        <w:t>2</w:t>
      </w:r>
      <w:r w:rsidR="006E05AF">
        <w:rPr>
          <w:noProof/>
        </w:rPr>
        <w:t>)</w:t>
      </w:r>
      <w:r w:rsidR="00446E80" w:rsidRPr="00FE1642">
        <w:t xml:space="preserve"> </w:t>
      </w:r>
    </w:p>
    <w:p w14:paraId="2D8731B9" w14:textId="7FD6186A" w:rsidR="00446E80" w:rsidRDefault="00446E80" w:rsidP="00A77877">
      <w:r w:rsidRPr="00FE1642">
        <w:t>Biologics (biologic therapies, biologic response modifiers) are drugs derived from living material, which interfere with the immune system to treat and prevent immune-mediated inflammatory disorders</w:t>
      </w:r>
      <w:r w:rsidR="007C1E92" w:rsidRPr="00FE1642">
        <w:t>.</w:t>
      </w:r>
      <w:r w:rsidR="007C1E92">
        <w:rPr>
          <w:noProof/>
        </w:rPr>
        <w:t xml:space="preserve"> (</w:t>
      </w:r>
      <w:r w:rsidR="00F608CD">
        <w:rPr>
          <w:noProof/>
        </w:rPr>
        <w:t>2</w:t>
      </w:r>
      <w:r w:rsidR="006E05AF">
        <w:rPr>
          <w:noProof/>
        </w:rPr>
        <w:t>)</w:t>
      </w:r>
      <w:r w:rsidRPr="00FE1642">
        <w:t xml:space="preserve"> </w:t>
      </w:r>
    </w:p>
    <w:p w14:paraId="368B4E5D" w14:textId="53738A86" w:rsidR="00044561" w:rsidRDefault="006E05AF" w:rsidP="00A77877">
      <w:pPr>
        <w:sectPr w:rsidR="00044561" w:rsidSect="006356D2">
          <w:pgSz w:w="11906" w:h="16838"/>
          <w:pgMar w:top="1440" w:right="1440" w:bottom="1440" w:left="1440" w:header="708" w:footer="708" w:gutter="0"/>
          <w:cols w:space="708"/>
          <w:titlePg/>
          <w:docGrid w:linePitch="360"/>
        </w:sectPr>
      </w:pPr>
      <w:r w:rsidRPr="006E05AF">
        <w:t>Efalizumab and etanercept were the first biologics listed for CPP</w:t>
      </w:r>
      <w:r>
        <w:t xml:space="preserve"> in 2006</w:t>
      </w:r>
      <w:r w:rsidRPr="006E05AF">
        <w:t xml:space="preserve">. </w:t>
      </w:r>
      <w:r>
        <w:t xml:space="preserve"> Infliximab, adalimumab and ustekinumab were listed </w:t>
      </w:r>
      <w:r w:rsidR="00693062">
        <w:t>during</w:t>
      </w:r>
      <w:r>
        <w:t xml:space="preserve"> the following four years, </w:t>
      </w:r>
      <w:r w:rsidR="00693062">
        <w:t xml:space="preserve">and there was a four </w:t>
      </w:r>
      <w:r w:rsidR="001031FF">
        <w:t>y</w:t>
      </w:r>
      <w:r w:rsidR="00693062">
        <w:t>ear ga</w:t>
      </w:r>
      <w:r w:rsidR="001031FF">
        <w:t>p</w:t>
      </w:r>
      <w:r w:rsidR="00693062">
        <w:t xml:space="preserve"> </w:t>
      </w:r>
      <w:r w:rsidR="00C625C0">
        <w:t xml:space="preserve">between listings </w:t>
      </w:r>
      <w:r w:rsidR="00693062">
        <w:t>until</w:t>
      </w:r>
      <w:r w:rsidR="00C625C0">
        <w:t xml:space="preserve"> </w:t>
      </w:r>
      <w:r>
        <w:t xml:space="preserve">secukinumab and ixekizumab were listed in 2015 and 2017, respectively </w:t>
      </w:r>
      <w:r w:rsidRPr="006E05AF">
        <w:t>(</w:t>
      </w:r>
      <w:r w:rsidR="00594BE2" w:rsidRPr="00594BE2">
        <w:rPr>
          <w:rFonts w:eastAsiaTheme="minorEastAsia" w:cs="Calibri"/>
          <w:szCs w:val="24"/>
          <w:lang w:val="en-US"/>
        </w:rPr>
        <w:t xml:space="preserve">Figure </w:t>
      </w:r>
      <w:r w:rsidR="00594BE2" w:rsidRPr="00594BE2">
        <w:rPr>
          <w:rFonts w:eastAsiaTheme="minorEastAsia" w:cs="Calibri"/>
          <w:noProof/>
          <w:szCs w:val="24"/>
          <w:lang w:val="en-US"/>
        </w:rPr>
        <w:t>ES</w:t>
      </w:r>
      <w:r w:rsidR="00594BE2" w:rsidRPr="00594BE2">
        <w:rPr>
          <w:lang w:val="en-US"/>
        </w:rPr>
        <w:t>.1</w:t>
      </w:r>
      <w:r w:rsidRPr="006E05AF">
        <w:t>)</w:t>
      </w:r>
      <w:r>
        <w:t xml:space="preserve">. </w:t>
      </w:r>
      <w:r w:rsidRPr="006E05AF">
        <w:t xml:space="preserve">The </w:t>
      </w:r>
      <w:r w:rsidR="00693062" w:rsidRPr="00693062">
        <w:t xml:space="preserve">Pharmaceutical Benefits Scheme </w:t>
      </w:r>
      <w:r w:rsidR="00693062">
        <w:t>(</w:t>
      </w:r>
      <w:r w:rsidRPr="006E05AF">
        <w:t>PBS</w:t>
      </w:r>
      <w:r w:rsidR="00693062">
        <w:t>)</w:t>
      </w:r>
      <w:r w:rsidRPr="006E05AF">
        <w:t xml:space="preserve"> restrictions around</w:t>
      </w:r>
      <w:r w:rsidR="0076179A">
        <w:t xml:space="preserve"> use of </w:t>
      </w:r>
      <w:r w:rsidRPr="006E05AF">
        <w:t xml:space="preserve">prior therapies and </w:t>
      </w:r>
      <w:r w:rsidR="00693062">
        <w:t xml:space="preserve">the </w:t>
      </w:r>
      <w:r w:rsidR="00693062" w:rsidRPr="00693062">
        <w:t>Psoriasis Area and Severity Index</w:t>
      </w:r>
      <w:r w:rsidR="00693062">
        <w:t xml:space="preserve"> (</w:t>
      </w:r>
      <w:r w:rsidRPr="006E05AF">
        <w:t>PASI</w:t>
      </w:r>
      <w:r w:rsidR="00693062">
        <w:t>)</w:t>
      </w:r>
      <w:r w:rsidRPr="006E05AF">
        <w:t xml:space="preserve"> thresholds </w:t>
      </w:r>
      <w:r w:rsidR="00693062">
        <w:t xml:space="preserve">(PASI </w:t>
      </w:r>
      <w:r w:rsidR="00B7205D">
        <w:t>˃</w:t>
      </w:r>
      <w:r w:rsidR="00693062">
        <w:t xml:space="preserve">15) </w:t>
      </w:r>
      <w:r w:rsidRPr="006E05AF">
        <w:t>are based on those proposed for efalizumab and etanercept. Subsequently listed biologics for CPP were recommended on the basis that the restrictions were consistent with those already listed (dosing and the initiation periods were amended where appropriate).</w:t>
      </w:r>
      <w:r w:rsidR="006D1402">
        <w:t xml:space="preserve"> </w:t>
      </w:r>
    </w:p>
    <w:p w14:paraId="194A1C8E" w14:textId="77777777" w:rsidR="006E05AF" w:rsidRPr="00FE1642" w:rsidRDefault="006E05AF" w:rsidP="00A77877"/>
    <w:p w14:paraId="4B363419" w14:textId="77777777" w:rsidR="001161F9" w:rsidRPr="001161F9" w:rsidRDefault="008D0682" w:rsidP="00A77877">
      <w:r>
        <w:rPr>
          <w:noProof/>
        </w:rPr>
        <w:drawing>
          <wp:inline distT="0" distB="0" distL="0" distR="0" wp14:anchorId="5C73A0B4" wp14:editId="5AE8F9D2">
            <wp:extent cx="8286750" cy="4678885"/>
            <wp:effectExtent l="0" t="0" r="0" b="7620"/>
            <wp:docPr id="7" name="Picture 7" descr="Timeline for PBAC recommendations and listings of medicines on the PBS" title="Figure 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eline2.jpg"/>
                    <pic:cNvPicPr/>
                  </pic:nvPicPr>
                  <pic:blipFill>
                    <a:blip r:embed="rId13">
                      <a:extLst>
                        <a:ext uri="{28A0092B-C50C-407E-A947-70E740481C1C}">
                          <a14:useLocalDpi xmlns:a14="http://schemas.microsoft.com/office/drawing/2010/main" val="0"/>
                        </a:ext>
                      </a:extLst>
                    </a:blip>
                    <a:stretch>
                      <a:fillRect/>
                    </a:stretch>
                  </pic:blipFill>
                  <pic:spPr>
                    <a:xfrm>
                      <a:off x="0" y="0"/>
                      <a:ext cx="8329205" cy="4702856"/>
                    </a:xfrm>
                    <a:prstGeom prst="rect">
                      <a:avLst/>
                    </a:prstGeom>
                  </pic:spPr>
                </pic:pic>
              </a:graphicData>
            </a:graphic>
          </wp:inline>
        </w:drawing>
      </w:r>
    </w:p>
    <w:p w14:paraId="79798BFA" w14:textId="77777777" w:rsidR="001161F9" w:rsidRPr="001161F9" w:rsidRDefault="00A75F73" w:rsidP="003B7D87">
      <w:pPr>
        <w:pStyle w:val="MDFiguretitle"/>
      </w:pPr>
      <w:bookmarkStart w:id="7" w:name="_Ref497317683"/>
      <w:bookmarkStart w:id="8" w:name="_Toc499902345"/>
      <w:bookmarkStart w:id="9" w:name="_Toc503275015"/>
      <w:r>
        <w:t>Figure ES.</w:t>
      </w:r>
      <w:r w:rsidR="00594BE2">
        <w:rPr>
          <w:noProof/>
        </w:rPr>
        <w:t>1</w:t>
      </w:r>
      <w:bookmarkEnd w:id="7"/>
      <w:r w:rsidR="001161F9" w:rsidRPr="001161F9">
        <w:t>: Timeline for PBAC recommendations and listings of medicines on the PBS</w:t>
      </w:r>
      <w:bookmarkEnd w:id="8"/>
      <w:bookmarkEnd w:id="9"/>
    </w:p>
    <w:p w14:paraId="46FC0169" w14:textId="77777777" w:rsidR="00044561" w:rsidRDefault="001161F9" w:rsidP="00A77877">
      <w:pPr>
        <w:sectPr w:rsidR="00044561" w:rsidSect="00044561">
          <w:pgSz w:w="16838" w:h="11906" w:orient="landscape"/>
          <w:pgMar w:top="1440" w:right="1440" w:bottom="1440" w:left="1440" w:header="708" w:footer="708" w:gutter="0"/>
          <w:cols w:space="708"/>
          <w:titlePg/>
          <w:docGrid w:linePitch="360"/>
        </w:sectPr>
      </w:pPr>
      <w:r w:rsidRPr="001161F9">
        <w:t>R = recommended; L = Listed. Those below the date line are changes to existing recommended listings.</w:t>
      </w:r>
    </w:p>
    <w:p w14:paraId="4CCF0245" w14:textId="77777777" w:rsidR="001161F9" w:rsidRPr="001161F9" w:rsidRDefault="001161F9" w:rsidP="00A77877"/>
    <w:p w14:paraId="3C96E4D6" w14:textId="77777777" w:rsidR="00CF5980" w:rsidRPr="00FE1642" w:rsidRDefault="00DA1B19" w:rsidP="00A77877">
      <w:r w:rsidRPr="00FE1642">
        <w:t xml:space="preserve">In March 2015, the </w:t>
      </w:r>
      <w:r w:rsidR="00044561" w:rsidRPr="00044561">
        <w:t xml:space="preserve">Pharmaceutical Benefits Advisory Committee </w:t>
      </w:r>
      <w:r w:rsidR="00044561">
        <w:t>(</w:t>
      </w:r>
      <w:r w:rsidRPr="00FE1642">
        <w:t>PBAC</w:t>
      </w:r>
      <w:r w:rsidR="00044561">
        <w:t>)</w:t>
      </w:r>
      <w:r w:rsidRPr="00FE1642">
        <w:t xml:space="preserve"> considered the submission for secukinumab for severe CPP and noted that etanercept was the main comparator for the current PBS-listed biological medicines for this </w:t>
      </w:r>
      <w:r w:rsidR="00AF4E18" w:rsidRPr="00FE1642">
        <w:t>indication</w:t>
      </w:r>
      <w:r w:rsidR="00C625C0">
        <w:t xml:space="preserve">. </w:t>
      </w:r>
      <w:r w:rsidR="00313FD6">
        <w:t xml:space="preserve">The </w:t>
      </w:r>
      <w:r w:rsidR="00C625C0">
        <w:t>PBAC noted that there wa</w:t>
      </w:r>
      <w:r w:rsidRPr="00FE1642">
        <w:t>s emerging evidence of variation in response to Tumour Necrosis Factor-alpha (TNF-α) inhibitors in psoriasis, with etanercept appearing to be less effective than other agents. The PBAC recommended to the Minister for Health that a post market review be undertaken on the use of biologics in the treatment of severe chronic plaque psoriasis.</w:t>
      </w:r>
      <w:r w:rsidR="00CF5980" w:rsidRPr="00FE1642">
        <w:t xml:space="preserve"> </w:t>
      </w:r>
    </w:p>
    <w:p w14:paraId="03D5C26F" w14:textId="77777777" w:rsidR="00DA1B19" w:rsidRPr="00FE1642" w:rsidRDefault="00CF5980" w:rsidP="00A77877">
      <w:r w:rsidRPr="00FE1642">
        <w:t>Th</w:t>
      </w:r>
      <w:r w:rsidR="00703ED1" w:rsidRPr="00FE1642">
        <w:t>e r</w:t>
      </w:r>
      <w:r w:rsidRPr="00FE1642">
        <w:t xml:space="preserve">eview has the overall aim of continuing safe and cost-effective access to biologic medicines used in the treatment of severe CPP. </w:t>
      </w:r>
    </w:p>
    <w:p w14:paraId="3A90C3E3" w14:textId="77777777" w:rsidR="00862248" w:rsidRPr="00FE1642" w:rsidRDefault="00862248" w:rsidP="00A77877">
      <w:r w:rsidRPr="00FE1642">
        <w:t xml:space="preserve">The </w:t>
      </w:r>
      <w:r w:rsidR="00703ED1" w:rsidRPr="00FE1642">
        <w:t xml:space="preserve">review’s </w:t>
      </w:r>
      <w:r w:rsidRPr="00FE1642">
        <w:t xml:space="preserve">draft Terms of Reference (ToR) were provided for public consultation from </w:t>
      </w:r>
      <w:r w:rsidR="00B41268" w:rsidRPr="00FE1642">
        <w:t>2 May </w:t>
      </w:r>
      <w:r w:rsidR="006456CD" w:rsidRPr="00FE1642">
        <w:t>2016 to 18 May 2016</w:t>
      </w:r>
      <w:r w:rsidRPr="00FE1642">
        <w:t xml:space="preserve">. The PBAC considered the draft ToR and comments from stakeholders at </w:t>
      </w:r>
      <w:r w:rsidR="00A77450" w:rsidRPr="00FE1642">
        <w:t>its</w:t>
      </w:r>
      <w:r w:rsidRPr="00FE1642">
        <w:t xml:space="preserve"> </w:t>
      </w:r>
      <w:r w:rsidR="00A77450" w:rsidRPr="00FE1642">
        <w:t>August 2016</w:t>
      </w:r>
      <w:r w:rsidRPr="00FE1642">
        <w:t xml:space="preserve"> meeting. The Minister for Health approved the final </w:t>
      </w:r>
      <w:r w:rsidR="00703ED1" w:rsidRPr="00FE1642">
        <w:t>ToR for the r</w:t>
      </w:r>
      <w:r w:rsidRPr="00FE1642">
        <w:t>eview.</w:t>
      </w:r>
    </w:p>
    <w:p w14:paraId="5EB7B1B5" w14:textId="77777777" w:rsidR="00862248" w:rsidRPr="00FE1642" w:rsidRDefault="00862248" w:rsidP="00A77877">
      <w:pPr>
        <w:pStyle w:val="MDSubheading"/>
      </w:pPr>
      <w:bookmarkStart w:id="10" w:name="_Toc503274951"/>
      <w:bookmarkStart w:id="11" w:name="_Toc486853471"/>
      <w:r w:rsidRPr="00FE1642">
        <w:t>Review Terms of Reference</w:t>
      </w:r>
      <w:bookmarkEnd w:id="10"/>
      <w:r w:rsidRPr="00FE1642">
        <w:t xml:space="preserve"> </w:t>
      </w:r>
      <w:bookmarkEnd w:id="11"/>
    </w:p>
    <w:p w14:paraId="48294937" w14:textId="77777777" w:rsidR="00862248" w:rsidRPr="00FE1642" w:rsidRDefault="00D72F71" w:rsidP="00A77877">
      <w:r w:rsidRPr="00FE1642">
        <w:t>The Post‐market Review of the use of biologics in the treatment of severe CPP consists of four ToR. This report addresses the first three</w:t>
      </w:r>
      <w:r w:rsidR="00C625C0">
        <w:t xml:space="preserve"> in full and introduces ToR 4</w:t>
      </w:r>
      <w:r w:rsidRPr="00FE1642">
        <w:t>.</w:t>
      </w:r>
    </w:p>
    <w:p w14:paraId="72EAA25D" w14:textId="77777777" w:rsidR="00862248" w:rsidRPr="00FE1642" w:rsidRDefault="00862248" w:rsidP="000A43C2">
      <w:pPr>
        <w:pStyle w:val="ListParagraph"/>
        <w:numPr>
          <w:ilvl w:val="0"/>
          <w:numId w:val="6"/>
        </w:numPr>
      </w:pPr>
      <w:r w:rsidRPr="00FE1642">
        <w:t xml:space="preserve">ToR 1: </w:t>
      </w:r>
      <w:r w:rsidRPr="00FE1642">
        <w:tab/>
        <w:t>Review current clinical guidelines for the treatment of severe CPP and compare to the PBS restrictions for use of biologics in this indication</w:t>
      </w:r>
      <w:r w:rsidR="00121B1D">
        <w:t>.</w:t>
      </w:r>
    </w:p>
    <w:p w14:paraId="2E63AC64" w14:textId="3A4488B8" w:rsidR="00862248" w:rsidRPr="00FE1642" w:rsidRDefault="00862248" w:rsidP="000A43C2">
      <w:pPr>
        <w:pStyle w:val="ListParagraph"/>
        <w:numPr>
          <w:ilvl w:val="0"/>
          <w:numId w:val="6"/>
        </w:numPr>
      </w:pPr>
      <w:r w:rsidRPr="00FE1642">
        <w:t xml:space="preserve">ToR 2: </w:t>
      </w:r>
      <w:r w:rsidRPr="00FE1642">
        <w:tab/>
        <w:t>Review and evaluate recent clinical evidence on the efficacy and safety of biologics used in the treatment of severe CPP and compare to the evidence considered by PBAC in previous sponsor submissions.</w:t>
      </w:r>
    </w:p>
    <w:p w14:paraId="40D953AA" w14:textId="77777777" w:rsidR="00862248" w:rsidRPr="00FE1642" w:rsidRDefault="00862248" w:rsidP="000A43C2">
      <w:pPr>
        <w:pStyle w:val="ListParagraph"/>
        <w:numPr>
          <w:ilvl w:val="0"/>
          <w:numId w:val="6"/>
        </w:numPr>
      </w:pPr>
      <w:r w:rsidRPr="00FE1642">
        <w:t xml:space="preserve">ToR 3: </w:t>
      </w:r>
      <w:r w:rsidRPr="00FE1642">
        <w:tab/>
        <w:t xml:space="preserve">Review the utilisation of PBS biologics for the treatment of CPP and compare the patient response in practice to those observed in the clinical trial evidence considered by the PBAC. </w:t>
      </w:r>
    </w:p>
    <w:p w14:paraId="6C6B8AB4" w14:textId="77777777" w:rsidR="00862248" w:rsidRPr="00FE1642" w:rsidRDefault="00044561" w:rsidP="000A43C2">
      <w:pPr>
        <w:pStyle w:val="ListParagraph"/>
        <w:numPr>
          <w:ilvl w:val="0"/>
          <w:numId w:val="6"/>
        </w:numPr>
      </w:pPr>
      <w:r w:rsidRPr="00522337">
        <w:t xml:space="preserve">ToR 4: </w:t>
      </w:r>
      <w:r w:rsidRPr="00522337">
        <w:tab/>
      </w:r>
      <w:r w:rsidR="00862248" w:rsidRPr="00522337">
        <w:t xml:space="preserve">Subject to the findings </w:t>
      </w:r>
      <w:r w:rsidRPr="00522337">
        <w:t>from Terms of Reference 1, 2,</w:t>
      </w:r>
      <w:r w:rsidR="00862248" w:rsidRPr="00522337">
        <w:t xml:space="preserve"> 3</w:t>
      </w:r>
      <w:r w:rsidRPr="00522337">
        <w:t xml:space="preserve"> and 4</w:t>
      </w:r>
      <w:r w:rsidR="00862248" w:rsidRPr="00522337">
        <w:t>, review</w:t>
      </w:r>
      <w:r w:rsidR="00862248" w:rsidRPr="00FE1642">
        <w:t xml:space="preserve"> the cost</w:t>
      </w:r>
      <w:r w:rsidR="004D4EF8">
        <w:noBreakHyphen/>
      </w:r>
      <w:r w:rsidR="00862248" w:rsidRPr="00FE1642">
        <w:t xml:space="preserve">effectiveness of biologics for severe </w:t>
      </w:r>
      <w:r w:rsidR="00313FD6">
        <w:t>CPP</w:t>
      </w:r>
      <w:r>
        <w:t xml:space="preserve"> (Possible future technical report)</w:t>
      </w:r>
      <w:r w:rsidR="00862248" w:rsidRPr="00FE1642">
        <w:t>.</w:t>
      </w:r>
    </w:p>
    <w:p w14:paraId="74B51572" w14:textId="77777777" w:rsidR="00D72F71" w:rsidRPr="00FE1642" w:rsidRDefault="00D72F71" w:rsidP="00A77877">
      <w:pPr>
        <w:pStyle w:val="MDSubheading"/>
      </w:pPr>
      <w:bookmarkStart w:id="12" w:name="_Toc486853472"/>
      <w:bookmarkStart w:id="13" w:name="_Toc503274952"/>
      <w:r w:rsidRPr="00FE1642">
        <w:t>Methodological approach to the technical report</w:t>
      </w:r>
      <w:bookmarkEnd w:id="12"/>
      <w:bookmarkEnd w:id="13"/>
    </w:p>
    <w:p w14:paraId="6204B292" w14:textId="77777777" w:rsidR="00D72F71" w:rsidRPr="00FE1642" w:rsidRDefault="00D72F71" w:rsidP="00A77877">
      <w:r w:rsidRPr="00FE1642">
        <w:t>A Review Reference Group (RG) and Griffith University were involved in the preparation of this draft technical report for the review. Research questions relating to the ToR were developed to guide the review. The ToR were addressed through specific reviews of evidence for medicines, guidelines and medicine utilisation (refer to</w:t>
      </w:r>
      <w:r w:rsidR="00A75F73">
        <w:t xml:space="preserve"> </w:t>
      </w:r>
      <w:r w:rsidR="00594BE2">
        <w:t>Table ES.</w:t>
      </w:r>
      <w:r w:rsidR="00594BE2">
        <w:rPr>
          <w:noProof/>
        </w:rPr>
        <w:t>1</w:t>
      </w:r>
      <w:r w:rsidRPr="00FE1642">
        <w:t>).</w:t>
      </w:r>
    </w:p>
    <w:p w14:paraId="69436420" w14:textId="77777777" w:rsidR="007B4746" w:rsidRDefault="007B4746" w:rsidP="00B24C18">
      <w:pPr>
        <w:pStyle w:val="MDTabCaption"/>
        <w:keepLines/>
      </w:pPr>
      <w:bookmarkStart w:id="14" w:name="_Ref497318377"/>
      <w:bookmarkStart w:id="15" w:name="_Toc503274991"/>
      <w:r>
        <w:lastRenderedPageBreak/>
        <w:t>Table ES.</w:t>
      </w:r>
      <w:r w:rsidR="00594BE2">
        <w:t>1</w:t>
      </w:r>
      <w:bookmarkEnd w:id="14"/>
      <w:r>
        <w:t xml:space="preserve">: </w:t>
      </w:r>
      <w:r w:rsidRPr="0015393F">
        <w:t>Methodological approach to ToR 1, ToR 2, ToR 3</w:t>
      </w:r>
      <w:r w:rsidR="00044561">
        <w:t xml:space="preserve"> and ToR 4.</w:t>
      </w:r>
      <w:bookmarkEnd w:id="15"/>
    </w:p>
    <w:tbl>
      <w:tblPr>
        <w:tblStyle w:val="TableGrid3"/>
        <w:tblW w:w="5000" w:type="pct"/>
        <w:tblLook w:val="04A0" w:firstRow="1" w:lastRow="0" w:firstColumn="1" w:lastColumn="0" w:noHBand="0" w:noVBand="1"/>
        <w:tblCaption w:val="Table ES.1"/>
        <w:tblDescription w:val="Methodological approach to ToR 1, ToR 2, and ToR 3"/>
      </w:tblPr>
      <w:tblGrid>
        <w:gridCol w:w="5806"/>
        <w:gridCol w:w="3210"/>
      </w:tblGrid>
      <w:tr w:rsidR="00FE1642" w:rsidRPr="00F42E93" w14:paraId="1BC5D9F8" w14:textId="77777777" w:rsidTr="00F62952">
        <w:trPr>
          <w:tblHeader/>
        </w:trPr>
        <w:tc>
          <w:tcPr>
            <w:tcW w:w="3220" w:type="pct"/>
            <w:shd w:val="clear" w:color="auto" w:fill="A6A6A6" w:themeFill="background1" w:themeFillShade="A6"/>
            <w:hideMark/>
          </w:tcPr>
          <w:p w14:paraId="59651EB4" w14:textId="77777777" w:rsidR="00FE1642" w:rsidRPr="00F42E93" w:rsidRDefault="00FE1642" w:rsidP="00B24C18">
            <w:pPr>
              <w:pStyle w:val="TableTextDusc"/>
              <w:keepNext/>
              <w:keepLines/>
              <w:rPr>
                <w:rFonts w:ascii="Arial Narrow" w:hAnsi="Arial Narrow" w:cs="Times New Roman"/>
                <w:b/>
                <w:sz w:val="18"/>
              </w:rPr>
            </w:pPr>
            <w:r w:rsidRPr="00F42E93">
              <w:rPr>
                <w:b/>
              </w:rPr>
              <w:t>Methodological approach</w:t>
            </w:r>
          </w:p>
        </w:tc>
        <w:tc>
          <w:tcPr>
            <w:tcW w:w="1780" w:type="pct"/>
            <w:shd w:val="clear" w:color="auto" w:fill="A6A6A6" w:themeFill="background1" w:themeFillShade="A6"/>
            <w:hideMark/>
          </w:tcPr>
          <w:p w14:paraId="1757BBA1" w14:textId="77777777" w:rsidR="00FE1642" w:rsidRPr="00F42E93" w:rsidRDefault="00FE1642" w:rsidP="00B24C18">
            <w:pPr>
              <w:pStyle w:val="TableTextDusc"/>
              <w:keepNext/>
              <w:keepLines/>
              <w:rPr>
                <w:b/>
              </w:rPr>
            </w:pPr>
            <w:r w:rsidRPr="00F42E93">
              <w:rPr>
                <w:b/>
              </w:rPr>
              <w:t>Criteria and time period</w:t>
            </w:r>
          </w:p>
        </w:tc>
      </w:tr>
      <w:tr w:rsidR="00FE1642" w:rsidRPr="00F42E93" w14:paraId="2CC4F83E" w14:textId="77777777" w:rsidTr="00F42E93">
        <w:tc>
          <w:tcPr>
            <w:tcW w:w="5000" w:type="pct"/>
            <w:gridSpan w:val="2"/>
            <w:hideMark/>
          </w:tcPr>
          <w:p w14:paraId="1047C7B4" w14:textId="77777777" w:rsidR="00FE1642" w:rsidRPr="00F42E93" w:rsidRDefault="00FE1642" w:rsidP="00B24C18">
            <w:pPr>
              <w:pStyle w:val="TableTextDusc"/>
              <w:keepNext/>
              <w:keepLines/>
              <w:rPr>
                <w:b/>
              </w:rPr>
            </w:pPr>
            <w:r w:rsidRPr="00F42E93">
              <w:rPr>
                <w:b/>
              </w:rPr>
              <w:t>ToR 1: Comparison of prescribing restrictions and clinical guidelines</w:t>
            </w:r>
          </w:p>
        </w:tc>
      </w:tr>
      <w:tr w:rsidR="00FE1642" w:rsidRPr="00FE1642" w14:paraId="5C2313F3" w14:textId="77777777" w:rsidTr="00F62952">
        <w:tc>
          <w:tcPr>
            <w:tcW w:w="3220" w:type="pct"/>
            <w:hideMark/>
          </w:tcPr>
          <w:p w14:paraId="1B7430AD" w14:textId="129625CD" w:rsidR="00FE1642" w:rsidRPr="00FE1642" w:rsidRDefault="00FE1642" w:rsidP="00B24C18">
            <w:pPr>
              <w:pStyle w:val="TableTextDusc"/>
              <w:keepNext/>
              <w:keepLines/>
            </w:pPr>
            <w:r w:rsidRPr="00FE1642">
              <w:t xml:space="preserve">A systematic search of </w:t>
            </w:r>
            <w:r w:rsidR="003F74EE">
              <w:t xml:space="preserve">the literature and </w:t>
            </w:r>
            <w:r w:rsidR="003F74EE" w:rsidRPr="003F74EE">
              <w:t xml:space="preserve">guidelines databases </w:t>
            </w:r>
            <w:r w:rsidR="003F74EE">
              <w:t>was conducted to identify guidelines for treatment of C</w:t>
            </w:r>
            <w:r w:rsidR="00121B1D">
              <w:t>P</w:t>
            </w:r>
            <w:r w:rsidR="003F74EE">
              <w:t>P</w:t>
            </w:r>
            <w:r w:rsidRPr="00FE1642">
              <w:t xml:space="preserve">. </w:t>
            </w:r>
            <w:r w:rsidR="003F74EE">
              <w:t xml:space="preserve">Systematic literature searches were also carried out to </w:t>
            </w:r>
            <w:r w:rsidR="003F74EE" w:rsidRPr="003F74EE">
              <w:t>identify relevant articles about clinical outcomes in psoriasis</w:t>
            </w:r>
            <w:r w:rsidR="003F74EE">
              <w:t xml:space="preserve">. </w:t>
            </w:r>
          </w:p>
        </w:tc>
        <w:tc>
          <w:tcPr>
            <w:tcW w:w="1780" w:type="pct"/>
            <w:hideMark/>
          </w:tcPr>
          <w:p w14:paraId="537C21A2" w14:textId="77777777" w:rsidR="00FE1642" w:rsidRPr="00FE1642" w:rsidRDefault="00FE1642" w:rsidP="00B24C18">
            <w:pPr>
              <w:pStyle w:val="TableTextDusc"/>
              <w:keepNext/>
              <w:keepLines/>
            </w:pPr>
            <w:r w:rsidRPr="00FE1642">
              <w:t>The search was restricted to Australian and internationa</w:t>
            </w:r>
            <w:r w:rsidR="003F74EE">
              <w:t>l guidelines published from 2007</w:t>
            </w:r>
            <w:r w:rsidRPr="00FE1642">
              <w:t xml:space="preserve"> to </w:t>
            </w:r>
            <w:r w:rsidR="003F74EE">
              <w:t>June</w:t>
            </w:r>
            <w:r w:rsidRPr="00FE1642">
              <w:t xml:space="preserve"> 201</w:t>
            </w:r>
            <w:r w:rsidR="003F74EE">
              <w:t>7</w:t>
            </w:r>
            <w:r w:rsidRPr="00FE1642">
              <w:t>.</w:t>
            </w:r>
          </w:p>
        </w:tc>
      </w:tr>
      <w:tr w:rsidR="00FE1642" w:rsidRPr="00F42E93" w14:paraId="369FC410" w14:textId="77777777" w:rsidTr="00F42E93">
        <w:tc>
          <w:tcPr>
            <w:tcW w:w="5000" w:type="pct"/>
            <w:gridSpan w:val="2"/>
            <w:hideMark/>
          </w:tcPr>
          <w:p w14:paraId="48C131C9" w14:textId="77777777" w:rsidR="00FE1642" w:rsidRPr="00F42E93" w:rsidRDefault="00FE1642" w:rsidP="00B24C18">
            <w:pPr>
              <w:pStyle w:val="TableTextDusc"/>
              <w:keepNext/>
              <w:keepLines/>
              <w:rPr>
                <w:b/>
              </w:rPr>
            </w:pPr>
            <w:r w:rsidRPr="00F42E93">
              <w:rPr>
                <w:b/>
              </w:rPr>
              <w:t>ToR 2: Review and evaluate recent clinical evidence on the efficacy and safety of biologics used in the treatment of severe CPP</w:t>
            </w:r>
          </w:p>
        </w:tc>
      </w:tr>
      <w:tr w:rsidR="00FE1642" w:rsidRPr="00FE1642" w14:paraId="4F0C7408" w14:textId="77777777" w:rsidTr="00F62952">
        <w:tc>
          <w:tcPr>
            <w:tcW w:w="3220" w:type="pct"/>
            <w:hideMark/>
          </w:tcPr>
          <w:p w14:paraId="2A315DB3" w14:textId="77777777" w:rsidR="00FE1642" w:rsidRPr="00FE1642" w:rsidRDefault="00377CA1" w:rsidP="00B24C18">
            <w:pPr>
              <w:pStyle w:val="TableTextDusc"/>
              <w:keepNext/>
              <w:keepLines/>
            </w:pPr>
            <w:r>
              <w:t xml:space="preserve">A </w:t>
            </w:r>
            <w:r w:rsidRPr="00377CA1">
              <w:t>systematic literature review was</w:t>
            </w:r>
            <w:r>
              <w:t xml:space="preserve"> conducted</w:t>
            </w:r>
            <w:r w:rsidRPr="00377CA1">
              <w:t xml:space="preserve"> to evaluate recent clinical evidence of the efficacy and safety of the biologics used in the treatment of severe CPP</w:t>
            </w:r>
            <w:r w:rsidR="00E72068">
              <w:t>.</w:t>
            </w:r>
            <w:r w:rsidRPr="00377CA1">
              <w:t xml:space="preserve"> </w:t>
            </w:r>
            <w:r w:rsidR="00E72068">
              <w:t>R</w:t>
            </w:r>
            <w:r w:rsidRPr="00377CA1">
              <w:t xml:space="preserve">ecent evidence </w:t>
            </w:r>
            <w:r w:rsidR="00E72068">
              <w:t xml:space="preserve">was compared </w:t>
            </w:r>
            <w:r w:rsidRPr="00377CA1">
              <w:t>to that considered previously by the PBAC</w:t>
            </w:r>
            <w:r>
              <w:t xml:space="preserve">. </w:t>
            </w:r>
          </w:p>
        </w:tc>
        <w:tc>
          <w:tcPr>
            <w:tcW w:w="1780" w:type="pct"/>
            <w:hideMark/>
          </w:tcPr>
          <w:p w14:paraId="42E4653C" w14:textId="77777777" w:rsidR="00FE1642" w:rsidRPr="00FE1642" w:rsidRDefault="00FE1642" w:rsidP="00B24C18">
            <w:pPr>
              <w:pStyle w:val="TableTextDusc"/>
              <w:keepNext/>
              <w:keepLines/>
            </w:pPr>
            <w:r w:rsidRPr="00FE1642">
              <w:t xml:space="preserve">Publications from 2010 to </w:t>
            </w:r>
            <w:r w:rsidR="007B4746">
              <w:t>June</w:t>
            </w:r>
            <w:r w:rsidRPr="00FE1642">
              <w:t xml:space="preserve"> 201</w:t>
            </w:r>
            <w:r w:rsidR="007B4746">
              <w:t>7</w:t>
            </w:r>
            <w:r w:rsidRPr="00FE1642">
              <w:t>.</w:t>
            </w:r>
          </w:p>
        </w:tc>
      </w:tr>
      <w:tr w:rsidR="00FE1642" w:rsidRPr="00F42E93" w14:paraId="52856BEC" w14:textId="77777777" w:rsidTr="00F42E93">
        <w:tc>
          <w:tcPr>
            <w:tcW w:w="5000" w:type="pct"/>
            <w:gridSpan w:val="2"/>
            <w:hideMark/>
          </w:tcPr>
          <w:p w14:paraId="2BCC2A74" w14:textId="77777777" w:rsidR="00FE1642" w:rsidRPr="00F42E93" w:rsidRDefault="00FE1642" w:rsidP="00B24C18">
            <w:pPr>
              <w:pStyle w:val="TableTextDusc"/>
              <w:keepNext/>
              <w:keepLines/>
              <w:rPr>
                <w:b/>
              </w:rPr>
            </w:pPr>
            <w:r w:rsidRPr="00F42E93">
              <w:rPr>
                <w:b/>
              </w:rPr>
              <w:t>ToR 3: Estimating the prevalence of chronic plaque psoriasis and the utilisation of PBS listed biologics for this indication</w:t>
            </w:r>
          </w:p>
        </w:tc>
      </w:tr>
      <w:tr w:rsidR="00FE1642" w:rsidRPr="00FE1642" w14:paraId="57822D87" w14:textId="77777777" w:rsidTr="00F62952">
        <w:tc>
          <w:tcPr>
            <w:tcW w:w="3220" w:type="pct"/>
            <w:hideMark/>
          </w:tcPr>
          <w:p w14:paraId="638A1705" w14:textId="2534EB43" w:rsidR="00FE1642" w:rsidRDefault="00FE1642" w:rsidP="00B24C18">
            <w:pPr>
              <w:pStyle w:val="TableTextDusc"/>
              <w:keepNext/>
              <w:keepLines/>
            </w:pPr>
            <w:r w:rsidRPr="00FE1642">
              <w:t xml:space="preserve"> </w:t>
            </w:r>
            <w:r w:rsidR="007B4746" w:rsidRPr="007B4746">
              <w:t xml:space="preserve">A systematic literature review was undertaken to identify estimates of the incidence and prevalence of severe CPP (PASI </w:t>
            </w:r>
            <w:r w:rsidR="00CE36C5">
              <w:t>˃</w:t>
            </w:r>
            <w:r w:rsidR="007B4746" w:rsidRPr="007B4746">
              <w:t xml:space="preserve"> 15) in the Australian population.</w:t>
            </w:r>
          </w:p>
          <w:p w14:paraId="43A2164C" w14:textId="25125AE5" w:rsidR="007B4746" w:rsidRPr="00FE1642" w:rsidRDefault="007B4746" w:rsidP="00B24C18">
            <w:pPr>
              <w:pStyle w:val="TableTextDusc"/>
              <w:keepNext/>
              <w:keepLines/>
            </w:pPr>
            <w:r w:rsidRPr="007B4746">
              <w:t>An analysis of the utilisation of biologics for severe CPP was undertaken using prescription data from the Department of Human Services Supplied Prescriptions Database</w:t>
            </w:r>
            <w:r w:rsidR="006E1646">
              <w:t>.</w:t>
            </w:r>
          </w:p>
        </w:tc>
        <w:tc>
          <w:tcPr>
            <w:tcW w:w="1780" w:type="pct"/>
            <w:hideMark/>
          </w:tcPr>
          <w:p w14:paraId="3C3E48A3" w14:textId="77777777" w:rsidR="007B4746" w:rsidRDefault="007B4746" w:rsidP="00B24C18">
            <w:pPr>
              <w:pStyle w:val="TableTextDusc"/>
              <w:keepNext/>
              <w:keepLines/>
            </w:pPr>
            <w:r w:rsidRPr="007B4746">
              <w:t>Publications from 20</w:t>
            </w:r>
            <w:r>
              <w:t>07</w:t>
            </w:r>
            <w:r w:rsidRPr="007B4746">
              <w:t xml:space="preserve"> to </w:t>
            </w:r>
            <w:r>
              <w:t>June</w:t>
            </w:r>
            <w:r w:rsidRPr="00FE1642">
              <w:t xml:space="preserve"> 201</w:t>
            </w:r>
            <w:r>
              <w:t>7</w:t>
            </w:r>
            <w:r w:rsidRPr="007B4746">
              <w:t>.</w:t>
            </w:r>
          </w:p>
          <w:p w14:paraId="3C7565B0" w14:textId="77777777" w:rsidR="007B4746" w:rsidRDefault="007B4746" w:rsidP="00B24C18">
            <w:pPr>
              <w:pStyle w:val="TableTextDusc"/>
              <w:keepNext/>
              <w:keepLines/>
            </w:pPr>
          </w:p>
          <w:p w14:paraId="7ECAEDEC" w14:textId="77777777" w:rsidR="007B4746" w:rsidRDefault="007B4746" w:rsidP="00B24C18">
            <w:pPr>
              <w:pStyle w:val="TableTextDusc"/>
              <w:keepNext/>
              <w:keepLines/>
            </w:pPr>
          </w:p>
          <w:p w14:paraId="4A166088" w14:textId="42D9039F" w:rsidR="00FE1642" w:rsidRPr="00FE1642" w:rsidRDefault="007B4746" w:rsidP="00B24C18">
            <w:pPr>
              <w:pStyle w:val="TableTextDusc"/>
              <w:keepNext/>
              <w:keepLines/>
            </w:pPr>
            <w:r w:rsidRPr="007B4746">
              <w:t>1 July 2013 to 31 December 2016</w:t>
            </w:r>
            <w:r w:rsidR="006E1646">
              <w:t>.</w:t>
            </w:r>
          </w:p>
        </w:tc>
      </w:tr>
      <w:tr w:rsidR="00044561" w:rsidRPr="00044561" w14:paraId="433761A9" w14:textId="77777777" w:rsidTr="00044561">
        <w:tc>
          <w:tcPr>
            <w:tcW w:w="5000" w:type="pct"/>
            <w:gridSpan w:val="2"/>
          </w:tcPr>
          <w:p w14:paraId="38197201" w14:textId="77777777" w:rsidR="00044561" w:rsidRPr="00512DDB" w:rsidRDefault="00044561" w:rsidP="00512DDB">
            <w:pPr>
              <w:pStyle w:val="TableTextDusc"/>
              <w:keepNext/>
              <w:keepLines/>
              <w:rPr>
                <w:b/>
              </w:rPr>
            </w:pPr>
            <w:r w:rsidRPr="00512DDB">
              <w:rPr>
                <w:b/>
              </w:rPr>
              <w:t>ToR 4</w:t>
            </w:r>
            <w:r w:rsidR="00512DDB" w:rsidRPr="00512DDB">
              <w:rPr>
                <w:b/>
              </w:rPr>
              <w:t>: From the findings from ToR 1, 2, 3 consider the impact on the cost</w:t>
            </w:r>
            <w:r w:rsidR="00512DDB" w:rsidRPr="00512DDB">
              <w:rPr>
                <w:b/>
              </w:rPr>
              <w:noBreakHyphen/>
              <w:t>effectiveness of biologics for severe CPP</w:t>
            </w:r>
          </w:p>
        </w:tc>
      </w:tr>
      <w:tr w:rsidR="00044561" w:rsidRPr="00FE1642" w14:paraId="721B377F" w14:textId="77777777" w:rsidTr="00F62952">
        <w:tc>
          <w:tcPr>
            <w:tcW w:w="3220" w:type="pct"/>
          </w:tcPr>
          <w:p w14:paraId="3EAA6D4E" w14:textId="6A47BB06" w:rsidR="00044561" w:rsidRPr="00FE1642" w:rsidRDefault="00044561" w:rsidP="00B24C18">
            <w:pPr>
              <w:pStyle w:val="TableTextDusc"/>
              <w:keepNext/>
              <w:keepLines/>
            </w:pPr>
            <w:r>
              <w:t>A review of previously seen cost effectiveness models from submissions seen by the PBAC for biologics in CPP since 2003</w:t>
            </w:r>
            <w:r w:rsidR="006E1646">
              <w:t>.</w:t>
            </w:r>
          </w:p>
        </w:tc>
        <w:tc>
          <w:tcPr>
            <w:tcW w:w="1780" w:type="pct"/>
          </w:tcPr>
          <w:p w14:paraId="2B302C2B" w14:textId="3A4F368C" w:rsidR="00044561" w:rsidRPr="007B4746" w:rsidRDefault="00044561" w:rsidP="00B24C18">
            <w:pPr>
              <w:pStyle w:val="TableTextDusc"/>
              <w:keepNext/>
              <w:keepLines/>
            </w:pPr>
            <w:r>
              <w:t>Pharmaceutical submissions to the PBAC</w:t>
            </w:r>
            <w:r w:rsidR="006E1646">
              <w:t>.</w:t>
            </w:r>
          </w:p>
        </w:tc>
      </w:tr>
    </w:tbl>
    <w:p w14:paraId="192D0717" w14:textId="77777777" w:rsidR="00FE1642" w:rsidRPr="007B4746" w:rsidRDefault="00FE1642" w:rsidP="00B24C18">
      <w:pPr>
        <w:pStyle w:val="TableFooter"/>
        <w:keepNext/>
        <w:keepLines/>
      </w:pPr>
      <w:r>
        <w:t xml:space="preserve">CPP = </w:t>
      </w:r>
      <w:r w:rsidR="007B4746" w:rsidRPr="007B4746">
        <w:t>chronic plaque psoriasis</w:t>
      </w:r>
      <w:r w:rsidR="007B4746">
        <w:t xml:space="preserve">; </w:t>
      </w:r>
      <w:r w:rsidR="007B4746" w:rsidRPr="007B4746">
        <w:t>PASI</w:t>
      </w:r>
      <w:r w:rsidR="007B4746">
        <w:t xml:space="preserve"> =</w:t>
      </w:r>
      <w:r w:rsidR="007B4746" w:rsidRPr="007B4746">
        <w:t xml:space="preserve"> Psoriasis Area and Severity Index</w:t>
      </w:r>
      <w:r w:rsidR="002878E7">
        <w:t xml:space="preserve">; PBAC = </w:t>
      </w:r>
      <w:r w:rsidR="002878E7" w:rsidRPr="002878E7">
        <w:t>Pharmaceutical Benefits Advisory Committee</w:t>
      </w:r>
    </w:p>
    <w:p w14:paraId="6F75ABE2" w14:textId="77777777" w:rsidR="00D72F71" w:rsidRPr="00FE1642" w:rsidRDefault="00D72F71" w:rsidP="00A77877">
      <w:pPr>
        <w:pStyle w:val="MDSubheading"/>
      </w:pPr>
      <w:bookmarkStart w:id="16" w:name="_Toc503274953"/>
      <w:r w:rsidRPr="00FE1642">
        <w:t>Stakeholder consultation</w:t>
      </w:r>
      <w:bookmarkEnd w:id="16"/>
    </w:p>
    <w:p w14:paraId="104FF597" w14:textId="7A322F3F" w:rsidR="00D72F71" w:rsidRPr="00FE1642" w:rsidRDefault="00D72F71" w:rsidP="00A77877">
      <w:r w:rsidRPr="00FE1642">
        <w:t xml:space="preserve">Opportunities for stakeholder consultation throughout the </w:t>
      </w:r>
      <w:r w:rsidR="00121B1D">
        <w:t>biologics</w:t>
      </w:r>
      <w:r w:rsidRPr="00FE1642">
        <w:t xml:space="preserve"> Review, included: </w:t>
      </w:r>
    </w:p>
    <w:p w14:paraId="668D5854" w14:textId="77777777" w:rsidR="00D72F71" w:rsidRPr="00FE1642" w:rsidRDefault="00D72F71" w:rsidP="000A43C2">
      <w:pPr>
        <w:pStyle w:val="ListParagraph"/>
        <w:numPr>
          <w:ilvl w:val="0"/>
          <w:numId w:val="11"/>
        </w:numPr>
      </w:pPr>
      <w:r w:rsidRPr="00FE1642">
        <w:t>Publi</w:t>
      </w:r>
      <w:r w:rsidR="00152390">
        <w:t>c consultation on the draft ToR</w:t>
      </w:r>
      <w:r w:rsidRPr="00FE1642">
        <w:t>.</w:t>
      </w:r>
    </w:p>
    <w:p w14:paraId="57826A60" w14:textId="77777777" w:rsidR="00D72F71" w:rsidRPr="00FE1642" w:rsidRDefault="00D72F71" w:rsidP="000A43C2">
      <w:pPr>
        <w:pStyle w:val="ListParagraph"/>
        <w:numPr>
          <w:ilvl w:val="0"/>
          <w:numId w:val="11"/>
        </w:numPr>
      </w:pPr>
      <w:r w:rsidRPr="00FE1642">
        <w:t xml:space="preserve">Public submissions to the Review were open from 4 January 2017 to 15 February 2017. Except where requested otherwise, submissions are published on the </w:t>
      </w:r>
      <w:r w:rsidR="00152390" w:rsidRPr="00486E7E">
        <w:t>Review’s website</w:t>
      </w:r>
      <w:r w:rsidR="00152390">
        <w:t>.</w:t>
      </w:r>
      <w:r w:rsidR="00152390" w:rsidRPr="00D26B78">
        <w:t xml:space="preserve"> </w:t>
      </w:r>
      <w:r w:rsidR="00152390" w:rsidRPr="003703EF">
        <w:t xml:space="preserve"> </w:t>
      </w:r>
    </w:p>
    <w:p w14:paraId="4137D93D" w14:textId="724B6FC8" w:rsidR="000C2E58" w:rsidRDefault="00D72F71" w:rsidP="000C2E58">
      <w:pPr>
        <w:pStyle w:val="ListParagraph"/>
        <w:numPr>
          <w:ilvl w:val="0"/>
          <w:numId w:val="11"/>
        </w:numPr>
      </w:pPr>
      <w:r w:rsidRPr="00FE1642">
        <w:t xml:space="preserve">A Stakeholder Forum was held by the Department of Health in Melbourne on </w:t>
      </w:r>
      <w:r w:rsidR="00FB7C5F" w:rsidRPr="00FE1642">
        <w:t>2</w:t>
      </w:r>
      <w:r w:rsidR="00121B1D">
        <w:t>0</w:t>
      </w:r>
      <w:r w:rsidR="00FB7C5F" w:rsidRPr="00FE1642">
        <w:t> </w:t>
      </w:r>
      <w:r w:rsidRPr="00FE1642">
        <w:t xml:space="preserve">October 2017. </w:t>
      </w:r>
      <w:r w:rsidR="000C2E58" w:rsidRPr="00D26B78">
        <w:t xml:space="preserve">The </w:t>
      </w:r>
      <w:r w:rsidR="000C2E58">
        <w:t xml:space="preserve">discussion from the </w:t>
      </w:r>
      <w:r w:rsidR="000C2E58" w:rsidRPr="00D26B78">
        <w:t xml:space="preserve">Stakeholder Forum </w:t>
      </w:r>
      <w:r w:rsidR="000C2E58">
        <w:t xml:space="preserve">is </w:t>
      </w:r>
      <w:r w:rsidR="000C2E58" w:rsidRPr="00D26B78">
        <w:t>summarised in the ToR key findings</w:t>
      </w:r>
      <w:r w:rsidR="000C2E58">
        <w:t xml:space="preserve">. A full version of the </w:t>
      </w:r>
      <w:r w:rsidR="000C2E58" w:rsidRPr="00D26B78">
        <w:t xml:space="preserve">Stakeholder Forum Summary is </w:t>
      </w:r>
      <w:r w:rsidR="000C2E58">
        <w:t xml:space="preserve">available on the </w:t>
      </w:r>
      <w:r w:rsidR="000C2E58" w:rsidRPr="00486E7E">
        <w:t>Review’s website</w:t>
      </w:r>
      <w:r w:rsidR="000C2E58">
        <w:t>.</w:t>
      </w:r>
      <w:r w:rsidR="000C2E58" w:rsidRPr="00D26B78">
        <w:t xml:space="preserve"> </w:t>
      </w:r>
      <w:r w:rsidR="000C2E58" w:rsidRPr="003703EF">
        <w:t xml:space="preserve"> </w:t>
      </w:r>
    </w:p>
    <w:p w14:paraId="1695D660" w14:textId="77777777" w:rsidR="009124A3" w:rsidRPr="00FE1642" w:rsidRDefault="009124A3" w:rsidP="00B24C18">
      <w:pPr>
        <w:pStyle w:val="MDSubheading"/>
      </w:pPr>
      <w:bookmarkStart w:id="17" w:name="_Toc486853473"/>
      <w:bookmarkStart w:id="18" w:name="_Toc503274954"/>
      <w:r w:rsidRPr="00FE1642">
        <w:lastRenderedPageBreak/>
        <w:t>Key Review findings</w:t>
      </w:r>
      <w:bookmarkEnd w:id="17"/>
      <w:bookmarkEnd w:id="18"/>
    </w:p>
    <w:p w14:paraId="0D4DD2DB" w14:textId="77777777" w:rsidR="009124A3" w:rsidRPr="00FE1642" w:rsidRDefault="009124A3" w:rsidP="00B24C18">
      <w:pPr>
        <w:pStyle w:val="MDSubheading"/>
      </w:pPr>
      <w:bookmarkStart w:id="19" w:name="_Toc486853474"/>
      <w:bookmarkStart w:id="20" w:name="_Toc503274955"/>
      <w:r w:rsidRPr="00FE1642">
        <w:t>ToR 1: Comparison of prescribing restrictions and clinical guidelines</w:t>
      </w:r>
      <w:bookmarkEnd w:id="19"/>
      <w:bookmarkEnd w:id="20"/>
    </w:p>
    <w:p w14:paraId="7D9ED4F3" w14:textId="77777777" w:rsidR="00A77877" w:rsidRPr="00FE1642" w:rsidRDefault="00A77877" w:rsidP="00B24C18">
      <w:pPr>
        <w:pStyle w:val="ToRText"/>
        <w:keepNext/>
        <w:keepLines/>
      </w:pPr>
      <w:r w:rsidRPr="00A77877">
        <w:t xml:space="preserve">Q1. Examine whether the PBS restrictions are consistent with the clinical guidelines recommended in Australia for the treatment of severe CPP. </w:t>
      </w:r>
      <w:r w:rsidRPr="00FE1642">
        <w:t xml:space="preserve"> </w:t>
      </w:r>
    </w:p>
    <w:p w14:paraId="515C73B9" w14:textId="530C3B13" w:rsidR="00A77877" w:rsidRPr="00740C05" w:rsidRDefault="00A77877" w:rsidP="00B24C18">
      <w:pPr>
        <w:pStyle w:val="BodyText"/>
        <w:keepNext/>
        <w:keepLines/>
      </w:pPr>
      <w:r>
        <w:t xml:space="preserve">A systematic </w:t>
      </w:r>
      <w:r w:rsidRPr="00740C05">
        <w:t>review</w:t>
      </w:r>
      <w:r>
        <w:t xml:space="preserve"> was conducted to identify clinical guidelines for the treatment </w:t>
      </w:r>
      <w:r w:rsidR="00121B1D">
        <w:t>of</w:t>
      </w:r>
      <w:r>
        <w:t xml:space="preserve"> psoriasis. </w:t>
      </w:r>
      <w:r w:rsidRPr="00740C05">
        <w:t>I</w:t>
      </w:r>
      <w:r w:rsidRPr="00A636A2">
        <w:t xml:space="preserve">n the absence of evidence-based Australian guidelines, </w:t>
      </w:r>
      <w:r w:rsidRPr="00740C05">
        <w:t xml:space="preserve">the </w:t>
      </w:r>
      <w:r w:rsidRPr="00A636A2">
        <w:t xml:space="preserve">search </w:t>
      </w:r>
      <w:r w:rsidRPr="00740C05">
        <w:t>also included</w:t>
      </w:r>
      <w:r w:rsidRPr="00A636A2">
        <w:t xml:space="preserve"> international </w:t>
      </w:r>
      <w:r w:rsidR="0076179A" w:rsidRPr="00A636A2">
        <w:t>guidance</w:t>
      </w:r>
      <w:r w:rsidRPr="00A636A2">
        <w:t xml:space="preserve">. </w:t>
      </w:r>
      <w:r>
        <w:t>G</w:t>
      </w:r>
      <w:r w:rsidRPr="00740C05">
        <w:t xml:space="preserve">uidance documents were assessed for inclusion using the Appraisal of Guidelines for Research and Evaluation (AGREE) II instrument. </w:t>
      </w:r>
    </w:p>
    <w:p w14:paraId="62D06D60" w14:textId="77777777" w:rsidR="00470C5B" w:rsidRPr="00FE1642" w:rsidRDefault="00470C5B" w:rsidP="00A77877">
      <w:pPr>
        <w:pStyle w:val="MDSubsubheding"/>
        <w:rPr>
          <w:rFonts w:eastAsia="Calibri"/>
        </w:rPr>
      </w:pPr>
      <w:bookmarkStart w:id="21" w:name="_Toc503274956"/>
      <w:r w:rsidRPr="00FE1642">
        <w:rPr>
          <w:rFonts w:eastAsia="Calibri"/>
        </w:rPr>
        <w:t>Australian clinical guidelines</w:t>
      </w:r>
      <w:bookmarkEnd w:id="21"/>
    </w:p>
    <w:p w14:paraId="7100EEAA" w14:textId="77777777" w:rsidR="00470C5B" w:rsidRPr="00FE1642" w:rsidRDefault="00470C5B" w:rsidP="00A77877">
      <w:r w:rsidRPr="00FE1642">
        <w:t xml:space="preserve">There are no Australian evidence-based clinical practice guidelines for CPP. However, two Australian consensus statements have been published, noting these were not developed using formal evidence-based guideline processes. </w:t>
      </w:r>
    </w:p>
    <w:p w14:paraId="4BD0D416" w14:textId="77777777" w:rsidR="00470C5B" w:rsidRPr="00FE1642" w:rsidRDefault="00470C5B" w:rsidP="006731E3">
      <w:r w:rsidRPr="00FE1642">
        <w:t xml:space="preserve">The two Australian consensus statements focus on treatment targets and are: </w:t>
      </w:r>
    </w:p>
    <w:p w14:paraId="2565323A" w14:textId="77777777" w:rsidR="00470C5B" w:rsidRPr="00FE1642" w:rsidRDefault="00470C5B" w:rsidP="006731E3">
      <w:pPr>
        <w:pStyle w:val="BulletLast"/>
        <w:spacing w:after="120"/>
        <w:ind w:left="357" w:hanging="357"/>
        <w:contextualSpacing/>
      </w:pPr>
      <w:r w:rsidRPr="00FE1642">
        <w:t xml:space="preserve">Baker 2013, </w:t>
      </w:r>
      <w:r w:rsidR="002878E7">
        <w:t>was</w:t>
      </w:r>
      <w:r w:rsidRPr="00FE1642">
        <w:t xml:space="preserve"> developed by a consensus panel comprising 12 dermatologists.</w:t>
      </w:r>
      <w:r w:rsidR="006E05AF">
        <w:rPr>
          <w:noProof/>
        </w:rPr>
        <w:t>(</w:t>
      </w:r>
      <w:r w:rsidR="00F608CD">
        <w:rPr>
          <w:noProof/>
        </w:rPr>
        <w:t>3</w:t>
      </w:r>
      <w:r w:rsidR="006E05AF">
        <w:rPr>
          <w:noProof/>
        </w:rPr>
        <w:t>)</w:t>
      </w:r>
      <w:r w:rsidRPr="00FE1642">
        <w:t xml:space="preserve"> It was based on a European consensus statement on treatment targets,</w:t>
      </w:r>
      <w:r w:rsidR="006E05AF">
        <w:rPr>
          <w:noProof/>
        </w:rPr>
        <w:t>(</w:t>
      </w:r>
      <w:r w:rsidR="00F608CD">
        <w:rPr>
          <w:noProof/>
        </w:rPr>
        <w:t>4</w:t>
      </w:r>
      <w:r w:rsidR="006E05AF">
        <w:rPr>
          <w:noProof/>
        </w:rPr>
        <w:t>)</w:t>
      </w:r>
      <w:r w:rsidRPr="00FE1642">
        <w:t xml:space="preserve"> which the panel adapted to take account of the Australian medical environment and prescribing patterns.</w:t>
      </w:r>
    </w:p>
    <w:p w14:paraId="36449391" w14:textId="77777777" w:rsidR="00470C5B" w:rsidRPr="00FE1642" w:rsidRDefault="00470C5B" w:rsidP="00A77877">
      <w:pPr>
        <w:pStyle w:val="BulletLast"/>
      </w:pPr>
      <w:r w:rsidRPr="00FE1642">
        <w:t>Australasian College of Dermatologists (ACD) 2017, was based on Baker 2013 and “adapted for use by health professionals” by the ACD.</w:t>
      </w:r>
      <w:r w:rsidR="006E05AF">
        <w:rPr>
          <w:noProof/>
        </w:rPr>
        <w:t>(</w:t>
      </w:r>
      <w:r w:rsidR="00F608CD">
        <w:rPr>
          <w:noProof/>
        </w:rPr>
        <w:t>5</w:t>
      </w:r>
      <w:r w:rsidR="006E05AF">
        <w:rPr>
          <w:noProof/>
        </w:rPr>
        <w:t>)</w:t>
      </w:r>
      <w:r w:rsidRPr="00FE1642">
        <w:t xml:space="preserve"> </w:t>
      </w:r>
    </w:p>
    <w:p w14:paraId="7FDDF9DD" w14:textId="77777777" w:rsidR="00470C5B" w:rsidRPr="00FE1642" w:rsidRDefault="00470C5B" w:rsidP="00A77877">
      <w:r w:rsidRPr="00FE1642">
        <w:t xml:space="preserve">These two documents are </w:t>
      </w:r>
      <w:r w:rsidRPr="00A77877">
        <w:t>referred to</w:t>
      </w:r>
      <w:r w:rsidR="00A77877">
        <w:t xml:space="preserve"> throughout this review as the </w:t>
      </w:r>
      <w:r w:rsidRPr="00A77877">
        <w:t>Australian consensus. The only difference between the two</w:t>
      </w:r>
      <w:r w:rsidR="002878E7">
        <w:t xml:space="preserve"> documents is</w:t>
      </w:r>
      <w:r w:rsidRPr="00A77877">
        <w:t xml:space="preserve"> related to terminology about CPP severity, though this did not affect the treatment targets or algorithm. Both statements included two categories of disease severity with the same thresholds and treatment recommendations: Baker 2013 termed the two categories ‘mild’ and</w:t>
      </w:r>
      <w:r w:rsidRPr="00FE1642">
        <w:t xml:space="preserve"> ‘moderate-to-severe’ CPP; while ACD 2017 termed them ‘mild-to-moderate’ and ‘severe’ CPP (refer to </w:t>
      </w:r>
      <w:r w:rsidR="00594BE2" w:rsidRPr="00FE1642">
        <w:t xml:space="preserve">Table </w:t>
      </w:r>
      <w:r w:rsidR="00594BE2">
        <w:t>ES.</w:t>
      </w:r>
      <w:r w:rsidR="00594BE2">
        <w:rPr>
          <w:noProof/>
        </w:rPr>
        <w:t>3</w:t>
      </w:r>
      <w:r w:rsidRPr="00FE1642">
        <w:t xml:space="preserve">). </w:t>
      </w:r>
    </w:p>
    <w:p w14:paraId="01C78B79" w14:textId="77777777" w:rsidR="00470C5B" w:rsidRPr="00FE1642" w:rsidRDefault="00470C5B" w:rsidP="00A77877">
      <w:pPr>
        <w:pStyle w:val="MDSubsubheding"/>
        <w:rPr>
          <w:rFonts w:eastAsia="Calibri"/>
        </w:rPr>
      </w:pPr>
      <w:bookmarkStart w:id="22" w:name="_Toc503274957"/>
      <w:r w:rsidRPr="00FE1642">
        <w:rPr>
          <w:rFonts w:eastAsia="Calibri"/>
        </w:rPr>
        <w:t>International clinical guidelines</w:t>
      </w:r>
      <w:bookmarkEnd w:id="22"/>
    </w:p>
    <w:p w14:paraId="5F3E61EB" w14:textId="77777777" w:rsidR="00470C5B" w:rsidRPr="00FE1642" w:rsidRDefault="00027F22" w:rsidP="00A77877">
      <w:r>
        <w:t>The</w:t>
      </w:r>
      <w:r w:rsidR="00470C5B" w:rsidRPr="00FE1642">
        <w:t xml:space="preserve"> literature search conducted for international </w:t>
      </w:r>
      <w:r w:rsidR="0076179A" w:rsidRPr="00FE1642">
        <w:t>guidance</w:t>
      </w:r>
      <w:r w:rsidR="0076179A">
        <w:t xml:space="preserve"> </w:t>
      </w:r>
      <w:r w:rsidR="00646884">
        <w:t>documents</w:t>
      </w:r>
      <w:r w:rsidR="00470C5B" w:rsidRPr="00FE1642">
        <w:t xml:space="preserve"> (guidelines and consensus statements) is summarised in Section 1.2 Methodology. The included guidance</w:t>
      </w:r>
      <w:r w:rsidR="00B06F97">
        <w:t xml:space="preserve"> </w:t>
      </w:r>
      <w:r w:rsidR="00646884">
        <w:t>documents</w:t>
      </w:r>
      <w:r w:rsidR="00470C5B" w:rsidRPr="00FE1642">
        <w:t xml:space="preserve"> are summarised in the </w:t>
      </w:r>
      <w:r w:rsidR="00646884">
        <w:t xml:space="preserve">following </w:t>
      </w:r>
      <w:r w:rsidR="00470C5B" w:rsidRPr="00FE1642">
        <w:t>table.</w:t>
      </w:r>
    </w:p>
    <w:p w14:paraId="773F60B7" w14:textId="77777777" w:rsidR="009C06A2" w:rsidRPr="00FE1642" w:rsidRDefault="009C06A2" w:rsidP="002F7DDA">
      <w:pPr>
        <w:pStyle w:val="MDTabCaption"/>
        <w:keepLines/>
      </w:pPr>
      <w:bookmarkStart w:id="23" w:name="_Toc503274992"/>
      <w:r w:rsidRPr="00FE1642">
        <w:lastRenderedPageBreak/>
        <w:t xml:space="preserve">Table </w:t>
      </w:r>
      <w:r w:rsidR="007B4746">
        <w:t>ES.</w:t>
      </w:r>
      <w:r w:rsidR="00594BE2">
        <w:t>2</w:t>
      </w:r>
      <w:r w:rsidRPr="00FE1642">
        <w:t>: Guidance</w:t>
      </w:r>
      <w:r w:rsidR="0076179A">
        <w:t xml:space="preserve"> </w:t>
      </w:r>
      <w:r w:rsidR="00646884">
        <w:t>documents</w:t>
      </w:r>
      <w:r w:rsidR="0076179A">
        <w:t xml:space="preserve"> </w:t>
      </w:r>
      <w:r w:rsidRPr="00FE1642">
        <w:t>included in Term of Reference 1</w:t>
      </w:r>
      <w:bookmarkEnd w:id="23"/>
    </w:p>
    <w:tbl>
      <w:tblPr>
        <w:tblStyle w:val="TableGrid"/>
        <w:tblW w:w="5001" w:type="pct"/>
        <w:tblLook w:val="04A0" w:firstRow="1" w:lastRow="0" w:firstColumn="1" w:lastColumn="0" w:noHBand="0" w:noVBand="1"/>
        <w:tblCaption w:val="Table ES.2"/>
        <w:tblDescription w:val="Guidances included in Term of Reference 1"/>
      </w:tblPr>
      <w:tblGrid>
        <w:gridCol w:w="1971"/>
        <w:gridCol w:w="7047"/>
      </w:tblGrid>
      <w:tr w:rsidR="00470C5B" w:rsidRPr="00FE1642" w14:paraId="0B18512D" w14:textId="77777777" w:rsidTr="00470C5B">
        <w:trPr>
          <w:cantSplit/>
          <w:trHeight w:val="193"/>
          <w:tblHeader/>
        </w:trPr>
        <w:tc>
          <w:tcPr>
            <w:tcW w:w="1093" w:type="pct"/>
            <w:shd w:val="clear" w:color="auto" w:fill="BFBFBF" w:themeFill="background1" w:themeFillShade="BF"/>
          </w:tcPr>
          <w:p w14:paraId="556E5659" w14:textId="77777777" w:rsidR="00470C5B" w:rsidRPr="00FE1642" w:rsidRDefault="00470C5B" w:rsidP="002F7DDA">
            <w:pPr>
              <w:keepNext/>
              <w:keepLines/>
              <w:rPr>
                <w:rFonts w:eastAsia="Calibri"/>
              </w:rPr>
            </w:pPr>
            <w:r w:rsidRPr="00FE1642">
              <w:rPr>
                <w:rFonts w:eastAsia="Calibri"/>
              </w:rPr>
              <w:t xml:space="preserve">Guidance </w:t>
            </w:r>
          </w:p>
        </w:tc>
        <w:tc>
          <w:tcPr>
            <w:tcW w:w="3907" w:type="pct"/>
            <w:shd w:val="clear" w:color="auto" w:fill="BFBFBF" w:themeFill="background1" w:themeFillShade="BF"/>
          </w:tcPr>
          <w:p w14:paraId="04F37691" w14:textId="77777777" w:rsidR="00470C5B" w:rsidRPr="00FE1642" w:rsidRDefault="00470C5B" w:rsidP="002F7DDA">
            <w:pPr>
              <w:keepNext/>
              <w:keepLines/>
              <w:rPr>
                <w:rFonts w:eastAsia="Calibri"/>
              </w:rPr>
            </w:pPr>
            <w:r w:rsidRPr="00FE1642">
              <w:rPr>
                <w:rFonts w:eastAsia="Calibri"/>
              </w:rPr>
              <w:t>Title</w:t>
            </w:r>
          </w:p>
        </w:tc>
      </w:tr>
      <w:tr w:rsidR="00470C5B" w:rsidRPr="00F62952" w14:paraId="6CA7D92B" w14:textId="77777777" w:rsidTr="00470C5B">
        <w:trPr>
          <w:cantSplit/>
          <w:trHeight w:val="197"/>
        </w:trPr>
        <w:tc>
          <w:tcPr>
            <w:tcW w:w="5000" w:type="pct"/>
            <w:gridSpan w:val="2"/>
          </w:tcPr>
          <w:p w14:paraId="3EEEDD2D" w14:textId="77777777" w:rsidR="00470C5B" w:rsidRPr="00F62952" w:rsidRDefault="00470C5B" w:rsidP="002F7DDA">
            <w:pPr>
              <w:keepNext/>
              <w:keepLines/>
              <w:rPr>
                <w:rFonts w:eastAsia="Calibri"/>
                <w:b/>
              </w:rPr>
            </w:pPr>
            <w:r w:rsidRPr="00F62952">
              <w:rPr>
                <w:rFonts w:eastAsia="Calibri"/>
                <w:b/>
              </w:rPr>
              <w:t xml:space="preserve">Evidence-based guidelines </w:t>
            </w:r>
          </w:p>
        </w:tc>
      </w:tr>
      <w:tr w:rsidR="00470C5B" w:rsidRPr="00FE1642" w14:paraId="480CBC3D" w14:textId="77777777" w:rsidTr="00470C5B">
        <w:trPr>
          <w:cantSplit/>
          <w:trHeight w:val="197"/>
        </w:trPr>
        <w:tc>
          <w:tcPr>
            <w:tcW w:w="1093" w:type="pct"/>
          </w:tcPr>
          <w:p w14:paraId="7E432DF2" w14:textId="77777777" w:rsidR="00470C5B" w:rsidRPr="00FE1642" w:rsidRDefault="00470C5B" w:rsidP="002F7DDA">
            <w:pPr>
              <w:keepNext/>
              <w:keepLines/>
              <w:rPr>
                <w:rFonts w:eastAsia="Calibri"/>
              </w:rPr>
            </w:pPr>
            <w:r w:rsidRPr="00FE1642">
              <w:rPr>
                <w:rFonts w:eastAsia="Calibri"/>
              </w:rPr>
              <w:t xml:space="preserve">Canada, 2016 update </w:t>
            </w:r>
            <w:r w:rsidR="006E05AF">
              <w:rPr>
                <w:rFonts w:eastAsia="Calibri"/>
                <w:noProof/>
              </w:rPr>
              <w:t>(</w:t>
            </w:r>
            <w:r w:rsidR="00F608CD">
              <w:rPr>
                <w:rFonts w:eastAsia="Calibri"/>
                <w:noProof/>
              </w:rPr>
              <w:t>6</w:t>
            </w:r>
            <w:r w:rsidR="006E05AF">
              <w:rPr>
                <w:rFonts w:eastAsia="Calibri"/>
                <w:noProof/>
              </w:rPr>
              <w:t xml:space="preserve">, </w:t>
            </w:r>
            <w:r w:rsidR="00F608CD">
              <w:rPr>
                <w:rFonts w:eastAsia="Calibri"/>
                <w:noProof/>
              </w:rPr>
              <w:t>7</w:t>
            </w:r>
            <w:r w:rsidR="006E05AF">
              <w:rPr>
                <w:rFonts w:eastAsia="Calibri"/>
                <w:noProof/>
              </w:rPr>
              <w:t>)</w:t>
            </w:r>
            <w:r w:rsidRPr="00FE1642">
              <w:rPr>
                <w:rFonts w:eastAsia="Calibri"/>
              </w:rPr>
              <w:t xml:space="preserve"> </w:t>
            </w:r>
          </w:p>
        </w:tc>
        <w:tc>
          <w:tcPr>
            <w:tcW w:w="3907" w:type="pct"/>
          </w:tcPr>
          <w:p w14:paraId="72468955" w14:textId="77777777" w:rsidR="00470C5B" w:rsidRPr="00FE1642" w:rsidRDefault="00470C5B" w:rsidP="002F7DDA">
            <w:pPr>
              <w:keepNext/>
              <w:keepLines/>
            </w:pPr>
            <w:r w:rsidRPr="00FE1642">
              <w:t xml:space="preserve">2016 Addendum to the Canadian Guidelines for the Management of Plaque Psoriasis 2009 </w:t>
            </w:r>
          </w:p>
          <w:p w14:paraId="170F7BCA" w14:textId="77777777" w:rsidR="00470C5B" w:rsidRPr="00FE1642" w:rsidRDefault="00470C5B" w:rsidP="002F7DDA">
            <w:pPr>
              <w:keepNext/>
              <w:keepLines/>
              <w:rPr>
                <w:rFonts w:eastAsia="Calibri"/>
              </w:rPr>
            </w:pPr>
            <w:r w:rsidRPr="00FE1642">
              <w:t>Canadian Guidelines for the Management of Plaque Psoriasis, 2009</w:t>
            </w:r>
          </w:p>
        </w:tc>
      </w:tr>
      <w:tr w:rsidR="00470C5B" w:rsidRPr="00FE1642" w14:paraId="4CF99A0D" w14:textId="77777777" w:rsidTr="00470C5B">
        <w:trPr>
          <w:cantSplit/>
        </w:trPr>
        <w:tc>
          <w:tcPr>
            <w:tcW w:w="1093" w:type="pct"/>
          </w:tcPr>
          <w:p w14:paraId="2B9E516B" w14:textId="77777777" w:rsidR="00470C5B" w:rsidRPr="00FE1642" w:rsidRDefault="00470C5B" w:rsidP="002F7DDA">
            <w:pPr>
              <w:keepNext/>
              <w:keepLines/>
              <w:rPr>
                <w:rFonts w:eastAsia="Calibri"/>
              </w:rPr>
            </w:pPr>
            <w:r w:rsidRPr="00FE1642">
              <w:rPr>
                <w:rFonts w:eastAsia="Calibri"/>
              </w:rPr>
              <w:t xml:space="preserve">EU, 2015 </w:t>
            </w:r>
            <w:r w:rsidR="006E05AF">
              <w:rPr>
                <w:rFonts w:eastAsia="Calibri"/>
                <w:noProof/>
              </w:rPr>
              <w:t>(</w:t>
            </w:r>
            <w:r w:rsidR="00F608CD">
              <w:rPr>
                <w:rFonts w:eastAsia="Calibri"/>
                <w:noProof/>
              </w:rPr>
              <w:t>8</w:t>
            </w:r>
            <w:r w:rsidR="006E05AF">
              <w:rPr>
                <w:rFonts w:eastAsia="Calibri"/>
                <w:noProof/>
              </w:rPr>
              <w:t xml:space="preserve">, </w:t>
            </w:r>
            <w:r w:rsidR="00F608CD">
              <w:rPr>
                <w:rFonts w:eastAsia="Calibri"/>
                <w:noProof/>
              </w:rPr>
              <w:t>9</w:t>
            </w:r>
            <w:r w:rsidR="006E05AF">
              <w:rPr>
                <w:rFonts w:eastAsia="Calibri"/>
                <w:noProof/>
              </w:rPr>
              <w:t>)</w:t>
            </w:r>
            <w:r w:rsidRPr="00FE1642">
              <w:rPr>
                <w:rFonts w:eastAsia="Calibri"/>
              </w:rPr>
              <w:t xml:space="preserve"> </w:t>
            </w:r>
          </w:p>
        </w:tc>
        <w:tc>
          <w:tcPr>
            <w:tcW w:w="3907" w:type="pct"/>
          </w:tcPr>
          <w:p w14:paraId="73A646DE" w14:textId="174325A4" w:rsidR="00470C5B" w:rsidRPr="00FE1642" w:rsidRDefault="00470C5B" w:rsidP="002F7DDA">
            <w:pPr>
              <w:keepNext/>
              <w:keepLines/>
              <w:rPr>
                <w:rFonts w:eastAsia="Calibri"/>
              </w:rPr>
            </w:pPr>
            <w:r w:rsidRPr="00FE1642">
              <w:rPr>
                <w:rFonts w:eastAsia="Calibri"/>
              </w:rPr>
              <w:t>European S3 Guidelines on the systemic treatment of psoriasis vulgaris Update 2015 (6) (European Dermatology Forum (EDF) in cooperation with the European Association for Dermatology and Venereology (EADV) and the International Psoriasis Council (IPC))</w:t>
            </w:r>
          </w:p>
        </w:tc>
      </w:tr>
      <w:tr w:rsidR="00470C5B" w:rsidRPr="00FE1642" w14:paraId="4DD21ECB" w14:textId="77777777" w:rsidTr="00470C5B">
        <w:trPr>
          <w:cantSplit/>
        </w:trPr>
        <w:tc>
          <w:tcPr>
            <w:tcW w:w="1093" w:type="pct"/>
          </w:tcPr>
          <w:p w14:paraId="1E97B1AD" w14:textId="77777777" w:rsidR="00470C5B" w:rsidRPr="00FE1642" w:rsidRDefault="00470C5B" w:rsidP="002F7DDA">
            <w:pPr>
              <w:keepNext/>
              <w:keepLines/>
              <w:rPr>
                <w:rFonts w:eastAsia="Calibri"/>
              </w:rPr>
            </w:pPr>
            <w:r w:rsidRPr="00FE1642">
              <w:rPr>
                <w:rFonts w:eastAsia="Calibri"/>
              </w:rPr>
              <w:t xml:space="preserve">UK NICE, 2014 update </w:t>
            </w:r>
            <w:r w:rsidR="006E05AF">
              <w:rPr>
                <w:rFonts w:eastAsia="Calibri"/>
                <w:noProof/>
              </w:rPr>
              <w:t>(</w:t>
            </w:r>
            <w:r w:rsidR="00F608CD">
              <w:rPr>
                <w:rFonts w:eastAsia="Calibri"/>
                <w:noProof/>
              </w:rPr>
              <w:t>10</w:t>
            </w:r>
            <w:r w:rsidR="006E05AF">
              <w:rPr>
                <w:rFonts w:eastAsia="Calibri"/>
                <w:noProof/>
              </w:rPr>
              <w:t xml:space="preserve">, </w:t>
            </w:r>
            <w:r w:rsidR="00F608CD">
              <w:rPr>
                <w:rFonts w:eastAsia="Calibri"/>
                <w:noProof/>
              </w:rPr>
              <w:t>11</w:t>
            </w:r>
            <w:r w:rsidR="006E05AF">
              <w:rPr>
                <w:rFonts w:eastAsia="Calibri"/>
                <w:noProof/>
              </w:rPr>
              <w:t>)</w:t>
            </w:r>
            <w:r w:rsidRPr="00FE1642">
              <w:rPr>
                <w:rFonts w:eastAsia="Calibri"/>
              </w:rPr>
              <w:t xml:space="preserve"> </w:t>
            </w:r>
          </w:p>
        </w:tc>
        <w:tc>
          <w:tcPr>
            <w:tcW w:w="3907" w:type="pct"/>
          </w:tcPr>
          <w:p w14:paraId="3C88023B" w14:textId="77777777" w:rsidR="00470C5B" w:rsidRPr="00FE1642" w:rsidRDefault="00470C5B" w:rsidP="002F7DDA">
            <w:pPr>
              <w:keepNext/>
              <w:keepLines/>
              <w:rPr>
                <w:rFonts w:eastAsia="Calibri"/>
              </w:rPr>
            </w:pPr>
            <w:r w:rsidRPr="00FE1642">
              <w:rPr>
                <w:rFonts w:eastAsia="Calibri"/>
              </w:rPr>
              <w:t>Psoriasis: Evidence Update November 2014. A summary of selected new evidence relevant to NICE clinical guideline 153 ‘The assessment and management of psoriasis’ (2012). Evidence Update 68</w:t>
            </w:r>
          </w:p>
          <w:p w14:paraId="48CA56BE" w14:textId="77777777" w:rsidR="00470C5B" w:rsidRPr="00FE1642" w:rsidRDefault="00470C5B" w:rsidP="002F7DDA">
            <w:pPr>
              <w:keepNext/>
              <w:keepLines/>
              <w:rPr>
                <w:rFonts w:eastAsia="Calibri"/>
              </w:rPr>
            </w:pPr>
            <w:r w:rsidRPr="00FE1642">
              <w:rPr>
                <w:rFonts w:eastAsia="Calibri"/>
              </w:rPr>
              <w:t xml:space="preserve">Psoriasis: assessment and management Clinical guideline 153 (2012).  </w:t>
            </w:r>
          </w:p>
          <w:p w14:paraId="156E918A" w14:textId="77777777" w:rsidR="00470C5B" w:rsidRPr="00FE1642" w:rsidRDefault="00470C5B" w:rsidP="002F7DDA">
            <w:pPr>
              <w:keepNext/>
              <w:keepLines/>
              <w:rPr>
                <w:rFonts w:eastAsia="Calibri"/>
              </w:rPr>
            </w:pPr>
            <w:r w:rsidRPr="00FE1642">
              <w:rPr>
                <w:rFonts w:eastAsia="Calibri"/>
              </w:rPr>
              <w:t xml:space="preserve">Supplemented with the Technology Appraisal Guidances for: etanercept; infliximab; ustekinumab; secukinumab; ixekizumab; and adalimumab. </w:t>
            </w:r>
            <w:r w:rsidR="006E05AF">
              <w:rPr>
                <w:rFonts w:eastAsia="Calibri"/>
                <w:noProof/>
              </w:rPr>
              <w:t>(</w:t>
            </w:r>
            <w:r w:rsidR="00F608CD">
              <w:rPr>
                <w:rFonts w:eastAsia="Calibri"/>
                <w:noProof/>
              </w:rPr>
              <w:t>12-17</w:t>
            </w:r>
            <w:r w:rsidR="006E05AF">
              <w:rPr>
                <w:rFonts w:eastAsia="Calibri"/>
                <w:noProof/>
              </w:rPr>
              <w:t>)</w:t>
            </w:r>
          </w:p>
        </w:tc>
      </w:tr>
      <w:tr w:rsidR="00470C5B" w:rsidRPr="00FE1642" w14:paraId="19A91072" w14:textId="77777777" w:rsidTr="00470C5B">
        <w:trPr>
          <w:cantSplit/>
        </w:trPr>
        <w:tc>
          <w:tcPr>
            <w:tcW w:w="1093" w:type="pct"/>
          </w:tcPr>
          <w:p w14:paraId="10F42C6A" w14:textId="77777777" w:rsidR="00470C5B" w:rsidRPr="00FE1642" w:rsidRDefault="00470C5B" w:rsidP="002F7DDA">
            <w:pPr>
              <w:keepNext/>
              <w:keepLines/>
              <w:rPr>
                <w:rFonts w:eastAsia="Calibri"/>
              </w:rPr>
            </w:pPr>
            <w:r w:rsidRPr="00FE1642">
              <w:rPr>
                <w:rFonts w:eastAsia="Calibri"/>
              </w:rPr>
              <w:t xml:space="preserve">US AAD, 2011 </w:t>
            </w:r>
            <w:r w:rsidR="006E05AF">
              <w:rPr>
                <w:rFonts w:eastAsia="Calibri"/>
                <w:noProof/>
              </w:rPr>
              <w:t>(</w:t>
            </w:r>
            <w:r w:rsidR="00F608CD">
              <w:rPr>
                <w:rFonts w:eastAsia="Calibri"/>
                <w:noProof/>
              </w:rPr>
              <w:t>18</w:t>
            </w:r>
            <w:r w:rsidR="006E05AF">
              <w:rPr>
                <w:rFonts w:eastAsia="Calibri"/>
                <w:noProof/>
              </w:rPr>
              <w:t>)</w:t>
            </w:r>
            <w:r w:rsidRPr="00FE1642">
              <w:rPr>
                <w:rFonts w:eastAsia="Calibri"/>
              </w:rPr>
              <w:t xml:space="preserve"> </w:t>
            </w:r>
          </w:p>
        </w:tc>
        <w:tc>
          <w:tcPr>
            <w:tcW w:w="3907" w:type="pct"/>
          </w:tcPr>
          <w:p w14:paraId="025889BF" w14:textId="77777777" w:rsidR="00470C5B" w:rsidRPr="00FE1642" w:rsidRDefault="00470C5B" w:rsidP="002F7DDA">
            <w:pPr>
              <w:keepNext/>
              <w:keepLines/>
              <w:rPr>
                <w:rFonts w:eastAsia="Calibri"/>
              </w:rPr>
            </w:pPr>
            <w:r w:rsidRPr="00FE1642">
              <w:rPr>
                <w:rFonts w:eastAsia="Calibri"/>
              </w:rPr>
              <w:t xml:space="preserve">Guidelines of care for the management of psoriasis and psoriatic arthritis </w:t>
            </w:r>
          </w:p>
        </w:tc>
      </w:tr>
      <w:tr w:rsidR="00470C5B" w:rsidRPr="00FE1642" w14:paraId="3535CF24" w14:textId="77777777" w:rsidTr="00470C5B">
        <w:trPr>
          <w:cantSplit/>
        </w:trPr>
        <w:tc>
          <w:tcPr>
            <w:tcW w:w="1093" w:type="pct"/>
          </w:tcPr>
          <w:p w14:paraId="05E8B7C4" w14:textId="77777777" w:rsidR="00470C5B" w:rsidRPr="00FE1642" w:rsidRDefault="00470C5B" w:rsidP="002F7DDA">
            <w:pPr>
              <w:keepNext/>
              <w:keepLines/>
              <w:rPr>
                <w:rFonts w:eastAsia="Calibri"/>
              </w:rPr>
            </w:pPr>
            <w:r w:rsidRPr="00FE1642">
              <w:rPr>
                <w:rFonts w:eastAsia="Calibri"/>
              </w:rPr>
              <w:t>UK BAD, 2009</w:t>
            </w:r>
            <w:r w:rsidR="006E05AF">
              <w:rPr>
                <w:rFonts w:eastAsia="Calibri"/>
                <w:noProof/>
              </w:rPr>
              <w:t>(</w:t>
            </w:r>
            <w:r w:rsidR="00F608CD">
              <w:rPr>
                <w:rFonts w:eastAsia="Calibri"/>
                <w:noProof/>
              </w:rPr>
              <w:t>19</w:t>
            </w:r>
            <w:r w:rsidR="006E05AF">
              <w:rPr>
                <w:rFonts w:eastAsia="Calibri"/>
                <w:noProof/>
              </w:rPr>
              <w:t>)</w:t>
            </w:r>
            <w:r w:rsidRPr="00FE1642">
              <w:rPr>
                <w:rFonts w:eastAsia="Calibri"/>
              </w:rPr>
              <w:t xml:space="preserve"> </w:t>
            </w:r>
          </w:p>
        </w:tc>
        <w:tc>
          <w:tcPr>
            <w:tcW w:w="3907" w:type="pct"/>
          </w:tcPr>
          <w:p w14:paraId="4BDE9638" w14:textId="77777777" w:rsidR="00470C5B" w:rsidRPr="00FE1642" w:rsidRDefault="00470C5B" w:rsidP="002F7DDA">
            <w:pPr>
              <w:keepNext/>
              <w:keepLines/>
              <w:rPr>
                <w:rFonts w:eastAsia="Calibri"/>
              </w:rPr>
            </w:pPr>
            <w:r w:rsidRPr="00FE1642">
              <w:rPr>
                <w:rFonts w:eastAsia="Calibri"/>
              </w:rPr>
              <w:t>British Association of Dermatologists’ guidelines for biologic interventions for psoriasis 2009</w:t>
            </w:r>
          </w:p>
        </w:tc>
      </w:tr>
      <w:tr w:rsidR="00470C5B" w:rsidRPr="00F62952" w14:paraId="169BA71E" w14:textId="77777777" w:rsidTr="00470C5B">
        <w:trPr>
          <w:cantSplit/>
        </w:trPr>
        <w:tc>
          <w:tcPr>
            <w:tcW w:w="5000" w:type="pct"/>
            <w:gridSpan w:val="2"/>
          </w:tcPr>
          <w:p w14:paraId="6C586806" w14:textId="77777777" w:rsidR="00470C5B" w:rsidRPr="00F62952" w:rsidRDefault="00470C5B" w:rsidP="002F7DDA">
            <w:pPr>
              <w:keepNext/>
              <w:keepLines/>
              <w:rPr>
                <w:rFonts w:eastAsia="Calibri"/>
                <w:b/>
              </w:rPr>
            </w:pPr>
            <w:r w:rsidRPr="00F62952">
              <w:rPr>
                <w:rFonts w:eastAsia="Calibri"/>
                <w:b/>
              </w:rPr>
              <w:t>Consensus statements</w:t>
            </w:r>
          </w:p>
        </w:tc>
      </w:tr>
      <w:tr w:rsidR="00470C5B" w:rsidRPr="00FE1642" w14:paraId="6983E00F" w14:textId="77777777" w:rsidTr="00470C5B">
        <w:trPr>
          <w:cantSplit/>
        </w:trPr>
        <w:tc>
          <w:tcPr>
            <w:tcW w:w="1093" w:type="pct"/>
          </w:tcPr>
          <w:p w14:paraId="6C66E3F7" w14:textId="77777777" w:rsidR="00470C5B" w:rsidRPr="00FE1642" w:rsidRDefault="00470C5B" w:rsidP="002F7DDA">
            <w:pPr>
              <w:keepNext/>
              <w:keepLines/>
              <w:rPr>
                <w:rFonts w:eastAsia="Calibri"/>
              </w:rPr>
            </w:pPr>
            <w:r w:rsidRPr="00FE1642">
              <w:rPr>
                <w:rFonts w:eastAsia="Calibri"/>
              </w:rPr>
              <w:t xml:space="preserve">Australian consensus’ </w:t>
            </w:r>
            <w:r w:rsidR="006E05AF">
              <w:rPr>
                <w:rFonts w:eastAsia="Calibri"/>
                <w:noProof/>
              </w:rPr>
              <w:t>(</w:t>
            </w:r>
            <w:r w:rsidR="00F608CD">
              <w:rPr>
                <w:rFonts w:eastAsia="Calibri"/>
                <w:noProof/>
              </w:rPr>
              <w:t>3</w:t>
            </w:r>
            <w:r w:rsidR="006E05AF">
              <w:rPr>
                <w:rFonts w:eastAsia="Calibri"/>
                <w:noProof/>
              </w:rPr>
              <w:t xml:space="preserve">, </w:t>
            </w:r>
            <w:r w:rsidR="00F608CD">
              <w:rPr>
                <w:rFonts w:eastAsia="Calibri"/>
                <w:noProof/>
              </w:rPr>
              <w:t>5</w:t>
            </w:r>
            <w:r w:rsidR="006E05AF">
              <w:rPr>
                <w:rFonts w:eastAsia="Calibri"/>
                <w:noProof/>
              </w:rPr>
              <w:t>)</w:t>
            </w:r>
          </w:p>
        </w:tc>
        <w:tc>
          <w:tcPr>
            <w:tcW w:w="3907" w:type="pct"/>
          </w:tcPr>
          <w:p w14:paraId="4244722B" w14:textId="77777777" w:rsidR="00470C5B" w:rsidRPr="00FE1642" w:rsidRDefault="00470C5B" w:rsidP="002F7DDA">
            <w:pPr>
              <w:keepNext/>
              <w:keepLines/>
              <w:rPr>
                <w:rFonts w:eastAsia="Calibri"/>
              </w:rPr>
            </w:pPr>
            <w:r w:rsidRPr="00FE1642">
              <w:t>Australasian College of Dermatologists</w:t>
            </w:r>
            <w:r w:rsidRPr="00FE1642">
              <w:rPr>
                <w:rFonts w:eastAsia="Calibri"/>
              </w:rPr>
              <w:t xml:space="preserve"> 2017: Treatment goals for psoriasis: The Australian Psoriasis Treatment Goals Project</w:t>
            </w:r>
          </w:p>
          <w:p w14:paraId="56DCA3C7" w14:textId="77777777" w:rsidR="00470C5B" w:rsidRPr="00FE1642" w:rsidRDefault="00470C5B" w:rsidP="002F7DDA">
            <w:pPr>
              <w:keepNext/>
              <w:keepLines/>
              <w:rPr>
                <w:rFonts w:eastAsia="Calibri"/>
              </w:rPr>
            </w:pPr>
            <w:r w:rsidRPr="00FE1642">
              <w:rPr>
                <w:rFonts w:eastAsia="Calibri"/>
              </w:rPr>
              <w:t>Baker 2013: Treatment goals for moderate to severe psoriasis: An Australian consensus</w:t>
            </w:r>
          </w:p>
        </w:tc>
      </w:tr>
      <w:tr w:rsidR="00470C5B" w:rsidRPr="00FE1642" w14:paraId="350062F4" w14:textId="77777777" w:rsidTr="00470C5B">
        <w:trPr>
          <w:cantSplit/>
        </w:trPr>
        <w:tc>
          <w:tcPr>
            <w:tcW w:w="1093" w:type="pct"/>
          </w:tcPr>
          <w:p w14:paraId="03378654" w14:textId="77777777" w:rsidR="00470C5B" w:rsidRPr="00FE1642" w:rsidRDefault="00470C5B" w:rsidP="002F7DDA">
            <w:pPr>
              <w:keepNext/>
              <w:keepLines/>
              <w:rPr>
                <w:rFonts w:eastAsia="Calibri"/>
              </w:rPr>
            </w:pPr>
            <w:r w:rsidRPr="00FE1642">
              <w:rPr>
                <w:rFonts w:eastAsia="Calibri"/>
              </w:rPr>
              <w:t xml:space="preserve">US NPF, </w:t>
            </w:r>
            <w:r w:rsidR="006E05AF">
              <w:rPr>
                <w:rFonts w:eastAsia="Calibri"/>
                <w:noProof/>
              </w:rPr>
              <w:t>(</w:t>
            </w:r>
            <w:r w:rsidR="00F608CD">
              <w:rPr>
                <w:rFonts w:eastAsia="Calibri"/>
                <w:noProof/>
              </w:rPr>
              <w:t>20</w:t>
            </w:r>
            <w:r w:rsidR="006E05AF">
              <w:rPr>
                <w:rFonts w:eastAsia="Calibri"/>
                <w:noProof/>
              </w:rPr>
              <w:t>)</w:t>
            </w:r>
            <w:r w:rsidRPr="00FE1642">
              <w:rPr>
                <w:rFonts w:eastAsia="Calibri"/>
              </w:rPr>
              <w:t xml:space="preserve"> 2017</w:t>
            </w:r>
          </w:p>
        </w:tc>
        <w:tc>
          <w:tcPr>
            <w:tcW w:w="3907" w:type="pct"/>
          </w:tcPr>
          <w:p w14:paraId="0429070E" w14:textId="77777777" w:rsidR="00470C5B" w:rsidRPr="00FE1642" w:rsidRDefault="00470C5B" w:rsidP="002F7DDA">
            <w:pPr>
              <w:keepNext/>
              <w:keepLines/>
              <w:rPr>
                <w:rFonts w:eastAsia="Calibri"/>
              </w:rPr>
            </w:pPr>
            <w:r w:rsidRPr="00FE1642">
              <w:rPr>
                <w:rFonts w:eastAsia="Calibri"/>
              </w:rPr>
              <w:t xml:space="preserve">From the Medical Board of the National Psoriasis Foundation: Treatment targets for plaque psoriasis </w:t>
            </w:r>
            <w:r w:rsidR="006E05AF">
              <w:rPr>
                <w:rFonts w:eastAsia="Calibri"/>
                <w:noProof/>
              </w:rPr>
              <w:t>(</w:t>
            </w:r>
            <w:r w:rsidR="00F608CD">
              <w:rPr>
                <w:rFonts w:eastAsia="Calibri"/>
                <w:noProof/>
              </w:rPr>
              <w:t>20</w:t>
            </w:r>
            <w:r w:rsidR="006E05AF">
              <w:rPr>
                <w:rFonts w:eastAsia="Calibri"/>
                <w:noProof/>
              </w:rPr>
              <w:t>)</w:t>
            </w:r>
          </w:p>
        </w:tc>
      </w:tr>
      <w:tr w:rsidR="00470C5B" w:rsidRPr="00FE1642" w14:paraId="353F9B87" w14:textId="77777777" w:rsidTr="00470C5B">
        <w:trPr>
          <w:cantSplit/>
        </w:trPr>
        <w:tc>
          <w:tcPr>
            <w:tcW w:w="1093" w:type="pct"/>
          </w:tcPr>
          <w:p w14:paraId="6AE10451" w14:textId="77777777" w:rsidR="00470C5B" w:rsidRPr="00FE1642" w:rsidRDefault="00470C5B" w:rsidP="002F7DDA">
            <w:pPr>
              <w:keepNext/>
              <w:keepLines/>
              <w:rPr>
                <w:rFonts w:eastAsia="Calibri"/>
              </w:rPr>
            </w:pPr>
            <w:r w:rsidRPr="00FE1642">
              <w:rPr>
                <w:rFonts w:eastAsia="Calibri"/>
              </w:rPr>
              <w:t xml:space="preserve">EU tx optimisation consensus, 2014 </w:t>
            </w:r>
            <w:r w:rsidR="006E05AF">
              <w:rPr>
                <w:rFonts w:eastAsia="Calibri"/>
                <w:noProof/>
              </w:rPr>
              <w:t>(</w:t>
            </w:r>
            <w:r w:rsidR="00F608CD">
              <w:rPr>
                <w:rFonts w:eastAsia="Calibri"/>
                <w:noProof/>
              </w:rPr>
              <w:t>21</w:t>
            </w:r>
            <w:r w:rsidR="006E05AF">
              <w:rPr>
                <w:rFonts w:eastAsia="Calibri"/>
                <w:noProof/>
              </w:rPr>
              <w:t>)</w:t>
            </w:r>
          </w:p>
        </w:tc>
        <w:tc>
          <w:tcPr>
            <w:tcW w:w="3907" w:type="pct"/>
          </w:tcPr>
          <w:p w14:paraId="556F98A3" w14:textId="77777777" w:rsidR="00470C5B" w:rsidRPr="00FE1642" w:rsidRDefault="00470C5B" w:rsidP="002F7DDA">
            <w:pPr>
              <w:keepNext/>
              <w:keepLines/>
              <w:rPr>
                <w:rFonts w:eastAsia="Calibri"/>
              </w:rPr>
            </w:pPr>
            <w:r w:rsidRPr="00FE1642">
              <w:rPr>
                <w:rFonts w:eastAsia="Calibri"/>
              </w:rPr>
              <w:t>A consensus report on appropriate treatment optimization and transitioning in the management of moderate-to-severe plaque psoriasis.</w:t>
            </w:r>
          </w:p>
        </w:tc>
      </w:tr>
      <w:tr w:rsidR="00470C5B" w:rsidRPr="00FE1642" w14:paraId="417EB3ED" w14:textId="77777777" w:rsidTr="00470C5B">
        <w:trPr>
          <w:cantSplit/>
        </w:trPr>
        <w:tc>
          <w:tcPr>
            <w:tcW w:w="1093" w:type="pct"/>
          </w:tcPr>
          <w:p w14:paraId="643E5C9D" w14:textId="77777777" w:rsidR="00470C5B" w:rsidRPr="00FE1642" w:rsidRDefault="00470C5B" w:rsidP="002F7DDA">
            <w:pPr>
              <w:keepNext/>
              <w:keepLines/>
              <w:rPr>
                <w:rFonts w:eastAsia="Calibri"/>
              </w:rPr>
            </w:pPr>
            <w:r w:rsidRPr="00FE1642">
              <w:rPr>
                <w:rFonts w:eastAsia="Calibri"/>
              </w:rPr>
              <w:t xml:space="preserve">EU tx goals consensus, 2011 </w:t>
            </w:r>
            <w:r w:rsidR="006E05AF">
              <w:rPr>
                <w:rFonts w:eastAsia="Calibri"/>
                <w:noProof/>
              </w:rPr>
              <w:t>(</w:t>
            </w:r>
            <w:r w:rsidR="00F608CD">
              <w:rPr>
                <w:rFonts w:eastAsia="Calibri"/>
                <w:noProof/>
              </w:rPr>
              <w:t>4</w:t>
            </w:r>
            <w:r w:rsidR="006E05AF">
              <w:rPr>
                <w:rFonts w:eastAsia="Calibri"/>
                <w:noProof/>
              </w:rPr>
              <w:t>)</w:t>
            </w:r>
          </w:p>
        </w:tc>
        <w:tc>
          <w:tcPr>
            <w:tcW w:w="3907" w:type="pct"/>
          </w:tcPr>
          <w:p w14:paraId="4773D351" w14:textId="77777777" w:rsidR="00470C5B" w:rsidRPr="00FE1642" w:rsidRDefault="00470C5B" w:rsidP="002F7DDA">
            <w:pPr>
              <w:keepNext/>
              <w:keepLines/>
              <w:rPr>
                <w:rFonts w:eastAsia="Calibri"/>
              </w:rPr>
            </w:pPr>
            <w:r w:rsidRPr="00FE1642">
              <w:rPr>
                <w:rFonts w:eastAsia="Calibri"/>
              </w:rPr>
              <w:t xml:space="preserve">European consensus (Mrowietz et al, 2011): Definition of treatment goals for moderate to severe psoriasis: a European consensus </w:t>
            </w:r>
          </w:p>
        </w:tc>
      </w:tr>
    </w:tbl>
    <w:p w14:paraId="34C95B59" w14:textId="77777777" w:rsidR="00470C5B" w:rsidRPr="00FE1642" w:rsidRDefault="00470C5B" w:rsidP="002F7DDA">
      <w:pPr>
        <w:pStyle w:val="Footnotes"/>
        <w:keepNext/>
        <w:keepLines/>
      </w:pPr>
      <w:r w:rsidRPr="00FE1642">
        <w:t>AAD = American Academy of Dermatology; BAD = British Association of Dermatology; CPP = chronic plaque psoriasis; EU = European Union; NICE = National Institute for Health and Care Excellence; NPF = National Psoriasis Foundation; tx = treatment; UK = United Kingdom; US = United States</w:t>
      </w:r>
    </w:p>
    <w:p w14:paraId="2BC22D6A" w14:textId="77777777" w:rsidR="00470C5B" w:rsidRDefault="00470C5B" w:rsidP="00A77877">
      <w:pPr>
        <w:pStyle w:val="BulletLast"/>
        <w:numPr>
          <w:ilvl w:val="0"/>
          <w:numId w:val="0"/>
        </w:numPr>
        <w:rPr>
          <w:rFonts w:eastAsia="Calibri"/>
        </w:rPr>
      </w:pPr>
      <w:r w:rsidRPr="00FE1642">
        <w:rPr>
          <w:rFonts w:eastAsia="Calibri"/>
        </w:rPr>
        <w:t>The only guidance that took cost-effectiveness into account was UK NICE</w:t>
      </w:r>
      <w:r w:rsidR="002878E7">
        <w:rPr>
          <w:rFonts w:eastAsia="Calibri"/>
        </w:rPr>
        <w:t xml:space="preserve"> guidance (</w:t>
      </w:r>
      <w:r w:rsidR="002878E7" w:rsidRPr="00FE1642">
        <w:rPr>
          <w:rFonts w:eastAsia="Calibri"/>
        </w:rPr>
        <w:t>UK NICE, 2014 update</w:t>
      </w:r>
      <w:r w:rsidR="002878E7">
        <w:rPr>
          <w:rFonts w:eastAsia="Calibri"/>
        </w:rPr>
        <w:t>)</w:t>
      </w:r>
      <w:r w:rsidR="002878E7" w:rsidRPr="00FE1642">
        <w:rPr>
          <w:rFonts w:eastAsia="Calibri"/>
        </w:rPr>
        <w:t xml:space="preserve"> </w:t>
      </w:r>
      <w:r w:rsidR="002878E7">
        <w:rPr>
          <w:rFonts w:eastAsia="Calibri"/>
          <w:noProof/>
        </w:rPr>
        <w:t>(</w:t>
      </w:r>
      <w:r w:rsidR="00F608CD">
        <w:rPr>
          <w:rFonts w:eastAsia="Calibri"/>
          <w:noProof/>
        </w:rPr>
        <w:t>10</w:t>
      </w:r>
      <w:r w:rsidR="002878E7">
        <w:rPr>
          <w:rFonts w:eastAsia="Calibri"/>
          <w:noProof/>
        </w:rPr>
        <w:t xml:space="preserve">, </w:t>
      </w:r>
      <w:r w:rsidR="00F608CD">
        <w:rPr>
          <w:rFonts w:eastAsia="Calibri"/>
          <w:noProof/>
        </w:rPr>
        <w:t>11</w:t>
      </w:r>
      <w:r w:rsidR="002878E7">
        <w:rPr>
          <w:rFonts w:eastAsia="Calibri"/>
          <w:noProof/>
        </w:rPr>
        <w:t>)</w:t>
      </w:r>
      <w:r w:rsidRPr="00FE1642">
        <w:rPr>
          <w:rFonts w:eastAsia="Calibri"/>
        </w:rPr>
        <w:t>.</w:t>
      </w:r>
    </w:p>
    <w:p w14:paraId="53550B4E" w14:textId="77777777" w:rsidR="00502329" w:rsidRPr="00502329" w:rsidRDefault="00502329" w:rsidP="00502329">
      <w:pPr>
        <w:pStyle w:val="MDSubsubheding"/>
        <w:rPr>
          <w:rFonts w:eastAsia="Calibri"/>
        </w:rPr>
      </w:pPr>
      <w:bookmarkStart w:id="24" w:name="_Toc499817498"/>
      <w:bookmarkStart w:id="25" w:name="_Toc503274958"/>
      <w:r w:rsidRPr="00740C05">
        <w:rPr>
          <w:rFonts w:eastAsia="Calibri"/>
        </w:rPr>
        <w:t>PBS restrictions compared with clinical guidelines</w:t>
      </w:r>
      <w:bookmarkEnd w:id="24"/>
      <w:bookmarkEnd w:id="25"/>
    </w:p>
    <w:p w14:paraId="009F9A56" w14:textId="77777777" w:rsidR="00470C5B" w:rsidRPr="00FE1642" w:rsidRDefault="00470C5B" w:rsidP="00A77877">
      <w:pPr>
        <w:pStyle w:val="ToRText"/>
      </w:pPr>
      <w:r w:rsidRPr="00FE1642">
        <w:t>a) Do the PBS restrictions reflect the clinical treatment algorithms recommended in Australian clinical Guidelines?</w:t>
      </w:r>
    </w:p>
    <w:p w14:paraId="05F09768" w14:textId="77777777" w:rsidR="00470C5B" w:rsidRPr="00FE1642" w:rsidRDefault="00470C5B" w:rsidP="00A77877">
      <w:r w:rsidRPr="00FE1642">
        <w:t>Compared with the Australian consensus and other overseas guidance, the PBS restrictions limit</w:t>
      </w:r>
      <w:r w:rsidR="002878E7">
        <w:t xml:space="preserve"> the</w:t>
      </w:r>
      <w:r w:rsidRPr="00FE1642">
        <w:t xml:space="preserve"> use of biologics to patients with more severe CPP, who have failed more prior therapies. This is shown in the </w:t>
      </w:r>
      <w:r w:rsidR="00646884">
        <w:t xml:space="preserve">following </w:t>
      </w:r>
      <w:r w:rsidRPr="00FE1642">
        <w:t xml:space="preserve">table. (Note that only guidance with relevant recommendations </w:t>
      </w:r>
      <w:r w:rsidR="00B06F97">
        <w:t>is</w:t>
      </w:r>
      <w:r w:rsidRPr="00FE1642">
        <w:t xml:space="preserve"> included in tables</w:t>
      </w:r>
      <w:r w:rsidR="00502329">
        <w:t>)</w:t>
      </w:r>
      <w:r w:rsidRPr="00FE1642">
        <w:t xml:space="preserve">. </w:t>
      </w:r>
    </w:p>
    <w:p w14:paraId="79ED332A" w14:textId="0607C0F9" w:rsidR="00B67975" w:rsidRPr="00FE1642" w:rsidRDefault="00B67975" w:rsidP="00921A20">
      <w:pPr>
        <w:pStyle w:val="MDTabCaption"/>
        <w:keepLines/>
      </w:pPr>
      <w:bookmarkStart w:id="26" w:name="_Ref493249250"/>
      <w:bookmarkStart w:id="27" w:name="_Toc503274993"/>
      <w:r w:rsidRPr="00FE1642">
        <w:lastRenderedPageBreak/>
        <w:t xml:space="preserve">Table </w:t>
      </w:r>
      <w:r w:rsidR="007B4746">
        <w:t>ES.</w:t>
      </w:r>
      <w:r w:rsidR="00594BE2">
        <w:t>3</w:t>
      </w:r>
      <w:bookmarkEnd w:id="26"/>
      <w:r w:rsidRPr="00FE1642">
        <w:t>: Treatment algorithms for use of biologics in CPP: PBS versus other guidance</w:t>
      </w:r>
      <w:bookmarkEnd w:id="27"/>
    </w:p>
    <w:tbl>
      <w:tblPr>
        <w:tblStyle w:val="TableGrid"/>
        <w:tblW w:w="5000" w:type="pct"/>
        <w:tblLook w:val="04A0" w:firstRow="1" w:lastRow="0" w:firstColumn="1" w:lastColumn="0" w:noHBand="0" w:noVBand="1"/>
        <w:tblCaption w:val="Table ES.3"/>
        <w:tblDescription w:val="Treatment algorithms for use of biologics in CPP: PBS versus other guidance’s"/>
      </w:tblPr>
      <w:tblGrid>
        <w:gridCol w:w="1498"/>
        <w:gridCol w:w="1769"/>
        <w:gridCol w:w="1791"/>
        <w:gridCol w:w="2063"/>
        <w:gridCol w:w="1895"/>
      </w:tblGrid>
      <w:tr w:rsidR="00470C5B" w:rsidRPr="00FE1642" w14:paraId="77969E1A" w14:textId="77777777" w:rsidTr="00B67975">
        <w:trPr>
          <w:cantSplit/>
          <w:tblHeader/>
        </w:trPr>
        <w:tc>
          <w:tcPr>
            <w:tcW w:w="812" w:type="pct"/>
            <w:vMerge w:val="restart"/>
            <w:shd w:val="clear" w:color="auto" w:fill="BFBFBF" w:themeFill="background1" w:themeFillShade="BF"/>
          </w:tcPr>
          <w:p w14:paraId="1BD0DB69" w14:textId="77777777" w:rsidR="00470C5B" w:rsidRPr="00FE1642" w:rsidRDefault="00470C5B" w:rsidP="00921A20">
            <w:pPr>
              <w:keepNext/>
              <w:keepLines/>
              <w:rPr>
                <w:rFonts w:eastAsia="Calibri"/>
              </w:rPr>
            </w:pPr>
            <w:r w:rsidRPr="00FE1642">
              <w:rPr>
                <w:rFonts w:eastAsia="Calibri"/>
              </w:rPr>
              <w:t>PBS restrictions</w:t>
            </w:r>
          </w:p>
        </w:tc>
        <w:tc>
          <w:tcPr>
            <w:tcW w:w="3113" w:type="pct"/>
            <w:gridSpan w:val="3"/>
            <w:shd w:val="clear" w:color="auto" w:fill="BFBFBF" w:themeFill="background1" w:themeFillShade="BF"/>
          </w:tcPr>
          <w:p w14:paraId="367E1D31" w14:textId="77777777" w:rsidR="00470C5B" w:rsidRPr="00FE1642" w:rsidRDefault="00470C5B" w:rsidP="00921A20">
            <w:pPr>
              <w:keepNext/>
              <w:keepLines/>
              <w:rPr>
                <w:rFonts w:eastAsia="Calibri"/>
              </w:rPr>
            </w:pPr>
            <w:r w:rsidRPr="00FE1642">
              <w:rPr>
                <w:rFonts w:eastAsia="Calibri"/>
              </w:rPr>
              <w:t>Evidence-based Guidelines</w:t>
            </w:r>
          </w:p>
        </w:tc>
        <w:tc>
          <w:tcPr>
            <w:tcW w:w="1075" w:type="pct"/>
            <w:shd w:val="clear" w:color="auto" w:fill="BFBFBF" w:themeFill="background1" w:themeFillShade="BF"/>
          </w:tcPr>
          <w:p w14:paraId="1F32B6AC" w14:textId="77777777" w:rsidR="00470C5B" w:rsidRPr="00FE1642" w:rsidRDefault="00470C5B" w:rsidP="00921A20">
            <w:pPr>
              <w:keepNext/>
              <w:keepLines/>
              <w:rPr>
                <w:rFonts w:eastAsia="Calibri"/>
              </w:rPr>
            </w:pPr>
            <w:r w:rsidRPr="00FE1642">
              <w:rPr>
                <w:rFonts w:eastAsia="Calibri"/>
              </w:rPr>
              <w:t xml:space="preserve">Consensus </w:t>
            </w:r>
          </w:p>
        </w:tc>
      </w:tr>
      <w:tr w:rsidR="00470C5B" w:rsidRPr="00FE1642" w14:paraId="1C734BF0" w14:textId="77777777" w:rsidTr="00B67975">
        <w:trPr>
          <w:cantSplit/>
          <w:tblHeader/>
        </w:trPr>
        <w:tc>
          <w:tcPr>
            <w:tcW w:w="812" w:type="pct"/>
            <w:vMerge/>
            <w:shd w:val="clear" w:color="auto" w:fill="BFBFBF" w:themeFill="background1" w:themeFillShade="BF"/>
          </w:tcPr>
          <w:p w14:paraId="683C3F6F" w14:textId="77777777" w:rsidR="00470C5B" w:rsidRPr="00FE1642" w:rsidRDefault="00470C5B" w:rsidP="003146F2">
            <w:pPr>
              <w:keepNext/>
              <w:keepLines/>
              <w:rPr>
                <w:rFonts w:eastAsia="Calibri"/>
              </w:rPr>
            </w:pPr>
          </w:p>
        </w:tc>
        <w:tc>
          <w:tcPr>
            <w:tcW w:w="1005" w:type="pct"/>
            <w:shd w:val="clear" w:color="auto" w:fill="BFBFBF" w:themeFill="background1" w:themeFillShade="BF"/>
          </w:tcPr>
          <w:p w14:paraId="6A5A660E" w14:textId="77777777" w:rsidR="00470C5B" w:rsidRPr="00FE1642" w:rsidRDefault="00470C5B" w:rsidP="00F608CD">
            <w:pPr>
              <w:keepNext/>
              <w:keepLines/>
              <w:rPr>
                <w:rFonts w:eastAsia="Calibri"/>
              </w:rPr>
            </w:pPr>
            <w:r w:rsidRPr="00FE1642">
              <w:rPr>
                <w:rFonts w:eastAsia="Calibri"/>
              </w:rPr>
              <w:t xml:space="preserve">Canada </w:t>
            </w:r>
            <w:r w:rsidR="006E05AF">
              <w:rPr>
                <w:rFonts w:eastAsia="Calibri"/>
                <w:noProof/>
              </w:rPr>
              <w:t>(</w:t>
            </w:r>
            <w:r w:rsidR="00F608CD">
              <w:rPr>
                <w:rFonts w:eastAsia="Calibri"/>
                <w:noProof/>
              </w:rPr>
              <w:t>6</w:t>
            </w:r>
            <w:r w:rsidR="006E05AF">
              <w:rPr>
                <w:rFonts w:eastAsia="Calibri"/>
                <w:noProof/>
              </w:rPr>
              <w:t>)</w:t>
            </w:r>
          </w:p>
        </w:tc>
        <w:tc>
          <w:tcPr>
            <w:tcW w:w="1017" w:type="pct"/>
            <w:shd w:val="clear" w:color="auto" w:fill="BFBFBF" w:themeFill="background1" w:themeFillShade="BF"/>
          </w:tcPr>
          <w:p w14:paraId="290A1409" w14:textId="77777777" w:rsidR="00470C5B" w:rsidRPr="00FE1642" w:rsidRDefault="00470C5B" w:rsidP="00F608CD">
            <w:pPr>
              <w:keepNext/>
              <w:keepLines/>
              <w:rPr>
                <w:rFonts w:eastAsia="Calibri"/>
              </w:rPr>
            </w:pPr>
            <w:r w:rsidRPr="00FE1642">
              <w:rPr>
                <w:rFonts w:eastAsia="Calibri"/>
              </w:rPr>
              <w:t xml:space="preserve">EU </w:t>
            </w:r>
            <w:r w:rsidR="006E05AF">
              <w:rPr>
                <w:rFonts w:eastAsia="Calibri"/>
                <w:noProof/>
              </w:rPr>
              <w:t>(</w:t>
            </w:r>
            <w:r w:rsidR="00F608CD">
              <w:rPr>
                <w:rFonts w:eastAsia="Calibri"/>
                <w:noProof/>
              </w:rPr>
              <w:t>8</w:t>
            </w:r>
            <w:r w:rsidR="006E05AF">
              <w:rPr>
                <w:rFonts w:eastAsia="Calibri"/>
                <w:noProof/>
              </w:rPr>
              <w:t>)</w:t>
            </w:r>
          </w:p>
        </w:tc>
        <w:tc>
          <w:tcPr>
            <w:tcW w:w="1091" w:type="pct"/>
            <w:shd w:val="clear" w:color="auto" w:fill="BFBFBF" w:themeFill="background1" w:themeFillShade="BF"/>
          </w:tcPr>
          <w:p w14:paraId="02AF54CC" w14:textId="77777777" w:rsidR="00470C5B" w:rsidRPr="00FE1642" w:rsidRDefault="00470C5B" w:rsidP="00F608CD">
            <w:pPr>
              <w:keepNext/>
              <w:keepLines/>
              <w:rPr>
                <w:rFonts w:eastAsia="Calibri"/>
              </w:rPr>
            </w:pPr>
            <w:r w:rsidRPr="00FE1642">
              <w:rPr>
                <w:rFonts w:eastAsia="Calibri"/>
              </w:rPr>
              <w:t xml:space="preserve">UK NICE Technology appraisals and UK BAD </w:t>
            </w:r>
            <w:r w:rsidR="006B0F37">
              <w:rPr>
                <w:rFonts w:eastAsia="Calibri"/>
                <w:noProof/>
              </w:rPr>
              <w:t>(</w:t>
            </w:r>
            <w:r w:rsidR="00F608CD">
              <w:rPr>
                <w:rFonts w:eastAsia="Calibri"/>
                <w:noProof/>
              </w:rPr>
              <w:t>10</w:t>
            </w:r>
            <w:r w:rsidR="006B0F37">
              <w:rPr>
                <w:rFonts w:eastAsia="Calibri"/>
                <w:noProof/>
              </w:rPr>
              <w:t xml:space="preserve">, </w:t>
            </w:r>
            <w:r w:rsidR="00F608CD">
              <w:rPr>
                <w:rFonts w:eastAsia="Calibri"/>
                <w:noProof/>
              </w:rPr>
              <w:t>12-17</w:t>
            </w:r>
            <w:r w:rsidR="006B0F37">
              <w:rPr>
                <w:rFonts w:eastAsia="Calibri"/>
                <w:noProof/>
              </w:rPr>
              <w:t xml:space="preserve">, </w:t>
            </w:r>
            <w:r w:rsidR="00F608CD">
              <w:rPr>
                <w:rFonts w:eastAsia="Calibri"/>
                <w:noProof/>
              </w:rPr>
              <w:t>19</w:t>
            </w:r>
            <w:r w:rsidR="006B0F37">
              <w:rPr>
                <w:rFonts w:eastAsia="Calibri"/>
                <w:noProof/>
              </w:rPr>
              <w:t>)</w:t>
            </w:r>
          </w:p>
        </w:tc>
        <w:tc>
          <w:tcPr>
            <w:tcW w:w="1075" w:type="pct"/>
            <w:shd w:val="clear" w:color="auto" w:fill="BFBFBF" w:themeFill="background1" w:themeFillShade="BF"/>
          </w:tcPr>
          <w:p w14:paraId="1B54BA14" w14:textId="77777777" w:rsidR="00470C5B" w:rsidRPr="00FE1642" w:rsidRDefault="00470C5B" w:rsidP="00F608CD">
            <w:pPr>
              <w:keepNext/>
              <w:keepLines/>
              <w:rPr>
                <w:rFonts w:eastAsia="Calibri"/>
              </w:rPr>
            </w:pPr>
            <w:r w:rsidRPr="00FE1642">
              <w:rPr>
                <w:rFonts w:eastAsia="Calibri"/>
              </w:rPr>
              <w:t xml:space="preserve">Australian </w:t>
            </w:r>
            <w:r w:rsidR="006E05AF">
              <w:rPr>
                <w:rFonts w:eastAsia="Calibri"/>
                <w:noProof/>
              </w:rPr>
              <w:t>(</w:t>
            </w:r>
            <w:r w:rsidR="00F608CD">
              <w:rPr>
                <w:rFonts w:eastAsia="Calibri"/>
                <w:noProof/>
              </w:rPr>
              <w:t>3</w:t>
            </w:r>
            <w:r w:rsidR="006E05AF">
              <w:rPr>
                <w:rFonts w:eastAsia="Calibri"/>
                <w:noProof/>
              </w:rPr>
              <w:t xml:space="preserve">, </w:t>
            </w:r>
            <w:r w:rsidR="00F608CD">
              <w:rPr>
                <w:rFonts w:eastAsia="Calibri"/>
                <w:noProof/>
              </w:rPr>
              <w:t>5</w:t>
            </w:r>
            <w:r w:rsidR="006E05AF">
              <w:rPr>
                <w:rFonts w:eastAsia="Calibri"/>
                <w:noProof/>
              </w:rPr>
              <w:t>)</w:t>
            </w:r>
          </w:p>
        </w:tc>
      </w:tr>
      <w:tr w:rsidR="00470C5B" w:rsidRPr="00F62952" w14:paraId="23B1F9DB" w14:textId="77777777" w:rsidTr="00470C5B">
        <w:trPr>
          <w:cantSplit/>
        </w:trPr>
        <w:tc>
          <w:tcPr>
            <w:tcW w:w="5000" w:type="pct"/>
            <w:gridSpan w:val="5"/>
            <w:tcBorders>
              <w:bottom w:val="single" w:sz="4" w:space="0" w:color="auto"/>
            </w:tcBorders>
          </w:tcPr>
          <w:p w14:paraId="0E350949" w14:textId="77777777" w:rsidR="00470C5B" w:rsidRPr="00F62952" w:rsidRDefault="00470C5B" w:rsidP="00921A20">
            <w:pPr>
              <w:keepNext/>
              <w:keepLines/>
              <w:rPr>
                <w:b/>
              </w:rPr>
            </w:pPr>
            <w:r w:rsidRPr="00F62952">
              <w:rPr>
                <w:b/>
              </w:rPr>
              <w:t>Second line treatments</w:t>
            </w:r>
          </w:p>
        </w:tc>
      </w:tr>
      <w:tr w:rsidR="00470C5B" w:rsidRPr="00FE1642" w14:paraId="181BC612" w14:textId="77777777" w:rsidTr="00B67975">
        <w:trPr>
          <w:cantSplit/>
        </w:trPr>
        <w:tc>
          <w:tcPr>
            <w:tcW w:w="812" w:type="pct"/>
            <w:tcBorders>
              <w:bottom w:val="single" w:sz="4" w:space="0" w:color="auto"/>
            </w:tcBorders>
          </w:tcPr>
          <w:p w14:paraId="7DCB1335" w14:textId="77777777" w:rsidR="00470C5B" w:rsidRPr="00FE1642" w:rsidRDefault="00470C5B" w:rsidP="00921A20">
            <w:pPr>
              <w:keepNext/>
              <w:keepLines/>
            </w:pPr>
            <w:r w:rsidRPr="00FE1642">
              <w:t xml:space="preserve">Phototherapy, methotrexate, cyclosporin, acitretin  </w:t>
            </w:r>
          </w:p>
        </w:tc>
        <w:tc>
          <w:tcPr>
            <w:tcW w:w="1005" w:type="pct"/>
            <w:tcBorders>
              <w:bottom w:val="single" w:sz="4" w:space="0" w:color="auto"/>
            </w:tcBorders>
          </w:tcPr>
          <w:p w14:paraId="72ACD17C" w14:textId="77777777" w:rsidR="00470C5B" w:rsidRPr="00FE1642" w:rsidRDefault="00470C5B" w:rsidP="00921A20">
            <w:pPr>
              <w:keepNext/>
              <w:keepLines/>
            </w:pPr>
            <w:r w:rsidRPr="00FE1642">
              <w:t xml:space="preserve">To ameliorate CPP: methotrexate cyclosporin, or acitretin; For complete control: biologicals or phototherapy.  </w:t>
            </w:r>
          </w:p>
        </w:tc>
        <w:tc>
          <w:tcPr>
            <w:tcW w:w="1017" w:type="pct"/>
            <w:tcBorders>
              <w:bottom w:val="single" w:sz="4" w:space="0" w:color="auto"/>
            </w:tcBorders>
          </w:tcPr>
          <w:p w14:paraId="6AED7E5A" w14:textId="77777777" w:rsidR="00470C5B" w:rsidRPr="00FE1642" w:rsidRDefault="00470C5B" w:rsidP="00921A20">
            <w:pPr>
              <w:keepNext/>
              <w:keepLines/>
            </w:pPr>
            <w:r w:rsidRPr="00FE1642">
              <w:t>Phototherapy methotrexate, cyclosporin (short course), fumaric acid esters. (Not acitretin monotherapy)</w:t>
            </w:r>
          </w:p>
        </w:tc>
        <w:tc>
          <w:tcPr>
            <w:tcW w:w="1091" w:type="pct"/>
            <w:tcBorders>
              <w:bottom w:val="single" w:sz="4" w:space="0" w:color="auto"/>
            </w:tcBorders>
          </w:tcPr>
          <w:p w14:paraId="341529B9" w14:textId="77777777" w:rsidR="00470C5B" w:rsidRPr="00FE1642" w:rsidRDefault="00470C5B" w:rsidP="00921A20">
            <w:pPr>
              <w:keepNext/>
              <w:keepLines/>
            </w:pPr>
            <w:r w:rsidRPr="00FE1642">
              <w:t>PUVA</w:t>
            </w:r>
            <w:r w:rsidR="00EE2504" w:rsidRPr="00FE1642">
              <w:t xml:space="preserve"> (photochemotherapy)</w:t>
            </w:r>
            <w:r w:rsidRPr="00FE1642">
              <w:t xml:space="preserve">, methotrexate, cyclosporin, acitretin  </w:t>
            </w:r>
          </w:p>
        </w:tc>
        <w:tc>
          <w:tcPr>
            <w:tcW w:w="1075" w:type="pct"/>
            <w:tcBorders>
              <w:bottom w:val="single" w:sz="4" w:space="0" w:color="auto"/>
            </w:tcBorders>
          </w:tcPr>
          <w:p w14:paraId="2AEE6EC2" w14:textId="77777777" w:rsidR="00470C5B" w:rsidRPr="00FE1642" w:rsidRDefault="00470C5B" w:rsidP="00921A20">
            <w:pPr>
              <w:keepNext/>
              <w:keepLines/>
            </w:pPr>
            <w:r w:rsidRPr="00FE1642">
              <w:t>Phototherapy, methotrexate, cyclosporin, acitretin.</w:t>
            </w:r>
          </w:p>
        </w:tc>
      </w:tr>
      <w:tr w:rsidR="00470C5B" w:rsidRPr="00F62952" w14:paraId="638C1AB1" w14:textId="77777777" w:rsidTr="00470C5B">
        <w:trPr>
          <w:cantSplit/>
        </w:trPr>
        <w:tc>
          <w:tcPr>
            <w:tcW w:w="5000" w:type="pct"/>
            <w:gridSpan w:val="5"/>
            <w:tcBorders>
              <w:top w:val="single" w:sz="4" w:space="0" w:color="auto"/>
            </w:tcBorders>
          </w:tcPr>
          <w:p w14:paraId="7C8A5FDA" w14:textId="77777777" w:rsidR="00470C5B" w:rsidRPr="00F62952" w:rsidRDefault="00470C5B" w:rsidP="00A77877">
            <w:pPr>
              <w:rPr>
                <w:b/>
              </w:rPr>
            </w:pPr>
            <w:r w:rsidRPr="00F62952">
              <w:rPr>
                <w:b/>
              </w:rPr>
              <w:t>Biologics - prior treatments</w:t>
            </w:r>
          </w:p>
        </w:tc>
      </w:tr>
      <w:tr w:rsidR="00470C5B" w:rsidRPr="00FE1642" w14:paraId="3AE30796" w14:textId="77777777" w:rsidTr="00B67975">
        <w:trPr>
          <w:cantSplit/>
        </w:trPr>
        <w:tc>
          <w:tcPr>
            <w:tcW w:w="812" w:type="pct"/>
            <w:tcBorders>
              <w:top w:val="single" w:sz="4" w:space="0" w:color="auto"/>
            </w:tcBorders>
          </w:tcPr>
          <w:p w14:paraId="10E8D2BE" w14:textId="77777777" w:rsidR="00470C5B" w:rsidRPr="00FE1642" w:rsidRDefault="00470C5B" w:rsidP="00A77877">
            <w:r w:rsidRPr="00FE1642">
              <w:t>≥ 3 of the above 4 therapies failed, contraindicated or intolerant</w:t>
            </w:r>
          </w:p>
        </w:tc>
        <w:tc>
          <w:tcPr>
            <w:tcW w:w="1005" w:type="pct"/>
            <w:tcBorders>
              <w:top w:val="single" w:sz="4" w:space="0" w:color="auto"/>
            </w:tcBorders>
          </w:tcPr>
          <w:p w14:paraId="4EE97FB7" w14:textId="77777777" w:rsidR="00470C5B" w:rsidRPr="00FE1642" w:rsidRDefault="00470C5B" w:rsidP="00A77877">
            <w:r w:rsidRPr="00FE1642">
              <w:t xml:space="preserve">No clinical reason to reserve the biologics for second-line use. </w:t>
            </w:r>
          </w:p>
        </w:tc>
        <w:tc>
          <w:tcPr>
            <w:tcW w:w="1017" w:type="pct"/>
            <w:tcBorders>
              <w:top w:val="single" w:sz="4" w:space="0" w:color="auto"/>
            </w:tcBorders>
          </w:tcPr>
          <w:p w14:paraId="6ED56E43" w14:textId="77777777" w:rsidR="00470C5B" w:rsidRPr="00FE1642" w:rsidRDefault="00470C5B" w:rsidP="00A77877">
            <w:r w:rsidRPr="00FE1642">
              <w:t>Use if above therapies were inadequate in response or contraindicated or not tolerated.</w:t>
            </w:r>
            <w:r w:rsidRPr="00FE1642">
              <w:rPr>
                <w:vertAlign w:val="superscript"/>
              </w:rPr>
              <w:t>a</w:t>
            </w:r>
          </w:p>
        </w:tc>
        <w:tc>
          <w:tcPr>
            <w:tcW w:w="1091" w:type="pct"/>
            <w:tcBorders>
              <w:top w:val="single" w:sz="4" w:space="0" w:color="auto"/>
            </w:tcBorders>
          </w:tcPr>
          <w:p w14:paraId="0CF3F7EE" w14:textId="77777777" w:rsidR="00470C5B" w:rsidRPr="00FE1642" w:rsidRDefault="00470C5B" w:rsidP="00A77877">
            <w:r w:rsidRPr="00FE1642">
              <w:t xml:space="preserve">Use if above therapies were inadequate in response or contraindicated or not tolerated. </w:t>
            </w:r>
            <w:r w:rsidRPr="00FE1642">
              <w:rPr>
                <w:vertAlign w:val="superscript"/>
              </w:rPr>
              <w:t>a</w:t>
            </w:r>
            <w:r w:rsidRPr="00FE1642">
              <w:t xml:space="preserve"> UK BAD included risk of toxicity or unstable life-threatening CPP.</w:t>
            </w:r>
          </w:p>
        </w:tc>
        <w:tc>
          <w:tcPr>
            <w:tcW w:w="1075" w:type="pct"/>
            <w:tcBorders>
              <w:top w:val="single" w:sz="4" w:space="0" w:color="auto"/>
            </w:tcBorders>
          </w:tcPr>
          <w:p w14:paraId="067B150B" w14:textId="77777777" w:rsidR="00470C5B" w:rsidRPr="00FE1642" w:rsidRDefault="00470C5B" w:rsidP="00A77877">
            <w:r w:rsidRPr="00FE1642">
              <w:t xml:space="preserve">≥ 2 of 4 therapies inadequate in response or contraindicated. </w:t>
            </w:r>
          </w:p>
        </w:tc>
      </w:tr>
      <w:tr w:rsidR="00470C5B" w:rsidRPr="00F62952" w14:paraId="445FEDBE" w14:textId="77777777" w:rsidTr="00470C5B">
        <w:trPr>
          <w:cantSplit/>
        </w:trPr>
        <w:tc>
          <w:tcPr>
            <w:tcW w:w="5000" w:type="pct"/>
            <w:gridSpan w:val="5"/>
            <w:tcBorders>
              <w:top w:val="single" w:sz="4" w:space="0" w:color="auto"/>
            </w:tcBorders>
            <w:shd w:val="clear" w:color="auto" w:fill="auto"/>
          </w:tcPr>
          <w:p w14:paraId="32A6CEFF" w14:textId="77777777" w:rsidR="00470C5B" w:rsidRPr="00F62952" w:rsidRDefault="00470C5B" w:rsidP="00A77877">
            <w:pPr>
              <w:rPr>
                <w:b/>
              </w:rPr>
            </w:pPr>
            <w:r w:rsidRPr="00F62952">
              <w:rPr>
                <w:b/>
              </w:rPr>
              <w:t>Severity assessment criteria</w:t>
            </w:r>
          </w:p>
        </w:tc>
      </w:tr>
      <w:tr w:rsidR="00470C5B" w:rsidRPr="00FE1642" w14:paraId="53B81AA0" w14:textId="77777777" w:rsidTr="00B67975">
        <w:trPr>
          <w:cantSplit/>
        </w:trPr>
        <w:tc>
          <w:tcPr>
            <w:tcW w:w="812" w:type="pct"/>
            <w:tcBorders>
              <w:top w:val="single" w:sz="4" w:space="0" w:color="auto"/>
            </w:tcBorders>
            <w:shd w:val="clear" w:color="auto" w:fill="auto"/>
          </w:tcPr>
          <w:p w14:paraId="2F307B73" w14:textId="77777777" w:rsidR="00470C5B" w:rsidRPr="00FE1642" w:rsidRDefault="00470C5B" w:rsidP="00A77877">
            <w:r w:rsidRPr="00FE1642">
              <w:t>PASI &gt;15</w:t>
            </w:r>
          </w:p>
          <w:p w14:paraId="71FCB40E" w14:textId="77777777" w:rsidR="00470C5B" w:rsidRPr="00FE1642" w:rsidRDefault="00470C5B" w:rsidP="00A77877">
            <w:r w:rsidRPr="00FE1642">
              <w:t>(termed “severe” CPP)</w:t>
            </w:r>
          </w:p>
        </w:tc>
        <w:tc>
          <w:tcPr>
            <w:tcW w:w="1005" w:type="pct"/>
            <w:tcBorders>
              <w:top w:val="single" w:sz="4" w:space="0" w:color="auto"/>
            </w:tcBorders>
            <w:shd w:val="clear" w:color="auto" w:fill="auto"/>
          </w:tcPr>
          <w:p w14:paraId="06946FA8" w14:textId="77777777" w:rsidR="00470C5B" w:rsidRPr="00FE1642" w:rsidRDefault="00470C5B" w:rsidP="00A77877">
            <w:r w:rsidRPr="00FE1642">
              <w:t xml:space="preserve">Numerical cut-offs not specified as they don’t reflect actual burden of disease. More patient-centred standards needed. </w:t>
            </w:r>
          </w:p>
        </w:tc>
        <w:tc>
          <w:tcPr>
            <w:tcW w:w="1017" w:type="pct"/>
            <w:tcBorders>
              <w:top w:val="single" w:sz="4" w:space="0" w:color="auto"/>
            </w:tcBorders>
            <w:shd w:val="clear" w:color="auto" w:fill="auto"/>
          </w:tcPr>
          <w:p w14:paraId="078C292C" w14:textId="77777777" w:rsidR="00470C5B" w:rsidRPr="00FE1642" w:rsidRDefault="00470C5B" w:rsidP="00A77877">
            <w:r w:rsidRPr="00FE1642">
              <w:t>-</w:t>
            </w:r>
          </w:p>
        </w:tc>
        <w:tc>
          <w:tcPr>
            <w:tcW w:w="1091" w:type="pct"/>
            <w:tcBorders>
              <w:top w:val="single" w:sz="4" w:space="0" w:color="auto"/>
            </w:tcBorders>
            <w:shd w:val="clear" w:color="auto" w:fill="auto"/>
          </w:tcPr>
          <w:p w14:paraId="271425BF" w14:textId="77777777" w:rsidR="00470C5B" w:rsidRPr="00FE1642" w:rsidRDefault="00470C5B" w:rsidP="00A77877">
            <w:r w:rsidRPr="00FE1642">
              <w:t xml:space="preserve">PASI ≥10 and DLQI &gt;10 </w:t>
            </w:r>
            <w:r w:rsidRPr="00FE1642">
              <w:rPr>
                <w:vertAlign w:val="superscript"/>
              </w:rPr>
              <w:t>b</w:t>
            </w:r>
          </w:p>
          <w:p w14:paraId="4AF8E308" w14:textId="77777777" w:rsidR="00470C5B" w:rsidRPr="00FE1642" w:rsidRDefault="00470C5B" w:rsidP="00A77877">
            <w:r w:rsidRPr="00FE1642">
              <w:t>UK BAD also included BSA ≥10% if PASI not applicable, and allowed exemptions in exceptional circumstances.</w:t>
            </w:r>
            <w:r w:rsidRPr="00FE1642">
              <w:rPr>
                <w:vertAlign w:val="superscript"/>
              </w:rPr>
              <w:t>c</w:t>
            </w:r>
          </w:p>
        </w:tc>
        <w:tc>
          <w:tcPr>
            <w:tcW w:w="1075" w:type="pct"/>
            <w:tcBorders>
              <w:top w:val="single" w:sz="4" w:space="0" w:color="auto"/>
            </w:tcBorders>
            <w:shd w:val="clear" w:color="auto" w:fill="auto"/>
          </w:tcPr>
          <w:p w14:paraId="492A9128" w14:textId="77777777" w:rsidR="00470C5B" w:rsidRPr="00FE1642" w:rsidRDefault="00470C5B" w:rsidP="00A77877">
            <w:r w:rsidRPr="00FE1642">
              <w:t xml:space="preserve">PASI &gt;10 and/or </w:t>
            </w:r>
          </w:p>
          <w:p w14:paraId="010F90EA" w14:textId="77777777" w:rsidR="00470C5B" w:rsidRPr="00FE1642" w:rsidRDefault="00470C5B" w:rsidP="00A77877">
            <w:r w:rsidRPr="00FE1642">
              <w:t xml:space="preserve">DLQI &gt;10 </w:t>
            </w:r>
            <w:r w:rsidRPr="00FE1642">
              <w:rPr>
                <w:vertAlign w:val="superscript"/>
              </w:rPr>
              <w:t>d</w:t>
            </w:r>
          </w:p>
          <w:p w14:paraId="4D370B44" w14:textId="77777777" w:rsidR="00470C5B" w:rsidRPr="00FE1642" w:rsidRDefault="00470C5B" w:rsidP="00A77877">
            <w:r w:rsidRPr="00FE1642">
              <w:t>(termed “severe” CPP in ACD 2017, but “moderate-to-severe” in Baker 2013).</w:t>
            </w:r>
          </w:p>
        </w:tc>
      </w:tr>
      <w:tr w:rsidR="00470C5B" w:rsidRPr="00F62952" w14:paraId="7E82C54B" w14:textId="77777777" w:rsidTr="00470C5B">
        <w:trPr>
          <w:cantSplit/>
        </w:trPr>
        <w:tc>
          <w:tcPr>
            <w:tcW w:w="5000" w:type="pct"/>
            <w:gridSpan w:val="5"/>
            <w:tcBorders>
              <w:top w:val="single" w:sz="4" w:space="0" w:color="auto"/>
            </w:tcBorders>
            <w:shd w:val="clear" w:color="auto" w:fill="auto"/>
          </w:tcPr>
          <w:p w14:paraId="58E25925" w14:textId="77777777" w:rsidR="00470C5B" w:rsidRPr="00F62952" w:rsidRDefault="00470C5B" w:rsidP="00A77877">
            <w:pPr>
              <w:rPr>
                <w:b/>
              </w:rPr>
            </w:pPr>
            <w:r w:rsidRPr="00F62952">
              <w:rPr>
                <w:b/>
              </w:rPr>
              <w:t>CPP of the face, palm of hand or sole of foot</w:t>
            </w:r>
          </w:p>
        </w:tc>
      </w:tr>
      <w:tr w:rsidR="00470C5B" w:rsidRPr="00FE1642" w14:paraId="75900CEF" w14:textId="77777777" w:rsidTr="00B67975">
        <w:trPr>
          <w:cantSplit/>
        </w:trPr>
        <w:tc>
          <w:tcPr>
            <w:tcW w:w="812" w:type="pct"/>
            <w:tcBorders>
              <w:top w:val="single" w:sz="4" w:space="0" w:color="auto"/>
            </w:tcBorders>
            <w:shd w:val="clear" w:color="auto" w:fill="auto"/>
          </w:tcPr>
          <w:p w14:paraId="79D7BAD0" w14:textId="77777777" w:rsidR="00470C5B" w:rsidRPr="00FE1642" w:rsidRDefault="00470C5B" w:rsidP="00A77877">
            <w:r w:rsidRPr="00FE1642">
              <w:t>≥ 2 of 3 PASI symptom sub-scores rated as ‘severe’ or ‘very severe’ or ≥ 30% of area affected</w:t>
            </w:r>
          </w:p>
        </w:tc>
        <w:tc>
          <w:tcPr>
            <w:tcW w:w="1005" w:type="pct"/>
            <w:tcBorders>
              <w:top w:val="single" w:sz="4" w:space="0" w:color="auto"/>
            </w:tcBorders>
            <w:shd w:val="clear" w:color="auto" w:fill="auto"/>
          </w:tcPr>
          <w:p w14:paraId="6426C568" w14:textId="77777777" w:rsidR="00470C5B" w:rsidRPr="00FE1642" w:rsidRDefault="00470C5B" w:rsidP="00A77877">
            <w:r w:rsidRPr="00FE1642">
              <w:t>1st-line: topical</w:t>
            </w:r>
          </w:p>
          <w:p w14:paraId="3E700CC2" w14:textId="77777777" w:rsidR="00470C5B" w:rsidRPr="00FE1642" w:rsidRDefault="00470C5B" w:rsidP="00A77877">
            <w:r w:rsidRPr="00FE1642">
              <w:t>2nd line: acitretin, methotrexate, infliximab, adalimumab, ustekinumab, cyclosporin</w:t>
            </w:r>
          </w:p>
        </w:tc>
        <w:tc>
          <w:tcPr>
            <w:tcW w:w="1017" w:type="pct"/>
            <w:tcBorders>
              <w:top w:val="single" w:sz="4" w:space="0" w:color="auto"/>
            </w:tcBorders>
            <w:shd w:val="clear" w:color="auto" w:fill="auto"/>
          </w:tcPr>
          <w:p w14:paraId="6BA6507B" w14:textId="77777777" w:rsidR="00470C5B" w:rsidRPr="00FE1642" w:rsidRDefault="00470C5B" w:rsidP="00A77877">
            <w:r w:rsidRPr="00FE1642">
              <w:t>-</w:t>
            </w:r>
          </w:p>
        </w:tc>
        <w:tc>
          <w:tcPr>
            <w:tcW w:w="1091" w:type="pct"/>
            <w:tcBorders>
              <w:top w:val="single" w:sz="4" w:space="0" w:color="auto"/>
            </w:tcBorders>
            <w:shd w:val="clear" w:color="auto" w:fill="auto"/>
          </w:tcPr>
          <w:p w14:paraId="666A6F00" w14:textId="77777777" w:rsidR="00470C5B" w:rsidRPr="00FE1642" w:rsidRDefault="00470C5B" w:rsidP="00A77877">
            <w:r w:rsidRPr="00FE1642">
              <w:t>UK NICE: may be more likely to be included given the lower PASI threshold.</w:t>
            </w:r>
          </w:p>
          <w:p w14:paraId="1C3137A2" w14:textId="77777777" w:rsidR="00470C5B" w:rsidRPr="00FE1642" w:rsidRDefault="00470C5B" w:rsidP="00A77877">
            <w:r w:rsidRPr="00FE1642">
              <w:t>UK BAD: covered in exceptional circumstances.</w:t>
            </w:r>
          </w:p>
        </w:tc>
        <w:tc>
          <w:tcPr>
            <w:tcW w:w="1075" w:type="pct"/>
            <w:tcBorders>
              <w:top w:val="single" w:sz="4" w:space="0" w:color="auto"/>
            </w:tcBorders>
            <w:shd w:val="clear" w:color="auto" w:fill="auto"/>
          </w:tcPr>
          <w:p w14:paraId="272FF328" w14:textId="77777777" w:rsidR="00470C5B" w:rsidRPr="00FE1642" w:rsidRDefault="00470C5B" w:rsidP="00A77877">
            <w:r w:rsidRPr="00FE1642">
              <w:t>Considered the PBS definition for severity was appropriate and could be combined with the proposed DLQI assessment.</w:t>
            </w:r>
          </w:p>
        </w:tc>
      </w:tr>
    </w:tbl>
    <w:p w14:paraId="324D3100" w14:textId="77777777" w:rsidR="00470C5B" w:rsidRPr="00FE1642" w:rsidRDefault="00470C5B" w:rsidP="00A77877">
      <w:pPr>
        <w:pStyle w:val="Footnotes"/>
      </w:pPr>
      <w:r w:rsidRPr="00FE1642">
        <w:t>ACD = Australasian College of Dermatologists; BAD = British Association of Dermatologists; BSA = body surface area; CPP = chronic plaque psoriasis; DLQI = Dermatology Life Quality Index; EU = European Union; NICE = National Institute for Health and Care Excellence; PBS = Pharmaceutical Benefits Scheme; PASI = Psoriasis Area and Severity Index; PUVA = psoralen and ultraviolet A; UK = United Kingdom</w:t>
      </w:r>
    </w:p>
    <w:p w14:paraId="565D905C" w14:textId="77777777" w:rsidR="00470C5B" w:rsidRPr="00FE1642" w:rsidRDefault="00470C5B" w:rsidP="00A77877">
      <w:pPr>
        <w:pStyle w:val="Footnotes"/>
      </w:pPr>
      <w:r w:rsidRPr="00FE1642">
        <w:rPr>
          <w:vertAlign w:val="superscript"/>
        </w:rPr>
        <w:t>a</w:t>
      </w:r>
      <w:r w:rsidRPr="00FE1642">
        <w:t xml:space="preserve"> Number of prior therapies that should be trialled was not stated. </w:t>
      </w:r>
    </w:p>
    <w:p w14:paraId="5E77FE93" w14:textId="77777777" w:rsidR="00470C5B" w:rsidRPr="00FE1642" w:rsidRDefault="00470C5B" w:rsidP="00A77877">
      <w:pPr>
        <w:pStyle w:val="Footnotes"/>
      </w:pPr>
      <w:r w:rsidRPr="00FE1642">
        <w:rPr>
          <w:vertAlign w:val="superscript"/>
        </w:rPr>
        <w:t xml:space="preserve">b </w:t>
      </w:r>
      <w:r w:rsidRPr="00FE1642">
        <w:t>Except infliximab which is PASI ≥20 and DLQI &gt;18.</w:t>
      </w:r>
    </w:p>
    <w:p w14:paraId="3C6E2F7C" w14:textId="77777777" w:rsidR="00470C5B" w:rsidRPr="00FE1642" w:rsidRDefault="00470C5B" w:rsidP="00A77877">
      <w:pPr>
        <w:pStyle w:val="Footnotes"/>
      </w:pPr>
      <w:r w:rsidRPr="00FE1642">
        <w:rPr>
          <w:vertAlign w:val="superscript"/>
        </w:rPr>
        <w:t>c</w:t>
      </w:r>
      <w:r w:rsidRPr="00FE1642">
        <w:t xml:space="preserve"> UK BAD guidelines also state: In exceptional circumstances patients with severe disease may fall outside this definition but should be considered for treatment, e.g. disease affecting high-impact sites with associated significant functional or psychological morbidity such as acral psoriasis, or psoriasis affecting the genitalia, hands, feet, head and neck.</w:t>
      </w:r>
    </w:p>
    <w:p w14:paraId="6A2078F8" w14:textId="77777777" w:rsidR="00467AE7" w:rsidRDefault="00470C5B" w:rsidP="00467AE7">
      <w:pPr>
        <w:pStyle w:val="Footnotes"/>
      </w:pPr>
      <w:r w:rsidRPr="00FE1642">
        <w:rPr>
          <w:vertAlign w:val="superscript"/>
        </w:rPr>
        <w:t xml:space="preserve">d </w:t>
      </w:r>
      <w:r w:rsidRPr="00FE1642">
        <w:t xml:space="preserve">Upgrade mild disease to moderate-to-severe if there is: major involvement of visible areas or the scalp, involvement of genitals, onycholysis or onychodystrophy of at least two fingernails, presence of itch leading to excoriation. </w:t>
      </w:r>
    </w:p>
    <w:p w14:paraId="7ACDA286" w14:textId="77777777" w:rsidR="00467AE7" w:rsidRDefault="00470C5B" w:rsidP="00467AE7">
      <w:pPr>
        <w:pStyle w:val="MDsubHead3"/>
      </w:pPr>
      <w:r w:rsidRPr="00FE1642">
        <w:t>Number of prior therapies to be eligible for biologics:</w:t>
      </w:r>
    </w:p>
    <w:p w14:paraId="3DE0E61E" w14:textId="77777777" w:rsidR="00470C5B" w:rsidRPr="00FE1642" w:rsidRDefault="00467AE7" w:rsidP="00502329">
      <w:pPr>
        <w:rPr>
          <w:vertAlign w:val="superscript"/>
        </w:rPr>
      </w:pPr>
      <w:r>
        <w:t>T</w:t>
      </w:r>
      <w:r w:rsidR="00027F22">
        <w:t>o be eligible for biologics to treat CPP, t</w:t>
      </w:r>
      <w:r w:rsidR="00470C5B" w:rsidRPr="00FE1642">
        <w:t xml:space="preserve">he PBS restrictions require patients to have failed to achieve an adequate response to, be contraindicated to, or intolerant of at least three of </w:t>
      </w:r>
      <w:r w:rsidR="00470C5B" w:rsidRPr="00FE1642">
        <w:lastRenderedPageBreak/>
        <w:t>the following four treatments: phototherapy</w:t>
      </w:r>
      <w:r w:rsidR="002878E7">
        <w:t>, methotrexate,</w:t>
      </w:r>
      <w:r w:rsidR="00470C5B" w:rsidRPr="00FE1642">
        <w:t xml:space="preserve"> cyclosporin</w:t>
      </w:r>
      <w:r w:rsidR="002878E7">
        <w:t>,</w:t>
      </w:r>
      <w:r w:rsidR="00470C5B" w:rsidRPr="00FE1642">
        <w:t xml:space="preserve"> and</w:t>
      </w:r>
      <w:r w:rsidR="002878E7">
        <w:t>/or</w:t>
      </w:r>
      <w:r w:rsidR="00470C5B" w:rsidRPr="00FE1642">
        <w:t xml:space="preserve"> acitretin. The Australian consensus statement recommended that fewer prior therapies could be trialled prior to biologics (i.e. at least two of the four). Other guidance</w:t>
      </w:r>
      <w:r w:rsidR="00522337">
        <w:t xml:space="preserve"> </w:t>
      </w:r>
      <w:r w:rsidR="00646884">
        <w:t>documents</w:t>
      </w:r>
      <w:r w:rsidR="00470C5B" w:rsidRPr="00FE1642">
        <w:t xml:space="preserve"> do not state a specific number of prior therapies (</w:t>
      </w:r>
      <w:r w:rsidR="006B0F37">
        <w:t>European Union (</w:t>
      </w:r>
      <w:r w:rsidR="00470C5B" w:rsidRPr="00FE1642">
        <w:t>EU</w:t>
      </w:r>
      <w:r w:rsidR="006B0F37">
        <w:t>)</w:t>
      </w:r>
      <w:r w:rsidR="00470C5B" w:rsidRPr="00FE1642">
        <w:t xml:space="preserve">, </w:t>
      </w:r>
      <w:r w:rsidR="006B0F37">
        <w:t>United Kingdom (</w:t>
      </w:r>
      <w:r w:rsidR="00470C5B" w:rsidRPr="00FE1642">
        <w:t>UK</w:t>
      </w:r>
      <w:r w:rsidR="006B0F37">
        <w:t xml:space="preserve">) </w:t>
      </w:r>
      <w:r w:rsidR="006B0F37" w:rsidRPr="006B0F37">
        <w:t>National Institute for Health and Care Excellence</w:t>
      </w:r>
      <w:r w:rsidR="00470C5B" w:rsidRPr="00FE1642">
        <w:t xml:space="preserve"> </w:t>
      </w:r>
      <w:r w:rsidR="006B0F37">
        <w:t>(</w:t>
      </w:r>
      <w:r w:rsidR="00470C5B" w:rsidRPr="00FE1642">
        <w:t>NICE</w:t>
      </w:r>
      <w:r w:rsidR="006B0F37">
        <w:t>)</w:t>
      </w:r>
      <w:r w:rsidR="00470C5B" w:rsidRPr="00FE1642">
        <w:t xml:space="preserve">, </w:t>
      </w:r>
      <w:r w:rsidR="006B0F37" w:rsidRPr="006B0F37">
        <w:t xml:space="preserve">United States </w:t>
      </w:r>
      <w:r w:rsidR="006B0F37">
        <w:t>(</w:t>
      </w:r>
      <w:r w:rsidR="00470C5B" w:rsidRPr="00FE1642">
        <w:t>US</w:t>
      </w:r>
      <w:r w:rsidR="006B0F37">
        <w:t>)</w:t>
      </w:r>
      <w:r w:rsidR="00470C5B" w:rsidRPr="00FE1642">
        <w:t xml:space="preserve"> </w:t>
      </w:r>
      <w:r w:rsidR="006B0F37" w:rsidRPr="006B0F37">
        <w:t xml:space="preserve">American Academy of Dermatology </w:t>
      </w:r>
      <w:r w:rsidR="006B0F37">
        <w:t>(</w:t>
      </w:r>
      <w:r w:rsidR="00470C5B" w:rsidRPr="00FE1642">
        <w:t>AAD</w:t>
      </w:r>
      <w:r w:rsidR="006B0F37">
        <w:t>)</w:t>
      </w:r>
      <w:r w:rsidR="00470C5B" w:rsidRPr="00FE1642">
        <w:t>).</w:t>
      </w:r>
      <w:r w:rsidR="006E05AF" w:rsidRPr="007B4746">
        <w:rPr>
          <w:noProof/>
        </w:rPr>
        <w:t>(</w:t>
      </w:r>
      <w:r w:rsidR="00F608CD" w:rsidRPr="007B4746">
        <w:rPr>
          <w:noProof/>
        </w:rPr>
        <w:t>8</w:t>
      </w:r>
      <w:r w:rsidR="006E05AF" w:rsidRPr="007B4746">
        <w:rPr>
          <w:noProof/>
        </w:rPr>
        <w:t xml:space="preserve">, </w:t>
      </w:r>
      <w:r w:rsidR="00F608CD" w:rsidRPr="007B4746">
        <w:rPr>
          <w:noProof/>
        </w:rPr>
        <w:t>11</w:t>
      </w:r>
      <w:r w:rsidR="006E05AF" w:rsidRPr="007B4746">
        <w:rPr>
          <w:noProof/>
        </w:rPr>
        <w:t xml:space="preserve">, </w:t>
      </w:r>
      <w:r w:rsidR="00F608CD" w:rsidRPr="007B4746">
        <w:rPr>
          <w:noProof/>
        </w:rPr>
        <w:t>18</w:t>
      </w:r>
      <w:r w:rsidR="006E05AF" w:rsidRPr="007B4746">
        <w:rPr>
          <w:noProof/>
        </w:rPr>
        <w:t>)</w:t>
      </w:r>
      <w:r w:rsidR="00470C5B" w:rsidRPr="00FE1642">
        <w:rPr>
          <w:vertAlign w:val="superscript"/>
        </w:rPr>
        <w:t xml:space="preserve"> </w:t>
      </w:r>
    </w:p>
    <w:p w14:paraId="77E8D50D" w14:textId="77777777" w:rsidR="00470C5B" w:rsidRPr="00FE1642" w:rsidRDefault="00470C5B" w:rsidP="00502329">
      <w:r w:rsidRPr="00FE1642">
        <w:t>The Canadian guidelines state that there is no clinical reason to reserve biologics for second</w:t>
      </w:r>
      <w:r w:rsidR="00E72068">
        <w:noBreakHyphen/>
      </w:r>
      <w:r w:rsidRPr="00FE1642">
        <w:t xml:space="preserve">line systemic use (i.e. </w:t>
      </w:r>
      <w:r w:rsidR="00502329">
        <w:t xml:space="preserve">after </w:t>
      </w:r>
      <w:r w:rsidR="00502329" w:rsidRPr="00502329">
        <w:t>methotrexate</w:t>
      </w:r>
      <w:r w:rsidR="00075189">
        <w:t>,</w:t>
      </w:r>
      <w:r w:rsidR="00502329" w:rsidRPr="00502329">
        <w:t xml:space="preserve"> cyclosporin</w:t>
      </w:r>
      <w:r w:rsidR="00075189">
        <w:t>,</w:t>
      </w:r>
      <w:r w:rsidR="00502329" w:rsidRPr="00502329">
        <w:t xml:space="preserve"> and acitretin</w:t>
      </w:r>
      <w:r w:rsidRPr="00FE1642">
        <w:t xml:space="preserve">), noting their less severe toxicities. They recommend acitretin, cyclosporin, or methotrexate to </w:t>
      </w:r>
      <w:r w:rsidRPr="00FE1642">
        <w:rPr>
          <w:u w:val="single"/>
        </w:rPr>
        <w:t>ameliorate</w:t>
      </w:r>
      <w:r w:rsidRPr="00FE1642">
        <w:t xml:space="preserve"> moderate to severe CPP; while biologicals or phototherapy are recommended to achieve complete control</w:t>
      </w:r>
      <w:r w:rsidRPr="007B4746">
        <w:t>.</w:t>
      </w:r>
      <w:r w:rsidR="006E05AF" w:rsidRPr="007B4746">
        <w:rPr>
          <w:noProof/>
        </w:rPr>
        <w:t>(</w:t>
      </w:r>
      <w:r w:rsidR="00F608CD" w:rsidRPr="007B4746">
        <w:rPr>
          <w:noProof/>
        </w:rPr>
        <w:t>6</w:t>
      </w:r>
      <w:r w:rsidR="006E05AF" w:rsidRPr="007B4746">
        <w:rPr>
          <w:noProof/>
        </w:rPr>
        <w:t>)</w:t>
      </w:r>
      <w:r w:rsidRPr="00FE1642">
        <w:rPr>
          <w:vertAlign w:val="superscript"/>
        </w:rPr>
        <w:t xml:space="preserve">  </w:t>
      </w:r>
    </w:p>
    <w:p w14:paraId="3A4250DB" w14:textId="77777777" w:rsidR="00470C5B" w:rsidRPr="00FE1642" w:rsidRDefault="00470C5B" w:rsidP="00502329">
      <w:r w:rsidRPr="00FE1642">
        <w:t xml:space="preserve">Regarding drugs used in prior therapy, the EU and Canadian guidelines do not recommend long term use of cyclosporin and also note there is limited evidence for acitretin monotherapy. </w:t>
      </w:r>
    </w:p>
    <w:p w14:paraId="1D24A239" w14:textId="77777777" w:rsidR="00470C5B" w:rsidRPr="00FE1642" w:rsidRDefault="00470C5B" w:rsidP="00502329">
      <w:pPr>
        <w:pStyle w:val="MDsubHead3"/>
      </w:pPr>
      <w:r w:rsidRPr="00FE1642">
        <w:t xml:space="preserve">CPP severity and patient impacts required to be eligible for biologics: </w:t>
      </w:r>
    </w:p>
    <w:p w14:paraId="2170352F" w14:textId="77777777" w:rsidR="00470C5B" w:rsidRPr="00FE1642" w:rsidRDefault="00470C5B" w:rsidP="00502329">
      <w:r w:rsidRPr="00FE1642">
        <w:t>Under the PBS, biologics are restricted to patients with more severe CPP than in the Australian consensus and other guidance.</w:t>
      </w:r>
    </w:p>
    <w:p w14:paraId="68B502B2" w14:textId="77777777" w:rsidR="00470C5B" w:rsidRPr="00FE1642" w:rsidRDefault="00470C5B" w:rsidP="00502329">
      <w:r w:rsidRPr="00FE1642">
        <w:t>The PBS restrictions require patients to have:</w:t>
      </w:r>
    </w:p>
    <w:p w14:paraId="03355078" w14:textId="77777777" w:rsidR="00470C5B" w:rsidRPr="00FE1642" w:rsidRDefault="00470C5B" w:rsidP="006731E3">
      <w:pPr>
        <w:pStyle w:val="BulletLast"/>
        <w:ind w:left="357" w:hanging="357"/>
        <w:contextualSpacing/>
      </w:pPr>
      <w:r w:rsidRPr="00FE1642">
        <w:t>PASI greater than 15. (Note this is termed “severe” CPP in the PBS restriction, though terminology relating to mild, moderate and sever</w:t>
      </w:r>
      <w:r w:rsidR="002878E7">
        <w:t>e CPP varies between guidelines</w:t>
      </w:r>
      <w:r w:rsidRPr="00FE1642">
        <w:t xml:space="preserve">); or </w:t>
      </w:r>
    </w:p>
    <w:p w14:paraId="2F5CAAFD" w14:textId="77777777" w:rsidR="00470C5B" w:rsidRPr="00FE1642" w:rsidRDefault="00470C5B" w:rsidP="006731E3">
      <w:pPr>
        <w:pStyle w:val="BulletLast"/>
        <w:ind w:left="357" w:hanging="357"/>
        <w:contextualSpacing/>
      </w:pPr>
      <w:r w:rsidRPr="00FE1642">
        <w:t>CPP of the face, palm of hand or sole of foot, with two or more of the PASI symptom sub-scores (erythema, scale and duration) rated as ‘severe’ or ‘very severe’</w:t>
      </w:r>
      <w:r w:rsidR="002878E7">
        <w:t>,</w:t>
      </w:r>
      <w:r w:rsidRPr="00FE1642">
        <w:t xml:space="preserve"> or 30% or more of the area is affected.</w:t>
      </w:r>
    </w:p>
    <w:p w14:paraId="111889E0" w14:textId="77777777" w:rsidR="00470C5B" w:rsidRPr="00FE1642" w:rsidRDefault="00470C5B" w:rsidP="00502329">
      <w:pPr>
        <w:rPr>
          <w:rFonts w:eastAsia="Calibri"/>
        </w:rPr>
      </w:pPr>
      <w:r w:rsidRPr="00FE1642">
        <w:t>As PASI incorporates body surface area, more than 20% of a patient’s body surface area would need to be affected to achieve a PASI greater than 15. Thus, patients with severe disease localised to a small area would only be eligible under the latter criterion (i.e. only if face, palm of hand or sole of foot is involved).</w:t>
      </w:r>
    </w:p>
    <w:p w14:paraId="756E184F" w14:textId="63A7FA67" w:rsidR="00470C5B" w:rsidRDefault="00470C5B" w:rsidP="00502329">
      <w:pPr>
        <w:rPr>
          <w:rFonts w:eastAsia="Calibri"/>
        </w:rPr>
      </w:pPr>
      <w:r w:rsidRPr="00FE1642">
        <w:rPr>
          <w:rFonts w:eastAsia="Calibri"/>
        </w:rPr>
        <w:t xml:space="preserve">The Australian consensus recommends biologics in patients with PASI greater than ten </w:t>
      </w:r>
      <w:r w:rsidRPr="00FE1642">
        <w:rPr>
          <w:rFonts w:eastAsia="Calibri"/>
          <w:u w:val="single"/>
        </w:rPr>
        <w:t>and/or</w:t>
      </w:r>
      <w:r w:rsidRPr="00FE1642">
        <w:rPr>
          <w:rFonts w:eastAsia="Calibri"/>
        </w:rPr>
        <w:t xml:space="preserve"> </w:t>
      </w:r>
      <w:r w:rsidR="002878E7" w:rsidRPr="002878E7">
        <w:rPr>
          <w:rFonts w:eastAsia="Calibri"/>
        </w:rPr>
        <w:t xml:space="preserve">Dermatology Life Quality Index </w:t>
      </w:r>
      <w:r w:rsidR="002878E7">
        <w:rPr>
          <w:rFonts w:eastAsia="Calibri"/>
        </w:rPr>
        <w:t>(</w:t>
      </w:r>
      <w:r w:rsidRPr="00FE1642">
        <w:rPr>
          <w:rFonts w:eastAsia="Calibri"/>
        </w:rPr>
        <w:t>DLQI</w:t>
      </w:r>
      <w:r w:rsidR="002878E7">
        <w:rPr>
          <w:rFonts w:eastAsia="Calibri"/>
        </w:rPr>
        <w:t>)</w:t>
      </w:r>
      <w:r w:rsidRPr="00FE1642">
        <w:rPr>
          <w:rFonts w:eastAsia="Calibri"/>
        </w:rPr>
        <w:t xml:space="preserve"> greater than ten (i.e. large effect o</w:t>
      </w:r>
      <w:r w:rsidR="009F38F3">
        <w:rPr>
          <w:rFonts w:eastAsia="Calibri"/>
        </w:rPr>
        <w:t>n</w:t>
      </w:r>
      <w:r w:rsidRPr="00FE1642">
        <w:rPr>
          <w:rFonts w:eastAsia="Calibri"/>
        </w:rPr>
        <w:t xml:space="preserve"> quality of life). </w:t>
      </w:r>
      <w:r w:rsidR="002878E7">
        <w:rPr>
          <w:rFonts w:eastAsia="Calibri"/>
        </w:rPr>
        <w:t>The difference</w:t>
      </w:r>
      <w:r w:rsidR="00F325B1">
        <w:rPr>
          <w:rFonts w:eastAsia="Calibri"/>
        </w:rPr>
        <w:t>s</w:t>
      </w:r>
      <w:r w:rsidR="002878E7">
        <w:rPr>
          <w:rFonts w:eastAsia="Calibri"/>
        </w:rPr>
        <w:t xml:space="preserve"> between the Australian consensus and the </w:t>
      </w:r>
      <w:r w:rsidRPr="00FE1642">
        <w:rPr>
          <w:rFonts w:eastAsia="Calibri"/>
        </w:rPr>
        <w:t>PBS restriction</w:t>
      </w:r>
      <w:r w:rsidR="00F325B1">
        <w:rPr>
          <w:rFonts w:eastAsia="Calibri"/>
        </w:rPr>
        <w:t xml:space="preserve">s include: </w:t>
      </w:r>
      <w:r w:rsidR="002878E7">
        <w:rPr>
          <w:rFonts w:eastAsia="Calibri"/>
        </w:rPr>
        <w:t>the</w:t>
      </w:r>
      <w:r w:rsidR="00F325B1">
        <w:rPr>
          <w:rFonts w:eastAsia="Calibri"/>
        </w:rPr>
        <w:t xml:space="preserve"> PASI threshold is lower</w:t>
      </w:r>
      <w:r w:rsidR="002F7DDA">
        <w:rPr>
          <w:rFonts w:eastAsia="Calibri"/>
        </w:rPr>
        <w:t xml:space="preserve"> (&gt;</w:t>
      </w:r>
      <w:r w:rsidR="00F325B1">
        <w:rPr>
          <w:rFonts w:eastAsia="Calibri"/>
        </w:rPr>
        <w:t xml:space="preserve">10) in the </w:t>
      </w:r>
      <w:r w:rsidR="002878E7">
        <w:rPr>
          <w:rFonts w:eastAsia="Calibri"/>
        </w:rPr>
        <w:t>Australian consensus</w:t>
      </w:r>
      <w:r w:rsidRPr="00FE1642">
        <w:rPr>
          <w:rFonts w:eastAsia="Calibri"/>
        </w:rPr>
        <w:t xml:space="preserve"> a</w:t>
      </w:r>
      <w:r w:rsidR="00F325B1">
        <w:rPr>
          <w:rFonts w:eastAsia="Calibri"/>
        </w:rPr>
        <w:t xml:space="preserve">nd includes DLQI criteria </w:t>
      </w:r>
      <w:r w:rsidR="002F7DDA">
        <w:rPr>
          <w:rFonts w:eastAsia="Calibri"/>
        </w:rPr>
        <w:t>&gt;</w:t>
      </w:r>
      <w:r w:rsidR="00F325B1">
        <w:rPr>
          <w:rFonts w:eastAsia="Calibri"/>
        </w:rPr>
        <w:t xml:space="preserve">10. </w:t>
      </w:r>
      <w:r w:rsidRPr="00FE1642">
        <w:rPr>
          <w:rFonts w:eastAsia="Calibri"/>
        </w:rPr>
        <w:t>The Australian consensus notes that quality of life may be impaired (high DLQI) in less severe disease (low PASI) in patients who have involvement of: visible areas</w:t>
      </w:r>
      <w:r w:rsidR="006B0F37">
        <w:rPr>
          <w:rFonts w:eastAsia="Calibri"/>
        </w:rPr>
        <w:t>,</w:t>
      </w:r>
      <w:r w:rsidRPr="00FE1642">
        <w:rPr>
          <w:rFonts w:eastAsia="Calibri"/>
        </w:rPr>
        <w:t xml:space="preserve"> scalp</w:t>
      </w:r>
      <w:r w:rsidR="006B0F37">
        <w:rPr>
          <w:rFonts w:eastAsia="Calibri"/>
        </w:rPr>
        <w:t>,</w:t>
      </w:r>
      <w:r w:rsidRPr="00FE1642">
        <w:rPr>
          <w:rFonts w:eastAsia="Calibri"/>
        </w:rPr>
        <w:t xml:space="preserve"> genitals</w:t>
      </w:r>
      <w:r w:rsidR="006B0F37">
        <w:rPr>
          <w:rFonts w:eastAsia="Calibri"/>
        </w:rPr>
        <w:t>,</w:t>
      </w:r>
      <w:r w:rsidRPr="00FE1642">
        <w:rPr>
          <w:rFonts w:eastAsia="Calibri"/>
        </w:rPr>
        <w:t xml:space="preserve"> palms/soles</w:t>
      </w:r>
      <w:r w:rsidR="006B0F37">
        <w:rPr>
          <w:rFonts w:eastAsia="Calibri"/>
        </w:rPr>
        <w:t>, two or more fingernails,</w:t>
      </w:r>
      <w:r w:rsidRPr="00FE1642">
        <w:rPr>
          <w:rFonts w:eastAsia="Calibri"/>
        </w:rPr>
        <w:t xml:space="preserve"> or pruritus leading to excoriation</w:t>
      </w:r>
      <w:r w:rsidRPr="006E05AF">
        <w:rPr>
          <w:rFonts w:eastAsia="Calibri"/>
          <w:vertAlign w:val="superscript"/>
        </w:rPr>
        <w:t>.</w:t>
      </w:r>
      <w:r w:rsidR="006E05AF" w:rsidRPr="00502329">
        <w:rPr>
          <w:rFonts w:eastAsia="Calibri"/>
          <w:noProof/>
        </w:rPr>
        <w:t>(</w:t>
      </w:r>
      <w:r w:rsidR="00F608CD" w:rsidRPr="00502329">
        <w:rPr>
          <w:rFonts w:eastAsia="Calibri"/>
          <w:noProof/>
        </w:rPr>
        <w:t>3</w:t>
      </w:r>
      <w:r w:rsidR="006E05AF" w:rsidRPr="00502329">
        <w:rPr>
          <w:rFonts w:eastAsia="Calibri"/>
          <w:noProof/>
        </w:rPr>
        <w:t>)</w:t>
      </w:r>
      <w:r w:rsidRPr="00FE1642">
        <w:rPr>
          <w:rFonts w:eastAsia="Calibri"/>
        </w:rPr>
        <w:t xml:space="preserve"> The PBS restrictions </w:t>
      </w:r>
      <w:r w:rsidR="00F325B1">
        <w:rPr>
          <w:rFonts w:eastAsia="Calibri"/>
        </w:rPr>
        <w:t xml:space="preserve">do </w:t>
      </w:r>
      <w:r w:rsidRPr="00FE1642">
        <w:rPr>
          <w:rFonts w:eastAsia="Calibri"/>
        </w:rPr>
        <w:t>not include patients with</w:t>
      </w:r>
      <w:r w:rsidR="00F325B1">
        <w:rPr>
          <w:rFonts w:eastAsia="Calibri"/>
        </w:rPr>
        <w:t xml:space="preserve"> PASI</w:t>
      </w:r>
      <w:r w:rsidR="002F7DDA">
        <w:rPr>
          <w:rFonts w:eastAsia="Calibri"/>
        </w:rPr>
        <w:t xml:space="preserve"> </w:t>
      </w:r>
      <w:r w:rsidR="009F38F3">
        <w:rPr>
          <w:rFonts w:eastAsia="Calibri"/>
        </w:rPr>
        <w:t>≤</w:t>
      </w:r>
      <w:r w:rsidR="00F325B1">
        <w:rPr>
          <w:rFonts w:eastAsia="Calibri"/>
        </w:rPr>
        <w:t>15 and</w:t>
      </w:r>
      <w:r w:rsidRPr="00FE1642">
        <w:rPr>
          <w:rFonts w:eastAsia="Calibri"/>
        </w:rPr>
        <w:t xml:space="preserve"> involvement of visible areas other than face,</w:t>
      </w:r>
      <w:r w:rsidR="00F325B1">
        <w:rPr>
          <w:rFonts w:eastAsia="Calibri"/>
        </w:rPr>
        <w:t xml:space="preserve"> palm of</w:t>
      </w:r>
      <w:r w:rsidRPr="00FE1642">
        <w:rPr>
          <w:rFonts w:eastAsia="Calibri"/>
        </w:rPr>
        <w:t xml:space="preserve"> hand or</w:t>
      </w:r>
      <w:r w:rsidR="00F325B1">
        <w:rPr>
          <w:rFonts w:eastAsia="Calibri"/>
        </w:rPr>
        <w:t xml:space="preserve"> sole of</w:t>
      </w:r>
      <w:r w:rsidRPr="00FE1642">
        <w:rPr>
          <w:rFonts w:eastAsia="Calibri"/>
        </w:rPr>
        <w:t xml:space="preserve"> foot</w:t>
      </w:r>
      <w:r w:rsidR="00F325B1">
        <w:rPr>
          <w:rFonts w:eastAsia="Calibri"/>
        </w:rPr>
        <w:t xml:space="preserve">. </w:t>
      </w:r>
    </w:p>
    <w:p w14:paraId="1BA788E9" w14:textId="77777777" w:rsidR="00470C5B" w:rsidRPr="00FE1642" w:rsidRDefault="00470C5B" w:rsidP="00502329">
      <w:pPr>
        <w:rPr>
          <w:rFonts w:eastAsia="Calibri"/>
          <w:vertAlign w:val="superscript"/>
        </w:rPr>
      </w:pPr>
      <w:r w:rsidRPr="00FE1642">
        <w:rPr>
          <w:rFonts w:eastAsia="Calibri"/>
        </w:rPr>
        <w:t xml:space="preserve">The UK NICE and UK </w:t>
      </w:r>
      <w:r w:rsidR="006B0F37" w:rsidRPr="006B0F37">
        <w:rPr>
          <w:rFonts w:eastAsia="Calibri"/>
        </w:rPr>
        <w:t xml:space="preserve">British Association of Dermatology </w:t>
      </w:r>
      <w:r w:rsidR="006B0F37">
        <w:rPr>
          <w:rFonts w:eastAsia="Calibri"/>
        </w:rPr>
        <w:t>(</w:t>
      </w:r>
      <w:r w:rsidRPr="00FE1642">
        <w:rPr>
          <w:rFonts w:eastAsia="Calibri"/>
        </w:rPr>
        <w:t>BAD</w:t>
      </w:r>
      <w:r w:rsidR="006B0F37">
        <w:rPr>
          <w:rFonts w:eastAsia="Calibri"/>
        </w:rPr>
        <w:t>)</w:t>
      </w:r>
      <w:r w:rsidRPr="00FE1642">
        <w:rPr>
          <w:rFonts w:eastAsia="Calibri"/>
        </w:rPr>
        <w:t xml:space="preserve"> guidelines</w:t>
      </w:r>
      <w:r w:rsidR="006B0F37">
        <w:rPr>
          <w:rFonts w:eastAsia="Calibri"/>
        </w:rPr>
        <w:t xml:space="preserve"> </w:t>
      </w:r>
      <w:r w:rsidR="006B0F37">
        <w:rPr>
          <w:rFonts w:eastAsia="Calibri"/>
          <w:noProof/>
        </w:rPr>
        <w:t>(</w:t>
      </w:r>
      <w:r w:rsidR="00F608CD">
        <w:rPr>
          <w:rFonts w:eastAsia="Calibri"/>
          <w:noProof/>
        </w:rPr>
        <w:t>10</w:t>
      </w:r>
      <w:r w:rsidR="006B0F37">
        <w:rPr>
          <w:rFonts w:eastAsia="Calibri"/>
          <w:noProof/>
        </w:rPr>
        <w:t xml:space="preserve">, </w:t>
      </w:r>
      <w:r w:rsidR="00F608CD">
        <w:rPr>
          <w:rFonts w:eastAsia="Calibri"/>
          <w:noProof/>
        </w:rPr>
        <w:t>12-17</w:t>
      </w:r>
      <w:r w:rsidR="006B0F37">
        <w:rPr>
          <w:rFonts w:eastAsia="Calibri"/>
          <w:noProof/>
        </w:rPr>
        <w:t xml:space="preserve">, </w:t>
      </w:r>
      <w:r w:rsidR="00F608CD">
        <w:rPr>
          <w:rFonts w:eastAsia="Calibri"/>
          <w:noProof/>
        </w:rPr>
        <w:t>19</w:t>
      </w:r>
      <w:r w:rsidR="006B0F37">
        <w:rPr>
          <w:rFonts w:eastAsia="Calibri"/>
          <w:noProof/>
        </w:rPr>
        <w:t>)</w:t>
      </w:r>
      <w:r w:rsidRPr="00FE1642">
        <w:rPr>
          <w:rFonts w:eastAsia="Calibri"/>
        </w:rPr>
        <w:t xml:space="preserve"> use a less severe PASI threshold than the PBS, but also require that patients have impaired quality of life. They generally recommend biologics in patients with PASI of 10 or higher </w:t>
      </w:r>
      <w:r w:rsidRPr="00FE1642">
        <w:rPr>
          <w:rFonts w:eastAsia="Calibri"/>
          <w:u w:val="single"/>
        </w:rPr>
        <w:t>and</w:t>
      </w:r>
      <w:r w:rsidRPr="00FE1642">
        <w:rPr>
          <w:rFonts w:eastAsia="Calibri"/>
        </w:rPr>
        <w:t xml:space="preserve"> DLQI higher than 10.</w:t>
      </w:r>
      <w:r w:rsidR="006E05AF" w:rsidRPr="006E05AF">
        <w:rPr>
          <w:rFonts w:eastAsia="Calibri"/>
          <w:noProof/>
        </w:rPr>
        <w:t>(</w:t>
      </w:r>
      <w:r w:rsidR="00F608CD" w:rsidRPr="006E05AF">
        <w:rPr>
          <w:rFonts w:eastAsia="Calibri"/>
          <w:noProof/>
        </w:rPr>
        <w:t>11</w:t>
      </w:r>
      <w:r w:rsidR="006E05AF" w:rsidRPr="006E05AF">
        <w:rPr>
          <w:rFonts w:eastAsia="Calibri"/>
          <w:noProof/>
        </w:rPr>
        <w:t xml:space="preserve">, </w:t>
      </w:r>
      <w:r w:rsidR="00F608CD" w:rsidRPr="006E05AF">
        <w:rPr>
          <w:rFonts w:eastAsia="Calibri"/>
          <w:noProof/>
        </w:rPr>
        <w:t>19</w:t>
      </w:r>
      <w:r w:rsidR="006E05AF" w:rsidRPr="006E05AF">
        <w:rPr>
          <w:rFonts w:eastAsia="Calibri"/>
          <w:noProof/>
        </w:rPr>
        <w:t>)</w:t>
      </w:r>
      <w:r w:rsidRPr="00FE1642">
        <w:rPr>
          <w:rFonts w:eastAsia="Calibri"/>
        </w:rPr>
        <w:t xml:space="preserve"> The UK NICE guidelines do not have specific exemptions for CPP of the face, hand or foot but these patients may be more likely to be included given the lower PASI threshold.</w:t>
      </w:r>
    </w:p>
    <w:p w14:paraId="053C1004" w14:textId="131728A3" w:rsidR="00470C5B" w:rsidRPr="00FE1642" w:rsidRDefault="00470C5B" w:rsidP="00502329">
      <w:pPr>
        <w:rPr>
          <w:rFonts w:eastAsia="Calibri"/>
        </w:rPr>
      </w:pPr>
      <w:r w:rsidRPr="00FE1642">
        <w:rPr>
          <w:rFonts w:eastAsia="Calibri"/>
        </w:rPr>
        <w:lastRenderedPageBreak/>
        <w:t>The Canadian guidelines do not specify numerical cut-offs for initiating biologics</w:t>
      </w:r>
      <w:r w:rsidR="00530735">
        <w:rPr>
          <w:rFonts w:eastAsia="Calibri"/>
        </w:rPr>
        <w:t>,</w:t>
      </w:r>
      <w:r w:rsidRPr="00FE1642">
        <w:rPr>
          <w:rFonts w:eastAsia="Calibri"/>
        </w:rPr>
        <w:t xml:space="preserve"> stating these measures do not adequately reflect patients’ actual burden of disease.</w:t>
      </w:r>
      <w:r w:rsidR="006E05AF" w:rsidRPr="006E05AF">
        <w:rPr>
          <w:rFonts w:eastAsia="Calibri"/>
          <w:noProof/>
        </w:rPr>
        <w:t>(</w:t>
      </w:r>
      <w:r w:rsidR="00F608CD" w:rsidRPr="006E05AF">
        <w:rPr>
          <w:rFonts w:eastAsia="Calibri"/>
          <w:noProof/>
        </w:rPr>
        <w:t>6</w:t>
      </w:r>
      <w:r w:rsidR="006E05AF" w:rsidRPr="006E05AF">
        <w:rPr>
          <w:rFonts w:eastAsia="Calibri"/>
          <w:noProof/>
        </w:rPr>
        <w:t>)</w:t>
      </w:r>
    </w:p>
    <w:p w14:paraId="6C3F13DC" w14:textId="77777777" w:rsidR="00502329" w:rsidRPr="00FE1642" w:rsidRDefault="00502329" w:rsidP="006731E3">
      <w:pPr>
        <w:pStyle w:val="MDSubsubheding"/>
        <w:keepNext w:val="0"/>
        <w:keepLines w:val="0"/>
      </w:pPr>
      <w:bookmarkStart w:id="28" w:name="_Toc503274959"/>
      <w:r w:rsidRPr="00502329">
        <w:t xml:space="preserve">PBS </w:t>
      </w:r>
      <w:r w:rsidRPr="00FE1642">
        <w:t xml:space="preserve">discontinuation criteria </w:t>
      </w:r>
      <w:r w:rsidRPr="00502329">
        <w:t>compared with clinical guidelines</w:t>
      </w:r>
      <w:bookmarkEnd w:id="28"/>
    </w:p>
    <w:p w14:paraId="4AE9D7C8" w14:textId="77777777" w:rsidR="00470C5B" w:rsidRPr="00FE1642" w:rsidRDefault="00470C5B" w:rsidP="006731E3">
      <w:pPr>
        <w:pStyle w:val="ToRText"/>
      </w:pPr>
      <w:r w:rsidRPr="00FE1642">
        <w:t xml:space="preserve">b) Are the discontinuation criteria in the PBS restrictions consistent with those recommended in </w:t>
      </w:r>
      <w:r w:rsidR="00B66891" w:rsidRPr="00096511">
        <w:t>Australian or other relevant international clinical guidelines</w:t>
      </w:r>
      <w:r w:rsidRPr="00FE1642">
        <w:t>?</w:t>
      </w:r>
    </w:p>
    <w:p w14:paraId="0807ED0D" w14:textId="77777777" w:rsidR="00470C5B" w:rsidRPr="00FE1642" w:rsidRDefault="00470C5B" w:rsidP="006731E3">
      <w:r w:rsidRPr="00FE1642">
        <w:t>Compared with other guidance</w:t>
      </w:r>
      <w:r w:rsidR="00522337">
        <w:t xml:space="preserve"> document</w:t>
      </w:r>
      <w:r w:rsidRPr="00FE1642">
        <w:t xml:space="preserve">s, the PBS restrictions require patients to have a greater response in order to continue therapy, as shown in </w:t>
      </w:r>
      <w:r w:rsidR="006731E3">
        <w:t>following</w:t>
      </w:r>
      <w:r w:rsidRPr="00FE1642">
        <w:t xml:space="preserve"> table.</w:t>
      </w:r>
    </w:p>
    <w:p w14:paraId="331DB396" w14:textId="77777777" w:rsidR="00B67975" w:rsidRPr="00FE1642" w:rsidRDefault="00B67975" w:rsidP="006731E3">
      <w:pPr>
        <w:pStyle w:val="MDTabCaption"/>
        <w:keepLines/>
      </w:pPr>
      <w:bookmarkStart w:id="29" w:name="_Toc503274994"/>
      <w:r w:rsidRPr="00FE1642">
        <w:t xml:space="preserve">Table </w:t>
      </w:r>
      <w:r w:rsidR="007B4746">
        <w:t>ES.</w:t>
      </w:r>
      <w:r w:rsidR="00594BE2">
        <w:t>4</w:t>
      </w:r>
      <w:r w:rsidRPr="00FE1642">
        <w:t>: Continuation and discontinuation criteria for biologics in CPP</w:t>
      </w:r>
      <w:bookmarkEnd w:id="29"/>
    </w:p>
    <w:tbl>
      <w:tblPr>
        <w:tblStyle w:val="TableGrid"/>
        <w:tblW w:w="5000" w:type="pct"/>
        <w:tblLook w:val="04A0" w:firstRow="1" w:lastRow="0" w:firstColumn="1" w:lastColumn="0" w:noHBand="0" w:noVBand="1"/>
        <w:tblCaption w:val="Table ES.4"/>
        <w:tblDescription w:val="Continuation and discontinuation criteria for biologics in CPP"/>
      </w:tblPr>
      <w:tblGrid>
        <w:gridCol w:w="1438"/>
        <w:gridCol w:w="1601"/>
        <w:gridCol w:w="1868"/>
        <w:gridCol w:w="2537"/>
        <w:gridCol w:w="1572"/>
      </w:tblGrid>
      <w:tr w:rsidR="00470C5B" w:rsidRPr="00F62952" w14:paraId="18088625" w14:textId="77777777" w:rsidTr="00470C5B">
        <w:trPr>
          <w:cantSplit/>
          <w:tblHeader/>
        </w:trPr>
        <w:tc>
          <w:tcPr>
            <w:tcW w:w="797" w:type="pct"/>
            <w:vMerge w:val="restart"/>
            <w:shd w:val="clear" w:color="auto" w:fill="BFBFBF" w:themeFill="background1" w:themeFillShade="BF"/>
          </w:tcPr>
          <w:p w14:paraId="157F4D3F" w14:textId="77777777" w:rsidR="00470C5B" w:rsidRPr="00F62952" w:rsidRDefault="00470C5B" w:rsidP="006731E3">
            <w:pPr>
              <w:keepNext/>
              <w:keepLines/>
              <w:rPr>
                <w:b/>
              </w:rPr>
            </w:pPr>
            <w:r w:rsidRPr="00F62952">
              <w:rPr>
                <w:b/>
              </w:rPr>
              <w:t>PBS restrictions</w:t>
            </w:r>
          </w:p>
        </w:tc>
        <w:tc>
          <w:tcPr>
            <w:tcW w:w="1924" w:type="pct"/>
            <w:gridSpan w:val="2"/>
            <w:shd w:val="clear" w:color="auto" w:fill="BFBFBF" w:themeFill="background1" w:themeFillShade="BF"/>
          </w:tcPr>
          <w:p w14:paraId="4FC335DD" w14:textId="77777777" w:rsidR="00470C5B" w:rsidRPr="00F62952" w:rsidRDefault="00470C5B" w:rsidP="006731E3">
            <w:pPr>
              <w:keepNext/>
              <w:keepLines/>
              <w:rPr>
                <w:b/>
              </w:rPr>
            </w:pPr>
            <w:r w:rsidRPr="00F62952">
              <w:rPr>
                <w:b/>
              </w:rPr>
              <w:t>Evidence-based Guidelines</w:t>
            </w:r>
          </w:p>
        </w:tc>
        <w:tc>
          <w:tcPr>
            <w:tcW w:w="2279" w:type="pct"/>
            <w:gridSpan w:val="2"/>
            <w:shd w:val="clear" w:color="auto" w:fill="BFBFBF" w:themeFill="background1" w:themeFillShade="BF"/>
          </w:tcPr>
          <w:p w14:paraId="0EF6402C" w14:textId="77777777" w:rsidR="00470C5B" w:rsidRPr="00F62952" w:rsidRDefault="00470C5B" w:rsidP="006731E3">
            <w:pPr>
              <w:keepNext/>
              <w:keepLines/>
              <w:rPr>
                <w:b/>
              </w:rPr>
            </w:pPr>
            <w:r w:rsidRPr="00F62952">
              <w:rPr>
                <w:b/>
              </w:rPr>
              <w:t xml:space="preserve">Consensus </w:t>
            </w:r>
          </w:p>
        </w:tc>
      </w:tr>
      <w:tr w:rsidR="00470C5B" w:rsidRPr="00F62952" w14:paraId="4F853BCD" w14:textId="77777777" w:rsidTr="00470C5B">
        <w:trPr>
          <w:cantSplit/>
          <w:tblHeader/>
        </w:trPr>
        <w:tc>
          <w:tcPr>
            <w:tcW w:w="797" w:type="pct"/>
            <w:vMerge/>
            <w:shd w:val="clear" w:color="auto" w:fill="BFBFBF" w:themeFill="background1" w:themeFillShade="BF"/>
          </w:tcPr>
          <w:p w14:paraId="1A0EE8B9" w14:textId="77777777" w:rsidR="00470C5B" w:rsidRPr="00F62952" w:rsidRDefault="00470C5B" w:rsidP="006731E3">
            <w:pPr>
              <w:keepNext/>
              <w:keepLines/>
              <w:rPr>
                <w:b/>
              </w:rPr>
            </w:pPr>
          </w:p>
        </w:tc>
        <w:tc>
          <w:tcPr>
            <w:tcW w:w="888" w:type="pct"/>
            <w:shd w:val="clear" w:color="auto" w:fill="BFBFBF" w:themeFill="background1" w:themeFillShade="BF"/>
          </w:tcPr>
          <w:p w14:paraId="4902CC49" w14:textId="77777777" w:rsidR="00470C5B" w:rsidRPr="00F62952" w:rsidRDefault="00470C5B" w:rsidP="006731E3">
            <w:pPr>
              <w:keepNext/>
              <w:keepLines/>
              <w:rPr>
                <w:b/>
              </w:rPr>
            </w:pPr>
            <w:r w:rsidRPr="00F62952">
              <w:rPr>
                <w:b/>
              </w:rPr>
              <w:t>Ca</w:t>
            </w:r>
            <w:r w:rsidRPr="00F62952">
              <w:rPr>
                <w:rStyle w:val="SubtitleChar"/>
                <w:b w:val="0"/>
              </w:rPr>
              <w:t>na</w:t>
            </w:r>
            <w:r w:rsidRPr="00F62952">
              <w:rPr>
                <w:b/>
              </w:rPr>
              <w:t xml:space="preserve">da </w:t>
            </w:r>
            <w:r w:rsidR="006E05AF" w:rsidRPr="00F62952">
              <w:rPr>
                <w:b/>
                <w:noProof/>
              </w:rPr>
              <w:t>(</w:t>
            </w:r>
            <w:r w:rsidR="00F608CD" w:rsidRPr="00F62952">
              <w:rPr>
                <w:b/>
                <w:noProof/>
              </w:rPr>
              <w:t>6</w:t>
            </w:r>
            <w:r w:rsidR="006E05AF" w:rsidRPr="00F62952">
              <w:rPr>
                <w:b/>
                <w:noProof/>
              </w:rPr>
              <w:t>)</w:t>
            </w:r>
          </w:p>
        </w:tc>
        <w:tc>
          <w:tcPr>
            <w:tcW w:w="1036" w:type="pct"/>
            <w:shd w:val="clear" w:color="auto" w:fill="BFBFBF" w:themeFill="background1" w:themeFillShade="BF"/>
          </w:tcPr>
          <w:p w14:paraId="0B63E683" w14:textId="77777777" w:rsidR="00470C5B" w:rsidRPr="00F62952" w:rsidRDefault="00470C5B" w:rsidP="006731E3">
            <w:pPr>
              <w:keepNext/>
              <w:keepLines/>
              <w:rPr>
                <w:b/>
              </w:rPr>
            </w:pPr>
            <w:r w:rsidRPr="00F62952">
              <w:rPr>
                <w:b/>
              </w:rPr>
              <w:t xml:space="preserve">UK NICE </w:t>
            </w:r>
            <w:r w:rsidR="006E05AF" w:rsidRPr="00F62952">
              <w:rPr>
                <w:b/>
                <w:noProof/>
              </w:rPr>
              <w:t>(</w:t>
            </w:r>
            <w:r w:rsidR="00F608CD" w:rsidRPr="00F62952">
              <w:rPr>
                <w:b/>
                <w:noProof/>
              </w:rPr>
              <w:t>10</w:t>
            </w:r>
            <w:r w:rsidR="006E05AF" w:rsidRPr="00F62952">
              <w:rPr>
                <w:b/>
                <w:noProof/>
              </w:rPr>
              <w:t>)</w:t>
            </w:r>
          </w:p>
        </w:tc>
        <w:tc>
          <w:tcPr>
            <w:tcW w:w="1407" w:type="pct"/>
            <w:shd w:val="clear" w:color="auto" w:fill="BFBFBF" w:themeFill="background1" w:themeFillShade="BF"/>
          </w:tcPr>
          <w:p w14:paraId="128EE8D7" w14:textId="77777777" w:rsidR="00470C5B" w:rsidRPr="00F62952" w:rsidRDefault="00470C5B" w:rsidP="006731E3">
            <w:pPr>
              <w:keepNext/>
              <w:keepLines/>
              <w:rPr>
                <w:b/>
              </w:rPr>
            </w:pPr>
            <w:r w:rsidRPr="00F62952">
              <w:rPr>
                <w:b/>
              </w:rPr>
              <w:t xml:space="preserve">Australian </w:t>
            </w:r>
            <w:r w:rsidRPr="00F62952">
              <w:rPr>
                <w:b/>
                <w:vertAlign w:val="superscript"/>
              </w:rPr>
              <w:t xml:space="preserve">a </w:t>
            </w:r>
            <w:r w:rsidR="006E05AF" w:rsidRPr="00F62952">
              <w:rPr>
                <w:b/>
                <w:noProof/>
              </w:rPr>
              <w:t>(</w:t>
            </w:r>
            <w:r w:rsidR="00F608CD" w:rsidRPr="00F62952">
              <w:rPr>
                <w:b/>
                <w:noProof/>
              </w:rPr>
              <w:t>3</w:t>
            </w:r>
            <w:r w:rsidR="006E05AF" w:rsidRPr="00F62952">
              <w:rPr>
                <w:b/>
                <w:noProof/>
              </w:rPr>
              <w:t xml:space="preserve">, </w:t>
            </w:r>
            <w:r w:rsidR="00F608CD" w:rsidRPr="00F62952">
              <w:rPr>
                <w:b/>
                <w:noProof/>
              </w:rPr>
              <w:t>5</w:t>
            </w:r>
            <w:r w:rsidR="006E05AF" w:rsidRPr="00F62952">
              <w:rPr>
                <w:b/>
                <w:noProof/>
              </w:rPr>
              <w:t>)</w:t>
            </w:r>
          </w:p>
        </w:tc>
        <w:tc>
          <w:tcPr>
            <w:tcW w:w="872" w:type="pct"/>
            <w:shd w:val="clear" w:color="auto" w:fill="BFBFBF" w:themeFill="background1" w:themeFillShade="BF"/>
          </w:tcPr>
          <w:p w14:paraId="0F872AE5" w14:textId="77777777" w:rsidR="00470C5B" w:rsidRPr="00F62952" w:rsidRDefault="00470C5B" w:rsidP="006731E3">
            <w:pPr>
              <w:keepNext/>
              <w:keepLines/>
              <w:rPr>
                <w:b/>
              </w:rPr>
            </w:pPr>
            <w:r w:rsidRPr="00F62952">
              <w:rPr>
                <w:b/>
              </w:rPr>
              <w:t xml:space="preserve">EU consensus tx goals </w:t>
            </w:r>
            <w:r w:rsidR="006E05AF" w:rsidRPr="00F62952">
              <w:rPr>
                <w:b/>
                <w:noProof/>
              </w:rPr>
              <w:t>(</w:t>
            </w:r>
            <w:r w:rsidR="00F608CD" w:rsidRPr="00F62952">
              <w:rPr>
                <w:b/>
                <w:noProof/>
              </w:rPr>
              <w:t>4</w:t>
            </w:r>
            <w:r w:rsidR="006E05AF" w:rsidRPr="00F62952">
              <w:rPr>
                <w:b/>
                <w:noProof/>
              </w:rPr>
              <w:t>)</w:t>
            </w:r>
          </w:p>
        </w:tc>
      </w:tr>
      <w:tr w:rsidR="00470C5B" w:rsidRPr="00FE1642" w14:paraId="45584DFD" w14:textId="77777777" w:rsidTr="00470C5B">
        <w:trPr>
          <w:cantSplit/>
        </w:trPr>
        <w:tc>
          <w:tcPr>
            <w:tcW w:w="5000" w:type="pct"/>
            <w:gridSpan w:val="5"/>
            <w:tcBorders>
              <w:bottom w:val="single" w:sz="4" w:space="0" w:color="auto"/>
            </w:tcBorders>
          </w:tcPr>
          <w:p w14:paraId="4554128C" w14:textId="77777777" w:rsidR="00470C5B" w:rsidRPr="00FE1642" w:rsidRDefault="00470C5B" w:rsidP="006731E3">
            <w:pPr>
              <w:keepNext/>
              <w:keepLines/>
            </w:pPr>
            <w:r w:rsidRPr="00FE1642">
              <w:t>To continue with the same biologic regimen unchanged (all indicators are versus baseline)</w:t>
            </w:r>
          </w:p>
        </w:tc>
      </w:tr>
      <w:tr w:rsidR="00470C5B" w:rsidRPr="00FE1642" w14:paraId="691A97F9" w14:textId="77777777" w:rsidTr="00470C5B">
        <w:trPr>
          <w:cantSplit/>
        </w:trPr>
        <w:tc>
          <w:tcPr>
            <w:tcW w:w="797" w:type="pct"/>
            <w:tcBorders>
              <w:bottom w:val="single" w:sz="4" w:space="0" w:color="auto"/>
            </w:tcBorders>
          </w:tcPr>
          <w:p w14:paraId="67B4C789" w14:textId="77777777" w:rsidR="00470C5B" w:rsidRPr="00FE1642" w:rsidRDefault="00470C5B" w:rsidP="006731E3">
            <w:pPr>
              <w:keepNext/>
              <w:keepLines/>
            </w:pPr>
            <w:r w:rsidRPr="00FE1642">
              <w:t xml:space="preserve">ΔPASI ≥ 75% </w:t>
            </w:r>
            <w:r w:rsidRPr="00FE1642">
              <w:rPr>
                <w:vertAlign w:val="superscript"/>
              </w:rPr>
              <w:t>b</w:t>
            </w:r>
          </w:p>
        </w:tc>
        <w:tc>
          <w:tcPr>
            <w:tcW w:w="888" w:type="pct"/>
            <w:tcBorders>
              <w:bottom w:val="single" w:sz="4" w:space="0" w:color="auto"/>
            </w:tcBorders>
          </w:tcPr>
          <w:p w14:paraId="1D57D0CD" w14:textId="77777777" w:rsidR="00470C5B" w:rsidRPr="00FE1642" w:rsidRDefault="00470C5B" w:rsidP="006731E3">
            <w:pPr>
              <w:keepNext/>
              <w:keepLines/>
            </w:pPr>
            <w:r w:rsidRPr="00FE1642">
              <w:t xml:space="preserve">Pt satisfaction, HRQoL and “traditional objective indicators of response”. </w:t>
            </w:r>
          </w:p>
        </w:tc>
        <w:tc>
          <w:tcPr>
            <w:tcW w:w="1036" w:type="pct"/>
            <w:tcBorders>
              <w:bottom w:val="single" w:sz="4" w:space="0" w:color="auto"/>
            </w:tcBorders>
          </w:tcPr>
          <w:p w14:paraId="4CF20FE1" w14:textId="77777777" w:rsidR="00470C5B" w:rsidRPr="00FE1642" w:rsidRDefault="00470C5B" w:rsidP="006731E3">
            <w:pPr>
              <w:keepNext/>
              <w:keepLines/>
            </w:pPr>
            <w:r w:rsidRPr="00FE1642">
              <w:t xml:space="preserve">ΔPASI ≥ 75%; or </w:t>
            </w:r>
          </w:p>
          <w:p w14:paraId="7D58088C" w14:textId="77777777" w:rsidR="00470C5B" w:rsidRPr="00FE1642" w:rsidRDefault="00470C5B" w:rsidP="006731E3">
            <w:pPr>
              <w:keepNext/>
              <w:keepLines/>
            </w:pPr>
            <w:r w:rsidRPr="00FE1642">
              <w:t>ΔPASI 74-50% and DLQI ≤5.</w:t>
            </w:r>
          </w:p>
        </w:tc>
        <w:tc>
          <w:tcPr>
            <w:tcW w:w="1407" w:type="pct"/>
            <w:tcBorders>
              <w:bottom w:val="single" w:sz="4" w:space="0" w:color="auto"/>
            </w:tcBorders>
          </w:tcPr>
          <w:p w14:paraId="354CCC96" w14:textId="77777777" w:rsidR="00470C5B" w:rsidRPr="00FE1642" w:rsidRDefault="00470C5B" w:rsidP="006731E3">
            <w:pPr>
              <w:keepNext/>
              <w:keepLines/>
            </w:pPr>
            <w:r w:rsidRPr="00FE1642">
              <w:t xml:space="preserve">Same as UK NICE </w:t>
            </w:r>
          </w:p>
          <w:p w14:paraId="5E51555B" w14:textId="77777777" w:rsidR="00470C5B" w:rsidRPr="00FE1642" w:rsidRDefault="00470C5B" w:rsidP="006731E3">
            <w:pPr>
              <w:keepNext/>
              <w:keepLines/>
            </w:pPr>
            <w:r w:rsidRPr="00FE1642">
              <w:t>(but noted if ΔPASI ≥ 75% but DLQI ≥ 5: use physician assessment whether to continue, modify or change tx</w:t>
            </w:r>
            <w:r w:rsidRPr="00FE1642">
              <w:rPr>
                <w:vertAlign w:val="superscript"/>
              </w:rPr>
              <w:t>c</w:t>
            </w:r>
            <w:r w:rsidRPr="00FE1642">
              <w:t>)</w:t>
            </w:r>
          </w:p>
        </w:tc>
        <w:tc>
          <w:tcPr>
            <w:tcW w:w="872" w:type="pct"/>
            <w:tcBorders>
              <w:bottom w:val="single" w:sz="4" w:space="0" w:color="auto"/>
            </w:tcBorders>
          </w:tcPr>
          <w:p w14:paraId="71446D1B" w14:textId="77777777" w:rsidR="00470C5B" w:rsidRPr="00FE1642" w:rsidRDefault="00470C5B" w:rsidP="006731E3">
            <w:pPr>
              <w:keepNext/>
              <w:keepLines/>
            </w:pPr>
            <w:r w:rsidRPr="00FE1642">
              <w:t>Same as UK NICE</w:t>
            </w:r>
          </w:p>
        </w:tc>
      </w:tr>
      <w:tr w:rsidR="00470C5B" w:rsidRPr="00FE1642" w14:paraId="3FF73A20" w14:textId="77777777" w:rsidTr="00470C5B">
        <w:trPr>
          <w:cantSplit/>
        </w:trPr>
        <w:tc>
          <w:tcPr>
            <w:tcW w:w="5000" w:type="pct"/>
            <w:gridSpan w:val="5"/>
            <w:tcBorders>
              <w:top w:val="single" w:sz="4" w:space="0" w:color="auto"/>
            </w:tcBorders>
          </w:tcPr>
          <w:p w14:paraId="3C450C57" w14:textId="77777777" w:rsidR="00470C5B" w:rsidRPr="00FE1642" w:rsidRDefault="00470C5B" w:rsidP="006731E3">
            <w:pPr>
              <w:keepNext/>
              <w:keepLines/>
            </w:pPr>
            <w:r w:rsidRPr="00FE1642">
              <w:t>If adequate response not achieved (i.e. responses above are not achieved)</w:t>
            </w:r>
          </w:p>
        </w:tc>
      </w:tr>
      <w:tr w:rsidR="00470C5B" w:rsidRPr="00FE1642" w14:paraId="79FD8F69" w14:textId="77777777" w:rsidTr="00470C5B">
        <w:trPr>
          <w:cantSplit/>
        </w:trPr>
        <w:tc>
          <w:tcPr>
            <w:tcW w:w="797" w:type="pct"/>
            <w:tcBorders>
              <w:top w:val="single" w:sz="4" w:space="0" w:color="auto"/>
            </w:tcBorders>
          </w:tcPr>
          <w:p w14:paraId="0A7DB346" w14:textId="77777777" w:rsidR="00470C5B" w:rsidRPr="00FE1642" w:rsidRDefault="00470C5B" w:rsidP="006731E3">
            <w:pPr>
              <w:keepNext/>
              <w:keepLines/>
            </w:pPr>
            <w:r w:rsidRPr="00FE1642">
              <w:t>Discontinue. If inadequate response to 3 biologics, cease all biologics for 5 years.</w:t>
            </w:r>
          </w:p>
        </w:tc>
        <w:tc>
          <w:tcPr>
            <w:tcW w:w="888" w:type="pct"/>
            <w:tcBorders>
              <w:top w:val="single" w:sz="4" w:space="0" w:color="auto"/>
            </w:tcBorders>
          </w:tcPr>
          <w:p w14:paraId="13532926" w14:textId="77777777" w:rsidR="00470C5B" w:rsidRPr="00FE1642" w:rsidRDefault="00470C5B" w:rsidP="006731E3">
            <w:pPr>
              <w:keepNext/>
              <w:keepLines/>
            </w:pPr>
          </w:p>
        </w:tc>
        <w:tc>
          <w:tcPr>
            <w:tcW w:w="1036" w:type="pct"/>
            <w:tcBorders>
              <w:top w:val="single" w:sz="4" w:space="0" w:color="auto"/>
            </w:tcBorders>
          </w:tcPr>
          <w:p w14:paraId="785E4A6D" w14:textId="77777777" w:rsidR="00470C5B" w:rsidRPr="00FE1642" w:rsidRDefault="00470C5B" w:rsidP="006731E3">
            <w:pPr>
              <w:keepNext/>
              <w:keepLines/>
            </w:pPr>
            <w:r w:rsidRPr="00FE1642">
              <w:t>Discontinue drug if above response not achieved. If inadequate response to a 2nd biological drug, seek supra-specialist advice.</w:t>
            </w:r>
          </w:p>
        </w:tc>
        <w:tc>
          <w:tcPr>
            <w:tcW w:w="1407" w:type="pct"/>
            <w:tcBorders>
              <w:top w:val="single" w:sz="4" w:space="0" w:color="auto"/>
            </w:tcBorders>
          </w:tcPr>
          <w:p w14:paraId="545A3D92" w14:textId="77777777" w:rsidR="00470C5B" w:rsidRPr="00FE1642" w:rsidRDefault="00470C5B" w:rsidP="006731E3">
            <w:pPr>
              <w:keepNext/>
              <w:keepLines/>
            </w:pPr>
            <w:r w:rsidRPr="00FE1642">
              <w:t xml:space="preserve">Modify regimen. </w:t>
            </w:r>
          </w:p>
        </w:tc>
        <w:tc>
          <w:tcPr>
            <w:tcW w:w="872" w:type="pct"/>
            <w:tcBorders>
              <w:top w:val="single" w:sz="4" w:space="0" w:color="auto"/>
            </w:tcBorders>
          </w:tcPr>
          <w:p w14:paraId="24F8DB30" w14:textId="77777777" w:rsidR="00470C5B" w:rsidRPr="00FE1642" w:rsidRDefault="00470C5B" w:rsidP="006731E3">
            <w:pPr>
              <w:keepNext/>
              <w:keepLines/>
            </w:pPr>
            <w:r w:rsidRPr="00FE1642">
              <w:t>Modify regimen. Modification strategies: adjust dose; add another tx (combination tx); switch tx.</w:t>
            </w:r>
          </w:p>
        </w:tc>
      </w:tr>
    </w:tbl>
    <w:p w14:paraId="0F739A38" w14:textId="77777777" w:rsidR="00470C5B" w:rsidRPr="00FE1642" w:rsidRDefault="00470C5B" w:rsidP="006731E3">
      <w:pPr>
        <w:pStyle w:val="Footnotes"/>
        <w:keepNext/>
        <w:keepLines/>
      </w:pPr>
      <w:r w:rsidRPr="00FE1642">
        <w:t>CPP = chronic plaque psoriasis; DLQI = Dermatology Life Quality Index; EU = European Union; HRQoL = health related quality of life; NICE = National Institute for Health and Care Excellence; PASI = Psoriasis Area and Severity Index; tx = treatment; UK = United Kingdom</w:t>
      </w:r>
    </w:p>
    <w:p w14:paraId="60F01F8C" w14:textId="77777777" w:rsidR="00470C5B" w:rsidRPr="00FE1642" w:rsidRDefault="00470C5B" w:rsidP="006731E3">
      <w:pPr>
        <w:pStyle w:val="Footnotes"/>
        <w:keepNext/>
        <w:keepLines/>
      </w:pPr>
      <w:r w:rsidRPr="00FE1642">
        <w:rPr>
          <w:vertAlign w:val="superscript"/>
        </w:rPr>
        <w:t>a</w:t>
      </w:r>
      <w:r w:rsidRPr="00FE1642">
        <w:t xml:space="preserve"> Based on text and the treatment algorithm diagram.</w:t>
      </w:r>
    </w:p>
    <w:p w14:paraId="76F72974" w14:textId="77777777" w:rsidR="00470C5B" w:rsidRPr="00FE1642" w:rsidRDefault="00470C5B" w:rsidP="006731E3">
      <w:pPr>
        <w:pStyle w:val="Footnotes"/>
        <w:keepNext/>
        <w:keepLines/>
      </w:pPr>
      <w:r w:rsidRPr="00FE1642">
        <w:rPr>
          <w:vertAlign w:val="superscript"/>
        </w:rPr>
        <w:t>b</w:t>
      </w:r>
      <w:r w:rsidRPr="00FE1642">
        <w:t xml:space="preserve"> For face, palm of hand and sole of foot: A reduction in all three PASI subscores to ‘slight’ or ‘none’ or ≥75% reduction in the area affected. The Australian consensus considered the PBS definitions were appropriate and could be combined with the proposed DLQI assessment.</w:t>
      </w:r>
    </w:p>
    <w:p w14:paraId="02FE410E" w14:textId="77777777" w:rsidR="00470C5B" w:rsidRPr="00FE1642" w:rsidRDefault="00470C5B" w:rsidP="006731E3">
      <w:pPr>
        <w:pStyle w:val="Footnotes"/>
        <w:keepNext/>
        <w:keepLines/>
      </w:pPr>
      <w:r w:rsidRPr="00FE1642">
        <w:rPr>
          <w:vertAlign w:val="superscript"/>
        </w:rPr>
        <w:t>c</w:t>
      </w:r>
      <w:r w:rsidRPr="00FE1642">
        <w:t xml:space="preserve"> Noted ΔPASI ≥75 but DLQI ≥ 5 may occur if the psoriasis is on a visible site, genital, palmoplantar, nail involvement or pruritus or response is discordant with patient’s expectations.</w:t>
      </w:r>
    </w:p>
    <w:p w14:paraId="6F125794" w14:textId="77777777" w:rsidR="00470C5B" w:rsidRPr="00FE1642" w:rsidRDefault="00470C5B" w:rsidP="00502329">
      <w:r w:rsidRPr="00FE1642">
        <w:t>To continue PBS-subsidised use of a particular biologic agent, patients must experience a reduction in PASI score of 75% or more compared with the baseline level (PASI</w:t>
      </w:r>
      <w:r w:rsidR="00502329">
        <w:t xml:space="preserve"> </w:t>
      </w:r>
      <w:r w:rsidRPr="00FE1642">
        <w:t xml:space="preserve">75). </w:t>
      </w:r>
    </w:p>
    <w:p w14:paraId="2DB6AA07" w14:textId="77777777" w:rsidR="00470C5B" w:rsidRPr="00FE1642" w:rsidRDefault="00470C5B" w:rsidP="006731E3">
      <w:pPr>
        <w:pStyle w:val="BulletLast"/>
        <w:ind w:left="357" w:hanging="357"/>
        <w:contextualSpacing/>
        <w:rPr>
          <w:vertAlign w:val="superscript"/>
        </w:rPr>
      </w:pPr>
      <w:r w:rsidRPr="00FE1642">
        <w:t>Many guidance</w:t>
      </w:r>
      <w:r w:rsidR="00D0737C">
        <w:t xml:space="preserve"> document</w:t>
      </w:r>
      <w:r w:rsidRPr="00FE1642">
        <w:t xml:space="preserve">s, including the Australian consensus, also classify patients who experience a reduction in PASI of 74-50% and a DLQI of five or less as having an adequate response. This represents patients with a lesser improvement in disease severity, but whose psoriasis only </w:t>
      </w:r>
      <w:r w:rsidR="00530052" w:rsidRPr="00FE1642">
        <w:t xml:space="preserve">has </w:t>
      </w:r>
      <w:r w:rsidRPr="00FE1642">
        <w:t>a ‘small’ impact on their quality of life.</w:t>
      </w:r>
      <w:r w:rsidR="006E05AF" w:rsidRPr="006E05AF">
        <w:rPr>
          <w:noProof/>
        </w:rPr>
        <w:t>(</w:t>
      </w:r>
      <w:r w:rsidR="00F608CD" w:rsidRPr="006E05AF">
        <w:rPr>
          <w:noProof/>
        </w:rPr>
        <w:t>3</w:t>
      </w:r>
      <w:r w:rsidR="006E05AF" w:rsidRPr="006E05AF">
        <w:rPr>
          <w:noProof/>
        </w:rPr>
        <w:t xml:space="preserve">, </w:t>
      </w:r>
      <w:r w:rsidR="00F608CD" w:rsidRPr="006E05AF">
        <w:rPr>
          <w:noProof/>
        </w:rPr>
        <w:t>4</w:t>
      </w:r>
      <w:r w:rsidR="006E05AF" w:rsidRPr="006E05AF">
        <w:rPr>
          <w:noProof/>
        </w:rPr>
        <w:t xml:space="preserve">, </w:t>
      </w:r>
      <w:r w:rsidR="00F608CD" w:rsidRPr="006E05AF">
        <w:rPr>
          <w:noProof/>
        </w:rPr>
        <w:t>11</w:t>
      </w:r>
      <w:r w:rsidR="006E05AF" w:rsidRPr="006E05AF">
        <w:rPr>
          <w:noProof/>
        </w:rPr>
        <w:t xml:space="preserve">, </w:t>
      </w:r>
      <w:r w:rsidR="00F608CD" w:rsidRPr="006E05AF">
        <w:rPr>
          <w:noProof/>
        </w:rPr>
        <w:t>19</w:t>
      </w:r>
      <w:r w:rsidR="006E05AF" w:rsidRPr="006E05AF">
        <w:rPr>
          <w:noProof/>
        </w:rPr>
        <w:t>)</w:t>
      </w:r>
    </w:p>
    <w:p w14:paraId="53A59041" w14:textId="77777777" w:rsidR="00470C5B" w:rsidRPr="00FE1642" w:rsidRDefault="00470C5B" w:rsidP="006731E3">
      <w:pPr>
        <w:pStyle w:val="BulletLast"/>
        <w:ind w:left="357" w:hanging="357"/>
        <w:contextualSpacing/>
        <w:rPr>
          <w:vertAlign w:val="superscript"/>
        </w:rPr>
      </w:pPr>
      <w:r w:rsidRPr="00FE1642">
        <w:t xml:space="preserve">The Australian consensus notes that patients may achieve an adequate response in terms of disease severity (reduction in PASI of 75% or more), but their psoriasis may still have a moderate-or-higher impact on their quality of life (DLQI higher than five). In this </w:t>
      </w:r>
      <w:r w:rsidRPr="00FE1642">
        <w:lastRenderedPageBreak/>
        <w:t xml:space="preserve">case, the consensus recommends physician judgement whether to continue, modify or change therapy. </w:t>
      </w:r>
    </w:p>
    <w:p w14:paraId="119BF2EB" w14:textId="77777777" w:rsidR="00470C5B" w:rsidRPr="00FE1642" w:rsidRDefault="00470C5B" w:rsidP="00502329">
      <w:r w:rsidRPr="00FE1642">
        <w:t xml:space="preserve">Under the PBS, if the continuation criteria are not met (i.e. change in PASI of 75% or more </w:t>
      </w:r>
      <w:r w:rsidR="00F608CD">
        <w:t xml:space="preserve">is </w:t>
      </w:r>
      <w:r w:rsidRPr="00FE1642">
        <w:t xml:space="preserve">not achieved), the biologic must be discontinued. Further, patients who fail to respond to three biologics must cease biologic therapy for a minimum of five years. </w:t>
      </w:r>
    </w:p>
    <w:p w14:paraId="26C2EB07" w14:textId="77777777" w:rsidR="00470C5B" w:rsidRPr="00FE1642" w:rsidRDefault="00470C5B" w:rsidP="006731E3">
      <w:pPr>
        <w:pStyle w:val="BulletLast"/>
        <w:ind w:left="357" w:hanging="357"/>
        <w:contextualSpacing/>
      </w:pPr>
      <w:r w:rsidRPr="00FE1642">
        <w:t>On the other hand, the consensus documents outline other options in addition to discontinuat</w:t>
      </w:r>
      <w:r w:rsidR="00502329">
        <w:t xml:space="preserve">ion if adequate response is not </w:t>
      </w:r>
      <w:r w:rsidRPr="00FE1642">
        <w:t>achieved such as</w:t>
      </w:r>
      <w:r w:rsidR="00F608CD">
        <w:t>,</w:t>
      </w:r>
      <w:r w:rsidRPr="00FE1642">
        <w:t xml:space="preserve"> adjusting the dose, changing the dosing interval, adding another therapy (combination therapy) or switching to another therapy.</w:t>
      </w:r>
      <w:r w:rsidR="006E05AF" w:rsidRPr="006E05AF">
        <w:rPr>
          <w:noProof/>
        </w:rPr>
        <w:t>(</w:t>
      </w:r>
      <w:r w:rsidR="00F608CD" w:rsidRPr="006E05AF">
        <w:rPr>
          <w:noProof/>
        </w:rPr>
        <w:t>3</w:t>
      </w:r>
      <w:r w:rsidR="006E05AF" w:rsidRPr="006E05AF">
        <w:rPr>
          <w:noProof/>
        </w:rPr>
        <w:t xml:space="preserve">, </w:t>
      </w:r>
      <w:r w:rsidR="00F608CD" w:rsidRPr="006E05AF">
        <w:rPr>
          <w:noProof/>
        </w:rPr>
        <w:t>4</w:t>
      </w:r>
      <w:r w:rsidR="006E05AF" w:rsidRPr="006E05AF">
        <w:rPr>
          <w:noProof/>
        </w:rPr>
        <w:t xml:space="preserve">, </w:t>
      </w:r>
      <w:r w:rsidR="00F608CD" w:rsidRPr="006E05AF">
        <w:rPr>
          <w:noProof/>
        </w:rPr>
        <w:t>20</w:t>
      </w:r>
      <w:r w:rsidR="006E05AF" w:rsidRPr="006E05AF">
        <w:rPr>
          <w:noProof/>
        </w:rPr>
        <w:t xml:space="preserve">, </w:t>
      </w:r>
      <w:r w:rsidR="00F608CD" w:rsidRPr="006E05AF">
        <w:rPr>
          <w:noProof/>
        </w:rPr>
        <w:t>21</w:t>
      </w:r>
      <w:r w:rsidR="006E05AF" w:rsidRPr="006E05AF">
        <w:rPr>
          <w:noProof/>
        </w:rPr>
        <w:t>)</w:t>
      </w:r>
      <w:r w:rsidRPr="00FE1642">
        <w:t xml:space="preserve"> </w:t>
      </w:r>
    </w:p>
    <w:p w14:paraId="1EBF343A" w14:textId="77777777" w:rsidR="00470C5B" w:rsidRPr="00FE1642" w:rsidRDefault="00470C5B" w:rsidP="006731E3">
      <w:pPr>
        <w:pStyle w:val="BulletLast"/>
        <w:ind w:left="357" w:hanging="357"/>
        <w:contextualSpacing/>
        <w:rPr>
          <w:vertAlign w:val="superscript"/>
        </w:rPr>
      </w:pPr>
      <w:r w:rsidRPr="00FE1642">
        <w:t>The evidence-based guidelines do not make specific recommendations in this regard, although the Canadian guidelines discuss instances where response may improve by maintaining therapy (etanercept) or increasing the dose (ustekinumab).</w:t>
      </w:r>
      <w:r w:rsidR="006E05AF" w:rsidRPr="006E05AF">
        <w:rPr>
          <w:noProof/>
        </w:rPr>
        <w:t>(</w:t>
      </w:r>
      <w:r w:rsidR="00F608CD" w:rsidRPr="006E05AF">
        <w:rPr>
          <w:noProof/>
        </w:rPr>
        <w:t>6</w:t>
      </w:r>
      <w:r w:rsidR="006E05AF" w:rsidRPr="006E05AF">
        <w:rPr>
          <w:noProof/>
        </w:rPr>
        <w:t>)</w:t>
      </w:r>
    </w:p>
    <w:p w14:paraId="28434FE4" w14:textId="77777777" w:rsidR="00470C5B" w:rsidRDefault="00470C5B" w:rsidP="00502329">
      <w:r w:rsidRPr="00FE1642">
        <w:t xml:space="preserve">No guidance </w:t>
      </w:r>
      <w:r w:rsidR="00D0737C">
        <w:t xml:space="preserve">document </w:t>
      </w:r>
      <w:r w:rsidRPr="00FE1642">
        <w:t xml:space="preserve">recommended a maximum number of biologics that should be trialled before discontinuing biologic therapy. </w:t>
      </w:r>
    </w:p>
    <w:p w14:paraId="395CA7DC" w14:textId="77777777" w:rsidR="007470CB" w:rsidRPr="007470CB" w:rsidRDefault="007470CB" w:rsidP="007470CB">
      <w:pPr>
        <w:pStyle w:val="MDSubsubheding"/>
      </w:pPr>
      <w:bookmarkStart w:id="30" w:name="_Toc503274960"/>
      <w:r w:rsidRPr="00502329">
        <w:t xml:space="preserve">PBS </w:t>
      </w:r>
      <w:r>
        <w:t>switching</w:t>
      </w:r>
      <w:r w:rsidRPr="00FE1642">
        <w:t xml:space="preserve"> criteria </w:t>
      </w:r>
      <w:r w:rsidRPr="00502329">
        <w:t>compared with clinical guidelines</w:t>
      </w:r>
      <w:bookmarkEnd w:id="30"/>
    </w:p>
    <w:p w14:paraId="32A06815" w14:textId="77777777" w:rsidR="00470C5B" w:rsidRPr="00FE1642" w:rsidRDefault="00470C5B" w:rsidP="00A77877">
      <w:pPr>
        <w:pStyle w:val="ToRText"/>
        <w:rPr>
          <w:rFonts w:eastAsia="Calibri"/>
        </w:rPr>
      </w:pPr>
      <w:r w:rsidRPr="00FE1642">
        <w:t>c) Are the recommendations for switching between biologic agents described in Australian or other relevant clinical guidelines? If so are these recommendations consistent with PBS restrictions?</w:t>
      </w:r>
    </w:p>
    <w:p w14:paraId="4EC5BA34" w14:textId="77777777" w:rsidR="00470C5B" w:rsidRPr="00FE1642" w:rsidRDefault="00470C5B" w:rsidP="007470CB">
      <w:r w:rsidRPr="00FE1642">
        <w:t xml:space="preserve">Under the PBS, patients can switch to a different biologic agent, as long as they have not already failed or ceased to respond to that particular agent, or to three biological agents within the five-year </w:t>
      </w:r>
      <w:r w:rsidR="00D35678">
        <w:t>t</w:t>
      </w:r>
      <w:r w:rsidRPr="00FE1642">
        <w:t xml:space="preserve">reatment </w:t>
      </w:r>
      <w:r w:rsidR="00D35678">
        <w:t>c</w:t>
      </w:r>
      <w:r w:rsidRPr="00FE1642">
        <w:t>ycle. Switching can be for any reason, and is not limited to a lack of response. However, if a patient is switching despite having achieved an adequate response, then a demonstration of response would need to be submitted within one month (otherwise it would be classed as a treatment failure).</w:t>
      </w:r>
    </w:p>
    <w:p w14:paraId="12854F29" w14:textId="77777777" w:rsidR="00470C5B" w:rsidRPr="00FE1642" w:rsidRDefault="00470C5B" w:rsidP="007470CB">
      <w:r w:rsidRPr="00FE1642">
        <w:t>The ability to switch between biologics is consistent with guideline recommendations about individualising therapies, taking risks and benefits into account, and the differing adverse effect profiles of the biologics. For instance, the Australian consensus recognised that a patient with a satisfactory response may have reasons to wish to modify the treatment regimen.</w:t>
      </w:r>
      <w:r w:rsidR="006E05AF" w:rsidRPr="006E05AF">
        <w:rPr>
          <w:noProof/>
        </w:rPr>
        <w:t>(</w:t>
      </w:r>
      <w:r w:rsidR="00F608CD" w:rsidRPr="006E05AF">
        <w:rPr>
          <w:noProof/>
        </w:rPr>
        <w:t>3</w:t>
      </w:r>
      <w:r w:rsidR="006E05AF" w:rsidRPr="006E05AF">
        <w:rPr>
          <w:noProof/>
        </w:rPr>
        <w:t>)</w:t>
      </w:r>
      <w:r w:rsidRPr="00FE1642">
        <w:t xml:space="preserve"> </w:t>
      </w:r>
    </w:p>
    <w:p w14:paraId="1F3A8B73" w14:textId="77777777" w:rsidR="00470C5B" w:rsidRPr="00FE1642" w:rsidRDefault="00470C5B" w:rsidP="007470CB">
      <w:r w:rsidRPr="00FE1642">
        <w:t>The only guidance document that included information on switching between therapies was the EU consensus on treatment optimisation, but the advice was limited to whether treatment-free intervals are required.</w:t>
      </w:r>
      <w:r w:rsidR="006E05AF" w:rsidRPr="006E05AF">
        <w:rPr>
          <w:noProof/>
        </w:rPr>
        <w:t>(</w:t>
      </w:r>
      <w:r w:rsidR="00F608CD" w:rsidRPr="006E05AF">
        <w:rPr>
          <w:noProof/>
        </w:rPr>
        <w:t>21</w:t>
      </w:r>
      <w:r w:rsidR="006E05AF" w:rsidRPr="006E05AF">
        <w:rPr>
          <w:noProof/>
        </w:rPr>
        <w:t>)</w:t>
      </w:r>
    </w:p>
    <w:p w14:paraId="24046D0E" w14:textId="77777777" w:rsidR="00470C5B" w:rsidRDefault="00470C5B" w:rsidP="007470CB">
      <w:r w:rsidRPr="00FE1642">
        <w:t xml:space="preserve">No guidance document provided information as to the number of biologic agents a patient should trial. </w:t>
      </w:r>
    </w:p>
    <w:p w14:paraId="58D8875A" w14:textId="77777777" w:rsidR="007470CB" w:rsidRPr="007470CB" w:rsidRDefault="007470CB" w:rsidP="00B24C18">
      <w:pPr>
        <w:pStyle w:val="MDSubsubheding"/>
      </w:pPr>
      <w:bookmarkStart w:id="31" w:name="_Toc503274961"/>
      <w:r w:rsidRPr="007470CB">
        <w:lastRenderedPageBreak/>
        <w:t xml:space="preserve">PBS restrictions for patients </w:t>
      </w:r>
      <w:r w:rsidR="002A7E2D">
        <w:t>in specific sub</w:t>
      </w:r>
      <w:r w:rsidR="00D35678">
        <w:noBreakHyphen/>
      </w:r>
      <w:r w:rsidR="002A7E2D">
        <w:t>populations</w:t>
      </w:r>
      <w:bookmarkEnd w:id="31"/>
      <w:r w:rsidRPr="007470CB">
        <w:t xml:space="preserve"> </w:t>
      </w:r>
    </w:p>
    <w:p w14:paraId="05CD7CAA" w14:textId="77777777" w:rsidR="00470C5B" w:rsidRPr="00FE1642" w:rsidRDefault="00470C5B" w:rsidP="00B24C18">
      <w:pPr>
        <w:pStyle w:val="ToRText"/>
        <w:keepNext/>
        <w:keepLines/>
      </w:pPr>
      <w:r w:rsidRPr="00FE1642">
        <w:t>d) Examine the criteria in PBS restrictions for treating patients with biologics who have: pre-existing disease (e.g. viral infection); recent vaccination; or who are pregnant. Are these criteria consistent with Australian and other relevant international treatment guidelines?</w:t>
      </w:r>
    </w:p>
    <w:p w14:paraId="373427A0" w14:textId="77777777" w:rsidR="00470C5B" w:rsidRPr="00FE1642" w:rsidRDefault="00470C5B" w:rsidP="00B24C18">
      <w:pPr>
        <w:pStyle w:val="MDsubHead3"/>
      </w:pPr>
      <w:r w:rsidRPr="00FE1642">
        <w:t xml:space="preserve">Patients under the age of 18 years </w:t>
      </w:r>
    </w:p>
    <w:p w14:paraId="66E102DC" w14:textId="77777777" w:rsidR="00470C5B" w:rsidRPr="00FE1642" w:rsidRDefault="00470C5B" w:rsidP="00B24C18">
      <w:pPr>
        <w:keepNext/>
        <w:keepLines/>
        <w:rPr>
          <w:vertAlign w:val="superscript"/>
        </w:rPr>
      </w:pPr>
      <w:r w:rsidRPr="00FE1642">
        <w:t xml:space="preserve">Etanercept is the only biologic that is PBS-listed for the treatment of CPP in patients aged under 18 years. This aligns with the guidelines that make recommendations in this regard (Canadian, US AAD and UK </w:t>
      </w:r>
      <w:r w:rsidR="006B0F37" w:rsidRPr="006B0F37">
        <w:t xml:space="preserve">British Association of Dermatology </w:t>
      </w:r>
      <w:r w:rsidR="006B0F37">
        <w:t>(</w:t>
      </w:r>
      <w:r w:rsidRPr="00FE1642">
        <w:t>BAD</w:t>
      </w:r>
      <w:r w:rsidR="006B0F37">
        <w:t>)</w:t>
      </w:r>
      <w:r w:rsidRPr="00FE1642">
        <w:t xml:space="preserve"> guidelines), which all state that etanercept is the best</w:t>
      </w:r>
      <w:r w:rsidR="00D35678">
        <w:noBreakHyphen/>
      </w:r>
      <w:r w:rsidRPr="00FE1642">
        <w:t>studied biologic for paediatric psoriasis.</w:t>
      </w:r>
      <w:r w:rsidR="006E05AF">
        <w:rPr>
          <w:noProof/>
        </w:rPr>
        <w:t>(</w:t>
      </w:r>
      <w:r w:rsidR="00F608CD">
        <w:rPr>
          <w:noProof/>
        </w:rPr>
        <w:t>19</w:t>
      </w:r>
      <w:r w:rsidR="006E05AF">
        <w:rPr>
          <w:noProof/>
        </w:rPr>
        <w:t xml:space="preserve">, </w:t>
      </w:r>
      <w:r w:rsidR="00F608CD">
        <w:rPr>
          <w:noProof/>
        </w:rPr>
        <w:t>22</w:t>
      </w:r>
      <w:r w:rsidR="006E05AF">
        <w:rPr>
          <w:noProof/>
        </w:rPr>
        <w:t>)</w:t>
      </w:r>
      <w:r w:rsidR="007470CB">
        <w:t xml:space="preserve"> However, there is some clinical </w:t>
      </w:r>
      <w:r w:rsidR="00F87261">
        <w:t xml:space="preserve">evidence for the use of adalimumab in children (four to 18 years old) and </w:t>
      </w:r>
      <w:r w:rsidR="00F87261" w:rsidRPr="00F87261">
        <w:t>ustekinumab</w:t>
      </w:r>
      <w:r w:rsidR="00F87261">
        <w:t xml:space="preserve"> in adolescents (12 to 17 year olds).</w:t>
      </w:r>
    </w:p>
    <w:p w14:paraId="613794AD" w14:textId="77777777" w:rsidR="00470C5B" w:rsidRPr="00FE1642" w:rsidRDefault="00470C5B" w:rsidP="007470CB">
      <w:pPr>
        <w:pStyle w:val="MDsubHead3"/>
      </w:pPr>
      <w:r w:rsidRPr="00FE1642">
        <w:t>Pregnancy</w:t>
      </w:r>
    </w:p>
    <w:p w14:paraId="2C4F9A20" w14:textId="3E3E272C" w:rsidR="00470C5B" w:rsidRPr="00FE1642" w:rsidRDefault="00470C5B" w:rsidP="007470CB">
      <w:r w:rsidRPr="00FE1642">
        <w:t xml:space="preserve">The PBS restrictions do not include specific criteria </w:t>
      </w:r>
      <w:r w:rsidR="00315E37">
        <w:t>for the</w:t>
      </w:r>
      <w:r w:rsidR="00315E37" w:rsidRPr="00FE1642">
        <w:t xml:space="preserve"> </w:t>
      </w:r>
      <w:r w:rsidRPr="00FE1642">
        <w:t xml:space="preserve">use of biologics in pregnancy. </w:t>
      </w:r>
    </w:p>
    <w:p w14:paraId="04D878F9" w14:textId="77777777" w:rsidR="00470C5B" w:rsidRPr="00FE1642" w:rsidRDefault="00470C5B" w:rsidP="00F87261">
      <w:r w:rsidRPr="00FE1642">
        <w:t xml:space="preserve">However, the restrictions enable pregnant women to forgo the requirement to have failed methotrexate and acitretin, which aligns with clinical guidelines.  </w:t>
      </w:r>
    </w:p>
    <w:p w14:paraId="7FA59689" w14:textId="77777777" w:rsidR="00470C5B" w:rsidRPr="00FE1642" w:rsidRDefault="00470C5B" w:rsidP="00F87261">
      <w:pPr>
        <w:rPr>
          <w:rFonts w:eastAsia="Calibri"/>
        </w:rPr>
      </w:pPr>
      <w:r w:rsidRPr="00FE1642">
        <w:rPr>
          <w:rFonts w:eastAsia="Calibri"/>
        </w:rPr>
        <w:t xml:space="preserve">The PBS restrictions do not specifically restrict (nor enable) use of biologics in pregnancy. This aligns with the Canadian and US AAD guidelines, which recommend that prescribers assess the risks and benefits and, if required, use biologics with caution. </w:t>
      </w:r>
    </w:p>
    <w:p w14:paraId="0E8CFAD0" w14:textId="1302CAF5" w:rsidR="00470C5B" w:rsidRPr="00FE1642" w:rsidRDefault="00470C5B" w:rsidP="00F87261">
      <w:pPr>
        <w:rPr>
          <w:rFonts w:eastAsia="Calibri"/>
        </w:rPr>
      </w:pPr>
      <w:r w:rsidRPr="00FE1642">
        <w:rPr>
          <w:rFonts w:eastAsia="Calibri"/>
        </w:rPr>
        <w:t>Under the PBS</w:t>
      </w:r>
      <w:r w:rsidR="007E5840">
        <w:rPr>
          <w:rFonts w:eastAsia="Calibri"/>
        </w:rPr>
        <w:t xml:space="preserve"> restrictions</w:t>
      </w:r>
      <w:r w:rsidRPr="00FE1642">
        <w:rPr>
          <w:rFonts w:eastAsia="Calibri"/>
        </w:rPr>
        <w:t xml:space="preserve">, patients who are pregnant could temporarily cease biologic therapy, but would need to submit a demonstration of response to current treatment within one month of stopping treatment to facilitate re-initiation. </w:t>
      </w:r>
    </w:p>
    <w:p w14:paraId="517EA68C" w14:textId="77777777" w:rsidR="00470C5B" w:rsidRPr="00FE1642" w:rsidRDefault="00470C5B" w:rsidP="00F87261">
      <w:pPr>
        <w:pStyle w:val="MDsubHead3"/>
      </w:pPr>
      <w:r w:rsidRPr="00FE1642">
        <w:t>Use of biologics to treat CPP in other special populations and circumstances</w:t>
      </w:r>
    </w:p>
    <w:p w14:paraId="02C8306A" w14:textId="77777777" w:rsidR="00470C5B" w:rsidRPr="00FE1642" w:rsidRDefault="00470C5B" w:rsidP="00F87261">
      <w:r w:rsidRPr="00FE1642">
        <w:t xml:space="preserve">The PBS restrictions for the use of biologics in CPP do not contain specific criteria around pre-existing disease (e.g. viral infection) or recent vaccination. </w:t>
      </w:r>
    </w:p>
    <w:p w14:paraId="54F60708" w14:textId="77777777" w:rsidR="00470C5B" w:rsidRPr="00FE1642" w:rsidRDefault="00470C5B" w:rsidP="00F87261">
      <w:r w:rsidRPr="00FE1642">
        <w:t>A key point in the Canadian guidelines is that “large, controlled clinical studies are almost unknown in special populations with psoriasis, so physicians must rely largely on the case literature and clinical judgment when treating these patients.”</w:t>
      </w:r>
      <w:r w:rsidR="006E05AF">
        <w:rPr>
          <w:noProof/>
        </w:rPr>
        <w:t>(</w:t>
      </w:r>
      <w:r w:rsidR="00F608CD">
        <w:rPr>
          <w:noProof/>
        </w:rPr>
        <w:t>22</w:t>
      </w:r>
      <w:r w:rsidR="006E05AF">
        <w:rPr>
          <w:noProof/>
        </w:rPr>
        <w:t>)</w:t>
      </w:r>
    </w:p>
    <w:p w14:paraId="7D78A468" w14:textId="77777777" w:rsidR="00470C5B" w:rsidRPr="00FE1642" w:rsidRDefault="009C06A2" w:rsidP="00A77877">
      <w:pPr>
        <w:pStyle w:val="MDSubsubheding"/>
        <w:rPr>
          <w:lang w:eastAsia="en-US"/>
        </w:rPr>
      </w:pPr>
      <w:bookmarkStart w:id="32" w:name="_Toc503274962"/>
      <w:r w:rsidRPr="00FE1642">
        <w:rPr>
          <w:lang w:eastAsia="en-US"/>
        </w:rPr>
        <w:t>Clinical assessment measures used to evaluate the severity of CPP</w:t>
      </w:r>
      <w:bookmarkEnd w:id="32"/>
      <w:r w:rsidRPr="00FE1642">
        <w:rPr>
          <w:lang w:eastAsia="en-US"/>
        </w:rPr>
        <w:t xml:space="preserve"> </w:t>
      </w:r>
    </w:p>
    <w:p w14:paraId="18482D35" w14:textId="77777777" w:rsidR="00470C5B" w:rsidRPr="00FE1642" w:rsidRDefault="00470C5B" w:rsidP="00A77877">
      <w:pPr>
        <w:pStyle w:val="ToRText"/>
      </w:pPr>
      <w:r w:rsidRPr="00FE1642">
        <w:t>Q2. Review the most commonly recommended clinical assessment measures used to evaluate the severity of CPP or stages for disease progression</w:t>
      </w:r>
    </w:p>
    <w:p w14:paraId="23FB14CF" w14:textId="77777777" w:rsidR="007907AF" w:rsidRDefault="00A77877" w:rsidP="007907AF">
      <w:r>
        <w:t>A</w:t>
      </w:r>
      <w:r w:rsidRPr="00740C05">
        <w:t xml:space="preserve"> systematic literature search was performed to identify relevant articles about </w:t>
      </w:r>
      <w:r w:rsidR="000B6876">
        <w:t xml:space="preserve">clinical outcomes in psoriasis. </w:t>
      </w:r>
      <w:r w:rsidR="00470C5B" w:rsidRPr="00FE1642">
        <w:t xml:space="preserve">This section summarises the outcomes that are commonly recommended in </w:t>
      </w:r>
      <w:r w:rsidR="00B67975" w:rsidRPr="00FE1642">
        <w:t>guidance</w:t>
      </w:r>
      <w:r w:rsidR="00522337">
        <w:t xml:space="preserve"> document</w:t>
      </w:r>
      <w:r w:rsidR="00B67975" w:rsidRPr="00FE1642">
        <w:t>s</w:t>
      </w:r>
      <w:r w:rsidR="00470C5B" w:rsidRPr="00FE1642">
        <w:t xml:space="preserve"> and the findings of the literat</w:t>
      </w:r>
      <w:r w:rsidR="00B67975" w:rsidRPr="00FE1642">
        <w:t xml:space="preserve">ure review on outcome measures. </w:t>
      </w:r>
      <w:r w:rsidR="007907AF">
        <w:t>A number of these are commonly used in clinical trials and include:</w:t>
      </w:r>
    </w:p>
    <w:p w14:paraId="725A18C5" w14:textId="77777777" w:rsidR="007907AF" w:rsidRPr="007907AF" w:rsidRDefault="007907AF" w:rsidP="007907AF">
      <w:pPr>
        <w:rPr>
          <w:u w:val="single"/>
        </w:rPr>
      </w:pPr>
      <w:r w:rsidRPr="007907AF">
        <w:rPr>
          <w:u w:val="single"/>
        </w:rPr>
        <w:t>Proportion of body surface area (BSA) affected</w:t>
      </w:r>
    </w:p>
    <w:p w14:paraId="05753A07" w14:textId="77777777" w:rsidR="007907AF" w:rsidRDefault="007907AF" w:rsidP="000A43C2">
      <w:pPr>
        <w:pStyle w:val="ListParagraph"/>
        <w:numPr>
          <w:ilvl w:val="0"/>
          <w:numId w:val="10"/>
        </w:numPr>
      </w:pPr>
      <w:r>
        <w:t xml:space="preserve">determination of the area affected by psoriasis in relation to the whole </w:t>
      </w:r>
      <w:r w:rsidR="00CD5E32">
        <w:t>BSA</w:t>
      </w:r>
      <w:r>
        <w:t>.</w:t>
      </w:r>
      <w:r>
        <w:rPr>
          <w:noProof/>
        </w:rPr>
        <w:t>(</w:t>
      </w:r>
      <w:r w:rsidR="00F608CD">
        <w:rPr>
          <w:noProof/>
        </w:rPr>
        <w:t>4</w:t>
      </w:r>
      <w:r>
        <w:rPr>
          <w:noProof/>
        </w:rPr>
        <w:t>)</w:t>
      </w:r>
    </w:p>
    <w:p w14:paraId="7D3FC6C7" w14:textId="77777777" w:rsidR="007907AF" w:rsidRPr="007907AF" w:rsidRDefault="007907AF" w:rsidP="007907AF">
      <w:pPr>
        <w:rPr>
          <w:u w:val="single"/>
        </w:rPr>
      </w:pPr>
      <w:r w:rsidRPr="007907AF">
        <w:rPr>
          <w:u w:val="single"/>
        </w:rPr>
        <w:lastRenderedPageBreak/>
        <w:t>Psoriasis Area and Severity Index (PASI) score</w:t>
      </w:r>
    </w:p>
    <w:p w14:paraId="12B9AEE4" w14:textId="77777777" w:rsidR="007907AF" w:rsidRDefault="007907AF" w:rsidP="000A43C2">
      <w:pPr>
        <w:pStyle w:val="ListParagraph"/>
        <w:numPr>
          <w:ilvl w:val="0"/>
          <w:numId w:val="10"/>
        </w:numPr>
      </w:pPr>
      <w:r>
        <w:t>evaluates lesions by their characteristics of erythema, induration and scaling, as well as by the surface area affected</w:t>
      </w:r>
      <w:r w:rsidR="00F608CD">
        <w:t xml:space="preserve"> </w:t>
      </w:r>
      <w:r>
        <w:rPr>
          <w:noProof/>
        </w:rPr>
        <w:t>(</w:t>
      </w:r>
      <w:r w:rsidR="00F608CD">
        <w:rPr>
          <w:noProof/>
        </w:rPr>
        <w:t>4</w:t>
      </w:r>
      <w:r>
        <w:rPr>
          <w:noProof/>
        </w:rPr>
        <w:t xml:space="preserve">, </w:t>
      </w:r>
      <w:r w:rsidR="00F608CD">
        <w:rPr>
          <w:noProof/>
        </w:rPr>
        <w:t>23</w:t>
      </w:r>
      <w:r>
        <w:rPr>
          <w:noProof/>
        </w:rPr>
        <w:t>)</w:t>
      </w:r>
      <w:r>
        <w:t>;</w:t>
      </w:r>
    </w:p>
    <w:p w14:paraId="78771832" w14:textId="37466FE7" w:rsidR="007907AF" w:rsidRDefault="007907AF" w:rsidP="000A43C2">
      <w:pPr>
        <w:pStyle w:val="ListParagraph"/>
        <w:numPr>
          <w:ilvl w:val="0"/>
          <w:numId w:val="10"/>
        </w:numPr>
      </w:pPr>
      <w:r>
        <w:t>score ranges from 0 to 72, with higher scores indicating more severe disease;</w:t>
      </w:r>
    </w:p>
    <w:p w14:paraId="0BE83F49" w14:textId="77777777" w:rsidR="007907AF" w:rsidRDefault="007907AF" w:rsidP="000A43C2">
      <w:pPr>
        <w:pStyle w:val="ListParagraph"/>
        <w:numPr>
          <w:ilvl w:val="0"/>
          <w:numId w:val="10"/>
        </w:numPr>
      </w:pPr>
      <w:r>
        <w:t>in the majority of the identified trials a PASI of &lt; 10 represents mild disease and a PASI of ≥</w:t>
      </w:r>
      <w:r w:rsidR="00946BEA">
        <w:t xml:space="preserve"> 10</w:t>
      </w:r>
      <w:r>
        <w:t xml:space="preserve"> represents moderate-to-severe psoriasis.</w:t>
      </w:r>
    </w:p>
    <w:p w14:paraId="67D09694" w14:textId="77777777" w:rsidR="007907AF" w:rsidRPr="007907AF" w:rsidRDefault="007907AF" w:rsidP="00921A20">
      <w:pPr>
        <w:keepNext/>
        <w:keepLines/>
        <w:rPr>
          <w:u w:val="single"/>
        </w:rPr>
      </w:pPr>
      <w:r w:rsidRPr="007907AF">
        <w:rPr>
          <w:u w:val="single"/>
        </w:rPr>
        <w:t>Dermatology Life Quality Index (DLQI) score</w:t>
      </w:r>
    </w:p>
    <w:p w14:paraId="482D9B69" w14:textId="77777777" w:rsidR="007907AF" w:rsidRDefault="007907AF" w:rsidP="00921A20">
      <w:pPr>
        <w:pStyle w:val="ListParagraph"/>
        <w:keepNext/>
        <w:keepLines/>
        <w:numPr>
          <w:ilvl w:val="0"/>
          <w:numId w:val="10"/>
        </w:numPr>
      </w:pPr>
      <w:r>
        <w:t xml:space="preserve">assesses the impact of psoriasis on the quality of life of the patient </w:t>
      </w:r>
      <w:r>
        <w:rPr>
          <w:noProof/>
        </w:rPr>
        <w:t>(</w:t>
      </w:r>
      <w:r w:rsidR="00F608CD">
        <w:rPr>
          <w:noProof/>
        </w:rPr>
        <w:t>4</w:t>
      </w:r>
      <w:r>
        <w:rPr>
          <w:noProof/>
        </w:rPr>
        <w:t xml:space="preserve">, </w:t>
      </w:r>
      <w:r w:rsidR="00F608CD">
        <w:rPr>
          <w:noProof/>
        </w:rPr>
        <w:t>23</w:t>
      </w:r>
      <w:r>
        <w:rPr>
          <w:noProof/>
        </w:rPr>
        <w:t>)</w:t>
      </w:r>
      <w:r>
        <w:t>;</w:t>
      </w:r>
    </w:p>
    <w:p w14:paraId="18AFD759" w14:textId="77777777" w:rsidR="007907AF" w:rsidRDefault="007907AF" w:rsidP="00921A20">
      <w:pPr>
        <w:pStyle w:val="ListParagraph"/>
        <w:keepNext/>
        <w:keepLines/>
        <w:numPr>
          <w:ilvl w:val="0"/>
          <w:numId w:val="10"/>
        </w:numPr>
      </w:pPr>
      <w:r>
        <w:t xml:space="preserve">score ranges from 0 to 30, with higher scores indicating a worse quality of life; </w:t>
      </w:r>
    </w:p>
    <w:p w14:paraId="2CE540C2" w14:textId="71719015" w:rsidR="007907AF" w:rsidRDefault="007907AF" w:rsidP="00921A20">
      <w:pPr>
        <w:pStyle w:val="ListParagraph"/>
        <w:keepNext/>
        <w:keepLines/>
        <w:numPr>
          <w:ilvl w:val="0"/>
          <w:numId w:val="10"/>
        </w:numPr>
      </w:pPr>
      <w:r>
        <w:t xml:space="preserve">a DLQI score of </w:t>
      </w:r>
      <w:r w:rsidR="00B05650">
        <w:t>˃</w:t>
      </w:r>
      <w:r>
        <w:t xml:space="preserve"> 10 indicates a significant impact on quality of life. </w:t>
      </w:r>
      <w:r>
        <w:rPr>
          <w:noProof/>
        </w:rPr>
        <w:t>(</w:t>
      </w:r>
      <w:r w:rsidR="00F608CD">
        <w:rPr>
          <w:noProof/>
        </w:rPr>
        <w:t>4</w:t>
      </w:r>
      <w:r>
        <w:rPr>
          <w:noProof/>
        </w:rPr>
        <w:t xml:space="preserve">, </w:t>
      </w:r>
      <w:r w:rsidR="00F608CD">
        <w:rPr>
          <w:noProof/>
        </w:rPr>
        <w:t>23</w:t>
      </w:r>
      <w:r>
        <w:rPr>
          <w:noProof/>
        </w:rPr>
        <w:t>)</w:t>
      </w:r>
      <w:r w:rsidR="00CD5E32">
        <w:t>.</w:t>
      </w:r>
      <w:r>
        <w:t xml:space="preserve"> </w:t>
      </w:r>
    </w:p>
    <w:p w14:paraId="71F21AA1" w14:textId="77777777" w:rsidR="00470C5B" w:rsidRPr="00FE1642" w:rsidRDefault="00470C5B" w:rsidP="000B6876">
      <w:pPr>
        <w:pStyle w:val="MDsubHead3"/>
      </w:pPr>
      <w:r w:rsidRPr="00FE1642">
        <w:t xml:space="preserve">Most commonly recommended clinical assessment measures in the </w:t>
      </w:r>
      <w:r w:rsidR="00B67975" w:rsidRPr="00FE1642">
        <w:t>guidance</w:t>
      </w:r>
      <w:r w:rsidRPr="00FE1642">
        <w:t xml:space="preserve"> </w:t>
      </w:r>
    </w:p>
    <w:p w14:paraId="6FF48F9E" w14:textId="77777777" w:rsidR="005C76B2" w:rsidRPr="00FE1642" w:rsidRDefault="00470C5B" w:rsidP="000B6876">
      <w:pPr>
        <w:rPr>
          <w:rFonts w:eastAsia="Calibri"/>
        </w:rPr>
      </w:pPr>
      <w:r w:rsidRPr="00FE1642">
        <w:rPr>
          <w:rFonts w:eastAsia="Calibri"/>
        </w:rPr>
        <w:t xml:space="preserve">In the </w:t>
      </w:r>
      <w:r w:rsidRPr="000B6876">
        <w:t>guidance</w:t>
      </w:r>
      <w:r w:rsidR="00522337">
        <w:t xml:space="preserve"> statements</w:t>
      </w:r>
      <w:r w:rsidRPr="000B6876">
        <w:t>, the most commonly recommended clinical assessment measures are PASI, DLQI and BSA, as shown in the table below. A tick indicates that the</w:t>
      </w:r>
      <w:r w:rsidRPr="00FE1642">
        <w:rPr>
          <w:rFonts w:eastAsia="Calibri"/>
        </w:rPr>
        <w:t xml:space="preserve"> outcome was recommended or provided as an example of an outcome that could be used. A cross indicates an outcome that was specifically not recommended. Note that PASI includes an assessment of BSA. </w:t>
      </w:r>
    </w:p>
    <w:p w14:paraId="1436876E" w14:textId="77777777" w:rsidR="005C76B2" w:rsidRPr="00FE1642" w:rsidRDefault="005C76B2" w:rsidP="00522337">
      <w:pPr>
        <w:pStyle w:val="MDTabCaption"/>
        <w:keepLines/>
      </w:pPr>
      <w:bookmarkStart w:id="33" w:name="_Toc503274995"/>
      <w:r w:rsidRPr="00FE1642">
        <w:lastRenderedPageBreak/>
        <w:t xml:space="preserve">Table </w:t>
      </w:r>
      <w:r w:rsidR="007B4746">
        <w:t>ES.</w:t>
      </w:r>
      <w:r w:rsidR="00594BE2">
        <w:t>5</w:t>
      </w:r>
      <w:r w:rsidRPr="00FE1642">
        <w:t>: Outcome measures recommended or noted in guidelines</w:t>
      </w:r>
      <w:bookmarkEnd w:id="33"/>
    </w:p>
    <w:tbl>
      <w:tblPr>
        <w:tblStyle w:val="TableGrid"/>
        <w:tblW w:w="5000" w:type="pct"/>
        <w:tblLayout w:type="fixed"/>
        <w:tblLook w:val="04A0" w:firstRow="1" w:lastRow="0" w:firstColumn="1" w:lastColumn="0" w:noHBand="0" w:noVBand="1"/>
        <w:tblCaption w:val="Table ES.5"/>
        <w:tblDescription w:val="Outcome measures recommended or noted in guidelines"/>
      </w:tblPr>
      <w:tblGrid>
        <w:gridCol w:w="989"/>
        <w:gridCol w:w="1134"/>
        <w:gridCol w:w="1132"/>
        <w:gridCol w:w="985"/>
        <w:gridCol w:w="1067"/>
        <w:gridCol w:w="667"/>
        <w:gridCol w:w="692"/>
        <w:gridCol w:w="575"/>
        <w:gridCol w:w="884"/>
        <w:gridCol w:w="891"/>
      </w:tblGrid>
      <w:tr w:rsidR="00470C5B" w:rsidRPr="00FE1642" w14:paraId="6CD1E64B" w14:textId="77777777" w:rsidTr="00500FC1">
        <w:trPr>
          <w:cantSplit/>
          <w:tblHeader/>
        </w:trPr>
        <w:tc>
          <w:tcPr>
            <w:tcW w:w="548" w:type="pct"/>
            <w:vMerge w:val="restart"/>
            <w:shd w:val="clear" w:color="auto" w:fill="BFBFBF" w:themeFill="background1" w:themeFillShade="BF"/>
          </w:tcPr>
          <w:p w14:paraId="0AF63126" w14:textId="77777777" w:rsidR="00470C5B" w:rsidRPr="00FE1642" w:rsidRDefault="00470C5B" w:rsidP="00522337">
            <w:pPr>
              <w:pStyle w:val="Subtitle"/>
              <w:keepNext/>
              <w:keepLines/>
            </w:pPr>
          </w:p>
          <w:p w14:paraId="21C83C66" w14:textId="77777777" w:rsidR="00470C5B" w:rsidRPr="00FE1642" w:rsidRDefault="00470C5B" w:rsidP="00522337">
            <w:pPr>
              <w:pStyle w:val="Subtitle"/>
              <w:keepNext/>
              <w:keepLines/>
            </w:pPr>
          </w:p>
        </w:tc>
        <w:tc>
          <w:tcPr>
            <w:tcW w:w="629" w:type="pct"/>
            <w:shd w:val="clear" w:color="auto" w:fill="BFBFBF" w:themeFill="background1" w:themeFillShade="BF"/>
          </w:tcPr>
          <w:p w14:paraId="19C1D45F" w14:textId="77777777" w:rsidR="00470C5B" w:rsidRPr="00FE1642" w:rsidRDefault="00470C5B" w:rsidP="00522337">
            <w:pPr>
              <w:pStyle w:val="Subtitle"/>
              <w:keepNext/>
              <w:keepLines/>
            </w:pPr>
          </w:p>
        </w:tc>
        <w:tc>
          <w:tcPr>
            <w:tcW w:w="2519" w:type="pct"/>
            <w:gridSpan w:val="5"/>
            <w:shd w:val="clear" w:color="auto" w:fill="BFBFBF" w:themeFill="background1" w:themeFillShade="BF"/>
          </w:tcPr>
          <w:p w14:paraId="3BFD06A5" w14:textId="77777777" w:rsidR="00470C5B" w:rsidRPr="00FE1642" w:rsidRDefault="00470C5B" w:rsidP="00522337">
            <w:pPr>
              <w:pStyle w:val="Subtitle"/>
              <w:keepNext/>
              <w:keepLines/>
            </w:pPr>
            <w:r w:rsidRPr="00FE1642">
              <w:t>Evidence-based guidelines</w:t>
            </w:r>
          </w:p>
        </w:tc>
        <w:tc>
          <w:tcPr>
            <w:tcW w:w="1303" w:type="pct"/>
            <w:gridSpan w:val="3"/>
            <w:shd w:val="clear" w:color="auto" w:fill="BFBFBF" w:themeFill="background1" w:themeFillShade="BF"/>
          </w:tcPr>
          <w:p w14:paraId="74F4C260" w14:textId="77777777" w:rsidR="00470C5B" w:rsidRPr="00FE1642" w:rsidRDefault="00470C5B" w:rsidP="00522337">
            <w:pPr>
              <w:pStyle w:val="Subtitle"/>
              <w:keepNext/>
              <w:keepLines/>
            </w:pPr>
            <w:r w:rsidRPr="00FE1642">
              <w:t>Consensus statements</w:t>
            </w:r>
          </w:p>
        </w:tc>
      </w:tr>
      <w:tr w:rsidR="00470C5B" w:rsidRPr="00FE1642" w14:paraId="76AA0AFD" w14:textId="77777777" w:rsidTr="00500FC1">
        <w:trPr>
          <w:cantSplit/>
          <w:tblHeader/>
        </w:trPr>
        <w:tc>
          <w:tcPr>
            <w:tcW w:w="548" w:type="pct"/>
            <w:vMerge/>
            <w:shd w:val="clear" w:color="auto" w:fill="BFBFBF" w:themeFill="background1" w:themeFillShade="BF"/>
          </w:tcPr>
          <w:p w14:paraId="4B7CAA2E" w14:textId="77777777" w:rsidR="00470C5B" w:rsidRPr="00FE1642" w:rsidRDefault="00470C5B" w:rsidP="00522337">
            <w:pPr>
              <w:pStyle w:val="Subtitle"/>
              <w:keepNext/>
              <w:keepLines/>
            </w:pPr>
          </w:p>
        </w:tc>
        <w:tc>
          <w:tcPr>
            <w:tcW w:w="629" w:type="pct"/>
            <w:shd w:val="clear" w:color="auto" w:fill="BFBFBF" w:themeFill="background1" w:themeFillShade="BF"/>
          </w:tcPr>
          <w:p w14:paraId="089985F3" w14:textId="77777777" w:rsidR="00470C5B" w:rsidRPr="00FE1642" w:rsidRDefault="00470C5B" w:rsidP="00522337">
            <w:pPr>
              <w:pStyle w:val="Subtitle"/>
              <w:keepNext/>
              <w:keepLines/>
            </w:pPr>
            <w:r w:rsidRPr="00FE1642">
              <w:t>PBS</w:t>
            </w:r>
          </w:p>
        </w:tc>
        <w:tc>
          <w:tcPr>
            <w:tcW w:w="628" w:type="pct"/>
            <w:shd w:val="clear" w:color="auto" w:fill="BFBFBF" w:themeFill="background1" w:themeFillShade="BF"/>
          </w:tcPr>
          <w:p w14:paraId="04B46996" w14:textId="77777777" w:rsidR="00470C5B" w:rsidRPr="00FE1642" w:rsidRDefault="00470C5B" w:rsidP="00522337">
            <w:pPr>
              <w:pStyle w:val="Subtitle"/>
              <w:keepNext/>
              <w:keepLines/>
            </w:pPr>
            <w:r w:rsidRPr="00FE1642">
              <w:t xml:space="preserve">Canada </w:t>
            </w:r>
            <w:r w:rsidR="006E05AF">
              <w:rPr>
                <w:noProof/>
              </w:rPr>
              <w:t>(</w:t>
            </w:r>
            <w:r w:rsidR="00F608CD">
              <w:rPr>
                <w:noProof/>
              </w:rPr>
              <w:t>6</w:t>
            </w:r>
            <w:r w:rsidR="006E05AF">
              <w:rPr>
                <w:noProof/>
              </w:rPr>
              <w:t>)</w:t>
            </w:r>
          </w:p>
        </w:tc>
        <w:tc>
          <w:tcPr>
            <w:tcW w:w="546" w:type="pct"/>
            <w:shd w:val="clear" w:color="auto" w:fill="BFBFBF" w:themeFill="background1" w:themeFillShade="BF"/>
          </w:tcPr>
          <w:p w14:paraId="18435CB6" w14:textId="77777777" w:rsidR="00470C5B" w:rsidRPr="00FE1642" w:rsidRDefault="00470C5B" w:rsidP="00522337">
            <w:pPr>
              <w:pStyle w:val="Subtitle"/>
              <w:keepNext/>
              <w:keepLines/>
              <w:rPr>
                <w:vertAlign w:val="superscript"/>
              </w:rPr>
            </w:pPr>
            <w:r w:rsidRPr="00FE1642">
              <w:t xml:space="preserve">EU </w:t>
            </w:r>
            <w:r w:rsidRPr="00FE1642">
              <w:rPr>
                <w:vertAlign w:val="superscript"/>
              </w:rPr>
              <w:t xml:space="preserve">a </w:t>
            </w:r>
            <w:r w:rsidR="006E05AF">
              <w:rPr>
                <w:noProof/>
                <w:vertAlign w:val="superscript"/>
              </w:rPr>
              <w:t>(</w:t>
            </w:r>
            <w:r w:rsidR="00F608CD">
              <w:rPr>
                <w:noProof/>
                <w:vertAlign w:val="superscript"/>
              </w:rPr>
              <w:t>8</w:t>
            </w:r>
            <w:r w:rsidR="006E05AF">
              <w:rPr>
                <w:noProof/>
                <w:vertAlign w:val="superscript"/>
              </w:rPr>
              <w:t>)</w:t>
            </w:r>
          </w:p>
        </w:tc>
        <w:tc>
          <w:tcPr>
            <w:tcW w:w="592" w:type="pct"/>
            <w:shd w:val="clear" w:color="auto" w:fill="BFBFBF" w:themeFill="background1" w:themeFillShade="BF"/>
          </w:tcPr>
          <w:p w14:paraId="6B4874F3" w14:textId="77777777" w:rsidR="00470C5B" w:rsidRPr="00FE1642" w:rsidRDefault="00470C5B" w:rsidP="00522337">
            <w:pPr>
              <w:pStyle w:val="Subtitle"/>
              <w:keepNext/>
              <w:keepLines/>
            </w:pPr>
            <w:r w:rsidRPr="00FE1642">
              <w:t xml:space="preserve">UK NICE </w:t>
            </w:r>
            <w:r w:rsidRPr="00FE1642">
              <w:rPr>
                <w:vertAlign w:val="superscript"/>
              </w:rPr>
              <w:t xml:space="preserve">b </w:t>
            </w:r>
            <w:r w:rsidR="006E05AF">
              <w:rPr>
                <w:noProof/>
                <w:vertAlign w:val="superscript"/>
              </w:rPr>
              <w:t>(</w:t>
            </w:r>
            <w:r w:rsidR="00F608CD">
              <w:rPr>
                <w:noProof/>
                <w:vertAlign w:val="superscript"/>
              </w:rPr>
              <w:t>10</w:t>
            </w:r>
            <w:r w:rsidR="006E05AF">
              <w:rPr>
                <w:noProof/>
                <w:vertAlign w:val="superscript"/>
              </w:rPr>
              <w:t>)</w:t>
            </w:r>
          </w:p>
        </w:tc>
        <w:tc>
          <w:tcPr>
            <w:tcW w:w="370" w:type="pct"/>
            <w:shd w:val="clear" w:color="auto" w:fill="BFBFBF" w:themeFill="background1" w:themeFillShade="BF"/>
          </w:tcPr>
          <w:p w14:paraId="55BB8F61" w14:textId="77777777" w:rsidR="00470C5B" w:rsidRPr="00FE1642" w:rsidRDefault="00470C5B" w:rsidP="00522337">
            <w:pPr>
              <w:pStyle w:val="Subtitle"/>
              <w:keepNext/>
              <w:keepLines/>
            </w:pPr>
            <w:r w:rsidRPr="00FE1642">
              <w:t xml:space="preserve">US AAD </w:t>
            </w:r>
            <w:r w:rsidR="007907AF">
              <w:rPr>
                <w:noProof/>
              </w:rPr>
              <w:t>(</w:t>
            </w:r>
            <w:r w:rsidR="00F608CD">
              <w:rPr>
                <w:noProof/>
              </w:rPr>
              <w:t>24</w:t>
            </w:r>
            <w:r w:rsidR="007907AF">
              <w:rPr>
                <w:noProof/>
              </w:rPr>
              <w:t>)</w:t>
            </w:r>
          </w:p>
        </w:tc>
        <w:tc>
          <w:tcPr>
            <w:tcW w:w="384" w:type="pct"/>
            <w:shd w:val="clear" w:color="auto" w:fill="BFBFBF" w:themeFill="background1" w:themeFillShade="BF"/>
          </w:tcPr>
          <w:p w14:paraId="177854E2" w14:textId="77777777" w:rsidR="00470C5B" w:rsidRPr="00FE1642" w:rsidRDefault="00470C5B" w:rsidP="00522337">
            <w:pPr>
              <w:pStyle w:val="Subtitle"/>
              <w:keepNext/>
              <w:keepLines/>
            </w:pPr>
            <w:r w:rsidRPr="00FE1642">
              <w:t xml:space="preserve">UK BAD </w:t>
            </w:r>
            <w:r w:rsidR="006E05AF">
              <w:rPr>
                <w:noProof/>
              </w:rPr>
              <w:t>(</w:t>
            </w:r>
            <w:r w:rsidR="00F608CD">
              <w:rPr>
                <w:noProof/>
              </w:rPr>
              <w:t>19</w:t>
            </w:r>
            <w:r w:rsidR="006E05AF">
              <w:rPr>
                <w:noProof/>
              </w:rPr>
              <w:t>)</w:t>
            </w:r>
          </w:p>
        </w:tc>
        <w:tc>
          <w:tcPr>
            <w:tcW w:w="319" w:type="pct"/>
            <w:shd w:val="clear" w:color="auto" w:fill="BFBFBF" w:themeFill="background1" w:themeFillShade="BF"/>
          </w:tcPr>
          <w:p w14:paraId="7E5D1101" w14:textId="77777777" w:rsidR="00470C5B" w:rsidRPr="00FE1642" w:rsidRDefault="00470C5B" w:rsidP="00522337">
            <w:pPr>
              <w:pStyle w:val="Subtitle"/>
              <w:keepNext/>
              <w:keepLines/>
            </w:pPr>
            <w:r w:rsidRPr="00FE1642">
              <w:t xml:space="preserve">US NPF </w:t>
            </w:r>
            <w:r w:rsidR="006E05AF">
              <w:rPr>
                <w:noProof/>
              </w:rPr>
              <w:t>(</w:t>
            </w:r>
            <w:r w:rsidR="00F608CD">
              <w:rPr>
                <w:noProof/>
              </w:rPr>
              <w:t>20</w:t>
            </w:r>
            <w:r w:rsidR="006E05AF">
              <w:rPr>
                <w:noProof/>
              </w:rPr>
              <w:t>)</w:t>
            </w:r>
          </w:p>
        </w:tc>
        <w:tc>
          <w:tcPr>
            <w:tcW w:w="490" w:type="pct"/>
            <w:shd w:val="clear" w:color="auto" w:fill="BFBFBF" w:themeFill="background1" w:themeFillShade="BF"/>
          </w:tcPr>
          <w:p w14:paraId="53624853" w14:textId="77777777" w:rsidR="00470C5B" w:rsidRPr="00FE1642" w:rsidRDefault="00470C5B" w:rsidP="00522337">
            <w:pPr>
              <w:pStyle w:val="Subtitle"/>
              <w:keepNext/>
              <w:keepLines/>
            </w:pPr>
            <w:r w:rsidRPr="00FE1642">
              <w:t xml:space="preserve">Australian </w:t>
            </w:r>
            <w:r w:rsidR="006E05AF">
              <w:rPr>
                <w:noProof/>
              </w:rPr>
              <w:t>(</w:t>
            </w:r>
            <w:r w:rsidR="00F608CD">
              <w:rPr>
                <w:noProof/>
              </w:rPr>
              <w:t>3</w:t>
            </w:r>
            <w:r w:rsidR="006E05AF">
              <w:rPr>
                <w:noProof/>
              </w:rPr>
              <w:t xml:space="preserve">, </w:t>
            </w:r>
            <w:r w:rsidR="00F608CD">
              <w:rPr>
                <w:noProof/>
              </w:rPr>
              <w:t>5</w:t>
            </w:r>
            <w:r w:rsidR="006E05AF">
              <w:rPr>
                <w:noProof/>
              </w:rPr>
              <w:t>)</w:t>
            </w:r>
          </w:p>
        </w:tc>
        <w:tc>
          <w:tcPr>
            <w:tcW w:w="494" w:type="pct"/>
            <w:shd w:val="clear" w:color="auto" w:fill="BFBFBF" w:themeFill="background1" w:themeFillShade="BF"/>
          </w:tcPr>
          <w:p w14:paraId="7C7D86D1" w14:textId="77777777" w:rsidR="00470C5B" w:rsidRPr="00FE1642" w:rsidRDefault="00470C5B" w:rsidP="00522337">
            <w:pPr>
              <w:pStyle w:val="Subtitle"/>
              <w:keepNext/>
              <w:keepLines/>
            </w:pPr>
            <w:r w:rsidRPr="00FE1642">
              <w:t xml:space="preserve">EU tx goals </w:t>
            </w:r>
            <w:r w:rsidR="006E05AF">
              <w:rPr>
                <w:noProof/>
              </w:rPr>
              <w:t>(</w:t>
            </w:r>
            <w:r w:rsidR="00F608CD">
              <w:rPr>
                <w:noProof/>
              </w:rPr>
              <w:t>4</w:t>
            </w:r>
            <w:r w:rsidR="006E05AF">
              <w:rPr>
                <w:noProof/>
              </w:rPr>
              <w:t>)</w:t>
            </w:r>
          </w:p>
        </w:tc>
      </w:tr>
      <w:tr w:rsidR="00470C5B" w:rsidRPr="00FE1642" w14:paraId="5360F3F3" w14:textId="77777777" w:rsidTr="00500FC1">
        <w:trPr>
          <w:cantSplit/>
          <w:tblHeader/>
        </w:trPr>
        <w:tc>
          <w:tcPr>
            <w:tcW w:w="548" w:type="pct"/>
          </w:tcPr>
          <w:p w14:paraId="747490E8" w14:textId="77777777" w:rsidR="00470C5B" w:rsidRPr="00FE1642" w:rsidRDefault="00470C5B" w:rsidP="00522337">
            <w:pPr>
              <w:keepNext/>
              <w:keepLines/>
            </w:pPr>
            <w:r w:rsidRPr="00FE1642">
              <w:t>PASI</w:t>
            </w:r>
          </w:p>
        </w:tc>
        <w:tc>
          <w:tcPr>
            <w:tcW w:w="629" w:type="pct"/>
          </w:tcPr>
          <w:p w14:paraId="36E7FE02" w14:textId="77777777" w:rsidR="00470C5B" w:rsidRPr="00FE1642" w:rsidRDefault="00470C5B" w:rsidP="00522337">
            <w:pPr>
              <w:keepNext/>
              <w:keepLines/>
            </w:pPr>
            <w:r w:rsidRPr="00FE1642">
              <w:sym w:font="Wingdings" w:char="F0FC"/>
            </w:r>
          </w:p>
        </w:tc>
        <w:tc>
          <w:tcPr>
            <w:tcW w:w="628" w:type="pct"/>
          </w:tcPr>
          <w:p w14:paraId="7D085197" w14:textId="77777777" w:rsidR="00470C5B" w:rsidRPr="00FE1642" w:rsidRDefault="00470C5B" w:rsidP="00522337">
            <w:pPr>
              <w:keepNext/>
              <w:keepLines/>
            </w:pPr>
          </w:p>
        </w:tc>
        <w:tc>
          <w:tcPr>
            <w:tcW w:w="546" w:type="pct"/>
          </w:tcPr>
          <w:p w14:paraId="432EF6E8" w14:textId="77777777" w:rsidR="00470C5B" w:rsidRPr="00FE1642" w:rsidRDefault="00470C5B" w:rsidP="00522337">
            <w:pPr>
              <w:keepNext/>
              <w:keepLines/>
            </w:pPr>
            <w:r w:rsidRPr="00FE1642">
              <w:sym w:font="Wingdings" w:char="F0FC"/>
            </w:r>
          </w:p>
        </w:tc>
        <w:tc>
          <w:tcPr>
            <w:tcW w:w="592" w:type="pct"/>
          </w:tcPr>
          <w:p w14:paraId="7BC2EF3B" w14:textId="77777777" w:rsidR="00470C5B" w:rsidRPr="00FE1642" w:rsidRDefault="00470C5B" w:rsidP="00522337">
            <w:pPr>
              <w:keepNext/>
              <w:keepLines/>
            </w:pPr>
            <w:r w:rsidRPr="00FE1642">
              <w:sym w:font="Wingdings" w:char="F0FC"/>
            </w:r>
            <w:r w:rsidRPr="00FE1642">
              <w:rPr>
                <w:vertAlign w:val="superscript"/>
              </w:rPr>
              <w:t xml:space="preserve"> </w:t>
            </w:r>
          </w:p>
        </w:tc>
        <w:tc>
          <w:tcPr>
            <w:tcW w:w="370" w:type="pct"/>
          </w:tcPr>
          <w:p w14:paraId="0060992F" w14:textId="77777777" w:rsidR="00470C5B" w:rsidRPr="00FE1642" w:rsidRDefault="00470C5B" w:rsidP="00522337">
            <w:pPr>
              <w:keepNext/>
              <w:keepLines/>
            </w:pPr>
            <w:r w:rsidRPr="00FE1642">
              <w:t xml:space="preserve">x  </w:t>
            </w:r>
          </w:p>
        </w:tc>
        <w:tc>
          <w:tcPr>
            <w:tcW w:w="384" w:type="pct"/>
          </w:tcPr>
          <w:p w14:paraId="14E13F2C" w14:textId="77777777" w:rsidR="00470C5B" w:rsidRPr="00FE1642" w:rsidRDefault="00470C5B" w:rsidP="00522337">
            <w:pPr>
              <w:keepNext/>
              <w:keepLines/>
            </w:pPr>
            <w:r w:rsidRPr="00FE1642">
              <w:sym w:font="Wingdings" w:char="F0FC"/>
            </w:r>
          </w:p>
        </w:tc>
        <w:tc>
          <w:tcPr>
            <w:tcW w:w="319" w:type="pct"/>
          </w:tcPr>
          <w:p w14:paraId="20413D13" w14:textId="77777777" w:rsidR="00470C5B" w:rsidRPr="00FE1642" w:rsidRDefault="00470C5B" w:rsidP="00522337">
            <w:pPr>
              <w:keepNext/>
              <w:keepLines/>
            </w:pPr>
            <w:r w:rsidRPr="00FE1642">
              <w:t>x</w:t>
            </w:r>
          </w:p>
        </w:tc>
        <w:tc>
          <w:tcPr>
            <w:tcW w:w="490" w:type="pct"/>
          </w:tcPr>
          <w:p w14:paraId="01D0CBB1" w14:textId="77777777" w:rsidR="00470C5B" w:rsidRPr="00FE1642" w:rsidRDefault="00470C5B" w:rsidP="00522337">
            <w:pPr>
              <w:keepNext/>
              <w:keepLines/>
            </w:pPr>
            <w:r w:rsidRPr="00FE1642">
              <w:sym w:font="Wingdings" w:char="F0FC"/>
            </w:r>
          </w:p>
        </w:tc>
        <w:tc>
          <w:tcPr>
            <w:tcW w:w="494" w:type="pct"/>
          </w:tcPr>
          <w:p w14:paraId="4222FD6C" w14:textId="77777777" w:rsidR="00470C5B" w:rsidRPr="00FE1642" w:rsidRDefault="00470C5B" w:rsidP="00522337">
            <w:pPr>
              <w:keepNext/>
              <w:keepLines/>
            </w:pPr>
            <w:r w:rsidRPr="00FE1642">
              <w:sym w:font="Wingdings" w:char="F0FC"/>
            </w:r>
          </w:p>
        </w:tc>
      </w:tr>
      <w:tr w:rsidR="00470C5B" w:rsidRPr="00FE1642" w14:paraId="26C0F6EA" w14:textId="77777777" w:rsidTr="00500FC1">
        <w:trPr>
          <w:cantSplit/>
          <w:tblHeader/>
        </w:trPr>
        <w:tc>
          <w:tcPr>
            <w:tcW w:w="548" w:type="pct"/>
          </w:tcPr>
          <w:p w14:paraId="497B8858" w14:textId="77777777" w:rsidR="00470C5B" w:rsidRPr="00FE1642" w:rsidRDefault="00470C5B" w:rsidP="00522337">
            <w:pPr>
              <w:keepNext/>
              <w:keepLines/>
            </w:pPr>
            <w:r w:rsidRPr="00FE1642">
              <w:t>DLQI</w:t>
            </w:r>
          </w:p>
        </w:tc>
        <w:tc>
          <w:tcPr>
            <w:tcW w:w="629" w:type="pct"/>
          </w:tcPr>
          <w:p w14:paraId="232A745B" w14:textId="77777777" w:rsidR="00470C5B" w:rsidRPr="00FE1642" w:rsidRDefault="00470C5B" w:rsidP="00522337">
            <w:pPr>
              <w:keepNext/>
              <w:keepLines/>
            </w:pPr>
            <w:r w:rsidRPr="00FE1642">
              <w:t>x</w:t>
            </w:r>
          </w:p>
        </w:tc>
        <w:tc>
          <w:tcPr>
            <w:tcW w:w="628" w:type="pct"/>
          </w:tcPr>
          <w:p w14:paraId="2EBE9F7A" w14:textId="77777777" w:rsidR="00470C5B" w:rsidRPr="00FE1642" w:rsidRDefault="00470C5B" w:rsidP="00522337">
            <w:pPr>
              <w:keepNext/>
              <w:keepLines/>
              <w:rPr>
                <w:vertAlign w:val="superscript"/>
              </w:rPr>
            </w:pPr>
            <w:r w:rsidRPr="00FE1642">
              <w:sym w:font="Wingdings" w:char="F0FC"/>
            </w:r>
            <w:r w:rsidRPr="00FE1642">
              <w:t xml:space="preserve"> </w:t>
            </w:r>
          </w:p>
        </w:tc>
        <w:tc>
          <w:tcPr>
            <w:tcW w:w="546" w:type="pct"/>
          </w:tcPr>
          <w:p w14:paraId="61F8CBAF" w14:textId="77777777" w:rsidR="00470C5B" w:rsidRPr="00FE1642" w:rsidRDefault="00470C5B" w:rsidP="00522337">
            <w:pPr>
              <w:keepNext/>
              <w:keepLines/>
            </w:pPr>
            <w:r w:rsidRPr="00FE1642">
              <w:sym w:font="Wingdings" w:char="F0FC"/>
            </w:r>
          </w:p>
        </w:tc>
        <w:tc>
          <w:tcPr>
            <w:tcW w:w="592" w:type="pct"/>
          </w:tcPr>
          <w:p w14:paraId="20AAD38A" w14:textId="77777777" w:rsidR="00470C5B" w:rsidRPr="00FE1642" w:rsidRDefault="00470C5B" w:rsidP="00522337">
            <w:pPr>
              <w:keepNext/>
              <w:keepLines/>
            </w:pPr>
            <w:r w:rsidRPr="00FE1642">
              <w:sym w:font="Wingdings" w:char="F0FC"/>
            </w:r>
            <w:r w:rsidRPr="00FE1642">
              <w:t xml:space="preserve"> </w:t>
            </w:r>
            <w:r w:rsidRPr="00FE1642">
              <w:rPr>
                <w:vertAlign w:val="superscript"/>
              </w:rPr>
              <w:t xml:space="preserve"> </w:t>
            </w:r>
          </w:p>
        </w:tc>
        <w:tc>
          <w:tcPr>
            <w:tcW w:w="370" w:type="pct"/>
          </w:tcPr>
          <w:p w14:paraId="54821C3D" w14:textId="77777777" w:rsidR="00470C5B" w:rsidRPr="00FE1642" w:rsidRDefault="00470C5B" w:rsidP="00522337">
            <w:pPr>
              <w:keepNext/>
              <w:keepLines/>
            </w:pPr>
          </w:p>
        </w:tc>
        <w:tc>
          <w:tcPr>
            <w:tcW w:w="384" w:type="pct"/>
          </w:tcPr>
          <w:p w14:paraId="1E823876" w14:textId="77777777" w:rsidR="00470C5B" w:rsidRPr="00FE1642" w:rsidRDefault="00470C5B" w:rsidP="00522337">
            <w:pPr>
              <w:keepNext/>
              <w:keepLines/>
            </w:pPr>
            <w:r w:rsidRPr="00FE1642">
              <w:sym w:font="Wingdings" w:char="F0FC"/>
            </w:r>
          </w:p>
        </w:tc>
        <w:tc>
          <w:tcPr>
            <w:tcW w:w="319" w:type="pct"/>
          </w:tcPr>
          <w:p w14:paraId="04BCDAB7" w14:textId="77777777" w:rsidR="00470C5B" w:rsidRPr="00FE1642" w:rsidRDefault="00470C5B" w:rsidP="00522337">
            <w:pPr>
              <w:keepNext/>
              <w:keepLines/>
            </w:pPr>
            <w:r w:rsidRPr="00FE1642">
              <w:t>x</w:t>
            </w:r>
          </w:p>
        </w:tc>
        <w:tc>
          <w:tcPr>
            <w:tcW w:w="490" w:type="pct"/>
          </w:tcPr>
          <w:p w14:paraId="5C1F5BC5" w14:textId="77777777" w:rsidR="00470C5B" w:rsidRPr="00FE1642" w:rsidRDefault="00470C5B" w:rsidP="00522337">
            <w:pPr>
              <w:keepNext/>
              <w:keepLines/>
              <w:rPr>
                <w:vertAlign w:val="superscript"/>
              </w:rPr>
            </w:pPr>
            <w:r w:rsidRPr="00FE1642">
              <w:sym w:font="Wingdings" w:char="F0FC"/>
            </w:r>
          </w:p>
        </w:tc>
        <w:tc>
          <w:tcPr>
            <w:tcW w:w="494" w:type="pct"/>
          </w:tcPr>
          <w:p w14:paraId="3A1084BC" w14:textId="77777777" w:rsidR="00470C5B" w:rsidRPr="00FE1642" w:rsidRDefault="00470C5B" w:rsidP="00522337">
            <w:pPr>
              <w:keepNext/>
              <w:keepLines/>
              <w:rPr>
                <w:vertAlign w:val="superscript"/>
              </w:rPr>
            </w:pPr>
            <w:r w:rsidRPr="00FE1642">
              <w:sym w:font="Wingdings" w:char="F0FC"/>
            </w:r>
            <w:r w:rsidRPr="00FE1642">
              <w:t xml:space="preserve"> </w:t>
            </w:r>
          </w:p>
        </w:tc>
      </w:tr>
      <w:tr w:rsidR="00470C5B" w:rsidRPr="00FE1642" w14:paraId="24B84AF9" w14:textId="77777777" w:rsidTr="00500FC1">
        <w:trPr>
          <w:cantSplit/>
          <w:tblHeader/>
        </w:trPr>
        <w:tc>
          <w:tcPr>
            <w:tcW w:w="548" w:type="pct"/>
          </w:tcPr>
          <w:p w14:paraId="53CD47F2" w14:textId="77777777" w:rsidR="00470C5B" w:rsidRPr="00FE1642" w:rsidRDefault="00470C5B" w:rsidP="00522337">
            <w:pPr>
              <w:keepNext/>
              <w:keepLines/>
            </w:pPr>
            <w:r w:rsidRPr="00FE1642">
              <w:t>BSA</w:t>
            </w:r>
          </w:p>
        </w:tc>
        <w:tc>
          <w:tcPr>
            <w:tcW w:w="629" w:type="pct"/>
          </w:tcPr>
          <w:p w14:paraId="054E000F" w14:textId="77777777" w:rsidR="00470C5B" w:rsidRPr="00FE1642" w:rsidRDefault="00470C5B" w:rsidP="00522337">
            <w:pPr>
              <w:keepNext/>
              <w:keepLines/>
            </w:pPr>
            <w:r w:rsidRPr="00FE1642">
              <w:t>x</w:t>
            </w:r>
          </w:p>
        </w:tc>
        <w:tc>
          <w:tcPr>
            <w:tcW w:w="628" w:type="pct"/>
          </w:tcPr>
          <w:p w14:paraId="1C64FD91" w14:textId="77777777" w:rsidR="00470C5B" w:rsidRPr="00FE1642" w:rsidRDefault="00470C5B" w:rsidP="00522337">
            <w:pPr>
              <w:keepNext/>
              <w:keepLines/>
            </w:pPr>
          </w:p>
        </w:tc>
        <w:tc>
          <w:tcPr>
            <w:tcW w:w="546" w:type="pct"/>
          </w:tcPr>
          <w:p w14:paraId="69606D67" w14:textId="77777777" w:rsidR="00470C5B" w:rsidRPr="00FE1642" w:rsidRDefault="00470C5B" w:rsidP="00522337">
            <w:pPr>
              <w:keepNext/>
              <w:keepLines/>
            </w:pPr>
            <w:r w:rsidRPr="00FE1642">
              <w:sym w:font="Wingdings" w:char="F0FC"/>
            </w:r>
          </w:p>
        </w:tc>
        <w:tc>
          <w:tcPr>
            <w:tcW w:w="592" w:type="pct"/>
          </w:tcPr>
          <w:p w14:paraId="3351FE6E" w14:textId="77777777" w:rsidR="00470C5B" w:rsidRPr="00FE1642" w:rsidRDefault="00470C5B" w:rsidP="00522337">
            <w:pPr>
              <w:keepNext/>
              <w:keepLines/>
            </w:pPr>
            <w:r w:rsidRPr="00FE1642">
              <w:sym w:font="Wingdings" w:char="F0FC"/>
            </w:r>
            <w:r w:rsidRPr="00FE1642">
              <w:t xml:space="preserve"> </w:t>
            </w:r>
            <w:r w:rsidRPr="00FE1642">
              <w:rPr>
                <w:vertAlign w:val="superscript"/>
              </w:rPr>
              <w:t xml:space="preserve"> </w:t>
            </w:r>
          </w:p>
        </w:tc>
        <w:tc>
          <w:tcPr>
            <w:tcW w:w="370" w:type="pct"/>
          </w:tcPr>
          <w:p w14:paraId="6B9A9F05" w14:textId="77777777" w:rsidR="00470C5B" w:rsidRPr="00FE1642" w:rsidRDefault="00470C5B" w:rsidP="00522337">
            <w:pPr>
              <w:keepNext/>
              <w:keepLines/>
            </w:pPr>
            <w:r w:rsidRPr="00FE1642">
              <w:sym w:font="Wingdings" w:char="F0FC"/>
            </w:r>
            <w:r w:rsidRPr="00FE1642">
              <w:t xml:space="preserve"> </w:t>
            </w:r>
            <w:r w:rsidRPr="00FE1642">
              <w:rPr>
                <w:vertAlign w:val="superscript"/>
              </w:rPr>
              <w:t xml:space="preserve"> </w:t>
            </w:r>
          </w:p>
        </w:tc>
        <w:tc>
          <w:tcPr>
            <w:tcW w:w="384" w:type="pct"/>
          </w:tcPr>
          <w:p w14:paraId="25D37396" w14:textId="77777777" w:rsidR="00470C5B" w:rsidRPr="00FE1642" w:rsidRDefault="00470C5B" w:rsidP="00522337">
            <w:pPr>
              <w:keepNext/>
              <w:keepLines/>
            </w:pPr>
          </w:p>
        </w:tc>
        <w:tc>
          <w:tcPr>
            <w:tcW w:w="319" w:type="pct"/>
          </w:tcPr>
          <w:p w14:paraId="3C060334" w14:textId="77777777" w:rsidR="00470C5B" w:rsidRPr="00FE1642" w:rsidRDefault="00470C5B" w:rsidP="00522337">
            <w:pPr>
              <w:keepNext/>
              <w:keepLines/>
              <w:rPr>
                <w:vertAlign w:val="superscript"/>
              </w:rPr>
            </w:pPr>
            <w:r w:rsidRPr="00FE1642">
              <w:sym w:font="Wingdings" w:char="F0FC"/>
            </w:r>
            <w:r w:rsidRPr="00FE1642">
              <w:t xml:space="preserve"> </w:t>
            </w:r>
          </w:p>
        </w:tc>
        <w:tc>
          <w:tcPr>
            <w:tcW w:w="490" w:type="pct"/>
          </w:tcPr>
          <w:p w14:paraId="4DB5C731" w14:textId="77777777" w:rsidR="00470C5B" w:rsidRPr="00FE1642" w:rsidRDefault="00470C5B" w:rsidP="00522337">
            <w:pPr>
              <w:keepNext/>
              <w:keepLines/>
              <w:rPr>
                <w:vertAlign w:val="superscript"/>
              </w:rPr>
            </w:pPr>
            <w:r w:rsidRPr="00FE1642">
              <w:t xml:space="preserve">x </w:t>
            </w:r>
          </w:p>
        </w:tc>
        <w:tc>
          <w:tcPr>
            <w:tcW w:w="494" w:type="pct"/>
          </w:tcPr>
          <w:p w14:paraId="51A792D1" w14:textId="77777777" w:rsidR="00470C5B" w:rsidRPr="00FE1642" w:rsidRDefault="00470C5B" w:rsidP="00522337">
            <w:pPr>
              <w:keepNext/>
              <w:keepLines/>
            </w:pPr>
            <w:r w:rsidRPr="00FE1642">
              <w:sym w:font="Wingdings" w:char="F0FC"/>
            </w:r>
          </w:p>
        </w:tc>
      </w:tr>
      <w:tr w:rsidR="00470C5B" w:rsidRPr="00FE1642" w14:paraId="3A76D041" w14:textId="77777777" w:rsidTr="00500FC1">
        <w:trPr>
          <w:cantSplit/>
          <w:tblHeader/>
        </w:trPr>
        <w:tc>
          <w:tcPr>
            <w:tcW w:w="548" w:type="pct"/>
          </w:tcPr>
          <w:p w14:paraId="4D20ED46" w14:textId="77777777" w:rsidR="00470C5B" w:rsidRPr="00FE1642" w:rsidRDefault="00470C5B" w:rsidP="00522337">
            <w:pPr>
              <w:keepNext/>
              <w:keepLines/>
            </w:pPr>
            <w:r w:rsidRPr="00FE1642">
              <w:t>PGA</w:t>
            </w:r>
          </w:p>
        </w:tc>
        <w:tc>
          <w:tcPr>
            <w:tcW w:w="629" w:type="pct"/>
          </w:tcPr>
          <w:p w14:paraId="033B86D3" w14:textId="77777777" w:rsidR="00470C5B" w:rsidRPr="00FE1642" w:rsidRDefault="00470C5B" w:rsidP="00522337">
            <w:pPr>
              <w:keepNext/>
              <w:keepLines/>
            </w:pPr>
            <w:r w:rsidRPr="00FE1642">
              <w:t>x</w:t>
            </w:r>
          </w:p>
        </w:tc>
        <w:tc>
          <w:tcPr>
            <w:tcW w:w="628" w:type="pct"/>
          </w:tcPr>
          <w:p w14:paraId="1DB011D0" w14:textId="77777777" w:rsidR="00470C5B" w:rsidRPr="00FE1642" w:rsidRDefault="00470C5B" w:rsidP="00522337">
            <w:pPr>
              <w:keepNext/>
              <w:keepLines/>
            </w:pPr>
          </w:p>
        </w:tc>
        <w:tc>
          <w:tcPr>
            <w:tcW w:w="546" w:type="pct"/>
          </w:tcPr>
          <w:p w14:paraId="06A82525" w14:textId="77777777" w:rsidR="00470C5B" w:rsidRPr="00FE1642" w:rsidRDefault="00470C5B" w:rsidP="00522337">
            <w:pPr>
              <w:keepNext/>
              <w:keepLines/>
            </w:pPr>
            <w:r w:rsidRPr="00FE1642">
              <w:sym w:font="Wingdings" w:char="F0FC"/>
            </w:r>
          </w:p>
        </w:tc>
        <w:tc>
          <w:tcPr>
            <w:tcW w:w="592" w:type="pct"/>
          </w:tcPr>
          <w:p w14:paraId="7BA5B8FB" w14:textId="77777777" w:rsidR="00470C5B" w:rsidRPr="00FE1642" w:rsidRDefault="00470C5B" w:rsidP="00522337">
            <w:pPr>
              <w:keepNext/>
              <w:keepLines/>
            </w:pPr>
            <w:r w:rsidRPr="00FE1642">
              <w:sym w:font="Wingdings" w:char="F0FC"/>
            </w:r>
            <w:r w:rsidRPr="00FE1642">
              <w:t xml:space="preserve"> </w:t>
            </w:r>
            <w:r w:rsidRPr="00FE1642">
              <w:rPr>
                <w:vertAlign w:val="superscript"/>
              </w:rPr>
              <w:t xml:space="preserve"> </w:t>
            </w:r>
          </w:p>
        </w:tc>
        <w:tc>
          <w:tcPr>
            <w:tcW w:w="370" w:type="pct"/>
          </w:tcPr>
          <w:p w14:paraId="1FB66C66" w14:textId="77777777" w:rsidR="00470C5B" w:rsidRPr="00FE1642" w:rsidRDefault="00470C5B" w:rsidP="00522337">
            <w:pPr>
              <w:keepNext/>
              <w:keepLines/>
            </w:pPr>
            <w:r w:rsidRPr="00FE1642">
              <w:sym w:font="Wingdings" w:char="F0FC"/>
            </w:r>
            <w:r w:rsidRPr="00FE1642">
              <w:t xml:space="preserve"> </w:t>
            </w:r>
          </w:p>
        </w:tc>
        <w:tc>
          <w:tcPr>
            <w:tcW w:w="384" w:type="pct"/>
          </w:tcPr>
          <w:p w14:paraId="3469383B" w14:textId="77777777" w:rsidR="00470C5B" w:rsidRPr="00FE1642" w:rsidRDefault="00470C5B" w:rsidP="00522337">
            <w:pPr>
              <w:keepNext/>
              <w:keepLines/>
            </w:pPr>
          </w:p>
        </w:tc>
        <w:tc>
          <w:tcPr>
            <w:tcW w:w="319" w:type="pct"/>
          </w:tcPr>
          <w:p w14:paraId="439F0B98" w14:textId="77777777" w:rsidR="00470C5B" w:rsidRPr="00FE1642" w:rsidRDefault="00470C5B" w:rsidP="00522337">
            <w:pPr>
              <w:keepNext/>
              <w:keepLines/>
            </w:pPr>
            <w:r w:rsidRPr="00FE1642">
              <w:t>x</w:t>
            </w:r>
          </w:p>
        </w:tc>
        <w:tc>
          <w:tcPr>
            <w:tcW w:w="490" w:type="pct"/>
          </w:tcPr>
          <w:p w14:paraId="478CB018" w14:textId="77777777" w:rsidR="00470C5B" w:rsidRPr="00FE1642" w:rsidRDefault="00470C5B" w:rsidP="00522337">
            <w:pPr>
              <w:keepNext/>
              <w:keepLines/>
            </w:pPr>
            <w:r w:rsidRPr="00FE1642">
              <w:t>x</w:t>
            </w:r>
          </w:p>
        </w:tc>
        <w:tc>
          <w:tcPr>
            <w:tcW w:w="494" w:type="pct"/>
          </w:tcPr>
          <w:p w14:paraId="7B4C5571" w14:textId="77777777" w:rsidR="00470C5B" w:rsidRPr="00FE1642" w:rsidRDefault="00470C5B" w:rsidP="00522337">
            <w:pPr>
              <w:keepNext/>
              <w:keepLines/>
              <w:rPr>
                <w:vertAlign w:val="superscript"/>
              </w:rPr>
            </w:pPr>
            <w:r w:rsidRPr="00FE1642">
              <w:t xml:space="preserve">x </w:t>
            </w:r>
          </w:p>
        </w:tc>
      </w:tr>
      <w:tr w:rsidR="00470C5B" w:rsidRPr="00FE1642" w14:paraId="7DB1534D" w14:textId="77777777" w:rsidTr="00500FC1">
        <w:trPr>
          <w:cantSplit/>
          <w:tblHeader/>
        </w:trPr>
        <w:tc>
          <w:tcPr>
            <w:tcW w:w="548" w:type="pct"/>
          </w:tcPr>
          <w:p w14:paraId="7B201F5B" w14:textId="77777777" w:rsidR="00470C5B" w:rsidRPr="00FE1642" w:rsidRDefault="00470C5B" w:rsidP="00522337">
            <w:pPr>
              <w:keepNext/>
              <w:keepLines/>
            </w:pPr>
            <w:r w:rsidRPr="00FE1642">
              <w:t>Other</w:t>
            </w:r>
          </w:p>
        </w:tc>
        <w:tc>
          <w:tcPr>
            <w:tcW w:w="629" w:type="pct"/>
          </w:tcPr>
          <w:p w14:paraId="1A5FECC8" w14:textId="77777777" w:rsidR="00470C5B" w:rsidRPr="00FE1642" w:rsidRDefault="00470C5B" w:rsidP="00522337">
            <w:pPr>
              <w:keepNext/>
              <w:keepLines/>
            </w:pPr>
            <w:r w:rsidRPr="00FE1642">
              <w:t>Face, hands, feet (specific tool)</w:t>
            </w:r>
          </w:p>
        </w:tc>
        <w:tc>
          <w:tcPr>
            <w:tcW w:w="628" w:type="pct"/>
          </w:tcPr>
          <w:p w14:paraId="6D0B7EE8" w14:textId="77777777" w:rsidR="00470C5B" w:rsidRPr="00FE1642" w:rsidRDefault="00470C5B" w:rsidP="00522337">
            <w:pPr>
              <w:keepNext/>
              <w:keepLines/>
            </w:pPr>
            <w:r w:rsidRPr="00FE1642">
              <w:t xml:space="preserve">PDI,  DQOLS, SF-36, or PSA </w:t>
            </w:r>
          </w:p>
          <w:p w14:paraId="6D108AB5" w14:textId="77777777" w:rsidR="00470C5B" w:rsidRPr="00FE1642" w:rsidRDefault="00470C5B" w:rsidP="00522337">
            <w:pPr>
              <w:keepNext/>
              <w:keepLines/>
            </w:pPr>
            <w:r w:rsidRPr="00FE1642">
              <w:t>(HRQoL should be central).</w:t>
            </w:r>
          </w:p>
        </w:tc>
        <w:tc>
          <w:tcPr>
            <w:tcW w:w="546" w:type="pct"/>
          </w:tcPr>
          <w:p w14:paraId="2EA6287B" w14:textId="77777777" w:rsidR="00470C5B" w:rsidRPr="00FE1642" w:rsidRDefault="00470C5B" w:rsidP="00522337">
            <w:pPr>
              <w:keepNext/>
              <w:keepLines/>
            </w:pPr>
            <w:r w:rsidRPr="00FE1642">
              <w:t>Skindex</w:t>
            </w:r>
          </w:p>
        </w:tc>
        <w:tc>
          <w:tcPr>
            <w:tcW w:w="592" w:type="pct"/>
          </w:tcPr>
          <w:p w14:paraId="376BD1B9" w14:textId="77777777" w:rsidR="00470C5B" w:rsidRPr="00FE1642" w:rsidRDefault="00470C5B" w:rsidP="00522337">
            <w:pPr>
              <w:keepNext/>
              <w:keepLines/>
            </w:pPr>
            <w:r w:rsidRPr="00FE1642">
              <w:t>Patient’s Global Assessment</w:t>
            </w:r>
          </w:p>
        </w:tc>
        <w:tc>
          <w:tcPr>
            <w:tcW w:w="370" w:type="pct"/>
          </w:tcPr>
          <w:p w14:paraId="3E597448" w14:textId="77777777" w:rsidR="00470C5B" w:rsidRPr="00FE1642" w:rsidRDefault="00470C5B" w:rsidP="00522337">
            <w:pPr>
              <w:keepNext/>
              <w:keepLines/>
            </w:pPr>
          </w:p>
        </w:tc>
        <w:tc>
          <w:tcPr>
            <w:tcW w:w="384" w:type="pct"/>
          </w:tcPr>
          <w:p w14:paraId="08CED257" w14:textId="77777777" w:rsidR="00470C5B" w:rsidRPr="00FE1642" w:rsidRDefault="00470C5B" w:rsidP="00522337">
            <w:pPr>
              <w:keepNext/>
              <w:keepLines/>
            </w:pPr>
          </w:p>
        </w:tc>
        <w:tc>
          <w:tcPr>
            <w:tcW w:w="319" w:type="pct"/>
          </w:tcPr>
          <w:p w14:paraId="01680177" w14:textId="77777777" w:rsidR="00470C5B" w:rsidRPr="00FE1642" w:rsidRDefault="00470C5B" w:rsidP="00522337">
            <w:pPr>
              <w:keepNext/>
              <w:keepLines/>
            </w:pPr>
          </w:p>
        </w:tc>
        <w:tc>
          <w:tcPr>
            <w:tcW w:w="490" w:type="pct"/>
          </w:tcPr>
          <w:p w14:paraId="0E0CEC01" w14:textId="77777777" w:rsidR="00470C5B" w:rsidRPr="00FE1642" w:rsidRDefault="00470C5B" w:rsidP="00522337">
            <w:pPr>
              <w:keepNext/>
              <w:keepLines/>
            </w:pPr>
          </w:p>
        </w:tc>
        <w:tc>
          <w:tcPr>
            <w:tcW w:w="494" w:type="pct"/>
          </w:tcPr>
          <w:p w14:paraId="20C69791" w14:textId="77777777" w:rsidR="00470C5B" w:rsidRPr="00FE1642" w:rsidRDefault="00470C5B" w:rsidP="00522337">
            <w:pPr>
              <w:keepNext/>
              <w:keepLines/>
            </w:pPr>
          </w:p>
        </w:tc>
      </w:tr>
      <w:tr w:rsidR="00470C5B" w:rsidRPr="00FE1642" w14:paraId="5E482BB7" w14:textId="77777777" w:rsidTr="00500FC1">
        <w:trPr>
          <w:cantSplit/>
          <w:tblHeader/>
        </w:trPr>
        <w:tc>
          <w:tcPr>
            <w:tcW w:w="548" w:type="pct"/>
          </w:tcPr>
          <w:p w14:paraId="16D5AD52" w14:textId="77777777" w:rsidR="00470C5B" w:rsidRPr="00FE1642" w:rsidRDefault="00470C5B" w:rsidP="00522337">
            <w:pPr>
              <w:keepNext/>
              <w:keepLines/>
            </w:pPr>
            <w:r w:rsidRPr="00FE1642">
              <w:t xml:space="preserve">Children </w:t>
            </w:r>
          </w:p>
        </w:tc>
        <w:tc>
          <w:tcPr>
            <w:tcW w:w="629" w:type="pct"/>
          </w:tcPr>
          <w:p w14:paraId="1E66D3B8" w14:textId="77777777" w:rsidR="00470C5B" w:rsidRPr="00FE1642" w:rsidRDefault="00470C5B" w:rsidP="00522337">
            <w:pPr>
              <w:keepNext/>
              <w:keepLines/>
            </w:pPr>
            <w:r w:rsidRPr="00FE1642">
              <w:t xml:space="preserve">PASI </w:t>
            </w:r>
          </w:p>
        </w:tc>
        <w:tc>
          <w:tcPr>
            <w:tcW w:w="628" w:type="pct"/>
          </w:tcPr>
          <w:p w14:paraId="69D504C5" w14:textId="77777777" w:rsidR="00470C5B" w:rsidRPr="00FE1642" w:rsidRDefault="00470C5B" w:rsidP="00522337">
            <w:pPr>
              <w:keepNext/>
              <w:keepLines/>
            </w:pPr>
          </w:p>
        </w:tc>
        <w:tc>
          <w:tcPr>
            <w:tcW w:w="546" w:type="pct"/>
          </w:tcPr>
          <w:p w14:paraId="2C24EBFC" w14:textId="77777777" w:rsidR="00470C5B" w:rsidRPr="00FE1642" w:rsidRDefault="00470C5B" w:rsidP="00522337">
            <w:pPr>
              <w:keepNext/>
              <w:keepLines/>
            </w:pPr>
          </w:p>
        </w:tc>
        <w:tc>
          <w:tcPr>
            <w:tcW w:w="592" w:type="pct"/>
          </w:tcPr>
          <w:p w14:paraId="1F7DE409" w14:textId="77777777" w:rsidR="00470C5B" w:rsidRPr="00FE1642" w:rsidRDefault="00470C5B" w:rsidP="00522337">
            <w:pPr>
              <w:keepNext/>
              <w:keepLines/>
            </w:pPr>
            <w:r w:rsidRPr="00FE1642">
              <w:t xml:space="preserve">PASI &amp; BSA are not validated in children </w:t>
            </w:r>
          </w:p>
        </w:tc>
        <w:tc>
          <w:tcPr>
            <w:tcW w:w="370" w:type="pct"/>
          </w:tcPr>
          <w:p w14:paraId="3BA1FDAB" w14:textId="77777777" w:rsidR="00470C5B" w:rsidRPr="00FE1642" w:rsidRDefault="00470C5B" w:rsidP="00522337">
            <w:pPr>
              <w:keepNext/>
              <w:keepLines/>
            </w:pPr>
          </w:p>
        </w:tc>
        <w:tc>
          <w:tcPr>
            <w:tcW w:w="384" w:type="pct"/>
          </w:tcPr>
          <w:p w14:paraId="508D5F23" w14:textId="77777777" w:rsidR="00470C5B" w:rsidRPr="00FE1642" w:rsidRDefault="00470C5B" w:rsidP="00522337">
            <w:pPr>
              <w:keepNext/>
              <w:keepLines/>
            </w:pPr>
          </w:p>
        </w:tc>
        <w:tc>
          <w:tcPr>
            <w:tcW w:w="319" w:type="pct"/>
          </w:tcPr>
          <w:p w14:paraId="5A87AFA2" w14:textId="77777777" w:rsidR="00470C5B" w:rsidRPr="00FE1642" w:rsidRDefault="00470C5B" w:rsidP="00522337">
            <w:pPr>
              <w:keepNext/>
              <w:keepLines/>
            </w:pPr>
          </w:p>
        </w:tc>
        <w:tc>
          <w:tcPr>
            <w:tcW w:w="490" w:type="pct"/>
          </w:tcPr>
          <w:p w14:paraId="2269C59A" w14:textId="77777777" w:rsidR="00470C5B" w:rsidRPr="00FE1642" w:rsidRDefault="00470C5B" w:rsidP="00522337">
            <w:pPr>
              <w:keepNext/>
              <w:keepLines/>
            </w:pPr>
            <w:r w:rsidRPr="00FE1642">
              <w:t>CDLQI</w:t>
            </w:r>
          </w:p>
        </w:tc>
        <w:tc>
          <w:tcPr>
            <w:tcW w:w="494" w:type="pct"/>
          </w:tcPr>
          <w:p w14:paraId="4ECE6010" w14:textId="77777777" w:rsidR="00470C5B" w:rsidRPr="00FE1642" w:rsidRDefault="00470C5B" w:rsidP="00522337">
            <w:pPr>
              <w:keepNext/>
              <w:keepLines/>
            </w:pPr>
          </w:p>
        </w:tc>
      </w:tr>
    </w:tbl>
    <w:p w14:paraId="11C1E686" w14:textId="77777777" w:rsidR="00470C5B" w:rsidRPr="00FE1642" w:rsidRDefault="00470C5B" w:rsidP="00522337">
      <w:pPr>
        <w:pStyle w:val="Footnotes"/>
        <w:keepNext/>
        <w:keepLines/>
      </w:pPr>
      <w:r w:rsidRPr="00FE1642">
        <w:t>AAD = American Academy of Dermatology; BAD = British Association of Dermatology; BSA = body surface area; CDLQI = Children's Dermatology Life Quality Index; DLQI = Dermatology Life Quality Index; DQOLS = Dermatology Quality-of-Life Scales; EU = European Union; HRQoL = Health-Related Quality of Life; NICE = National Institute for Health and Care Excellence; NPF = National Psoriasis Foundation; PASI = Psoriasis Area and Severity Index; PBS = Pharmaceutical Benefits Scheme; PDI = Psoriasis Disability Index; PGA = Physician’s Global Assessment; PSA Scale = Psoriatic Arthritis Scale; SF-36 = Short Form Health Survey; tx = treatment; UK = United Kingdom; US = United States</w:t>
      </w:r>
    </w:p>
    <w:p w14:paraId="56B54A64" w14:textId="77777777" w:rsidR="00470C5B" w:rsidRPr="00FE1642" w:rsidRDefault="00470C5B" w:rsidP="00522337">
      <w:pPr>
        <w:pStyle w:val="Footnotes"/>
        <w:keepNext/>
        <w:keepLines/>
        <w:rPr>
          <w:vertAlign w:val="superscript"/>
        </w:rPr>
      </w:pPr>
      <w:r w:rsidRPr="00FE1642">
        <w:rPr>
          <w:vertAlign w:val="superscript"/>
        </w:rPr>
        <w:t>a</w:t>
      </w:r>
      <w:r w:rsidRPr="00FE1642">
        <w:t xml:space="preserve"> The EU guidelines recommend objective assessment of the disease (using instruments such as PASI, BSA or PGA) and assessment of HRQoL (e.g. using DLQI or Skindex) before and during treatment.</w:t>
      </w:r>
      <w:r w:rsidRPr="00FE1642">
        <w:rPr>
          <w:vertAlign w:val="superscript"/>
        </w:rPr>
        <w:t xml:space="preserve"> </w:t>
      </w:r>
    </w:p>
    <w:p w14:paraId="03F3C283" w14:textId="1E0C3350" w:rsidR="00470C5B" w:rsidRPr="00FE1642" w:rsidRDefault="00470C5B" w:rsidP="00522337">
      <w:pPr>
        <w:pStyle w:val="Footnotes"/>
        <w:keepNext/>
        <w:keepLines/>
      </w:pPr>
      <w:r w:rsidRPr="00FE1642">
        <w:rPr>
          <w:vertAlign w:val="superscript"/>
        </w:rPr>
        <w:t>b</w:t>
      </w:r>
      <w:r w:rsidRPr="00FE1642">
        <w:t xml:space="preserve"> The UK NICE guidelines state that in specialist settings, a validated tool should be used to assess severity and the impact on physical, psychological and social wellbeing, e.g. DLQI (or CDLQI for younger people).</w:t>
      </w:r>
      <w:r w:rsidR="00B05650">
        <w:t xml:space="preserve"> </w:t>
      </w:r>
      <w:r w:rsidRPr="00FE1642">
        <w:t>In any healthcare setting, record: PGA; the patient's assessment of current disease severity, for example, using the static Patient's Global Assessment; the BSA; any involvement of nails, high-impact and difficult-to-treat sites.</w:t>
      </w:r>
    </w:p>
    <w:p w14:paraId="3979C972" w14:textId="77777777" w:rsidR="00470C5B" w:rsidRPr="00FE1642" w:rsidRDefault="00470C5B" w:rsidP="000B6876">
      <w:r w:rsidRPr="00FE1642">
        <w:t>The PBS restrictions use only PASI (a disease severity measure) to determine eligibility and treatment success. However, many guidelines also recommend assessing quality of life. For example, the Australian consensus recommends use of both PASI and DLQI with DLQI having been selected to assess health related quality of life</w:t>
      </w:r>
      <w:r w:rsidR="001571D9">
        <w:t>.</w:t>
      </w:r>
      <w:r w:rsidRPr="00FE1642">
        <w:t xml:space="preserve"> </w:t>
      </w:r>
      <w:r w:rsidR="006E05AF">
        <w:rPr>
          <w:noProof/>
        </w:rPr>
        <w:t>(</w:t>
      </w:r>
      <w:r w:rsidR="00F608CD">
        <w:rPr>
          <w:noProof/>
        </w:rPr>
        <w:t>3</w:t>
      </w:r>
      <w:r w:rsidR="006E05AF">
        <w:rPr>
          <w:noProof/>
        </w:rPr>
        <w:t>)</w:t>
      </w:r>
    </w:p>
    <w:p w14:paraId="1031FA8D" w14:textId="77777777" w:rsidR="00470C5B" w:rsidRPr="00FE1642" w:rsidRDefault="00470C5B" w:rsidP="000B6876">
      <w:r w:rsidRPr="00FE1642">
        <w:t>Of all the guidelines, UK NICE had the most comprehensive literature review and assessment of the validity and reliability of tools for measuring psoriasis. The UK NICE guideline committee:</w:t>
      </w:r>
    </w:p>
    <w:p w14:paraId="6865A86B" w14:textId="77777777" w:rsidR="00470C5B" w:rsidRPr="00FE1642" w:rsidRDefault="00470C5B" w:rsidP="006731E3">
      <w:pPr>
        <w:pStyle w:val="BulletLast"/>
        <w:ind w:left="357" w:hanging="357"/>
        <w:contextualSpacing/>
      </w:pPr>
      <w:r w:rsidRPr="00FE1642">
        <w:t xml:space="preserve">Chose PASI for assessing disease severity in specialist settings because: it performed at least at an adequate level for outcomes such as validity, sensitivity, </w:t>
      </w:r>
      <w:r w:rsidR="0004624B">
        <w:t>interpretation,</w:t>
      </w:r>
      <w:r w:rsidR="0004624B" w:rsidRPr="00FE1642">
        <w:t xml:space="preserve"> </w:t>
      </w:r>
      <w:r w:rsidR="0004624B">
        <w:t xml:space="preserve">and </w:t>
      </w:r>
      <w:r w:rsidRPr="00FE1642">
        <w:t>reliability</w:t>
      </w:r>
      <w:r w:rsidR="0004624B">
        <w:t xml:space="preserve">. </w:t>
      </w:r>
      <w:r w:rsidRPr="00FE1642">
        <w:t xml:space="preserve"> </w:t>
      </w:r>
    </w:p>
    <w:p w14:paraId="1EFB0FBA" w14:textId="77777777" w:rsidR="00470C5B" w:rsidRPr="00FE1642" w:rsidRDefault="00470C5B" w:rsidP="006731E3">
      <w:pPr>
        <w:pStyle w:val="BulletLast"/>
        <w:ind w:left="357" w:hanging="357"/>
        <w:contextualSpacing/>
      </w:pPr>
      <w:r w:rsidRPr="00FE1642">
        <w:t>Chose DLQI for assessing quality of life because it is a simpl</w:t>
      </w:r>
      <w:r w:rsidR="0004624B">
        <w:t>e, practical tool that performs</w:t>
      </w:r>
      <w:r w:rsidRPr="00FE1642">
        <w:t xml:space="preserve"> at least adequately for outcomes such as validity, sensitivity,</w:t>
      </w:r>
      <w:r w:rsidR="0004624B">
        <w:t xml:space="preserve"> and</w:t>
      </w:r>
      <w:r w:rsidRPr="00FE1642">
        <w:t xml:space="preserve"> reliability. Further, there was an absence of high quality evidence to indicate other tools were better. </w:t>
      </w:r>
    </w:p>
    <w:p w14:paraId="209719E7" w14:textId="77777777" w:rsidR="00470C5B" w:rsidRPr="00FE1642" w:rsidRDefault="00470C5B" w:rsidP="0004624B">
      <w:pPr>
        <w:pStyle w:val="MDsubHead3"/>
      </w:pPr>
      <w:r w:rsidRPr="00FE1642">
        <w:lastRenderedPageBreak/>
        <w:t>Correlation between PASI and DLQI</w:t>
      </w:r>
    </w:p>
    <w:p w14:paraId="5FC989C2" w14:textId="77777777" w:rsidR="00470C5B" w:rsidRPr="00FE1642" w:rsidRDefault="00470C5B" w:rsidP="009479DC">
      <w:pPr>
        <w:rPr>
          <w:vertAlign w:val="superscript"/>
        </w:rPr>
      </w:pPr>
      <w:r w:rsidRPr="00FE1642">
        <w:t xml:space="preserve">The </w:t>
      </w:r>
      <w:r w:rsidRPr="009479DC">
        <w:t>correlation between absolute PASI and DLQI scores is not strong</w:t>
      </w:r>
      <w:r w:rsidR="009479DC">
        <w:t xml:space="preserve"> </w:t>
      </w:r>
      <w:r w:rsidR="009479DC" w:rsidRPr="00740C05">
        <w:rPr>
          <w:rFonts w:eastAsia="Calibri"/>
        </w:rPr>
        <w:t xml:space="preserve">(studies have found </w:t>
      </w:r>
      <w:r w:rsidR="00F608CD">
        <w:rPr>
          <w:rFonts w:eastAsia="Calibri"/>
        </w:rPr>
        <w:t>R</w:t>
      </w:r>
      <w:r w:rsidR="009479DC" w:rsidRPr="00F608CD">
        <w:rPr>
          <w:rFonts w:eastAsia="Calibri"/>
          <w:vertAlign w:val="superscript"/>
        </w:rPr>
        <w:t>2</w:t>
      </w:r>
      <w:r w:rsidR="009479DC" w:rsidRPr="00740C05">
        <w:rPr>
          <w:rFonts w:eastAsia="Calibri"/>
        </w:rPr>
        <w:t xml:space="preserve"> </w:t>
      </w:r>
      <w:r w:rsidR="00F608CD">
        <w:rPr>
          <w:rFonts w:eastAsia="Calibri"/>
        </w:rPr>
        <w:t xml:space="preserve">(correlation) </w:t>
      </w:r>
      <w:r w:rsidR="009479DC" w:rsidRPr="00740C05">
        <w:rPr>
          <w:rFonts w:eastAsia="Calibri"/>
        </w:rPr>
        <w:t>values between 0.49</w:t>
      </w:r>
      <w:r w:rsidR="009479DC">
        <w:rPr>
          <w:rFonts w:eastAsia="Calibri"/>
        </w:rPr>
        <w:t xml:space="preserve"> </w:t>
      </w:r>
      <w:r w:rsidR="009479DC" w:rsidRPr="00740C05">
        <w:rPr>
          <w:rFonts w:eastAsia="Calibri"/>
        </w:rPr>
        <w:t>and 0.81)</w:t>
      </w:r>
      <w:r w:rsidR="009479DC">
        <w:rPr>
          <w:rFonts w:eastAsia="Calibri"/>
        </w:rPr>
        <w:t xml:space="preserve">. However, </w:t>
      </w:r>
      <w:r w:rsidR="009479DC">
        <w:t>there appears to be good</w:t>
      </w:r>
      <w:r w:rsidRPr="009479DC">
        <w:t xml:space="preserve"> correlation between an improvement in PASI and an improvement in the DLQI</w:t>
      </w:r>
      <w:r w:rsidRPr="00FE1642">
        <w:t>.</w:t>
      </w:r>
      <w:r w:rsidR="00F608CD">
        <w:rPr>
          <w:noProof/>
        </w:rPr>
        <w:t>(8, 31-34)</w:t>
      </w:r>
      <w:r w:rsidRPr="00FE1642">
        <w:t xml:space="preserve"> </w:t>
      </w:r>
    </w:p>
    <w:p w14:paraId="51B6C552" w14:textId="77777777" w:rsidR="00470C5B" w:rsidRPr="00FE1642" w:rsidRDefault="00470C5B" w:rsidP="009479DC">
      <w:pPr>
        <w:pStyle w:val="MDsubHead3"/>
      </w:pPr>
      <w:r w:rsidRPr="00FE1642">
        <w:t>Overall</w:t>
      </w:r>
    </w:p>
    <w:p w14:paraId="6BBCBF91" w14:textId="77777777" w:rsidR="00470C5B" w:rsidRPr="00FE1642" w:rsidRDefault="00470C5B" w:rsidP="009479DC">
      <w:r w:rsidRPr="00FE1642">
        <w:t>Overall, there is limited reliable clinical evidence comparing the various measur</w:t>
      </w:r>
      <w:r w:rsidR="009479DC">
        <w:t xml:space="preserve">es. None of the measures are </w:t>
      </w:r>
      <w:r w:rsidRPr="00FE1642">
        <w:t>perfect. Each has strengths and limitations, with the appropriateness of particular measures being dependent on the specific circumstances.</w:t>
      </w:r>
    </w:p>
    <w:p w14:paraId="430E0347" w14:textId="77777777" w:rsidR="00470C5B" w:rsidRPr="00FE1642" w:rsidRDefault="00470C5B" w:rsidP="009479DC">
      <w:r w:rsidRPr="00FE1642">
        <w:t>For measuring disease severity, there are no other validated tools that are clearly superior</w:t>
      </w:r>
      <w:r w:rsidR="009479DC">
        <w:t xml:space="preserve"> to the PASI</w:t>
      </w:r>
      <w:r w:rsidRPr="00FE1642">
        <w:t xml:space="preserve">. Further, many of the limitations of </w:t>
      </w:r>
      <w:r w:rsidR="00F608CD">
        <w:t xml:space="preserve">the </w:t>
      </w:r>
      <w:r w:rsidRPr="00FE1642">
        <w:t>PASI may not be relevant to assessing PBS eligibility for biologics, for example:</w:t>
      </w:r>
    </w:p>
    <w:p w14:paraId="0BA0A053" w14:textId="77777777" w:rsidR="00470C5B" w:rsidRPr="00FE1642" w:rsidRDefault="00470C5B" w:rsidP="006731E3">
      <w:pPr>
        <w:pStyle w:val="BulletLast"/>
        <w:ind w:left="357" w:hanging="357"/>
        <w:contextualSpacing/>
      </w:pPr>
      <w:r w:rsidRPr="00FE1642">
        <w:t xml:space="preserve">While </w:t>
      </w:r>
      <w:r w:rsidR="00F608CD">
        <w:t xml:space="preserve">the </w:t>
      </w:r>
      <w:r w:rsidRPr="00FE1642">
        <w:t xml:space="preserve">PASI is complex, with its reliability dependent on physician experience, PBS eligibility requires that the patient be treated by a dermatologist; </w:t>
      </w:r>
    </w:p>
    <w:p w14:paraId="2C33485A" w14:textId="77777777" w:rsidR="00470C5B" w:rsidRPr="00FE1642" w:rsidRDefault="00470C5B" w:rsidP="006731E3">
      <w:pPr>
        <w:pStyle w:val="BulletLast"/>
        <w:ind w:left="357" w:hanging="357"/>
        <w:contextualSpacing/>
      </w:pPr>
      <w:r w:rsidRPr="00FE1642">
        <w:t>While it does not incorporate the patient perspective, it could be used in conjunction with DLQI; and</w:t>
      </w:r>
    </w:p>
    <w:p w14:paraId="466B6103" w14:textId="77777777" w:rsidR="00470C5B" w:rsidRPr="00FE1642" w:rsidRDefault="00470C5B" w:rsidP="006731E3">
      <w:pPr>
        <w:pStyle w:val="BulletLast"/>
        <w:ind w:left="357" w:hanging="357"/>
        <w:contextualSpacing/>
      </w:pPr>
      <w:r w:rsidRPr="00FE1642">
        <w:t xml:space="preserve">While it lacks sensitivity at the lower end of its range, biologics would not be used on the PBS for mild disease. </w:t>
      </w:r>
    </w:p>
    <w:p w14:paraId="20759266" w14:textId="77777777" w:rsidR="00F608CD" w:rsidRDefault="00470C5B" w:rsidP="009479DC">
      <w:r w:rsidRPr="00FE1642">
        <w:t xml:space="preserve">Similarly, for measuring health related quality of life, the DLQI has limitations notably that it is self-reported, and is open to interpretation which may be problematic if relied on for PBS eligibility. </w:t>
      </w:r>
    </w:p>
    <w:p w14:paraId="597E1285" w14:textId="77777777" w:rsidR="000D750E" w:rsidRDefault="000D750E" w:rsidP="007D7CA7">
      <w:pPr>
        <w:pStyle w:val="MDSubsubheding"/>
      </w:pPr>
      <w:bookmarkStart w:id="34" w:name="_Toc503274963"/>
      <w:r>
        <w:t xml:space="preserve">Stakeholder </w:t>
      </w:r>
      <w:r w:rsidR="0025608C">
        <w:t>views (Public consultation and stakeholder forum)</w:t>
      </w:r>
      <w:bookmarkEnd w:id="34"/>
      <w:r>
        <w:t xml:space="preserve"> </w:t>
      </w:r>
    </w:p>
    <w:p w14:paraId="54994C63" w14:textId="77777777" w:rsidR="000D750E" w:rsidRPr="000D750E" w:rsidRDefault="000D750E" w:rsidP="000D750E">
      <w:pPr>
        <w:pStyle w:val="BulletLast"/>
        <w:numPr>
          <w:ilvl w:val="0"/>
          <w:numId w:val="0"/>
        </w:numPr>
      </w:pPr>
      <w:r w:rsidRPr="000D750E">
        <w:t>Stakeholders generally supported the Australasian College of Dermatologist’s (ACD) treatment goals for psoriasis, particularly the following:</w:t>
      </w:r>
    </w:p>
    <w:p w14:paraId="1814442A" w14:textId="77777777" w:rsidR="000D750E" w:rsidRPr="000D750E" w:rsidRDefault="0047606B" w:rsidP="006731E3">
      <w:pPr>
        <w:pStyle w:val="BulletLast"/>
        <w:ind w:left="357" w:hanging="357"/>
        <w:contextualSpacing/>
      </w:pPr>
      <w:r>
        <w:t>P</w:t>
      </w:r>
      <w:r w:rsidR="000D750E" w:rsidRPr="000D750E">
        <w:t>atients with a PASI score greater than 10 require systemic treatment for CPP</w:t>
      </w:r>
      <w:r>
        <w:t>;</w:t>
      </w:r>
    </w:p>
    <w:p w14:paraId="5C87BCB3" w14:textId="482651F6" w:rsidR="000D750E" w:rsidRPr="0047606B" w:rsidRDefault="0047606B" w:rsidP="006731E3">
      <w:pPr>
        <w:pStyle w:val="BulletLast"/>
        <w:ind w:left="357" w:hanging="357"/>
        <w:contextualSpacing/>
      </w:pPr>
      <w:r>
        <w:t>I</w:t>
      </w:r>
      <w:r w:rsidR="000D750E" w:rsidRPr="000D750E">
        <w:t>nclusion of quality of life assessment measures (such as DLQI) in the assessment of disease severity. This would capture the presence of CPP in</w:t>
      </w:r>
      <w:r w:rsidR="00351A3C">
        <w:t xml:space="preserve"> more</w:t>
      </w:r>
      <w:r w:rsidR="000D750E" w:rsidRPr="000D750E">
        <w:t xml:space="preserve"> difficult</w:t>
      </w:r>
      <w:r w:rsidR="00351A3C">
        <w:t xml:space="preserve"> or problematic</w:t>
      </w:r>
      <w:r w:rsidR="000D750E" w:rsidRPr="000D750E">
        <w:t xml:space="preserve"> areas including the scalp, genitals</w:t>
      </w:r>
      <w:r w:rsidR="000105D3">
        <w:t xml:space="preserve"> </w:t>
      </w:r>
      <w:r w:rsidR="000D750E" w:rsidRPr="000D750E">
        <w:t>and</w:t>
      </w:r>
      <w:r w:rsidR="000D750E" w:rsidRPr="00A837B8">
        <w:t xml:space="preserve"> fin</w:t>
      </w:r>
      <w:r w:rsidR="000D750E" w:rsidRPr="0047606B">
        <w:t>gernails or patients with a significant itch from their CPP</w:t>
      </w:r>
      <w:r>
        <w:t>; and</w:t>
      </w:r>
    </w:p>
    <w:p w14:paraId="5E5EF6C4" w14:textId="397FED0A" w:rsidR="0047606B" w:rsidRPr="0050763B" w:rsidRDefault="0047606B" w:rsidP="006731E3">
      <w:pPr>
        <w:pStyle w:val="BulletLast"/>
        <w:ind w:left="357" w:hanging="357"/>
        <w:contextualSpacing/>
      </w:pPr>
      <w:r>
        <w:t>R</w:t>
      </w:r>
      <w:r w:rsidRPr="000D750E">
        <w:t xml:space="preserve">equire patients to have failed two (rather than three) out of the </w:t>
      </w:r>
      <w:r w:rsidRPr="00A837B8">
        <w:t>four prior therapies. Th</w:t>
      </w:r>
      <w:r w:rsidRPr="0047606B">
        <w:t>is acknowledges the fact that there may be clinical reasons</w:t>
      </w:r>
      <w:r w:rsidR="00E36E8D">
        <w:t xml:space="preserve"> outside of</w:t>
      </w:r>
      <w:r w:rsidRPr="0050763B">
        <w:t xml:space="preserve"> the PBS toxicity criteria, </w:t>
      </w:r>
      <w:r w:rsidR="00E36E8D">
        <w:t>why</w:t>
      </w:r>
      <w:r w:rsidR="00E36E8D" w:rsidRPr="0050763B">
        <w:t xml:space="preserve"> </w:t>
      </w:r>
      <w:r w:rsidRPr="0050763B">
        <w:t xml:space="preserve">doctors </w:t>
      </w:r>
      <w:r w:rsidR="00E67E83">
        <w:t>choose not</w:t>
      </w:r>
      <w:r w:rsidRPr="0050763B">
        <w:t xml:space="preserve"> to prescribe acitretin, methotrexate or cyclosporin. </w:t>
      </w:r>
    </w:p>
    <w:p w14:paraId="7C2DB1F0" w14:textId="241C8378" w:rsidR="000D750E" w:rsidRPr="000D750E" w:rsidRDefault="000D750E" w:rsidP="000D750E">
      <w:pPr>
        <w:spacing w:line="276" w:lineRule="auto"/>
        <w:rPr>
          <w:rFonts w:eastAsiaTheme="minorEastAsia" w:cs="Calibri"/>
          <w:iCs/>
          <w:szCs w:val="24"/>
          <w:lang w:val="en-US"/>
        </w:rPr>
      </w:pPr>
      <w:r w:rsidRPr="000D750E">
        <w:rPr>
          <w:rFonts w:eastAsiaTheme="minorEastAsia" w:cs="Calibri"/>
          <w:iCs/>
          <w:szCs w:val="24"/>
          <w:lang w:val="en-US"/>
        </w:rPr>
        <w:t>Stakeholders stated that CPP impacts quality of life</w:t>
      </w:r>
      <w:r w:rsidR="00E36E8D">
        <w:rPr>
          <w:rFonts w:eastAsiaTheme="minorEastAsia" w:cs="Calibri"/>
          <w:iCs/>
          <w:szCs w:val="24"/>
          <w:lang w:val="en-US"/>
        </w:rPr>
        <w:t>,</w:t>
      </w:r>
      <w:r w:rsidRPr="000D750E">
        <w:rPr>
          <w:rFonts w:eastAsiaTheme="minorEastAsia" w:cs="Calibri"/>
          <w:iCs/>
          <w:szCs w:val="24"/>
          <w:lang w:val="en-US"/>
        </w:rPr>
        <w:t xml:space="preserve"> and influences the patient’s mental health and wellbeing</w:t>
      </w:r>
      <w:r w:rsidR="00E36E8D">
        <w:rPr>
          <w:rFonts w:eastAsiaTheme="minorEastAsia" w:cs="Calibri"/>
          <w:iCs/>
          <w:szCs w:val="24"/>
          <w:lang w:val="en-US"/>
        </w:rPr>
        <w:t>,</w:t>
      </w:r>
      <w:r w:rsidRPr="000D750E">
        <w:rPr>
          <w:rFonts w:eastAsiaTheme="minorEastAsia" w:cs="Calibri"/>
          <w:iCs/>
          <w:szCs w:val="24"/>
          <w:lang w:val="en-US"/>
        </w:rPr>
        <w:t xml:space="preserve"> as well as their ability to work and be productive. </w:t>
      </w:r>
    </w:p>
    <w:p w14:paraId="0010443F" w14:textId="77777777" w:rsidR="00F608CD" w:rsidRDefault="00F608CD" w:rsidP="007D7CA7">
      <w:pPr>
        <w:pStyle w:val="MDSubsubheding"/>
      </w:pPr>
      <w:bookmarkStart w:id="35" w:name="_Toc503274964"/>
      <w:r>
        <w:t>Conclusion</w:t>
      </w:r>
      <w:bookmarkEnd w:id="35"/>
    </w:p>
    <w:p w14:paraId="0B16C256" w14:textId="7CC9E397" w:rsidR="00F608CD" w:rsidRPr="007D7CA7" w:rsidRDefault="00F608CD" w:rsidP="007D7CA7">
      <w:r>
        <w:t xml:space="preserve">While there is some inconsistencies between the PBS restrictions and the Australian consensus </w:t>
      </w:r>
      <w:r w:rsidR="007D7CA7">
        <w:t>concerning</w:t>
      </w:r>
      <w:r>
        <w:t xml:space="preserve"> the </w:t>
      </w:r>
      <w:r w:rsidR="007D7CA7">
        <w:t>clinical measures</w:t>
      </w:r>
      <w:r w:rsidR="00186F85">
        <w:t xml:space="preserve"> </w:t>
      </w:r>
      <w:r w:rsidR="000105D3">
        <w:t>e.g.</w:t>
      </w:r>
      <w:r w:rsidR="00186F85">
        <w:t xml:space="preserve"> DLQI</w:t>
      </w:r>
      <w:r w:rsidR="007D7CA7">
        <w:t xml:space="preserve"> used for indicating the need for biologics in CPP, the PASI offers the most rigorous clinical measure for PBS restriction. There is also some misalignment concerning the PASI threshold between the Australian consensus and the PBS restrictions. It may be appropriate to investigate the evidence around reducing the PASI threshold for PBS restrictions to </w:t>
      </w:r>
      <w:r w:rsidR="001F4AD4">
        <w:t>˃</w:t>
      </w:r>
      <w:r w:rsidR="007D7CA7">
        <w:t>10</w:t>
      </w:r>
      <w:r w:rsidR="00186F85">
        <w:t xml:space="preserve"> and including DLQI</w:t>
      </w:r>
      <w:r w:rsidR="001C74EB">
        <w:t>,</w:t>
      </w:r>
      <w:r w:rsidR="007D7CA7">
        <w:t xml:space="preserve"> taking into consideration </w:t>
      </w:r>
      <w:r w:rsidR="007D7CA7">
        <w:lastRenderedPageBreak/>
        <w:t xml:space="preserve">the evidence and </w:t>
      </w:r>
      <w:r w:rsidR="00EE5041">
        <w:t>cost effectiveness of biologics</w:t>
      </w:r>
      <w:r w:rsidR="000D750E">
        <w:t xml:space="preserve"> </w:t>
      </w:r>
      <w:r w:rsidR="007D7CA7">
        <w:t xml:space="preserve">in this less severe group. </w:t>
      </w:r>
      <w:r>
        <w:t xml:space="preserve"> </w:t>
      </w:r>
      <w:r w:rsidR="007D7CA7" w:rsidRPr="007D7CA7">
        <w:t xml:space="preserve">The PBS restrictions </w:t>
      </w:r>
      <w:r w:rsidR="007D7CA7">
        <w:t>do</w:t>
      </w:r>
      <w:r w:rsidR="007D7CA7" w:rsidRPr="007D7CA7">
        <w:t xml:space="preserve"> not include </w:t>
      </w:r>
      <w:r w:rsidR="007D7CA7">
        <w:t>certain body sites that are considered appropriate for biologicals in the guidelines (</w:t>
      </w:r>
      <w:r w:rsidR="007D7CA7" w:rsidRPr="007D7CA7">
        <w:t>genitals, scalp, fingernails, or visible area</w:t>
      </w:r>
      <w:r w:rsidR="007D7CA7">
        <w:t>s other than face)</w:t>
      </w:r>
      <w:r w:rsidR="007D7CA7" w:rsidRPr="007D7CA7">
        <w:t>.</w:t>
      </w:r>
      <w:r w:rsidR="00075189" w:rsidRPr="00075189">
        <w:t xml:space="preserve"> It may </w:t>
      </w:r>
      <w:r w:rsidR="00075189">
        <w:t xml:space="preserve">also </w:t>
      </w:r>
      <w:r w:rsidR="00075189" w:rsidRPr="00075189">
        <w:t xml:space="preserve">be appropriate to investigate the evidence </w:t>
      </w:r>
      <w:r w:rsidR="00075189">
        <w:t xml:space="preserve">for use of biologics in these sub groups for inclusion </w:t>
      </w:r>
      <w:r w:rsidR="000105D3">
        <w:t>i</w:t>
      </w:r>
      <w:r w:rsidR="00075189">
        <w:t>n the PBS restrictions.</w:t>
      </w:r>
      <w:r w:rsidR="00075189" w:rsidRPr="00075189">
        <w:t xml:space="preserve">  </w:t>
      </w:r>
    </w:p>
    <w:p w14:paraId="032A1F7C" w14:textId="77777777" w:rsidR="00470C5B" w:rsidRPr="00FE1642" w:rsidRDefault="00446E80" w:rsidP="00B24C18">
      <w:pPr>
        <w:pStyle w:val="MDSubheading"/>
      </w:pPr>
      <w:bookmarkStart w:id="36" w:name="_Toc503274965"/>
      <w:r w:rsidRPr="00FE1642">
        <w:t xml:space="preserve">ToR 2: Review </w:t>
      </w:r>
      <w:r w:rsidR="008B4061">
        <w:t xml:space="preserve">of </w:t>
      </w:r>
      <w:r w:rsidRPr="00FE1642">
        <w:t>the efficacy and safety of biologics used in the treatment of severe CPP</w:t>
      </w:r>
      <w:bookmarkEnd w:id="36"/>
    </w:p>
    <w:p w14:paraId="020688B3" w14:textId="77777777" w:rsidR="00B67975" w:rsidRPr="00FE1642" w:rsidRDefault="00B24C18" w:rsidP="00B24C18">
      <w:pPr>
        <w:pStyle w:val="ToRText"/>
        <w:keepNext/>
        <w:keepLines/>
      </w:pPr>
      <w:r>
        <w:t xml:space="preserve">Q1. </w:t>
      </w:r>
      <w:r w:rsidR="002A6B78" w:rsidRPr="00FE1642">
        <w:t>Undertake a systematic literature review to identify any new randomised trials or large observational studies (cross‐section, cohort, case‐control or longitudinal) that compare the efficacy and safety of the PBS listed biologics for severe CPP.</w:t>
      </w:r>
    </w:p>
    <w:p w14:paraId="4FB6E23C" w14:textId="77777777" w:rsidR="002A6B78" w:rsidRDefault="009479DC" w:rsidP="00B24C18">
      <w:pPr>
        <w:keepNext/>
        <w:keepLines/>
      </w:pPr>
      <w:r w:rsidRPr="001A3CAE">
        <w:t xml:space="preserve">A systematic literature review </w:t>
      </w:r>
      <w:r>
        <w:t>was conducted to identify randomised control</w:t>
      </w:r>
      <w:r w:rsidR="00E120B4">
        <w:t>led</w:t>
      </w:r>
      <w:r>
        <w:t xml:space="preserve"> trials that evaluated the efficacy and safety of the PBS listed biologics for the treatment of CPP (including</w:t>
      </w:r>
      <w:r w:rsidRPr="001A3CAE">
        <w:t xml:space="preserve"> psoriatic arthritis</w:t>
      </w:r>
      <w:r w:rsidR="00631814">
        <w:t xml:space="preserve"> </w:t>
      </w:r>
      <w:r w:rsidR="00631814" w:rsidRPr="00631814">
        <w:t>(PsA)</w:t>
      </w:r>
      <w:r>
        <w:t>).</w:t>
      </w:r>
    </w:p>
    <w:p w14:paraId="361200B6" w14:textId="77777777" w:rsidR="00F75B24" w:rsidRPr="00FE1642" w:rsidRDefault="00F75B24" w:rsidP="00F75B24">
      <w:pPr>
        <w:pStyle w:val="MDSubsubheding"/>
      </w:pPr>
      <w:bookmarkStart w:id="37" w:name="_Toc503274966"/>
      <w:r>
        <w:t>Efficacy of PBS listed biologics for CPP</w:t>
      </w:r>
      <w:bookmarkEnd w:id="37"/>
    </w:p>
    <w:p w14:paraId="6BB21BD5" w14:textId="5BB17AD4" w:rsidR="002A6B78" w:rsidRPr="00FE1642" w:rsidRDefault="000105D3" w:rsidP="00500FC1">
      <w:pPr>
        <w:pStyle w:val="ToRText"/>
        <w:numPr>
          <w:ilvl w:val="0"/>
          <w:numId w:val="43"/>
        </w:numPr>
      </w:pPr>
      <w:r>
        <w:t>C</w:t>
      </w:r>
      <w:r w:rsidR="002A6B78" w:rsidRPr="00FE1642">
        <w:t>omparing efficacy and safety of all PBS listed biologics for CPP and meta‐ analysis</w:t>
      </w:r>
      <w:r>
        <w:t xml:space="preserve"> </w:t>
      </w:r>
      <w:r w:rsidR="002A6B78" w:rsidRPr="00FE1642">
        <w:t>of results where appropriate</w:t>
      </w:r>
      <w:r w:rsidR="00530052" w:rsidRPr="00FE1642">
        <w:t>.</w:t>
      </w:r>
      <w:r w:rsidR="002A6B78" w:rsidRPr="00FE1642">
        <w:t xml:space="preserve"> </w:t>
      </w:r>
    </w:p>
    <w:p w14:paraId="2AE2B2CA" w14:textId="77777777" w:rsidR="001A3CAE" w:rsidRDefault="00F75B24" w:rsidP="00A77877">
      <w:r>
        <w:t>The searches identified 67</w:t>
      </w:r>
      <w:r w:rsidR="001A3CAE">
        <w:t xml:space="preserve"> trials</w:t>
      </w:r>
      <w:r w:rsidR="009479DC">
        <w:t xml:space="preserve"> and four observational studies</w:t>
      </w:r>
      <w:r w:rsidR="001A3CAE">
        <w:t xml:space="preserve"> in total. </w:t>
      </w:r>
      <w:r w:rsidR="00594BE2">
        <w:t xml:space="preserve">Table </w:t>
      </w:r>
      <w:r w:rsidR="00594BE2">
        <w:rPr>
          <w:noProof/>
        </w:rPr>
        <w:t>ES</w:t>
      </w:r>
      <w:r w:rsidR="00594BE2">
        <w:t>.</w:t>
      </w:r>
      <w:r w:rsidR="00594BE2">
        <w:rPr>
          <w:noProof/>
        </w:rPr>
        <w:t>6</w:t>
      </w:r>
      <w:r w:rsidR="001A3CAE">
        <w:t xml:space="preserve"> presents the number of trials and the condition they investigated.</w:t>
      </w:r>
    </w:p>
    <w:p w14:paraId="55F1C553" w14:textId="77777777" w:rsidR="001A3CAE" w:rsidRPr="000E1038" w:rsidRDefault="00A75F73" w:rsidP="002F7DDA">
      <w:pPr>
        <w:pStyle w:val="MDTabCaption"/>
        <w:keepLines/>
      </w:pPr>
      <w:bookmarkStart w:id="38" w:name="_Ref493069919"/>
      <w:bookmarkStart w:id="39" w:name="_Ref494198017"/>
      <w:bookmarkStart w:id="40" w:name="_Toc503274996"/>
      <w:r>
        <w:lastRenderedPageBreak/>
        <w:t>Table ES.</w:t>
      </w:r>
      <w:bookmarkEnd w:id="38"/>
      <w:r w:rsidR="00594BE2">
        <w:t>6</w:t>
      </w:r>
      <w:bookmarkEnd w:id="39"/>
      <w:r w:rsidR="001A3CAE">
        <w:t>:</w:t>
      </w:r>
      <w:r w:rsidR="001A3CAE" w:rsidRPr="000E1038">
        <w:t xml:space="preserve"> </w:t>
      </w:r>
      <w:r w:rsidR="001A3CAE">
        <w:t>Trials (and large observational studies) investigating the use of PBS-listed biologics for the treatment of CPP: overall s</w:t>
      </w:r>
      <w:r w:rsidR="001A3CAE" w:rsidRPr="000E1038">
        <w:t>ummary</w:t>
      </w:r>
      <w:bookmarkEnd w:id="40"/>
      <w:r w:rsidR="001A3CAE" w:rsidRPr="000E1038">
        <w:t xml:space="preserve"> </w:t>
      </w:r>
      <w:r w:rsidR="001A3CAE">
        <w:t xml:space="preserve"> </w:t>
      </w:r>
    </w:p>
    <w:tbl>
      <w:tblPr>
        <w:tblStyle w:val="TableGrid"/>
        <w:tblW w:w="9067" w:type="dxa"/>
        <w:tblLayout w:type="fixed"/>
        <w:tblLook w:val="04A0" w:firstRow="1" w:lastRow="0" w:firstColumn="1" w:lastColumn="0" w:noHBand="0" w:noVBand="1"/>
        <w:tblCaption w:val="Table ES.6"/>
        <w:tblDescription w:val="Trials (and large observational studies) investigating the use of PBS-listed biologics for the treatment of CPP: overall summary  "/>
      </w:tblPr>
      <w:tblGrid>
        <w:gridCol w:w="1413"/>
        <w:gridCol w:w="709"/>
        <w:gridCol w:w="708"/>
        <w:gridCol w:w="993"/>
        <w:gridCol w:w="992"/>
        <w:gridCol w:w="992"/>
        <w:gridCol w:w="992"/>
        <w:gridCol w:w="1134"/>
        <w:gridCol w:w="1134"/>
      </w:tblGrid>
      <w:tr w:rsidR="001A3CAE" w:rsidRPr="00A75F73" w14:paraId="2D34E4CA" w14:textId="77777777" w:rsidTr="001A3CAE">
        <w:trPr>
          <w:cantSplit/>
          <w:tblHeader/>
        </w:trPr>
        <w:tc>
          <w:tcPr>
            <w:tcW w:w="1413" w:type="dxa"/>
            <w:vMerge w:val="restart"/>
            <w:shd w:val="clear" w:color="auto" w:fill="A6A6A6" w:themeFill="background1" w:themeFillShade="A6"/>
            <w:tcMar>
              <w:left w:w="28" w:type="dxa"/>
              <w:right w:w="28" w:type="dxa"/>
            </w:tcMar>
          </w:tcPr>
          <w:p w14:paraId="372BE81B" w14:textId="77777777" w:rsidR="001A3CAE" w:rsidRPr="00A75F73" w:rsidRDefault="001A3CAE" w:rsidP="002F7DDA">
            <w:pPr>
              <w:pStyle w:val="TableTextDusc"/>
              <w:keepNext/>
              <w:keepLines/>
              <w:rPr>
                <w:b/>
              </w:rPr>
            </w:pPr>
            <w:r w:rsidRPr="00A75F73">
              <w:rPr>
                <w:b/>
              </w:rPr>
              <w:t>Biologic</w:t>
            </w:r>
          </w:p>
        </w:tc>
        <w:tc>
          <w:tcPr>
            <w:tcW w:w="1417" w:type="dxa"/>
            <w:gridSpan w:val="2"/>
            <w:shd w:val="clear" w:color="auto" w:fill="A6A6A6" w:themeFill="background1" w:themeFillShade="A6"/>
            <w:tcMar>
              <w:left w:w="28" w:type="dxa"/>
              <w:right w:w="28" w:type="dxa"/>
            </w:tcMar>
          </w:tcPr>
          <w:p w14:paraId="2A741D51" w14:textId="77777777" w:rsidR="001A3CAE" w:rsidRPr="00A75F73" w:rsidRDefault="001A3CAE" w:rsidP="002F7DDA">
            <w:pPr>
              <w:pStyle w:val="TableTextDusc"/>
              <w:keepNext/>
              <w:keepLines/>
              <w:rPr>
                <w:b/>
              </w:rPr>
            </w:pPr>
            <w:r w:rsidRPr="00A75F73">
              <w:rPr>
                <w:b/>
              </w:rPr>
              <w:t>Publication date</w:t>
            </w:r>
          </w:p>
        </w:tc>
        <w:tc>
          <w:tcPr>
            <w:tcW w:w="993" w:type="dxa"/>
            <w:vMerge w:val="restart"/>
            <w:shd w:val="clear" w:color="auto" w:fill="A6A6A6" w:themeFill="background1" w:themeFillShade="A6"/>
            <w:tcMar>
              <w:left w:w="28" w:type="dxa"/>
              <w:right w:w="28" w:type="dxa"/>
            </w:tcMar>
          </w:tcPr>
          <w:p w14:paraId="4395672B" w14:textId="77777777" w:rsidR="001A3CAE" w:rsidRPr="00A75F73" w:rsidRDefault="001A3CAE" w:rsidP="002F7DDA">
            <w:pPr>
              <w:pStyle w:val="TableTextDusc"/>
              <w:keepNext/>
              <w:keepLines/>
              <w:rPr>
                <w:b/>
              </w:rPr>
            </w:pPr>
            <w:r w:rsidRPr="00A75F73">
              <w:rPr>
                <w:b/>
              </w:rPr>
              <w:t xml:space="preserve">CPP </w:t>
            </w:r>
          </w:p>
        </w:tc>
        <w:tc>
          <w:tcPr>
            <w:tcW w:w="992" w:type="dxa"/>
            <w:vMerge w:val="restart"/>
            <w:shd w:val="clear" w:color="auto" w:fill="A6A6A6" w:themeFill="background1" w:themeFillShade="A6"/>
            <w:tcMar>
              <w:left w:w="28" w:type="dxa"/>
              <w:right w:w="28" w:type="dxa"/>
            </w:tcMar>
          </w:tcPr>
          <w:p w14:paraId="55A3C60B" w14:textId="77777777" w:rsidR="001A3CAE" w:rsidRPr="00A75F73" w:rsidRDefault="001A3CAE" w:rsidP="002F7DDA">
            <w:pPr>
              <w:pStyle w:val="TableTextDusc"/>
              <w:keepNext/>
              <w:keepLines/>
              <w:rPr>
                <w:b/>
              </w:rPr>
            </w:pPr>
            <w:r w:rsidRPr="00A75F73">
              <w:rPr>
                <w:b/>
              </w:rPr>
              <w:t xml:space="preserve">CPP in children </w:t>
            </w:r>
          </w:p>
        </w:tc>
        <w:tc>
          <w:tcPr>
            <w:tcW w:w="992" w:type="dxa"/>
            <w:vMerge w:val="restart"/>
            <w:shd w:val="clear" w:color="auto" w:fill="A6A6A6" w:themeFill="background1" w:themeFillShade="A6"/>
            <w:tcMar>
              <w:left w:w="28" w:type="dxa"/>
              <w:right w:w="28" w:type="dxa"/>
            </w:tcMar>
          </w:tcPr>
          <w:p w14:paraId="06F183A5" w14:textId="77777777" w:rsidR="001A3CAE" w:rsidRPr="00A75F73" w:rsidRDefault="001A3CAE" w:rsidP="002F7DDA">
            <w:pPr>
              <w:pStyle w:val="TableTextDusc"/>
              <w:keepNext/>
              <w:keepLines/>
              <w:rPr>
                <w:b/>
              </w:rPr>
            </w:pPr>
            <w:r w:rsidRPr="00A75F73">
              <w:rPr>
                <w:b/>
              </w:rPr>
              <w:t>Mild-to-moderate CPP</w:t>
            </w:r>
          </w:p>
        </w:tc>
        <w:tc>
          <w:tcPr>
            <w:tcW w:w="992" w:type="dxa"/>
            <w:vMerge w:val="restart"/>
            <w:shd w:val="clear" w:color="auto" w:fill="A6A6A6" w:themeFill="background1" w:themeFillShade="A6"/>
            <w:tcMar>
              <w:left w:w="28" w:type="dxa"/>
              <w:right w:w="28" w:type="dxa"/>
            </w:tcMar>
          </w:tcPr>
          <w:p w14:paraId="7A53F6C7" w14:textId="77777777" w:rsidR="001A3CAE" w:rsidRPr="00A75F73" w:rsidRDefault="001A3CAE" w:rsidP="002F7DDA">
            <w:pPr>
              <w:pStyle w:val="TableTextDusc"/>
              <w:keepNext/>
              <w:keepLines/>
              <w:rPr>
                <w:b/>
              </w:rPr>
            </w:pPr>
            <w:r w:rsidRPr="00A75F73">
              <w:rPr>
                <w:b/>
              </w:rPr>
              <w:t>CPP + PsA</w:t>
            </w:r>
          </w:p>
        </w:tc>
        <w:tc>
          <w:tcPr>
            <w:tcW w:w="1134" w:type="dxa"/>
            <w:vMerge w:val="restart"/>
            <w:shd w:val="clear" w:color="auto" w:fill="A6A6A6" w:themeFill="background1" w:themeFillShade="A6"/>
            <w:tcMar>
              <w:left w:w="28" w:type="dxa"/>
              <w:right w:w="28" w:type="dxa"/>
            </w:tcMar>
          </w:tcPr>
          <w:p w14:paraId="022F2616" w14:textId="77777777" w:rsidR="001A3CAE" w:rsidRPr="00A75F73" w:rsidRDefault="001A3CAE" w:rsidP="002F7DDA">
            <w:pPr>
              <w:pStyle w:val="TableTextDusc"/>
              <w:keepNext/>
              <w:keepLines/>
              <w:rPr>
                <w:b/>
              </w:rPr>
            </w:pPr>
            <w:r w:rsidRPr="00A75F73">
              <w:rPr>
                <w:b/>
              </w:rPr>
              <w:t>CPP + hands, face and/or feet</w:t>
            </w:r>
          </w:p>
        </w:tc>
        <w:tc>
          <w:tcPr>
            <w:tcW w:w="1134" w:type="dxa"/>
            <w:vMerge w:val="restart"/>
            <w:shd w:val="clear" w:color="auto" w:fill="A6A6A6" w:themeFill="background1" w:themeFillShade="A6"/>
            <w:tcMar>
              <w:left w:w="28" w:type="dxa"/>
              <w:right w:w="28" w:type="dxa"/>
            </w:tcMar>
          </w:tcPr>
          <w:p w14:paraId="65D4BBC8" w14:textId="77777777" w:rsidR="001A3CAE" w:rsidRPr="00A75F73" w:rsidRDefault="001A3CAE" w:rsidP="002F7DDA">
            <w:pPr>
              <w:pStyle w:val="TableTextDusc"/>
              <w:keepNext/>
              <w:keepLines/>
              <w:rPr>
                <w:b/>
              </w:rPr>
            </w:pPr>
            <w:r w:rsidRPr="00A75F73">
              <w:rPr>
                <w:b/>
              </w:rPr>
              <w:t>Total</w:t>
            </w:r>
            <w:r w:rsidR="002337AB" w:rsidRPr="00A75F73">
              <w:rPr>
                <w:b/>
              </w:rPr>
              <w:t>*</w:t>
            </w:r>
          </w:p>
        </w:tc>
      </w:tr>
      <w:tr w:rsidR="001A3CAE" w:rsidRPr="00A75F73" w14:paraId="23F6008E" w14:textId="77777777" w:rsidTr="001A3CAE">
        <w:trPr>
          <w:cantSplit/>
          <w:tblHeader/>
        </w:trPr>
        <w:tc>
          <w:tcPr>
            <w:tcW w:w="1413" w:type="dxa"/>
            <w:vMerge/>
            <w:tcMar>
              <w:left w:w="28" w:type="dxa"/>
              <w:right w:w="28" w:type="dxa"/>
            </w:tcMar>
          </w:tcPr>
          <w:p w14:paraId="6139F0E6" w14:textId="77777777" w:rsidR="001A3CAE" w:rsidRPr="00A75F73" w:rsidRDefault="001A3CAE" w:rsidP="002F7DDA">
            <w:pPr>
              <w:pStyle w:val="TableTextDusc"/>
              <w:keepNext/>
              <w:keepLines/>
              <w:rPr>
                <w:b/>
              </w:rPr>
            </w:pPr>
          </w:p>
        </w:tc>
        <w:tc>
          <w:tcPr>
            <w:tcW w:w="709" w:type="dxa"/>
            <w:shd w:val="clear" w:color="auto" w:fill="A6A6A6" w:themeFill="background1" w:themeFillShade="A6"/>
            <w:tcMar>
              <w:left w:w="28" w:type="dxa"/>
              <w:right w:w="28" w:type="dxa"/>
            </w:tcMar>
          </w:tcPr>
          <w:p w14:paraId="06DB8764" w14:textId="77777777" w:rsidR="001A3CAE" w:rsidRPr="00A75F73" w:rsidRDefault="001A3CAE" w:rsidP="002F7DDA">
            <w:pPr>
              <w:pStyle w:val="TableTextDusc"/>
              <w:keepNext/>
              <w:keepLines/>
              <w:rPr>
                <w:b/>
              </w:rPr>
            </w:pPr>
            <w:r w:rsidRPr="00A75F73">
              <w:rPr>
                <w:b/>
              </w:rPr>
              <w:t>Earliest</w:t>
            </w:r>
          </w:p>
        </w:tc>
        <w:tc>
          <w:tcPr>
            <w:tcW w:w="708" w:type="dxa"/>
            <w:shd w:val="clear" w:color="auto" w:fill="A6A6A6" w:themeFill="background1" w:themeFillShade="A6"/>
            <w:tcMar>
              <w:left w:w="28" w:type="dxa"/>
              <w:right w:w="28" w:type="dxa"/>
            </w:tcMar>
          </w:tcPr>
          <w:p w14:paraId="2EE5C705" w14:textId="77777777" w:rsidR="001A3CAE" w:rsidRPr="00A75F73" w:rsidRDefault="001A3CAE" w:rsidP="002F7DDA">
            <w:pPr>
              <w:pStyle w:val="TableTextDusc"/>
              <w:keepNext/>
              <w:keepLines/>
              <w:rPr>
                <w:b/>
              </w:rPr>
            </w:pPr>
            <w:r w:rsidRPr="00A75F73">
              <w:rPr>
                <w:b/>
              </w:rPr>
              <w:t>Latest</w:t>
            </w:r>
          </w:p>
        </w:tc>
        <w:tc>
          <w:tcPr>
            <w:tcW w:w="993" w:type="dxa"/>
            <w:vMerge/>
            <w:tcMar>
              <w:left w:w="28" w:type="dxa"/>
              <w:right w:w="28" w:type="dxa"/>
            </w:tcMar>
          </w:tcPr>
          <w:p w14:paraId="4010CD6E" w14:textId="77777777" w:rsidR="001A3CAE" w:rsidRPr="00A75F73" w:rsidRDefault="001A3CAE" w:rsidP="002F7DDA">
            <w:pPr>
              <w:pStyle w:val="TableTextDusc"/>
              <w:keepNext/>
              <w:keepLines/>
              <w:rPr>
                <w:b/>
              </w:rPr>
            </w:pPr>
          </w:p>
        </w:tc>
        <w:tc>
          <w:tcPr>
            <w:tcW w:w="992" w:type="dxa"/>
            <w:vMerge/>
            <w:tcMar>
              <w:left w:w="28" w:type="dxa"/>
              <w:right w:w="28" w:type="dxa"/>
            </w:tcMar>
          </w:tcPr>
          <w:p w14:paraId="5FA5BACB" w14:textId="77777777" w:rsidR="001A3CAE" w:rsidRPr="00A75F73" w:rsidRDefault="001A3CAE" w:rsidP="002F7DDA">
            <w:pPr>
              <w:pStyle w:val="TableTextDusc"/>
              <w:keepNext/>
              <w:keepLines/>
              <w:rPr>
                <w:b/>
              </w:rPr>
            </w:pPr>
          </w:p>
        </w:tc>
        <w:tc>
          <w:tcPr>
            <w:tcW w:w="992" w:type="dxa"/>
            <w:vMerge/>
            <w:tcMar>
              <w:left w:w="28" w:type="dxa"/>
              <w:right w:w="28" w:type="dxa"/>
            </w:tcMar>
          </w:tcPr>
          <w:p w14:paraId="73FBE2AC" w14:textId="77777777" w:rsidR="001A3CAE" w:rsidRPr="00A75F73" w:rsidRDefault="001A3CAE" w:rsidP="002F7DDA">
            <w:pPr>
              <w:pStyle w:val="TableTextDusc"/>
              <w:keepNext/>
              <w:keepLines/>
              <w:rPr>
                <w:b/>
              </w:rPr>
            </w:pPr>
          </w:p>
        </w:tc>
        <w:tc>
          <w:tcPr>
            <w:tcW w:w="992" w:type="dxa"/>
            <w:vMerge/>
            <w:tcMar>
              <w:left w:w="28" w:type="dxa"/>
              <w:right w:w="28" w:type="dxa"/>
            </w:tcMar>
          </w:tcPr>
          <w:p w14:paraId="2133D407" w14:textId="77777777" w:rsidR="001A3CAE" w:rsidRPr="00A75F73" w:rsidRDefault="001A3CAE" w:rsidP="002F7DDA">
            <w:pPr>
              <w:pStyle w:val="TableTextDusc"/>
              <w:keepNext/>
              <w:keepLines/>
              <w:rPr>
                <w:b/>
              </w:rPr>
            </w:pPr>
          </w:p>
        </w:tc>
        <w:tc>
          <w:tcPr>
            <w:tcW w:w="1134" w:type="dxa"/>
            <w:vMerge/>
            <w:tcMar>
              <w:left w:w="28" w:type="dxa"/>
              <w:right w:w="28" w:type="dxa"/>
            </w:tcMar>
          </w:tcPr>
          <w:p w14:paraId="5C59C79D" w14:textId="77777777" w:rsidR="001A3CAE" w:rsidRPr="00A75F73" w:rsidRDefault="001A3CAE" w:rsidP="002F7DDA">
            <w:pPr>
              <w:pStyle w:val="TableTextDusc"/>
              <w:keepNext/>
              <w:keepLines/>
              <w:rPr>
                <w:b/>
              </w:rPr>
            </w:pPr>
          </w:p>
        </w:tc>
        <w:tc>
          <w:tcPr>
            <w:tcW w:w="1134" w:type="dxa"/>
            <w:vMerge/>
            <w:tcMar>
              <w:left w:w="28" w:type="dxa"/>
              <w:right w:w="28" w:type="dxa"/>
            </w:tcMar>
          </w:tcPr>
          <w:p w14:paraId="7B4BBF47" w14:textId="77777777" w:rsidR="001A3CAE" w:rsidRPr="00A75F73" w:rsidRDefault="001A3CAE" w:rsidP="002F7DDA">
            <w:pPr>
              <w:pStyle w:val="TableTextDusc"/>
              <w:keepNext/>
              <w:keepLines/>
              <w:rPr>
                <w:b/>
              </w:rPr>
            </w:pPr>
          </w:p>
        </w:tc>
      </w:tr>
      <w:tr w:rsidR="001A3CAE" w14:paraId="0E341C61" w14:textId="77777777" w:rsidTr="009479DC">
        <w:trPr>
          <w:cantSplit/>
        </w:trPr>
        <w:tc>
          <w:tcPr>
            <w:tcW w:w="1413" w:type="dxa"/>
            <w:tcMar>
              <w:left w:w="28" w:type="dxa"/>
              <w:right w:w="28" w:type="dxa"/>
            </w:tcMar>
          </w:tcPr>
          <w:p w14:paraId="2F800182" w14:textId="77777777" w:rsidR="001A3CAE" w:rsidRPr="00BB3461" w:rsidRDefault="001A3CAE" w:rsidP="002F7DDA">
            <w:pPr>
              <w:pStyle w:val="TableTextDusc"/>
              <w:keepNext/>
              <w:keepLines/>
            </w:pPr>
            <w:r w:rsidRPr="00BB3461">
              <w:t>Adalimumab</w:t>
            </w:r>
          </w:p>
        </w:tc>
        <w:tc>
          <w:tcPr>
            <w:tcW w:w="709" w:type="dxa"/>
            <w:tcMar>
              <w:left w:w="28" w:type="dxa"/>
              <w:right w:w="28" w:type="dxa"/>
            </w:tcMar>
          </w:tcPr>
          <w:p w14:paraId="5CC69B5C" w14:textId="77777777" w:rsidR="001A3CAE" w:rsidRPr="00BB3461" w:rsidRDefault="001A3CAE" w:rsidP="002F7DDA">
            <w:pPr>
              <w:pStyle w:val="TableTextDusc"/>
              <w:keepNext/>
              <w:keepLines/>
            </w:pPr>
            <w:r w:rsidRPr="00BB3461">
              <w:t>2005</w:t>
            </w:r>
          </w:p>
        </w:tc>
        <w:tc>
          <w:tcPr>
            <w:tcW w:w="708" w:type="dxa"/>
            <w:tcMar>
              <w:left w:w="28" w:type="dxa"/>
              <w:right w:w="28" w:type="dxa"/>
            </w:tcMar>
          </w:tcPr>
          <w:p w14:paraId="4A430F08" w14:textId="77777777" w:rsidR="001A3CAE" w:rsidRPr="00BB3461" w:rsidRDefault="001A3CAE" w:rsidP="002F7DDA">
            <w:pPr>
              <w:pStyle w:val="TableTextDusc"/>
              <w:keepNext/>
              <w:keepLines/>
            </w:pPr>
            <w:r w:rsidRPr="00BB3461">
              <w:t>2017</w:t>
            </w:r>
          </w:p>
        </w:tc>
        <w:tc>
          <w:tcPr>
            <w:tcW w:w="993" w:type="dxa"/>
            <w:tcMar>
              <w:left w:w="28" w:type="dxa"/>
              <w:right w:w="28" w:type="dxa"/>
            </w:tcMar>
          </w:tcPr>
          <w:p w14:paraId="09A4945B" w14:textId="77777777" w:rsidR="001A3CAE" w:rsidRPr="00BB3461" w:rsidRDefault="001A3CAE" w:rsidP="002F7DDA">
            <w:pPr>
              <w:pStyle w:val="TableTextDusc"/>
              <w:keepNext/>
              <w:keepLines/>
            </w:pPr>
            <w:r>
              <w:t>8</w:t>
            </w:r>
          </w:p>
        </w:tc>
        <w:tc>
          <w:tcPr>
            <w:tcW w:w="992" w:type="dxa"/>
            <w:tcMar>
              <w:left w:w="28" w:type="dxa"/>
              <w:right w:w="28" w:type="dxa"/>
            </w:tcMar>
          </w:tcPr>
          <w:p w14:paraId="09DC107F" w14:textId="77777777" w:rsidR="001A3CAE" w:rsidRPr="00BB3461" w:rsidRDefault="001A3CAE" w:rsidP="002F7DDA">
            <w:pPr>
              <w:pStyle w:val="TableTextDusc"/>
              <w:keepNext/>
              <w:keepLines/>
            </w:pPr>
            <w:r>
              <w:t>1</w:t>
            </w:r>
          </w:p>
        </w:tc>
        <w:tc>
          <w:tcPr>
            <w:tcW w:w="992" w:type="dxa"/>
            <w:tcMar>
              <w:left w:w="28" w:type="dxa"/>
              <w:right w:w="28" w:type="dxa"/>
            </w:tcMar>
          </w:tcPr>
          <w:p w14:paraId="5A719CC5" w14:textId="77777777" w:rsidR="001A3CAE" w:rsidRDefault="001A3CAE" w:rsidP="002F7DDA">
            <w:pPr>
              <w:pStyle w:val="TableTextDusc"/>
              <w:keepNext/>
              <w:keepLines/>
            </w:pPr>
            <w:r>
              <w:t>0</w:t>
            </w:r>
          </w:p>
        </w:tc>
        <w:tc>
          <w:tcPr>
            <w:tcW w:w="992" w:type="dxa"/>
            <w:tcMar>
              <w:left w:w="28" w:type="dxa"/>
              <w:right w:w="28" w:type="dxa"/>
            </w:tcMar>
          </w:tcPr>
          <w:p w14:paraId="53981A17" w14:textId="77777777" w:rsidR="001A3CAE" w:rsidRPr="00BB3461" w:rsidRDefault="001A3CAE" w:rsidP="002F7DDA">
            <w:pPr>
              <w:pStyle w:val="TableTextDusc"/>
              <w:keepNext/>
              <w:keepLines/>
            </w:pPr>
            <w:r>
              <w:t>0</w:t>
            </w:r>
          </w:p>
        </w:tc>
        <w:tc>
          <w:tcPr>
            <w:tcW w:w="1134" w:type="dxa"/>
            <w:tcMar>
              <w:left w:w="28" w:type="dxa"/>
              <w:right w:w="28" w:type="dxa"/>
            </w:tcMar>
          </w:tcPr>
          <w:p w14:paraId="0D2DCD1C" w14:textId="77777777" w:rsidR="001A3CAE" w:rsidRPr="00B160F7" w:rsidRDefault="001A3CAE" w:rsidP="002F7DDA">
            <w:pPr>
              <w:pStyle w:val="TableTextDusc"/>
              <w:keepNext/>
              <w:keepLines/>
            </w:pPr>
            <w:r w:rsidRPr="00B160F7">
              <w:t>1</w:t>
            </w:r>
          </w:p>
        </w:tc>
        <w:tc>
          <w:tcPr>
            <w:tcW w:w="1134" w:type="dxa"/>
            <w:tcMar>
              <w:left w:w="28" w:type="dxa"/>
              <w:right w:w="28" w:type="dxa"/>
            </w:tcMar>
          </w:tcPr>
          <w:p w14:paraId="31225C1A" w14:textId="77777777" w:rsidR="001A3CAE" w:rsidRDefault="001A3CAE" w:rsidP="002F7DDA">
            <w:pPr>
              <w:pStyle w:val="TableTextDusc"/>
              <w:keepNext/>
              <w:keepLines/>
            </w:pPr>
            <w:r>
              <w:t>10</w:t>
            </w:r>
          </w:p>
        </w:tc>
      </w:tr>
      <w:tr w:rsidR="001A3CAE" w14:paraId="50E5EE04" w14:textId="77777777" w:rsidTr="009479DC">
        <w:trPr>
          <w:cantSplit/>
        </w:trPr>
        <w:tc>
          <w:tcPr>
            <w:tcW w:w="1413" w:type="dxa"/>
            <w:tcMar>
              <w:left w:w="28" w:type="dxa"/>
              <w:right w:w="28" w:type="dxa"/>
            </w:tcMar>
          </w:tcPr>
          <w:p w14:paraId="00315AEE" w14:textId="77777777" w:rsidR="001A3CAE" w:rsidRPr="00BB3461" w:rsidRDefault="001A3CAE" w:rsidP="002F7DDA">
            <w:pPr>
              <w:pStyle w:val="TableTextDusc"/>
              <w:keepNext/>
              <w:keepLines/>
            </w:pPr>
            <w:r w:rsidRPr="00BB3461">
              <w:t>Efalizumab</w:t>
            </w:r>
          </w:p>
        </w:tc>
        <w:tc>
          <w:tcPr>
            <w:tcW w:w="709" w:type="dxa"/>
            <w:tcMar>
              <w:left w:w="28" w:type="dxa"/>
              <w:right w:w="28" w:type="dxa"/>
            </w:tcMar>
          </w:tcPr>
          <w:p w14:paraId="007A1DF4" w14:textId="77777777" w:rsidR="001A3CAE" w:rsidRPr="00BB3461" w:rsidRDefault="001A3CAE" w:rsidP="002F7DDA">
            <w:pPr>
              <w:pStyle w:val="TableTextDusc"/>
              <w:keepNext/>
              <w:keepLines/>
            </w:pPr>
            <w:r w:rsidRPr="00BB3461">
              <w:t>2003</w:t>
            </w:r>
          </w:p>
        </w:tc>
        <w:tc>
          <w:tcPr>
            <w:tcW w:w="708" w:type="dxa"/>
            <w:tcMar>
              <w:left w:w="28" w:type="dxa"/>
              <w:right w:w="28" w:type="dxa"/>
            </w:tcMar>
          </w:tcPr>
          <w:p w14:paraId="67DBC3AD" w14:textId="77777777" w:rsidR="001A3CAE" w:rsidRPr="00BB3461" w:rsidRDefault="001A3CAE" w:rsidP="002F7DDA">
            <w:pPr>
              <w:pStyle w:val="TableTextDusc"/>
              <w:keepNext/>
              <w:keepLines/>
            </w:pPr>
            <w:r w:rsidRPr="00BB3461">
              <w:t>2008</w:t>
            </w:r>
          </w:p>
        </w:tc>
        <w:tc>
          <w:tcPr>
            <w:tcW w:w="993" w:type="dxa"/>
            <w:tcMar>
              <w:left w:w="28" w:type="dxa"/>
              <w:right w:w="28" w:type="dxa"/>
            </w:tcMar>
          </w:tcPr>
          <w:p w14:paraId="74EEA83C" w14:textId="77777777" w:rsidR="001A3CAE" w:rsidRPr="00BB3461" w:rsidRDefault="001A3CAE" w:rsidP="002F7DDA">
            <w:pPr>
              <w:pStyle w:val="TableTextDusc"/>
              <w:keepNext/>
              <w:keepLines/>
            </w:pPr>
            <w:r>
              <w:t>6</w:t>
            </w:r>
          </w:p>
        </w:tc>
        <w:tc>
          <w:tcPr>
            <w:tcW w:w="992" w:type="dxa"/>
            <w:tcMar>
              <w:left w:w="28" w:type="dxa"/>
              <w:right w:w="28" w:type="dxa"/>
            </w:tcMar>
          </w:tcPr>
          <w:p w14:paraId="02B909E6" w14:textId="77777777" w:rsidR="001A3CAE" w:rsidRPr="00BB3461" w:rsidRDefault="001A3CAE" w:rsidP="002F7DDA">
            <w:pPr>
              <w:pStyle w:val="TableTextDusc"/>
              <w:keepNext/>
              <w:keepLines/>
            </w:pPr>
            <w:r>
              <w:t>0</w:t>
            </w:r>
          </w:p>
        </w:tc>
        <w:tc>
          <w:tcPr>
            <w:tcW w:w="992" w:type="dxa"/>
            <w:tcMar>
              <w:left w:w="28" w:type="dxa"/>
              <w:right w:w="28" w:type="dxa"/>
            </w:tcMar>
          </w:tcPr>
          <w:p w14:paraId="0FBD7906" w14:textId="77777777" w:rsidR="001A3CAE" w:rsidRPr="00BB3461" w:rsidRDefault="001A3CAE" w:rsidP="002F7DDA">
            <w:pPr>
              <w:pStyle w:val="TableTextDusc"/>
              <w:keepNext/>
              <w:keepLines/>
            </w:pPr>
            <w:r>
              <w:t>0</w:t>
            </w:r>
          </w:p>
        </w:tc>
        <w:tc>
          <w:tcPr>
            <w:tcW w:w="992" w:type="dxa"/>
            <w:tcMar>
              <w:left w:w="28" w:type="dxa"/>
              <w:right w:w="28" w:type="dxa"/>
            </w:tcMar>
          </w:tcPr>
          <w:p w14:paraId="72D8A50F" w14:textId="77777777" w:rsidR="001A3CAE" w:rsidRPr="00BB3461" w:rsidRDefault="001A3CAE" w:rsidP="002F7DDA">
            <w:pPr>
              <w:pStyle w:val="TableTextDusc"/>
              <w:keepNext/>
              <w:keepLines/>
            </w:pPr>
            <w:r w:rsidRPr="00BB3461">
              <w:t xml:space="preserve">0 </w:t>
            </w:r>
          </w:p>
        </w:tc>
        <w:tc>
          <w:tcPr>
            <w:tcW w:w="1134" w:type="dxa"/>
            <w:tcMar>
              <w:left w:w="28" w:type="dxa"/>
              <w:right w:w="28" w:type="dxa"/>
            </w:tcMar>
          </w:tcPr>
          <w:p w14:paraId="7C412509" w14:textId="77777777" w:rsidR="001A3CAE" w:rsidRPr="00B160F7" w:rsidRDefault="001A3CAE" w:rsidP="002F7DDA">
            <w:pPr>
              <w:pStyle w:val="TableTextDusc"/>
              <w:keepNext/>
              <w:keepLines/>
            </w:pPr>
            <w:r w:rsidRPr="00B160F7">
              <w:t>0</w:t>
            </w:r>
          </w:p>
        </w:tc>
        <w:tc>
          <w:tcPr>
            <w:tcW w:w="1134" w:type="dxa"/>
            <w:tcMar>
              <w:left w:w="28" w:type="dxa"/>
              <w:right w:w="28" w:type="dxa"/>
            </w:tcMar>
          </w:tcPr>
          <w:p w14:paraId="6A36BC62" w14:textId="77777777" w:rsidR="001A3CAE" w:rsidRPr="00BB3461" w:rsidRDefault="001A3CAE" w:rsidP="002F7DDA">
            <w:pPr>
              <w:pStyle w:val="TableTextDusc"/>
              <w:keepNext/>
              <w:keepLines/>
            </w:pPr>
            <w:r>
              <w:t>6</w:t>
            </w:r>
          </w:p>
        </w:tc>
      </w:tr>
      <w:tr w:rsidR="001A3CAE" w14:paraId="2710CFFF" w14:textId="77777777" w:rsidTr="009479DC">
        <w:trPr>
          <w:cantSplit/>
        </w:trPr>
        <w:tc>
          <w:tcPr>
            <w:tcW w:w="1413" w:type="dxa"/>
            <w:tcMar>
              <w:left w:w="28" w:type="dxa"/>
              <w:right w:w="28" w:type="dxa"/>
            </w:tcMar>
          </w:tcPr>
          <w:p w14:paraId="1FE8F74E" w14:textId="77777777" w:rsidR="001A3CAE" w:rsidRPr="00BB3461" w:rsidRDefault="001A3CAE" w:rsidP="002F7DDA">
            <w:pPr>
              <w:pStyle w:val="TableTextDusc"/>
              <w:keepNext/>
              <w:keepLines/>
            </w:pPr>
            <w:r w:rsidRPr="00BB3461">
              <w:t>Etanercept</w:t>
            </w:r>
          </w:p>
        </w:tc>
        <w:tc>
          <w:tcPr>
            <w:tcW w:w="709" w:type="dxa"/>
            <w:tcMar>
              <w:left w:w="28" w:type="dxa"/>
              <w:right w:w="28" w:type="dxa"/>
            </w:tcMar>
          </w:tcPr>
          <w:p w14:paraId="47643BBC" w14:textId="77777777" w:rsidR="001A3CAE" w:rsidRPr="00BB3461" w:rsidRDefault="001A3CAE" w:rsidP="002F7DDA">
            <w:pPr>
              <w:pStyle w:val="TableTextDusc"/>
              <w:keepNext/>
              <w:keepLines/>
            </w:pPr>
            <w:r w:rsidRPr="00BB3461">
              <w:t>2003</w:t>
            </w:r>
          </w:p>
        </w:tc>
        <w:tc>
          <w:tcPr>
            <w:tcW w:w="708" w:type="dxa"/>
            <w:tcMar>
              <w:left w:w="28" w:type="dxa"/>
              <w:right w:w="28" w:type="dxa"/>
            </w:tcMar>
          </w:tcPr>
          <w:p w14:paraId="6B547150" w14:textId="77777777" w:rsidR="001A3CAE" w:rsidRPr="00BB3461" w:rsidRDefault="001A3CAE" w:rsidP="002F7DDA">
            <w:pPr>
              <w:pStyle w:val="TableTextDusc"/>
              <w:keepNext/>
              <w:keepLines/>
            </w:pPr>
            <w:r w:rsidRPr="00BB3461">
              <w:t>2017</w:t>
            </w:r>
          </w:p>
        </w:tc>
        <w:tc>
          <w:tcPr>
            <w:tcW w:w="993" w:type="dxa"/>
            <w:tcMar>
              <w:left w:w="28" w:type="dxa"/>
              <w:right w:w="28" w:type="dxa"/>
            </w:tcMar>
          </w:tcPr>
          <w:p w14:paraId="218BF7FC" w14:textId="77777777" w:rsidR="001A3CAE" w:rsidRPr="00BB3461" w:rsidRDefault="001A3CAE" w:rsidP="002F7DDA">
            <w:pPr>
              <w:pStyle w:val="TableTextDusc"/>
              <w:keepNext/>
              <w:keepLines/>
            </w:pPr>
            <w:r>
              <w:t>1</w:t>
            </w:r>
            <w:r w:rsidR="00272D19">
              <w:t>8</w:t>
            </w:r>
            <w:r w:rsidR="00272D19" w:rsidRPr="00272D19">
              <w:rPr>
                <w:vertAlign w:val="superscript"/>
              </w:rPr>
              <w:t xml:space="preserve"> e</w:t>
            </w:r>
            <w:r>
              <w:t xml:space="preserve"> (4)</w:t>
            </w:r>
          </w:p>
        </w:tc>
        <w:tc>
          <w:tcPr>
            <w:tcW w:w="992" w:type="dxa"/>
            <w:tcMar>
              <w:left w:w="28" w:type="dxa"/>
              <w:right w:w="28" w:type="dxa"/>
            </w:tcMar>
          </w:tcPr>
          <w:p w14:paraId="11B54402" w14:textId="77777777" w:rsidR="001A3CAE" w:rsidRPr="00BB3461" w:rsidRDefault="001A3CAE" w:rsidP="002F7DDA">
            <w:pPr>
              <w:pStyle w:val="TableTextDusc"/>
              <w:keepNext/>
              <w:keepLines/>
            </w:pPr>
            <w:r>
              <w:t>1</w:t>
            </w:r>
          </w:p>
        </w:tc>
        <w:tc>
          <w:tcPr>
            <w:tcW w:w="992" w:type="dxa"/>
            <w:tcMar>
              <w:left w:w="28" w:type="dxa"/>
              <w:right w:w="28" w:type="dxa"/>
            </w:tcMar>
          </w:tcPr>
          <w:p w14:paraId="71FEC2D0" w14:textId="77777777" w:rsidR="001A3CAE" w:rsidRDefault="001A3CAE" w:rsidP="002F7DDA">
            <w:pPr>
              <w:pStyle w:val="TableTextDusc"/>
              <w:keepNext/>
              <w:keepLines/>
            </w:pPr>
            <w:r>
              <w:t>1</w:t>
            </w:r>
          </w:p>
        </w:tc>
        <w:tc>
          <w:tcPr>
            <w:tcW w:w="992" w:type="dxa"/>
            <w:tcMar>
              <w:left w:w="28" w:type="dxa"/>
              <w:right w:w="28" w:type="dxa"/>
            </w:tcMar>
          </w:tcPr>
          <w:p w14:paraId="55848758" w14:textId="77777777" w:rsidR="001A3CAE" w:rsidRPr="00BB3461" w:rsidRDefault="001A3CAE" w:rsidP="002F7DDA">
            <w:pPr>
              <w:pStyle w:val="TableTextDusc"/>
              <w:keepNext/>
              <w:keepLines/>
            </w:pPr>
            <w:r>
              <w:t>2</w:t>
            </w:r>
            <w:r w:rsidRPr="001D03E2">
              <w:rPr>
                <w:vertAlign w:val="superscript"/>
              </w:rPr>
              <w:t>b</w:t>
            </w:r>
          </w:p>
        </w:tc>
        <w:tc>
          <w:tcPr>
            <w:tcW w:w="1134" w:type="dxa"/>
            <w:tcMar>
              <w:left w:w="28" w:type="dxa"/>
              <w:right w:w="28" w:type="dxa"/>
            </w:tcMar>
          </w:tcPr>
          <w:p w14:paraId="58491674" w14:textId="77777777" w:rsidR="001A3CAE" w:rsidRPr="00B160F7" w:rsidRDefault="001A3CAE" w:rsidP="002F7DDA">
            <w:pPr>
              <w:pStyle w:val="TableTextDusc"/>
              <w:keepNext/>
              <w:keepLines/>
            </w:pPr>
            <w:r w:rsidRPr="00B160F7">
              <w:t>0</w:t>
            </w:r>
          </w:p>
        </w:tc>
        <w:tc>
          <w:tcPr>
            <w:tcW w:w="1134" w:type="dxa"/>
            <w:tcMar>
              <w:left w:w="28" w:type="dxa"/>
              <w:right w:w="28" w:type="dxa"/>
            </w:tcMar>
          </w:tcPr>
          <w:p w14:paraId="06EF5808" w14:textId="77777777" w:rsidR="001A3CAE" w:rsidRDefault="00272D19" w:rsidP="002F7DDA">
            <w:pPr>
              <w:pStyle w:val="TableTextDusc"/>
              <w:keepNext/>
              <w:keepLines/>
            </w:pPr>
            <w:r>
              <w:t>21</w:t>
            </w:r>
            <w:r w:rsidR="001A3CAE">
              <w:t xml:space="preserve"> (4)</w:t>
            </w:r>
            <w:r>
              <w:t xml:space="preserve"> </w:t>
            </w:r>
          </w:p>
        </w:tc>
      </w:tr>
      <w:tr w:rsidR="001A3CAE" w14:paraId="0F496C67" w14:textId="77777777" w:rsidTr="009479DC">
        <w:trPr>
          <w:cantSplit/>
        </w:trPr>
        <w:tc>
          <w:tcPr>
            <w:tcW w:w="1413" w:type="dxa"/>
            <w:tcMar>
              <w:left w:w="28" w:type="dxa"/>
              <w:right w:w="28" w:type="dxa"/>
            </w:tcMar>
          </w:tcPr>
          <w:p w14:paraId="4B08401B" w14:textId="77777777" w:rsidR="001A3CAE" w:rsidRPr="00BB3461" w:rsidRDefault="001A3CAE" w:rsidP="002F7DDA">
            <w:pPr>
              <w:pStyle w:val="TableTextDusc"/>
              <w:keepNext/>
              <w:keepLines/>
            </w:pPr>
            <w:r w:rsidRPr="00BB3461">
              <w:t>Infliximab</w:t>
            </w:r>
          </w:p>
        </w:tc>
        <w:tc>
          <w:tcPr>
            <w:tcW w:w="709" w:type="dxa"/>
            <w:tcMar>
              <w:left w:w="28" w:type="dxa"/>
              <w:right w:w="28" w:type="dxa"/>
            </w:tcMar>
          </w:tcPr>
          <w:p w14:paraId="169016D1" w14:textId="77777777" w:rsidR="001A3CAE" w:rsidRPr="00BB3461" w:rsidRDefault="001A3CAE" w:rsidP="002F7DDA">
            <w:pPr>
              <w:pStyle w:val="TableTextDusc"/>
              <w:keepNext/>
              <w:keepLines/>
              <w:rPr>
                <w:vertAlign w:val="superscript"/>
              </w:rPr>
            </w:pPr>
            <w:r w:rsidRPr="00BB3461">
              <w:t>2001</w:t>
            </w:r>
            <w:r w:rsidRPr="00BB3461">
              <w:rPr>
                <w:vertAlign w:val="superscript"/>
              </w:rPr>
              <w:t>a</w:t>
            </w:r>
          </w:p>
        </w:tc>
        <w:tc>
          <w:tcPr>
            <w:tcW w:w="708" w:type="dxa"/>
            <w:tcMar>
              <w:left w:w="28" w:type="dxa"/>
              <w:right w:w="28" w:type="dxa"/>
            </w:tcMar>
          </w:tcPr>
          <w:p w14:paraId="30C7FC96" w14:textId="77777777" w:rsidR="001A3CAE" w:rsidRPr="00BB3461" w:rsidRDefault="001A3CAE" w:rsidP="002F7DDA">
            <w:pPr>
              <w:pStyle w:val="TableTextDusc"/>
              <w:keepNext/>
              <w:keepLines/>
            </w:pPr>
            <w:r w:rsidRPr="00BB3461">
              <w:t>2017</w:t>
            </w:r>
          </w:p>
        </w:tc>
        <w:tc>
          <w:tcPr>
            <w:tcW w:w="993" w:type="dxa"/>
            <w:tcMar>
              <w:left w:w="28" w:type="dxa"/>
              <w:right w:w="28" w:type="dxa"/>
            </w:tcMar>
          </w:tcPr>
          <w:p w14:paraId="0331C3DD" w14:textId="77777777" w:rsidR="001A3CAE" w:rsidRPr="00BB3461" w:rsidRDefault="001A3CAE" w:rsidP="002F7DDA">
            <w:pPr>
              <w:pStyle w:val="TableTextDusc"/>
              <w:keepNext/>
              <w:keepLines/>
            </w:pPr>
            <w:r>
              <w:t>8</w:t>
            </w:r>
            <w:r w:rsidR="00C51B56" w:rsidRPr="00C51B56">
              <w:rPr>
                <w:vertAlign w:val="superscript"/>
              </w:rPr>
              <w:t>f</w:t>
            </w:r>
          </w:p>
        </w:tc>
        <w:tc>
          <w:tcPr>
            <w:tcW w:w="992" w:type="dxa"/>
            <w:tcMar>
              <w:left w:w="28" w:type="dxa"/>
              <w:right w:w="28" w:type="dxa"/>
            </w:tcMar>
          </w:tcPr>
          <w:p w14:paraId="27339FB2" w14:textId="77777777" w:rsidR="001A3CAE" w:rsidRPr="00BB3461" w:rsidRDefault="001A3CAE" w:rsidP="002F7DDA">
            <w:pPr>
              <w:pStyle w:val="TableTextDusc"/>
              <w:keepNext/>
              <w:keepLines/>
            </w:pPr>
            <w:r>
              <w:t>0</w:t>
            </w:r>
          </w:p>
        </w:tc>
        <w:tc>
          <w:tcPr>
            <w:tcW w:w="992" w:type="dxa"/>
            <w:tcMar>
              <w:left w:w="28" w:type="dxa"/>
              <w:right w:w="28" w:type="dxa"/>
            </w:tcMar>
          </w:tcPr>
          <w:p w14:paraId="0282422B" w14:textId="77777777" w:rsidR="001A3CAE" w:rsidRDefault="001A3CAE" w:rsidP="002F7DDA">
            <w:pPr>
              <w:pStyle w:val="TableTextDusc"/>
              <w:keepNext/>
              <w:keepLines/>
            </w:pPr>
            <w:r>
              <w:t>0</w:t>
            </w:r>
          </w:p>
        </w:tc>
        <w:tc>
          <w:tcPr>
            <w:tcW w:w="992" w:type="dxa"/>
            <w:tcMar>
              <w:left w:w="28" w:type="dxa"/>
              <w:right w:w="28" w:type="dxa"/>
            </w:tcMar>
          </w:tcPr>
          <w:p w14:paraId="5A310F36" w14:textId="77777777" w:rsidR="001A3CAE" w:rsidRPr="00BB3461" w:rsidRDefault="001A3CAE" w:rsidP="002F7DDA">
            <w:pPr>
              <w:pStyle w:val="TableTextDusc"/>
              <w:keepNext/>
              <w:keepLines/>
            </w:pPr>
            <w:r>
              <w:t>1</w:t>
            </w:r>
          </w:p>
        </w:tc>
        <w:tc>
          <w:tcPr>
            <w:tcW w:w="1134" w:type="dxa"/>
            <w:tcMar>
              <w:left w:w="28" w:type="dxa"/>
              <w:right w:w="28" w:type="dxa"/>
            </w:tcMar>
          </w:tcPr>
          <w:p w14:paraId="27216F2D" w14:textId="77777777" w:rsidR="001A3CAE" w:rsidRPr="00B160F7" w:rsidRDefault="001A3CAE" w:rsidP="002F7DDA">
            <w:pPr>
              <w:pStyle w:val="TableTextDusc"/>
              <w:keepNext/>
              <w:keepLines/>
            </w:pPr>
            <w:r w:rsidRPr="00B160F7">
              <w:t>1</w:t>
            </w:r>
          </w:p>
        </w:tc>
        <w:tc>
          <w:tcPr>
            <w:tcW w:w="1134" w:type="dxa"/>
            <w:tcMar>
              <w:left w:w="28" w:type="dxa"/>
              <w:right w:w="28" w:type="dxa"/>
            </w:tcMar>
          </w:tcPr>
          <w:p w14:paraId="48B2D2AF" w14:textId="77777777" w:rsidR="001A3CAE" w:rsidRDefault="001A3CAE" w:rsidP="002F7DDA">
            <w:pPr>
              <w:pStyle w:val="TableTextDusc"/>
              <w:keepNext/>
              <w:keepLines/>
            </w:pPr>
            <w:r>
              <w:t>10</w:t>
            </w:r>
          </w:p>
        </w:tc>
      </w:tr>
      <w:tr w:rsidR="001A3CAE" w14:paraId="59207DB9" w14:textId="77777777" w:rsidTr="009479DC">
        <w:trPr>
          <w:cantSplit/>
        </w:trPr>
        <w:tc>
          <w:tcPr>
            <w:tcW w:w="1413" w:type="dxa"/>
            <w:tcMar>
              <w:left w:w="28" w:type="dxa"/>
              <w:right w:w="28" w:type="dxa"/>
            </w:tcMar>
          </w:tcPr>
          <w:p w14:paraId="0ED06351" w14:textId="77777777" w:rsidR="001A3CAE" w:rsidRPr="00BB3461" w:rsidRDefault="001A3CAE" w:rsidP="002F7DDA">
            <w:pPr>
              <w:pStyle w:val="TableTextDusc"/>
              <w:keepNext/>
              <w:keepLines/>
            </w:pPr>
            <w:r w:rsidRPr="00BB3461">
              <w:t>Ixekizumab</w:t>
            </w:r>
          </w:p>
        </w:tc>
        <w:tc>
          <w:tcPr>
            <w:tcW w:w="709" w:type="dxa"/>
            <w:tcMar>
              <w:left w:w="28" w:type="dxa"/>
              <w:right w:w="28" w:type="dxa"/>
            </w:tcMar>
          </w:tcPr>
          <w:p w14:paraId="6B7EE13B" w14:textId="77777777" w:rsidR="001A3CAE" w:rsidRPr="00BB3461" w:rsidRDefault="001A3CAE" w:rsidP="002F7DDA">
            <w:pPr>
              <w:pStyle w:val="TableTextDusc"/>
              <w:keepNext/>
              <w:keepLines/>
            </w:pPr>
            <w:r w:rsidRPr="00BB3461">
              <w:t>2012</w:t>
            </w:r>
          </w:p>
        </w:tc>
        <w:tc>
          <w:tcPr>
            <w:tcW w:w="708" w:type="dxa"/>
            <w:tcMar>
              <w:left w:w="28" w:type="dxa"/>
              <w:right w:w="28" w:type="dxa"/>
            </w:tcMar>
          </w:tcPr>
          <w:p w14:paraId="7D938738" w14:textId="77777777" w:rsidR="001A3CAE" w:rsidRPr="00BB3461" w:rsidRDefault="001A3CAE" w:rsidP="002F7DDA">
            <w:pPr>
              <w:pStyle w:val="TableTextDusc"/>
              <w:keepNext/>
              <w:keepLines/>
            </w:pPr>
            <w:r w:rsidRPr="00BB3461">
              <w:t>2016</w:t>
            </w:r>
          </w:p>
        </w:tc>
        <w:tc>
          <w:tcPr>
            <w:tcW w:w="993" w:type="dxa"/>
            <w:tcMar>
              <w:left w:w="28" w:type="dxa"/>
              <w:right w:w="28" w:type="dxa"/>
            </w:tcMar>
          </w:tcPr>
          <w:p w14:paraId="1FB77A0A" w14:textId="77777777" w:rsidR="001A3CAE" w:rsidRPr="00BB3461" w:rsidRDefault="001A3CAE" w:rsidP="002F7DDA">
            <w:pPr>
              <w:pStyle w:val="TableTextDusc"/>
              <w:keepNext/>
              <w:keepLines/>
            </w:pPr>
            <w:r>
              <w:t>4</w:t>
            </w:r>
            <w:r w:rsidR="00C51B56" w:rsidRPr="00C51B56">
              <w:rPr>
                <w:vertAlign w:val="superscript"/>
              </w:rPr>
              <w:t>g</w:t>
            </w:r>
          </w:p>
        </w:tc>
        <w:tc>
          <w:tcPr>
            <w:tcW w:w="992" w:type="dxa"/>
            <w:tcMar>
              <w:left w:w="28" w:type="dxa"/>
              <w:right w:w="28" w:type="dxa"/>
            </w:tcMar>
          </w:tcPr>
          <w:p w14:paraId="5CD18D80" w14:textId="77777777" w:rsidR="001A3CAE" w:rsidRPr="00BB3461" w:rsidRDefault="001A3CAE" w:rsidP="002F7DDA">
            <w:pPr>
              <w:pStyle w:val="TableTextDusc"/>
              <w:keepNext/>
              <w:keepLines/>
            </w:pPr>
            <w:r>
              <w:t>0</w:t>
            </w:r>
          </w:p>
        </w:tc>
        <w:tc>
          <w:tcPr>
            <w:tcW w:w="992" w:type="dxa"/>
            <w:tcMar>
              <w:left w:w="28" w:type="dxa"/>
              <w:right w:w="28" w:type="dxa"/>
            </w:tcMar>
          </w:tcPr>
          <w:p w14:paraId="6E2E465B" w14:textId="77777777" w:rsidR="001A3CAE" w:rsidRPr="00BB3461" w:rsidRDefault="001A3CAE" w:rsidP="002F7DDA">
            <w:pPr>
              <w:pStyle w:val="TableTextDusc"/>
              <w:keepNext/>
              <w:keepLines/>
            </w:pPr>
            <w:r>
              <w:t>0</w:t>
            </w:r>
          </w:p>
        </w:tc>
        <w:tc>
          <w:tcPr>
            <w:tcW w:w="992" w:type="dxa"/>
            <w:tcMar>
              <w:left w:w="28" w:type="dxa"/>
              <w:right w:w="28" w:type="dxa"/>
            </w:tcMar>
          </w:tcPr>
          <w:p w14:paraId="004E0F9E" w14:textId="77777777" w:rsidR="001A3CAE" w:rsidRPr="00BB3461" w:rsidRDefault="001A3CAE" w:rsidP="002F7DDA">
            <w:pPr>
              <w:pStyle w:val="TableTextDusc"/>
              <w:keepNext/>
              <w:keepLines/>
            </w:pPr>
            <w:r w:rsidRPr="00BB3461">
              <w:t>0</w:t>
            </w:r>
          </w:p>
        </w:tc>
        <w:tc>
          <w:tcPr>
            <w:tcW w:w="1134" w:type="dxa"/>
            <w:tcMar>
              <w:left w:w="28" w:type="dxa"/>
              <w:right w:w="28" w:type="dxa"/>
            </w:tcMar>
          </w:tcPr>
          <w:p w14:paraId="4DB9CBEE" w14:textId="77777777" w:rsidR="001A3CAE" w:rsidRPr="00B160F7" w:rsidRDefault="001A3CAE" w:rsidP="002F7DDA">
            <w:pPr>
              <w:pStyle w:val="TableTextDusc"/>
              <w:keepNext/>
              <w:keepLines/>
            </w:pPr>
            <w:r w:rsidRPr="00B160F7">
              <w:t>0</w:t>
            </w:r>
          </w:p>
        </w:tc>
        <w:tc>
          <w:tcPr>
            <w:tcW w:w="1134" w:type="dxa"/>
            <w:tcMar>
              <w:left w:w="28" w:type="dxa"/>
              <w:right w:w="28" w:type="dxa"/>
            </w:tcMar>
          </w:tcPr>
          <w:p w14:paraId="6BD157C1" w14:textId="77777777" w:rsidR="001A3CAE" w:rsidRDefault="001A3CAE" w:rsidP="002F7DDA">
            <w:pPr>
              <w:pStyle w:val="TableTextDusc"/>
              <w:keepNext/>
              <w:keepLines/>
            </w:pPr>
            <w:r>
              <w:t>4</w:t>
            </w:r>
          </w:p>
        </w:tc>
      </w:tr>
      <w:tr w:rsidR="001A3CAE" w14:paraId="14B3F9C0" w14:textId="77777777" w:rsidTr="009479DC">
        <w:trPr>
          <w:cantSplit/>
        </w:trPr>
        <w:tc>
          <w:tcPr>
            <w:tcW w:w="1413" w:type="dxa"/>
            <w:tcMar>
              <w:left w:w="28" w:type="dxa"/>
              <w:right w:w="28" w:type="dxa"/>
            </w:tcMar>
          </w:tcPr>
          <w:p w14:paraId="4E8410BA" w14:textId="77777777" w:rsidR="001A3CAE" w:rsidRPr="00BB3461" w:rsidRDefault="001A3CAE" w:rsidP="002F7DDA">
            <w:pPr>
              <w:pStyle w:val="TableTextDusc"/>
              <w:keepNext/>
              <w:keepLines/>
            </w:pPr>
            <w:r w:rsidRPr="00BB3461">
              <w:t>Secukinumab</w:t>
            </w:r>
          </w:p>
        </w:tc>
        <w:tc>
          <w:tcPr>
            <w:tcW w:w="709" w:type="dxa"/>
            <w:tcMar>
              <w:left w:w="28" w:type="dxa"/>
              <w:right w:w="28" w:type="dxa"/>
            </w:tcMar>
          </w:tcPr>
          <w:p w14:paraId="3B828656" w14:textId="77777777" w:rsidR="001A3CAE" w:rsidRPr="00BB3461" w:rsidRDefault="001A3CAE" w:rsidP="002F7DDA">
            <w:pPr>
              <w:pStyle w:val="TableTextDusc"/>
              <w:keepNext/>
              <w:keepLines/>
            </w:pPr>
            <w:r w:rsidRPr="00BB3461">
              <w:t>2013</w:t>
            </w:r>
          </w:p>
        </w:tc>
        <w:tc>
          <w:tcPr>
            <w:tcW w:w="708" w:type="dxa"/>
            <w:tcMar>
              <w:left w:w="28" w:type="dxa"/>
              <w:right w:w="28" w:type="dxa"/>
            </w:tcMar>
          </w:tcPr>
          <w:p w14:paraId="1968781F" w14:textId="77777777" w:rsidR="001A3CAE" w:rsidRPr="00BB3461" w:rsidRDefault="001A3CAE" w:rsidP="002F7DDA">
            <w:pPr>
              <w:pStyle w:val="TableTextDusc"/>
              <w:keepNext/>
              <w:keepLines/>
            </w:pPr>
            <w:r w:rsidRPr="00BB3461">
              <w:t>2016</w:t>
            </w:r>
          </w:p>
        </w:tc>
        <w:tc>
          <w:tcPr>
            <w:tcW w:w="993" w:type="dxa"/>
            <w:tcMar>
              <w:left w:w="28" w:type="dxa"/>
              <w:right w:w="28" w:type="dxa"/>
            </w:tcMar>
          </w:tcPr>
          <w:p w14:paraId="57D4FFCC" w14:textId="77777777" w:rsidR="001A3CAE" w:rsidRPr="00BB3461" w:rsidRDefault="00F75B24" w:rsidP="002F7DDA">
            <w:pPr>
              <w:pStyle w:val="TableTextDusc"/>
              <w:keepNext/>
              <w:keepLines/>
            </w:pPr>
            <w:r>
              <w:t>9</w:t>
            </w:r>
            <w:r w:rsidR="00C51B56" w:rsidRPr="00C51B56">
              <w:rPr>
                <w:vertAlign w:val="superscript"/>
              </w:rPr>
              <w:t>h</w:t>
            </w:r>
          </w:p>
        </w:tc>
        <w:tc>
          <w:tcPr>
            <w:tcW w:w="992" w:type="dxa"/>
            <w:tcMar>
              <w:left w:w="28" w:type="dxa"/>
              <w:right w:w="28" w:type="dxa"/>
            </w:tcMar>
          </w:tcPr>
          <w:p w14:paraId="21661A57" w14:textId="77777777" w:rsidR="001A3CAE" w:rsidRPr="00BB3461" w:rsidRDefault="001A3CAE" w:rsidP="002F7DDA">
            <w:pPr>
              <w:pStyle w:val="TableTextDusc"/>
              <w:keepNext/>
              <w:keepLines/>
            </w:pPr>
            <w:r>
              <w:t>0</w:t>
            </w:r>
          </w:p>
        </w:tc>
        <w:tc>
          <w:tcPr>
            <w:tcW w:w="992" w:type="dxa"/>
            <w:tcMar>
              <w:left w:w="28" w:type="dxa"/>
              <w:right w:w="28" w:type="dxa"/>
            </w:tcMar>
          </w:tcPr>
          <w:p w14:paraId="650D3E4A" w14:textId="77777777" w:rsidR="001A3CAE" w:rsidRDefault="001A3CAE" w:rsidP="002F7DDA">
            <w:pPr>
              <w:pStyle w:val="TableTextDusc"/>
              <w:keepNext/>
              <w:keepLines/>
            </w:pPr>
            <w:r>
              <w:t>0</w:t>
            </w:r>
          </w:p>
        </w:tc>
        <w:tc>
          <w:tcPr>
            <w:tcW w:w="992" w:type="dxa"/>
            <w:tcMar>
              <w:left w:w="28" w:type="dxa"/>
              <w:right w:w="28" w:type="dxa"/>
            </w:tcMar>
          </w:tcPr>
          <w:p w14:paraId="481B900C" w14:textId="77777777" w:rsidR="001A3CAE" w:rsidRPr="00BB3461" w:rsidRDefault="001A3CAE" w:rsidP="002F7DDA">
            <w:pPr>
              <w:pStyle w:val="TableTextDusc"/>
              <w:keepNext/>
              <w:keepLines/>
            </w:pPr>
            <w:r>
              <w:t>1</w:t>
            </w:r>
          </w:p>
        </w:tc>
        <w:tc>
          <w:tcPr>
            <w:tcW w:w="1134" w:type="dxa"/>
            <w:tcMar>
              <w:left w:w="28" w:type="dxa"/>
              <w:right w:w="28" w:type="dxa"/>
            </w:tcMar>
          </w:tcPr>
          <w:p w14:paraId="6471FD2A" w14:textId="77777777" w:rsidR="001A3CAE" w:rsidRPr="00B160F7" w:rsidRDefault="001A3CAE" w:rsidP="002F7DDA">
            <w:pPr>
              <w:pStyle w:val="TableTextDusc"/>
              <w:keepNext/>
              <w:keepLines/>
            </w:pPr>
            <w:r w:rsidRPr="00B160F7">
              <w:t>3</w:t>
            </w:r>
            <w:r>
              <w:rPr>
                <w:vertAlign w:val="superscript"/>
              </w:rPr>
              <w:t>c</w:t>
            </w:r>
          </w:p>
        </w:tc>
        <w:tc>
          <w:tcPr>
            <w:tcW w:w="1134" w:type="dxa"/>
            <w:tcMar>
              <w:left w:w="28" w:type="dxa"/>
              <w:right w:w="28" w:type="dxa"/>
            </w:tcMar>
          </w:tcPr>
          <w:p w14:paraId="040A282D" w14:textId="77777777" w:rsidR="001A3CAE" w:rsidRDefault="00F75B24" w:rsidP="002F7DDA">
            <w:pPr>
              <w:pStyle w:val="TableTextDusc"/>
              <w:keepNext/>
              <w:keepLines/>
            </w:pPr>
            <w:r>
              <w:t>11</w:t>
            </w:r>
          </w:p>
        </w:tc>
      </w:tr>
      <w:tr w:rsidR="001A3CAE" w14:paraId="33ACC0C3" w14:textId="77777777" w:rsidTr="009479DC">
        <w:trPr>
          <w:cantSplit/>
        </w:trPr>
        <w:tc>
          <w:tcPr>
            <w:tcW w:w="1413" w:type="dxa"/>
            <w:tcMar>
              <w:left w:w="28" w:type="dxa"/>
              <w:right w:w="28" w:type="dxa"/>
            </w:tcMar>
          </w:tcPr>
          <w:p w14:paraId="57810574" w14:textId="77777777" w:rsidR="001A3CAE" w:rsidRPr="00BB3461" w:rsidRDefault="001A3CAE" w:rsidP="002F7DDA">
            <w:pPr>
              <w:pStyle w:val="TableTextDusc"/>
              <w:keepNext/>
              <w:keepLines/>
            </w:pPr>
            <w:r w:rsidRPr="00BB3461">
              <w:t>Ustekinumab</w:t>
            </w:r>
          </w:p>
        </w:tc>
        <w:tc>
          <w:tcPr>
            <w:tcW w:w="709" w:type="dxa"/>
            <w:tcMar>
              <w:left w:w="28" w:type="dxa"/>
              <w:right w:w="28" w:type="dxa"/>
            </w:tcMar>
          </w:tcPr>
          <w:p w14:paraId="0BBB10A8" w14:textId="77777777" w:rsidR="001A3CAE" w:rsidRPr="00BB3461" w:rsidRDefault="001A3CAE" w:rsidP="002F7DDA">
            <w:pPr>
              <w:pStyle w:val="TableTextDusc"/>
              <w:keepNext/>
              <w:keepLines/>
            </w:pPr>
            <w:r w:rsidRPr="00BB3461">
              <w:t>2007</w:t>
            </w:r>
          </w:p>
        </w:tc>
        <w:tc>
          <w:tcPr>
            <w:tcW w:w="708" w:type="dxa"/>
            <w:tcMar>
              <w:left w:w="28" w:type="dxa"/>
              <w:right w:w="28" w:type="dxa"/>
            </w:tcMar>
          </w:tcPr>
          <w:p w14:paraId="227AA485" w14:textId="77777777" w:rsidR="001A3CAE" w:rsidRPr="00BB3461" w:rsidRDefault="001A3CAE" w:rsidP="002F7DDA">
            <w:pPr>
              <w:pStyle w:val="TableTextDusc"/>
              <w:keepNext/>
              <w:keepLines/>
            </w:pPr>
            <w:r w:rsidRPr="00BB3461">
              <w:t>2015</w:t>
            </w:r>
          </w:p>
        </w:tc>
        <w:tc>
          <w:tcPr>
            <w:tcW w:w="993" w:type="dxa"/>
            <w:tcMar>
              <w:left w:w="28" w:type="dxa"/>
              <w:right w:w="28" w:type="dxa"/>
            </w:tcMar>
          </w:tcPr>
          <w:p w14:paraId="56065197" w14:textId="77777777" w:rsidR="001A3CAE" w:rsidRPr="00BB3461" w:rsidRDefault="002337AB" w:rsidP="002F7DDA">
            <w:pPr>
              <w:pStyle w:val="TableTextDusc"/>
              <w:keepNext/>
              <w:keepLines/>
            </w:pPr>
            <w:r>
              <w:t>10</w:t>
            </w:r>
            <w:r w:rsidR="001A3CAE">
              <w:rPr>
                <w:vertAlign w:val="superscript"/>
              </w:rPr>
              <w:t>d</w:t>
            </w:r>
          </w:p>
        </w:tc>
        <w:tc>
          <w:tcPr>
            <w:tcW w:w="992" w:type="dxa"/>
            <w:tcMar>
              <w:left w:w="28" w:type="dxa"/>
              <w:right w:w="28" w:type="dxa"/>
            </w:tcMar>
          </w:tcPr>
          <w:p w14:paraId="4B74EE70" w14:textId="77777777" w:rsidR="001A3CAE" w:rsidRPr="00BB3461" w:rsidRDefault="001A3CAE" w:rsidP="002F7DDA">
            <w:pPr>
              <w:pStyle w:val="TableTextDusc"/>
              <w:keepNext/>
              <w:keepLines/>
            </w:pPr>
            <w:r>
              <w:t>1</w:t>
            </w:r>
          </w:p>
        </w:tc>
        <w:tc>
          <w:tcPr>
            <w:tcW w:w="992" w:type="dxa"/>
            <w:tcMar>
              <w:left w:w="28" w:type="dxa"/>
              <w:right w:w="28" w:type="dxa"/>
            </w:tcMar>
          </w:tcPr>
          <w:p w14:paraId="5FEC1DB2" w14:textId="77777777" w:rsidR="001A3CAE" w:rsidRDefault="001A3CAE" w:rsidP="002F7DDA">
            <w:pPr>
              <w:pStyle w:val="TableTextDusc"/>
              <w:keepNext/>
              <w:keepLines/>
            </w:pPr>
            <w:r>
              <w:t>0</w:t>
            </w:r>
          </w:p>
        </w:tc>
        <w:tc>
          <w:tcPr>
            <w:tcW w:w="992" w:type="dxa"/>
            <w:tcMar>
              <w:left w:w="28" w:type="dxa"/>
              <w:right w:w="28" w:type="dxa"/>
            </w:tcMar>
          </w:tcPr>
          <w:p w14:paraId="003C1BCC" w14:textId="77777777" w:rsidR="001A3CAE" w:rsidRPr="00BB3461" w:rsidRDefault="001A3CAE" w:rsidP="002F7DDA">
            <w:pPr>
              <w:pStyle w:val="TableTextDusc"/>
              <w:keepNext/>
              <w:keepLines/>
            </w:pPr>
            <w:r>
              <w:t>0</w:t>
            </w:r>
          </w:p>
        </w:tc>
        <w:tc>
          <w:tcPr>
            <w:tcW w:w="1134" w:type="dxa"/>
            <w:tcMar>
              <w:left w:w="28" w:type="dxa"/>
              <w:right w:w="28" w:type="dxa"/>
            </w:tcMar>
          </w:tcPr>
          <w:p w14:paraId="1D030454" w14:textId="77777777" w:rsidR="001A3CAE" w:rsidRPr="00B160F7" w:rsidRDefault="001A3CAE" w:rsidP="002F7DDA">
            <w:pPr>
              <w:pStyle w:val="TableTextDusc"/>
              <w:keepNext/>
              <w:keepLines/>
            </w:pPr>
            <w:r w:rsidRPr="00B160F7">
              <w:t>0</w:t>
            </w:r>
          </w:p>
        </w:tc>
        <w:tc>
          <w:tcPr>
            <w:tcW w:w="1134" w:type="dxa"/>
            <w:tcMar>
              <w:left w:w="28" w:type="dxa"/>
              <w:right w:w="28" w:type="dxa"/>
            </w:tcMar>
          </w:tcPr>
          <w:p w14:paraId="17C9CC3B" w14:textId="77777777" w:rsidR="001A3CAE" w:rsidRDefault="002337AB" w:rsidP="002F7DDA">
            <w:pPr>
              <w:pStyle w:val="TableTextDusc"/>
              <w:keepNext/>
              <w:keepLines/>
            </w:pPr>
            <w:r>
              <w:t>11</w:t>
            </w:r>
          </w:p>
        </w:tc>
      </w:tr>
      <w:tr w:rsidR="009479DC" w:rsidRPr="004473F8" w14:paraId="6E6DDE85" w14:textId="77777777" w:rsidTr="009479DC">
        <w:trPr>
          <w:cantSplit/>
        </w:trPr>
        <w:tc>
          <w:tcPr>
            <w:tcW w:w="1413" w:type="dxa"/>
            <w:tcMar>
              <w:left w:w="28" w:type="dxa"/>
              <w:right w:w="28" w:type="dxa"/>
            </w:tcMar>
          </w:tcPr>
          <w:p w14:paraId="056BBDB4" w14:textId="77777777" w:rsidR="009479DC" w:rsidRPr="004473F8" w:rsidRDefault="009479DC" w:rsidP="002F7DDA">
            <w:pPr>
              <w:pStyle w:val="TableTextDusc"/>
              <w:keepNext/>
              <w:keepLines/>
            </w:pPr>
            <w:r w:rsidRPr="004473F8">
              <w:t>TOTAL</w:t>
            </w:r>
            <w:r w:rsidR="002337AB">
              <w:t>*</w:t>
            </w:r>
          </w:p>
        </w:tc>
        <w:tc>
          <w:tcPr>
            <w:tcW w:w="709" w:type="dxa"/>
          </w:tcPr>
          <w:p w14:paraId="11595319" w14:textId="77777777" w:rsidR="009479DC" w:rsidRPr="004473F8" w:rsidRDefault="00A75F73" w:rsidP="002F7DDA">
            <w:pPr>
              <w:pStyle w:val="TableTextDusc"/>
              <w:keepNext/>
              <w:keepLines/>
            </w:pPr>
            <w:r>
              <w:t>-</w:t>
            </w:r>
          </w:p>
        </w:tc>
        <w:tc>
          <w:tcPr>
            <w:tcW w:w="708" w:type="dxa"/>
          </w:tcPr>
          <w:p w14:paraId="2AD59C1B" w14:textId="77777777" w:rsidR="009479DC" w:rsidRPr="004473F8" w:rsidRDefault="00A75F73" w:rsidP="002F7DDA">
            <w:pPr>
              <w:pStyle w:val="TableTextDusc"/>
              <w:keepNext/>
              <w:keepLines/>
            </w:pPr>
            <w:r>
              <w:t>-</w:t>
            </w:r>
          </w:p>
        </w:tc>
        <w:tc>
          <w:tcPr>
            <w:tcW w:w="993" w:type="dxa"/>
            <w:tcMar>
              <w:left w:w="28" w:type="dxa"/>
              <w:right w:w="28" w:type="dxa"/>
            </w:tcMar>
          </w:tcPr>
          <w:p w14:paraId="5FD29039" w14:textId="77777777" w:rsidR="009479DC" w:rsidRPr="004473F8" w:rsidRDefault="009479DC" w:rsidP="002F7DDA">
            <w:pPr>
              <w:pStyle w:val="TableTextDusc"/>
              <w:keepNext/>
              <w:keepLines/>
            </w:pPr>
            <w:r>
              <w:t>5</w:t>
            </w:r>
            <w:r w:rsidR="00F75B24">
              <w:t>7</w:t>
            </w:r>
            <w:r>
              <w:t xml:space="preserve"> (4)</w:t>
            </w:r>
          </w:p>
        </w:tc>
        <w:tc>
          <w:tcPr>
            <w:tcW w:w="992" w:type="dxa"/>
            <w:tcMar>
              <w:left w:w="28" w:type="dxa"/>
              <w:right w:w="28" w:type="dxa"/>
            </w:tcMar>
          </w:tcPr>
          <w:p w14:paraId="2BF3C16F" w14:textId="77777777" w:rsidR="009479DC" w:rsidRPr="004473F8" w:rsidRDefault="009479DC" w:rsidP="002F7DDA">
            <w:pPr>
              <w:pStyle w:val="TableTextDusc"/>
              <w:keepNext/>
              <w:keepLines/>
            </w:pPr>
            <w:r>
              <w:t>3</w:t>
            </w:r>
          </w:p>
        </w:tc>
        <w:tc>
          <w:tcPr>
            <w:tcW w:w="992" w:type="dxa"/>
            <w:tcMar>
              <w:left w:w="28" w:type="dxa"/>
              <w:right w:w="28" w:type="dxa"/>
            </w:tcMar>
          </w:tcPr>
          <w:p w14:paraId="41509A4A" w14:textId="77777777" w:rsidR="009479DC" w:rsidRDefault="009479DC" w:rsidP="002F7DDA">
            <w:pPr>
              <w:pStyle w:val="TableTextDusc"/>
              <w:keepNext/>
              <w:keepLines/>
            </w:pPr>
            <w:r>
              <w:t>1</w:t>
            </w:r>
          </w:p>
        </w:tc>
        <w:tc>
          <w:tcPr>
            <w:tcW w:w="992" w:type="dxa"/>
            <w:tcMar>
              <w:left w:w="28" w:type="dxa"/>
              <w:right w:w="28" w:type="dxa"/>
            </w:tcMar>
          </w:tcPr>
          <w:p w14:paraId="4C3BCFFD" w14:textId="77777777" w:rsidR="009479DC" w:rsidRPr="004473F8" w:rsidRDefault="009479DC" w:rsidP="002F7DDA">
            <w:pPr>
              <w:pStyle w:val="TableTextDusc"/>
              <w:keepNext/>
              <w:keepLines/>
            </w:pPr>
            <w:r>
              <w:t>4</w:t>
            </w:r>
          </w:p>
        </w:tc>
        <w:tc>
          <w:tcPr>
            <w:tcW w:w="1134" w:type="dxa"/>
            <w:tcMar>
              <w:left w:w="28" w:type="dxa"/>
              <w:right w:w="28" w:type="dxa"/>
            </w:tcMar>
          </w:tcPr>
          <w:p w14:paraId="2DA70536" w14:textId="77777777" w:rsidR="009479DC" w:rsidRPr="00B160F7" w:rsidRDefault="009479DC" w:rsidP="002F7DDA">
            <w:pPr>
              <w:pStyle w:val="TableTextDusc"/>
              <w:keepNext/>
              <w:keepLines/>
            </w:pPr>
            <w:r>
              <w:t>5</w:t>
            </w:r>
          </w:p>
        </w:tc>
        <w:tc>
          <w:tcPr>
            <w:tcW w:w="1134" w:type="dxa"/>
            <w:tcMar>
              <w:left w:w="28" w:type="dxa"/>
              <w:right w:w="28" w:type="dxa"/>
            </w:tcMar>
          </w:tcPr>
          <w:p w14:paraId="7B7FBC75" w14:textId="77777777" w:rsidR="009479DC" w:rsidRDefault="00272D19" w:rsidP="002F7DDA">
            <w:pPr>
              <w:pStyle w:val="TableTextDusc"/>
              <w:keepNext/>
              <w:keepLines/>
            </w:pPr>
            <w:r>
              <w:t>6</w:t>
            </w:r>
            <w:r w:rsidR="00F75B24">
              <w:t>7</w:t>
            </w:r>
            <w:r w:rsidR="009479DC">
              <w:t xml:space="preserve"> (4)</w:t>
            </w:r>
          </w:p>
        </w:tc>
      </w:tr>
    </w:tbl>
    <w:p w14:paraId="07FE84A3" w14:textId="77777777" w:rsidR="002337AB" w:rsidRDefault="001A3CAE" w:rsidP="002F7DDA">
      <w:pPr>
        <w:pStyle w:val="TableFooter"/>
        <w:keepNext/>
        <w:keepLines/>
      </w:pPr>
      <w:r>
        <w:t>C</w:t>
      </w:r>
      <w:r w:rsidRPr="006E53F8">
        <w:t xml:space="preserve">PP = chronic plaque psoriasis; </w:t>
      </w:r>
      <w:r>
        <w:t xml:space="preserve">PBAC = Pharmaceutical Benefits Advisory Committee; </w:t>
      </w:r>
      <w:r w:rsidRPr="006E53F8">
        <w:t>PB</w:t>
      </w:r>
      <w:r>
        <w:t xml:space="preserve">S </w:t>
      </w:r>
      <w:r w:rsidRPr="006E53F8">
        <w:t xml:space="preserve">= Pharmaceutical Benefits </w:t>
      </w:r>
      <w:r>
        <w:t>Scheme; PsA = psoriatic arthritis</w:t>
      </w:r>
    </w:p>
    <w:p w14:paraId="4A331F7B" w14:textId="77777777" w:rsidR="002337AB" w:rsidRPr="006E53F8" w:rsidRDefault="002337AB" w:rsidP="002F7DDA">
      <w:pPr>
        <w:pStyle w:val="TableFooter"/>
        <w:keepNext/>
        <w:keepLines/>
      </w:pPr>
      <w:r>
        <w:t>* The total is a sum of all the trials and is different to the sum of the rows and columns as a number of trials are counted twice</w:t>
      </w:r>
      <w:r w:rsidR="00F75B24">
        <w:t>:</w:t>
      </w:r>
    </w:p>
    <w:p w14:paraId="264B895A" w14:textId="77777777" w:rsidR="001A3CAE" w:rsidRDefault="001A3CAE" w:rsidP="002F7DDA">
      <w:pPr>
        <w:pStyle w:val="TableFooter"/>
        <w:keepNext/>
        <w:keepLines/>
      </w:pPr>
      <w:r w:rsidRPr="006E53F8">
        <w:rPr>
          <w:vertAlign w:val="superscript"/>
        </w:rPr>
        <w:t>a</w:t>
      </w:r>
      <w:r w:rsidRPr="006E53F8">
        <w:t xml:space="preserve"> One trial published prior to 2003 was included as it was used in a PBAC application </w:t>
      </w:r>
    </w:p>
    <w:p w14:paraId="3AE1091A" w14:textId="77777777" w:rsidR="001A3CAE" w:rsidRPr="001D03E2" w:rsidRDefault="001A3CAE" w:rsidP="002F7DDA">
      <w:pPr>
        <w:pStyle w:val="TableFooter"/>
        <w:keepNext/>
        <w:keepLines/>
      </w:pPr>
      <w:r>
        <w:rPr>
          <w:vertAlign w:val="superscript"/>
        </w:rPr>
        <w:t>b</w:t>
      </w:r>
      <w:r>
        <w:t xml:space="preserve"> Included 1 trial which was </w:t>
      </w:r>
      <w:r w:rsidR="002337AB">
        <w:t>in common with</w:t>
      </w:r>
      <w:r>
        <w:t xml:space="preserve"> etanercept</w:t>
      </w:r>
    </w:p>
    <w:p w14:paraId="66270841" w14:textId="77777777" w:rsidR="001A3CAE" w:rsidRDefault="001A3CAE" w:rsidP="002F7DDA">
      <w:pPr>
        <w:pStyle w:val="TableFooter"/>
        <w:keepNext/>
        <w:keepLines/>
      </w:pPr>
      <w:r>
        <w:rPr>
          <w:vertAlign w:val="superscript"/>
        </w:rPr>
        <w:t>c</w:t>
      </w:r>
      <w:r>
        <w:t xml:space="preserve"> Included 2 trials which </w:t>
      </w:r>
      <w:r w:rsidR="002337AB">
        <w:t xml:space="preserve">was in common with </w:t>
      </w:r>
      <w:r>
        <w:t xml:space="preserve">secukinumab </w:t>
      </w:r>
    </w:p>
    <w:p w14:paraId="02748F57" w14:textId="77777777" w:rsidR="001A3CAE" w:rsidRDefault="001A3CAE" w:rsidP="002F7DDA">
      <w:pPr>
        <w:pStyle w:val="TableFooter"/>
        <w:keepNext/>
        <w:keepLines/>
      </w:pPr>
      <w:r>
        <w:rPr>
          <w:vertAlign w:val="superscript"/>
        </w:rPr>
        <w:t>d</w:t>
      </w:r>
      <w:r>
        <w:t xml:space="preserve"> Included 1 trial which </w:t>
      </w:r>
      <w:r w:rsidR="002337AB">
        <w:t xml:space="preserve">was in common with </w:t>
      </w:r>
      <w:r>
        <w:t xml:space="preserve">secukinumab </w:t>
      </w:r>
      <w:r w:rsidR="00C51B56">
        <w:t xml:space="preserve">and 1 trial which was </w:t>
      </w:r>
      <w:r w:rsidR="002337AB">
        <w:t xml:space="preserve">in common with </w:t>
      </w:r>
      <w:r w:rsidR="00C51B56">
        <w:t xml:space="preserve">etanercept  </w:t>
      </w:r>
    </w:p>
    <w:p w14:paraId="4CABBB65" w14:textId="77777777" w:rsidR="00272D19" w:rsidRDefault="00272D19" w:rsidP="002F7DDA">
      <w:pPr>
        <w:pStyle w:val="TableFooter"/>
        <w:keepNext/>
        <w:keepLines/>
      </w:pPr>
      <w:r w:rsidRPr="00272D19">
        <w:rPr>
          <w:vertAlign w:val="superscript"/>
        </w:rPr>
        <w:t>e</w:t>
      </w:r>
      <w:r>
        <w:t xml:space="preserve"> Included 5 trials which </w:t>
      </w:r>
      <w:r w:rsidR="002337AB">
        <w:t>were in common with</w:t>
      </w:r>
      <w:r>
        <w:t xml:space="preserve"> other biologics </w:t>
      </w:r>
    </w:p>
    <w:p w14:paraId="7340F3C6" w14:textId="77777777" w:rsidR="00C51B56" w:rsidRDefault="00C51B56" w:rsidP="002F7DDA">
      <w:pPr>
        <w:pStyle w:val="TableFooter"/>
        <w:keepNext/>
        <w:keepLines/>
      </w:pPr>
      <w:r>
        <w:rPr>
          <w:vertAlign w:val="superscript"/>
        </w:rPr>
        <w:t>f</w:t>
      </w:r>
      <w:r>
        <w:t xml:space="preserve"> Included 1 trial which </w:t>
      </w:r>
      <w:r w:rsidR="002337AB">
        <w:t xml:space="preserve">was in common with </w:t>
      </w:r>
      <w:r>
        <w:t xml:space="preserve">etanercept </w:t>
      </w:r>
    </w:p>
    <w:p w14:paraId="1DD4DADC" w14:textId="77777777" w:rsidR="00C51B56" w:rsidRDefault="00C51B56" w:rsidP="002F7DDA">
      <w:pPr>
        <w:pStyle w:val="TableFooter"/>
        <w:keepNext/>
        <w:keepLines/>
      </w:pPr>
      <w:r>
        <w:rPr>
          <w:vertAlign w:val="superscript"/>
        </w:rPr>
        <w:t>g</w:t>
      </w:r>
      <w:r>
        <w:t xml:space="preserve"> Included 2 trials which </w:t>
      </w:r>
      <w:r w:rsidR="002337AB">
        <w:t xml:space="preserve">were in common with </w:t>
      </w:r>
      <w:r>
        <w:t xml:space="preserve">etanercept </w:t>
      </w:r>
    </w:p>
    <w:p w14:paraId="09DCDB01" w14:textId="42C1F966" w:rsidR="00C51B56" w:rsidRPr="006E53F8" w:rsidRDefault="00D7307D" w:rsidP="002F7DDA">
      <w:pPr>
        <w:pStyle w:val="TableFooter"/>
        <w:keepNext/>
        <w:keepLines/>
      </w:pPr>
      <w:r>
        <w:rPr>
          <w:vertAlign w:val="superscript"/>
        </w:rPr>
        <w:t>h</w:t>
      </w:r>
      <w:r w:rsidR="00C51B56">
        <w:t xml:space="preserve"> Included 1 trial which </w:t>
      </w:r>
      <w:r w:rsidR="002337AB">
        <w:t xml:space="preserve">was in common with </w:t>
      </w:r>
      <w:r w:rsidR="00C51B56">
        <w:t xml:space="preserve">etanercept and 1 trial which </w:t>
      </w:r>
      <w:r w:rsidR="002337AB">
        <w:t xml:space="preserve">was in common with </w:t>
      </w:r>
      <w:r w:rsidR="00C51B56">
        <w:t xml:space="preserve">ustekinumab </w:t>
      </w:r>
    </w:p>
    <w:p w14:paraId="78CA67DD" w14:textId="77777777" w:rsidR="00214BCF" w:rsidRPr="00214BCF" w:rsidRDefault="00214BCF" w:rsidP="00500FC1">
      <w:pPr>
        <w:keepNext/>
        <w:keepLines/>
        <w:rPr>
          <w:u w:val="single"/>
        </w:rPr>
      </w:pPr>
      <w:r w:rsidRPr="00214BCF">
        <w:rPr>
          <w:u w:val="single"/>
        </w:rPr>
        <w:t>Adalimumab</w:t>
      </w:r>
    </w:p>
    <w:p w14:paraId="07FF7376" w14:textId="77777777" w:rsidR="00214BCF" w:rsidRDefault="00214BCF" w:rsidP="005E46D4">
      <w:pPr>
        <w:keepNext/>
        <w:keepLines/>
      </w:pPr>
      <w:r>
        <w:t xml:space="preserve">Seven adalimumab trials, with 12 related publications, which assessed the efficacy, safety and/or quality of life of adalimumab in the treatment of moderate-to-severe CPP were identified in the systematic literature review. </w:t>
      </w:r>
    </w:p>
    <w:p w14:paraId="6DFD382D" w14:textId="04AC7F5D" w:rsidR="00214BCF" w:rsidRDefault="00594BE2" w:rsidP="00214BCF">
      <w:r>
        <w:t>Table ES.</w:t>
      </w:r>
      <w:r>
        <w:rPr>
          <w:noProof/>
        </w:rPr>
        <w:t>7</w:t>
      </w:r>
      <w:r w:rsidR="00214BCF">
        <w:t xml:space="preserve"> presents a summary of the trials included in the review of adalimumab </w:t>
      </w:r>
      <w:r w:rsidR="00E36E8D">
        <w:t>versus</w:t>
      </w:r>
      <w:r w:rsidR="00214BCF">
        <w:t xml:space="preserve"> </w:t>
      </w:r>
      <w:r w:rsidR="00EA6F53">
        <w:t>placebo</w:t>
      </w:r>
      <w:r w:rsidR="00E67E83">
        <w:t>. This includes</w:t>
      </w:r>
      <w:r w:rsidR="00214BCF">
        <w:t xml:space="preserve"> those previously considered by the PBAC and those that were newly identified in the systematic literature review. </w:t>
      </w:r>
    </w:p>
    <w:p w14:paraId="26610D09" w14:textId="77777777" w:rsidR="00214BCF" w:rsidRDefault="00214BCF" w:rsidP="008D4D9D">
      <w:pPr>
        <w:pStyle w:val="MDTabCaption"/>
        <w:keepLines/>
      </w:pPr>
      <w:bookmarkStart w:id="41" w:name="_Ref500933052"/>
      <w:bookmarkStart w:id="42" w:name="_Toc501121177"/>
      <w:bookmarkStart w:id="43" w:name="_Toc503274997"/>
      <w:r>
        <w:lastRenderedPageBreak/>
        <w:t xml:space="preserve">Table </w:t>
      </w:r>
      <w:r w:rsidR="00EA6F53">
        <w:t>ES.</w:t>
      </w:r>
      <w:r w:rsidR="00594BE2">
        <w:t>7</w:t>
      </w:r>
      <w:bookmarkEnd w:id="41"/>
      <w:r>
        <w:t xml:space="preserve">: Adalimumab trials: </w:t>
      </w:r>
      <w:r w:rsidR="00EA6F53">
        <w:t>comparison</w:t>
      </w:r>
      <w:r>
        <w:t xml:space="preserve"> of trial characteristics</w:t>
      </w:r>
      <w:bookmarkEnd w:id="42"/>
      <w:r w:rsidR="00C9273D">
        <w:t xml:space="preserve"> and PASI 75 response</w:t>
      </w:r>
      <w:bookmarkEnd w:id="43"/>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0"/>
        <w:gridCol w:w="848"/>
        <w:gridCol w:w="570"/>
        <w:gridCol w:w="709"/>
        <w:gridCol w:w="1134"/>
        <w:gridCol w:w="849"/>
        <w:gridCol w:w="994"/>
        <w:gridCol w:w="1275"/>
        <w:gridCol w:w="1507"/>
      </w:tblGrid>
      <w:tr w:rsidR="00EA6F53" w:rsidRPr="00383CDD" w14:paraId="1FC8F158" w14:textId="77777777" w:rsidTr="00EA6F53">
        <w:trPr>
          <w:cantSplit/>
          <w:tblHeader/>
        </w:trPr>
        <w:tc>
          <w:tcPr>
            <w:tcW w:w="627" w:type="pct"/>
            <w:shd w:val="clear" w:color="auto" w:fill="auto"/>
          </w:tcPr>
          <w:p w14:paraId="743DE151" w14:textId="77777777" w:rsidR="00EA6F53" w:rsidRPr="008521BC" w:rsidRDefault="00EA6F53" w:rsidP="00EA6F53">
            <w:pPr>
              <w:pStyle w:val="TableTextDusc"/>
              <w:keepNext/>
              <w:rPr>
                <w:b/>
              </w:rPr>
            </w:pPr>
            <w:r w:rsidRPr="008521BC">
              <w:rPr>
                <w:b/>
              </w:rPr>
              <w:t>Trial</w:t>
            </w:r>
          </w:p>
        </w:tc>
        <w:tc>
          <w:tcPr>
            <w:tcW w:w="470" w:type="pct"/>
            <w:shd w:val="clear" w:color="auto" w:fill="auto"/>
          </w:tcPr>
          <w:p w14:paraId="04F9D278" w14:textId="77777777" w:rsidR="00EA6F53" w:rsidRPr="008521BC" w:rsidRDefault="00EA6F53" w:rsidP="00EA6F53">
            <w:pPr>
              <w:pStyle w:val="TableTextDusc"/>
              <w:keepNext/>
              <w:rPr>
                <w:b/>
              </w:rPr>
            </w:pPr>
            <w:r w:rsidRPr="008521BC">
              <w:rPr>
                <w:b/>
              </w:rPr>
              <w:t>Seen by PBAC?</w:t>
            </w:r>
          </w:p>
        </w:tc>
        <w:tc>
          <w:tcPr>
            <w:tcW w:w="316" w:type="pct"/>
            <w:shd w:val="clear" w:color="auto" w:fill="auto"/>
          </w:tcPr>
          <w:p w14:paraId="7F0C0AC0" w14:textId="77777777" w:rsidR="00EA6F53" w:rsidRPr="008521BC" w:rsidRDefault="00EA6F53" w:rsidP="00EA6F53">
            <w:pPr>
              <w:pStyle w:val="TableTextDusc"/>
              <w:keepNext/>
              <w:rPr>
                <w:b/>
              </w:rPr>
            </w:pPr>
            <w:r w:rsidRPr="008521BC">
              <w:rPr>
                <w:b/>
              </w:rPr>
              <w:t>N</w:t>
            </w:r>
          </w:p>
        </w:tc>
        <w:tc>
          <w:tcPr>
            <w:tcW w:w="393" w:type="pct"/>
            <w:shd w:val="clear" w:color="auto" w:fill="auto"/>
          </w:tcPr>
          <w:p w14:paraId="0C055AB2" w14:textId="77777777" w:rsidR="00EA6F53" w:rsidRPr="008521BC" w:rsidRDefault="00EA6F53" w:rsidP="00EA6F53">
            <w:pPr>
              <w:pStyle w:val="TableTextDusc"/>
              <w:keepNext/>
              <w:rPr>
                <w:b/>
              </w:rPr>
            </w:pPr>
            <w:r w:rsidRPr="008521BC">
              <w:rPr>
                <w:b/>
              </w:rPr>
              <w:t>Design</w:t>
            </w:r>
          </w:p>
        </w:tc>
        <w:tc>
          <w:tcPr>
            <w:tcW w:w="629" w:type="pct"/>
            <w:shd w:val="clear" w:color="auto" w:fill="auto"/>
          </w:tcPr>
          <w:p w14:paraId="4475045A" w14:textId="77777777" w:rsidR="00EA6F53" w:rsidRPr="008521BC" w:rsidRDefault="00EA6F53" w:rsidP="00EA6F53">
            <w:pPr>
              <w:pStyle w:val="TableTextDusc"/>
              <w:keepNext/>
              <w:rPr>
                <w:b/>
              </w:rPr>
            </w:pPr>
            <w:r w:rsidRPr="008521BC">
              <w:rPr>
                <w:b/>
              </w:rPr>
              <w:t>Trial duration (total study)</w:t>
            </w:r>
          </w:p>
        </w:tc>
        <w:tc>
          <w:tcPr>
            <w:tcW w:w="471" w:type="pct"/>
            <w:shd w:val="clear" w:color="auto" w:fill="auto"/>
          </w:tcPr>
          <w:p w14:paraId="5834D88B" w14:textId="77777777" w:rsidR="00EA6F53" w:rsidRPr="008521BC" w:rsidRDefault="00EA6F53" w:rsidP="00EA6F53">
            <w:pPr>
              <w:pStyle w:val="TableTextDusc"/>
              <w:keepNext/>
              <w:rPr>
                <w:b/>
              </w:rPr>
            </w:pPr>
            <w:r w:rsidRPr="008521BC">
              <w:rPr>
                <w:b/>
              </w:rPr>
              <w:t>Risk of bias</w:t>
            </w:r>
          </w:p>
        </w:tc>
        <w:tc>
          <w:tcPr>
            <w:tcW w:w="551" w:type="pct"/>
            <w:shd w:val="clear" w:color="auto" w:fill="auto"/>
          </w:tcPr>
          <w:p w14:paraId="7E644341" w14:textId="77777777" w:rsidR="00EA6F53" w:rsidRPr="008521BC" w:rsidRDefault="00EA6F53" w:rsidP="00EA6F53">
            <w:pPr>
              <w:pStyle w:val="TableTextDusc"/>
              <w:keepNext/>
              <w:rPr>
                <w:b/>
              </w:rPr>
            </w:pPr>
            <w:r w:rsidRPr="008521BC">
              <w:rPr>
                <w:b/>
              </w:rPr>
              <w:t>Patient population</w:t>
            </w:r>
          </w:p>
        </w:tc>
        <w:tc>
          <w:tcPr>
            <w:tcW w:w="707" w:type="pct"/>
          </w:tcPr>
          <w:p w14:paraId="677510FE" w14:textId="77777777" w:rsidR="00EA6F53" w:rsidRPr="008521BC" w:rsidRDefault="00EA6F53" w:rsidP="00EA6F53">
            <w:pPr>
              <w:pStyle w:val="TableTextDusc"/>
              <w:keepNext/>
              <w:rPr>
                <w:b/>
              </w:rPr>
            </w:pPr>
            <w:r w:rsidRPr="0021269C">
              <w:rPr>
                <w:b/>
              </w:rPr>
              <w:t>PASI</w:t>
            </w:r>
            <w:r>
              <w:rPr>
                <w:b/>
              </w:rPr>
              <w:t xml:space="preserve"> </w:t>
            </w:r>
            <w:r w:rsidRPr="0021269C">
              <w:rPr>
                <w:b/>
              </w:rPr>
              <w:t>75; n</w:t>
            </w:r>
            <w:r>
              <w:rPr>
                <w:b/>
              </w:rPr>
              <w:t>/N</w:t>
            </w:r>
            <w:r w:rsidRPr="0021269C">
              <w:rPr>
                <w:b/>
              </w:rPr>
              <w:t xml:space="preserve"> (%)</w:t>
            </w:r>
            <w:r>
              <w:rPr>
                <w:b/>
              </w:rPr>
              <w:t xml:space="preserve"> Adalimumab</w:t>
            </w:r>
            <w:r w:rsidRPr="008521BC">
              <w:rPr>
                <w:b/>
                <w:vertAlign w:val="superscript"/>
              </w:rPr>
              <w:t>1</w:t>
            </w:r>
          </w:p>
        </w:tc>
        <w:tc>
          <w:tcPr>
            <w:tcW w:w="836" w:type="pct"/>
          </w:tcPr>
          <w:p w14:paraId="1119CE32" w14:textId="77777777" w:rsidR="00EA6F53" w:rsidRDefault="00EA6F53" w:rsidP="00EA6F53">
            <w:pPr>
              <w:pStyle w:val="TableTextDusc"/>
              <w:keepNext/>
              <w:rPr>
                <w:b/>
              </w:rPr>
            </w:pPr>
            <w:r w:rsidRPr="0021269C">
              <w:rPr>
                <w:b/>
              </w:rPr>
              <w:t>PASI</w:t>
            </w:r>
            <w:r>
              <w:rPr>
                <w:b/>
              </w:rPr>
              <w:t xml:space="preserve"> </w:t>
            </w:r>
            <w:r w:rsidRPr="0021269C">
              <w:rPr>
                <w:b/>
              </w:rPr>
              <w:t>75; n</w:t>
            </w:r>
            <w:r>
              <w:rPr>
                <w:b/>
              </w:rPr>
              <w:t>/N</w:t>
            </w:r>
            <w:r w:rsidRPr="0021269C">
              <w:rPr>
                <w:b/>
              </w:rPr>
              <w:t xml:space="preserve"> (%)</w:t>
            </w:r>
          </w:p>
          <w:p w14:paraId="2608198D" w14:textId="77777777" w:rsidR="00EA6F53" w:rsidRPr="008521BC" w:rsidRDefault="00EA6F53" w:rsidP="00EA6F53">
            <w:pPr>
              <w:pStyle w:val="TableTextDusc"/>
              <w:keepNext/>
              <w:rPr>
                <w:b/>
              </w:rPr>
            </w:pPr>
            <w:r>
              <w:rPr>
                <w:b/>
              </w:rPr>
              <w:t>Placebo</w:t>
            </w:r>
          </w:p>
        </w:tc>
      </w:tr>
      <w:tr w:rsidR="00EA6F53" w:rsidRPr="00383CDD" w14:paraId="6AB86243" w14:textId="77777777" w:rsidTr="00214BCF">
        <w:trPr>
          <w:cantSplit/>
        </w:trPr>
        <w:tc>
          <w:tcPr>
            <w:tcW w:w="5000" w:type="pct"/>
            <w:gridSpan w:val="9"/>
            <w:shd w:val="clear" w:color="auto" w:fill="auto"/>
          </w:tcPr>
          <w:p w14:paraId="7ADF7C81" w14:textId="77777777" w:rsidR="00EA6F53" w:rsidRPr="008521BC" w:rsidRDefault="00EA6F53" w:rsidP="00EA6F53">
            <w:pPr>
              <w:pStyle w:val="TableTextDusc"/>
              <w:keepNext/>
              <w:rPr>
                <w:b/>
              </w:rPr>
            </w:pPr>
            <w:r w:rsidRPr="008521BC">
              <w:rPr>
                <w:b/>
              </w:rPr>
              <w:t>Adalimumab versus placebo</w:t>
            </w:r>
          </w:p>
        </w:tc>
      </w:tr>
      <w:tr w:rsidR="00EA6F53" w:rsidRPr="00E2771E" w14:paraId="308A992B" w14:textId="77777777" w:rsidTr="00EA6F53">
        <w:trPr>
          <w:cantSplit/>
        </w:trPr>
        <w:tc>
          <w:tcPr>
            <w:tcW w:w="627" w:type="pct"/>
            <w:shd w:val="clear" w:color="auto" w:fill="F2F2F2" w:themeFill="background1" w:themeFillShade="F2"/>
          </w:tcPr>
          <w:p w14:paraId="3E9E98DB" w14:textId="77777777" w:rsidR="00EA6F53" w:rsidRPr="00E2771E" w:rsidRDefault="00EA6F53" w:rsidP="00EA6F53">
            <w:pPr>
              <w:pStyle w:val="TableTextDusc"/>
              <w:keepNext/>
            </w:pPr>
            <w:r>
              <w:t>REVEAL</w:t>
            </w:r>
          </w:p>
        </w:tc>
        <w:tc>
          <w:tcPr>
            <w:tcW w:w="470" w:type="pct"/>
            <w:shd w:val="clear" w:color="auto" w:fill="F2F2F2" w:themeFill="background1" w:themeFillShade="F2"/>
          </w:tcPr>
          <w:p w14:paraId="655ACE57" w14:textId="77777777" w:rsidR="00EA6F53" w:rsidRDefault="00EA6F53" w:rsidP="00EA6F53">
            <w:pPr>
              <w:pStyle w:val="TableTextDusc"/>
              <w:keepNext/>
            </w:pPr>
            <w:r>
              <w:t>Yes:</w:t>
            </w:r>
          </w:p>
          <w:p w14:paraId="67AAD611" w14:textId="77777777" w:rsidR="00EA6F53" w:rsidRPr="00E2771E" w:rsidRDefault="00EA6F53" w:rsidP="00EA6F53">
            <w:pPr>
              <w:pStyle w:val="TableTextDusc"/>
              <w:keepNext/>
            </w:pPr>
            <w:r>
              <w:t>Jul 2008</w:t>
            </w:r>
          </w:p>
        </w:tc>
        <w:tc>
          <w:tcPr>
            <w:tcW w:w="316" w:type="pct"/>
            <w:shd w:val="clear" w:color="auto" w:fill="F2F2F2" w:themeFill="background1" w:themeFillShade="F2"/>
          </w:tcPr>
          <w:p w14:paraId="1FE32AB0" w14:textId="77777777" w:rsidR="00EA6F53" w:rsidRPr="00E2771E" w:rsidRDefault="00EA6F53" w:rsidP="00EA6F53">
            <w:pPr>
              <w:pStyle w:val="TableTextDusc"/>
              <w:keepNext/>
            </w:pPr>
            <w:r>
              <w:t>1,212</w:t>
            </w:r>
          </w:p>
        </w:tc>
        <w:tc>
          <w:tcPr>
            <w:tcW w:w="393" w:type="pct"/>
            <w:shd w:val="clear" w:color="auto" w:fill="F2F2F2" w:themeFill="background1" w:themeFillShade="F2"/>
          </w:tcPr>
          <w:p w14:paraId="68E9539D" w14:textId="77777777" w:rsidR="00EA6F53" w:rsidRDefault="00EA6F53" w:rsidP="00EA6F53">
            <w:pPr>
              <w:pStyle w:val="TableTextDusc"/>
              <w:keepNext/>
            </w:pPr>
            <w:r>
              <w:t>R, DB, PC, MC</w:t>
            </w:r>
          </w:p>
          <w:p w14:paraId="5A399848" w14:textId="77777777" w:rsidR="00EA6F53" w:rsidRDefault="00EA6F53" w:rsidP="00EA6F53">
            <w:pPr>
              <w:pStyle w:val="TableTextDusc"/>
              <w:keepNext/>
            </w:pPr>
          </w:p>
        </w:tc>
        <w:tc>
          <w:tcPr>
            <w:tcW w:w="629" w:type="pct"/>
            <w:shd w:val="clear" w:color="auto" w:fill="F2F2F2" w:themeFill="background1" w:themeFillShade="F2"/>
          </w:tcPr>
          <w:p w14:paraId="6E93F1B9" w14:textId="77777777" w:rsidR="00EA6F53" w:rsidRDefault="00EA6F53" w:rsidP="00EA6F53">
            <w:pPr>
              <w:pStyle w:val="TableTextDusc"/>
              <w:keepNext/>
            </w:pPr>
            <w:r>
              <w:t>16 weeks</w:t>
            </w:r>
          </w:p>
          <w:p w14:paraId="3CAD31CE" w14:textId="77777777" w:rsidR="00EA6F53" w:rsidRPr="00E2771E" w:rsidRDefault="00EA6F53" w:rsidP="00EA6F53">
            <w:pPr>
              <w:pStyle w:val="TableTextDusc"/>
              <w:keepNext/>
            </w:pPr>
            <w:r>
              <w:t>(52 weeks)</w:t>
            </w:r>
          </w:p>
        </w:tc>
        <w:tc>
          <w:tcPr>
            <w:tcW w:w="471" w:type="pct"/>
            <w:shd w:val="clear" w:color="auto" w:fill="F2F2F2" w:themeFill="background1" w:themeFillShade="F2"/>
          </w:tcPr>
          <w:p w14:paraId="5B5C7F61" w14:textId="77777777" w:rsidR="00EA6F53" w:rsidRPr="00E2771E" w:rsidRDefault="00EA6F53" w:rsidP="00EA6F53">
            <w:pPr>
              <w:pStyle w:val="TableTextDusc"/>
              <w:keepNext/>
            </w:pPr>
            <w:r>
              <w:t>Unclear (High</w:t>
            </w:r>
            <w:r w:rsidRPr="00AF16B1">
              <w:rPr>
                <w:vertAlign w:val="superscript"/>
              </w:rPr>
              <w:t>a</w:t>
            </w:r>
            <w:r>
              <w:t>)</w:t>
            </w:r>
          </w:p>
        </w:tc>
        <w:tc>
          <w:tcPr>
            <w:tcW w:w="551" w:type="pct"/>
            <w:shd w:val="clear" w:color="auto" w:fill="F2F2F2" w:themeFill="background1" w:themeFillShade="F2"/>
          </w:tcPr>
          <w:p w14:paraId="068F9A63" w14:textId="77777777" w:rsidR="00EA6F53" w:rsidRDefault="00EA6F53" w:rsidP="00EA6F53">
            <w:pPr>
              <w:pStyle w:val="TableTextDusc"/>
              <w:keepNext/>
            </w:pPr>
            <w:r>
              <w:t>≥ 10% BSA</w:t>
            </w:r>
          </w:p>
          <w:p w14:paraId="4E227BE4" w14:textId="77777777" w:rsidR="00EA6F53" w:rsidRDefault="00EA6F53" w:rsidP="00EA6F53">
            <w:pPr>
              <w:pStyle w:val="TableTextDusc"/>
              <w:keepNext/>
            </w:pPr>
            <w:r>
              <w:t>≥ 12 PASI</w:t>
            </w:r>
          </w:p>
          <w:p w14:paraId="1BF7AEF3" w14:textId="77777777" w:rsidR="00EA6F53" w:rsidRPr="00E2771E" w:rsidRDefault="00EA6F53" w:rsidP="00EA6F53">
            <w:pPr>
              <w:pStyle w:val="TableTextDusc"/>
              <w:keepNext/>
            </w:pPr>
          </w:p>
        </w:tc>
        <w:tc>
          <w:tcPr>
            <w:tcW w:w="707" w:type="pct"/>
            <w:shd w:val="clear" w:color="auto" w:fill="F2F2F2" w:themeFill="background1" w:themeFillShade="F2"/>
          </w:tcPr>
          <w:p w14:paraId="07FF60F2" w14:textId="77777777" w:rsidR="00EA6F53" w:rsidRPr="00E2771E" w:rsidRDefault="00EA6F53" w:rsidP="00EA6F53">
            <w:pPr>
              <w:pStyle w:val="TableTextDusc"/>
              <w:keepNext/>
            </w:pPr>
            <w:r>
              <w:t>NR/814 (</w:t>
            </w:r>
            <w:r w:rsidRPr="00C67E4A">
              <w:t>71%</w:t>
            </w:r>
            <w:r>
              <w:t>)</w:t>
            </w:r>
          </w:p>
        </w:tc>
        <w:tc>
          <w:tcPr>
            <w:tcW w:w="836" w:type="pct"/>
            <w:shd w:val="clear" w:color="auto" w:fill="F2F2F2" w:themeFill="background1" w:themeFillShade="F2"/>
          </w:tcPr>
          <w:p w14:paraId="6B36CE05" w14:textId="77777777" w:rsidR="00EA6F53" w:rsidRDefault="00EA6F53" w:rsidP="00EA6F53">
            <w:pPr>
              <w:pStyle w:val="TableTextDusc"/>
              <w:keepNext/>
            </w:pPr>
            <w:r>
              <w:t>NR/398 (</w:t>
            </w:r>
            <w:r w:rsidRPr="00C67E4A">
              <w:t>7%</w:t>
            </w:r>
            <w:r>
              <w:t>)</w:t>
            </w:r>
          </w:p>
        </w:tc>
      </w:tr>
      <w:tr w:rsidR="00EA6F53" w:rsidRPr="00E2771E" w14:paraId="678DE7BF" w14:textId="77777777" w:rsidTr="00EA6F53">
        <w:trPr>
          <w:cantSplit/>
        </w:trPr>
        <w:tc>
          <w:tcPr>
            <w:tcW w:w="627" w:type="pct"/>
            <w:shd w:val="clear" w:color="auto" w:fill="F2F2F2" w:themeFill="background1" w:themeFillShade="F2"/>
          </w:tcPr>
          <w:p w14:paraId="5022CA21" w14:textId="77777777" w:rsidR="00EA6F53" w:rsidRDefault="00EA6F53" w:rsidP="00EA6F53">
            <w:pPr>
              <w:pStyle w:val="TableTextDusc"/>
              <w:keepNext/>
            </w:pPr>
            <w:r>
              <w:t>Gordon (2006)</w:t>
            </w:r>
          </w:p>
        </w:tc>
        <w:tc>
          <w:tcPr>
            <w:tcW w:w="470" w:type="pct"/>
            <w:shd w:val="clear" w:color="auto" w:fill="F2F2F2" w:themeFill="background1" w:themeFillShade="F2"/>
          </w:tcPr>
          <w:p w14:paraId="61B14714" w14:textId="77777777" w:rsidR="00EA6F53" w:rsidRDefault="00EA6F53" w:rsidP="00EA6F53">
            <w:pPr>
              <w:pStyle w:val="TableTextDusc"/>
              <w:keepNext/>
            </w:pPr>
            <w:r>
              <w:t>Yes:</w:t>
            </w:r>
          </w:p>
          <w:p w14:paraId="6900A41A" w14:textId="77777777" w:rsidR="00EA6F53" w:rsidRPr="00E2771E" w:rsidRDefault="00EA6F53" w:rsidP="00EA6F53">
            <w:pPr>
              <w:pStyle w:val="TableTextDusc"/>
              <w:keepNext/>
            </w:pPr>
            <w:r>
              <w:t>Jul 2008, QoL data</w:t>
            </w:r>
          </w:p>
        </w:tc>
        <w:tc>
          <w:tcPr>
            <w:tcW w:w="316" w:type="pct"/>
            <w:shd w:val="clear" w:color="auto" w:fill="F2F2F2" w:themeFill="background1" w:themeFillShade="F2"/>
          </w:tcPr>
          <w:p w14:paraId="58A4717B" w14:textId="77777777" w:rsidR="00EA6F53" w:rsidRPr="00E2771E" w:rsidRDefault="00EA6F53" w:rsidP="00EA6F53">
            <w:pPr>
              <w:pStyle w:val="TableTextDusc"/>
              <w:keepNext/>
            </w:pPr>
            <w:r>
              <w:t>147</w:t>
            </w:r>
          </w:p>
        </w:tc>
        <w:tc>
          <w:tcPr>
            <w:tcW w:w="393" w:type="pct"/>
            <w:shd w:val="clear" w:color="auto" w:fill="F2F2F2" w:themeFill="background1" w:themeFillShade="F2"/>
          </w:tcPr>
          <w:p w14:paraId="37A25513" w14:textId="77777777" w:rsidR="00EA6F53" w:rsidRDefault="00EA6F53" w:rsidP="00EA6F53">
            <w:pPr>
              <w:pStyle w:val="TableTextDusc"/>
              <w:keepNext/>
            </w:pPr>
            <w:r>
              <w:t>R, DB, PC, MC</w:t>
            </w:r>
          </w:p>
        </w:tc>
        <w:tc>
          <w:tcPr>
            <w:tcW w:w="629" w:type="pct"/>
            <w:shd w:val="clear" w:color="auto" w:fill="F2F2F2" w:themeFill="background1" w:themeFillShade="F2"/>
          </w:tcPr>
          <w:p w14:paraId="69A68820" w14:textId="77777777" w:rsidR="00EA6F53" w:rsidRDefault="00EA6F53" w:rsidP="00EA6F53">
            <w:pPr>
              <w:pStyle w:val="TableTextDusc"/>
              <w:keepNext/>
            </w:pPr>
            <w:r>
              <w:t>12 weeks</w:t>
            </w:r>
          </w:p>
          <w:p w14:paraId="34C125BE" w14:textId="77777777" w:rsidR="00EA6F53" w:rsidRPr="00E2771E" w:rsidRDefault="00EA6F53" w:rsidP="00EA6F53">
            <w:pPr>
              <w:pStyle w:val="TableTextDusc"/>
              <w:keepNext/>
            </w:pPr>
            <w:r>
              <w:t>(60 weeks)</w:t>
            </w:r>
          </w:p>
        </w:tc>
        <w:tc>
          <w:tcPr>
            <w:tcW w:w="471" w:type="pct"/>
            <w:shd w:val="clear" w:color="auto" w:fill="F2F2F2" w:themeFill="background1" w:themeFillShade="F2"/>
          </w:tcPr>
          <w:p w14:paraId="70D1B600" w14:textId="77777777" w:rsidR="00EA6F53" w:rsidRPr="00E2771E" w:rsidRDefault="00EA6F53" w:rsidP="00EA6F53">
            <w:pPr>
              <w:pStyle w:val="TableTextDusc"/>
              <w:keepNext/>
            </w:pPr>
            <w:r>
              <w:t>Unclear (High</w:t>
            </w:r>
            <w:r w:rsidRPr="00AF16B1">
              <w:rPr>
                <w:vertAlign w:val="superscript"/>
              </w:rPr>
              <w:t>a</w:t>
            </w:r>
            <w:r>
              <w:t>)</w:t>
            </w:r>
          </w:p>
        </w:tc>
        <w:tc>
          <w:tcPr>
            <w:tcW w:w="551" w:type="pct"/>
            <w:shd w:val="clear" w:color="auto" w:fill="F2F2F2" w:themeFill="background1" w:themeFillShade="F2"/>
          </w:tcPr>
          <w:p w14:paraId="383FFEE2" w14:textId="77777777" w:rsidR="00EA6F53" w:rsidRPr="00E2771E" w:rsidRDefault="00EA6F53" w:rsidP="00EA6F53">
            <w:pPr>
              <w:pStyle w:val="TableTextDusc"/>
              <w:keepNext/>
            </w:pPr>
            <w:r>
              <w:t>≥ 5% BSA</w:t>
            </w:r>
          </w:p>
        </w:tc>
        <w:tc>
          <w:tcPr>
            <w:tcW w:w="707" w:type="pct"/>
            <w:shd w:val="clear" w:color="auto" w:fill="F2F2F2" w:themeFill="background1" w:themeFillShade="F2"/>
          </w:tcPr>
          <w:p w14:paraId="0A21F8B3" w14:textId="77777777" w:rsidR="00EA6F53" w:rsidRPr="00E2771E" w:rsidRDefault="00EA6F53" w:rsidP="00EA6F53">
            <w:pPr>
              <w:pStyle w:val="TableTextDusc"/>
              <w:keepNext/>
            </w:pPr>
            <w:r>
              <w:t>NR/45 (</w:t>
            </w:r>
            <w:r w:rsidRPr="00C67E4A">
              <w:t>53%</w:t>
            </w:r>
            <w:r>
              <w:t>)</w:t>
            </w:r>
          </w:p>
        </w:tc>
        <w:tc>
          <w:tcPr>
            <w:tcW w:w="836" w:type="pct"/>
            <w:shd w:val="clear" w:color="auto" w:fill="F2F2F2" w:themeFill="background1" w:themeFillShade="F2"/>
          </w:tcPr>
          <w:p w14:paraId="544EA146" w14:textId="77777777" w:rsidR="00EA6F53" w:rsidRDefault="00EA6F53" w:rsidP="00EA6F53">
            <w:pPr>
              <w:pStyle w:val="TableTextDusc"/>
              <w:keepNext/>
            </w:pPr>
            <w:r>
              <w:t>NR/52 (</w:t>
            </w:r>
            <w:r w:rsidRPr="00C67E4A">
              <w:t>4%</w:t>
            </w:r>
            <w:r>
              <w:t>)</w:t>
            </w:r>
          </w:p>
        </w:tc>
      </w:tr>
      <w:tr w:rsidR="00EA6F53" w:rsidRPr="00E2771E" w14:paraId="3D789DBF" w14:textId="77777777" w:rsidTr="00EA6F53">
        <w:trPr>
          <w:cantSplit/>
        </w:trPr>
        <w:tc>
          <w:tcPr>
            <w:tcW w:w="627" w:type="pct"/>
            <w:shd w:val="clear" w:color="auto" w:fill="F2F2F2" w:themeFill="background1" w:themeFillShade="F2"/>
          </w:tcPr>
          <w:p w14:paraId="4A008B1D" w14:textId="77777777" w:rsidR="00EA6F53" w:rsidRPr="00E2771E" w:rsidRDefault="00EA6F53" w:rsidP="00EA6F53">
            <w:pPr>
              <w:pStyle w:val="TableTextDusc"/>
            </w:pPr>
            <w:r>
              <w:t>Asahina (2010)</w:t>
            </w:r>
          </w:p>
        </w:tc>
        <w:tc>
          <w:tcPr>
            <w:tcW w:w="470" w:type="pct"/>
            <w:shd w:val="clear" w:color="auto" w:fill="F2F2F2" w:themeFill="background1" w:themeFillShade="F2"/>
          </w:tcPr>
          <w:p w14:paraId="11E5B3A0" w14:textId="77777777" w:rsidR="00EA6F53" w:rsidRDefault="00EA6F53" w:rsidP="00EA6F53">
            <w:pPr>
              <w:pStyle w:val="TableTextDusc"/>
            </w:pPr>
            <w:r>
              <w:t>Yes:</w:t>
            </w:r>
          </w:p>
          <w:p w14:paraId="3428BDAB" w14:textId="77777777" w:rsidR="00EA6F53" w:rsidRPr="00E2771E" w:rsidRDefault="00EA6F53" w:rsidP="00EA6F53">
            <w:pPr>
              <w:pStyle w:val="TableTextDusc"/>
            </w:pPr>
            <w:r>
              <w:t>Mar 2013</w:t>
            </w:r>
          </w:p>
        </w:tc>
        <w:tc>
          <w:tcPr>
            <w:tcW w:w="316" w:type="pct"/>
            <w:shd w:val="clear" w:color="auto" w:fill="F2F2F2" w:themeFill="background1" w:themeFillShade="F2"/>
          </w:tcPr>
          <w:p w14:paraId="1A0119F9" w14:textId="77777777" w:rsidR="00EA6F53" w:rsidRPr="00E2771E" w:rsidRDefault="00EA6F53" w:rsidP="00EA6F53">
            <w:pPr>
              <w:pStyle w:val="TableTextDusc"/>
            </w:pPr>
            <w:r>
              <w:t>169</w:t>
            </w:r>
          </w:p>
        </w:tc>
        <w:tc>
          <w:tcPr>
            <w:tcW w:w="393" w:type="pct"/>
            <w:shd w:val="clear" w:color="auto" w:fill="F2F2F2" w:themeFill="background1" w:themeFillShade="F2"/>
          </w:tcPr>
          <w:p w14:paraId="374E188F" w14:textId="77777777" w:rsidR="00EA6F53" w:rsidRDefault="00EA6F53" w:rsidP="00EA6F53">
            <w:pPr>
              <w:pStyle w:val="TableTextDusc"/>
            </w:pPr>
            <w:r>
              <w:t>R, DB, PC, MC</w:t>
            </w:r>
          </w:p>
        </w:tc>
        <w:tc>
          <w:tcPr>
            <w:tcW w:w="629" w:type="pct"/>
            <w:shd w:val="clear" w:color="auto" w:fill="F2F2F2" w:themeFill="background1" w:themeFillShade="F2"/>
          </w:tcPr>
          <w:p w14:paraId="4A10FB24" w14:textId="77777777" w:rsidR="00EA6F53" w:rsidRDefault="00EA6F53" w:rsidP="00EA6F53">
            <w:pPr>
              <w:pStyle w:val="TableTextDusc"/>
            </w:pPr>
            <w:r>
              <w:t>16 weeks</w:t>
            </w:r>
          </w:p>
          <w:p w14:paraId="087F8214" w14:textId="77777777" w:rsidR="00EA6F53" w:rsidRPr="00E2771E" w:rsidRDefault="00EA6F53" w:rsidP="00EA6F53">
            <w:pPr>
              <w:pStyle w:val="TableTextDusc"/>
            </w:pPr>
            <w:r>
              <w:t>(24 weeks)</w:t>
            </w:r>
          </w:p>
        </w:tc>
        <w:tc>
          <w:tcPr>
            <w:tcW w:w="471" w:type="pct"/>
            <w:shd w:val="clear" w:color="auto" w:fill="F2F2F2" w:themeFill="background1" w:themeFillShade="F2"/>
          </w:tcPr>
          <w:p w14:paraId="1EADDF42" w14:textId="77777777" w:rsidR="00EA6F53" w:rsidRPr="00E2771E" w:rsidRDefault="00EA6F53" w:rsidP="00EA6F53">
            <w:pPr>
              <w:pStyle w:val="TableTextDusc"/>
            </w:pPr>
            <w:r>
              <w:t>Unclear (High</w:t>
            </w:r>
            <w:r w:rsidRPr="00AF16B1">
              <w:rPr>
                <w:vertAlign w:val="superscript"/>
              </w:rPr>
              <w:t>a</w:t>
            </w:r>
            <w:r>
              <w:t>)</w:t>
            </w:r>
          </w:p>
        </w:tc>
        <w:tc>
          <w:tcPr>
            <w:tcW w:w="551" w:type="pct"/>
            <w:shd w:val="clear" w:color="auto" w:fill="F2F2F2" w:themeFill="background1" w:themeFillShade="F2"/>
          </w:tcPr>
          <w:p w14:paraId="0F5A9DFA" w14:textId="77777777" w:rsidR="00EA6F53" w:rsidRDefault="00EA6F53" w:rsidP="00EA6F53">
            <w:pPr>
              <w:pStyle w:val="TableTextDusc"/>
            </w:pPr>
            <w:r>
              <w:t>≥ 10% BSA</w:t>
            </w:r>
          </w:p>
          <w:p w14:paraId="226B3FBC" w14:textId="77777777" w:rsidR="00EA6F53" w:rsidRPr="00E2771E" w:rsidRDefault="00EA6F53" w:rsidP="00EA6F53">
            <w:pPr>
              <w:pStyle w:val="TableTextDusc"/>
            </w:pPr>
            <w:r>
              <w:t>≥ 12 PASI</w:t>
            </w:r>
          </w:p>
        </w:tc>
        <w:tc>
          <w:tcPr>
            <w:tcW w:w="707" w:type="pct"/>
            <w:shd w:val="clear" w:color="auto" w:fill="F2F2F2" w:themeFill="background1" w:themeFillShade="F2"/>
          </w:tcPr>
          <w:p w14:paraId="0778E6D1" w14:textId="77777777" w:rsidR="00EA6F53" w:rsidRPr="00E2771E" w:rsidRDefault="00EA6F53" w:rsidP="00EA6F53">
            <w:pPr>
              <w:pStyle w:val="TableTextDusc"/>
            </w:pPr>
            <w:r w:rsidRPr="00C67E4A">
              <w:t>27</w:t>
            </w:r>
            <w:r>
              <w:t>/43</w:t>
            </w:r>
            <w:r w:rsidRPr="00C67E4A">
              <w:t xml:space="preserve"> (63%)</w:t>
            </w:r>
          </w:p>
        </w:tc>
        <w:tc>
          <w:tcPr>
            <w:tcW w:w="836" w:type="pct"/>
            <w:shd w:val="clear" w:color="auto" w:fill="F2F2F2" w:themeFill="background1" w:themeFillShade="F2"/>
          </w:tcPr>
          <w:p w14:paraId="443B9965" w14:textId="77777777" w:rsidR="00EA6F53" w:rsidRDefault="00EA6F53" w:rsidP="00EA6F53">
            <w:pPr>
              <w:pStyle w:val="TableTextDusc"/>
            </w:pPr>
            <w:r w:rsidRPr="00C67E4A">
              <w:t>2</w:t>
            </w:r>
            <w:r>
              <w:t>/46</w:t>
            </w:r>
            <w:r w:rsidRPr="00C67E4A">
              <w:t xml:space="preserve"> (4%)</w:t>
            </w:r>
          </w:p>
        </w:tc>
      </w:tr>
      <w:tr w:rsidR="00EA6F53" w:rsidRPr="00E2771E" w14:paraId="346F82F4" w14:textId="77777777" w:rsidTr="00EA6F53">
        <w:trPr>
          <w:cantSplit/>
        </w:trPr>
        <w:tc>
          <w:tcPr>
            <w:tcW w:w="627" w:type="pct"/>
            <w:shd w:val="clear" w:color="auto" w:fill="F2F2F2" w:themeFill="background1" w:themeFillShade="F2"/>
          </w:tcPr>
          <w:p w14:paraId="57486AFF" w14:textId="77777777" w:rsidR="00EA6F53" w:rsidRDefault="00EA6F53" w:rsidP="00EA6F53">
            <w:pPr>
              <w:pStyle w:val="TableTextDusc"/>
            </w:pPr>
            <w:r>
              <w:t>CHAMPION</w:t>
            </w:r>
          </w:p>
        </w:tc>
        <w:tc>
          <w:tcPr>
            <w:tcW w:w="470" w:type="pct"/>
            <w:shd w:val="clear" w:color="auto" w:fill="F2F2F2" w:themeFill="background1" w:themeFillShade="F2"/>
          </w:tcPr>
          <w:p w14:paraId="103DA4D6" w14:textId="77777777" w:rsidR="00EA6F53" w:rsidRDefault="00EA6F53" w:rsidP="00EA6F53">
            <w:pPr>
              <w:pStyle w:val="TableTextDusc"/>
            </w:pPr>
            <w:r>
              <w:t>Yes:</w:t>
            </w:r>
          </w:p>
          <w:p w14:paraId="27E9644F" w14:textId="77777777" w:rsidR="00EA6F53" w:rsidRPr="00E2771E" w:rsidRDefault="00EA6F53" w:rsidP="00EA6F53">
            <w:pPr>
              <w:pStyle w:val="TableTextDusc"/>
            </w:pPr>
            <w:r>
              <w:t>Mar 2013</w:t>
            </w:r>
          </w:p>
        </w:tc>
        <w:tc>
          <w:tcPr>
            <w:tcW w:w="316" w:type="pct"/>
            <w:shd w:val="clear" w:color="auto" w:fill="F2F2F2" w:themeFill="background1" w:themeFillShade="F2"/>
          </w:tcPr>
          <w:p w14:paraId="3FB9F7E0" w14:textId="77777777" w:rsidR="00EA6F53" w:rsidRPr="00E2771E" w:rsidRDefault="00EA6F53" w:rsidP="00EA6F53">
            <w:pPr>
              <w:pStyle w:val="TableTextDusc"/>
            </w:pPr>
            <w:r>
              <w:t>271</w:t>
            </w:r>
          </w:p>
        </w:tc>
        <w:tc>
          <w:tcPr>
            <w:tcW w:w="393" w:type="pct"/>
            <w:shd w:val="clear" w:color="auto" w:fill="F2F2F2" w:themeFill="background1" w:themeFillShade="F2"/>
          </w:tcPr>
          <w:p w14:paraId="5C6729A9" w14:textId="77777777" w:rsidR="00EA6F53" w:rsidRDefault="00EA6F53" w:rsidP="00EA6F53">
            <w:pPr>
              <w:pStyle w:val="TableTextDusc"/>
            </w:pPr>
            <w:r>
              <w:t>R, DB, PC, MC</w:t>
            </w:r>
          </w:p>
        </w:tc>
        <w:tc>
          <w:tcPr>
            <w:tcW w:w="629" w:type="pct"/>
            <w:shd w:val="clear" w:color="auto" w:fill="F2F2F2" w:themeFill="background1" w:themeFillShade="F2"/>
          </w:tcPr>
          <w:p w14:paraId="7CB617B3" w14:textId="77777777" w:rsidR="00EA6F53" w:rsidRPr="00E2771E" w:rsidRDefault="00EA6F53" w:rsidP="00EA6F53">
            <w:pPr>
              <w:pStyle w:val="TableTextDusc"/>
            </w:pPr>
            <w:r>
              <w:t>16 weeks</w:t>
            </w:r>
          </w:p>
        </w:tc>
        <w:tc>
          <w:tcPr>
            <w:tcW w:w="471" w:type="pct"/>
            <w:shd w:val="clear" w:color="auto" w:fill="F2F2F2" w:themeFill="background1" w:themeFillShade="F2"/>
          </w:tcPr>
          <w:p w14:paraId="70B83006" w14:textId="77777777" w:rsidR="00EA6F53" w:rsidRPr="00E2771E" w:rsidRDefault="00EA6F53" w:rsidP="00EA6F53">
            <w:pPr>
              <w:pStyle w:val="TableTextDusc"/>
            </w:pPr>
            <w:r>
              <w:t>Low (High</w:t>
            </w:r>
            <w:r w:rsidRPr="00AF16B1">
              <w:rPr>
                <w:vertAlign w:val="superscript"/>
              </w:rPr>
              <w:t>a</w:t>
            </w:r>
            <w:r>
              <w:t>)</w:t>
            </w:r>
          </w:p>
        </w:tc>
        <w:tc>
          <w:tcPr>
            <w:tcW w:w="551" w:type="pct"/>
            <w:shd w:val="clear" w:color="auto" w:fill="F2F2F2" w:themeFill="background1" w:themeFillShade="F2"/>
          </w:tcPr>
          <w:p w14:paraId="65175C13" w14:textId="77777777" w:rsidR="00EA6F53" w:rsidRDefault="00EA6F53" w:rsidP="00EA6F53">
            <w:pPr>
              <w:pStyle w:val="TableTextDusc"/>
            </w:pPr>
            <w:r>
              <w:t>≥ 10% BSA</w:t>
            </w:r>
          </w:p>
          <w:p w14:paraId="4C343585" w14:textId="77777777" w:rsidR="00EA6F53" w:rsidRPr="00E2771E" w:rsidRDefault="00EA6F53" w:rsidP="00EA6F53">
            <w:pPr>
              <w:pStyle w:val="TableTextDusc"/>
            </w:pPr>
            <w:r>
              <w:t>≥ 10 PASI</w:t>
            </w:r>
          </w:p>
        </w:tc>
        <w:tc>
          <w:tcPr>
            <w:tcW w:w="707" w:type="pct"/>
            <w:shd w:val="clear" w:color="auto" w:fill="F2F2F2" w:themeFill="background1" w:themeFillShade="F2"/>
          </w:tcPr>
          <w:p w14:paraId="09F60962" w14:textId="77777777" w:rsidR="00EA6F53" w:rsidRPr="00E2771E" w:rsidRDefault="00EA6F53" w:rsidP="00EA6F53">
            <w:pPr>
              <w:pStyle w:val="TableTextDusc"/>
            </w:pPr>
            <w:r>
              <w:t>NR/108 (</w:t>
            </w:r>
            <w:r w:rsidRPr="00C67E4A">
              <w:t>80%</w:t>
            </w:r>
            <w:r>
              <w:t>)</w:t>
            </w:r>
          </w:p>
        </w:tc>
        <w:tc>
          <w:tcPr>
            <w:tcW w:w="836" w:type="pct"/>
            <w:shd w:val="clear" w:color="auto" w:fill="F2F2F2" w:themeFill="background1" w:themeFillShade="F2"/>
          </w:tcPr>
          <w:p w14:paraId="3ED2B4D1" w14:textId="77777777" w:rsidR="00EA6F53" w:rsidRDefault="00EA6F53" w:rsidP="00EA6F53">
            <w:pPr>
              <w:pStyle w:val="TableTextDusc"/>
            </w:pPr>
            <w:r>
              <w:t>NR/53 (</w:t>
            </w:r>
            <w:r w:rsidRPr="00C67E4A">
              <w:t>19%</w:t>
            </w:r>
            <w:r>
              <w:t>)</w:t>
            </w:r>
          </w:p>
        </w:tc>
      </w:tr>
      <w:tr w:rsidR="00EA6F53" w:rsidRPr="00E2771E" w14:paraId="3CC8816A" w14:textId="77777777" w:rsidTr="00C9273D">
        <w:trPr>
          <w:cantSplit/>
        </w:trPr>
        <w:tc>
          <w:tcPr>
            <w:tcW w:w="627" w:type="pct"/>
            <w:shd w:val="clear" w:color="auto" w:fill="auto"/>
          </w:tcPr>
          <w:p w14:paraId="34FF99FE" w14:textId="77777777" w:rsidR="00EA6F53" w:rsidRDefault="00EA6F53" w:rsidP="00EA6F53">
            <w:pPr>
              <w:pStyle w:val="TableTextDusc"/>
            </w:pPr>
            <w:r>
              <w:t>Cai (2017)</w:t>
            </w:r>
          </w:p>
        </w:tc>
        <w:tc>
          <w:tcPr>
            <w:tcW w:w="470" w:type="pct"/>
            <w:shd w:val="clear" w:color="auto" w:fill="auto"/>
          </w:tcPr>
          <w:p w14:paraId="4CC36676" w14:textId="77777777" w:rsidR="00EA6F53" w:rsidRPr="00E2771E" w:rsidRDefault="00EA6F53" w:rsidP="00EA6F53">
            <w:pPr>
              <w:pStyle w:val="TableTextDusc"/>
            </w:pPr>
            <w:r>
              <w:t>No</w:t>
            </w:r>
          </w:p>
        </w:tc>
        <w:tc>
          <w:tcPr>
            <w:tcW w:w="316" w:type="pct"/>
            <w:shd w:val="clear" w:color="auto" w:fill="auto"/>
          </w:tcPr>
          <w:p w14:paraId="7F3E97C0" w14:textId="77777777" w:rsidR="00EA6F53" w:rsidRPr="00E2771E" w:rsidRDefault="00EA6F53" w:rsidP="00EA6F53">
            <w:pPr>
              <w:pStyle w:val="TableTextDusc"/>
            </w:pPr>
            <w:r>
              <w:t>425</w:t>
            </w:r>
          </w:p>
        </w:tc>
        <w:tc>
          <w:tcPr>
            <w:tcW w:w="393" w:type="pct"/>
            <w:shd w:val="clear" w:color="auto" w:fill="auto"/>
          </w:tcPr>
          <w:p w14:paraId="1F50AD9E" w14:textId="77777777" w:rsidR="00EA6F53" w:rsidRDefault="00EA6F53" w:rsidP="00EA6F53">
            <w:pPr>
              <w:pStyle w:val="TableTextDusc"/>
            </w:pPr>
            <w:r>
              <w:t>R, DB, PC, MC</w:t>
            </w:r>
          </w:p>
          <w:p w14:paraId="75214C74" w14:textId="77777777" w:rsidR="00EA6F53" w:rsidRDefault="00EA6F53" w:rsidP="00EA6F53">
            <w:pPr>
              <w:pStyle w:val="TableTextDusc"/>
            </w:pPr>
          </w:p>
        </w:tc>
        <w:tc>
          <w:tcPr>
            <w:tcW w:w="629" w:type="pct"/>
            <w:shd w:val="clear" w:color="auto" w:fill="auto"/>
          </w:tcPr>
          <w:p w14:paraId="197EF7FA" w14:textId="77777777" w:rsidR="00EA6F53" w:rsidRDefault="00EA6F53" w:rsidP="00EA6F53">
            <w:pPr>
              <w:pStyle w:val="TableTextDusc"/>
            </w:pPr>
            <w:r>
              <w:t>12 weeks</w:t>
            </w:r>
          </w:p>
          <w:p w14:paraId="36FBF2C9" w14:textId="77777777" w:rsidR="00EA6F53" w:rsidRPr="00E2771E" w:rsidRDefault="00EA6F53" w:rsidP="00EA6F53">
            <w:pPr>
              <w:pStyle w:val="TableTextDusc"/>
            </w:pPr>
            <w:r>
              <w:t>(24 weeks)</w:t>
            </w:r>
          </w:p>
        </w:tc>
        <w:tc>
          <w:tcPr>
            <w:tcW w:w="471" w:type="pct"/>
            <w:shd w:val="clear" w:color="auto" w:fill="auto"/>
          </w:tcPr>
          <w:p w14:paraId="7A9DCF00" w14:textId="77777777" w:rsidR="00EA6F53" w:rsidRPr="00E2771E" w:rsidRDefault="00EA6F53" w:rsidP="00EA6F53">
            <w:pPr>
              <w:pStyle w:val="TableTextDusc"/>
            </w:pPr>
            <w:r>
              <w:t>Unclear (High</w:t>
            </w:r>
            <w:r w:rsidRPr="00AF16B1">
              <w:rPr>
                <w:vertAlign w:val="superscript"/>
              </w:rPr>
              <w:t>a</w:t>
            </w:r>
            <w:r>
              <w:t>)</w:t>
            </w:r>
          </w:p>
        </w:tc>
        <w:tc>
          <w:tcPr>
            <w:tcW w:w="551" w:type="pct"/>
            <w:shd w:val="clear" w:color="auto" w:fill="auto"/>
          </w:tcPr>
          <w:p w14:paraId="131B25DE" w14:textId="77777777" w:rsidR="00EA6F53" w:rsidRPr="00E2771E" w:rsidRDefault="00EA6F53" w:rsidP="00EA6F53">
            <w:pPr>
              <w:pStyle w:val="TableTextDusc"/>
            </w:pPr>
            <w:r>
              <w:t>Moderate to severe CPP</w:t>
            </w:r>
          </w:p>
        </w:tc>
        <w:tc>
          <w:tcPr>
            <w:tcW w:w="707" w:type="pct"/>
          </w:tcPr>
          <w:p w14:paraId="13887AA9" w14:textId="77777777" w:rsidR="00EA6F53" w:rsidRPr="00E2771E" w:rsidRDefault="00EA6F53" w:rsidP="00EA6F53">
            <w:pPr>
              <w:pStyle w:val="TableTextDusc"/>
            </w:pPr>
            <w:r>
              <w:t>NR/338 (</w:t>
            </w:r>
            <w:r w:rsidRPr="00C67E4A">
              <w:t>78%</w:t>
            </w:r>
            <w:r>
              <w:t>)</w:t>
            </w:r>
          </w:p>
        </w:tc>
        <w:tc>
          <w:tcPr>
            <w:tcW w:w="836" w:type="pct"/>
          </w:tcPr>
          <w:p w14:paraId="75D66408" w14:textId="77777777" w:rsidR="00EA6F53" w:rsidRPr="00E2771E" w:rsidRDefault="00EA6F53" w:rsidP="00EA6F53">
            <w:pPr>
              <w:pStyle w:val="TableTextDusc"/>
            </w:pPr>
            <w:r>
              <w:t>NR/87 (</w:t>
            </w:r>
            <w:r w:rsidRPr="00C67E4A">
              <w:t>12%</w:t>
            </w:r>
            <w:r>
              <w:t>)</w:t>
            </w:r>
          </w:p>
        </w:tc>
      </w:tr>
      <w:tr w:rsidR="00EA6F53" w:rsidRPr="00E2771E" w14:paraId="7E102417" w14:textId="77777777" w:rsidTr="00C9273D">
        <w:trPr>
          <w:cantSplit/>
        </w:trPr>
        <w:tc>
          <w:tcPr>
            <w:tcW w:w="627" w:type="pct"/>
            <w:shd w:val="clear" w:color="auto" w:fill="auto"/>
          </w:tcPr>
          <w:p w14:paraId="731998BF" w14:textId="77777777" w:rsidR="00EA6F53" w:rsidRPr="00E2771E" w:rsidRDefault="00EA6F53" w:rsidP="00EA6F53">
            <w:pPr>
              <w:pStyle w:val="TableTextDusc"/>
            </w:pPr>
            <w:r>
              <w:t>Gordon (2015)</w:t>
            </w:r>
          </w:p>
        </w:tc>
        <w:tc>
          <w:tcPr>
            <w:tcW w:w="470" w:type="pct"/>
            <w:shd w:val="clear" w:color="auto" w:fill="auto"/>
          </w:tcPr>
          <w:p w14:paraId="3805BE0A" w14:textId="77777777" w:rsidR="00EA6F53" w:rsidRPr="00E2771E" w:rsidRDefault="00EA6F53" w:rsidP="00EA6F53">
            <w:pPr>
              <w:pStyle w:val="TableTextDusc"/>
            </w:pPr>
            <w:r>
              <w:t>No</w:t>
            </w:r>
          </w:p>
        </w:tc>
        <w:tc>
          <w:tcPr>
            <w:tcW w:w="316" w:type="pct"/>
            <w:shd w:val="clear" w:color="auto" w:fill="auto"/>
          </w:tcPr>
          <w:p w14:paraId="4F5859C7" w14:textId="77777777" w:rsidR="00EA6F53" w:rsidRPr="00E2771E" w:rsidRDefault="00EA6F53" w:rsidP="00EA6F53">
            <w:pPr>
              <w:pStyle w:val="TableTextDusc"/>
            </w:pPr>
            <w:r>
              <w:t>293</w:t>
            </w:r>
          </w:p>
        </w:tc>
        <w:tc>
          <w:tcPr>
            <w:tcW w:w="393" w:type="pct"/>
            <w:shd w:val="clear" w:color="auto" w:fill="auto"/>
          </w:tcPr>
          <w:p w14:paraId="0B790076" w14:textId="77777777" w:rsidR="00EA6F53" w:rsidRDefault="00EA6F53" w:rsidP="00EA6F53">
            <w:pPr>
              <w:pStyle w:val="TableTextDusc"/>
            </w:pPr>
            <w:r>
              <w:t>R, PC, MC</w:t>
            </w:r>
          </w:p>
          <w:p w14:paraId="3C136830" w14:textId="77777777" w:rsidR="00EA6F53" w:rsidRDefault="00EA6F53" w:rsidP="00EA6F53">
            <w:pPr>
              <w:pStyle w:val="TableTextDusc"/>
            </w:pPr>
          </w:p>
        </w:tc>
        <w:tc>
          <w:tcPr>
            <w:tcW w:w="629" w:type="pct"/>
            <w:shd w:val="clear" w:color="auto" w:fill="auto"/>
          </w:tcPr>
          <w:p w14:paraId="4F90D18D" w14:textId="77777777" w:rsidR="00EA6F53" w:rsidRDefault="00EA6F53" w:rsidP="00EA6F53">
            <w:pPr>
              <w:pStyle w:val="TableTextDusc"/>
            </w:pPr>
            <w:r>
              <w:t>16 weeks</w:t>
            </w:r>
          </w:p>
          <w:p w14:paraId="01C3FF72" w14:textId="77777777" w:rsidR="00EA6F53" w:rsidRPr="00E2771E" w:rsidRDefault="00EA6F53" w:rsidP="00EA6F53">
            <w:pPr>
              <w:pStyle w:val="TableTextDusc"/>
            </w:pPr>
            <w:r>
              <w:t>(40 weeks)</w:t>
            </w:r>
          </w:p>
        </w:tc>
        <w:tc>
          <w:tcPr>
            <w:tcW w:w="471" w:type="pct"/>
            <w:shd w:val="clear" w:color="auto" w:fill="auto"/>
          </w:tcPr>
          <w:p w14:paraId="572B5722" w14:textId="77777777" w:rsidR="00EA6F53" w:rsidRDefault="00EA6F53" w:rsidP="00EA6F53">
            <w:pPr>
              <w:pStyle w:val="TableTextDusc"/>
            </w:pPr>
            <w:r>
              <w:t>High</w:t>
            </w:r>
          </w:p>
          <w:p w14:paraId="34BA9F54" w14:textId="77777777" w:rsidR="00EA6F53" w:rsidRPr="00E2771E" w:rsidRDefault="00EA6F53" w:rsidP="00EA6F53">
            <w:pPr>
              <w:pStyle w:val="TableTextDusc"/>
            </w:pPr>
            <w:r>
              <w:t>(High</w:t>
            </w:r>
            <w:r w:rsidRPr="00AF16B1">
              <w:rPr>
                <w:vertAlign w:val="superscript"/>
              </w:rPr>
              <w:t>a</w:t>
            </w:r>
            <w:r>
              <w:t>)</w:t>
            </w:r>
          </w:p>
        </w:tc>
        <w:tc>
          <w:tcPr>
            <w:tcW w:w="551" w:type="pct"/>
            <w:shd w:val="clear" w:color="auto" w:fill="auto"/>
          </w:tcPr>
          <w:p w14:paraId="767F1A2D" w14:textId="77777777" w:rsidR="00EA6F53" w:rsidRDefault="00EA6F53" w:rsidP="00EA6F53">
            <w:pPr>
              <w:pStyle w:val="TableTextDusc"/>
            </w:pPr>
            <w:r>
              <w:t>≥ 10% BSA</w:t>
            </w:r>
          </w:p>
          <w:p w14:paraId="051C2730" w14:textId="77777777" w:rsidR="00EA6F53" w:rsidRDefault="00EA6F53" w:rsidP="00EA6F53">
            <w:pPr>
              <w:pStyle w:val="TableTextDusc"/>
            </w:pPr>
            <w:r>
              <w:t>≥ 12 PASI</w:t>
            </w:r>
          </w:p>
          <w:p w14:paraId="24181336" w14:textId="77777777" w:rsidR="00EA6F53" w:rsidRPr="00E2771E" w:rsidRDefault="00EA6F53" w:rsidP="00EA6F53">
            <w:pPr>
              <w:pStyle w:val="TableTextDusc"/>
            </w:pPr>
            <w:r>
              <w:t>≥ 3 PGA</w:t>
            </w:r>
          </w:p>
        </w:tc>
        <w:tc>
          <w:tcPr>
            <w:tcW w:w="707" w:type="pct"/>
          </w:tcPr>
          <w:p w14:paraId="4AA5CFFD" w14:textId="77777777" w:rsidR="00EA6F53" w:rsidRPr="00E2771E" w:rsidRDefault="00EA6F53" w:rsidP="00EA6F53">
            <w:pPr>
              <w:pStyle w:val="TableTextDusc"/>
            </w:pPr>
            <w:r w:rsidRPr="00C67E4A">
              <w:t>30</w:t>
            </w:r>
            <w:r>
              <w:t>/48</w:t>
            </w:r>
            <w:r w:rsidRPr="00C67E4A">
              <w:t xml:space="preserve"> (70%)</w:t>
            </w:r>
          </w:p>
        </w:tc>
        <w:tc>
          <w:tcPr>
            <w:tcW w:w="836" w:type="pct"/>
          </w:tcPr>
          <w:p w14:paraId="562900CA" w14:textId="77777777" w:rsidR="00EA6F53" w:rsidRPr="00E2771E" w:rsidRDefault="00EA6F53" w:rsidP="00EA6F53">
            <w:pPr>
              <w:pStyle w:val="TableTextDusc"/>
            </w:pPr>
            <w:r w:rsidRPr="00C67E4A">
              <w:t>2</w:t>
            </w:r>
            <w:r>
              <w:t>/42</w:t>
            </w:r>
            <w:r w:rsidRPr="00C67E4A">
              <w:t xml:space="preserve"> (5%)</w:t>
            </w:r>
          </w:p>
        </w:tc>
      </w:tr>
    </w:tbl>
    <w:p w14:paraId="4C4576F9" w14:textId="77777777" w:rsidR="00214BCF" w:rsidRDefault="00214BCF" w:rsidP="00214BCF">
      <w:pPr>
        <w:pStyle w:val="TableFooter"/>
      </w:pPr>
      <w:r w:rsidRPr="008521BC">
        <w:t xml:space="preserve">BSA = body surface area; CPP = chronic plaque psoriasis; DB = double blind; MC = multi-centre; PASI = </w:t>
      </w:r>
      <w:r w:rsidRPr="00383CDD">
        <w:t>Psoriasis Area and Severity Index;</w:t>
      </w:r>
      <w:r w:rsidRPr="008521BC">
        <w:t xml:space="preserve"> </w:t>
      </w:r>
      <w:r w:rsidRPr="00383CDD">
        <w:t xml:space="preserve">PASI 75 = reduction in PASI </w:t>
      </w:r>
      <w:r w:rsidRPr="00B52E48">
        <w:t>score</w:t>
      </w:r>
      <w:r w:rsidRPr="00383CDD">
        <w:t xml:space="preserve"> of 75%; </w:t>
      </w:r>
      <w:r w:rsidRPr="008521BC">
        <w:t xml:space="preserve">PBAC = Pharmaceutical Benefits Advisory Committee; PC = placebo-controlled; </w:t>
      </w:r>
      <w:r>
        <w:t xml:space="preserve">PGA = Physicians Global Assessment; QoL = quality of life; </w:t>
      </w:r>
      <w:r w:rsidRPr="008521BC">
        <w:t xml:space="preserve">R = randomised; </w:t>
      </w:r>
      <w:r w:rsidRPr="00513BB3">
        <w:rPr>
          <w:highlight w:val="lightGray"/>
        </w:rPr>
        <w:t>Shaded</w:t>
      </w:r>
      <w:r>
        <w:t xml:space="preserve"> = previously considered by the PBAC</w:t>
      </w:r>
    </w:p>
    <w:p w14:paraId="1FF20899" w14:textId="77777777" w:rsidR="00214BCF" w:rsidRDefault="00214BCF" w:rsidP="00214BCF">
      <w:pPr>
        <w:pStyle w:val="TableFooter"/>
      </w:pPr>
      <w:r w:rsidRPr="008521BC">
        <w:rPr>
          <w:vertAlign w:val="superscript"/>
        </w:rPr>
        <w:t>a</w:t>
      </w:r>
      <w:r>
        <w:t xml:space="preserve"> Trial was funded by a pharmaceutical company, therefore risk of bias could be considered high</w:t>
      </w:r>
    </w:p>
    <w:p w14:paraId="23409CC4" w14:textId="77777777" w:rsidR="00EA6F53" w:rsidRDefault="00EA6F53" w:rsidP="00214BCF">
      <w:pPr>
        <w:pStyle w:val="TableFooter"/>
      </w:pPr>
      <w:r w:rsidRPr="00B90A0A">
        <w:rPr>
          <w:vertAlign w:val="superscript"/>
        </w:rPr>
        <w:t>1</w:t>
      </w:r>
      <w:r>
        <w:t xml:space="preserve"> Adalimumab 80 mg SC Week 0; 40 mg every other week from Week 1 or 2 (PI recommended dose)</w:t>
      </w:r>
    </w:p>
    <w:p w14:paraId="00CAD41D" w14:textId="77777777" w:rsidR="00214BCF" w:rsidRPr="00EA6F53" w:rsidRDefault="00EA6F53" w:rsidP="00EA6F53">
      <w:pPr>
        <w:spacing w:after="120"/>
        <w:rPr>
          <w:u w:val="single"/>
        </w:rPr>
      </w:pPr>
      <w:r w:rsidRPr="00EA6F53">
        <w:rPr>
          <w:u w:val="single"/>
        </w:rPr>
        <w:t>Etanercept</w:t>
      </w:r>
    </w:p>
    <w:p w14:paraId="003805E6" w14:textId="689EBEFE" w:rsidR="00EA6F53" w:rsidRDefault="00EA6F53" w:rsidP="00EA6F53">
      <w:r>
        <w:t xml:space="preserve">For the treatment of CPP, 11 etanercept trials and 19 related publications for etanercept were identified. </w:t>
      </w:r>
      <w:r w:rsidR="00C9273D">
        <w:t>A</w:t>
      </w:r>
      <w:r>
        <w:t xml:space="preserve"> brief description of the </w:t>
      </w:r>
      <w:r w:rsidR="00C9273D">
        <w:t>placebo</w:t>
      </w:r>
      <w:r w:rsidR="00E36E8D">
        <w:t>-</w:t>
      </w:r>
      <w:r w:rsidR="00C9273D">
        <w:t xml:space="preserve">controlled trial </w:t>
      </w:r>
      <w:r>
        <w:t>publication</w:t>
      </w:r>
      <w:r w:rsidR="00C9273D">
        <w:t>s</w:t>
      </w:r>
      <w:r>
        <w:t xml:space="preserve">, the outcomes, and whether the trial has been previously considered by the PBAC are presented in </w:t>
      </w:r>
      <w:r w:rsidR="00594BE2">
        <w:t>Table ES.</w:t>
      </w:r>
      <w:r w:rsidR="00594BE2">
        <w:rPr>
          <w:noProof/>
        </w:rPr>
        <w:t>8</w:t>
      </w:r>
      <w:r>
        <w:t>.</w:t>
      </w:r>
    </w:p>
    <w:p w14:paraId="0047063A" w14:textId="2D11F68F" w:rsidR="00EA6F53" w:rsidRDefault="00EA6F53" w:rsidP="002F7DDA">
      <w:pPr>
        <w:pStyle w:val="MDTabCaption"/>
        <w:keepLines/>
      </w:pPr>
      <w:bookmarkStart w:id="44" w:name="_Ref501100529"/>
      <w:bookmarkStart w:id="45" w:name="_Toc501121183"/>
      <w:bookmarkStart w:id="46" w:name="_Toc503274998"/>
      <w:r>
        <w:lastRenderedPageBreak/>
        <w:t>Table ES.</w:t>
      </w:r>
      <w:r w:rsidR="00594BE2">
        <w:t>8</w:t>
      </w:r>
      <w:bookmarkEnd w:id="44"/>
      <w:r>
        <w:t>: Etanercept trials: comparison of trial characteristics</w:t>
      </w:r>
      <w:bookmarkEnd w:id="45"/>
      <w:r>
        <w:t xml:space="preserve"> and PASI</w:t>
      </w:r>
      <w:r w:rsidR="00C9273D">
        <w:t>75</w:t>
      </w:r>
      <w:r>
        <w:t xml:space="preserve"> response of the placebo</w:t>
      </w:r>
      <w:r w:rsidR="00E36E8D">
        <w:t>-</w:t>
      </w:r>
      <w:r>
        <w:t>controlled trials.</w:t>
      </w:r>
      <w:bookmarkEnd w:id="46"/>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0"/>
        <w:gridCol w:w="847"/>
        <w:gridCol w:w="570"/>
        <w:gridCol w:w="709"/>
        <w:gridCol w:w="1275"/>
        <w:gridCol w:w="709"/>
        <w:gridCol w:w="994"/>
        <w:gridCol w:w="1275"/>
        <w:gridCol w:w="1507"/>
      </w:tblGrid>
      <w:tr w:rsidR="00EA6F53" w:rsidRPr="00383CDD" w14:paraId="4DCA44E6" w14:textId="77777777" w:rsidTr="00EA6F53">
        <w:trPr>
          <w:cantSplit/>
          <w:tblHeader/>
        </w:trPr>
        <w:tc>
          <w:tcPr>
            <w:tcW w:w="627" w:type="pct"/>
            <w:shd w:val="clear" w:color="auto" w:fill="auto"/>
          </w:tcPr>
          <w:p w14:paraId="3FC68A7D" w14:textId="77777777" w:rsidR="00EA6F53" w:rsidRPr="008521BC" w:rsidRDefault="00EA6F53" w:rsidP="002F7DDA">
            <w:pPr>
              <w:pStyle w:val="TableTextDusc"/>
              <w:keepNext/>
              <w:keepLines/>
              <w:rPr>
                <w:b/>
              </w:rPr>
            </w:pPr>
            <w:r w:rsidRPr="008521BC">
              <w:rPr>
                <w:b/>
              </w:rPr>
              <w:t>Trial</w:t>
            </w:r>
          </w:p>
        </w:tc>
        <w:tc>
          <w:tcPr>
            <w:tcW w:w="470" w:type="pct"/>
            <w:shd w:val="clear" w:color="auto" w:fill="auto"/>
          </w:tcPr>
          <w:p w14:paraId="3EBBC050" w14:textId="77777777" w:rsidR="00EA6F53" w:rsidRPr="008521BC" w:rsidRDefault="00EA6F53" w:rsidP="002F7DDA">
            <w:pPr>
              <w:pStyle w:val="TableTextDusc"/>
              <w:keepNext/>
              <w:keepLines/>
              <w:rPr>
                <w:b/>
              </w:rPr>
            </w:pPr>
            <w:r w:rsidRPr="008521BC">
              <w:rPr>
                <w:b/>
              </w:rPr>
              <w:t>Seen by PBAC?</w:t>
            </w:r>
          </w:p>
        </w:tc>
        <w:tc>
          <w:tcPr>
            <w:tcW w:w="316" w:type="pct"/>
            <w:shd w:val="clear" w:color="auto" w:fill="auto"/>
          </w:tcPr>
          <w:p w14:paraId="43CDA30A" w14:textId="77777777" w:rsidR="00EA6F53" w:rsidRPr="008521BC" w:rsidRDefault="00EA6F53" w:rsidP="002F7DDA">
            <w:pPr>
              <w:pStyle w:val="TableTextDusc"/>
              <w:keepNext/>
              <w:keepLines/>
              <w:rPr>
                <w:b/>
              </w:rPr>
            </w:pPr>
            <w:r w:rsidRPr="008521BC">
              <w:rPr>
                <w:b/>
              </w:rPr>
              <w:t>N</w:t>
            </w:r>
          </w:p>
        </w:tc>
        <w:tc>
          <w:tcPr>
            <w:tcW w:w="393" w:type="pct"/>
            <w:shd w:val="clear" w:color="auto" w:fill="auto"/>
          </w:tcPr>
          <w:p w14:paraId="42F498A4" w14:textId="77777777" w:rsidR="00EA6F53" w:rsidRPr="008521BC" w:rsidRDefault="00EA6F53" w:rsidP="002F7DDA">
            <w:pPr>
              <w:pStyle w:val="TableTextDusc"/>
              <w:keepNext/>
              <w:keepLines/>
              <w:rPr>
                <w:b/>
              </w:rPr>
            </w:pPr>
            <w:r w:rsidRPr="008521BC">
              <w:rPr>
                <w:b/>
              </w:rPr>
              <w:t>Design</w:t>
            </w:r>
          </w:p>
        </w:tc>
        <w:tc>
          <w:tcPr>
            <w:tcW w:w="707" w:type="pct"/>
            <w:shd w:val="clear" w:color="auto" w:fill="auto"/>
          </w:tcPr>
          <w:p w14:paraId="3C909588" w14:textId="77777777" w:rsidR="00EA6F53" w:rsidRPr="008521BC" w:rsidRDefault="00EA6F53" w:rsidP="002F7DDA">
            <w:pPr>
              <w:pStyle w:val="TableTextDusc"/>
              <w:keepNext/>
              <w:keepLines/>
              <w:rPr>
                <w:b/>
              </w:rPr>
            </w:pPr>
            <w:r w:rsidRPr="008521BC">
              <w:rPr>
                <w:b/>
              </w:rPr>
              <w:t>Trial duration (total study)</w:t>
            </w:r>
          </w:p>
        </w:tc>
        <w:tc>
          <w:tcPr>
            <w:tcW w:w="393" w:type="pct"/>
            <w:shd w:val="clear" w:color="auto" w:fill="auto"/>
          </w:tcPr>
          <w:p w14:paraId="11C566F7" w14:textId="77777777" w:rsidR="00EA6F53" w:rsidRPr="008521BC" w:rsidRDefault="00EA6F53" w:rsidP="002F7DDA">
            <w:pPr>
              <w:pStyle w:val="TableTextDusc"/>
              <w:keepNext/>
              <w:keepLines/>
              <w:rPr>
                <w:b/>
              </w:rPr>
            </w:pPr>
            <w:r w:rsidRPr="008521BC">
              <w:rPr>
                <w:b/>
              </w:rPr>
              <w:t>Risk of bias</w:t>
            </w:r>
          </w:p>
        </w:tc>
        <w:tc>
          <w:tcPr>
            <w:tcW w:w="551" w:type="pct"/>
            <w:shd w:val="clear" w:color="auto" w:fill="auto"/>
          </w:tcPr>
          <w:p w14:paraId="5D0BBC10" w14:textId="77777777" w:rsidR="00EA6F53" w:rsidRPr="008521BC" w:rsidRDefault="00EA6F53" w:rsidP="002F7DDA">
            <w:pPr>
              <w:pStyle w:val="TableTextDusc"/>
              <w:keepNext/>
              <w:keepLines/>
              <w:rPr>
                <w:b/>
              </w:rPr>
            </w:pPr>
            <w:r w:rsidRPr="008521BC">
              <w:rPr>
                <w:b/>
              </w:rPr>
              <w:t>Patient population</w:t>
            </w:r>
          </w:p>
        </w:tc>
        <w:tc>
          <w:tcPr>
            <w:tcW w:w="707" w:type="pct"/>
            <w:shd w:val="clear" w:color="auto" w:fill="auto"/>
          </w:tcPr>
          <w:p w14:paraId="263AA3B5" w14:textId="77777777" w:rsidR="00EA6F53" w:rsidRPr="008521BC" w:rsidRDefault="00EA6F53" w:rsidP="002F7DDA">
            <w:pPr>
              <w:pStyle w:val="TableTextDusc"/>
              <w:keepNext/>
              <w:keepLines/>
              <w:rPr>
                <w:b/>
              </w:rPr>
            </w:pPr>
            <w:r w:rsidRPr="00EA6F53">
              <w:rPr>
                <w:b/>
              </w:rPr>
              <w:t>PASI 75; n/N (%)</w:t>
            </w:r>
            <w:r>
              <w:rPr>
                <w:b/>
              </w:rPr>
              <w:t xml:space="preserve"> </w:t>
            </w:r>
            <w:r w:rsidRPr="001946E5">
              <w:rPr>
                <w:b/>
              </w:rPr>
              <w:t>Etan</w:t>
            </w:r>
          </w:p>
        </w:tc>
        <w:tc>
          <w:tcPr>
            <w:tcW w:w="836" w:type="pct"/>
          </w:tcPr>
          <w:p w14:paraId="32A70DD4" w14:textId="77777777" w:rsidR="00EA6F53" w:rsidRPr="008521BC" w:rsidRDefault="00EA6F53" w:rsidP="002F7DDA">
            <w:pPr>
              <w:pStyle w:val="TableTextDusc"/>
              <w:keepNext/>
              <w:keepLines/>
              <w:rPr>
                <w:b/>
              </w:rPr>
            </w:pPr>
            <w:r w:rsidRPr="00EA6F53">
              <w:rPr>
                <w:b/>
              </w:rPr>
              <w:t>PASI 75; n/N (%)</w:t>
            </w:r>
            <w:r>
              <w:rPr>
                <w:b/>
              </w:rPr>
              <w:t xml:space="preserve"> </w:t>
            </w:r>
            <w:r w:rsidRPr="001946E5">
              <w:rPr>
                <w:b/>
              </w:rPr>
              <w:t>Pbo</w:t>
            </w:r>
          </w:p>
        </w:tc>
      </w:tr>
      <w:tr w:rsidR="00EA6F53" w:rsidRPr="00E2771E" w14:paraId="64BE0666" w14:textId="77777777" w:rsidTr="00EA6F53">
        <w:trPr>
          <w:cantSplit/>
        </w:trPr>
        <w:tc>
          <w:tcPr>
            <w:tcW w:w="627" w:type="pct"/>
            <w:shd w:val="clear" w:color="auto" w:fill="F2F2F2" w:themeFill="background1" w:themeFillShade="F2"/>
          </w:tcPr>
          <w:p w14:paraId="63C1FEF3" w14:textId="77777777" w:rsidR="00EA6F53" w:rsidRPr="00E2771E" w:rsidRDefault="00EA6F53" w:rsidP="002F7DDA">
            <w:pPr>
              <w:pStyle w:val="TableTextDusc"/>
              <w:keepNext/>
              <w:keepLines/>
            </w:pPr>
            <w:r>
              <w:t>Leonardi (2003)</w:t>
            </w:r>
            <w:r w:rsidR="005F4471" w:rsidRPr="001946E5">
              <w:rPr>
                <w:b/>
                <w:vertAlign w:val="superscript"/>
              </w:rPr>
              <w:t xml:space="preserve"> 1</w:t>
            </w:r>
          </w:p>
        </w:tc>
        <w:tc>
          <w:tcPr>
            <w:tcW w:w="470" w:type="pct"/>
            <w:shd w:val="clear" w:color="auto" w:fill="F2F2F2" w:themeFill="background1" w:themeFillShade="F2"/>
          </w:tcPr>
          <w:p w14:paraId="245E907D" w14:textId="77777777" w:rsidR="00EA6F53" w:rsidRPr="00E2771E" w:rsidRDefault="00EA6F53" w:rsidP="002F7DDA">
            <w:pPr>
              <w:pStyle w:val="TableTextDusc"/>
              <w:keepNext/>
              <w:keepLines/>
            </w:pPr>
            <w:r>
              <w:t xml:space="preserve">Yes: </w:t>
            </w:r>
            <w:r>
              <w:br/>
              <w:t>Mar 2006</w:t>
            </w:r>
          </w:p>
        </w:tc>
        <w:tc>
          <w:tcPr>
            <w:tcW w:w="316" w:type="pct"/>
            <w:shd w:val="clear" w:color="auto" w:fill="F2F2F2" w:themeFill="background1" w:themeFillShade="F2"/>
          </w:tcPr>
          <w:p w14:paraId="5AD9C794" w14:textId="77777777" w:rsidR="00EA6F53" w:rsidRPr="00E2771E" w:rsidRDefault="00EA6F53" w:rsidP="002F7DDA">
            <w:pPr>
              <w:pStyle w:val="TableTextDusc"/>
              <w:keepNext/>
              <w:keepLines/>
            </w:pPr>
            <w:r>
              <w:t>652</w:t>
            </w:r>
          </w:p>
        </w:tc>
        <w:tc>
          <w:tcPr>
            <w:tcW w:w="393" w:type="pct"/>
            <w:shd w:val="clear" w:color="auto" w:fill="F2F2F2" w:themeFill="background1" w:themeFillShade="F2"/>
          </w:tcPr>
          <w:p w14:paraId="6FCA4D22" w14:textId="77777777" w:rsidR="00EA6F53" w:rsidRDefault="00EA6F53" w:rsidP="002F7DDA">
            <w:pPr>
              <w:pStyle w:val="TableTextDusc"/>
              <w:keepNext/>
              <w:keepLines/>
            </w:pPr>
            <w:r>
              <w:t>R, DB, PC, MC</w:t>
            </w:r>
          </w:p>
        </w:tc>
        <w:tc>
          <w:tcPr>
            <w:tcW w:w="707" w:type="pct"/>
            <w:shd w:val="clear" w:color="auto" w:fill="F2F2F2" w:themeFill="background1" w:themeFillShade="F2"/>
          </w:tcPr>
          <w:p w14:paraId="3EFDFF6C" w14:textId="77777777" w:rsidR="00EA6F53" w:rsidRPr="00E2771E" w:rsidRDefault="00EA6F53" w:rsidP="002F7DDA">
            <w:pPr>
              <w:pStyle w:val="TableTextDusc"/>
              <w:keepNext/>
              <w:keepLines/>
            </w:pPr>
            <w:r>
              <w:t>12 weeks</w:t>
            </w:r>
            <w:r>
              <w:br/>
              <w:t>(24 weeks)</w:t>
            </w:r>
          </w:p>
        </w:tc>
        <w:tc>
          <w:tcPr>
            <w:tcW w:w="393" w:type="pct"/>
            <w:shd w:val="clear" w:color="auto" w:fill="F2F2F2" w:themeFill="background1" w:themeFillShade="F2"/>
          </w:tcPr>
          <w:p w14:paraId="313CA5A1" w14:textId="77777777" w:rsidR="00EA6F53" w:rsidRPr="00E2771E" w:rsidRDefault="00EA6F53" w:rsidP="002F7DDA">
            <w:pPr>
              <w:pStyle w:val="TableTextDusc"/>
              <w:keepNext/>
              <w:keepLines/>
            </w:pPr>
            <w:r>
              <w:t>Unclear (High</w:t>
            </w:r>
            <w:r w:rsidRPr="00AF16B1">
              <w:rPr>
                <w:vertAlign w:val="superscript"/>
              </w:rPr>
              <w:t>a</w:t>
            </w:r>
            <w:r>
              <w:t>)</w:t>
            </w:r>
          </w:p>
        </w:tc>
        <w:tc>
          <w:tcPr>
            <w:tcW w:w="551" w:type="pct"/>
            <w:shd w:val="clear" w:color="auto" w:fill="F2F2F2" w:themeFill="background1" w:themeFillShade="F2"/>
          </w:tcPr>
          <w:p w14:paraId="7EAAF1B1" w14:textId="77777777" w:rsidR="00EA6F53" w:rsidRDefault="00EA6F53" w:rsidP="002F7DDA">
            <w:pPr>
              <w:pStyle w:val="TableTextDusc"/>
              <w:keepNext/>
              <w:keepLines/>
            </w:pPr>
            <w:r>
              <w:t>≥ 10% BSA</w:t>
            </w:r>
          </w:p>
          <w:p w14:paraId="7F071C31" w14:textId="77777777" w:rsidR="00EA6F53" w:rsidRPr="00E2771E" w:rsidRDefault="00EA6F53" w:rsidP="002F7DDA">
            <w:pPr>
              <w:pStyle w:val="TableTextDusc"/>
              <w:keepNext/>
              <w:keepLines/>
            </w:pPr>
            <w:r>
              <w:t>≥ 10 PASI</w:t>
            </w:r>
          </w:p>
        </w:tc>
        <w:tc>
          <w:tcPr>
            <w:tcW w:w="707" w:type="pct"/>
            <w:shd w:val="clear" w:color="auto" w:fill="F2F2F2" w:themeFill="background1" w:themeFillShade="F2"/>
          </w:tcPr>
          <w:p w14:paraId="4ED17E9C" w14:textId="77777777" w:rsidR="00EA6F53" w:rsidRPr="00E2771E" w:rsidRDefault="00EA6F53" w:rsidP="002F7DDA">
            <w:pPr>
              <w:pStyle w:val="TableTextDusc"/>
              <w:keepNext/>
              <w:keepLines/>
            </w:pPr>
            <w:r>
              <w:t>55/162 (34%)</w:t>
            </w:r>
          </w:p>
        </w:tc>
        <w:tc>
          <w:tcPr>
            <w:tcW w:w="836" w:type="pct"/>
            <w:shd w:val="clear" w:color="auto" w:fill="F2F2F2" w:themeFill="background1" w:themeFillShade="F2"/>
          </w:tcPr>
          <w:p w14:paraId="55F2F56C" w14:textId="77777777" w:rsidR="00EA6F53" w:rsidRDefault="00EA6F53" w:rsidP="002F7DDA">
            <w:pPr>
              <w:pStyle w:val="TableTextDusc"/>
              <w:keepNext/>
              <w:keepLines/>
            </w:pPr>
            <w:r>
              <w:t>6/166 (4%)</w:t>
            </w:r>
          </w:p>
        </w:tc>
      </w:tr>
      <w:tr w:rsidR="00EA6F53" w:rsidRPr="00E2771E" w14:paraId="09B19579" w14:textId="77777777" w:rsidTr="00EA6F53">
        <w:trPr>
          <w:cantSplit/>
        </w:trPr>
        <w:tc>
          <w:tcPr>
            <w:tcW w:w="627" w:type="pct"/>
            <w:shd w:val="clear" w:color="auto" w:fill="F2F2F2" w:themeFill="background1" w:themeFillShade="F2"/>
          </w:tcPr>
          <w:p w14:paraId="690872E9" w14:textId="77777777" w:rsidR="00EA6F53" w:rsidRDefault="00EA6F53" w:rsidP="002F7DDA">
            <w:pPr>
              <w:pStyle w:val="TableTextDusc"/>
              <w:keepNext/>
              <w:keepLines/>
            </w:pPr>
            <w:r>
              <w:t>Gottlieb (2003)</w:t>
            </w:r>
            <w:r w:rsidR="005F4471" w:rsidRPr="001946E5">
              <w:rPr>
                <w:b/>
                <w:vertAlign w:val="superscript"/>
              </w:rPr>
              <w:t xml:space="preserve"> 1</w:t>
            </w:r>
          </w:p>
        </w:tc>
        <w:tc>
          <w:tcPr>
            <w:tcW w:w="470" w:type="pct"/>
            <w:shd w:val="clear" w:color="auto" w:fill="F2F2F2" w:themeFill="background1" w:themeFillShade="F2"/>
          </w:tcPr>
          <w:p w14:paraId="042D3827" w14:textId="77777777" w:rsidR="00EA6F53" w:rsidRPr="00E2771E" w:rsidRDefault="00EA6F53" w:rsidP="002F7DDA">
            <w:pPr>
              <w:pStyle w:val="TableTextDusc"/>
              <w:keepNext/>
              <w:keepLines/>
            </w:pPr>
            <w:r>
              <w:t xml:space="preserve">Yes: </w:t>
            </w:r>
            <w:r>
              <w:br/>
              <w:t>Mar 2006</w:t>
            </w:r>
          </w:p>
        </w:tc>
        <w:tc>
          <w:tcPr>
            <w:tcW w:w="316" w:type="pct"/>
            <w:shd w:val="clear" w:color="auto" w:fill="F2F2F2" w:themeFill="background1" w:themeFillShade="F2"/>
          </w:tcPr>
          <w:p w14:paraId="55CFEC09" w14:textId="77777777" w:rsidR="00EA6F53" w:rsidRPr="00E2771E" w:rsidRDefault="00EA6F53" w:rsidP="002F7DDA">
            <w:pPr>
              <w:pStyle w:val="TableTextDusc"/>
              <w:keepNext/>
              <w:keepLines/>
            </w:pPr>
            <w:r>
              <w:t>122</w:t>
            </w:r>
          </w:p>
        </w:tc>
        <w:tc>
          <w:tcPr>
            <w:tcW w:w="393" w:type="pct"/>
            <w:shd w:val="clear" w:color="auto" w:fill="F2F2F2" w:themeFill="background1" w:themeFillShade="F2"/>
          </w:tcPr>
          <w:p w14:paraId="249EF421" w14:textId="77777777" w:rsidR="00EA6F53" w:rsidRDefault="00EA6F53" w:rsidP="002F7DDA">
            <w:pPr>
              <w:pStyle w:val="TableTextDusc"/>
              <w:keepNext/>
              <w:keepLines/>
            </w:pPr>
            <w:r>
              <w:t>R, DB, PC, MC</w:t>
            </w:r>
          </w:p>
        </w:tc>
        <w:tc>
          <w:tcPr>
            <w:tcW w:w="707" w:type="pct"/>
            <w:shd w:val="clear" w:color="auto" w:fill="F2F2F2" w:themeFill="background1" w:themeFillShade="F2"/>
          </w:tcPr>
          <w:p w14:paraId="01086E2F" w14:textId="77777777" w:rsidR="00EA6F53" w:rsidRPr="00E2771E" w:rsidRDefault="00EA6F53" w:rsidP="002F7DDA">
            <w:pPr>
              <w:pStyle w:val="TableTextDusc"/>
              <w:keepNext/>
              <w:keepLines/>
            </w:pPr>
            <w:r>
              <w:t>24 weeks</w:t>
            </w:r>
          </w:p>
        </w:tc>
        <w:tc>
          <w:tcPr>
            <w:tcW w:w="393" w:type="pct"/>
            <w:shd w:val="clear" w:color="auto" w:fill="F2F2F2" w:themeFill="background1" w:themeFillShade="F2"/>
          </w:tcPr>
          <w:p w14:paraId="3B77AC89" w14:textId="77777777" w:rsidR="00EA6F53" w:rsidRPr="00E2771E" w:rsidRDefault="00EA6F53" w:rsidP="002F7DDA">
            <w:pPr>
              <w:pStyle w:val="TableTextDusc"/>
              <w:keepNext/>
              <w:keepLines/>
            </w:pPr>
            <w:r>
              <w:t>Low (High</w:t>
            </w:r>
            <w:r w:rsidRPr="00AF16B1">
              <w:rPr>
                <w:vertAlign w:val="superscript"/>
              </w:rPr>
              <w:t>a</w:t>
            </w:r>
            <w:r>
              <w:t>)</w:t>
            </w:r>
          </w:p>
        </w:tc>
        <w:tc>
          <w:tcPr>
            <w:tcW w:w="551" w:type="pct"/>
            <w:shd w:val="clear" w:color="auto" w:fill="F2F2F2" w:themeFill="background1" w:themeFillShade="F2"/>
          </w:tcPr>
          <w:p w14:paraId="7922C4BB" w14:textId="77777777" w:rsidR="00EA6F53" w:rsidRPr="00E2771E" w:rsidRDefault="00EA6F53" w:rsidP="002F7DDA">
            <w:pPr>
              <w:pStyle w:val="TableTextDusc"/>
              <w:keepNext/>
              <w:keepLines/>
            </w:pPr>
            <w:r>
              <w:t>≥ 10% BSA</w:t>
            </w:r>
          </w:p>
        </w:tc>
        <w:tc>
          <w:tcPr>
            <w:tcW w:w="707" w:type="pct"/>
            <w:shd w:val="clear" w:color="auto" w:fill="F2F2F2" w:themeFill="background1" w:themeFillShade="F2"/>
          </w:tcPr>
          <w:p w14:paraId="45E231BE" w14:textId="77777777" w:rsidR="00EA6F53" w:rsidRPr="00A8176E" w:rsidRDefault="00EA6F53" w:rsidP="002F7DDA">
            <w:pPr>
              <w:pStyle w:val="TableTextDusc"/>
              <w:keepNext/>
              <w:keepLines/>
              <w:rPr>
                <w:b/>
              </w:rPr>
            </w:pPr>
            <w:r>
              <w:t>17/57 (30%)</w:t>
            </w:r>
          </w:p>
        </w:tc>
        <w:tc>
          <w:tcPr>
            <w:tcW w:w="836" w:type="pct"/>
            <w:shd w:val="clear" w:color="auto" w:fill="F2F2F2" w:themeFill="background1" w:themeFillShade="F2"/>
          </w:tcPr>
          <w:p w14:paraId="119B30F3" w14:textId="77777777" w:rsidR="00EA6F53" w:rsidRDefault="00EA6F53" w:rsidP="002F7DDA">
            <w:pPr>
              <w:pStyle w:val="TableTextDusc"/>
              <w:keepNext/>
              <w:keepLines/>
            </w:pPr>
            <w:r>
              <w:t>1/55 (2%)</w:t>
            </w:r>
          </w:p>
        </w:tc>
      </w:tr>
      <w:tr w:rsidR="00EA6F53" w:rsidRPr="00E2771E" w14:paraId="14497827" w14:textId="77777777" w:rsidTr="00EA6F53">
        <w:trPr>
          <w:cantSplit/>
        </w:trPr>
        <w:tc>
          <w:tcPr>
            <w:tcW w:w="627" w:type="pct"/>
            <w:shd w:val="clear" w:color="auto" w:fill="F2F2F2" w:themeFill="background1" w:themeFillShade="F2"/>
          </w:tcPr>
          <w:p w14:paraId="7CC00976" w14:textId="77777777" w:rsidR="00EA6F53" w:rsidRPr="00E2771E" w:rsidRDefault="00EA6F53" w:rsidP="002F7DDA">
            <w:pPr>
              <w:pStyle w:val="TableTextDusc"/>
              <w:keepNext/>
              <w:keepLines/>
            </w:pPr>
            <w:r>
              <w:t>Papp (2005)</w:t>
            </w:r>
            <w:r w:rsidR="005F4471" w:rsidRPr="001946E5">
              <w:rPr>
                <w:b/>
                <w:vertAlign w:val="superscript"/>
              </w:rPr>
              <w:t xml:space="preserve"> 1</w:t>
            </w:r>
          </w:p>
        </w:tc>
        <w:tc>
          <w:tcPr>
            <w:tcW w:w="470" w:type="pct"/>
            <w:shd w:val="clear" w:color="auto" w:fill="F2F2F2" w:themeFill="background1" w:themeFillShade="F2"/>
          </w:tcPr>
          <w:p w14:paraId="6E37F125" w14:textId="77777777" w:rsidR="00EA6F53" w:rsidRPr="00E2771E" w:rsidRDefault="00EA6F53" w:rsidP="002F7DDA">
            <w:pPr>
              <w:pStyle w:val="TableTextDusc"/>
              <w:keepNext/>
              <w:keepLines/>
            </w:pPr>
            <w:r>
              <w:t xml:space="preserve">Yes: </w:t>
            </w:r>
            <w:r>
              <w:br/>
              <w:t>Mar 2006</w:t>
            </w:r>
          </w:p>
        </w:tc>
        <w:tc>
          <w:tcPr>
            <w:tcW w:w="316" w:type="pct"/>
            <w:shd w:val="clear" w:color="auto" w:fill="F2F2F2" w:themeFill="background1" w:themeFillShade="F2"/>
          </w:tcPr>
          <w:p w14:paraId="732B0D40" w14:textId="77777777" w:rsidR="00EA6F53" w:rsidRPr="00E2771E" w:rsidRDefault="00EA6F53" w:rsidP="002F7DDA">
            <w:pPr>
              <w:pStyle w:val="TableTextDusc"/>
              <w:keepNext/>
              <w:keepLines/>
            </w:pPr>
            <w:r>
              <w:t>611</w:t>
            </w:r>
          </w:p>
        </w:tc>
        <w:tc>
          <w:tcPr>
            <w:tcW w:w="393" w:type="pct"/>
            <w:shd w:val="clear" w:color="auto" w:fill="F2F2F2" w:themeFill="background1" w:themeFillShade="F2"/>
          </w:tcPr>
          <w:p w14:paraId="55A85758" w14:textId="77777777" w:rsidR="00EA6F53" w:rsidRDefault="00EA6F53" w:rsidP="002F7DDA">
            <w:pPr>
              <w:pStyle w:val="TableTextDusc"/>
              <w:keepNext/>
              <w:keepLines/>
            </w:pPr>
            <w:r>
              <w:t>R, DB, PC, MC</w:t>
            </w:r>
          </w:p>
        </w:tc>
        <w:tc>
          <w:tcPr>
            <w:tcW w:w="707" w:type="pct"/>
            <w:shd w:val="clear" w:color="auto" w:fill="F2F2F2" w:themeFill="background1" w:themeFillShade="F2"/>
          </w:tcPr>
          <w:p w14:paraId="362BB7FE" w14:textId="77777777" w:rsidR="00EA6F53" w:rsidRPr="00E2771E" w:rsidRDefault="00EA6F53" w:rsidP="002F7DDA">
            <w:pPr>
              <w:pStyle w:val="TableTextDusc"/>
              <w:keepNext/>
              <w:keepLines/>
            </w:pPr>
            <w:r>
              <w:t>12 weeks</w:t>
            </w:r>
            <w:r>
              <w:br/>
              <w:t>(24 weeks)</w:t>
            </w:r>
          </w:p>
        </w:tc>
        <w:tc>
          <w:tcPr>
            <w:tcW w:w="393" w:type="pct"/>
            <w:shd w:val="clear" w:color="auto" w:fill="F2F2F2" w:themeFill="background1" w:themeFillShade="F2"/>
          </w:tcPr>
          <w:p w14:paraId="463E49C3" w14:textId="77777777" w:rsidR="00EA6F53" w:rsidRPr="00E2771E" w:rsidRDefault="00EA6F53" w:rsidP="002F7DDA">
            <w:pPr>
              <w:pStyle w:val="TableTextDusc"/>
              <w:keepNext/>
              <w:keepLines/>
            </w:pPr>
            <w:r>
              <w:t>Unclear (High</w:t>
            </w:r>
            <w:r w:rsidRPr="00AF16B1">
              <w:rPr>
                <w:vertAlign w:val="superscript"/>
              </w:rPr>
              <w:t>a</w:t>
            </w:r>
            <w:r>
              <w:t>)</w:t>
            </w:r>
          </w:p>
        </w:tc>
        <w:tc>
          <w:tcPr>
            <w:tcW w:w="551" w:type="pct"/>
            <w:shd w:val="clear" w:color="auto" w:fill="F2F2F2" w:themeFill="background1" w:themeFillShade="F2"/>
          </w:tcPr>
          <w:p w14:paraId="5EA0AA69" w14:textId="77777777" w:rsidR="00EA6F53" w:rsidRDefault="00EA6F53" w:rsidP="002F7DDA">
            <w:pPr>
              <w:pStyle w:val="TableTextDusc"/>
              <w:keepNext/>
              <w:keepLines/>
            </w:pPr>
            <w:r>
              <w:t>≥ 10% BSA</w:t>
            </w:r>
          </w:p>
          <w:p w14:paraId="54B65F8D" w14:textId="77777777" w:rsidR="00EA6F53" w:rsidRPr="00E2771E" w:rsidRDefault="00EA6F53" w:rsidP="002F7DDA">
            <w:pPr>
              <w:pStyle w:val="TableTextDusc"/>
              <w:keepNext/>
              <w:keepLines/>
            </w:pPr>
            <w:r>
              <w:t>≥ 10 PASI</w:t>
            </w:r>
          </w:p>
        </w:tc>
        <w:tc>
          <w:tcPr>
            <w:tcW w:w="707" w:type="pct"/>
            <w:shd w:val="clear" w:color="auto" w:fill="F2F2F2" w:themeFill="background1" w:themeFillShade="F2"/>
          </w:tcPr>
          <w:p w14:paraId="737C8327" w14:textId="77777777" w:rsidR="00EA6F53" w:rsidRPr="00E2771E" w:rsidRDefault="00EA6F53" w:rsidP="002F7DDA">
            <w:pPr>
              <w:pStyle w:val="TableTextDusc"/>
              <w:keepNext/>
              <w:keepLines/>
            </w:pPr>
            <w:r>
              <w:t>67/196 (34%)</w:t>
            </w:r>
          </w:p>
        </w:tc>
        <w:tc>
          <w:tcPr>
            <w:tcW w:w="836" w:type="pct"/>
            <w:shd w:val="clear" w:color="auto" w:fill="F2F2F2" w:themeFill="background1" w:themeFillShade="F2"/>
          </w:tcPr>
          <w:p w14:paraId="0AC074B2" w14:textId="77777777" w:rsidR="00EA6F53" w:rsidRDefault="00EA6F53" w:rsidP="002F7DDA">
            <w:pPr>
              <w:pStyle w:val="TableTextDusc"/>
              <w:keepNext/>
              <w:keepLines/>
            </w:pPr>
            <w:r>
              <w:t>6/193 (3%)</w:t>
            </w:r>
          </w:p>
        </w:tc>
      </w:tr>
      <w:tr w:rsidR="00EA6F53" w:rsidRPr="00E2771E" w14:paraId="793485CA" w14:textId="77777777" w:rsidTr="00EA6F53">
        <w:trPr>
          <w:cantSplit/>
        </w:trPr>
        <w:tc>
          <w:tcPr>
            <w:tcW w:w="627" w:type="pct"/>
            <w:shd w:val="clear" w:color="auto" w:fill="auto"/>
          </w:tcPr>
          <w:p w14:paraId="61933F71" w14:textId="77777777" w:rsidR="00EA6F53" w:rsidRDefault="00EA6F53" w:rsidP="002F7DDA">
            <w:pPr>
              <w:pStyle w:val="TableTextDusc"/>
              <w:keepNext/>
              <w:keepLines/>
            </w:pPr>
            <w:r>
              <w:t>van de Kerkhof (2008)</w:t>
            </w:r>
            <w:r w:rsidR="005F4471" w:rsidRPr="001946E5">
              <w:rPr>
                <w:b/>
                <w:vertAlign w:val="superscript"/>
              </w:rPr>
              <w:t xml:space="preserve"> 2</w:t>
            </w:r>
          </w:p>
        </w:tc>
        <w:tc>
          <w:tcPr>
            <w:tcW w:w="470" w:type="pct"/>
            <w:shd w:val="clear" w:color="auto" w:fill="auto"/>
          </w:tcPr>
          <w:p w14:paraId="68F5B2A2" w14:textId="77777777" w:rsidR="00EA6F53" w:rsidRPr="00E2771E" w:rsidRDefault="00EA6F53" w:rsidP="002F7DDA">
            <w:pPr>
              <w:pStyle w:val="TableTextDusc"/>
              <w:keepNext/>
              <w:keepLines/>
            </w:pPr>
            <w:r>
              <w:t>No</w:t>
            </w:r>
          </w:p>
        </w:tc>
        <w:tc>
          <w:tcPr>
            <w:tcW w:w="316" w:type="pct"/>
            <w:shd w:val="clear" w:color="auto" w:fill="auto"/>
          </w:tcPr>
          <w:p w14:paraId="34D2CFDD" w14:textId="77777777" w:rsidR="00EA6F53" w:rsidRPr="00E2771E" w:rsidRDefault="00EA6F53" w:rsidP="002F7DDA">
            <w:pPr>
              <w:pStyle w:val="TableTextDusc"/>
              <w:keepNext/>
              <w:keepLines/>
            </w:pPr>
            <w:r>
              <w:t>142</w:t>
            </w:r>
          </w:p>
        </w:tc>
        <w:tc>
          <w:tcPr>
            <w:tcW w:w="393" w:type="pct"/>
            <w:shd w:val="clear" w:color="auto" w:fill="auto"/>
          </w:tcPr>
          <w:p w14:paraId="167D110D" w14:textId="77777777" w:rsidR="00EA6F53" w:rsidRDefault="00EA6F53" w:rsidP="002F7DDA">
            <w:pPr>
              <w:pStyle w:val="TableTextDusc"/>
              <w:keepNext/>
              <w:keepLines/>
            </w:pPr>
            <w:r>
              <w:t>R, DB, PC, MC</w:t>
            </w:r>
          </w:p>
        </w:tc>
        <w:tc>
          <w:tcPr>
            <w:tcW w:w="707" w:type="pct"/>
            <w:shd w:val="clear" w:color="auto" w:fill="auto"/>
          </w:tcPr>
          <w:p w14:paraId="5703E94D" w14:textId="77777777" w:rsidR="00EA6F53" w:rsidRPr="00E2771E" w:rsidRDefault="00EA6F53" w:rsidP="002F7DDA">
            <w:pPr>
              <w:pStyle w:val="TableTextDusc"/>
              <w:keepNext/>
              <w:keepLines/>
            </w:pPr>
            <w:r>
              <w:t>12 weeks</w:t>
            </w:r>
            <w:r>
              <w:br/>
              <w:t>(24 weeks)</w:t>
            </w:r>
          </w:p>
        </w:tc>
        <w:tc>
          <w:tcPr>
            <w:tcW w:w="393" w:type="pct"/>
            <w:shd w:val="clear" w:color="auto" w:fill="auto"/>
          </w:tcPr>
          <w:p w14:paraId="4C1A170C" w14:textId="77777777" w:rsidR="00EA6F53" w:rsidRPr="00E2771E" w:rsidRDefault="00EA6F53" w:rsidP="002F7DDA">
            <w:pPr>
              <w:pStyle w:val="TableTextDusc"/>
              <w:keepNext/>
              <w:keepLines/>
            </w:pPr>
            <w:r>
              <w:t>Low (High</w:t>
            </w:r>
            <w:r w:rsidRPr="00AF16B1">
              <w:rPr>
                <w:vertAlign w:val="superscript"/>
              </w:rPr>
              <w:t>a</w:t>
            </w:r>
            <w:r>
              <w:t>)</w:t>
            </w:r>
          </w:p>
        </w:tc>
        <w:tc>
          <w:tcPr>
            <w:tcW w:w="551" w:type="pct"/>
            <w:shd w:val="clear" w:color="auto" w:fill="auto"/>
          </w:tcPr>
          <w:p w14:paraId="1FF30CAA" w14:textId="77777777" w:rsidR="00EA6F53" w:rsidRDefault="00EA6F53" w:rsidP="002F7DDA">
            <w:pPr>
              <w:pStyle w:val="TableTextDusc"/>
              <w:keepNext/>
              <w:keepLines/>
            </w:pPr>
            <w:r>
              <w:t>≥ 10% BSA</w:t>
            </w:r>
          </w:p>
          <w:p w14:paraId="4A399F69" w14:textId="77777777" w:rsidR="00EA6F53" w:rsidRPr="00E2771E" w:rsidRDefault="00EA6F53" w:rsidP="002F7DDA">
            <w:pPr>
              <w:pStyle w:val="TableTextDusc"/>
              <w:keepNext/>
              <w:keepLines/>
            </w:pPr>
            <w:r>
              <w:t>≥ 10 PASI</w:t>
            </w:r>
          </w:p>
        </w:tc>
        <w:tc>
          <w:tcPr>
            <w:tcW w:w="707" w:type="pct"/>
          </w:tcPr>
          <w:p w14:paraId="1FA56E31" w14:textId="77777777" w:rsidR="00EA6F53" w:rsidRPr="00E2771E" w:rsidRDefault="005F4471" w:rsidP="002F7DDA">
            <w:pPr>
              <w:pStyle w:val="TableTextDusc"/>
              <w:keepNext/>
              <w:keepLines/>
            </w:pPr>
            <w:r w:rsidRPr="005F4471">
              <w:t>36/96 (38%)</w:t>
            </w:r>
          </w:p>
        </w:tc>
        <w:tc>
          <w:tcPr>
            <w:tcW w:w="836" w:type="pct"/>
          </w:tcPr>
          <w:p w14:paraId="2881089F" w14:textId="77777777" w:rsidR="00EA6F53" w:rsidRDefault="00EA6F53" w:rsidP="002F7DDA">
            <w:pPr>
              <w:pStyle w:val="TableTextDusc"/>
              <w:keepNext/>
              <w:keepLines/>
            </w:pPr>
            <w:r>
              <w:t>1/46 (2%)</w:t>
            </w:r>
          </w:p>
        </w:tc>
      </w:tr>
      <w:tr w:rsidR="005F4471" w:rsidRPr="00E2771E" w14:paraId="111000B9" w14:textId="77777777" w:rsidTr="00EA6F53">
        <w:trPr>
          <w:cantSplit/>
        </w:trPr>
        <w:tc>
          <w:tcPr>
            <w:tcW w:w="627" w:type="pct"/>
            <w:shd w:val="clear" w:color="auto" w:fill="auto"/>
          </w:tcPr>
          <w:p w14:paraId="6EFD81E7" w14:textId="77777777" w:rsidR="005F4471" w:rsidRDefault="005F4471" w:rsidP="002F7DDA">
            <w:pPr>
              <w:pStyle w:val="TableTextDusc"/>
              <w:keepNext/>
              <w:keepLines/>
            </w:pPr>
            <w:r>
              <w:t>Tyring (2006)</w:t>
            </w:r>
            <w:r w:rsidRPr="001946E5">
              <w:rPr>
                <w:b/>
                <w:vertAlign w:val="superscript"/>
              </w:rPr>
              <w:t xml:space="preserve"> </w:t>
            </w:r>
            <w:r>
              <w:rPr>
                <w:b/>
                <w:vertAlign w:val="superscript"/>
              </w:rPr>
              <w:t>3</w:t>
            </w:r>
          </w:p>
        </w:tc>
        <w:tc>
          <w:tcPr>
            <w:tcW w:w="470" w:type="pct"/>
            <w:shd w:val="clear" w:color="auto" w:fill="auto"/>
          </w:tcPr>
          <w:p w14:paraId="0E6D6DF0" w14:textId="77777777" w:rsidR="005F4471" w:rsidRDefault="005F4471" w:rsidP="002F7DDA">
            <w:pPr>
              <w:pStyle w:val="TableTextDusc"/>
              <w:keepNext/>
              <w:keepLines/>
            </w:pPr>
            <w:r>
              <w:t>No</w:t>
            </w:r>
          </w:p>
        </w:tc>
        <w:tc>
          <w:tcPr>
            <w:tcW w:w="316" w:type="pct"/>
            <w:shd w:val="clear" w:color="auto" w:fill="auto"/>
          </w:tcPr>
          <w:p w14:paraId="171F3CC6" w14:textId="77777777" w:rsidR="005F4471" w:rsidRDefault="005F4471" w:rsidP="002F7DDA">
            <w:pPr>
              <w:pStyle w:val="TableTextDusc"/>
              <w:keepNext/>
              <w:keepLines/>
            </w:pPr>
            <w:r>
              <w:t>618</w:t>
            </w:r>
          </w:p>
        </w:tc>
        <w:tc>
          <w:tcPr>
            <w:tcW w:w="393" w:type="pct"/>
            <w:shd w:val="clear" w:color="auto" w:fill="auto"/>
          </w:tcPr>
          <w:p w14:paraId="246B2E54" w14:textId="77777777" w:rsidR="005F4471" w:rsidRDefault="005F4471" w:rsidP="002F7DDA">
            <w:pPr>
              <w:pStyle w:val="TableTextDusc"/>
              <w:keepNext/>
              <w:keepLines/>
            </w:pPr>
            <w:r>
              <w:t>R, DB, PC, MC</w:t>
            </w:r>
          </w:p>
        </w:tc>
        <w:tc>
          <w:tcPr>
            <w:tcW w:w="707" w:type="pct"/>
            <w:shd w:val="clear" w:color="auto" w:fill="auto"/>
          </w:tcPr>
          <w:p w14:paraId="3EDD2169" w14:textId="77777777" w:rsidR="005F4471" w:rsidRDefault="005F4471" w:rsidP="002F7DDA">
            <w:pPr>
              <w:pStyle w:val="TableTextDusc"/>
              <w:keepNext/>
              <w:keepLines/>
            </w:pPr>
            <w:r>
              <w:t>12 weeks</w:t>
            </w:r>
            <w:r>
              <w:br/>
              <w:t>(96 weeks)</w:t>
            </w:r>
          </w:p>
        </w:tc>
        <w:tc>
          <w:tcPr>
            <w:tcW w:w="393" w:type="pct"/>
            <w:shd w:val="clear" w:color="auto" w:fill="auto"/>
          </w:tcPr>
          <w:p w14:paraId="44578B44" w14:textId="77777777" w:rsidR="005F4471" w:rsidRDefault="005F4471" w:rsidP="002F7DDA">
            <w:pPr>
              <w:pStyle w:val="TableTextDusc"/>
              <w:keepNext/>
              <w:keepLines/>
            </w:pPr>
            <w:r>
              <w:t>Unclear (High</w:t>
            </w:r>
            <w:r w:rsidRPr="00AF16B1">
              <w:rPr>
                <w:vertAlign w:val="superscript"/>
              </w:rPr>
              <w:t>a</w:t>
            </w:r>
            <w:r>
              <w:t>)</w:t>
            </w:r>
          </w:p>
        </w:tc>
        <w:tc>
          <w:tcPr>
            <w:tcW w:w="551" w:type="pct"/>
            <w:shd w:val="clear" w:color="auto" w:fill="auto"/>
          </w:tcPr>
          <w:p w14:paraId="6D868C89" w14:textId="77777777" w:rsidR="005F4471" w:rsidRDefault="005F4471" w:rsidP="002F7DDA">
            <w:pPr>
              <w:pStyle w:val="TableTextDusc"/>
              <w:keepNext/>
              <w:keepLines/>
            </w:pPr>
            <w:r>
              <w:t>≥ 10% BSA</w:t>
            </w:r>
          </w:p>
          <w:p w14:paraId="5DCA65FE" w14:textId="77777777" w:rsidR="005F4471" w:rsidRDefault="005F4471" w:rsidP="002F7DDA">
            <w:pPr>
              <w:pStyle w:val="TableTextDusc"/>
              <w:keepNext/>
              <w:keepLines/>
            </w:pPr>
            <w:r>
              <w:t>≥ 10 PASI</w:t>
            </w:r>
          </w:p>
        </w:tc>
        <w:tc>
          <w:tcPr>
            <w:tcW w:w="707" w:type="pct"/>
          </w:tcPr>
          <w:p w14:paraId="38B7B5CA" w14:textId="77777777" w:rsidR="005F4471" w:rsidRDefault="005F4471" w:rsidP="002F7DDA">
            <w:pPr>
              <w:pStyle w:val="TableTextDusc"/>
              <w:keepNext/>
              <w:keepLines/>
            </w:pPr>
            <w:r>
              <w:t>147/311 (47%)</w:t>
            </w:r>
          </w:p>
        </w:tc>
        <w:tc>
          <w:tcPr>
            <w:tcW w:w="836" w:type="pct"/>
          </w:tcPr>
          <w:p w14:paraId="7AC5CB2A" w14:textId="77777777" w:rsidR="005F4471" w:rsidRDefault="005F4471" w:rsidP="002F7DDA">
            <w:pPr>
              <w:pStyle w:val="TableTextDusc"/>
              <w:keepNext/>
              <w:keepLines/>
            </w:pPr>
            <w:r>
              <w:t>15/307 (5%)</w:t>
            </w:r>
          </w:p>
        </w:tc>
      </w:tr>
      <w:tr w:rsidR="005F4471" w:rsidRPr="00E2771E" w14:paraId="7F3BAC32" w14:textId="77777777" w:rsidTr="00EA6F53">
        <w:trPr>
          <w:cantSplit/>
        </w:trPr>
        <w:tc>
          <w:tcPr>
            <w:tcW w:w="627" w:type="pct"/>
            <w:shd w:val="clear" w:color="auto" w:fill="auto"/>
          </w:tcPr>
          <w:p w14:paraId="2DF8736E" w14:textId="77777777" w:rsidR="005F4471" w:rsidRDefault="005F4471" w:rsidP="002F7DDA">
            <w:pPr>
              <w:pStyle w:val="TableTextDusc"/>
              <w:keepNext/>
              <w:keepLines/>
            </w:pPr>
            <w:r>
              <w:t>OPT COMPARE</w:t>
            </w:r>
            <w:r>
              <w:rPr>
                <w:b/>
                <w:vertAlign w:val="superscript"/>
              </w:rPr>
              <w:t>3</w:t>
            </w:r>
          </w:p>
        </w:tc>
        <w:tc>
          <w:tcPr>
            <w:tcW w:w="470" w:type="pct"/>
            <w:shd w:val="clear" w:color="auto" w:fill="auto"/>
          </w:tcPr>
          <w:p w14:paraId="2F70FB9C" w14:textId="77777777" w:rsidR="005F4471" w:rsidRDefault="005F4471" w:rsidP="002F7DDA">
            <w:pPr>
              <w:pStyle w:val="TableTextDusc"/>
              <w:keepNext/>
              <w:keepLines/>
            </w:pPr>
            <w:r>
              <w:t>No</w:t>
            </w:r>
          </w:p>
        </w:tc>
        <w:tc>
          <w:tcPr>
            <w:tcW w:w="316" w:type="pct"/>
            <w:shd w:val="clear" w:color="auto" w:fill="auto"/>
          </w:tcPr>
          <w:p w14:paraId="1C714F70" w14:textId="77777777" w:rsidR="005F4471" w:rsidRDefault="005F4471" w:rsidP="002F7DDA">
            <w:pPr>
              <w:pStyle w:val="TableTextDusc"/>
              <w:keepNext/>
              <w:keepLines/>
            </w:pPr>
            <w:r>
              <w:t>1,106</w:t>
            </w:r>
          </w:p>
        </w:tc>
        <w:tc>
          <w:tcPr>
            <w:tcW w:w="393" w:type="pct"/>
            <w:shd w:val="clear" w:color="auto" w:fill="auto"/>
          </w:tcPr>
          <w:p w14:paraId="42014544" w14:textId="77777777" w:rsidR="005F4471" w:rsidRDefault="005F4471" w:rsidP="002F7DDA">
            <w:pPr>
              <w:pStyle w:val="TableTextDusc"/>
              <w:keepNext/>
              <w:keepLines/>
            </w:pPr>
            <w:r>
              <w:t>R, DB, PC, MC</w:t>
            </w:r>
          </w:p>
        </w:tc>
        <w:tc>
          <w:tcPr>
            <w:tcW w:w="707" w:type="pct"/>
            <w:shd w:val="clear" w:color="auto" w:fill="auto"/>
          </w:tcPr>
          <w:p w14:paraId="45CB29C7" w14:textId="77777777" w:rsidR="005F4471" w:rsidRDefault="005F4471" w:rsidP="002F7DDA">
            <w:pPr>
              <w:pStyle w:val="TableTextDusc"/>
              <w:keepNext/>
              <w:keepLines/>
            </w:pPr>
            <w:r>
              <w:t>12 weeks</w:t>
            </w:r>
          </w:p>
        </w:tc>
        <w:tc>
          <w:tcPr>
            <w:tcW w:w="393" w:type="pct"/>
            <w:shd w:val="clear" w:color="auto" w:fill="auto"/>
          </w:tcPr>
          <w:p w14:paraId="1E0E9C99" w14:textId="77777777" w:rsidR="005F4471" w:rsidRDefault="005F4471" w:rsidP="002F7DDA">
            <w:pPr>
              <w:pStyle w:val="TableTextDusc"/>
              <w:keepNext/>
              <w:keepLines/>
            </w:pPr>
            <w:r>
              <w:t>Low (High</w:t>
            </w:r>
            <w:r w:rsidRPr="00AF16B1">
              <w:rPr>
                <w:vertAlign w:val="superscript"/>
              </w:rPr>
              <w:t>a</w:t>
            </w:r>
            <w:r>
              <w:t>)</w:t>
            </w:r>
          </w:p>
        </w:tc>
        <w:tc>
          <w:tcPr>
            <w:tcW w:w="551" w:type="pct"/>
            <w:shd w:val="clear" w:color="auto" w:fill="auto"/>
          </w:tcPr>
          <w:p w14:paraId="319A633D" w14:textId="77777777" w:rsidR="005F4471" w:rsidRDefault="005F4471" w:rsidP="002F7DDA">
            <w:pPr>
              <w:pStyle w:val="TableTextDusc"/>
              <w:keepNext/>
              <w:keepLines/>
            </w:pPr>
            <w:r>
              <w:t>≥ 10% BSA</w:t>
            </w:r>
          </w:p>
          <w:p w14:paraId="0ADDE3D8" w14:textId="77777777" w:rsidR="005F4471" w:rsidRDefault="005F4471" w:rsidP="002F7DDA">
            <w:pPr>
              <w:pStyle w:val="TableTextDusc"/>
              <w:keepNext/>
              <w:keepLines/>
            </w:pPr>
            <w:r>
              <w:t>≥ 12 PASI</w:t>
            </w:r>
          </w:p>
          <w:p w14:paraId="7D7A9049" w14:textId="77777777" w:rsidR="005F4471" w:rsidRDefault="005F4471" w:rsidP="002F7DDA">
            <w:pPr>
              <w:pStyle w:val="TableTextDusc"/>
              <w:keepNext/>
              <w:keepLines/>
            </w:pPr>
            <w:r>
              <w:t>≥ 3 PGA</w:t>
            </w:r>
          </w:p>
        </w:tc>
        <w:tc>
          <w:tcPr>
            <w:tcW w:w="707" w:type="pct"/>
          </w:tcPr>
          <w:p w14:paraId="61FE30E9" w14:textId="77777777" w:rsidR="005F4471" w:rsidRDefault="005F4471" w:rsidP="002F7DDA">
            <w:pPr>
              <w:pStyle w:val="TableTextDusc"/>
              <w:keepNext/>
              <w:keepLines/>
            </w:pPr>
            <w:r>
              <w:t>197/335 (59%)</w:t>
            </w:r>
          </w:p>
        </w:tc>
        <w:tc>
          <w:tcPr>
            <w:tcW w:w="836" w:type="pct"/>
          </w:tcPr>
          <w:p w14:paraId="6FA7462A" w14:textId="77777777" w:rsidR="005F4471" w:rsidRDefault="005F4471" w:rsidP="002F7DDA">
            <w:pPr>
              <w:pStyle w:val="TableTextDusc"/>
              <w:keepNext/>
              <w:keepLines/>
            </w:pPr>
            <w:r>
              <w:t>6/107 (6%)</w:t>
            </w:r>
          </w:p>
        </w:tc>
      </w:tr>
      <w:tr w:rsidR="005F4471" w:rsidRPr="00E2771E" w14:paraId="761A87DB" w14:textId="77777777" w:rsidTr="008C18C0">
        <w:trPr>
          <w:cantSplit/>
        </w:trPr>
        <w:tc>
          <w:tcPr>
            <w:tcW w:w="627" w:type="pct"/>
            <w:tcBorders>
              <w:bottom w:val="single" w:sz="4" w:space="0" w:color="auto"/>
            </w:tcBorders>
            <w:shd w:val="clear" w:color="auto" w:fill="auto"/>
          </w:tcPr>
          <w:p w14:paraId="2F49EC95" w14:textId="77777777" w:rsidR="005F4471" w:rsidRDefault="005F4471" w:rsidP="002F7DDA">
            <w:pPr>
              <w:pStyle w:val="TableTextDusc"/>
              <w:keepNext/>
              <w:keepLines/>
            </w:pPr>
            <w:r>
              <w:t>M10-114</w:t>
            </w:r>
            <w:r>
              <w:rPr>
                <w:b/>
                <w:vertAlign w:val="superscript"/>
              </w:rPr>
              <w:t>3</w:t>
            </w:r>
          </w:p>
        </w:tc>
        <w:tc>
          <w:tcPr>
            <w:tcW w:w="470" w:type="pct"/>
            <w:tcBorders>
              <w:bottom w:val="single" w:sz="4" w:space="0" w:color="auto"/>
            </w:tcBorders>
            <w:shd w:val="clear" w:color="auto" w:fill="auto"/>
          </w:tcPr>
          <w:p w14:paraId="4205D1B1" w14:textId="77777777" w:rsidR="005F4471" w:rsidRDefault="005F4471" w:rsidP="002F7DDA">
            <w:pPr>
              <w:pStyle w:val="TableTextDusc"/>
              <w:keepNext/>
              <w:keepLines/>
            </w:pPr>
            <w:r>
              <w:t>No</w:t>
            </w:r>
          </w:p>
        </w:tc>
        <w:tc>
          <w:tcPr>
            <w:tcW w:w="316" w:type="pct"/>
            <w:tcBorders>
              <w:bottom w:val="single" w:sz="4" w:space="0" w:color="auto"/>
            </w:tcBorders>
            <w:shd w:val="clear" w:color="auto" w:fill="auto"/>
          </w:tcPr>
          <w:p w14:paraId="744A4AAA" w14:textId="77777777" w:rsidR="005F4471" w:rsidRDefault="005F4471" w:rsidP="002F7DDA">
            <w:pPr>
              <w:pStyle w:val="TableTextDusc"/>
              <w:keepNext/>
              <w:keepLines/>
            </w:pPr>
            <w:r>
              <w:t>347</w:t>
            </w:r>
          </w:p>
        </w:tc>
        <w:tc>
          <w:tcPr>
            <w:tcW w:w="393" w:type="pct"/>
            <w:tcBorders>
              <w:bottom w:val="single" w:sz="4" w:space="0" w:color="auto"/>
            </w:tcBorders>
            <w:shd w:val="clear" w:color="auto" w:fill="auto"/>
          </w:tcPr>
          <w:p w14:paraId="611F5404" w14:textId="77777777" w:rsidR="005F4471" w:rsidRDefault="005F4471" w:rsidP="002F7DDA">
            <w:pPr>
              <w:pStyle w:val="TableTextDusc"/>
              <w:keepNext/>
              <w:keepLines/>
            </w:pPr>
            <w:r>
              <w:t>R, DB, PC, MC</w:t>
            </w:r>
          </w:p>
        </w:tc>
        <w:tc>
          <w:tcPr>
            <w:tcW w:w="707" w:type="pct"/>
            <w:tcBorders>
              <w:bottom w:val="single" w:sz="4" w:space="0" w:color="auto"/>
            </w:tcBorders>
            <w:shd w:val="clear" w:color="auto" w:fill="auto"/>
          </w:tcPr>
          <w:p w14:paraId="09E70BD3" w14:textId="77777777" w:rsidR="005F4471" w:rsidRDefault="005F4471" w:rsidP="002F7DDA">
            <w:pPr>
              <w:pStyle w:val="TableTextDusc"/>
              <w:keepNext/>
              <w:keepLines/>
            </w:pPr>
            <w:r>
              <w:t>12 weeks</w:t>
            </w:r>
          </w:p>
        </w:tc>
        <w:tc>
          <w:tcPr>
            <w:tcW w:w="393" w:type="pct"/>
            <w:tcBorders>
              <w:bottom w:val="single" w:sz="4" w:space="0" w:color="auto"/>
            </w:tcBorders>
            <w:shd w:val="clear" w:color="auto" w:fill="auto"/>
          </w:tcPr>
          <w:p w14:paraId="7FBD667B" w14:textId="77777777" w:rsidR="005F4471" w:rsidRDefault="005F4471" w:rsidP="002F7DDA">
            <w:pPr>
              <w:pStyle w:val="TableTextDusc"/>
              <w:keepNext/>
              <w:keepLines/>
            </w:pPr>
            <w:r>
              <w:t>Unclear (High</w:t>
            </w:r>
            <w:r w:rsidRPr="00AF16B1">
              <w:rPr>
                <w:vertAlign w:val="superscript"/>
              </w:rPr>
              <w:t>a</w:t>
            </w:r>
            <w:r>
              <w:t>)</w:t>
            </w:r>
          </w:p>
        </w:tc>
        <w:tc>
          <w:tcPr>
            <w:tcW w:w="551" w:type="pct"/>
            <w:tcBorders>
              <w:bottom w:val="single" w:sz="4" w:space="0" w:color="auto"/>
            </w:tcBorders>
            <w:shd w:val="clear" w:color="auto" w:fill="auto"/>
          </w:tcPr>
          <w:p w14:paraId="20116BCE" w14:textId="77777777" w:rsidR="005F4471" w:rsidRDefault="005F4471" w:rsidP="002F7DDA">
            <w:pPr>
              <w:pStyle w:val="TableTextDusc"/>
              <w:keepNext/>
              <w:keepLines/>
            </w:pPr>
            <w:r>
              <w:t>≥ 10% BSA</w:t>
            </w:r>
          </w:p>
          <w:p w14:paraId="57617FB2" w14:textId="77777777" w:rsidR="005F4471" w:rsidRDefault="005F4471" w:rsidP="002F7DDA">
            <w:pPr>
              <w:pStyle w:val="TableTextDusc"/>
              <w:keepNext/>
              <w:keepLines/>
            </w:pPr>
            <w:r>
              <w:t>≥ 12 PASI</w:t>
            </w:r>
          </w:p>
          <w:p w14:paraId="526CC2E7" w14:textId="77777777" w:rsidR="005F4471" w:rsidRDefault="005F4471" w:rsidP="002F7DDA">
            <w:pPr>
              <w:pStyle w:val="TableTextDusc"/>
              <w:keepNext/>
              <w:keepLines/>
            </w:pPr>
            <w:r>
              <w:t>≥ 3 PGA</w:t>
            </w:r>
          </w:p>
        </w:tc>
        <w:tc>
          <w:tcPr>
            <w:tcW w:w="707" w:type="pct"/>
          </w:tcPr>
          <w:p w14:paraId="317DFFB2" w14:textId="77777777" w:rsidR="005F4471" w:rsidRDefault="005F4471" w:rsidP="002F7DDA">
            <w:pPr>
              <w:pStyle w:val="TableTextDusc"/>
              <w:keepNext/>
              <w:keepLines/>
            </w:pPr>
            <w:r>
              <w:t>NR/141 (56%)</w:t>
            </w:r>
          </w:p>
        </w:tc>
        <w:tc>
          <w:tcPr>
            <w:tcW w:w="836" w:type="pct"/>
            <w:tcBorders>
              <w:bottom w:val="single" w:sz="4" w:space="0" w:color="auto"/>
            </w:tcBorders>
          </w:tcPr>
          <w:p w14:paraId="49C71918" w14:textId="77777777" w:rsidR="005F4471" w:rsidRDefault="005F4471" w:rsidP="002F7DDA">
            <w:pPr>
              <w:pStyle w:val="TableTextDusc"/>
              <w:keepNext/>
              <w:keepLines/>
            </w:pPr>
            <w:r>
              <w:t>NR/68 (7%)</w:t>
            </w:r>
          </w:p>
        </w:tc>
      </w:tr>
      <w:tr w:rsidR="005F4471" w:rsidRPr="00E2771E" w14:paraId="7A092B05" w14:textId="77777777" w:rsidTr="008C18C0">
        <w:trPr>
          <w:cantSplit/>
        </w:trPr>
        <w:tc>
          <w:tcPr>
            <w:tcW w:w="627" w:type="pct"/>
            <w:tcBorders>
              <w:bottom w:val="single" w:sz="4" w:space="0" w:color="auto"/>
            </w:tcBorders>
            <w:shd w:val="clear" w:color="auto" w:fill="auto"/>
          </w:tcPr>
          <w:p w14:paraId="72DACA1A" w14:textId="77777777" w:rsidR="005F4471" w:rsidRDefault="005F4471" w:rsidP="002F7DDA">
            <w:pPr>
              <w:pStyle w:val="TableTextDusc"/>
              <w:keepNext/>
              <w:keepLines/>
            </w:pPr>
            <w:r>
              <w:t>M10-315</w:t>
            </w:r>
            <w:r>
              <w:rPr>
                <w:b/>
                <w:vertAlign w:val="superscript"/>
              </w:rPr>
              <w:t>3</w:t>
            </w:r>
          </w:p>
        </w:tc>
        <w:tc>
          <w:tcPr>
            <w:tcW w:w="470" w:type="pct"/>
            <w:tcBorders>
              <w:bottom w:val="single" w:sz="4" w:space="0" w:color="auto"/>
            </w:tcBorders>
            <w:shd w:val="clear" w:color="auto" w:fill="auto"/>
          </w:tcPr>
          <w:p w14:paraId="4E8836DD" w14:textId="77777777" w:rsidR="005F4471" w:rsidRDefault="005F4471" w:rsidP="002F7DDA">
            <w:pPr>
              <w:pStyle w:val="TableTextDusc"/>
              <w:keepNext/>
              <w:keepLines/>
            </w:pPr>
            <w:r>
              <w:t>No</w:t>
            </w:r>
          </w:p>
        </w:tc>
        <w:tc>
          <w:tcPr>
            <w:tcW w:w="316" w:type="pct"/>
            <w:tcBorders>
              <w:bottom w:val="single" w:sz="4" w:space="0" w:color="auto"/>
            </w:tcBorders>
            <w:shd w:val="clear" w:color="auto" w:fill="auto"/>
          </w:tcPr>
          <w:p w14:paraId="5AAD9A05" w14:textId="77777777" w:rsidR="005F4471" w:rsidRDefault="005F4471" w:rsidP="002F7DDA">
            <w:pPr>
              <w:pStyle w:val="TableTextDusc"/>
              <w:keepNext/>
              <w:keepLines/>
            </w:pPr>
            <w:r>
              <w:t>139</w:t>
            </w:r>
          </w:p>
        </w:tc>
        <w:tc>
          <w:tcPr>
            <w:tcW w:w="393" w:type="pct"/>
            <w:tcBorders>
              <w:bottom w:val="single" w:sz="4" w:space="0" w:color="auto"/>
            </w:tcBorders>
            <w:shd w:val="clear" w:color="auto" w:fill="auto"/>
          </w:tcPr>
          <w:p w14:paraId="50FA9492" w14:textId="77777777" w:rsidR="005F4471" w:rsidRDefault="005F4471" w:rsidP="002F7DDA">
            <w:pPr>
              <w:pStyle w:val="TableTextDusc"/>
              <w:keepNext/>
              <w:keepLines/>
            </w:pPr>
            <w:r>
              <w:t>R, DB, PC, MC</w:t>
            </w:r>
          </w:p>
        </w:tc>
        <w:tc>
          <w:tcPr>
            <w:tcW w:w="707" w:type="pct"/>
            <w:tcBorders>
              <w:bottom w:val="single" w:sz="4" w:space="0" w:color="auto"/>
            </w:tcBorders>
            <w:shd w:val="clear" w:color="auto" w:fill="auto"/>
          </w:tcPr>
          <w:p w14:paraId="38228E50" w14:textId="77777777" w:rsidR="005F4471" w:rsidRDefault="005F4471" w:rsidP="002F7DDA">
            <w:pPr>
              <w:pStyle w:val="TableTextDusc"/>
              <w:keepNext/>
              <w:keepLines/>
            </w:pPr>
            <w:r>
              <w:t>12 weeks</w:t>
            </w:r>
          </w:p>
        </w:tc>
        <w:tc>
          <w:tcPr>
            <w:tcW w:w="393" w:type="pct"/>
            <w:tcBorders>
              <w:bottom w:val="single" w:sz="4" w:space="0" w:color="auto"/>
            </w:tcBorders>
            <w:shd w:val="clear" w:color="auto" w:fill="auto"/>
          </w:tcPr>
          <w:p w14:paraId="20BA74C5" w14:textId="77777777" w:rsidR="005F4471" w:rsidRDefault="005F4471" w:rsidP="002F7DDA">
            <w:pPr>
              <w:pStyle w:val="TableTextDusc"/>
              <w:keepNext/>
              <w:keepLines/>
            </w:pPr>
            <w:r>
              <w:t>Unclear (High</w:t>
            </w:r>
            <w:r w:rsidRPr="00AF16B1">
              <w:rPr>
                <w:vertAlign w:val="superscript"/>
              </w:rPr>
              <w:t>a</w:t>
            </w:r>
            <w:r>
              <w:t>)</w:t>
            </w:r>
          </w:p>
        </w:tc>
        <w:tc>
          <w:tcPr>
            <w:tcW w:w="551" w:type="pct"/>
            <w:tcBorders>
              <w:bottom w:val="single" w:sz="4" w:space="0" w:color="auto"/>
            </w:tcBorders>
            <w:shd w:val="clear" w:color="auto" w:fill="auto"/>
          </w:tcPr>
          <w:p w14:paraId="2C1E7E03" w14:textId="77777777" w:rsidR="005F4471" w:rsidRDefault="005F4471" w:rsidP="002F7DDA">
            <w:pPr>
              <w:pStyle w:val="TableTextDusc"/>
              <w:keepNext/>
              <w:keepLines/>
            </w:pPr>
            <w:r>
              <w:t>≥ 10% BSA</w:t>
            </w:r>
          </w:p>
          <w:p w14:paraId="28D507C4" w14:textId="77777777" w:rsidR="005F4471" w:rsidRDefault="005F4471" w:rsidP="002F7DDA">
            <w:pPr>
              <w:pStyle w:val="TableTextDusc"/>
              <w:keepNext/>
              <w:keepLines/>
            </w:pPr>
            <w:r>
              <w:t>≥ 12 PASI</w:t>
            </w:r>
          </w:p>
          <w:p w14:paraId="0F97B968" w14:textId="77777777" w:rsidR="005F4471" w:rsidRDefault="005F4471" w:rsidP="002F7DDA">
            <w:pPr>
              <w:pStyle w:val="TableTextDusc"/>
              <w:keepNext/>
              <w:keepLines/>
            </w:pPr>
            <w:r>
              <w:t>≥ 3 PGA</w:t>
            </w:r>
          </w:p>
        </w:tc>
        <w:tc>
          <w:tcPr>
            <w:tcW w:w="707" w:type="pct"/>
          </w:tcPr>
          <w:p w14:paraId="4AB07E08" w14:textId="77777777" w:rsidR="005F4471" w:rsidRDefault="005F4471" w:rsidP="002F7DDA">
            <w:pPr>
              <w:pStyle w:val="TableTextDusc"/>
              <w:keepNext/>
              <w:keepLines/>
            </w:pPr>
            <w:r>
              <w:t>NR/139 (40%)</w:t>
            </w:r>
          </w:p>
        </w:tc>
        <w:tc>
          <w:tcPr>
            <w:tcW w:w="836" w:type="pct"/>
            <w:tcBorders>
              <w:bottom w:val="single" w:sz="4" w:space="0" w:color="auto"/>
            </w:tcBorders>
          </w:tcPr>
          <w:p w14:paraId="6FDFDC09" w14:textId="77777777" w:rsidR="005F4471" w:rsidRDefault="005F4471" w:rsidP="002F7DDA">
            <w:pPr>
              <w:pStyle w:val="TableTextDusc"/>
              <w:keepNext/>
              <w:keepLines/>
            </w:pPr>
            <w:r>
              <w:t>NR/72 (7%)</w:t>
            </w:r>
          </w:p>
        </w:tc>
      </w:tr>
    </w:tbl>
    <w:p w14:paraId="4CC4526E" w14:textId="77777777" w:rsidR="00EA6F53" w:rsidRDefault="00EA6F53" w:rsidP="002F7DDA">
      <w:pPr>
        <w:pStyle w:val="TableFooter"/>
        <w:keepNext/>
        <w:keepLines/>
      </w:pPr>
      <w:r w:rsidRPr="008521BC">
        <w:t xml:space="preserve">BSA = body surface area; DB = double blind; </w:t>
      </w:r>
      <w:r>
        <w:t>Etan </w:t>
      </w:r>
      <w:r w:rsidRPr="00063A16">
        <w:t>=</w:t>
      </w:r>
      <w:r>
        <w:t> etanercept</w:t>
      </w:r>
      <w:r w:rsidRPr="00063A16">
        <w:t>;</w:t>
      </w:r>
      <w:r>
        <w:t xml:space="preserve"> </w:t>
      </w:r>
      <w:r w:rsidRPr="008521BC">
        <w:t xml:space="preserve">MC = multi-centre; </w:t>
      </w:r>
      <w:r>
        <w:t>NR = not reported;</w:t>
      </w:r>
      <w:r w:rsidRPr="008521BC">
        <w:t xml:space="preserve"> PASI = </w:t>
      </w:r>
      <w:r w:rsidRPr="00383CDD">
        <w:t>Psoriasis Area and Severity Index;</w:t>
      </w:r>
      <w:r w:rsidRPr="008521BC">
        <w:t xml:space="preserve"> </w:t>
      </w:r>
      <w:r w:rsidRPr="00383CDD">
        <w:t xml:space="preserve">PASI 75 = reduction in PASI score of 75%; </w:t>
      </w:r>
      <w:r w:rsidRPr="008521BC">
        <w:t xml:space="preserve">PBAC = Pharmaceutical Benefits Advisory Committee; </w:t>
      </w:r>
      <w:r w:rsidRPr="00063A16">
        <w:t xml:space="preserve">Pbo = </w:t>
      </w:r>
      <w:r>
        <w:t>p</w:t>
      </w:r>
      <w:r w:rsidRPr="00063A16">
        <w:t>lacebo</w:t>
      </w:r>
      <w:r>
        <w:t>;</w:t>
      </w:r>
      <w:r w:rsidRPr="008521BC">
        <w:t xml:space="preserve"> PC = placebo-controlled; </w:t>
      </w:r>
      <w:r>
        <w:t xml:space="preserve">PGA = Physicians Global </w:t>
      </w:r>
      <w:r w:rsidRPr="00B52E48">
        <w:t>Assess</w:t>
      </w:r>
      <w:r w:rsidR="00094F48">
        <w:t>me</w:t>
      </w:r>
      <w:r w:rsidRPr="00B52E48">
        <w:t>nt</w:t>
      </w:r>
      <w:r>
        <w:t xml:space="preserve">; QoL = quality </w:t>
      </w:r>
      <w:r w:rsidRPr="00B52E48">
        <w:t>of</w:t>
      </w:r>
      <w:r>
        <w:t xml:space="preserve"> life; </w:t>
      </w:r>
      <w:r w:rsidRPr="008521BC">
        <w:t xml:space="preserve">R = randomised; </w:t>
      </w:r>
      <w:r w:rsidRPr="00513BB3">
        <w:rPr>
          <w:highlight w:val="lightGray"/>
        </w:rPr>
        <w:t>Shaded</w:t>
      </w:r>
      <w:r>
        <w:t xml:space="preserve"> = previously considered by the PBAC</w:t>
      </w:r>
    </w:p>
    <w:p w14:paraId="229B2A4B" w14:textId="77777777" w:rsidR="00EA6F53" w:rsidRDefault="00EA6F53" w:rsidP="002F7DDA">
      <w:pPr>
        <w:pStyle w:val="TableFooter"/>
        <w:keepNext/>
        <w:keepLines/>
      </w:pPr>
      <w:r w:rsidRPr="008521BC">
        <w:rPr>
          <w:vertAlign w:val="superscript"/>
        </w:rPr>
        <w:t>a</w:t>
      </w:r>
      <w:r>
        <w:t xml:space="preserve"> Trial was funded by a pharmaceutical company</w:t>
      </w:r>
    </w:p>
    <w:p w14:paraId="35B23B0A" w14:textId="77777777" w:rsidR="00EA6F53" w:rsidRDefault="00EA6F53" w:rsidP="002F7DDA">
      <w:pPr>
        <w:pStyle w:val="TableFooter"/>
        <w:keepNext/>
        <w:keepLines/>
      </w:pPr>
      <w:r w:rsidRPr="00D2350F">
        <w:rPr>
          <w:vertAlign w:val="superscript"/>
        </w:rPr>
        <w:t>1</w:t>
      </w:r>
      <w:r>
        <w:t xml:space="preserve"> Etanercept 25 mg SC twice weekly (PI recommended dose)</w:t>
      </w:r>
    </w:p>
    <w:p w14:paraId="118FC687" w14:textId="77777777" w:rsidR="005F4471" w:rsidRDefault="005F4471" w:rsidP="002F7DDA">
      <w:pPr>
        <w:pStyle w:val="TableFooter"/>
        <w:keepNext/>
        <w:keepLines/>
      </w:pPr>
      <w:r w:rsidRPr="00D2350F">
        <w:rPr>
          <w:vertAlign w:val="superscript"/>
        </w:rPr>
        <w:t>2</w:t>
      </w:r>
      <w:r>
        <w:t xml:space="preserve"> Etanercept 50 mg SC once weekly (PI recommended dose)</w:t>
      </w:r>
    </w:p>
    <w:p w14:paraId="53BFDEFE" w14:textId="77777777" w:rsidR="005F4471" w:rsidRDefault="005F4471" w:rsidP="002F7DDA">
      <w:pPr>
        <w:pStyle w:val="TableFooter"/>
        <w:keepNext/>
        <w:keepLines/>
      </w:pPr>
      <w:r w:rsidRPr="00D2350F">
        <w:rPr>
          <w:vertAlign w:val="superscript"/>
        </w:rPr>
        <w:t>3</w:t>
      </w:r>
      <w:r>
        <w:t xml:space="preserve"> Etanercept 50 mg SC twice weekly</w:t>
      </w:r>
    </w:p>
    <w:p w14:paraId="02DA87B9" w14:textId="77777777" w:rsidR="00C9273D" w:rsidRPr="00C9273D" w:rsidRDefault="00C9273D" w:rsidP="00C9273D">
      <w:pPr>
        <w:rPr>
          <w:u w:val="single"/>
        </w:rPr>
      </w:pPr>
      <w:r w:rsidRPr="00C9273D">
        <w:rPr>
          <w:u w:val="single"/>
        </w:rPr>
        <w:t xml:space="preserve">Infliximab </w:t>
      </w:r>
    </w:p>
    <w:p w14:paraId="149588B2" w14:textId="59B4985C" w:rsidR="00EA6F53" w:rsidRDefault="00C9273D" w:rsidP="00C9273D">
      <w:r>
        <w:t>Eight</w:t>
      </w:r>
      <w:r w:rsidRPr="00BB11F0">
        <w:t xml:space="preserve"> infliximab trials, with 1</w:t>
      </w:r>
      <w:r>
        <w:t>1</w:t>
      </w:r>
      <w:r w:rsidRPr="00BB11F0">
        <w:t xml:space="preserve"> related publications</w:t>
      </w:r>
      <w:r>
        <w:t xml:space="preserve"> </w:t>
      </w:r>
      <w:r w:rsidRPr="00BB11F0">
        <w:t xml:space="preserve">were identified. </w:t>
      </w:r>
      <w:r>
        <w:t>The citation details, a brief description of the placebo</w:t>
      </w:r>
      <w:r w:rsidR="009E36C4">
        <w:t>-</w:t>
      </w:r>
      <w:r>
        <w:t xml:space="preserve">controlled trial publication, the outcomes, and whether the trial has been previously considered by the PBAC are presented in </w:t>
      </w:r>
      <w:r w:rsidR="00594BE2">
        <w:t>Table ES.</w:t>
      </w:r>
      <w:r w:rsidR="00594BE2">
        <w:rPr>
          <w:noProof/>
        </w:rPr>
        <w:t>9</w:t>
      </w:r>
      <w:r>
        <w:t>.</w:t>
      </w:r>
    </w:p>
    <w:p w14:paraId="47A9C8E4" w14:textId="0045EA2D" w:rsidR="00C9273D" w:rsidRDefault="00C9273D" w:rsidP="008D4D9D">
      <w:pPr>
        <w:pStyle w:val="MDTabCaption"/>
        <w:keepLines/>
      </w:pPr>
      <w:bookmarkStart w:id="47" w:name="_Ref501102234"/>
      <w:bookmarkStart w:id="48" w:name="_Toc501121188"/>
      <w:bookmarkStart w:id="49" w:name="_Toc503274999"/>
      <w:r>
        <w:lastRenderedPageBreak/>
        <w:t>Table ES.</w:t>
      </w:r>
      <w:r w:rsidR="00594BE2">
        <w:t>9</w:t>
      </w:r>
      <w:bookmarkEnd w:id="47"/>
      <w:r>
        <w:t>: Infliximab trials: comparison of trial characteristics</w:t>
      </w:r>
      <w:bookmarkEnd w:id="48"/>
      <w:r>
        <w:t xml:space="preserve"> and PASI 75 response</w:t>
      </w:r>
      <w:bookmarkEnd w:id="49"/>
      <w:r w:rsidR="009E36C4">
        <w:t xml:space="preserve"> of the placebo-controlled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0"/>
        <w:gridCol w:w="847"/>
        <w:gridCol w:w="570"/>
        <w:gridCol w:w="709"/>
        <w:gridCol w:w="1275"/>
        <w:gridCol w:w="709"/>
        <w:gridCol w:w="994"/>
        <w:gridCol w:w="1275"/>
        <w:gridCol w:w="1507"/>
      </w:tblGrid>
      <w:tr w:rsidR="00C9273D" w:rsidRPr="00383CDD" w14:paraId="04383D9E" w14:textId="77777777" w:rsidTr="00C9273D">
        <w:trPr>
          <w:cantSplit/>
          <w:tblHeader/>
        </w:trPr>
        <w:tc>
          <w:tcPr>
            <w:tcW w:w="627" w:type="pct"/>
            <w:shd w:val="clear" w:color="auto" w:fill="auto"/>
          </w:tcPr>
          <w:p w14:paraId="578CB475" w14:textId="77777777" w:rsidR="00C9273D" w:rsidRPr="008521BC" w:rsidRDefault="00C9273D" w:rsidP="00C9273D">
            <w:pPr>
              <w:pStyle w:val="TableTextDusc"/>
              <w:keepNext/>
              <w:rPr>
                <w:b/>
              </w:rPr>
            </w:pPr>
            <w:r w:rsidRPr="008521BC">
              <w:rPr>
                <w:b/>
              </w:rPr>
              <w:t>Trial</w:t>
            </w:r>
          </w:p>
        </w:tc>
        <w:tc>
          <w:tcPr>
            <w:tcW w:w="470" w:type="pct"/>
            <w:shd w:val="clear" w:color="auto" w:fill="auto"/>
          </w:tcPr>
          <w:p w14:paraId="4BF3E058" w14:textId="77777777" w:rsidR="00C9273D" w:rsidRPr="008521BC" w:rsidRDefault="00C9273D" w:rsidP="00C9273D">
            <w:pPr>
              <w:pStyle w:val="TableTextDusc"/>
              <w:keepNext/>
              <w:rPr>
                <w:b/>
              </w:rPr>
            </w:pPr>
            <w:r w:rsidRPr="008521BC">
              <w:rPr>
                <w:b/>
              </w:rPr>
              <w:t>Seen by PBAC?</w:t>
            </w:r>
          </w:p>
        </w:tc>
        <w:tc>
          <w:tcPr>
            <w:tcW w:w="316" w:type="pct"/>
            <w:shd w:val="clear" w:color="auto" w:fill="auto"/>
          </w:tcPr>
          <w:p w14:paraId="65F262C3" w14:textId="77777777" w:rsidR="00C9273D" w:rsidRPr="008521BC" w:rsidRDefault="00C9273D" w:rsidP="00C9273D">
            <w:pPr>
              <w:pStyle w:val="TableTextDusc"/>
              <w:keepNext/>
              <w:rPr>
                <w:b/>
              </w:rPr>
            </w:pPr>
            <w:r w:rsidRPr="008521BC">
              <w:rPr>
                <w:b/>
              </w:rPr>
              <w:t>N</w:t>
            </w:r>
          </w:p>
        </w:tc>
        <w:tc>
          <w:tcPr>
            <w:tcW w:w="393" w:type="pct"/>
            <w:shd w:val="clear" w:color="auto" w:fill="auto"/>
          </w:tcPr>
          <w:p w14:paraId="1EC3C808" w14:textId="77777777" w:rsidR="00C9273D" w:rsidRPr="008521BC" w:rsidRDefault="00C9273D" w:rsidP="00C9273D">
            <w:pPr>
              <w:pStyle w:val="TableTextDusc"/>
              <w:keepNext/>
              <w:rPr>
                <w:b/>
              </w:rPr>
            </w:pPr>
            <w:r w:rsidRPr="008521BC">
              <w:rPr>
                <w:b/>
              </w:rPr>
              <w:t>Design</w:t>
            </w:r>
          </w:p>
        </w:tc>
        <w:tc>
          <w:tcPr>
            <w:tcW w:w="707" w:type="pct"/>
            <w:shd w:val="clear" w:color="auto" w:fill="auto"/>
          </w:tcPr>
          <w:p w14:paraId="57DD91AD" w14:textId="77777777" w:rsidR="00C9273D" w:rsidRPr="008521BC" w:rsidRDefault="00C9273D" w:rsidP="00C9273D">
            <w:pPr>
              <w:pStyle w:val="TableTextDusc"/>
              <w:keepNext/>
              <w:rPr>
                <w:b/>
              </w:rPr>
            </w:pPr>
            <w:r w:rsidRPr="008521BC">
              <w:rPr>
                <w:b/>
              </w:rPr>
              <w:t>Trial duration (total study)</w:t>
            </w:r>
          </w:p>
        </w:tc>
        <w:tc>
          <w:tcPr>
            <w:tcW w:w="393" w:type="pct"/>
            <w:shd w:val="clear" w:color="auto" w:fill="auto"/>
          </w:tcPr>
          <w:p w14:paraId="6A2A9195" w14:textId="77777777" w:rsidR="00C9273D" w:rsidRPr="008521BC" w:rsidRDefault="00C9273D" w:rsidP="00C9273D">
            <w:pPr>
              <w:pStyle w:val="TableTextDusc"/>
              <w:keepNext/>
              <w:rPr>
                <w:b/>
              </w:rPr>
            </w:pPr>
            <w:r w:rsidRPr="008521BC">
              <w:rPr>
                <w:b/>
              </w:rPr>
              <w:t>Risk of bias</w:t>
            </w:r>
          </w:p>
        </w:tc>
        <w:tc>
          <w:tcPr>
            <w:tcW w:w="551" w:type="pct"/>
            <w:shd w:val="clear" w:color="auto" w:fill="auto"/>
          </w:tcPr>
          <w:p w14:paraId="7E1FE501" w14:textId="77777777" w:rsidR="00C9273D" w:rsidRPr="008521BC" w:rsidRDefault="00C9273D" w:rsidP="00C9273D">
            <w:pPr>
              <w:pStyle w:val="TableTextDusc"/>
              <w:keepNext/>
              <w:rPr>
                <w:b/>
              </w:rPr>
            </w:pPr>
            <w:r w:rsidRPr="008521BC">
              <w:rPr>
                <w:b/>
              </w:rPr>
              <w:t>Patient population</w:t>
            </w:r>
          </w:p>
        </w:tc>
        <w:tc>
          <w:tcPr>
            <w:tcW w:w="707" w:type="pct"/>
            <w:shd w:val="clear" w:color="auto" w:fill="auto"/>
          </w:tcPr>
          <w:p w14:paraId="28A15C70" w14:textId="77777777" w:rsidR="00C9273D" w:rsidRPr="008521BC" w:rsidRDefault="00C9273D" w:rsidP="00C9273D">
            <w:pPr>
              <w:pStyle w:val="TableTextDusc"/>
              <w:keepNext/>
              <w:rPr>
                <w:b/>
              </w:rPr>
            </w:pPr>
            <w:r w:rsidRPr="00A47E3B">
              <w:rPr>
                <w:b/>
              </w:rPr>
              <w:t>PASI</w:t>
            </w:r>
            <w:r>
              <w:rPr>
                <w:b/>
              </w:rPr>
              <w:t xml:space="preserve"> </w:t>
            </w:r>
            <w:r w:rsidRPr="00A47E3B">
              <w:rPr>
                <w:b/>
              </w:rPr>
              <w:t>75;</w:t>
            </w:r>
            <w:r>
              <w:rPr>
                <w:b/>
              </w:rPr>
              <w:t xml:space="preserve"> n/N</w:t>
            </w:r>
            <w:r w:rsidRPr="00A47E3B">
              <w:rPr>
                <w:b/>
              </w:rPr>
              <w:t xml:space="preserve"> (%)</w:t>
            </w:r>
            <w:r>
              <w:rPr>
                <w:b/>
              </w:rPr>
              <w:t>Infliximab</w:t>
            </w:r>
            <w:r w:rsidRPr="00F34FF3">
              <w:rPr>
                <w:b/>
                <w:vertAlign w:val="superscript"/>
              </w:rPr>
              <w:t>1</w:t>
            </w:r>
          </w:p>
        </w:tc>
        <w:tc>
          <w:tcPr>
            <w:tcW w:w="836" w:type="pct"/>
          </w:tcPr>
          <w:p w14:paraId="5163FEF1" w14:textId="77777777" w:rsidR="00C9273D" w:rsidRPr="008521BC" w:rsidRDefault="00C9273D" w:rsidP="00C9273D">
            <w:pPr>
              <w:pStyle w:val="TableTextDusc"/>
              <w:keepNext/>
              <w:rPr>
                <w:b/>
              </w:rPr>
            </w:pPr>
            <w:r w:rsidRPr="00A47E3B">
              <w:rPr>
                <w:b/>
              </w:rPr>
              <w:t>PASI</w:t>
            </w:r>
            <w:r>
              <w:rPr>
                <w:b/>
              </w:rPr>
              <w:t xml:space="preserve"> </w:t>
            </w:r>
            <w:r w:rsidRPr="00A47E3B">
              <w:rPr>
                <w:b/>
              </w:rPr>
              <w:t>75;</w:t>
            </w:r>
            <w:r>
              <w:rPr>
                <w:b/>
              </w:rPr>
              <w:t xml:space="preserve"> n/N</w:t>
            </w:r>
            <w:r w:rsidRPr="00A47E3B">
              <w:rPr>
                <w:b/>
              </w:rPr>
              <w:t xml:space="preserve"> (%)</w:t>
            </w:r>
            <w:r>
              <w:rPr>
                <w:b/>
              </w:rPr>
              <w:t>Placebo</w:t>
            </w:r>
          </w:p>
        </w:tc>
      </w:tr>
      <w:tr w:rsidR="00C9273D" w:rsidRPr="00E2771E" w14:paraId="5EF46FDE" w14:textId="77777777" w:rsidTr="00C9273D">
        <w:trPr>
          <w:cantSplit/>
        </w:trPr>
        <w:tc>
          <w:tcPr>
            <w:tcW w:w="627" w:type="pct"/>
            <w:shd w:val="clear" w:color="auto" w:fill="F2F2F2" w:themeFill="background1" w:themeFillShade="F2"/>
          </w:tcPr>
          <w:p w14:paraId="7CA0969C" w14:textId="77777777" w:rsidR="00C9273D" w:rsidRPr="00E2771E" w:rsidRDefault="00C9273D" w:rsidP="00C9273D">
            <w:pPr>
              <w:pStyle w:val="TableTextDusc"/>
              <w:keepNext/>
            </w:pPr>
            <w:r>
              <w:t>Chaudhari (2001)</w:t>
            </w:r>
          </w:p>
        </w:tc>
        <w:tc>
          <w:tcPr>
            <w:tcW w:w="470" w:type="pct"/>
            <w:shd w:val="clear" w:color="auto" w:fill="F2F2F2" w:themeFill="background1" w:themeFillShade="F2"/>
          </w:tcPr>
          <w:p w14:paraId="37BED210" w14:textId="77777777" w:rsidR="00C9273D" w:rsidRPr="00E2771E" w:rsidRDefault="00C9273D" w:rsidP="00C9273D">
            <w:pPr>
              <w:pStyle w:val="TableTextDusc"/>
              <w:keepNext/>
            </w:pPr>
            <w:r>
              <w:t xml:space="preserve">Yes: </w:t>
            </w:r>
            <w:r>
              <w:br/>
              <w:t>Jul 2006</w:t>
            </w:r>
          </w:p>
        </w:tc>
        <w:tc>
          <w:tcPr>
            <w:tcW w:w="316" w:type="pct"/>
            <w:shd w:val="clear" w:color="auto" w:fill="F2F2F2" w:themeFill="background1" w:themeFillShade="F2"/>
          </w:tcPr>
          <w:p w14:paraId="2E8D7F2A" w14:textId="77777777" w:rsidR="00C9273D" w:rsidRPr="00E2771E" w:rsidRDefault="00C9273D" w:rsidP="00C9273D">
            <w:pPr>
              <w:pStyle w:val="TableTextDusc"/>
              <w:keepNext/>
            </w:pPr>
            <w:r>
              <w:t>33</w:t>
            </w:r>
          </w:p>
        </w:tc>
        <w:tc>
          <w:tcPr>
            <w:tcW w:w="393" w:type="pct"/>
            <w:shd w:val="clear" w:color="auto" w:fill="F2F2F2" w:themeFill="background1" w:themeFillShade="F2"/>
          </w:tcPr>
          <w:p w14:paraId="05542F73" w14:textId="77777777" w:rsidR="00C9273D" w:rsidRDefault="00C9273D" w:rsidP="00C9273D">
            <w:pPr>
              <w:pStyle w:val="TableTextDusc"/>
              <w:keepNext/>
            </w:pPr>
            <w:r>
              <w:t>R, DB, PC</w:t>
            </w:r>
          </w:p>
        </w:tc>
        <w:tc>
          <w:tcPr>
            <w:tcW w:w="707" w:type="pct"/>
            <w:shd w:val="clear" w:color="auto" w:fill="F2F2F2" w:themeFill="background1" w:themeFillShade="F2"/>
          </w:tcPr>
          <w:p w14:paraId="09AD034E" w14:textId="77777777" w:rsidR="00C9273D" w:rsidRPr="00E2771E" w:rsidRDefault="00C9273D" w:rsidP="00C9273D">
            <w:pPr>
              <w:pStyle w:val="TableTextDusc"/>
              <w:keepNext/>
            </w:pPr>
            <w:r>
              <w:t>10 weeks</w:t>
            </w:r>
          </w:p>
        </w:tc>
        <w:tc>
          <w:tcPr>
            <w:tcW w:w="393" w:type="pct"/>
            <w:shd w:val="clear" w:color="auto" w:fill="F2F2F2" w:themeFill="background1" w:themeFillShade="F2"/>
          </w:tcPr>
          <w:p w14:paraId="4D648779" w14:textId="77777777" w:rsidR="00C9273D" w:rsidRPr="00E2771E" w:rsidRDefault="00C9273D" w:rsidP="00C9273D">
            <w:pPr>
              <w:pStyle w:val="TableTextDusc"/>
              <w:keepNext/>
            </w:pPr>
            <w:r>
              <w:t>Unclear (High</w:t>
            </w:r>
            <w:r w:rsidRPr="0011587D">
              <w:rPr>
                <w:vertAlign w:val="superscript"/>
              </w:rPr>
              <w:t>a</w:t>
            </w:r>
            <w:r>
              <w:t>)</w:t>
            </w:r>
          </w:p>
        </w:tc>
        <w:tc>
          <w:tcPr>
            <w:tcW w:w="551" w:type="pct"/>
            <w:shd w:val="clear" w:color="auto" w:fill="F2F2F2" w:themeFill="background1" w:themeFillShade="F2"/>
          </w:tcPr>
          <w:p w14:paraId="24AE1961" w14:textId="77777777" w:rsidR="00C9273D" w:rsidRPr="00E2771E" w:rsidRDefault="00C9273D" w:rsidP="00C9273D">
            <w:pPr>
              <w:pStyle w:val="TableTextDusc"/>
              <w:keepNext/>
            </w:pPr>
            <w:r>
              <w:rPr>
                <w:rFonts w:cstheme="minorHAnsi"/>
              </w:rPr>
              <w:t>≥ 5% BSA</w:t>
            </w:r>
          </w:p>
        </w:tc>
        <w:tc>
          <w:tcPr>
            <w:tcW w:w="707" w:type="pct"/>
            <w:shd w:val="clear" w:color="auto" w:fill="F2F2F2" w:themeFill="background1" w:themeFillShade="F2"/>
          </w:tcPr>
          <w:p w14:paraId="461071B5" w14:textId="77777777" w:rsidR="00C9273D" w:rsidRPr="00E2771E" w:rsidRDefault="00C9273D" w:rsidP="00C9273D">
            <w:pPr>
              <w:pStyle w:val="TableTextDusc"/>
              <w:keepNext/>
            </w:pPr>
            <w:r w:rsidRPr="00A06809">
              <w:t>9</w:t>
            </w:r>
            <w:r>
              <w:t>/11</w:t>
            </w:r>
            <w:r w:rsidRPr="00A06809">
              <w:t xml:space="preserve"> (82%)</w:t>
            </w:r>
          </w:p>
        </w:tc>
        <w:tc>
          <w:tcPr>
            <w:tcW w:w="836" w:type="pct"/>
            <w:shd w:val="clear" w:color="auto" w:fill="F2F2F2" w:themeFill="background1" w:themeFillShade="F2"/>
          </w:tcPr>
          <w:p w14:paraId="7FE713ED" w14:textId="77777777" w:rsidR="00C9273D" w:rsidRDefault="00C9273D" w:rsidP="00C9273D">
            <w:pPr>
              <w:pStyle w:val="TableTextDusc"/>
              <w:keepNext/>
            </w:pPr>
            <w:r w:rsidRPr="00A06809">
              <w:t>2</w:t>
            </w:r>
            <w:r>
              <w:t>/11</w:t>
            </w:r>
            <w:r w:rsidRPr="00A06809">
              <w:t xml:space="preserve"> (18%)</w:t>
            </w:r>
          </w:p>
        </w:tc>
      </w:tr>
      <w:tr w:rsidR="00C9273D" w:rsidRPr="00E2771E" w14:paraId="6B34BDDB" w14:textId="77777777" w:rsidTr="00C9273D">
        <w:trPr>
          <w:cantSplit/>
        </w:trPr>
        <w:tc>
          <w:tcPr>
            <w:tcW w:w="627" w:type="pct"/>
            <w:shd w:val="clear" w:color="auto" w:fill="F2F2F2" w:themeFill="background1" w:themeFillShade="F2"/>
          </w:tcPr>
          <w:p w14:paraId="627492C1" w14:textId="77777777" w:rsidR="00C9273D" w:rsidRDefault="00C9273D" w:rsidP="00C9273D">
            <w:pPr>
              <w:pStyle w:val="TableTextDusc"/>
              <w:keepNext/>
            </w:pPr>
            <w:r>
              <w:t>EXPRESS</w:t>
            </w:r>
          </w:p>
        </w:tc>
        <w:tc>
          <w:tcPr>
            <w:tcW w:w="470" w:type="pct"/>
            <w:shd w:val="clear" w:color="auto" w:fill="F2F2F2" w:themeFill="background1" w:themeFillShade="F2"/>
          </w:tcPr>
          <w:p w14:paraId="2D2EE0AA" w14:textId="77777777" w:rsidR="00C9273D" w:rsidRPr="00E2771E" w:rsidRDefault="00C9273D" w:rsidP="00C9273D">
            <w:pPr>
              <w:pStyle w:val="TableTextDusc"/>
              <w:keepNext/>
            </w:pPr>
            <w:r>
              <w:t>Yes:</w:t>
            </w:r>
            <w:r>
              <w:br/>
              <w:t>Jul 2006</w:t>
            </w:r>
          </w:p>
        </w:tc>
        <w:tc>
          <w:tcPr>
            <w:tcW w:w="316" w:type="pct"/>
            <w:shd w:val="clear" w:color="auto" w:fill="F2F2F2" w:themeFill="background1" w:themeFillShade="F2"/>
          </w:tcPr>
          <w:p w14:paraId="7A6D9878" w14:textId="77777777" w:rsidR="00C9273D" w:rsidRPr="00E2771E" w:rsidRDefault="00C9273D" w:rsidP="00C9273D">
            <w:pPr>
              <w:pStyle w:val="TableTextDusc"/>
              <w:keepNext/>
            </w:pPr>
            <w:r>
              <w:t>378</w:t>
            </w:r>
          </w:p>
        </w:tc>
        <w:tc>
          <w:tcPr>
            <w:tcW w:w="393" w:type="pct"/>
            <w:shd w:val="clear" w:color="auto" w:fill="F2F2F2" w:themeFill="background1" w:themeFillShade="F2"/>
          </w:tcPr>
          <w:p w14:paraId="597F3512" w14:textId="77777777" w:rsidR="00C9273D" w:rsidRDefault="00C9273D" w:rsidP="00C9273D">
            <w:pPr>
              <w:pStyle w:val="TableTextDusc"/>
              <w:keepNext/>
            </w:pPr>
            <w:r>
              <w:t>R, DB, PC, MC</w:t>
            </w:r>
          </w:p>
        </w:tc>
        <w:tc>
          <w:tcPr>
            <w:tcW w:w="707" w:type="pct"/>
            <w:shd w:val="clear" w:color="auto" w:fill="F2F2F2" w:themeFill="background1" w:themeFillShade="F2"/>
          </w:tcPr>
          <w:p w14:paraId="0023C896" w14:textId="77777777" w:rsidR="00C9273D" w:rsidRPr="00E2771E" w:rsidRDefault="00C9273D" w:rsidP="00C9273D">
            <w:pPr>
              <w:pStyle w:val="TableTextDusc"/>
              <w:keepNext/>
            </w:pPr>
            <w:r>
              <w:t>24 weeks</w:t>
            </w:r>
            <w:r>
              <w:br/>
              <w:t>(46 weeks)</w:t>
            </w:r>
          </w:p>
        </w:tc>
        <w:tc>
          <w:tcPr>
            <w:tcW w:w="393" w:type="pct"/>
            <w:shd w:val="clear" w:color="auto" w:fill="F2F2F2" w:themeFill="background1" w:themeFillShade="F2"/>
          </w:tcPr>
          <w:p w14:paraId="77D2DC2F" w14:textId="77777777" w:rsidR="00C9273D" w:rsidRPr="00E2771E" w:rsidRDefault="00C9273D" w:rsidP="00C9273D">
            <w:pPr>
              <w:pStyle w:val="TableTextDusc"/>
              <w:keepNext/>
            </w:pPr>
            <w:r>
              <w:t>Unclear (High</w:t>
            </w:r>
            <w:r w:rsidRPr="0011587D">
              <w:rPr>
                <w:vertAlign w:val="superscript"/>
              </w:rPr>
              <w:t>a</w:t>
            </w:r>
            <w:r>
              <w:t>)</w:t>
            </w:r>
          </w:p>
        </w:tc>
        <w:tc>
          <w:tcPr>
            <w:tcW w:w="551" w:type="pct"/>
            <w:shd w:val="clear" w:color="auto" w:fill="F2F2F2" w:themeFill="background1" w:themeFillShade="F2"/>
          </w:tcPr>
          <w:p w14:paraId="6F55F208" w14:textId="77777777" w:rsidR="00C9273D" w:rsidRDefault="00C9273D" w:rsidP="00C9273D">
            <w:pPr>
              <w:pStyle w:val="TableTextDusc"/>
              <w:keepNext/>
              <w:rPr>
                <w:rFonts w:cstheme="minorHAnsi"/>
              </w:rPr>
            </w:pPr>
            <w:r>
              <w:rPr>
                <w:rFonts w:cstheme="minorHAnsi"/>
              </w:rPr>
              <w:t>≥ 10% BSA</w:t>
            </w:r>
          </w:p>
          <w:p w14:paraId="4F3307FA" w14:textId="77777777" w:rsidR="00C9273D" w:rsidRPr="00E2771E" w:rsidRDefault="00C9273D" w:rsidP="00C9273D">
            <w:pPr>
              <w:pStyle w:val="TableTextDusc"/>
              <w:keepNext/>
            </w:pPr>
            <w:r>
              <w:rPr>
                <w:rFonts w:cstheme="minorHAnsi"/>
              </w:rPr>
              <w:t>≥ 12 PASI</w:t>
            </w:r>
          </w:p>
        </w:tc>
        <w:tc>
          <w:tcPr>
            <w:tcW w:w="707" w:type="pct"/>
            <w:shd w:val="clear" w:color="auto" w:fill="F2F2F2" w:themeFill="background1" w:themeFillShade="F2"/>
          </w:tcPr>
          <w:p w14:paraId="73C5F163" w14:textId="77777777" w:rsidR="00C9273D" w:rsidRPr="00A8176E" w:rsidRDefault="00C9273D" w:rsidP="00C9273D">
            <w:pPr>
              <w:pStyle w:val="TableTextDusc"/>
              <w:keepNext/>
              <w:rPr>
                <w:b/>
              </w:rPr>
            </w:pPr>
            <w:r w:rsidRPr="0096677A">
              <w:t>242</w:t>
            </w:r>
            <w:r>
              <w:t>/301</w:t>
            </w:r>
            <w:r w:rsidRPr="0096677A">
              <w:t xml:space="preserve"> (80%)</w:t>
            </w:r>
          </w:p>
        </w:tc>
        <w:tc>
          <w:tcPr>
            <w:tcW w:w="836" w:type="pct"/>
            <w:shd w:val="clear" w:color="auto" w:fill="F2F2F2" w:themeFill="background1" w:themeFillShade="F2"/>
          </w:tcPr>
          <w:p w14:paraId="0BCA4E91" w14:textId="77777777" w:rsidR="00C9273D" w:rsidRDefault="00C9273D" w:rsidP="00C9273D">
            <w:pPr>
              <w:pStyle w:val="TableTextDusc"/>
              <w:keepNext/>
            </w:pPr>
            <w:r w:rsidRPr="0096677A">
              <w:t>2</w:t>
            </w:r>
            <w:r>
              <w:t>/77</w:t>
            </w:r>
            <w:r w:rsidRPr="0096677A">
              <w:t xml:space="preserve"> (3%)</w:t>
            </w:r>
          </w:p>
        </w:tc>
      </w:tr>
      <w:tr w:rsidR="00C9273D" w:rsidRPr="00E2771E" w14:paraId="58898C49" w14:textId="77777777" w:rsidTr="00C9273D">
        <w:trPr>
          <w:cantSplit/>
        </w:trPr>
        <w:tc>
          <w:tcPr>
            <w:tcW w:w="627" w:type="pct"/>
            <w:shd w:val="clear" w:color="auto" w:fill="F2F2F2" w:themeFill="background1" w:themeFillShade="F2"/>
          </w:tcPr>
          <w:p w14:paraId="616468B4" w14:textId="77777777" w:rsidR="00C9273D" w:rsidRPr="00E2771E" w:rsidRDefault="00C9273D" w:rsidP="00C9273D">
            <w:pPr>
              <w:pStyle w:val="TableTextDusc"/>
            </w:pPr>
            <w:r>
              <w:t>Gottlieb (2004)</w:t>
            </w:r>
          </w:p>
        </w:tc>
        <w:tc>
          <w:tcPr>
            <w:tcW w:w="470" w:type="pct"/>
            <w:shd w:val="clear" w:color="auto" w:fill="F2F2F2" w:themeFill="background1" w:themeFillShade="F2"/>
          </w:tcPr>
          <w:p w14:paraId="64119BD4" w14:textId="77777777" w:rsidR="00C9273D" w:rsidRPr="00E2771E" w:rsidRDefault="00C9273D" w:rsidP="00C9273D">
            <w:pPr>
              <w:pStyle w:val="TableTextDusc"/>
            </w:pPr>
            <w:r>
              <w:t>Yes:</w:t>
            </w:r>
            <w:r>
              <w:br/>
              <w:t>Jul 2006, QoL data</w:t>
            </w:r>
          </w:p>
        </w:tc>
        <w:tc>
          <w:tcPr>
            <w:tcW w:w="316" w:type="pct"/>
            <w:shd w:val="clear" w:color="auto" w:fill="F2F2F2" w:themeFill="background1" w:themeFillShade="F2"/>
          </w:tcPr>
          <w:p w14:paraId="1293F713" w14:textId="77777777" w:rsidR="00C9273D" w:rsidRPr="00E2771E" w:rsidRDefault="00C9273D" w:rsidP="00C9273D">
            <w:pPr>
              <w:pStyle w:val="TableTextDusc"/>
            </w:pPr>
            <w:r>
              <w:t>249</w:t>
            </w:r>
          </w:p>
        </w:tc>
        <w:tc>
          <w:tcPr>
            <w:tcW w:w="393" w:type="pct"/>
            <w:shd w:val="clear" w:color="auto" w:fill="F2F2F2" w:themeFill="background1" w:themeFillShade="F2"/>
          </w:tcPr>
          <w:p w14:paraId="517A4C53" w14:textId="77777777" w:rsidR="00C9273D" w:rsidRDefault="00C9273D" w:rsidP="00C9273D">
            <w:pPr>
              <w:pStyle w:val="TableTextDusc"/>
            </w:pPr>
            <w:r>
              <w:t>R, DB, PC, MC</w:t>
            </w:r>
          </w:p>
        </w:tc>
        <w:tc>
          <w:tcPr>
            <w:tcW w:w="707" w:type="pct"/>
            <w:shd w:val="clear" w:color="auto" w:fill="F2F2F2" w:themeFill="background1" w:themeFillShade="F2"/>
          </w:tcPr>
          <w:p w14:paraId="5BCEDD60" w14:textId="77777777" w:rsidR="00C9273D" w:rsidRPr="00E2771E" w:rsidRDefault="00C9273D" w:rsidP="00C9273D">
            <w:pPr>
              <w:pStyle w:val="TableTextDusc"/>
            </w:pPr>
            <w:r>
              <w:t>10 weeks</w:t>
            </w:r>
            <w:r>
              <w:br/>
              <w:t>(30 weeks)</w:t>
            </w:r>
          </w:p>
        </w:tc>
        <w:tc>
          <w:tcPr>
            <w:tcW w:w="393" w:type="pct"/>
            <w:shd w:val="clear" w:color="auto" w:fill="F2F2F2" w:themeFill="background1" w:themeFillShade="F2"/>
          </w:tcPr>
          <w:p w14:paraId="2A0F81D2" w14:textId="77777777" w:rsidR="00C9273D" w:rsidRPr="00E2771E" w:rsidRDefault="00C9273D" w:rsidP="00C9273D">
            <w:pPr>
              <w:pStyle w:val="TableTextDusc"/>
            </w:pPr>
            <w:r>
              <w:t>Unclear (High</w:t>
            </w:r>
            <w:r w:rsidRPr="0011587D">
              <w:rPr>
                <w:vertAlign w:val="superscript"/>
              </w:rPr>
              <w:t>a</w:t>
            </w:r>
            <w:r>
              <w:t>)</w:t>
            </w:r>
          </w:p>
        </w:tc>
        <w:tc>
          <w:tcPr>
            <w:tcW w:w="551" w:type="pct"/>
            <w:shd w:val="clear" w:color="auto" w:fill="F2F2F2" w:themeFill="background1" w:themeFillShade="F2"/>
          </w:tcPr>
          <w:p w14:paraId="2FF415E1" w14:textId="77777777" w:rsidR="00C9273D" w:rsidRDefault="00C9273D" w:rsidP="00C9273D">
            <w:pPr>
              <w:pStyle w:val="TableTextDusc"/>
              <w:rPr>
                <w:rFonts w:cstheme="minorHAnsi"/>
              </w:rPr>
            </w:pPr>
            <w:r>
              <w:rPr>
                <w:rFonts w:cstheme="minorHAnsi"/>
              </w:rPr>
              <w:t>≥ 10% BSA</w:t>
            </w:r>
          </w:p>
          <w:p w14:paraId="41F8223E" w14:textId="77777777" w:rsidR="00C9273D" w:rsidRPr="00E2771E" w:rsidRDefault="00C9273D" w:rsidP="00C9273D">
            <w:pPr>
              <w:pStyle w:val="TableTextDusc"/>
            </w:pPr>
            <w:r>
              <w:rPr>
                <w:rFonts w:cstheme="minorHAnsi"/>
              </w:rPr>
              <w:t>≥ 12 PASI</w:t>
            </w:r>
          </w:p>
        </w:tc>
        <w:tc>
          <w:tcPr>
            <w:tcW w:w="707" w:type="pct"/>
            <w:shd w:val="clear" w:color="auto" w:fill="F2F2F2" w:themeFill="background1" w:themeFillShade="F2"/>
          </w:tcPr>
          <w:p w14:paraId="674685A1" w14:textId="77777777" w:rsidR="00C9273D" w:rsidRPr="00E2771E" w:rsidRDefault="00C9273D" w:rsidP="00C9273D">
            <w:pPr>
              <w:pStyle w:val="TableTextDusc"/>
            </w:pPr>
            <w:r w:rsidRPr="00A06809">
              <w:t>87</w:t>
            </w:r>
            <w:r>
              <w:t>/99</w:t>
            </w:r>
            <w:r w:rsidRPr="00A06809">
              <w:t xml:space="preserve"> (8</w:t>
            </w:r>
            <w:r>
              <w:t>8</w:t>
            </w:r>
            <w:r w:rsidRPr="00A06809">
              <w:t>%)</w:t>
            </w:r>
          </w:p>
        </w:tc>
        <w:tc>
          <w:tcPr>
            <w:tcW w:w="836" w:type="pct"/>
            <w:shd w:val="clear" w:color="auto" w:fill="F2F2F2" w:themeFill="background1" w:themeFillShade="F2"/>
          </w:tcPr>
          <w:p w14:paraId="17815AEA" w14:textId="77777777" w:rsidR="00C9273D" w:rsidRDefault="00C9273D" w:rsidP="00C9273D">
            <w:pPr>
              <w:pStyle w:val="TableTextDusc"/>
            </w:pPr>
            <w:r w:rsidRPr="00A06809">
              <w:t>3</w:t>
            </w:r>
            <w:r>
              <w:t>/51</w:t>
            </w:r>
            <w:r w:rsidRPr="00A06809">
              <w:t xml:space="preserve"> (</w:t>
            </w:r>
            <w:r>
              <w:t>6</w:t>
            </w:r>
            <w:r w:rsidRPr="00A06809">
              <w:t>%)</w:t>
            </w:r>
          </w:p>
        </w:tc>
      </w:tr>
      <w:tr w:rsidR="00C9273D" w:rsidRPr="00E2771E" w14:paraId="5BB30604" w14:textId="77777777" w:rsidTr="00C9273D">
        <w:trPr>
          <w:cantSplit/>
        </w:trPr>
        <w:tc>
          <w:tcPr>
            <w:tcW w:w="627" w:type="pct"/>
            <w:shd w:val="clear" w:color="auto" w:fill="auto"/>
          </w:tcPr>
          <w:p w14:paraId="2FD7BF16" w14:textId="77777777" w:rsidR="00C9273D" w:rsidRDefault="00C9273D" w:rsidP="00C9273D">
            <w:pPr>
              <w:pStyle w:val="TableTextDusc"/>
            </w:pPr>
            <w:r>
              <w:t>Menter (2007)</w:t>
            </w:r>
          </w:p>
        </w:tc>
        <w:tc>
          <w:tcPr>
            <w:tcW w:w="470" w:type="pct"/>
            <w:shd w:val="clear" w:color="auto" w:fill="auto"/>
          </w:tcPr>
          <w:p w14:paraId="02CA7E6C" w14:textId="77777777" w:rsidR="00C9273D" w:rsidRPr="00E2771E" w:rsidRDefault="00C9273D" w:rsidP="00C9273D">
            <w:pPr>
              <w:pStyle w:val="TableTextDusc"/>
            </w:pPr>
            <w:r>
              <w:t>No</w:t>
            </w:r>
          </w:p>
        </w:tc>
        <w:tc>
          <w:tcPr>
            <w:tcW w:w="316" w:type="pct"/>
            <w:shd w:val="clear" w:color="auto" w:fill="auto"/>
          </w:tcPr>
          <w:p w14:paraId="2D609707" w14:textId="77777777" w:rsidR="00C9273D" w:rsidRPr="00E2771E" w:rsidRDefault="00C9273D" w:rsidP="00C9273D">
            <w:pPr>
              <w:pStyle w:val="TableTextDusc"/>
            </w:pPr>
            <w:r>
              <w:t>835</w:t>
            </w:r>
          </w:p>
        </w:tc>
        <w:tc>
          <w:tcPr>
            <w:tcW w:w="393" w:type="pct"/>
            <w:shd w:val="clear" w:color="auto" w:fill="auto"/>
          </w:tcPr>
          <w:p w14:paraId="6D8EBE4F" w14:textId="77777777" w:rsidR="00C9273D" w:rsidRDefault="00C9273D" w:rsidP="00C9273D">
            <w:pPr>
              <w:pStyle w:val="TableTextDusc"/>
            </w:pPr>
            <w:r>
              <w:t>R, DB, PC, MC</w:t>
            </w:r>
          </w:p>
        </w:tc>
        <w:tc>
          <w:tcPr>
            <w:tcW w:w="707" w:type="pct"/>
            <w:shd w:val="clear" w:color="auto" w:fill="auto"/>
          </w:tcPr>
          <w:p w14:paraId="1827DA95" w14:textId="77777777" w:rsidR="00C9273D" w:rsidRPr="00E2771E" w:rsidRDefault="00C9273D" w:rsidP="00C9273D">
            <w:pPr>
              <w:pStyle w:val="TableTextDusc"/>
            </w:pPr>
            <w:r>
              <w:t>10 weeks</w:t>
            </w:r>
            <w:r>
              <w:br/>
              <w:t>(50 weeks)</w:t>
            </w:r>
          </w:p>
        </w:tc>
        <w:tc>
          <w:tcPr>
            <w:tcW w:w="393" w:type="pct"/>
            <w:shd w:val="clear" w:color="auto" w:fill="auto"/>
          </w:tcPr>
          <w:p w14:paraId="4BF93F99" w14:textId="77777777" w:rsidR="00C9273D" w:rsidRPr="00E2771E" w:rsidRDefault="00C9273D" w:rsidP="00C9273D">
            <w:pPr>
              <w:pStyle w:val="TableTextDusc"/>
            </w:pPr>
            <w:r>
              <w:t>Unclear (High</w:t>
            </w:r>
            <w:r w:rsidRPr="0011587D">
              <w:rPr>
                <w:vertAlign w:val="superscript"/>
              </w:rPr>
              <w:t>a</w:t>
            </w:r>
            <w:r>
              <w:t>)</w:t>
            </w:r>
          </w:p>
        </w:tc>
        <w:tc>
          <w:tcPr>
            <w:tcW w:w="551" w:type="pct"/>
            <w:shd w:val="clear" w:color="auto" w:fill="auto"/>
          </w:tcPr>
          <w:p w14:paraId="3409B6A3" w14:textId="77777777" w:rsidR="00C9273D" w:rsidRDefault="00C9273D" w:rsidP="00C9273D">
            <w:pPr>
              <w:pStyle w:val="TableTextDusc"/>
              <w:rPr>
                <w:rFonts w:cstheme="minorHAnsi"/>
              </w:rPr>
            </w:pPr>
            <w:r>
              <w:rPr>
                <w:rFonts w:cstheme="minorHAnsi"/>
              </w:rPr>
              <w:t>≥ 10% BSA</w:t>
            </w:r>
          </w:p>
          <w:p w14:paraId="73B04DD3" w14:textId="77777777" w:rsidR="00C9273D" w:rsidRPr="00E2771E" w:rsidRDefault="00C9273D" w:rsidP="00C9273D">
            <w:pPr>
              <w:pStyle w:val="TableTextDusc"/>
            </w:pPr>
            <w:r>
              <w:rPr>
                <w:rFonts w:cstheme="minorHAnsi"/>
              </w:rPr>
              <w:t>≥ 12 PASI</w:t>
            </w:r>
          </w:p>
        </w:tc>
        <w:tc>
          <w:tcPr>
            <w:tcW w:w="707" w:type="pct"/>
          </w:tcPr>
          <w:p w14:paraId="4DA683D9" w14:textId="77777777" w:rsidR="00C9273D" w:rsidRPr="00E2771E" w:rsidRDefault="00C9273D" w:rsidP="00C9273D">
            <w:pPr>
              <w:pStyle w:val="TableTextDusc"/>
            </w:pPr>
            <w:r>
              <w:t>NR/314 (</w:t>
            </w:r>
            <w:r w:rsidRPr="0096677A">
              <w:t>76%</w:t>
            </w:r>
            <w:r>
              <w:t>)</w:t>
            </w:r>
          </w:p>
        </w:tc>
        <w:tc>
          <w:tcPr>
            <w:tcW w:w="836" w:type="pct"/>
          </w:tcPr>
          <w:p w14:paraId="081D00C4" w14:textId="77777777" w:rsidR="00C9273D" w:rsidRDefault="00C9273D" w:rsidP="00C9273D">
            <w:pPr>
              <w:pStyle w:val="TableTextDusc"/>
            </w:pPr>
            <w:r>
              <w:t>NR/208 (2%)</w:t>
            </w:r>
          </w:p>
        </w:tc>
      </w:tr>
      <w:tr w:rsidR="00C9273D" w:rsidRPr="00E2771E" w14:paraId="5C4BA1E1" w14:textId="77777777" w:rsidTr="00C9273D">
        <w:trPr>
          <w:cantSplit/>
        </w:trPr>
        <w:tc>
          <w:tcPr>
            <w:tcW w:w="627" w:type="pct"/>
            <w:shd w:val="clear" w:color="auto" w:fill="auto"/>
          </w:tcPr>
          <w:p w14:paraId="7DFAA4BC" w14:textId="77777777" w:rsidR="00C9273D" w:rsidRDefault="00C9273D" w:rsidP="00C9273D">
            <w:pPr>
              <w:pStyle w:val="TableTextDusc"/>
            </w:pPr>
            <w:r>
              <w:t>Torii (2010)</w:t>
            </w:r>
          </w:p>
        </w:tc>
        <w:tc>
          <w:tcPr>
            <w:tcW w:w="470" w:type="pct"/>
            <w:shd w:val="clear" w:color="auto" w:fill="auto"/>
          </w:tcPr>
          <w:p w14:paraId="138EC5F9" w14:textId="77777777" w:rsidR="00C9273D" w:rsidRPr="00E2771E" w:rsidRDefault="00C9273D" w:rsidP="00C9273D">
            <w:pPr>
              <w:pStyle w:val="TableTextDusc"/>
            </w:pPr>
            <w:r>
              <w:t>No</w:t>
            </w:r>
          </w:p>
        </w:tc>
        <w:tc>
          <w:tcPr>
            <w:tcW w:w="316" w:type="pct"/>
            <w:shd w:val="clear" w:color="auto" w:fill="auto"/>
          </w:tcPr>
          <w:p w14:paraId="674D96BB" w14:textId="77777777" w:rsidR="00C9273D" w:rsidRPr="00E2771E" w:rsidRDefault="00C9273D" w:rsidP="00C9273D">
            <w:pPr>
              <w:pStyle w:val="TableTextDusc"/>
            </w:pPr>
            <w:r>
              <w:t>54</w:t>
            </w:r>
          </w:p>
        </w:tc>
        <w:tc>
          <w:tcPr>
            <w:tcW w:w="393" w:type="pct"/>
            <w:shd w:val="clear" w:color="auto" w:fill="auto"/>
          </w:tcPr>
          <w:p w14:paraId="269C6365" w14:textId="77777777" w:rsidR="00C9273D" w:rsidRDefault="00C9273D" w:rsidP="00C9273D">
            <w:pPr>
              <w:pStyle w:val="TableTextDusc"/>
            </w:pPr>
            <w:r>
              <w:t>R, DB, PC, MC</w:t>
            </w:r>
          </w:p>
        </w:tc>
        <w:tc>
          <w:tcPr>
            <w:tcW w:w="707" w:type="pct"/>
            <w:shd w:val="clear" w:color="auto" w:fill="auto"/>
          </w:tcPr>
          <w:p w14:paraId="589DDCE7" w14:textId="77777777" w:rsidR="00C9273D" w:rsidRPr="00E2771E" w:rsidRDefault="00C9273D" w:rsidP="00C9273D">
            <w:pPr>
              <w:pStyle w:val="TableTextDusc"/>
            </w:pPr>
            <w:r>
              <w:t>14 weeks</w:t>
            </w:r>
            <w:r>
              <w:br/>
              <w:t>(78 weeks)</w:t>
            </w:r>
          </w:p>
        </w:tc>
        <w:tc>
          <w:tcPr>
            <w:tcW w:w="393" w:type="pct"/>
            <w:shd w:val="clear" w:color="auto" w:fill="auto"/>
          </w:tcPr>
          <w:p w14:paraId="3B306123" w14:textId="77777777" w:rsidR="00C9273D" w:rsidRPr="00E2771E" w:rsidRDefault="00C9273D" w:rsidP="00C9273D">
            <w:pPr>
              <w:pStyle w:val="TableTextDusc"/>
            </w:pPr>
            <w:r>
              <w:t>Unclear (High</w:t>
            </w:r>
            <w:r w:rsidRPr="0011587D">
              <w:rPr>
                <w:vertAlign w:val="superscript"/>
              </w:rPr>
              <w:t>a</w:t>
            </w:r>
            <w:r>
              <w:t>)</w:t>
            </w:r>
          </w:p>
        </w:tc>
        <w:tc>
          <w:tcPr>
            <w:tcW w:w="551" w:type="pct"/>
            <w:shd w:val="clear" w:color="auto" w:fill="auto"/>
          </w:tcPr>
          <w:p w14:paraId="4A0B3FAD" w14:textId="77777777" w:rsidR="00C9273D" w:rsidRDefault="00C9273D" w:rsidP="00C9273D">
            <w:pPr>
              <w:pStyle w:val="TableTextDusc"/>
              <w:rPr>
                <w:rFonts w:cstheme="minorHAnsi"/>
              </w:rPr>
            </w:pPr>
            <w:r>
              <w:rPr>
                <w:rFonts w:cstheme="minorHAnsi"/>
              </w:rPr>
              <w:t>≥ 10% BSA</w:t>
            </w:r>
          </w:p>
          <w:p w14:paraId="2C96A006" w14:textId="77777777" w:rsidR="00C9273D" w:rsidRPr="00E2771E" w:rsidRDefault="00C9273D" w:rsidP="00C9273D">
            <w:pPr>
              <w:pStyle w:val="TableTextDusc"/>
            </w:pPr>
            <w:r>
              <w:rPr>
                <w:rFonts w:cstheme="minorHAnsi"/>
              </w:rPr>
              <w:t>≥ 12 PASI</w:t>
            </w:r>
          </w:p>
        </w:tc>
        <w:tc>
          <w:tcPr>
            <w:tcW w:w="707" w:type="pct"/>
          </w:tcPr>
          <w:p w14:paraId="2985C74B" w14:textId="77777777" w:rsidR="00C9273D" w:rsidRPr="00E2771E" w:rsidRDefault="00C9273D" w:rsidP="00C9273D">
            <w:pPr>
              <w:pStyle w:val="TableTextDusc"/>
            </w:pPr>
            <w:r>
              <w:t>NR/35 (</w:t>
            </w:r>
            <w:r w:rsidRPr="0096677A">
              <w:t>69%</w:t>
            </w:r>
            <w:r>
              <w:t>)</w:t>
            </w:r>
          </w:p>
        </w:tc>
        <w:tc>
          <w:tcPr>
            <w:tcW w:w="836" w:type="pct"/>
          </w:tcPr>
          <w:p w14:paraId="0C3B5C2B" w14:textId="77777777" w:rsidR="00C9273D" w:rsidRDefault="00C9273D" w:rsidP="00C9273D">
            <w:pPr>
              <w:pStyle w:val="TableTextDusc"/>
            </w:pPr>
            <w:r>
              <w:t xml:space="preserve">0/19 </w:t>
            </w:r>
          </w:p>
        </w:tc>
      </w:tr>
      <w:tr w:rsidR="00C9273D" w:rsidRPr="00E2771E" w14:paraId="42A1A7EC" w14:textId="77777777" w:rsidTr="00C9273D">
        <w:trPr>
          <w:cantSplit/>
        </w:trPr>
        <w:tc>
          <w:tcPr>
            <w:tcW w:w="627" w:type="pct"/>
            <w:shd w:val="clear" w:color="auto" w:fill="auto"/>
          </w:tcPr>
          <w:p w14:paraId="5C8E20C9" w14:textId="77777777" w:rsidR="00C9273D" w:rsidRDefault="00C9273D" w:rsidP="00C9273D">
            <w:pPr>
              <w:pStyle w:val="TableTextDusc"/>
            </w:pPr>
            <w:r>
              <w:t>Yang (2012)</w:t>
            </w:r>
          </w:p>
        </w:tc>
        <w:tc>
          <w:tcPr>
            <w:tcW w:w="470" w:type="pct"/>
            <w:shd w:val="clear" w:color="auto" w:fill="auto"/>
          </w:tcPr>
          <w:p w14:paraId="538C9603" w14:textId="77777777" w:rsidR="00C9273D" w:rsidRPr="00E2771E" w:rsidRDefault="00C9273D" w:rsidP="00C9273D">
            <w:pPr>
              <w:pStyle w:val="TableTextDusc"/>
            </w:pPr>
            <w:r>
              <w:t>No</w:t>
            </w:r>
          </w:p>
        </w:tc>
        <w:tc>
          <w:tcPr>
            <w:tcW w:w="316" w:type="pct"/>
            <w:shd w:val="clear" w:color="auto" w:fill="auto"/>
          </w:tcPr>
          <w:p w14:paraId="5363C682" w14:textId="77777777" w:rsidR="00C9273D" w:rsidRPr="00E2771E" w:rsidRDefault="00C9273D" w:rsidP="00C9273D">
            <w:pPr>
              <w:pStyle w:val="TableTextDusc"/>
            </w:pPr>
            <w:r>
              <w:t>129</w:t>
            </w:r>
          </w:p>
        </w:tc>
        <w:tc>
          <w:tcPr>
            <w:tcW w:w="393" w:type="pct"/>
            <w:shd w:val="clear" w:color="auto" w:fill="auto"/>
          </w:tcPr>
          <w:p w14:paraId="35C345C4" w14:textId="77777777" w:rsidR="00C9273D" w:rsidRDefault="00C9273D" w:rsidP="00C9273D">
            <w:pPr>
              <w:pStyle w:val="TableTextDusc"/>
            </w:pPr>
            <w:r>
              <w:t>R, DB, PC, MC</w:t>
            </w:r>
          </w:p>
        </w:tc>
        <w:tc>
          <w:tcPr>
            <w:tcW w:w="707" w:type="pct"/>
            <w:shd w:val="clear" w:color="auto" w:fill="auto"/>
          </w:tcPr>
          <w:p w14:paraId="1F583032" w14:textId="77777777" w:rsidR="00C9273D" w:rsidRPr="00E2771E" w:rsidRDefault="00C9273D" w:rsidP="00C9273D">
            <w:pPr>
              <w:pStyle w:val="TableTextDusc"/>
            </w:pPr>
            <w:r>
              <w:t>10 weeks</w:t>
            </w:r>
            <w:r>
              <w:br/>
              <w:t>(26 weeks)</w:t>
            </w:r>
          </w:p>
        </w:tc>
        <w:tc>
          <w:tcPr>
            <w:tcW w:w="393" w:type="pct"/>
            <w:shd w:val="clear" w:color="auto" w:fill="auto"/>
          </w:tcPr>
          <w:p w14:paraId="153DA64A" w14:textId="77777777" w:rsidR="00C9273D" w:rsidRPr="00E2771E" w:rsidRDefault="00C9273D" w:rsidP="00C9273D">
            <w:pPr>
              <w:pStyle w:val="TableTextDusc"/>
            </w:pPr>
            <w:r>
              <w:t>Unclear (High</w:t>
            </w:r>
            <w:r w:rsidRPr="0011587D">
              <w:rPr>
                <w:vertAlign w:val="superscript"/>
              </w:rPr>
              <w:t>a</w:t>
            </w:r>
            <w:r>
              <w:t>)</w:t>
            </w:r>
          </w:p>
        </w:tc>
        <w:tc>
          <w:tcPr>
            <w:tcW w:w="551" w:type="pct"/>
            <w:shd w:val="clear" w:color="auto" w:fill="auto"/>
          </w:tcPr>
          <w:p w14:paraId="79211A3B" w14:textId="77777777" w:rsidR="00C9273D" w:rsidRDefault="00C9273D" w:rsidP="00C9273D">
            <w:pPr>
              <w:pStyle w:val="TableTextDusc"/>
              <w:rPr>
                <w:rFonts w:cstheme="minorHAnsi"/>
              </w:rPr>
            </w:pPr>
            <w:r>
              <w:rPr>
                <w:rFonts w:cstheme="minorHAnsi"/>
              </w:rPr>
              <w:t>≥ 10% BSA</w:t>
            </w:r>
          </w:p>
          <w:p w14:paraId="05F82FDD" w14:textId="77777777" w:rsidR="00C9273D" w:rsidRPr="00E2771E" w:rsidRDefault="00C9273D" w:rsidP="00C9273D">
            <w:pPr>
              <w:pStyle w:val="TableTextDusc"/>
            </w:pPr>
            <w:r>
              <w:rPr>
                <w:rFonts w:cstheme="minorHAnsi"/>
              </w:rPr>
              <w:t>≥ 12 PASI</w:t>
            </w:r>
          </w:p>
        </w:tc>
        <w:tc>
          <w:tcPr>
            <w:tcW w:w="707" w:type="pct"/>
          </w:tcPr>
          <w:p w14:paraId="1D50F074" w14:textId="77777777" w:rsidR="00C9273D" w:rsidRPr="00E2771E" w:rsidRDefault="00C9273D" w:rsidP="00C9273D">
            <w:pPr>
              <w:pStyle w:val="TableTextDusc"/>
            </w:pPr>
            <w:r w:rsidRPr="0096677A">
              <w:t>68</w:t>
            </w:r>
            <w:r>
              <w:t>/84</w:t>
            </w:r>
            <w:r w:rsidRPr="0096677A">
              <w:t xml:space="preserve"> (81%)</w:t>
            </w:r>
          </w:p>
        </w:tc>
        <w:tc>
          <w:tcPr>
            <w:tcW w:w="836" w:type="pct"/>
          </w:tcPr>
          <w:p w14:paraId="45254A56" w14:textId="77777777" w:rsidR="00C9273D" w:rsidRDefault="00C9273D" w:rsidP="00C9273D">
            <w:pPr>
              <w:pStyle w:val="TableTextDusc"/>
            </w:pPr>
            <w:r w:rsidRPr="0096677A">
              <w:t>1</w:t>
            </w:r>
            <w:r>
              <w:t>/45</w:t>
            </w:r>
            <w:r w:rsidRPr="0096677A">
              <w:t xml:space="preserve"> (2%)</w:t>
            </w:r>
          </w:p>
        </w:tc>
      </w:tr>
    </w:tbl>
    <w:p w14:paraId="4EB3EB0A" w14:textId="77777777" w:rsidR="00C9273D" w:rsidRDefault="00C9273D" w:rsidP="00C9273D">
      <w:pPr>
        <w:pStyle w:val="TableFooter"/>
      </w:pPr>
      <w:r w:rsidRPr="008521BC">
        <w:t xml:space="preserve">BSA = body surface area; DB = double blind; MC = multi-centre; </w:t>
      </w:r>
      <w:r>
        <w:t xml:space="preserve">OL = open label; </w:t>
      </w:r>
      <w:r w:rsidRPr="008521BC">
        <w:t xml:space="preserve">PASI = </w:t>
      </w:r>
      <w:r w:rsidRPr="00383CDD">
        <w:t>Psoriasis Area and Severity Index;</w:t>
      </w:r>
      <w:r w:rsidRPr="008521BC">
        <w:t xml:space="preserve"> </w:t>
      </w:r>
      <w:r w:rsidRPr="00383CDD">
        <w:t xml:space="preserve">PASI 75 = reduction in PASI score of 75%; </w:t>
      </w:r>
      <w:r w:rsidRPr="00B52E48">
        <w:t>PBAC</w:t>
      </w:r>
      <w:r w:rsidRPr="008521BC">
        <w:t xml:space="preserve"> = Pharmaceutical Benefits Advisory Committee; PC = placebo-controlled; </w:t>
      </w:r>
      <w:r>
        <w:t xml:space="preserve">QoL = quality of life; </w:t>
      </w:r>
      <w:r w:rsidRPr="008521BC">
        <w:t xml:space="preserve">R = randomised; </w:t>
      </w:r>
      <w:r>
        <w:t xml:space="preserve">SB = single blind; </w:t>
      </w:r>
      <w:r w:rsidRPr="00513BB3">
        <w:rPr>
          <w:highlight w:val="lightGray"/>
        </w:rPr>
        <w:t>Shaded</w:t>
      </w:r>
      <w:r>
        <w:t xml:space="preserve"> = previously considered by the PBAC</w:t>
      </w:r>
    </w:p>
    <w:p w14:paraId="674CC475" w14:textId="77777777" w:rsidR="00C9273D" w:rsidRDefault="00C9273D" w:rsidP="00C9273D">
      <w:pPr>
        <w:pStyle w:val="TableFooter"/>
      </w:pPr>
      <w:r w:rsidRPr="0011587D">
        <w:rPr>
          <w:vertAlign w:val="superscript"/>
        </w:rPr>
        <w:t>a</w:t>
      </w:r>
      <w:r>
        <w:t xml:space="preserve"> Trial was funded by a pharmaceutical company</w:t>
      </w:r>
    </w:p>
    <w:p w14:paraId="0719B6F1" w14:textId="63B6EE07" w:rsidR="00C9273D" w:rsidRDefault="008F3886" w:rsidP="00C9273D">
      <w:pPr>
        <w:pStyle w:val="TableFooter"/>
      </w:pPr>
      <w:r>
        <w:rPr>
          <w:vertAlign w:val="superscript"/>
        </w:rPr>
        <w:t>1</w:t>
      </w:r>
      <w:r w:rsidR="00C9273D" w:rsidRPr="00C9273D">
        <w:t xml:space="preserve"> Infliximab 5 mg/kg IV at Weeks 0, 2, 6; and then every 8 weeks (PI recommended dose)</w:t>
      </w:r>
    </w:p>
    <w:p w14:paraId="008BE763" w14:textId="77777777" w:rsidR="00C9273D" w:rsidRPr="00C9273D" w:rsidRDefault="00C9273D" w:rsidP="00C9273D">
      <w:pPr>
        <w:spacing w:after="120"/>
        <w:rPr>
          <w:u w:val="single"/>
        </w:rPr>
      </w:pPr>
      <w:r w:rsidRPr="00C9273D">
        <w:rPr>
          <w:u w:val="single"/>
        </w:rPr>
        <w:t>Ixekizumab</w:t>
      </w:r>
    </w:p>
    <w:p w14:paraId="12387E69" w14:textId="6B497A43" w:rsidR="00C9273D" w:rsidRDefault="00C9273D" w:rsidP="00C9273D">
      <w:r>
        <w:t xml:space="preserve">Three ixekizumab RCTs, with two related publications, were identified. The </w:t>
      </w:r>
      <w:r w:rsidR="00D71D12">
        <w:t>trial</w:t>
      </w:r>
      <w:r>
        <w:t xml:space="preserve"> details, a brief description of the </w:t>
      </w:r>
      <w:r w:rsidR="009E36C4">
        <w:t>placebo-</w:t>
      </w:r>
      <w:r w:rsidR="00D71D12">
        <w:t>control</w:t>
      </w:r>
      <w:r w:rsidR="009E36C4">
        <w:t>led</w:t>
      </w:r>
      <w:r w:rsidR="00D71D12">
        <w:t xml:space="preserve"> trial </w:t>
      </w:r>
      <w:r>
        <w:t>publication</w:t>
      </w:r>
      <w:r w:rsidR="009E36C4">
        <w:t>,</w:t>
      </w:r>
      <w:r>
        <w:t xml:space="preserve"> the outcomes</w:t>
      </w:r>
      <w:r w:rsidR="009E36C4">
        <w:t>,</w:t>
      </w:r>
      <w:r>
        <w:t xml:space="preserve"> and whether the trial has been previously considered by the PBAC are presented below in</w:t>
      </w:r>
      <w:r w:rsidR="00D71D12">
        <w:t xml:space="preserve"> </w:t>
      </w:r>
      <w:r w:rsidR="00594BE2">
        <w:t>Table ES.</w:t>
      </w:r>
      <w:r w:rsidR="00594BE2">
        <w:rPr>
          <w:noProof/>
        </w:rPr>
        <w:t>10</w:t>
      </w:r>
      <w:r w:rsidR="00D71D12">
        <w:t>.</w:t>
      </w:r>
    </w:p>
    <w:p w14:paraId="1C563387" w14:textId="5B248744" w:rsidR="00C9273D" w:rsidRDefault="00C9273D" w:rsidP="00B22759">
      <w:pPr>
        <w:pStyle w:val="MDTabCaption"/>
        <w:keepLines/>
      </w:pPr>
      <w:bookmarkStart w:id="50" w:name="_Ref501370049"/>
      <w:bookmarkStart w:id="51" w:name="_Toc503275000"/>
      <w:r>
        <w:t>Table ES.</w:t>
      </w:r>
      <w:r w:rsidR="00594BE2">
        <w:t>10</w:t>
      </w:r>
      <w:bookmarkEnd w:id="50"/>
      <w:r>
        <w:t xml:space="preserve">: </w:t>
      </w:r>
      <w:r w:rsidR="009E36C4">
        <w:t xml:space="preserve">Ixekizumab </w:t>
      </w:r>
      <w:r>
        <w:t>trials: comparison of trial characteristics and PASI 75 response</w:t>
      </w:r>
      <w:bookmarkEnd w:id="51"/>
      <w:r w:rsidR="009E36C4">
        <w:t xml:space="preserve"> of the placebo-controlled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0"/>
        <w:gridCol w:w="847"/>
        <w:gridCol w:w="569"/>
        <w:gridCol w:w="709"/>
        <w:gridCol w:w="1275"/>
        <w:gridCol w:w="709"/>
        <w:gridCol w:w="994"/>
        <w:gridCol w:w="1416"/>
        <w:gridCol w:w="1367"/>
      </w:tblGrid>
      <w:tr w:rsidR="00C9273D" w:rsidRPr="00383CDD" w14:paraId="097034DB" w14:textId="77777777" w:rsidTr="00D71D12">
        <w:trPr>
          <w:cantSplit/>
          <w:tblHeader/>
        </w:trPr>
        <w:tc>
          <w:tcPr>
            <w:tcW w:w="627" w:type="pct"/>
            <w:shd w:val="clear" w:color="auto" w:fill="auto"/>
          </w:tcPr>
          <w:p w14:paraId="3203758F" w14:textId="77777777" w:rsidR="00C9273D" w:rsidRPr="008521BC" w:rsidRDefault="00C9273D" w:rsidP="00C9273D">
            <w:pPr>
              <w:pStyle w:val="TableTextDusc"/>
              <w:keepNext/>
              <w:rPr>
                <w:b/>
              </w:rPr>
            </w:pPr>
            <w:r w:rsidRPr="008521BC">
              <w:rPr>
                <w:b/>
              </w:rPr>
              <w:t>Trial</w:t>
            </w:r>
          </w:p>
        </w:tc>
        <w:tc>
          <w:tcPr>
            <w:tcW w:w="470" w:type="pct"/>
            <w:shd w:val="clear" w:color="auto" w:fill="auto"/>
          </w:tcPr>
          <w:p w14:paraId="49C1B0EC" w14:textId="77777777" w:rsidR="00C9273D" w:rsidRPr="008521BC" w:rsidRDefault="00C9273D" w:rsidP="00C9273D">
            <w:pPr>
              <w:pStyle w:val="TableTextDusc"/>
              <w:keepNext/>
              <w:rPr>
                <w:b/>
              </w:rPr>
            </w:pPr>
            <w:r w:rsidRPr="008521BC">
              <w:rPr>
                <w:b/>
              </w:rPr>
              <w:t>Seen by PBAC?</w:t>
            </w:r>
          </w:p>
        </w:tc>
        <w:tc>
          <w:tcPr>
            <w:tcW w:w="316" w:type="pct"/>
            <w:shd w:val="clear" w:color="auto" w:fill="auto"/>
          </w:tcPr>
          <w:p w14:paraId="26AD383F" w14:textId="77777777" w:rsidR="00C9273D" w:rsidRPr="008521BC" w:rsidRDefault="00C9273D" w:rsidP="00C9273D">
            <w:pPr>
              <w:pStyle w:val="TableTextDusc"/>
              <w:keepNext/>
              <w:rPr>
                <w:b/>
              </w:rPr>
            </w:pPr>
            <w:r w:rsidRPr="008521BC">
              <w:rPr>
                <w:b/>
              </w:rPr>
              <w:t>N</w:t>
            </w:r>
          </w:p>
        </w:tc>
        <w:tc>
          <w:tcPr>
            <w:tcW w:w="393" w:type="pct"/>
            <w:shd w:val="clear" w:color="auto" w:fill="auto"/>
          </w:tcPr>
          <w:p w14:paraId="5E539743" w14:textId="77777777" w:rsidR="00C9273D" w:rsidRPr="008521BC" w:rsidRDefault="00C9273D" w:rsidP="00C9273D">
            <w:pPr>
              <w:pStyle w:val="TableTextDusc"/>
              <w:keepNext/>
              <w:rPr>
                <w:b/>
              </w:rPr>
            </w:pPr>
            <w:r w:rsidRPr="008521BC">
              <w:rPr>
                <w:b/>
              </w:rPr>
              <w:t>Design</w:t>
            </w:r>
          </w:p>
        </w:tc>
        <w:tc>
          <w:tcPr>
            <w:tcW w:w="707" w:type="pct"/>
            <w:shd w:val="clear" w:color="auto" w:fill="auto"/>
          </w:tcPr>
          <w:p w14:paraId="47DEBF07" w14:textId="77777777" w:rsidR="00C9273D" w:rsidRPr="008521BC" w:rsidRDefault="00C9273D" w:rsidP="00C9273D">
            <w:pPr>
              <w:pStyle w:val="TableTextDusc"/>
              <w:keepNext/>
              <w:rPr>
                <w:b/>
              </w:rPr>
            </w:pPr>
            <w:r w:rsidRPr="008521BC">
              <w:rPr>
                <w:b/>
              </w:rPr>
              <w:t xml:space="preserve">Trial duration </w:t>
            </w:r>
          </w:p>
        </w:tc>
        <w:tc>
          <w:tcPr>
            <w:tcW w:w="393" w:type="pct"/>
            <w:shd w:val="clear" w:color="auto" w:fill="auto"/>
          </w:tcPr>
          <w:p w14:paraId="475359A4" w14:textId="77777777" w:rsidR="00C9273D" w:rsidRPr="008521BC" w:rsidRDefault="00C9273D" w:rsidP="00C9273D">
            <w:pPr>
              <w:pStyle w:val="TableTextDusc"/>
              <w:keepNext/>
              <w:rPr>
                <w:b/>
              </w:rPr>
            </w:pPr>
            <w:r w:rsidRPr="008521BC">
              <w:rPr>
                <w:b/>
              </w:rPr>
              <w:t>Risk of bias</w:t>
            </w:r>
          </w:p>
        </w:tc>
        <w:tc>
          <w:tcPr>
            <w:tcW w:w="551" w:type="pct"/>
            <w:shd w:val="clear" w:color="auto" w:fill="auto"/>
          </w:tcPr>
          <w:p w14:paraId="63A2CA35" w14:textId="77777777" w:rsidR="00C9273D" w:rsidRPr="008521BC" w:rsidRDefault="00C9273D" w:rsidP="00C9273D">
            <w:pPr>
              <w:pStyle w:val="TableTextDusc"/>
              <w:keepNext/>
              <w:rPr>
                <w:b/>
              </w:rPr>
            </w:pPr>
            <w:r w:rsidRPr="008521BC">
              <w:rPr>
                <w:b/>
              </w:rPr>
              <w:t>Patient population</w:t>
            </w:r>
          </w:p>
        </w:tc>
        <w:tc>
          <w:tcPr>
            <w:tcW w:w="785" w:type="pct"/>
            <w:shd w:val="clear" w:color="auto" w:fill="auto"/>
          </w:tcPr>
          <w:p w14:paraId="77344717" w14:textId="77777777" w:rsidR="00C9273D" w:rsidRPr="008521BC" w:rsidRDefault="00C9273D" w:rsidP="00D71D12">
            <w:pPr>
              <w:pStyle w:val="TableTextDusc"/>
              <w:keepNext/>
              <w:rPr>
                <w:b/>
              </w:rPr>
            </w:pPr>
            <w:r w:rsidRPr="00A47E3B">
              <w:rPr>
                <w:b/>
              </w:rPr>
              <w:t>PASI</w:t>
            </w:r>
            <w:r>
              <w:rPr>
                <w:b/>
              </w:rPr>
              <w:t xml:space="preserve"> </w:t>
            </w:r>
            <w:r w:rsidRPr="00A47E3B">
              <w:rPr>
                <w:b/>
              </w:rPr>
              <w:t>75;</w:t>
            </w:r>
            <w:r>
              <w:rPr>
                <w:b/>
              </w:rPr>
              <w:t xml:space="preserve"> n/N</w:t>
            </w:r>
            <w:r w:rsidRPr="00A47E3B">
              <w:rPr>
                <w:b/>
              </w:rPr>
              <w:t xml:space="preserve"> (%)</w:t>
            </w:r>
            <w:r w:rsidR="00D71D12" w:rsidRPr="00D71D12">
              <w:rPr>
                <w:b/>
              </w:rPr>
              <w:t>Ixekizumab</w:t>
            </w:r>
            <w:r w:rsidRPr="00F34FF3">
              <w:rPr>
                <w:b/>
                <w:vertAlign w:val="superscript"/>
              </w:rPr>
              <w:t>1</w:t>
            </w:r>
          </w:p>
        </w:tc>
        <w:tc>
          <w:tcPr>
            <w:tcW w:w="758" w:type="pct"/>
          </w:tcPr>
          <w:p w14:paraId="2B983684" w14:textId="77777777" w:rsidR="00C9273D" w:rsidRPr="008521BC" w:rsidRDefault="00C9273D" w:rsidP="00C9273D">
            <w:pPr>
              <w:pStyle w:val="TableTextDusc"/>
              <w:keepNext/>
              <w:rPr>
                <w:b/>
              </w:rPr>
            </w:pPr>
            <w:r w:rsidRPr="00A47E3B">
              <w:rPr>
                <w:b/>
              </w:rPr>
              <w:t>PASI</w:t>
            </w:r>
            <w:r>
              <w:rPr>
                <w:b/>
              </w:rPr>
              <w:t xml:space="preserve"> </w:t>
            </w:r>
            <w:r w:rsidRPr="00A47E3B">
              <w:rPr>
                <w:b/>
              </w:rPr>
              <w:t>75;</w:t>
            </w:r>
            <w:r>
              <w:rPr>
                <w:b/>
              </w:rPr>
              <w:t xml:space="preserve"> n/N</w:t>
            </w:r>
            <w:r w:rsidRPr="00A47E3B">
              <w:rPr>
                <w:b/>
              </w:rPr>
              <w:t xml:space="preserve"> (%)</w:t>
            </w:r>
            <w:r>
              <w:rPr>
                <w:b/>
              </w:rPr>
              <w:t>Placebo</w:t>
            </w:r>
          </w:p>
        </w:tc>
      </w:tr>
      <w:tr w:rsidR="00C9273D" w:rsidRPr="00E2771E" w14:paraId="2DC248F5" w14:textId="77777777" w:rsidTr="00D71D12">
        <w:trPr>
          <w:cantSplit/>
        </w:trPr>
        <w:tc>
          <w:tcPr>
            <w:tcW w:w="627" w:type="pct"/>
            <w:shd w:val="clear" w:color="auto" w:fill="F2F2F2" w:themeFill="background1" w:themeFillShade="F2"/>
          </w:tcPr>
          <w:p w14:paraId="30A8734D" w14:textId="77777777" w:rsidR="00C9273D" w:rsidRPr="00E2771E" w:rsidRDefault="00C9273D" w:rsidP="00C9273D">
            <w:pPr>
              <w:pStyle w:val="TableTextDusc"/>
              <w:keepNext/>
            </w:pPr>
            <w:r>
              <w:t>UNCOVER 1</w:t>
            </w:r>
          </w:p>
        </w:tc>
        <w:tc>
          <w:tcPr>
            <w:tcW w:w="470" w:type="pct"/>
            <w:shd w:val="clear" w:color="auto" w:fill="F2F2F2" w:themeFill="background1" w:themeFillShade="F2"/>
          </w:tcPr>
          <w:p w14:paraId="495C1E39" w14:textId="77777777" w:rsidR="00C9273D" w:rsidRPr="00E2771E" w:rsidRDefault="00C9273D" w:rsidP="00C9273D">
            <w:pPr>
              <w:pStyle w:val="TableTextDusc"/>
              <w:keepNext/>
            </w:pPr>
            <w:r>
              <w:t xml:space="preserve">Yes: </w:t>
            </w:r>
            <w:r>
              <w:br/>
              <w:t>Jul 2006</w:t>
            </w:r>
          </w:p>
        </w:tc>
        <w:tc>
          <w:tcPr>
            <w:tcW w:w="316" w:type="pct"/>
            <w:shd w:val="clear" w:color="auto" w:fill="F2F2F2" w:themeFill="background1" w:themeFillShade="F2"/>
          </w:tcPr>
          <w:p w14:paraId="6E0054F5" w14:textId="77777777" w:rsidR="00C9273D" w:rsidRPr="00E2771E" w:rsidRDefault="00D71D12" w:rsidP="00C9273D">
            <w:pPr>
              <w:pStyle w:val="TableTextDusc"/>
              <w:keepNext/>
            </w:pPr>
            <w:r>
              <w:t>864</w:t>
            </w:r>
          </w:p>
        </w:tc>
        <w:tc>
          <w:tcPr>
            <w:tcW w:w="393" w:type="pct"/>
            <w:shd w:val="clear" w:color="auto" w:fill="F2F2F2" w:themeFill="background1" w:themeFillShade="F2"/>
          </w:tcPr>
          <w:p w14:paraId="1DC83C8F" w14:textId="77777777" w:rsidR="00C9273D" w:rsidRDefault="00C9273D" w:rsidP="00C9273D">
            <w:pPr>
              <w:pStyle w:val="TableTextDusc"/>
              <w:keepNext/>
            </w:pPr>
            <w:r>
              <w:t>R, DB, PC</w:t>
            </w:r>
          </w:p>
        </w:tc>
        <w:tc>
          <w:tcPr>
            <w:tcW w:w="707" w:type="pct"/>
            <w:shd w:val="clear" w:color="auto" w:fill="F2F2F2" w:themeFill="background1" w:themeFillShade="F2"/>
          </w:tcPr>
          <w:p w14:paraId="25C7EFAD" w14:textId="77777777" w:rsidR="00C9273D" w:rsidRPr="00E2771E" w:rsidRDefault="00C9273D" w:rsidP="00C9273D">
            <w:pPr>
              <w:pStyle w:val="TableTextDusc"/>
              <w:keepNext/>
            </w:pPr>
            <w:r>
              <w:t>12 weeks</w:t>
            </w:r>
          </w:p>
        </w:tc>
        <w:tc>
          <w:tcPr>
            <w:tcW w:w="393" w:type="pct"/>
            <w:shd w:val="clear" w:color="auto" w:fill="F2F2F2" w:themeFill="background1" w:themeFillShade="F2"/>
          </w:tcPr>
          <w:p w14:paraId="02427C65" w14:textId="77777777" w:rsidR="00C9273D" w:rsidRPr="00E2771E" w:rsidRDefault="00C9273D" w:rsidP="00C9273D">
            <w:pPr>
              <w:pStyle w:val="TableTextDusc"/>
              <w:keepNext/>
            </w:pPr>
            <w:r>
              <w:t>Unclear (High</w:t>
            </w:r>
            <w:r w:rsidRPr="0011587D">
              <w:rPr>
                <w:vertAlign w:val="superscript"/>
              </w:rPr>
              <w:t>a</w:t>
            </w:r>
            <w:r>
              <w:t>)</w:t>
            </w:r>
          </w:p>
        </w:tc>
        <w:tc>
          <w:tcPr>
            <w:tcW w:w="551" w:type="pct"/>
            <w:shd w:val="clear" w:color="auto" w:fill="F2F2F2" w:themeFill="background1" w:themeFillShade="F2"/>
          </w:tcPr>
          <w:p w14:paraId="4BAAD92D" w14:textId="77777777" w:rsidR="00C9273D" w:rsidRDefault="00C9273D" w:rsidP="00C9273D">
            <w:pPr>
              <w:pStyle w:val="TableTextDusc"/>
              <w:rPr>
                <w:rFonts w:cstheme="minorHAnsi"/>
              </w:rPr>
            </w:pPr>
            <w:r>
              <w:rPr>
                <w:rFonts w:cstheme="minorHAnsi"/>
              </w:rPr>
              <w:t>≥ 10% BSA</w:t>
            </w:r>
          </w:p>
          <w:p w14:paraId="745A6CD0" w14:textId="77777777" w:rsidR="00C9273D" w:rsidRPr="00E2771E" w:rsidRDefault="00C9273D" w:rsidP="00C9273D">
            <w:pPr>
              <w:pStyle w:val="TableTextDusc"/>
              <w:keepNext/>
            </w:pPr>
            <w:r>
              <w:rPr>
                <w:rFonts w:cstheme="minorHAnsi"/>
              </w:rPr>
              <w:t>≥ 12 PASI</w:t>
            </w:r>
          </w:p>
        </w:tc>
        <w:tc>
          <w:tcPr>
            <w:tcW w:w="785" w:type="pct"/>
            <w:shd w:val="clear" w:color="auto" w:fill="F2F2F2" w:themeFill="background1" w:themeFillShade="F2"/>
          </w:tcPr>
          <w:p w14:paraId="4C0D53C2" w14:textId="77777777" w:rsidR="00C9273D" w:rsidRPr="00E2771E" w:rsidRDefault="00D71D12" w:rsidP="00C9273D">
            <w:pPr>
              <w:pStyle w:val="TableTextDusc"/>
              <w:keepNext/>
            </w:pPr>
            <w:r w:rsidRPr="00D71D12">
              <w:t>NR/433 (89%)</w:t>
            </w:r>
          </w:p>
        </w:tc>
        <w:tc>
          <w:tcPr>
            <w:tcW w:w="758" w:type="pct"/>
            <w:shd w:val="clear" w:color="auto" w:fill="F2F2F2" w:themeFill="background1" w:themeFillShade="F2"/>
          </w:tcPr>
          <w:p w14:paraId="36531E68" w14:textId="77777777" w:rsidR="00C9273D" w:rsidRDefault="00D71D12" w:rsidP="00C9273D">
            <w:pPr>
              <w:pStyle w:val="TableTextDusc"/>
              <w:keepNext/>
            </w:pPr>
            <w:r>
              <w:t>NR/431 (4%)</w:t>
            </w:r>
          </w:p>
        </w:tc>
      </w:tr>
      <w:tr w:rsidR="00D71D12" w:rsidRPr="00E2771E" w14:paraId="42EACEA3" w14:textId="77777777" w:rsidTr="00D71D12">
        <w:trPr>
          <w:cantSplit/>
        </w:trPr>
        <w:tc>
          <w:tcPr>
            <w:tcW w:w="627" w:type="pct"/>
            <w:shd w:val="clear" w:color="auto" w:fill="F2F2F2" w:themeFill="background1" w:themeFillShade="F2"/>
          </w:tcPr>
          <w:p w14:paraId="1175BC4B" w14:textId="77777777" w:rsidR="00D71D12" w:rsidRDefault="00D71D12" w:rsidP="00D71D12">
            <w:pPr>
              <w:pStyle w:val="TableTextDusc"/>
              <w:keepNext/>
            </w:pPr>
            <w:r>
              <w:t>UNCOVER 2</w:t>
            </w:r>
            <w:r w:rsidRPr="00D71D12">
              <w:rPr>
                <w:vertAlign w:val="superscript"/>
              </w:rPr>
              <w:t xml:space="preserve"> b</w:t>
            </w:r>
          </w:p>
        </w:tc>
        <w:tc>
          <w:tcPr>
            <w:tcW w:w="470" w:type="pct"/>
            <w:shd w:val="clear" w:color="auto" w:fill="F2F2F2" w:themeFill="background1" w:themeFillShade="F2"/>
          </w:tcPr>
          <w:p w14:paraId="6CC54230" w14:textId="77777777" w:rsidR="00D71D12" w:rsidRPr="00E2771E" w:rsidRDefault="00D71D12" w:rsidP="00D71D12">
            <w:pPr>
              <w:pStyle w:val="TableTextDusc"/>
              <w:keepNext/>
            </w:pPr>
            <w:r>
              <w:t>Yes:</w:t>
            </w:r>
            <w:r>
              <w:br/>
              <w:t>Jul 2006</w:t>
            </w:r>
          </w:p>
        </w:tc>
        <w:tc>
          <w:tcPr>
            <w:tcW w:w="316" w:type="pct"/>
            <w:shd w:val="clear" w:color="auto" w:fill="F2F2F2" w:themeFill="background1" w:themeFillShade="F2"/>
          </w:tcPr>
          <w:p w14:paraId="66892D70" w14:textId="77777777" w:rsidR="00D71D12" w:rsidRPr="00E2771E" w:rsidRDefault="00D71D12" w:rsidP="00D71D12">
            <w:pPr>
              <w:pStyle w:val="TableTextDusc"/>
              <w:keepNext/>
            </w:pPr>
            <w:r>
              <w:t>519</w:t>
            </w:r>
          </w:p>
        </w:tc>
        <w:tc>
          <w:tcPr>
            <w:tcW w:w="393" w:type="pct"/>
            <w:shd w:val="clear" w:color="auto" w:fill="F2F2F2" w:themeFill="background1" w:themeFillShade="F2"/>
          </w:tcPr>
          <w:p w14:paraId="37A10139" w14:textId="77777777" w:rsidR="00D71D12" w:rsidRDefault="00D71D12" w:rsidP="00D71D12">
            <w:pPr>
              <w:pStyle w:val="TableTextDusc"/>
              <w:keepNext/>
            </w:pPr>
            <w:r>
              <w:t>R, DB, PC, MC</w:t>
            </w:r>
          </w:p>
        </w:tc>
        <w:tc>
          <w:tcPr>
            <w:tcW w:w="707" w:type="pct"/>
            <w:shd w:val="clear" w:color="auto" w:fill="F2F2F2" w:themeFill="background1" w:themeFillShade="F2"/>
          </w:tcPr>
          <w:p w14:paraId="36B8B1E3" w14:textId="77777777" w:rsidR="00D71D12" w:rsidRPr="00E2771E" w:rsidRDefault="00D71D12" w:rsidP="00D71D12">
            <w:pPr>
              <w:pStyle w:val="TableTextDusc"/>
              <w:keepNext/>
            </w:pPr>
            <w:r>
              <w:t>12 weeks</w:t>
            </w:r>
          </w:p>
        </w:tc>
        <w:tc>
          <w:tcPr>
            <w:tcW w:w="393" w:type="pct"/>
            <w:shd w:val="clear" w:color="auto" w:fill="F2F2F2" w:themeFill="background1" w:themeFillShade="F2"/>
          </w:tcPr>
          <w:p w14:paraId="668D248F" w14:textId="77777777" w:rsidR="00D71D12" w:rsidRPr="00E2771E" w:rsidRDefault="00D71D12" w:rsidP="00D71D12">
            <w:pPr>
              <w:pStyle w:val="TableTextDusc"/>
              <w:keepNext/>
            </w:pPr>
            <w:r>
              <w:t>Unclear (High</w:t>
            </w:r>
            <w:r w:rsidRPr="0011587D">
              <w:rPr>
                <w:vertAlign w:val="superscript"/>
              </w:rPr>
              <w:t>a</w:t>
            </w:r>
            <w:r>
              <w:t>)</w:t>
            </w:r>
          </w:p>
        </w:tc>
        <w:tc>
          <w:tcPr>
            <w:tcW w:w="551" w:type="pct"/>
            <w:shd w:val="clear" w:color="auto" w:fill="F2F2F2" w:themeFill="background1" w:themeFillShade="F2"/>
          </w:tcPr>
          <w:p w14:paraId="4FC06CA5" w14:textId="77777777" w:rsidR="00D71D12" w:rsidRDefault="00D71D12" w:rsidP="00D71D12">
            <w:pPr>
              <w:pStyle w:val="TableTextDusc"/>
              <w:keepNext/>
              <w:rPr>
                <w:rFonts w:cstheme="minorHAnsi"/>
              </w:rPr>
            </w:pPr>
            <w:r>
              <w:rPr>
                <w:rFonts w:cstheme="minorHAnsi"/>
              </w:rPr>
              <w:t>≥ 10% BSA</w:t>
            </w:r>
          </w:p>
          <w:p w14:paraId="2414E8F5" w14:textId="77777777" w:rsidR="00D71D12" w:rsidRPr="00E2771E" w:rsidRDefault="00D71D12" w:rsidP="00D71D12">
            <w:pPr>
              <w:pStyle w:val="TableTextDusc"/>
              <w:keepNext/>
            </w:pPr>
            <w:r>
              <w:rPr>
                <w:rFonts w:cstheme="minorHAnsi"/>
              </w:rPr>
              <w:t>≥ 12 PASI</w:t>
            </w:r>
          </w:p>
        </w:tc>
        <w:tc>
          <w:tcPr>
            <w:tcW w:w="785" w:type="pct"/>
            <w:shd w:val="clear" w:color="auto" w:fill="F2F2F2" w:themeFill="background1" w:themeFillShade="F2"/>
          </w:tcPr>
          <w:p w14:paraId="5139D1E0" w14:textId="77777777" w:rsidR="00D71D12" w:rsidRPr="00A8176E" w:rsidRDefault="00D71D12" w:rsidP="00D71D12">
            <w:pPr>
              <w:pStyle w:val="TableTextDusc"/>
              <w:keepNext/>
              <w:rPr>
                <w:b/>
              </w:rPr>
            </w:pPr>
            <w:r w:rsidRPr="008E5953">
              <w:t>315</w:t>
            </w:r>
            <w:r>
              <w:t>/351</w:t>
            </w:r>
            <w:r w:rsidRPr="008E5953">
              <w:t xml:space="preserve"> (90%)</w:t>
            </w:r>
          </w:p>
        </w:tc>
        <w:tc>
          <w:tcPr>
            <w:tcW w:w="758" w:type="pct"/>
            <w:shd w:val="clear" w:color="auto" w:fill="F2F2F2" w:themeFill="background1" w:themeFillShade="F2"/>
          </w:tcPr>
          <w:p w14:paraId="3235542B" w14:textId="77777777" w:rsidR="00D71D12" w:rsidRDefault="00D71D12" w:rsidP="00D71D12">
            <w:pPr>
              <w:pStyle w:val="TableTextDusc"/>
              <w:keepNext/>
            </w:pPr>
            <w:r w:rsidRPr="008E5953">
              <w:t>4</w:t>
            </w:r>
            <w:r>
              <w:t>/168</w:t>
            </w:r>
            <w:r w:rsidRPr="008E5953">
              <w:t xml:space="preserve"> (2%)</w:t>
            </w:r>
          </w:p>
        </w:tc>
      </w:tr>
      <w:tr w:rsidR="00D71D12" w:rsidRPr="00E2771E" w14:paraId="325FFE6A" w14:textId="77777777" w:rsidTr="00D71D12">
        <w:trPr>
          <w:cantSplit/>
        </w:trPr>
        <w:tc>
          <w:tcPr>
            <w:tcW w:w="627" w:type="pct"/>
            <w:shd w:val="clear" w:color="auto" w:fill="F2F2F2" w:themeFill="background1" w:themeFillShade="F2"/>
          </w:tcPr>
          <w:p w14:paraId="450614F6" w14:textId="77777777" w:rsidR="00D71D12" w:rsidRPr="00E2771E" w:rsidRDefault="00D71D12" w:rsidP="00D71D12">
            <w:pPr>
              <w:pStyle w:val="TableTextDusc"/>
            </w:pPr>
            <w:r w:rsidRPr="00AD2B57">
              <w:t xml:space="preserve">UNCOVER </w:t>
            </w:r>
            <w:r>
              <w:t>3</w:t>
            </w:r>
            <w:r w:rsidRPr="00D71D12">
              <w:rPr>
                <w:vertAlign w:val="superscript"/>
              </w:rPr>
              <w:t xml:space="preserve"> b</w:t>
            </w:r>
          </w:p>
        </w:tc>
        <w:tc>
          <w:tcPr>
            <w:tcW w:w="470" w:type="pct"/>
            <w:shd w:val="clear" w:color="auto" w:fill="F2F2F2" w:themeFill="background1" w:themeFillShade="F2"/>
          </w:tcPr>
          <w:p w14:paraId="155F01BA" w14:textId="77777777" w:rsidR="00D71D12" w:rsidRPr="00E2771E" w:rsidRDefault="00D71D12" w:rsidP="00D71D12">
            <w:pPr>
              <w:pStyle w:val="TableTextDusc"/>
            </w:pPr>
            <w:r>
              <w:t>Yes:</w:t>
            </w:r>
            <w:r>
              <w:br/>
              <w:t>Jul 2006, QoL data</w:t>
            </w:r>
          </w:p>
        </w:tc>
        <w:tc>
          <w:tcPr>
            <w:tcW w:w="316" w:type="pct"/>
            <w:shd w:val="clear" w:color="auto" w:fill="F2F2F2" w:themeFill="background1" w:themeFillShade="F2"/>
          </w:tcPr>
          <w:p w14:paraId="78D206AC" w14:textId="77777777" w:rsidR="00D71D12" w:rsidRPr="00E2771E" w:rsidRDefault="00D71D12" w:rsidP="00D71D12">
            <w:pPr>
              <w:pStyle w:val="TableTextDusc"/>
            </w:pPr>
            <w:r>
              <w:t>578</w:t>
            </w:r>
          </w:p>
        </w:tc>
        <w:tc>
          <w:tcPr>
            <w:tcW w:w="393" w:type="pct"/>
            <w:shd w:val="clear" w:color="auto" w:fill="F2F2F2" w:themeFill="background1" w:themeFillShade="F2"/>
          </w:tcPr>
          <w:p w14:paraId="2C56E6FA" w14:textId="77777777" w:rsidR="00D71D12" w:rsidRDefault="00D71D12" w:rsidP="00D71D12">
            <w:pPr>
              <w:pStyle w:val="TableTextDusc"/>
            </w:pPr>
            <w:r>
              <w:t>R, DB, PC, MC</w:t>
            </w:r>
          </w:p>
        </w:tc>
        <w:tc>
          <w:tcPr>
            <w:tcW w:w="707" w:type="pct"/>
            <w:shd w:val="clear" w:color="auto" w:fill="F2F2F2" w:themeFill="background1" w:themeFillShade="F2"/>
          </w:tcPr>
          <w:p w14:paraId="1CE7CD47" w14:textId="77777777" w:rsidR="00D71D12" w:rsidRPr="00E2771E" w:rsidRDefault="00D71D12" w:rsidP="00D71D12">
            <w:pPr>
              <w:pStyle w:val="TableTextDusc"/>
            </w:pPr>
            <w:r>
              <w:t>12 weeks</w:t>
            </w:r>
          </w:p>
        </w:tc>
        <w:tc>
          <w:tcPr>
            <w:tcW w:w="393" w:type="pct"/>
            <w:shd w:val="clear" w:color="auto" w:fill="F2F2F2" w:themeFill="background1" w:themeFillShade="F2"/>
          </w:tcPr>
          <w:p w14:paraId="03BAE913" w14:textId="77777777" w:rsidR="00D71D12" w:rsidRPr="00E2771E" w:rsidRDefault="00D71D12" w:rsidP="00D71D12">
            <w:pPr>
              <w:pStyle w:val="TableTextDusc"/>
            </w:pPr>
            <w:r>
              <w:t>Unclear (High</w:t>
            </w:r>
            <w:r w:rsidRPr="0011587D">
              <w:rPr>
                <w:vertAlign w:val="superscript"/>
              </w:rPr>
              <w:t>a</w:t>
            </w:r>
            <w:r>
              <w:t>)</w:t>
            </w:r>
          </w:p>
        </w:tc>
        <w:tc>
          <w:tcPr>
            <w:tcW w:w="551" w:type="pct"/>
            <w:shd w:val="clear" w:color="auto" w:fill="F2F2F2" w:themeFill="background1" w:themeFillShade="F2"/>
          </w:tcPr>
          <w:p w14:paraId="348C2DEF" w14:textId="77777777" w:rsidR="00D71D12" w:rsidRDefault="00D71D12" w:rsidP="00D71D12">
            <w:pPr>
              <w:pStyle w:val="TableTextDusc"/>
              <w:rPr>
                <w:rFonts w:cstheme="minorHAnsi"/>
              </w:rPr>
            </w:pPr>
            <w:r>
              <w:rPr>
                <w:rFonts w:cstheme="minorHAnsi"/>
              </w:rPr>
              <w:t>≥ 10% BSA</w:t>
            </w:r>
          </w:p>
          <w:p w14:paraId="00CAEDDD" w14:textId="77777777" w:rsidR="00D71D12" w:rsidRPr="00E2771E" w:rsidRDefault="00D71D12" w:rsidP="00D71D12">
            <w:pPr>
              <w:pStyle w:val="TableTextDusc"/>
            </w:pPr>
            <w:r>
              <w:rPr>
                <w:rFonts w:cstheme="minorHAnsi"/>
              </w:rPr>
              <w:t>≥ 12 PASI</w:t>
            </w:r>
          </w:p>
        </w:tc>
        <w:tc>
          <w:tcPr>
            <w:tcW w:w="785" w:type="pct"/>
            <w:shd w:val="clear" w:color="auto" w:fill="F2F2F2" w:themeFill="background1" w:themeFillShade="F2"/>
          </w:tcPr>
          <w:p w14:paraId="0413E811" w14:textId="77777777" w:rsidR="00D71D12" w:rsidRPr="00E2771E" w:rsidRDefault="00D71D12" w:rsidP="00D71D12">
            <w:pPr>
              <w:pStyle w:val="TableTextDusc"/>
            </w:pPr>
            <w:r w:rsidRPr="008E5953">
              <w:t>336</w:t>
            </w:r>
            <w:r>
              <w:t>/385</w:t>
            </w:r>
            <w:r w:rsidRPr="008E5953">
              <w:t xml:space="preserve"> (87%)</w:t>
            </w:r>
          </w:p>
        </w:tc>
        <w:tc>
          <w:tcPr>
            <w:tcW w:w="758" w:type="pct"/>
            <w:shd w:val="clear" w:color="auto" w:fill="F2F2F2" w:themeFill="background1" w:themeFillShade="F2"/>
          </w:tcPr>
          <w:p w14:paraId="0ABA912C" w14:textId="77777777" w:rsidR="00D71D12" w:rsidRDefault="00D71D12" w:rsidP="00D71D12">
            <w:pPr>
              <w:pStyle w:val="TableTextDusc"/>
            </w:pPr>
            <w:r w:rsidRPr="003E5FB3">
              <w:t>14</w:t>
            </w:r>
            <w:r>
              <w:t>/193</w:t>
            </w:r>
            <w:r w:rsidRPr="003E5FB3">
              <w:t xml:space="preserve"> (7%)</w:t>
            </w:r>
          </w:p>
        </w:tc>
      </w:tr>
    </w:tbl>
    <w:p w14:paraId="27AFF046" w14:textId="77777777" w:rsidR="00C9273D" w:rsidRDefault="00C9273D" w:rsidP="00C9273D">
      <w:pPr>
        <w:pStyle w:val="TableFooter"/>
      </w:pPr>
      <w:r w:rsidRPr="008521BC">
        <w:t xml:space="preserve">BSA = body surface area; DB = double blind; MC = multi-centre; </w:t>
      </w:r>
      <w:r w:rsidR="00D71D12">
        <w:t xml:space="preserve">NR = not reported; </w:t>
      </w:r>
      <w:r>
        <w:t xml:space="preserve">OL = open label; </w:t>
      </w:r>
      <w:r w:rsidRPr="008521BC">
        <w:t xml:space="preserve">PASI = </w:t>
      </w:r>
      <w:r w:rsidRPr="00383CDD">
        <w:t>Psoriasis Area and Severity Index;</w:t>
      </w:r>
      <w:r w:rsidRPr="008521BC">
        <w:t xml:space="preserve"> </w:t>
      </w:r>
      <w:r w:rsidRPr="00383CDD">
        <w:t xml:space="preserve">PASI 75 = reduction in PASI score of 75%; </w:t>
      </w:r>
      <w:r w:rsidRPr="00B52E48">
        <w:t>PBAC</w:t>
      </w:r>
      <w:r w:rsidRPr="008521BC">
        <w:t xml:space="preserve"> = Pharmaceutical Benefits Advisory Committee; PC = placebo-controlled; </w:t>
      </w:r>
      <w:r>
        <w:t xml:space="preserve">QoL = quality of life; </w:t>
      </w:r>
      <w:r w:rsidRPr="008521BC">
        <w:t xml:space="preserve">R = randomised; </w:t>
      </w:r>
      <w:r>
        <w:t xml:space="preserve">SB = single blind; </w:t>
      </w:r>
      <w:r w:rsidRPr="00513BB3">
        <w:rPr>
          <w:highlight w:val="lightGray"/>
        </w:rPr>
        <w:t>Shaded</w:t>
      </w:r>
      <w:r>
        <w:t xml:space="preserve"> = previously considered by the PBAC</w:t>
      </w:r>
    </w:p>
    <w:p w14:paraId="23A16939" w14:textId="77777777" w:rsidR="00C9273D" w:rsidRDefault="00C9273D" w:rsidP="00C9273D">
      <w:pPr>
        <w:pStyle w:val="TableFooter"/>
      </w:pPr>
      <w:r w:rsidRPr="0011587D">
        <w:rPr>
          <w:vertAlign w:val="superscript"/>
        </w:rPr>
        <w:t>a</w:t>
      </w:r>
      <w:r>
        <w:t xml:space="preserve"> Trial was funded by a pharmaceutical company</w:t>
      </w:r>
    </w:p>
    <w:p w14:paraId="024E879A" w14:textId="77777777" w:rsidR="00D71D12" w:rsidRDefault="00D71D12" w:rsidP="00C9273D">
      <w:pPr>
        <w:pStyle w:val="TableFooter"/>
      </w:pPr>
      <w:r w:rsidRPr="00D71D12">
        <w:rPr>
          <w:vertAlign w:val="superscript"/>
        </w:rPr>
        <w:t>b</w:t>
      </w:r>
      <w:r>
        <w:t xml:space="preserve"> Trial included an etanercept arm not included in the numbers presented</w:t>
      </w:r>
    </w:p>
    <w:p w14:paraId="19B4D4E5" w14:textId="77777777" w:rsidR="00C9273D" w:rsidRDefault="00C9273D" w:rsidP="00C9273D">
      <w:pPr>
        <w:pStyle w:val="TableFooter"/>
      </w:pPr>
      <w:r w:rsidRPr="00D71D12">
        <w:rPr>
          <w:vertAlign w:val="superscript"/>
        </w:rPr>
        <w:t>1</w:t>
      </w:r>
      <w:r w:rsidRPr="00C9273D">
        <w:t xml:space="preserve"> </w:t>
      </w:r>
      <w:r w:rsidR="00D71D12" w:rsidRPr="00D71D12">
        <w:t>Ixekizumab 160 mg SC at Week 0; 80 mg at Weeks 2, 4, 6, 8, 10 (PI recommended dose)</w:t>
      </w:r>
    </w:p>
    <w:p w14:paraId="495826A4" w14:textId="77777777" w:rsidR="00D71D12" w:rsidRPr="00D71D12" w:rsidRDefault="00D71D12" w:rsidP="005E46D4">
      <w:pPr>
        <w:keepNext/>
        <w:keepLines/>
        <w:spacing w:after="120"/>
        <w:rPr>
          <w:u w:val="single"/>
        </w:rPr>
      </w:pPr>
      <w:r w:rsidRPr="00D71D12">
        <w:rPr>
          <w:u w:val="single"/>
        </w:rPr>
        <w:lastRenderedPageBreak/>
        <w:t xml:space="preserve">Secukinumab </w:t>
      </w:r>
    </w:p>
    <w:p w14:paraId="55CF3D11" w14:textId="6A7083C1" w:rsidR="00C9273D" w:rsidRDefault="00D71D12" w:rsidP="005E46D4">
      <w:pPr>
        <w:keepNext/>
        <w:keepLines/>
      </w:pPr>
      <w:r>
        <w:t xml:space="preserve">Six secukinumab trials, with five related publications, were identified. The citation details, a brief description of the </w:t>
      </w:r>
      <w:r w:rsidR="009E36C4">
        <w:t>placebo-</w:t>
      </w:r>
      <w:r>
        <w:t>control</w:t>
      </w:r>
      <w:r w:rsidR="009E36C4">
        <w:t>led</w:t>
      </w:r>
      <w:r>
        <w:t xml:space="preserve"> trial publication</w:t>
      </w:r>
      <w:r w:rsidR="009E36C4">
        <w:t>,</w:t>
      </w:r>
      <w:r>
        <w:t xml:space="preserve"> the outcomes</w:t>
      </w:r>
      <w:r w:rsidR="009E36C4">
        <w:t>,</w:t>
      </w:r>
      <w:r>
        <w:t xml:space="preserve"> and whether the trial has been previously considered by the PBAC are presented below in</w:t>
      </w:r>
      <w:r w:rsidR="00E85F3C">
        <w:t xml:space="preserve"> </w:t>
      </w:r>
      <w:r w:rsidR="00594BE2">
        <w:t>Table ES.</w:t>
      </w:r>
      <w:r w:rsidR="00594BE2">
        <w:rPr>
          <w:noProof/>
        </w:rPr>
        <w:t>11</w:t>
      </w:r>
      <w:r w:rsidR="00E85F3C">
        <w:t>.</w:t>
      </w:r>
    </w:p>
    <w:p w14:paraId="0A6686B4" w14:textId="797B6E1C" w:rsidR="00D71D12" w:rsidRDefault="00D71D12" w:rsidP="008D4D9D">
      <w:pPr>
        <w:pStyle w:val="MDTabCaption"/>
        <w:keepLines/>
      </w:pPr>
      <w:bookmarkStart w:id="52" w:name="_Ref501105565"/>
      <w:bookmarkStart w:id="53" w:name="_Toc501121197"/>
      <w:bookmarkStart w:id="54" w:name="_Toc503275001"/>
      <w:r>
        <w:t xml:space="preserve">Table </w:t>
      </w:r>
      <w:r w:rsidR="00E85F3C">
        <w:t>ES.</w:t>
      </w:r>
      <w:r w:rsidR="00594BE2">
        <w:t>11</w:t>
      </w:r>
      <w:bookmarkEnd w:id="52"/>
      <w:r>
        <w:t>: Secukinumab trials: comparison of trial characteristics</w:t>
      </w:r>
      <w:bookmarkEnd w:id="53"/>
      <w:r>
        <w:t xml:space="preserve"> and PASI 75 response</w:t>
      </w:r>
      <w:bookmarkEnd w:id="54"/>
      <w:r w:rsidR="009E36C4">
        <w:t xml:space="preserve"> of the placebo-controlled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0"/>
        <w:gridCol w:w="847"/>
        <w:gridCol w:w="570"/>
        <w:gridCol w:w="709"/>
        <w:gridCol w:w="1275"/>
        <w:gridCol w:w="709"/>
        <w:gridCol w:w="994"/>
        <w:gridCol w:w="1558"/>
        <w:gridCol w:w="1224"/>
      </w:tblGrid>
      <w:tr w:rsidR="00D71D12" w:rsidRPr="00383CDD" w14:paraId="419127CC" w14:textId="77777777" w:rsidTr="00E85F3C">
        <w:trPr>
          <w:cantSplit/>
          <w:tblHeader/>
        </w:trPr>
        <w:tc>
          <w:tcPr>
            <w:tcW w:w="627" w:type="pct"/>
            <w:shd w:val="clear" w:color="auto" w:fill="auto"/>
          </w:tcPr>
          <w:p w14:paraId="1A4A4C7C" w14:textId="77777777" w:rsidR="00D71D12" w:rsidRPr="008521BC" w:rsidRDefault="00D71D12" w:rsidP="00D71D12">
            <w:pPr>
              <w:pStyle w:val="TableTextDusc"/>
              <w:rPr>
                <w:b/>
              </w:rPr>
            </w:pPr>
            <w:r w:rsidRPr="008521BC">
              <w:rPr>
                <w:b/>
              </w:rPr>
              <w:t>Trial</w:t>
            </w:r>
          </w:p>
        </w:tc>
        <w:tc>
          <w:tcPr>
            <w:tcW w:w="470" w:type="pct"/>
            <w:shd w:val="clear" w:color="auto" w:fill="auto"/>
          </w:tcPr>
          <w:p w14:paraId="2F64E127" w14:textId="77777777" w:rsidR="00D71D12" w:rsidRPr="008521BC" w:rsidRDefault="00D71D12" w:rsidP="00D71D12">
            <w:pPr>
              <w:pStyle w:val="TableTextDusc"/>
              <w:rPr>
                <w:b/>
              </w:rPr>
            </w:pPr>
            <w:r w:rsidRPr="008521BC">
              <w:rPr>
                <w:b/>
              </w:rPr>
              <w:t>Seen by PBAC?</w:t>
            </w:r>
          </w:p>
        </w:tc>
        <w:tc>
          <w:tcPr>
            <w:tcW w:w="316" w:type="pct"/>
            <w:shd w:val="clear" w:color="auto" w:fill="auto"/>
          </w:tcPr>
          <w:p w14:paraId="4C1E602C" w14:textId="77777777" w:rsidR="00D71D12" w:rsidRPr="008521BC" w:rsidRDefault="00D71D12" w:rsidP="00D71D12">
            <w:pPr>
              <w:pStyle w:val="TableTextDusc"/>
              <w:rPr>
                <w:b/>
              </w:rPr>
            </w:pPr>
            <w:r w:rsidRPr="008521BC">
              <w:rPr>
                <w:b/>
              </w:rPr>
              <w:t>N</w:t>
            </w:r>
          </w:p>
        </w:tc>
        <w:tc>
          <w:tcPr>
            <w:tcW w:w="393" w:type="pct"/>
            <w:shd w:val="clear" w:color="auto" w:fill="auto"/>
          </w:tcPr>
          <w:p w14:paraId="445C4B01" w14:textId="77777777" w:rsidR="00D71D12" w:rsidRPr="008521BC" w:rsidRDefault="00D71D12" w:rsidP="00D71D12">
            <w:pPr>
              <w:pStyle w:val="TableTextDusc"/>
              <w:rPr>
                <w:b/>
              </w:rPr>
            </w:pPr>
            <w:r w:rsidRPr="008521BC">
              <w:rPr>
                <w:b/>
              </w:rPr>
              <w:t>Design</w:t>
            </w:r>
          </w:p>
        </w:tc>
        <w:tc>
          <w:tcPr>
            <w:tcW w:w="707" w:type="pct"/>
            <w:shd w:val="clear" w:color="auto" w:fill="auto"/>
          </w:tcPr>
          <w:p w14:paraId="23B64918" w14:textId="77777777" w:rsidR="00D71D12" w:rsidRPr="008521BC" w:rsidRDefault="00D71D12" w:rsidP="00D71D12">
            <w:pPr>
              <w:pStyle w:val="TableTextDusc"/>
              <w:rPr>
                <w:b/>
              </w:rPr>
            </w:pPr>
            <w:r w:rsidRPr="008521BC">
              <w:rPr>
                <w:b/>
              </w:rPr>
              <w:t>Trial duration (total study)</w:t>
            </w:r>
          </w:p>
        </w:tc>
        <w:tc>
          <w:tcPr>
            <w:tcW w:w="393" w:type="pct"/>
            <w:shd w:val="clear" w:color="auto" w:fill="auto"/>
          </w:tcPr>
          <w:p w14:paraId="231EEE7E" w14:textId="77777777" w:rsidR="00D71D12" w:rsidRPr="008521BC" w:rsidRDefault="00D71D12" w:rsidP="00D71D12">
            <w:pPr>
              <w:pStyle w:val="TableTextDusc"/>
              <w:rPr>
                <w:b/>
              </w:rPr>
            </w:pPr>
            <w:r w:rsidRPr="008521BC">
              <w:rPr>
                <w:b/>
              </w:rPr>
              <w:t>Risk of bias</w:t>
            </w:r>
          </w:p>
        </w:tc>
        <w:tc>
          <w:tcPr>
            <w:tcW w:w="551" w:type="pct"/>
            <w:shd w:val="clear" w:color="auto" w:fill="auto"/>
          </w:tcPr>
          <w:p w14:paraId="74B02A44" w14:textId="77777777" w:rsidR="00D71D12" w:rsidRPr="008521BC" w:rsidRDefault="00D71D12" w:rsidP="00D71D12">
            <w:pPr>
              <w:pStyle w:val="TableTextDusc"/>
              <w:rPr>
                <w:b/>
              </w:rPr>
            </w:pPr>
            <w:r w:rsidRPr="008521BC">
              <w:rPr>
                <w:b/>
              </w:rPr>
              <w:t>Patient population</w:t>
            </w:r>
          </w:p>
        </w:tc>
        <w:tc>
          <w:tcPr>
            <w:tcW w:w="864" w:type="pct"/>
            <w:shd w:val="clear" w:color="auto" w:fill="auto"/>
          </w:tcPr>
          <w:p w14:paraId="25527262" w14:textId="77777777" w:rsidR="00D71D12" w:rsidRPr="008521BC" w:rsidRDefault="00D71D12" w:rsidP="00D71D12">
            <w:pPr>
              <w:pStyle w:val="TableTextDusc"/>
              <w:rPr>
                <w:b/>
              </w:rPr>
            </w:pPr>
            <w:r w:rsidRPr="00A47E3B">
              <w:rPr>
                <w:b/>
              </w:rPr>
              <w:t>PASI</w:t>
            </w:r>
            <w:r>
              <w:rPr>
                <w:b/>
              </w:rPr>
              <w:t xml:space="preserve"> </w:t>
            </w:r>
            <w:r w:rsidRPr="00A47E3B">
              <w:rPr>
                <w:b/>
              </w:rPr>
              <w:t>75;</w:t>
            </w:r>
            <w:r>
              <w:rPr>
                <w:b/>
              </w:rPr>
              <w:t xml:space="preserve"> n/N</w:t>
            </w:r>
            <w:r w:rsidRPr="00A47E3B">
              <w:rPr>
                <w:b/>
              </w:rPr>
              <w:t xml:space="preserve"> (%)</w:t>
            </w:r>
            <w:r>
              <w:rPr>
                <w:b/>
              </w:rPr>
              <w:t>secukinumab</w:t>
            </w:r>
            <w:r w:rsidRPr="00F34FF3">
              <w:rPr>
                <w:b/>
                <w:vertAlign w:val="superscript"/>
              </w:rPr>
              <w:t>1</w:t>
            </w:r>
          </w:p>
        </w:tc>
        <w:tc>
          <w:tcPr>
            <w:tcW w:w="679" w:type="pct"/>
          </w:tcPr>
          <w:p w14:paraId="66FAE0DB" w14:textId="77777777" w:rsidR="00D71D12" w:rsidRPr="008521BC" w:rsidRDefault="00D71D12" w:rsidP="00D71D12">
            <w:pPr>
              <w:pStyle w:val="TableTextDusc"/>
              <w:rPr>
                <w:b/>
              </w:rPr>
            </w:pPr>
            <w:r w:rsidRPr="00A47E3B">
              <w:rPr>
                <w:b/>
              </w:rPr>
              <w:t>PASI</w:t>
            </w:r>
            <w:r>
              <w:rPr>
                <w:b/>
              </w:rPr>
              <w:t xml:space="preserve"> </w:t>
            </w:r>
            <w:r w:rsidRPr="00A47E3B">
              <w:rPr>
                <w:b/>
              </w:rPr>
              <w:t>75;</w:t>
            </w:r>
            <w:r>
              <w:rPr>
                <w:b/>
              </w:rPr>
              <w:t xml:space="preserve"> n/N</w:t>
            </w:r>
            <w:r w:rsidRPr="00A47E3B">
              <w:rPr>
                <w:b/>
              </w:rPr>
              <w:t xml:space="preserve"> (%)</w:t>
            </w:r>
            <w:r>
              <w:rPr>
                <w:b/>
              </w:rPr>
              <w:t>Placebo</w:t>
            </w:r>
          </w:p>
        </w:tc>
      </w:tr>
      <w:tr w:rsidR="00D71D12" w:rsidRPr="00E2771E" w14:paraId="72C57F82" w14:textId="77777777" w:rsidTr="00E85F3C">
        <w:trPr>
          <w:cantSplit/>
        </w:trPr>
        <w:tc>
          <w:tcPr>
            <w:tcW w:w="627" w:type="pct"/>
            <w:shd w:val="clear" w:color="auto" w:fill="F2F2F2" w:themeFill="background1" w:themeFillShade="F2"/>
          </w:tcPr>
          <w:p w14:paraId="78B088B5" w14:textId="77777777" w:rsidR="00D71D12" w:rsidRDefault="00D71D12" w:rsidP="00D71D12">
            <w:pPr>
              <w:pStyle w:val="TableTextDusc"/>
            </w:pPr>
            <w:r>
              <w:rPr>
                <w:rFonts w:ascii="Calibri" w:hAnsi="Calibri"/>
                <w:noProof/>
              </w:rPr>
              <w:t>ERASURE</w:t>
            </w:r>
          </w:p>
        </w:tc>
        <w:tc>
          <w:tcPr>
            <w:tcW w:w="470" w:type="pct"/>
            <w:shd w:val="clear" w:color="auto" w:fill="F2F2F2" w:themeFill="background1" w:themeFillShade="F2"/>
          </w:tcPr>
          <w:p w14:paraId="27799286" w14:textId="77777777" w:rsidR="00D71D12" w:rsidRPr="00E2771E" w:rsidRDefault="00D71D12" w:rsidP="00D71D12">
            <w:pPr>
              <w:pStyle w:val="TableTextDusc"/>
            </w:pPr>
            <w:r>
              <w:t>Yes:</w:t>
            </w:r>
            <w:r>
              <w:br/>
              <w:t>Mar 2015</w:t>
            </w:r>
          </w:p>
        </w:tc>
        <w:tc>
          <w:tcPr>
            <w:tcW w:w="316" w:type="pct"/>
            <w:shd w:val="clear" w:color="auto" w:fill="F2F2F2" w:themeFill="background1" w:themeFillShade="F2"/>
          </w:tcPr>
          <w:p w14:paraId="7DF6E170" w14:textId="77777777" w:rsidR="00D71D12" w:rsidRPr="00E2771E" w:rsidRDefault="00D71D12" w:rsidP="00D71D12">
            <w:pPr>
              <w:pStyle w:val="TableTextDusc"/>
            </w:pPr>
            <w:r>
              <w:t>738</w:t>
            </w:r>
          </w:p>
        </w:tc>
        <w:tc>
          <w:tcPr>
            <w:tcW w:w="393" w:type="pct"/>
            <w:shd w:val="clear" w:color="auto" w:fill="F2F2F2" w:themeFill="background1" w:themeFillShade="F2"/>
          </w:tcPr>
          <w:p w14:paraId="03337FD3" w14:textId="77777777" w:rsidR="00D71D12" w:rsidRDefault="00D71D12" w:rsidP="00D71D12">
            <w:pPr>
              <w:pStyle w:val="TableTextDusc"/>
            </w:pPr>
            <w:r>
              <w:t>R, DB, PC, MC</w:t>
            </w:r>
          </w:p>
        </w:tc>
        <w:tc>
          <w:tcPr>
            <w:tcW w:w="707" w:type="pct"/>
            <w:shd w:val="clear" w:color="auto" w:fill="F2F2F2" w:themeFill="background1" w:themeFillShade="F2"/>
          </w:tcPr>
          <w:p w14:paraId="69BB781F" w14:textId="77777777" w:rsidR="00D71D12" w:rsidRPr="00E2771E" w:rsidRDefault="00D71D12" w:rsidP="00D71D12">
            <w:pPr>
              <w:pStyle w:val="TableTextDusc"/>
            </w:pPr>
            <w:r>
              <w:t xml:space="preserve">12 weeks </w:t>
            </w:r>
            <w:r>
              <w:br/>
              <w:t>(52 weeks)</w:t>
            </w:r>
          </w:p>
        </w:tc>
        <w:tc>
          <w:tcPr>
            <w:tcW w:w="393" w:type="pct"/>
            <w:shd w:val="clear" w:color="auto" w:fill="F2F2F2" w:themeFill="background1" w:themeFillShade="F2"/>
          </w:tcPr>
          <w:p w14:paraId="57FC3F7D" w14:textId="77777777" w:rsidR="00D71D12" w:rsidRPr="00E2771E" w:rsidRDefault="00D71D12" w:rsidP="00D71D12">
            <w:pPr>
              <w:pStyle w:val="TableTextDusc"/>
            </w:pPr>
            <w:r>
              <w:t>Low (High</w:t>
            </w:r>
            <w:r w:rsidRPr="00953417">
              <w:rPr>
                <w:vertAlign w:val="superscript"/>
              </w:rPr>
              <w:t>a</w:t>
            </w:r>
            <w:r>
              <w:t>)</w:t>
            </w:r>
          </w:p>
        </w:tc>
        <w:tc>
          <w:tcPr>
            <w:tcW w:w="551" w:type="pct"/>
            <w:shd w:val="clear" w:color="auto" w:fill="F2F2F2" w:themeFill="background1" w:themeFillShade="F2"/>
          </w:tcPr>
          <w:p w14:paraId="031C836B" w14:textId="77777777" w:rsidR="00D71D12" w:rsidRDefault="00D71D12" w:rsidP="00D71D12">
            <w:pPr>
              <w:pStyle w:val="TableTextDusc"/>
              <w:rPr>
                <w:rFonts w:cstheme="minorHAnsi"/>
              </w:rPr>
            </w:pPr>
            <w:r>
              <w:rPr>
                <w:rFonts w:cstheme="minorHAnsi"/>
              </w:rPr>
              <w:t>≥ 10% BSA</w:t>
            </w:r>
          </w:p>
          <w:p w14:paraId="77EA4DA6" w14:textId="77777777" w:rsidR="00D71D12" w:rsidRDefault="00D71D12" w:rsidP="00D71D12">
            <w:pPr>
              <w:pStyle w:val="TableTextDusc"/>
              <w:rPr>
                <w:rFonts w:cstheme="minorHAnsi"/>
              </w:rPr>
            </w:pPr>
            <w:r>
              <w:rPr>
                <w:rFonts w:cstheme="minorHAnsi"/>
              </w:rPr>
              <w:t>≥ 12 PASI</w:t>
            </w:r>
          </w:p>
          <w:p w14:paraId="72B1D8D5" w14:textId="77777777" w:rsidR="00D71D12" w:rsidRPr="00E2771E" w:rsidRDefault="00D71D12" w:rsidP="00D71D12">
            <w:pPr>
              <w:pStyle w:val="TableTextDusc"/>
            </w:pPr>
            <w:r>
              <w:rPr>
                <w:rFonts w:cstheme="minorHAnsi"/>
              </w:rPr>
              <w:t>≥ 3 PGA</w:t>
            </w:r>
          </w:p>
        </w:tc>
        <w:tc>
          <w:tcPr>
            <w:tcW w:w="864" w:type="pct"/>
            <w:shd w:val="clear" w:color="auto" w:fill="F2F2F2" w:themeFill="background1" w:themeFillShade="F2"/>
          </w:tcPr>
          <w:p w14:paraId="2BD85A24" w14:textId="77777777" w:rsidR="00D71D12" w:rsidRPr="00A8176E" w:rsidRDefault="00D71D12" w:rsidP="00D71D12">
            <w:pPr>
              <w:pStyle w:val="TableTextDusc"/>
              <w:rPr>
                <w:b/>
              </w:rPr>
            </w:pPr>
            <w:r w:rsidRPr="001B51CD">
              <w:rPr>
                <w:rFonts w:ascii="Calibri" w:hAnsi="Calibri"/>
              </w:rPr>
              <w:t>NR/245 (82%)</w:t>
            </w:r>
          </w:p>
        </w:tc>
        <w:tc>
          <w:tcPr>
            <w:tcW w:w="679" w:type="pct"/>
            <w:shd w:val="clear" w:color="auto" w:fill="F2F2F2" w:themeFill="background1" w:themeFillShade="F2"/>
          </w:tcPr>
          <w:p w14:paraId="2606ED2C" w14:textId="77777777" w:rsidR="00D71D12" w:rsidRDefault="00D71D12" w:rsidP="00D71D12">
            <w:pPr>
              <w:pStyle w:val="TableTextDusc"/>
            </w:pPr>
            <w:r w:rsidRPr="001B51CD">
              <w:rPr>
                <w:rFonts w:ascii="Calibri" w:hAnsi="Calibri"/>
              </w:rPr>
              <w:t>NR/248 (5%)</w:t>
            </w:r>
          </w:p>
        </w:tc>
      </w:tr>
      <w:tr w:rsidR="00D71D12" w:rsidRPr="00E2771E" w14:paraId="7A3A9F72" w14:textId="77777777" w:rsidTr="00E85F3C">
        <w:trPr>
          <w:cantSplit/>
        </w:trPr>
        <w:tc>
          <w:tcPr>
            <w:tcW w:w="627" w:type="pct"/>
            <w:shd w:val="clear" w:color="auto" w:fill="F2F2F2" w:themeFill="background1" w:themeFillShade="F2"/>
          </w:tcPr>
          <w:p w14:paraId="1DB985DB" w14:textId="77777777" w:rsidR="00D71D12" w:rsidRPr="00E2771E" w:rsidRDefault="00D71D12" w:rsidP="00D71D12">
            <w:pPr>
              <w:pStyle w:val="TableTextDusc"/>
            </w:pPr>
            <w:r w:rsidRPr="001B51CD">
              <w:rPr>
                <w:rFonts w:ascii="Calibri" w:hAnsi="Calibri"/>
                <w:noProof/>
              </w:rPr>
              <w:t>FEATURE</w:t>
            </w:r>
          </w:p>
        </w:tc>
        <w:tc>
          <w:tcPr>
            <w:tcW w:w="470" w:type="pct"/>
            <w:shd w:val="clear" w:color="auto" w:fill="F2F2F2" w:themeFill="background1" w:themeFillShade="F2"/>
          </w:tcPr>
          <w:p w14:paraId="7150DE20" w14:textId="77777777" w:rsidR="00D71D12" w:rsidRPr="00E2771E" w:rsidRDefault="00D71D12" w:rsidP="00D71D12">
            <w:pPr>
              <w:pStyle w:val="TableTextDusc"/>
            </w:pPr>
            <w:r>
              <w:t>Yes:</w:t>
            </w:r>
            <w:r>
              <w:br/>
              <w:t>Mar 2015</w:t>
            </w:r>
          </w:p>
        </w:tc>
        <w:tc>
          <w:tcPr>
            <w:tcW w:w="316" w:type="pct"/>
            <w:shd w:val="clear" w:color="auto" w:fill="F2F2F2" w:themeFill="background1" w:themeFillShade="F2"/>
          </w:tcPr>
          <w:p w14:paraId="46665AF9" w14:textId="77777777" w:rsidR="00D71D12" w:rsidRDefault="00D71D12" w:rsidP="00D71D12">
            <w:pPr>
              <w:pStyle w:val="TableTextDusc"/>
            </w:pPr>
            <w:r>
              <w:t>177</w:t>
            </w:r>
          </w:p>
          <w:p w14:paraId="5FBCEB48" w14:textId="77777777" w:rsidR="00D71D12" w:rsidRPr="004B33F9" w:rsidRDefault="00D71D12" w:rsidP="00D71D12"/>
        </w:tc>
        <w:tc>
          <w:tcPr>
            <w:tcW w:w="393" w:type="pct"/>
            <w:shd w:val="clear" w:color="auto" w:fill="F2F2F2" w:themeFill="background1" w:themeFillShade="F2"/>
          </w:tcPr>
          <w:p w14:paraId="6D9B076A" w14:textId="77777777" w:rsidR="00D71D12" w:rsidRDefault="00D71D12" w:rsidP="00D71D12">
            <w:pPr>
              <w:pStyle w:val="TableTextDusc"/>
            </w:pPr>
            <w:r>
              <w:t>R, DB, PC, MC</w:t>
            </w:r>
          </w:p>
        </w:tc>
        <w:tc>
          <w:tcPr>
            <w:tcW w:w="707" w:type="pct"/>
            <w:shd w:val="clear" w:color="auto" w:fill="F2F2F2" w:themeFill="background1" w:themeFillShade="F2"/>
          </w:tcPr>
          <w:p w14:paraId="6F785AAD" w14:textId="77777777" w:rsidR="00D71D12" w:rsidRPr="00E2771E" w:rsidRDefault="00D71D12" w:rsidP="00D71D12">
            <w:pPr>
              <w:pStyle w:val="TableTextDusc"/>
            </w:pPr>
            <w:r>
              <w:t>12 weeks</w:t>
            </w:r>
            <w:r>
              <w:br/>
              <w:t>(208 weeks)</w:t>
            </w:r>
          </w:p>
        </w:tc>
        <w:tc>
          <w:tcPr>
            <w:tcW w:w="393" w:type="pct"/>
            <w:shd w:val="clear" w:color="auto" w:fill="F2F2F2" w:themeFill="background1" w:themeFillShade="F2"/>
          </w:tcPr>
          <w:p w14:paraId="773B91B6" w14:textId="77777777" w:rsidR="00D71D12" w:rsidRPr="00E2771E" w:rsidRDefault="00D71D12" w:rsidP="00D71D12">
            <w:pPr>
              <w:pStyle w:val="TableTextDusc"/>
            </w:pPr>
            <w:r>
              <w:t>Low (High</w:t>
            </w:r>
            <w:r w:rsidRPr="00953417">
              <w:rPr>
                <w:vertAlign w:val="superscript"/>
              </w:rPr>
              <w:t>a</w:t>
            </w:r>
            <w:r>
              <w:t>)</w:t>
            </w:r>
          </w:p>
        </w:tc>
        <w:tc>
          <w:tcPr>
            <w:tcW w:w="551" w:type="pct"/>
            <w:shd w:val="clear" w:color="auto" w:fill="F2F2F2" w:themeFill="background1" w:themeFillShade="F2"/>
          </w:tcPr>
          <w:p w14:paraId="4351DE7D" w14:textId="77777777" w:rsidR="00D71D12" w:rsidRDefault="00D71D12" w:rsidP="00D71D12">
            <w:pPr>
              <w:pStyle w:val="TableTextDusc"/>
              <w:rPr>
                <w:rFonts w:cstheme="minorHAnsi"/>
              </w:rPr>
            </w:pPr>
            <w:r>
              <w:rPr>
                <w:rFonts w:cstheme="minorHAnsi"/>
              </w:rPr>
              <w:t>≥ 10% BSA</w:t>
            </w:r>
          </w:p>
          <w:p w14:paraId="36D1467D" w14:textId="77777777" w:rsidR="00D71D12" w:rsidRDefault="00D71D12" w:rsidP="00D71D12">
            <w:pPr>
              <w:pStyle w:val="TableTextDusc"/>
              <w:rPr>
                <w:rFonts w:cstheme="minorHAnsi"/>
              </w:rPr>
            </w:pPr>
            <w:r>
              <w:rPr>
                <w:rFonts w:cstheme="minorHAnsi"/>
              </w:rPr>
              <w:t>≥ 12 PASI</w:t>
            </w:r>
          </w:p>
          <w:p w14:paraId="158A0487" w14:textId="77777777" w:rsidR="00D71D12" w:rsidRPr="00E2771E" w:rsidRDefault="00D71D12" w:rsidP="00D71D12">
            <w:pPr>
              <w:pStyle w:val="TableTextDusc"/>
            </w:pPr>
            <w:r>
              <w:rPr>
                <w:rFonts w:cstheme="minorHAnsi"/>
              </w:rPr>
              <w:t>≥ 3 PGA</w:t>
            </w:r>
          </w:p>
        </w:tc>
        <w:tc>
          <w:tcPr>
            <w:tcW w:w="864" w:type="pct"/>
            <w:shd w:val="clear" w:color="auto" w:fill="F2F2F2" w:themeFill="background1" w:themeFillShade="F2"/>
          </w:tcPr>
          <w:p w14:paraId="6ADC5DB9" w14:textId="77777777" w:rsidR="00D71D12" w:rsidRPr="00E2771E" w:rsidRDefault="00D71D12" w:rsidP="00D71D12">
            <w:pPr>
              <w:pStyle w:val="TableTextDusc"/>
            </w:pPr>
            <w:r w:rsidRPr="001B51CD">
              <w:rPr>
                <w:rFonts w:ascii="Calibri" w:hAnsi="Calibri"/>
              </w:rPr>
              <w:t>NR/59 (76%)</w:t>
            </w:r>
          </w:p>
        </w:tc>
        <w:tc>
          <w:tcPr>
            <w:tcW w:w="679" w:type="pct"/>
            <w:shd w:val="clear" w:color="auto" w:fill="F2F2F2" w:themeFill="background1" w:themeFillShade="F2"/>
          </w:tcPr>
          <w:p w14:paraId="23046244" w14:textId="77777777" w:rsidR="00D71D12" w:rsidRDefault="00D71D12" w:rsidP="00D71D12">
            <w:pPr>
              <w:pStyle w:val="TableTextDusc"/>
            </w:pPr>
            <w:r w:rsidRPr="001B51CD">
              <w:rPr>
                <w:rFonts w:ascii="Calibri" w:hAnsi="Calibri"/>
              </w:rPr>
              <w:t>NR/59 (0%)</w:t>
            </w:r>
          </w:p>
        </w:tc>
      </w:tr>
      <w:tr w:rsidR="00D71D12" w:rsidRPr="00E2771E" w14:paraId="63B4A1A8" w14:textId="77777777" w:rsidTr="00E85F3C">
        <w:trPr>
          <w:cantSplit/>
        </w:trPr>
        <w:tc>
          <w:tcPr>
            <w:tcW w:w="627" w:type="pct"/>
            <w:shd w:val="clear" w:color="auto" w:fill="F2F2F2" w:themeFill="background1" w:themeFillShade="F2"/>
          </w:tcPr>
          <w:p w14:paraId="3603C2F7" w14:textId="77777777" w:rsidR="00D71D12" w:rsidRDefault="00D71D12" w:rsidP="00D71D12">
            <w:pPr>
              <w:pStyle w:val="TableTextDusc"/>
            </w:pPr>
            <w:r w:rsidRPr="001B51CD">
              <w:rPr>
                <w:rFonts w:ascii="Calibri" w:hAnsi="Calibri"/>
                <w:noProof/>
              </w:rPr>
              <w:t>JUNCTURE</w:t>
            </w:r>
          </w:p>
        </w:tc>
        <w:tc>
          <w:tcPr>
            <w:tcW w:w="470" w:type="pct"/>
            <w:shd w:val="clear" w:color="auto" w:fill="F2F2F2" w:themeFill="background1" w:themeFillShade="F2"/>
          </w:tcPr>
          <w:p w14:paraId="495B3C98" w14:textId="77777777" w:rsidR="00D71D12" w:rsidRPr="00E2771E" w:rsidRDefault="00D71D12" w:rsidP="00D71D12">
            <w:pPr>
              <w:pStyle w:val="TableTextDusc"/>
            </w:pPr>
            <w:r>
              <w:t>Yes:</w:t>
            </w:r>
            <w:r>
              <w:br/>
              <w:t>Mar 2015</w:t>
            </w:r>
          </w:p>
        </w:tc>
        <w:tc>
          <w:tcPr>
            <w:tcW w:w="316" w:type="pct"/>
            <w:shd w:val="clear" w:color="auto" w:fill="F2F2F2" w:themeFill="background1" w:themeFillShade="F2"/>
          </w:tcPr>
          <w:p w14:paraId="4C307C45" w14:textId="77777777" w:rsidR="00D71D12" w:rsidRPr="00E2771E" w:rsidRDefault="00D71D12" w:rsidP="00D71D12">
            <w:pPr>
              <w:pStyle w:val="TableTextDusc"/>
            </w:pPr>
            <w:r>
              <w:t>182</w:t>
            </w:r>
          </w:p>
        </w:tc>
        <w:tc>
          <w:tcPr>
            <w:tcW w:w="393" w:type="pct"/>
            <w:shd w:val="clear" w:color="auto" w:fill="F2F2F2" w:themeFill="background1" w:themeFillShade="F2"/>
          </w:tcPr>
          <w:p w14:paraId="7B1C2FDD" w14:textId="77777777" w:rsidR="00D71D12" w:rsidRDefault="00D71D12" w:rsidP="00D71D12">
            <w:pPr>
              <w:pStyle w:val="TableTextDusc"/>
            </w:pPr>
            <w:r>
              <w:t>R, DB, PC, MC</w:t>
            </w:r>
          </w:p>
        </w:tc>
        <w:tc>
          <w:tcPr>
            <w:tcW w:w="707" w:type="pct"/>
            <w:shd w:val="clear" w:color="auto" w:fill="F2F2F2" w:themeFill="background1" w:themeFillShade="F2"/>
          </w:tcPr>
          <w:p w14:paraId="03653876" w14:textId="77777777" w:rsidR="00D71D12" w:rsidRPr="00E2771E" w:rsidRDefault="00D71D12" w:rsidP="00D71D12">
            <w:pPr>
              <w:pStyle w:val="TableTextDusc"/>
            </w:pPr>
            <w:r>
              <w:t>12 weeks</w:t>
            </w:r>
            <w:r>
              <w:br/>
              <w:t>(52 weeks)</w:t>
            </w:r>
          </w:p>
        </w:tc>
        <w:tc>
          <w:tcPr>
            <w:tcW w:w="393" w:type="pct"/>
            <w:shd w:val="clear" w:color="auto" w:fill="F2F2F2" w:themeFill="background1" w:themeFillShade="F2"/>
          </w:tcPr>
          <w:p w14:paraId="5D33AE0E" w14:textId="77777777" w:rsidR="00D71D12" w:rsidRPr="00E2771E" w:rsidRDefault="00D71D12" w:rsidP="00D71D12">
            <w:pPr>
              <w:pStyle w:val="TableTextDusc"/>
            </w:pPr>
            <w:r>
              <w:t>Low (High</w:t>
            </w:r>
            <w:r w:rsidRPr="00953417">
              <w:rPr>
                <w:vertAlign w:val="superscript"/>
              </w:rPr>
              <w:t>a</w:t>
            </w:r>
            <w:r>
              <w:t>)</w:t>
            </w:r>
          </w:p>
        </w:tc>
        <w:tc>
          <w:tcPr>
            <w:tcW w:w="551" w:type="pct"/>
            <w:shd w:val="clear" w:color="auto" w:fill="F2F2F2" w:themeFill="background1" w:themeFillShade="F2"/>
          </w:tcPr>
          <w:p w14:paraId="22A928DA" w14:textId="77777777" w:rsidR="00D71D12" w:rsidRDefault="00D71D12" w:rsidP="00D71D12">
            <w:pPr>
              <w:pStyle w:val="TableTextDusc"/>
              <w:rPr>
                <w:rFonts w:cstheme="minorHAnsi"/>
              </w:rPr>
            </w:pPr>
            <w:r>
              <w:rPr>
                <w:rFonts w:cstheme="minorHAnsi"/>
              </w:rPr>
              <w:t>≥ 10% BSA</w:t>
            </w:r>
          </w:p>
          <w:p w14:paraId="4E90FDE6" w14:textId="77777777" w:rsidR="00D71D12" w:rsidRDefault="00D71D12" w:rsidP="00D71D12">
            <w:pPr>
              <w:pStyle w:val="TableTextDusc"/>
              <w:rPr>
                <w:rFonts w:cstheme="minorHAnsi"/>
              </w:rPr>
            </w:pPr>
            <w:r>
              <w:rPr>
                <w:rFonts w:cstheme="minorHAnsi"/>
              </w:rPr>
              <w:t>≥ 12 PASI</w:t>
            </w:r>
          </w:p>
          <w:p w14:paraId="2B693E11" w14:textId="77777777" w:rsidR="00D71D12" w:rsidRPr="00E2771E" w:rsidRDefault="00D71D12" w:rsidP="00D71D12">
            <w:pPr>
              <w:pStyle w:val="TableTextDusc"/>
            </w:pPr>
            <w:r>
              <w:rPr>
                <w:rFonts w:cstheme="minorHAnsi"/>
              </w:rPr>
              <w:t>≥ 3 PGA</w:t>
            </w:r>
          </w:p>
        </w:tc>
        <w:tc>
          <w:tcPr>
            <w:tcW w:w="864" w:type="pct"/>
            <w:shd w:val="clear" w:color="auto" w:fill="F2F2F2" w:themeFill="background1" w:themeFillShade="F2"/>
          </w:tcPr>
          <w:p w14:paraId="7F7EE006" w14:textId="77777777" w:rsidR="00D71D12" w:rsidRPr="00E2771E" w:rsidRDefault="00D71D12" w:rsidP="00D71D12">
            <w:pPr>
              <w:pStyle w:val="TableTextDusc"/>
            </w:pPr>
            <w:r w:rsidRPr="001B51CD">
              <w:rPr>
                <w:rFonts w:ascii="Calibri" w:hAnsi="Calibri"/>
              </w:rPr>
              <w:t>NR/60 (87%)</w:t>
            </w:r>
          </w:p>
        </w:tc>
        <w:tc>
          <w:tcPr>
            <w:tcW w:w="679" w:type="pct"/>
            <w:shd w:val="clear" w:color="auto" w:fill="F2F2F2" w:themeFill="background1" w:themeFillShade="F2"/>
          </w:tcPr>
          <w:p w14:paraId="41653BD1" w14:textId="77777777" w:rsidR="00D71D12" w:rsidRDefault="00D71D12" w:rsidP="00D71D12">
            <w:pPr>
              <w:pStyle w:val="TableTextDusc"/>
            </w:pPr>
            <w:r w:rsidRPr="001B51CD">
              <w:rPr>
                <w:rFonts w:ascii="Calibri" w:hAnsi="Calibri"/>
              </w:rPr>
              <w:t>NR/61 (3%)</w:t>
            </w:r>
          </w:p>
        </w:tc>
      </w:tr>
      <w:tr w:rsidR="00D71D12" w:rsidRPr="00E2771E" w14:paraId="70DE3BEA" w14:textId="77777777" w:rsidTr="00E85F3C">
        <w:trPr>
          <w:cantSplit/>
        </w:trPr>
        <w:tc>
          <w:tcPr>
            <w:tcW w:w="627" w:type="pct"/>
            <w:shd w:val="clear" w:color="auto" w:fill="F2F2F2" w:themeFill="background1" w:themeFillShade="F2"/>
          </w:tcPr>
          <w:p w14:paraId="23AA96FB" w14:textId="77777777" w:rsidR="00D71D12" w:rsidRDefault="00D71D12" w:rsidP="00D71D12">
            <w:pPr>
              <w:pStyle w:val="TableTextDusc"/>
            </w:pPr>
            <w:r w:rsidRPr="001B51CD">
              <w:rPr>
                <w:rFonts w:ascii="Calibri" w:hAnsi="Calibri"/>
              </w:rPr>
              <w:t>FIXTURE</w:t>
            </w:r>
            <w:r w:rsidRPr="00D71D12">
              <w:rPr>
                <w:rFonts w:ascii="Calibri" w:hAnsi="Calibri"/>
                <w:vertAlign w:val="superscript"/>
              </w:rPr>
              <w:t>b</w:t>
            </w:r>
          </w:p>
        </w:tc>
        <w:tc>
          <w:tcPr>
            <w:tcW w:w="470" w:type="pct"/>
            <w:shd w:val="clear" w:color="auto" w:fill="F2F2F2" w:themeFill="background1" w:themeFillShade="F2"/>
          </w:tcPr>
          <w:p w14:paraId="626ED2B4" w14:textId="77777777" w:rsidR="00D71D12" w:rsidRPr="00E2771E" w:rsidRDefault="00D71D12" w:rsidP="00D71D12">
            <w:pPr>
              <w:pStyle w:val="TableTextDusc"/>
            </w:pPr>
            <w:r>
              <w:t>Yes:</w:t>
            </w:r>
            <w:r>
              <w:br/>
              <w:t>Mar 2015</w:t>
            </w:r>
          </w:p>
        </w:tc>
        <w:tc>
          <w:tcPr>
            <w:tcW w:w="316" w:type="pct"/>
            <w:shd w:val="clear" w:color="auto" w:fill="F2F2F2" w:themeFill="background1" w:themeFillShade="F2"/>
          </w:tcPr>
          <w:p w14:paraId="50963415" w14:textId="77777777" w:rsidR="00D71D12" w:rsidRPr="00E2771E" w:rsidRDefault="00D71D12" w:rsidP="00D71D12">
            <w:pPr>
              <w:pStyle w:val="TableTextDusc"/>
            </w:pPr>
            <w:r>
              <w:t>737</w:t>
            </w:r>
          </w:p>
        </w:tc>
        <w:tc>
          <w:tcPr>
            <w:tcW w:w="393" w:type="pct"/>
            <w:shd w:val="clear" w:color="auto" w:fill="F2F2F2" w:themeFill="background1" w:themeFillShade="F2"/>
          </w:tcPr>
          <w:p w14:paraId="2D58EAAA" w14:textId="77777777" w:rsidR="00D71D12" w:rsidRDefault="00D71D12" w:rsidP="00D71D12">
            <w:pPr>
              <w:pStyle w:val="TableTextDusc"/>
            </w:pPr>
            <w:r>
              <w:t>R, DB, PC, MC</w:t>
            </w:r>
          </w:p>
        </w:tc>
        <w:tc>
          <w:tcPr>
            <w:tcW w:w="707" w:type="pct"/>
            <w:shd w:val="clear" w:color="auto" w:fill="F2F2F2" w:themeFill="background1" w:themeFillShade="F2"/>
          </w:tcPr>
          <w:p w14:paraId="472F37DA" w14:textId="77777777" w:rsidR="00D71D12" w:rsidRPr="00E2771E" w:rsidRDefault="00D71D12" w:rsidP="00D71D12">
            <w:pPr>
              <w:pStyle w:val="TableTextDusc"/>
            </w:pPr>
            <w:r>
              <w:t xml:space="preserve">12 weeks </w:t>
            </w:r>
            <w:r>
              <w:br/>
              <w:t>(52 weeks)</w:t>
            </w:r>
          </w:p>
        </w:tc>
        <w:tc>
          <w:tcPr>
            <w:tcW w:w="393" w:type="pct"/>
            <w:shd w:val="clear" w:color="auto" w:fill="F2F2F2" w:themeFill="background1" w:themeFillShade="F2"/>
          </w:tcPr>
          <w:p w14:paraId="797E7398" w14:textId="77777777" w:rsidR="00D71D12" w:rsidRPr="00E2771E" w:rsidRDefault="00D71D12" w:rsidP="00D71D12">
            <w:pPr>
              <w:pStyle w:val="TableTextDusc"/>
            </w:pPr>
            <w:r>
              <w:t>Low (High</w:t>
            </w:r>
            <w:r w:rsidRPr="00953417">
              <w:rPr>
                <w:vertAlign w:val="superscript"/>
              </w:rPr>
              <w:t>a</w:t>
            </w:r>
            <w:r>
              <w:t>)</w:t>
            </w:r>
          </w:p>
        </w:tc>
        <w:tc>
          <w:tcPr>
            <w:tcW w:w="551" w:type="pct"/>
            <w:shd w:val="clear" w:color="auto" w:fill="F2F2F2" w:themeFill="background1" w:themeFillShade="F2"/>
          </w:tcPr>
          <w:p w14:paraId="0325806A" w14:textId="77777777" w:rsidR="00D71D12" w:rsidRDefault="00D71D12" w:rsidP="00D71D12">
            <w:pPr>
              <w:pStyle w:val="TableTextDusc"/>
              <w:rPr>
                <w:rFonts w:cstheme="minorHAnsi"/>
              </w:rPr>
            </w:pPr>
            <w:r>
              <w:rPr>
                <w:rFonts w:cstheme="minorHAnsi"/>
              </w:rPr>
              <w:t>≥ 10% BSA</w:t>
            </w:r>
          </w:p>
          <w:p w14:paraId="50BC0F17" w14:textId="77777777" w:rsidR="00D71D12" w:rsidRDefault="00D71D12" w:rsidP="00D71D12">
            <w:pPr>
              <w:pStyle w:val="TableTextDusc"/>
              <w:rPr>
                <w:rFonts w:cstheme="minorHAnsi"/>
              </w:rPr>
            </w:pPr>
            <w:r>
              <w:rPr>
                <w:rFonts w:cstheme="minorHAnsi"/>
              </w:rPr>
              <w:t>≥ 12 PASI</w:t>
            </w:r>
          </w:p>
          <w:p w14:paraId="599BC21E" w14:textId="77777777" w:rsidR="00D71D12" w:rsidRPr="00E2771E" w:rsidRDefault="00D71D12" w:rsidP="00D71D12">
            <w:pPr>
              <w:pStyle w:val="TableTextDusc"/>
            </w:pPr>
            <w:r>
              <w:rPr>
                <w:rFonts w:cstheme="minorHAnsi"/>
              </w:rPr>
              <w:t>≥ 3 PGA</w:t>
            </w:r>
          </w:p>
        </w:tc>
        <w:tc>
          <w:tcPr>
            <w:tcW w:w="864" w:type="pct"/>
            <w:shd w:val="clear" w:color="auto" w:fill="F2F2F2" w:themeFill="background1" w:themeFillShade="F2"/>
          </w:tcPr>
          <w:p w14:paraId="4772E4CC" w14:textId="77777777" w:rsidR="00D71D12" w:rsidRPr="00E2771E" w:rsidRDefault="00D71D12" w:rsidP="00D71D12">
            <w:pPr>
              <w:pStyle w:val="TableTextDusc"/>
            </w:pPr>
            <w:r>
              <w:rPr>
                <w:rFonts w:ascii="Calibri" w:hAnsi="Calibri"/>
              </w:rPr>
              <w:t xml:space="preserve">NR/327 </w:t>
            </w:r>
            <w:r w:rsidRPr="001B51CD">
              <w:rPr>
                <w:rFonts w:ascii="Calibri" w:hAnsi="Calibri"/>
              </w:rPr>
              <w:t>(77%)</w:t>
            </w:r>
          </w:p>
        </w:tc>
        <w:tc>
          <w:tcPr>
            <w:tcW w:w="679" w:type="pct"/>
            <w:shd w:val="clear" w:color="auto" w:fill="F2F2F2" w:themeFill="background1" w:themeFillShade="F2"/>
          </w:tcPr>
          <w:p w14:paraId="1DC02F2B" w14:textId="77777777" w:rsidR="00D71D12" w:rsidRDefault="00D71D12" w:rsidP="00D71D12">
            <w:pPr>
              <w:pStyle w:val="TableTextDusc"/>
            </w:pPr>
          </w:p>
        </w:tc>
      </w:tr>
    </w:tbl>
    <w:p w14:paraId="18AD8229" w14:textId="77777777" w:rsidR="00D71D12" w:rsidRDefault="00D71D12" w:rsidP="00D71D12">
      <w:pPr>
        <w:pStyle w:val="TableFooter"/>
      </w:pPr>
      <w:r w:rsidRPr="008521BC">
        <w:t xml:space="preserve">BSA = body surface area; DB = double blind; MC = multi-centre; </w:t>
      </w:r>
      <w:r>
        <w:t xml:space="preserve">OL = open label; </w:t>
      </w:r>
      <w:r w:rsidRPr="008521BC">
        <w:t xml:space="preserve">PASI = </w:t>
      </w:r>
      <w:r w:rsidRPr="00383CDD">
        <w:t>Psoriasis Area and Severity Index;</w:t>
      </w:r>
      <w:r w:rsidRPr="008521BC">
        <w:t xml:space="preserve"> </w:t>
      </w:r>
      <w:r w:rsidRPr="00383CDD">
        <w:t xml:space="preserve">PASI 75 = reduction in PASI score </w:t>
      </w:r>
      <w:r w:rsidRPr="00B52E48">
        <w:t>of 7</w:t>
      </w:r>
      <w:r w:rsidRPr="00383CDD">
        <w:t xml:space="preserve">5%; </w:t>
      </w:r>
      <w:r w:rsidRPr="008521BC">
        <w:t xml:space="preserve">PBAC = Pharmaceutical Benefits Advisory Committee; PC = placebo-controlled; </w:t>
      </w:r>
      <w:r>
        <w:t xml:space="preserve">QoL = quality of life; </w:t>
      </w:r>
      <w:r w:rsidRPr="008521BC">
        <w:t xml:space="preserve">R = </w:t>
      </w:r>
      <w:r w:rsidRPr="00B52E48">
        <w:t>randomised</w:t>
      </w:r>
      <w:r w:rsidRPr="008521BC">
        <w:t xml:space="preserve">; </w:t>
      </w:r>
      <w:r>
        <w:t xml:space="preserve">SB = single blind; </w:t>
      </w:r>
      <w:r w:rsidRPr="00513BB3">
        <w:rPr>
          <w:highlight w:val="lightGray"/>
        </w:rPr>
        <w:t>Shaded</w:t>
      </w:r>
      <w:r>
        <w:t xml:space="preserve"> = previously considered by the PBAC</w:t>
      </w:r>
    </w:p>
    <w:p w14:paraId="53672600" w14:textId="77777777" w:rsidR="00D71D12" w:rsidRDefault="00D71D12" w:rsidP="00D71D12">
      <w:pPr>
        <w:pStyle w:val="TableFooter"/>
      </w:pPr>
      <w:r w:rsidRPr="0011587D">
        <w:rPr>
          <w:vertAlign w:val="superscript"/>
        </w:rPr>
        <w:t>a</w:t>
      </w:r>
      <w:r>
        <w:t xml:space="preserve"> Trial was funded by a pharmaceutical company</w:t>
      </w:r>
    </w:p>
    <w:p w14:paraId="3729B64D" w14:textId="77777777" w:rsidR="00D71D12" w:rsidRDefault="00D71D12" w:rsidP="00D71D12">
      <w:pPr>
        <w:pStyle w:val="TableFooter"/>
      </w:pPr>
      <w:r w:rsidRPr="00D71D12">
        <w:rPr>
          <w:vertAlign w:val="superscript"/>
        </w:rPr>
        <w:t>b</w:t>
      </w:r>
      <w:r>
        <w:t xml:space="preserve"> Trial included an etanercept arm not included in the numbers presented</w:t>
      </w:r>
    </w:p>
    <w:p w14:paraId="56437BD1" w14:textId="1135D41E" w:rsidR="00D71D12" w:rsidRDefault="00D71D12" w:rsidP="00D71D12">
      <w:pPr>
        <w:pStyle w:val="TableFooter"/>
      </w:pPr>
      <w:r w:rsidRPr="009B575C">
        <w:rPr>
          <w:vertAlign w:val="superscript"/>
        </w:rPr>
        <w:t>1</w:t>
      </w:r>
      <w:r>
        <w:t xml:space="preserve"> Secukinumab 300 mg SC at W</w:t>
      </w:r>
      <w:r w:rsidRPr="00BE1825">
        <w:t>eeks 0, 1</w:t>
      </w:r>
      <w:r w:rsidR="008F3886">
        <w:t>,</w:t>
      </w:r>
      <w:r w:rsidRPr="00BE1825">
        <w:t xml:space="preserve"> 2, 3, 4</w:t>
      </w:r>
      <w:r>
        <w:t>;</w:t>
      </w:r>
      <w:r w:rsidRPr="00BE1825">
        <w:t xml:space="preserve"> then every 4 weeks </w:t>
      </w:r>
      <w:r>
        <w:t>(PI recommended dose)</w:t>
      </w:r>
    </w:p>
    <w:p w14:paraId="75F1E494" w14:textId="77777777" w:rsidR="00D71D12" w:rsidRDefault="00D71D12" w:rsidP="00D71D12">
      <w:pPr>
        <w:pStyle w:val="TableFooter"/>
      </w:pPr>
    </w:p>
    <w:p w14:paraId="5BDAF1EF" w14:textId="77777777" w:rsidR="00E85F3C" w:rsidRPr="00E85F3C" w:rsidRDefault="00E85F3C" w:rsidP="00A77877">
      <w:pPr>
        <w:rPr>
          <w:u w:val="single"/>
        </w:rPr>
      </w:pPr>
      <w:r w:rsidRPr="00E85F3C">
        <w:rPr>
          <w:u w:val="single"/>
        </w:rPr>
        <w:t xml:space="preserve">Ustekinumab </w:t>
      </w:r>
    </w:p>
    <w:p w14:paraId="79803483" w14:textId="5E2A0BB8" w:rsidR="00E85F3C" w:rsidRDefault="00E85F3C" w:rsidP="00A77877">
      <w:r>
        <w:t>For the treatment of CPP, ten</w:t>
      </w:r>
      <w:r w:rsidRPr="00AB6188">
        <w:t xml:space="preserve"> ustekinumab trials (including the CLEAR trial which was also identified for secukinumab), with 1</w:t>
      </w:r>
      <w:r>
        <w:t xml:space="preserve">1 related publications, were identified. The citation details, a brief description of the </w:t>
      </w:r>
      <w:r w:rsidR="009E36C4">
        <w:t>placebo-</w:t>
      </w:r>
      <w:r>
        <w:t>control</w:t>
      </w:r>
      <w:r w:rsidR="009E36C4">
        <w:t>led</w:t>
      </w:r>
      <w:r>
        <w:t xml:space="preserve"> trial publications</w:t>
      </w:r>
      <w:r w:rsidR="009E36C4">
        <w:t>,</w:t>
      </w:r>
      <w:r>
        <w:t xml:space="preserve"> the outcomes</w:t>
      </w:r>
      <w:r w:rsidR="009E36C4">
        <w:t>,</w:t>
      </w:r>
      <w:r>
        <w:t xml:space="preserve"> and whether the trial has been previously considered by the PBAC are presented below in </w:t>
      </w:r>
      <w:r w:rsidR="00EE5041">
        <w:t>Table </w:t>
      </w:r>
      <w:r w:rsidR="00594BE2">
        <w:t>ES.</w:t>
      </w:r>
      <w:r w:rsidR="00594BE2">
        <w:rPr>
          <w:noProof/>
        </w:rPr>
        <w:t>12</w:t>
      </w:r>
      <w:r>
        <w:t>.</w:t>
      </w:r>
    </w:p>
    <w:p w14:paraId="466B8BDC" w14:textId="0E1069BD" w:rsidR="00E85F3C" w:rsidRDefault="00E85F3C" w:rsidP="00104A6D">
      <w:pPr>
        <w:pStyle w:val="MDTabCaption"/>
        <w:keepLines/>
      </w:pPr>
      <w:bookmarkStart w:id="55" w:name="_Ref501106566"/>
      <w:bookmarkStart w:id="56" w:name="_Toc501121202"/>
      <w:bookmarkStart w:id="57" w:name="_Toc503275002"/>
      <w:r>
        <w:lastRenderedPageBreak/>
        <w:t>Table ES.</w:t>
      </w:r>
      <w:r w:rsidR="00594BE2">
        <w:t>12</w:t>
      </w:r>
      <w:bookmarkEnd w:id="55"/>
      <w:r>
        <w:t>: Ustekinumab trials: comparison of trial characteristics</w:t>
      </w:r>
      <w:bookmarkEnd w:id="56"/>
      <w:r>
        <w:t xml:space="preserve"> and PASI 75 response</w:t>
      </w:r>
      <w:bookmarkEnd w:id="57"/>
      <w:r w:rsidR="009E36C4">
        <w:t xml:space="preserve"> of the placebo-controlled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0"/>
        <w:gridCol w:w="847"/>
        <w:gridCol w:w="570"/>
        <w:gridCol w:w="709"/>
        <w:gridCol w:w="1275"/>
        <w:gridCol w:w="709"/>
        <w:gridCol w:w="994"/>
        <w:gridCol w:w="1558"/>
        <w:gridCol w:w="1224"/>
      </w:tblGrid>
      <w:tr w:rsidR="00E85F3C" w:rsidRPr="00383CDD" w14:paraId="43840599" w14:textId="77777777" w:rsidTr="00E85F3C">
        <w:trPr>
          <w:cantSplit/>
          <w:tblHeader/>
        </w:trPr>
        <w:tc>
          <w:tcPr>
            <w:tcW w:w="627" w:type="pct"/>
            <w:shd w:val="clear" w:color="auto" w:fill="auto"/>
          </w:tcPr>
          <w:p w14:paraId="26E163F2" w14:textId="77777777" w:rsidR="00E85F3C" w:rsidRPr="008521BC" w:rsidRDefault="00E85F3C" w:rsidP="005E46D4">
            <w:pPr>
              <w:pStyle w:val="TableTextDusc"/>
              <w:keepNext/>
              <w:keepLines/>
              <w:rPr>
                <w:b/>
              </w:rPr>
            </w:pPr>
            <w:r w:rsidRPr="008521BC">
              <w:rPr>
                <w:b/>
              </w:rPr>
              <w:t>Trial</w:t>
            </w:r>
          </w:p>
        </w:tc>
        <w:tc>
          <w:tcPr>
            <w:tcW w:w="470" w:type="pct"/>
            <w:shd w:val="clear" w:color="auto" w:fill="auto"/>
          </w:tcPr>
          <w:p w14:paraId="2FC3F968" w14:textId="77777777" w:rsidR="00E85F3C" w:rsidRPr="008521BC" w:rsidRDefault="00E85F3C" w:rsidP="005E46D4">
            <w:pPr>
              <w:pStyle w:val="TableTextDusc"/>
              <w:keepNext/>
              <w:keepLines/>
              <w:rPr>
                <w:b/>
              </w:rPr>
            </w:pPr>
            <w:r w:rsidRPr="008521BC">
              <w:rPr>
                <w:b/>
              </w:rPr>
              <w:t>Seen by PBAC?</w:t>
            </w:r>
          </w:p>
        </w:tc>
        <w:tc>
          <w:tcPr>
            <w:tcW w:w="316" w:type="pct"/>
            <w:shd w:val="clear" w:color="auto" w:fill="auto"/>
          </w:tcPr>
          <w:p w14:paraId="0C43D0FE" w14:textId="77777777" w:rsidR="00E85F3C" w:rsidRPr="008521BC" w:rsidRDefault="00E85F3C" w:rsidP="005E46D4">
            <w:pPr>
              <w:pStyle w:val="TableTextDusc"/>
              <w:keepNext/>
              <w:keepLines/>
              <w:rPr>
                <w:b/>
              </w:rPr>
            </w:pPr>
            <w:r w:rsidRPr="008521BC">
              <w:rPr>
                <w:b/>
              </w:rPr>
              <w:t>N</w:t>
            </w:r>
          </w:p>
        </w:tc>
        <w:tc>
          <w:tcPr>
            <w:tcW w:w="393" w:type="pct"/>
            <w:shd w:val="clear" w:color="auto" w:fill="auto"/>
          </w:tcPr>
          <w:p w14:paraId="20B55B52" w14:textId="77777777" w:rsidR="00E85F3C" w:rsidRPr="008521BC" w:rsidRDefault="00E85F3C" w:rsidP="005E46D4">
            <w:pPr>
              <w:pStyle w:val="TableTextDusc"/>
              <w:keepNext/>
              <w:keepLines/>
              <w:rPr>
                <w:b/>
              </w:rPr>
            </w:pPr>
            <w:r w:rsidRPr="008521BC">
              <w:rPr>
                <w:b/>
              </w:rPr>
              <w:t>Design</w:t>
            </w:r>
          </w:p>
        </w:tc>
        <w:tc>
          <w:tcPr>
            <w:tcW w:w="707" w:type="pct"/>
            <w:shd w:val="clear" w:color="auto" w:fill="auto"/>
          </w:tcPr>
          <w:p w14:paraId="687D115C" w14:textId="77777777" w:rsidR="00E85F3C" w:rsidRPr="008521BC" w:rsidRDefault="00E85F3C" w:rsidP="005E46D4">
            <w:pPr>
              <w:pStyle w:val="TableTextDusc"/>
              <w:keepNext/>
              <w:keepLines/>
              <w:rPr>
                <w:b/>
              </w:rPr>
            </w:pPr>
            <w:r w:rsidRPr="008521BC">
              <w:rPr>
                <w:b/>
              </w:rPr>
              <w:t>Trial duration (total study)</w:t>
            </w:r>
          </w:p>
        </w:tc>
        <w:tc>
          <w:tcPr>
            <w:tcW w:w="393" w:type="pct"/>
            <w:shd w:val="clear" w:color="auto" w:fill="auto"/>
          </w:tcPr>
          <w:p w14:paraId="210FD595" w14:textId="77777777" w:rsidR="00E85F3C" w:rsidRPr="008521BC" w:rsidRDefault="00E85F3C" w:rsidP="005E46D4">
            <w:pPr>
              <w:pStyle w:val="TableTextDusc"/>
              <w:keepNext/>
              <w:keepLines/>
              <w:rPr>
                <w:b/>
              </w:rPr>
            </w:pPr>
            <w:r w:rsidRPr="008521BC">
              <w:rPr>
                <w:b/>
              </w:rPr>
              <w:t>Risk of bias</w:t>
            </w:r>
          </w:p>
        </w:tc>
        <w:tc>
          <w:tcPr>
            <w:tcW w:w="551" w:type="pct"/>
            <w:shd w:val="clear" w:color="auto" w:fill="auto"/>
          </w:tcPr>
          <w:p w14:paraId="778182D4" w14:textId="77777777" w:rsidR="00E85F3C" w:rsidRPr="008521BC" w:rsidRDefault="00E85F3C" w:rsidP="005E46D4">
            <w:pPr>
              <w:pStyle w:val="TableTextDusc"/>
              <w:keepNext/>
              <w:keepLines/>
              <w:rPr>
                <w:b/>
              </w:rPr>
            </w:pPr>
            <w:r w:rsidRPr="008521BC">
              <w:rPr>
                <w:b/>
              </w:rPr>
              <w:t>Patient population</w:t>
            </w:r>
          </w:p>
        </w:tc>
        <w:tc>
          <w:tcPr>
            <w:tcW w:w="864" w:type="pct"/>
            <w:shd w:val="clear" w:color="auto" w:fill="auto"/>
          </w:tcPr>
          <w:p w14:paraId="3E84E6B7" w14:textId="77777777" w:rsidR="00E85F3C" w:rsidRPr="008521BC" w:rsidRDefault="00E85F3C" w:rsidP="005E46D4">
            <w:pPr>
              <w:pStyle w:val="TableTextDusc"/>
              <w:keepNext/>
              <w:keepLines/>
              <w:rPr>
                <w:b/>
              </w:rPr>
            </w:pPr>
            <w:r w:rsidRPr="00A47E3B">
              <w:rPr>
                <w:b/>
              </w:rPr>
              <w:t>PASI</w:t>
            </w:r>
            <w:r>
              <w:rPr>
                <w:b/>
              </w:rPr>
              <w:t xml:space="preserve"> </w:t>
            </w:r>
            <w:r w:rsidRPr="00A47E3B">
              <w:rPr>
                <w:b/>
              </w:rPr>
              <w:t>75;</w:t>
            </w:r>
            <w:r>
              <w:rPr>
                <w:b/>
              </w:rPr>
              <w:t xml:space="preserve"> n/N</w:t>
            </w:r>
            <w:r w:rsidRPr="00A47E3B">
              <w:rPr>
                <w:b/>
              </w:rPr>
              <w:t xml:space="preserve"> (%)</w:t>
            </w:r>
            <w:r w:rsidRPr="00E85F3C">
              <w:rPr>
                <w:b/>
              </w:rPr>
              <w:t>Ustekinumab</w:t>
            </w:r>
            <w:r w:rsidRPr="00F34FF3">
              <w:rPr>
                <w:b/>
                <w:vertAlign w:val="superscript"/>
              </w:rPr>
              <w:t>1</w:t>
            </w:r>
          </w:p>
        </w:tc>
        <w:tc>
          <w:tcPr>
            <w:tcW w:w="679" w:type="pct"/>
          </w:tcPr>
          <w:p w14:paraId="0B93E34F" w14:textId="77777777" w:rsidR="00E85F3C" w:rsidRPr="008521BC" w:rsidRDefault="00E85F3C" w:rsidP="005E46D4">
            <w:pPr>
              <w:pStyle w:val="TableTextDusc"/>
              <w:keepNext/>
              <w:keepLines/>
              <w:rPr>
                <w:b/>
              </w:rPr>
            </w:pPr>
            <w:r w:rsidRPr="00A47E3B">
              <w:rPr>
                <w:b/>
              </w:rPr>
              <w:t>PASI</w:t>
            </w:r>
            <w:r>
              <w:rPr>
                <w:b/>
              </w:rPr>
              <w:t xml:space="preserve"> </w:t>
            </w:r>
            <w:r w:rsidRPr="00A47E3B">
              <w:rPr>
                <w:b/>
              </w:rPr>
              <w:t>75;</w:t>
            </w:r>
            <w:r>
              <w:rPr>
                <w:b/>
              </w:rPr>
              <w:t xml:space="preserve"> n/N</w:t>
            </w:r>
            <w:r w:rsidRPr="00A47E3B">
              <w:rPr>
                <w:b/>
              </w:rPr>
              <w:t xml:space="preserve"> (%)</w:t>
            </w:r>
            <w:r>
              <w:rPr>
                <w:b/>
              </w:rPr>
              <w:t>Placebo</w:t>
            </w:r>
          </w:p>
        </w:tc>
      </w:tr>
      <w:tr w:rsidR="00E85F3C" w:rsidRPr="00E2771E" w14:paraId="7F0BD62B" w14:textId="77777777" w:rsidTr="00E85F3C">
        <w:trPr>
          <w:cantSplit/>
        </w:trPr>
        <w:tc>
          <w:tcPr>
            <w:tcW w:w="627" w:type="pct"/>
            <w:shd w:val="clear" w:color="auto" w:fill="F2F2F2" w:themeFill="background1" w:themeFillShade="F2"/>
          </w:tcPr>
          <w:p w14:paraId="3AD78564" w14:textId="77777777" w:rsidR="00E85F3C" w:rsidRPr="00E2771E" w:rsidRDefault="00E85F3C" w:rsidP="005E46D4">
            <w:pPr>
              <w:pStyle w:val="TableTextDusc"/>
              <w:keepNext/>
              <w:keepLines/>
            </w:pPr>
            <w:r>
              <w:t>PHOENIX 1</w:t>
            </w:r>
          </w:p>
        </w:tc>
        <w:tc>
          <w:tcPr>
            <w:tcW w:w="470" w:type="pct"/>
            <w:shd w:val="clear" w:color="auto" w:fill="F2F2F2" w:themeFill="background1" w:themeFillShade="F2"/>
          </w:tcPr>
          <w:p w14:paraId="792519C0" w14:textId="77777777" w:rsidR="00E85F3C" w:rsidRDefault="00E85F3C" w:rsidP="005E46D4">
            <w:pPr>
              <w:pStyle w:val="TableTextDusc"/>
              <w:keepNext/>
              <w:keepLines/>
            </w:pPr>
            <w:r>
              <w:t>Yes:</w:t>
            </w:r>
            <w:r>
              <w:br/>
              <w:t>Nov 09,</w:t>
            </w:r>
          </w:p>
          <w:p w14:paraId="1F59E572" w14:textId="77777777" w:rsidR="00E85F3C" w:rsidRPr="00E2771E" w:rsidRDefault="00E85F3C" w:rsidP="005E46D4">
            <w:pPr>
              <w:pStyle w:val="TableTextDusc"/>
              <w:keepNext/>
              <w:keepLines/>
            </w:pPr>
            <w:r>
              <w:t xml:space="preserve">Efficacy and safety </w:t>
            </w:r>
          </w:p>
        </w:tc>
        <w:tc>
          <w:tcPr>
            <w:tcW w:w="316" w:type="pct"/>
            <w:shd w:val="clear" w:color="auto" w:fill="F2F2F2" w:themeFill="background1" w:themeFillShade="F2"/>
          </w:tcPr>
          <w:p w14:paraId="56C40248" w14:textId="77777777" w:rsidR="00E85F3C" w:rsidRPr="00E2771E" w:rsidRDefault="00E85F3C" w:rsidP="005E46D4">
            <w:pPr>
              <w:pStyle w:val="TableTextDusc"/>
              <w:keepNext/>
              <w:keepLines/>
            </w:pPr>
            <w:r>
              <w:t>766</w:t>
            </w:r>
          </w:p>
        </w:tc>
        <w:tc>
          <w:tcPr>
            <w:tcW w:w="393" w:type="pct"/>
            <w:shd w:val="clear" w:color="auto" w:fill="F2F2F2" w:themeFill="background1" w:themeFillShade="F2"/>
          </w:tcPr>
          <w:p w14:paraId="38986304" w14:textId="77777777" w:rsidR="00E85F3C" w:rsidRDefault="00E85F3C" w:rsidP="005E46D4">
            <w:pPr>
              <w:pStyle w:val="TableTextDusc"/>
              <w:keepNext/>
              <w:keepLines/>
            </w:pPr>
            <w:r>
              <w:t>R, DB, PC, MC</w:t>
            </w:r>
          </w:p>
        </w:tc>
        <w:tc>
          <w:tcPr>
            <w:tcW w:w="707" w:type="pct"/>
            <w:shd w:val="clear" w:color="auto" w:fill="F2F2F2" w:themeFill="background1" w:themeFillShade="F2"/>
          </w:tcPr>
          <w:p w14:paraId="491B68A5" w14:textId="77777777" w:rsidR="00E85F3C" w:rsidRPr="00E2771E" w:rsidRDefault="00E85F3C" w:rsidP="005E46D4">
            <w:pPr>
              <w:pStyle w:val="TableTextDusc"/>
              <w:keepNext/>
              <w:keepLines/>
            </w:pPr>
            <w:r>
              <w:t>12 weeks</w:t>
            </w:r>
            <w:r>
              <w:br/>
              <w:t>(76 weeks)</w:t>
            </w:r>
          </w:p>
        </w:tc>
        <w:tc>
          <w:tcPr>
            <w:tcW w:w="393" w:type="pct"/>
            <w:shd w:val="clear" w:color="auto" w:fill="F2F2F2" w:themeFill="background1" w:themeFillShade="F2"/>
          </w:tcPr>
          <w:p w14:paraId="3B8A53C4" w14:textId="77777777" w:rsidR="00E85F3C" w:rsidRPr="00E2771E" w:rsidRDefault="00E85F3C" w:rsidP="005E46D4">
            <w:pPr>
              <w:pStyle w:val="TableTextDusc"/>
              <w:keepNext/>
              <w:keepLines/>
            </w:pPr>
            <w:r>
              <w:t>Low (High</w:t>
            </w:r>
            <w:r w:rsidRPr="00953417">
              <w:rPr>
                <w:vertAlign w:val="superscript"/>
              </w:rPr>
              <w:t>a</w:t>
            </w:r>
            <w:r>
              <w:t>)</w:t>
            </w:r>
          </w:p>
        </w:tc>
        <w:tc>
          <w:tcPr>
            <w:tcW w:w="551" w:type="pct"/>
            <w:shd w:val="clear" w:color="auto" w:fill="F2F2F2" w:themeFill="background1" w:themeFillShade="F2"/>
          </w:tcPr>
          <w:p w14:paraId="44BC472A" w14:textId="77777777" w:rsidR="00E85F3C" w:rsidRDefault="00E85F3C" w:rsidP="005E46D4">
            <w:pPr>
              <w:pStyle w:val="TableTextDusc"/>
              <w:keepNext/>
              <w:keepLines/>
              <w:rPr>
                <w:rFonts w:cstheme="minorHAnsi"/>
              </w:rPr>
            </w:pPr>
            <w:r>
              <w:rPr>
                <w:rFonts w:cstheme="minorHAnsi"/>
              </w:rPr>
              <w:t>≥ 10% BSA</w:t>
            </w:r>
          </w:p>
          <w:p w14:paraId="0603029C" w14:textId="77777777" w:rsidR="00E85F3C" w:rsidRPr="0021784C" w:rsidRDefault="00E85F3C" w:rsidP="005E46D4">
            <w:pPr>
              <w:pStyle w:val="TableTextDusc"/>
              <w:keepNext/>
              <w:keepLines/>
              <w:rPr>
                <w:rFonts w:cstheme="minorHAnsi"/>
              </w:rPr>
            </w:pPr>
            <w:r>
              <w:rPr>
                <w:rFonts w:cstheme="minorHAnsi"/>
              </w:rPr>
              <w:t>≥ 12 PASI</w:t>
            </w:r>
          </w:p>
        </w:tc>
        <w:tc>
          <w:tcPr>
            <w:tcW w:w="864" w:type="pct"/>
            <w:shd w:val="clear" w:color="auto" w:fill="F2F2F2" w:themeFill="background1" w:themeFillShade="F2"/>
          </w:tcPr>
          <w:p w14:paraId="3C87C0D0" w14:textId="77777777" w:rsidR="00E85F3C" w:rsidRPr="00E2771E" w:rsidRDefault="00E85F3C" w:rsidP="005E46D4">
            <w:pPr>
              <w:pStyle w:val="TableTextDusc"/>
              <w:keepNext/>
              <w:keepLines/>
            </w:pPr>
            <w:r>
              <w:t>171/255 (67%)</w:t>
            </w:r>
          </w:p>
        </w:tc>
        <w:tc>
          <w:tcPr>
            <w:tcW w:w="679" w:type="pct"/>
            <w:shd w:val="clear" w:color="auto" w:fill="F2F2F2" w:themeFill="background1" w:themeFillShade="F2"/>
          </w:tcPr>
          <w:p w14:paraId="3EFCB07F" w14:textId="77777777" w:rsidR="00E85F3C" w:rsidRDefault="00E85F3C" w:rsidP="005E46D4">
            <w:pPr>
              <w:pStyle w:val="TableTextDusc"/>
              <w:keepNext/>
              <w:keepLines/>
            </w:pPr>
            <w:r>
              <w:t xml:space="preserve">8/255 </w:t>
            </w:r>
            <w:r>
              <w:br/>
              <w:t>(3%)</w:t>
            </w:r>
          </w:p>
        </w:tc>
      </w:tr>
      <w:tr w:rsidR="00E85F3C" w:rsidRPr="00E2771E" w14:paraId="2A8181E3" w14:textId="77777777" w:rsidTr="00E85F3C">
        <w:trPr>
          <w:cantSplit/>
        </w:trPr>
        <w:tc>
          <w:tcPr>
            <w:tcW w:w="627" w:type="pct"/>
            <w:shd w:val="clear" w:color="auto" w:fill="F2F2F2" w:themeFill="background1" w:themeFillShade="F2"/>
          </w:tcPr>
          <w:p w14:paraId="04242E41" w14:textId="77777777" w:rsidR="00E85F3C" w:rsidRDefault="00E85F3C" w:rsidP="005E46D4">
            <w:pPr>
              <w:pStyle w:val="TableTextDusc"/>
              <w:keepNext/>
              <w:keepLines/>
            </w:pPr>
            <w:r>
              <w:t>PHOENIX 2</w:t>
            </w:r>
          </w:p>
        </w:tc>
        <w:tc>
          <w:tcPr>
            <w:tcW w:w="470" w:type="pct"/>
            <w:shd w:val="clear" w:color="auto" w:fill="F2F2F2" w:themeFill="background1" w:themeFillShade="F2"/>
          </w:tcPr>
          <w:p w14:paraId="7B0F2630" w14:textId="77777777" w:rsidR="00E85F3C" w:rsidRDefault="00E85F3C" w:rsidP="005E46D4">
            <w:pPr>
              <w:pStyle w:val="TableTextDusc"/>
              <w:keepNext/>
              <w:keepLines/>
            </w:pPr>
            <w:r>
              <w:t>Yes:</w:t>
            </w:r>
            <w:r>
              <w:br/>
              <w:t>Nov 09,</w:t>
            </w:r>
          </w:p>
          <w:p w14:paraId="0F38F095" w14:textId="77777777" w:rsidR="00E85F3C" w:rsidRPr="00E2771E" w:rsidRDefault="00E85F3C" w:rsidP="005E46D4">
            <w:pPr>
              <w:pStyle w:val="TableTextDusc"/>
              <w:keepNext/>
              <w:keepLines/>
            </w:pPr>
            <w:r>
              <w:t>Efficacy and safety</w:t>
            </w:r>
          </w:p>
        </w:tc>
        <w:tc>
          <w:tcPr>
            <w:tcW w:w="316" w:type="pct"/>
            <w:shd w:val="clear" w:color="auto" w:fill="F2F2F2" w:themeFill="background1" w:themeFillShade="F2"/>
          </w:tcPr>
          <w:p w14:paraId="16724266" w14:textId="77777777" w:rsidR="00E85F3C" w:rsidRPr="00E2771E" w:rsidRDefault="00E85F3C" w:rsidP="005E46D4">
            <w:pPr>
              <w:pStyle w:val="TableTextDusc"/>
              <w:keepNext/>
              <w:keepLines/>
            </w:pPr>
            <w:r>
              <w:t>1,230</w:t>
            </w:r>
          </w:p>
        </w:tc>
        <w:tc>
          <w:tcPr>
            <w:tcW w:w="393" w:type="pct"/>
            <w:shd w:val="clear" w:color="auto" w:fill="F2F2F2" w:themeFill="background1" w:themeFillShade="F2"/>
          </w:tcPr>
          <w:p w14:paraId="3869F45C" w14:textId="77777777" w:rsidR="00E85F3C" w:rsidRDefault="00E85F3C" w:rsidP="005E46D4">
            <w:pPr>
              <w:pStyle w:val="TableTextDusc"/>
              <w:keepNext/>
              <w:keepLines/>
            </w:pPr>
            <w:r>
              <w:t>R, DB, PC, MC</w:t>
            </w:r>
          </w:p>
        </w:tc>
        <w:tc>
          <w:tcPr>
            <w:tcW w:w="707" w:type="pct"/>
            <w:shd w:val="clear" w:color="auto" w:fill="F2F2F2" w:themeFill="background1" w:themeFillShade="F2"/>
          </w:tcPr>
          <w:p w14:paraId="53D034D4" w14:textId="77777777" w:rsidR="00E85F3C" w:rsidRPr="00E2771E" w:rsidRDefault="00E85F3C" w:rsidP="005E46D4">
            <w:pPr>
              <w:pStyle w:val="TableTextDusc"/>
              <w:keepNext/>
              <w:keepLines/>
            </w:pPr>
            <w:r>
              <w:t>12 weeks</w:t>
            </w:r>
            <w:r>
              <w:br/>
              <w:t>(52 weeks)</w:t>
            </w:r>
          </w:p>
        </w:tc>
        <w:tc>
          <w:tcPr>
            <w:tcW w:w="393" w:type="pct"/>
            <w:shd w:val="clear" w:color="auto" w:fill="F2F2F2" w:themeFill="background1" w:themeFillShade="F2"/>
          </w:tcPr>
          <w:p w14:paraId="758786D3" w14:textId="77777777" w:rsidR="00E85F3C" w:rsidRPr="00E2771E" w:rsidRDefault="00E85F3C" w:rsidP="005E46D4">
            <w:pPr>
              <w:pStyle w:val="TableTextDusc"/>
              <w:keepNext/>
              <w:keepLines/>
            </w:pPr>
            <w:r>
              <w:t>Low (High</w:t>
            </w:r>
            <w:r w:rsidRPr="00953417">
              <w:rPr>
                <w:vertAlign w:val="superscript"/>
              </w:rPr>
              <w:t>a</w:t>
            </w:r>
            <w:r>
              <w:t>)</w:t>
            </w:r>
          </w:p>
        </w:tc>
        <w:tc>
          <w:tcPr>
            <w:tcW w:w="551" w:type="pct"/>
            <w:shd w:val="clear" w:color="auto" w:fill="F2F2F2" w:themeFill="background1" w:themeFillShade="F2"/>
          </w:tcPr>
          <w:p w14:paraId="6B4C3660" w14:textId="77777777" w:rsidR="00E85F3C" w:rsidRDefault="00E85F3C" w:rsidP="005E46D4">
            <w:pPr>
              <w:pStyle w:val="TableTextDusc"/>
              <w:keepNext/>
              <w:keepLines/>
              <w:rPr>
                <w:rFonts w:cstheme="minorHAnsi"/>
              </w:rPr>
            </w:pPr>
            <w:r>
              <w:rPr>
                <w:rFonts w:cstheme="minorHAnsi"/>
              </w:rPr>
              <w:t>≥ 10% BSA</w:t>
            </w:r>
          </w:p>
          <w:p w14:paraId="65CEE61A" w14:textId="77777777" w:rsidR="00E85F3C" w:rsidRPr="00E2771E" w:rsidRDefault="00E85F3C" w:rsidP="005E46D4">
            <w:pPr>
              <w:pStyle w:val="TableTextDusc"/>
              <w:keepNext/>
              <w:keepLines/>
            </w:pPr>
            <w:r>
              <w:rPr>
                <w:rFonts w:cstheme="minorHAnsi"/>
              </w:rPr>
              <w:t>≥ 12 PASI</w:t>
            </w:r>
          </w:p>
        </w:tc>
        <w:tc>
          <w:tcPr>
            <w:tcW w:w="864" w:type="pct"/>
            <w:shd w:val="clear" w:color="auto" w:fill="F2F2F2" w:themeFill="background1" w:themeFillShade="F2"/>
          </w:tcPr>
          <w:p w14:paraId="4D5E5C92" w14:textId="77777777" w:rsidR="00E85F3C" w:rsidRPr="00A8176E" w:rsidRDefault="00E85F3C" w:rsidP="005E46D4">
            <w:pPr>
              <w:pStyle w:val="TableTextDusc"/>
              <w:keepNext/>
              <w:keepLines/>
              <w:rPr>
                <w:b/>
              </w:rPr>
            </w:pPr>
            <w:r w:rsidRPr="0021365C">
              <w:t>273</w:t>
            </w:r>
            <w:r>
              <w:t xml:space="preserve">/409 </w:t>
            </w:r>
            <w:r w:rsidRPr="0021365C">
              <w:t>(67%)</w:t>
            </w:r>
          </w:p>
        </w:tc>
        <w:tc>
          <w:tcPr>
            <w:tcW w:w="679" w:type="pct"/>
            <w:shd w:val="clear" w:color="auto" w:fill="F2F2F2" w:themeFill="background1" w:themeFillShade="F2"/>
          </w:tcPr>
          <w:p w14:paraId="381220CF" w14:textId="77777777" w:rsidR="00E85F3C" w:rsidRDefault="00E85F3C" w:rsidP="005E46D4">
            <w:pPr>
              <w:pStyle w:val="TableTextDusc"/>
              <w:keepNext/>
              <w:keepLines/>
            </w:pPr>
            <w:r w:rsidRPr="0021365C">
              <w:t>15</w:t>
            </w:r>
            <w:r>
              <w:t xml:space="preserve">/410 </w:t>
            </w:r>
            <w:r>
              <w:br/>
            </w:r>
            <w:r w:rsidRPr="0021365C">
              <w:t>(4%)</w:t>
            </w:r>
          </w:p>
        </w:tc>
      </w:tr>
      <w:tr w:rsidR="00E85F3C" w:rsidRPr="00E2771E" w14:paraId="07A4DC8B" w14:textId="77777777" w:rsidTr="00E85F3C">
        <w:trPr>
          <w:cantSplit/>
        </w:trPr>
        <w:tc>
          <w:tcPr>
            <w:tcW w:w="627" w:type="pct"/>
            <w:shd w:val="clear" w:color="auto" w:fill="FFFFFF" w:themeFill="background1"/>
          </w:tcPr>
          <w:p w14:paraId="4560AF64" w14:textId="77777777" w:rsidR="00E85F3C" w:rsidRPr="00E2771E" w:rsidRDefault="00E85F3C" w:rsidP="005E46D4">
            <w:pPr>
              <w:pStyle w:val="TableTextDusc"/>
              <w:keepNext/>
              <w:keepLines/>
            </w:pPr>
            <w:r>
              <w:t>PEARL</w:t>
            </w:r>
          </w:p>
        </w:tc>
        <w:tc>
          <w:tcPr>
            <w:tcW w:w="470" w:type="pct"/>
            <w:shd w:val="clear" w:color="auto" w:fill="FFFFFF" w:themeFill="background1"/>
          </w:tcPr>
          <w:p w14:paraId="29356593" w14:textId="77777777" w:rsidR="00E85F3C" w:rsidRPr="00E2771E" w:rsidRDefault="00E85F3C" w:rsidP="005E46D4">
            <w:pPr>
              <w:pStyle w:val="TableTextDusc"/>
              <w:keepNext/>
              <w:keepLines/>
            </w:pPr>
            <w:r>
              <w:t>No</w:t>
            </w:r>
          </w:p>
        </w:tc>
        <w:tc>
          <w:tcPr>
            <w:tcW w:w="316" w:type="pct"/>
            <w:shd w:val="clear" w:color="auto" w:fill="FFFFFF" w:themeFill="background1"/>
          </w:tcPr>
          <w:p w14:paraId="00866E81" w14:textId="77777777" w:rsidR="00E85F3C" w:rsidRPr="00E2771E" w:rsidRDefault="00E85F3C" w:rsidP="005E46D4">
            <w:pPr>
              <w:pStyle w:val="TableTextDusc"/>
              <w:keepNext/>
              <w:keepLines/>
            </w:pPr>
            <w:r>
              <w:t>121</w:t>
            </w:r>
          </w:p>
        </w:tc>
        <w:tc>
          <w:tcPr>
            <w:tcW w:w="393" w:type="pct"/>
            <w:shd w:val="clear" w:color="auto" w:fill="FFFFFF" w:themeFill="background1"/>
          </w:tcPr>
          <w:p w14:paraId="404A03E2" w14:textId="77777777" w:rsidR="00E85F3C" w:rsidRDefault="00E85F3C" w:rsidP="005E46D4">
            <w:pPr>
              <w:pStyle w:val="TableTextDusc"/>
              <w:keepNext/>
              <w:keepLines/>
            </w:pPr>
            <w:r>
              <w:t>R, DB, PC, MC</w:t>
            </w:r>
          </w:p>
        </w:tc>
        <w:tc>
          <w:tcPr>
            <w:tcW w:w="707" w:type="pct"/>
            <w:shd w:val="clear" w:color="auto" w:fill="FFFFFF" w:themeFill="background1"/>
          </w:tcPr>
          <w:p w14:paraId="7283D7B5" w14:textId="77777777" w:rsidR="00E85F3C" w:rsidRPr="00E2771E" w:rsidRDefault="00E85F3C" w:rsidP="005E46D4">
            <w:pPr>
              <w:pStyle w:val="TableTextDusc"/>
              <w:keepNext/>
              <w:keepLines/>
            </w:pPr>
            <w:r>
              <w:t>12 weeks</w:t>
            </w:r>
            <w:r>
              <w:br/>
              <w:t>(36 weeks)</w:t>
            </w:r>
          </w:p>
        </w:tc>
        <w:tc>
          <w:tcPr>
            <w:tcW w:w="393" w:type="pct"/>
            <w:shd w:val="clear" w:color="auto" w:fill="FFFFFF" w:themeFill="background1"/>
          </w:tcPr>
          <w:p w14:paraId="46F7218E" w14:textId="77777777" w:rsidR="00E85F3C" w:rsidRPr="00E2771E" w:rsidRDefault="00E85F3C" w:rsidP="005E46D4">
            <w:pPr>
              <w:pStyle w:val="TableTextDusc"/>
              <w:keepNext/>
              <w:keepLines/>
            </w:pPr>
            <w:r>
              <w:t>Unclear (High</w:t>
            </w:r>
            <w:r w:rsidRPr="00953417">
              <w:rPr>
                <w:vertAlign w:val="superscript"/>
              </w:rPr>
              <w:t>a</w:t>
            </w:r>
            <w:r>
              <w:t>)</w:t>
            </w:r>
          </w:p>
        </w:tc>
        <w:tc>
          <w:tcPr>
            <w:tcW w:w="551" w:type="pct"/>
            <w:shd w:val="clear" w:color="auto" w:fill="FFFFFF" w:themeFill="background1"/>
          </w:tcPr>
          <w:p w14:paraId="11CF2685" w14:textId="77777777" w:rsidR="00E85F3C" w:rsidRDefault="00E85F3C" w:rsidP="005E46D4">
            <w:pPr>
              <w:pStyle w:val="TableTextDusc"/>
              <w:keepNext/>
              <w:keepLines/>
              <w:rPr>
                <w:rFonts w:cstheme="minorHAnsi"/>
              </w:rPr>
            </w:pPr>
            <w:r>
              <w:rPr>
                <w:rFonts w:cstheme="minorHAnsi"/>
              </w:rPr>
              <w:t>≥ 10% BSA</w:t>
            </w:r>
          </w:p>
          <w:p w14:paraId="53057F4D" w14:textId="77777777" w:rsidR="00E85F3C" w:rsidRPr="00E2771E" w:rsidRDefault="00E85F3C" w:rsidP="005E46D4">
            <w:pPr>
              <w:pStyle w:val="TableTextDusc"/>
              <w:keepNext/>
              <w:keepLines/>
            </w:pPr>
            <w:r>
              <w:rPr>
                <w:rFonts w:cstheme="minorHAnsi"/>
              </w:rPr>
              <w:t>≥ 12 PASI</w:t>
            </w:r>
          </w:p>
        </w:tc>
        <w:tc>
          <w:tcPr>
            <w:tcW w:w="864" w:type="pct"/>
          </w:tcPr>
          <w:p w14:paraId="14F195A7" w14:textId="77777777" w:rsidR="00E85F3C" w:rsidRPr="00E2771E" w:rsidRDefault="00E85F3C" w:rsidP="005E46D4">
            <w:pPr>
              <w:pStyle w:val="TableTextDusc"/>
              <w:keepNext/>
              <w:keepLines/>
            </w:pPr>
            <w:r w:rsidRPr="0021365C">
              <w:t>41</w:t>
            </w:r>
            <w:r>
              <w:t>/61</w:t>
            </w:r>
            <w:r w:rsidRPr="0021365C">
              <w:t xml:space="preserve"> (67%)</w:t>
            </w:r>
          </w:p>
        </w:tc>
        <w:tc>
          <w:tcPr>
            <w:tcW w:w="679" w:type="pct"/>
          </w:tcPr>
          <w:p w14:paraId="1306D1A2" w14:textId="77777777" w:rsidR="00E85F3C" w:rsidRDefault="00E85F3C" w:rsidP="005E46D4">
            <w:pPr>
              <w:pStyle w:val="TableTextDusc"/>
              <w:keepNext/>
              <w:keepLines/>
            </w:pPr>
            <w:r>
              <w:t xml:space="preserve">3/60 </w:t>
            </w:r>
            <w:r>
              <w:br/>
              <w:t>(5%)</w:t>
            </w:r>
          </w:p>
        </w:tc>
      </w:tr>
      <w:tr w:rsidR="00E85F3C" w:rsidRPr="00E2771E" w14:paraId="2D99069E" w14:textId="77777777" w:rsidTr="00E85F3C">
        <w:trPr>
          <w:cantSplit/>
        </w:trPr>
        <w:tc>
          <w:tcPr>
            <w:tcW w:w="627" w:type="pct"/>
            <w:shd w:val="clear" w:color="auto" w:fill="auto"/>
          </w:tcPr>
          <w:p w14:paraId="5AAD65CF" w14:textId="77777777" w:rsidR="00E85F3C" w:rsidRDefault="00E85F3C" w:rsidP="005E46D4">
            <w:pPr>
              <w:pStyle w:val="TableTextDusc"/>
              <w:keepNext/>
              <w:keepLines/>
            </w:pPr>
            <w:r>
              <w:t>LOTUS</w:t>
            </w:r>
          </w:p>
        </w:tc>
        <w:tc>
          <w:tcPr>
            <w:tcW w:w="470" w:type="pct"/>
            <w:shd w:val="clear" w:color="auto" w:fill="auto"/>
          </w:tcPr>
          <w:p w14:paraId="4927A192" w14:textId="77777777" w:rsidR="00E85F3C" w:rsidRPr="00E2771E" w:rsidRDefault="00E85F3C" w:rsidP="005E46D4">
            <w:pPr>
              <w:pStyle w:val="TableTextDusc"/>
              <w:keepNext/>
              <w:keepLines/>
            </w:pPr>
            <w:r>
              <w:t>No</w:t>
            </w:r>
          </w:p>
        </w:tc>
        <w:tc>
          <w:tcPr>
            <w:tcW w:w="316" w:type="pct"/>
            <w:shd w:val="clear" w:color="auto" w:fill="auto"/>
          </w:tcPr>
          <w:p w14:paraId="106E430C" w14:textId="77777777" w:rsidR="00E85F3C" w:rsidRPr="00E2771E" w:rsidRDefault="00E85F3C" w:rsidP="005E46D4">
            <w:pPr>
              <w:pStyle w:val="TableTextDusc"/>
              <w:keepNext/>
              <w:keepLines/>
            </w:pPr>
            <w:r>
              <w:t>322</w:t>
            </w:r>
          </w:p>
        </w:tc>
        <w:tc>
          <w:tcPr>
            <w:tcW w:w="393" w:type="pct"/>
            <w:shd w:val="clear" w:color="auto" w:fill="auto"/>
          </w:tcPr>
          <w:p w14:paraId="710ED123" w14:textId="77777777" w:rsidR="00E85F3C" w:rsidRDefault="00E85F3C" w:rsidP="005E46D4">
            <w:pPr>
              <w:pStyle w:val="TableTextDusc"/>
              <w:keepNext/>
              <w:keepLines/>
            </w:pPr>
            <w:r>
              <w:t>R, DB, PC, MC</w:t>
            </w:r>
          </w:p>
        </w:tc>
        <w:tc>
          <w:tcPr>
            <w:tcW w:w="707" w:type="pct"/>
            <w:shd w:val="clear" w:color="auto" w:fill="auto"/>
          </w:tcPr>
          <w:p w14:paraId="607A2B3E" w14:textId="77777777" w:rsidR="00E85F3C" w:rsidRPr="00E2771E" w:rsidRDefault="00E85F3C" w:rsidP="005E46D4">
            <w:pPr>
              <w:pStyle w:val="TableTextDusc"/>
              <w:keepNext/>
              <w:keepLines/>
            </w:pPr>
            <w:r>
              <w:t>12 weeks</w:t>
            </w:r>
            <w:r>
              <w:br/>
              <w:t>(36 weeks)</w:t>
            </w:r>
          </w:p>
        </w:tc>
        <w:tc>
          <w:tcPr>
            <w:tcW w:w="393" w:type="pct"/>
            <w:shd w:val="clear" w:color="auto" w:fill="auto"/>
          </w:tcPr>
          <w:p w14:paraId="49D9C95B" w14:textId="77777777" w:rsidR="00E85F3C" w:rsidRPr="00E2771E" w:rsidRDefault="00E85F3C" w:rsidP="005E46D4">
            <w:pPr>
              <w:pStyle w:val="TableTextDusc"/>
              <w:keepNext/>
              <w:keepLines/>
            </w:pPr>
            <w:r>
              <w:t>Unclear (High</w:t>
            </w:r>
            <w:r w:rsidRPr="00953417">
              <w:rPr>
                <w:vertAlign w:val="superscript"/>
              </w:rPr>
              <w:t>a</w:t>
            </w:r>
            <w:r>
              <w:t>)</w:t>
            </w:r>
          </w:p>
        </w:tc>
        <w:tc>
          <w:tcPr>
            <w:tcW w:w="551" w:type="pct"/>
            <w:shd w:val="clear" w:color="auto" w:fill="auto"/>
          </w:tcPr>
          <w:p w14:paraId="430E8E1C" w14:textId="77777777" w:rsidR="00E85F3C" w:rsidRDefault="00E85F3C" w:rsidP="005E46D4">
            <w:pPr>
              <w:pStyle w:val="TableTextDusc"/>
              <w:keepNext/>
              <w:keepLines/>
              <w:rPr>
                <w:rFonts w:cstheme="minorHAnsi"/>
              </w:rPr>
            </w:pPr>
            <w:r>
              <w:rPr>
                <w:rFonts w:cstheme="minorHAnsi"/>
              </w:rPr>
              <w:t>≥ 10% BSA</w:t>
            </w:r>
          </w:p>
          <w:p w14:paraId="206EB126" w14:textId="77777777" w:rsidR="00E85F3C" w:rsidRPr="00E2771E" w:rsidRDefault="00E85F3C" w:rsidP="005E46D4">
            <w:pPr>
              <w:pStyle w:val="TableTextDusc"/>
              <w:keepNext/>
              <w:keepLines/>
            </w:pPr>
            <w:r>
              <w:rPr>
                <w:rFonts w:cstheme="minorHAnsi"/>
              </w:rPr>
              <w:t>≥ 12 PASI</w:t>
            </w:r>
          </w:p>
        </w:tc>
        <w:tc>
          <w:tcPr>
            <w:tcW w:w="864" w:type="pct"/>
          </w:tcPr>
          <w:p w14:paraId="518EC4A3" w14:textId="77777777" w:rsidR="00E85F3C" w:rsidRPr="00E2771E" w:rsidRDefault="00E85F3C" w:rsidP="005E46D4">
            <w:pPr>
              <w:pStyle w:val="TableTextDusc"/>
              <w:keepNext/>
              <w:keepLines/>
            </w:pPr>
            <w:r w:rsidRPr="0021365C">
              <w:t>132</w:t>
            </w:r>
            <w:r>
              <w:t>/160</w:t>
            </w:r>
            <w:r w:rsidRPr="0021365C">
              <w:t xml:space="preserve"> (83%)</w:t>
            </w:r>
          </w:p>
        </w:tc>
        <w:tc>
          <w:tcPr>
            <w:tcW w:w="679" w:type="pct"/>
          </w:tcPr>
          <w:p w14:paraId="6D1A8624" w14:textId="77777777" w:rsidR="00E85F3C" w:rsidRDefault="00E85F3C" w:rsidP="005E46D4">
            <w:pPr>
              <w:pStyle w:val="TableTextDusc"/>
              <w:keepNext/>
              <w:keepLines/>
            </w:pPr>
            <w:r>
              <w:t>18/162 (11%)</w:t>
            </w:r>
          </w:p>
        </w:tc>
      </w:tr>
      <w:tr w:rsidR="00E85F3C" w:rsidRPr="00E2771E" w14:paraId="5BA4FB65" w14:textId="77777777" w:rsidTr="00E85F3C">
        <w:trPr>
          <w:cantSplit/>
        </w:trPr>
        <w:tc>
          <w:tcPr>
            <w:tcW w:w="627" w:type="pct"/>
            <w:shd w:val="clear" w:color="auto" w:fill="auto"/>
          </w:tcPr>
          <w:p w14:paraId="629FB8D5" w14:textId="77777777" w:rsidR="00E85F3C" w:rsidRDefault="00E85F3C" w:rsidP="005E46D4">
            <w:pPr>
              <w:pStyle w:val="TableTextDusc"/>
              <w:keepNext/>
              <w:keepLines/>
            </w:pPr>
            <w:r>
              <w:t>AMAGINE 2</w:t>
            </w:r>
          </w:p>
        </w:tc>
        <w:tc>
          <w:tcPr>
            <w:tcW w:w="470" w:type="pct"/>
            <w:shd w:val="clear" w:color="auto" w:fill="auto"/>
          </w:tcPr>
          <w:p w14:paraId="2482B0A0" w14:textId="77777777" w:rsidR="00E85F3C" w:rsidRPr="00E2771E" w:rsidRDefault="00E85F3C" w:rsidP="005E46D4">
            <w:pPr>
              <w:pStyle w:val="TableTextDusc"/>
              <w:keepNext/>
              <w:keepLines/>
            </w:pPr>
            <w:r>
              <w:t>No</w:t>
            </w:r>
          </w:p>
        </w:tc>
        <w:tc>
          <w:tcPr>
            <w:tcW w:w="316" w:type="pct"/>
            <w:shd w:val="clear" w:color="auto" w:fill="auto"/>
          </w:tcPr>
          <w:p w14:paraId="44BEBD85" w14:textId="77777777" w:rsidR="00E85F3C" w:rsidRPr="00E2771E" w:rsidRDefault="00E85F3C" w:rsidP="005E46D4">
            <w:pPr>
              <w:pStyle w:val="TableTextDusc"/>
              <w:keepNext/>
              <w:keepLines/>
            </w:pPr>
            <w:r>
              <w:t>1,831</w:t>
            </w:r>
          </w:p>
        </w:tc>
        <w:tc>
          <w:tcPr>
            <w:tcW w:w="393" w:type="pct"/>
            <w:shd w:val="clear" w:color="auto" w:fill="auto"/>
          </w:tcPr>
          <w:p w14:paraId="64797786" w14:textId="77777777" w:rsidR="00E85F3C" w:rsidRDefault="00E85F3C" w:rsidP="005E46D4">
            <w:pPr>
              <w:pStyle w:val="TableTextDusc"/>
              <w:keepNext/>
              <w:keepLines/>
            </w:pPr>
            <w:r>
              <w:t>R, DB, PC, MC</w:t>
            </w:r>
          </w:p>
        </w:tc>
        <w:tc>
          <w:tcPr>
            <w:tcW w:w="707" w:type="pct"/>
            <w:shd w:val="clear" w:color="auto" w:fill="auto"/>
          </w:tcPr>
          <w:p w14:paraId="22EB3236" w14:textId="77777777" w:rsidR="00E85F3C" w:rsidRPr="00E2771E" w:rsidRDefault="00E85F3C" w:rsidP="005E46D4">
            <w:pPr>
              <w:pStyle w:val="TableTextDusc"/>
              <w:keepNext/>
              <w:keepLines/>
            </w:pPr>
            <w:r>
              <w:t>12 weeks</w:t>
            </w:r>
            <w:r>
              <w:br/>
              <w:t>(52 weeks)</w:t>
            </w:r>
          </w:p>
        </w:tc>
        <w:tc>
          <w:tcPr>
            <w:tcW w:w="393" w:type="pct"/>
            <w:shd w:val="clear" w:color="auto" w:fill="auto"/>
          </w:tcPr>
          <w:p w14:paraId="33F215FD" w14:textId="77777777" w:rsidR="00E85F3C" w:rsidRPr="00E2771E" w:rsidRDefault="00E85F3C" w:rsidP="005E46D4">
            <w:pPr>
              <w:pStyle w:val="TableTextDusc"/>
              <w:keepNext/>
              <w:keepLines/>
            </w:pPr>
            <w:r>
              <w:t>Low (High</w:t>
            </w:r>
            <w:r w:rsidRPr="00953417">
              <w:rPr>
                <w:vertAlign w:val="superscript"/>
              </w:rPr>
              <w:t>a</w:t>
            </w:r>
            <w:r>
              <w:t>)</w:t>
            </w:r>
          </w:p>
        </w:tc>
        <w:tc>
          <w:tcPr>
            <w:tcW w:w="551" w:type="pct"/>
            <w:shd w:val="clear" w:color="auto" w:fill="auto"/>
          </w:tcPr>
          <w:p w14:paraId="6942529D" w14:textId="77777777" w:rsidR="00E85F3C" w:rsidRDefault="00E85F3C" w:rsidP="005E46D4">
            <w:pPr>
              <w:pStyle w:val="TableTextDusc"/>
              <w:keepNext/>
              <w:keepLines/>
              <w:rPr>
                <w:rFonts w:cstheme="minorHAnsi"/>
              </w:rPr>
            </w:pPr>
            <w:r>
              <w:rPr>
                <w:rFonts w:cstheme="minorHAnsi"/>
              </w:rPr>
              <w:t>≥ 10% BSA</w:t>
            </w:r>
          </w:p>
          <w:p w14:paraId="30684AB8" w14:textId="77777777" w:rsidR="00E85F3C" w:rsidRDefault="00E85F3C" w:rsidP="005E46D4">
            <w:pPr>
              <w:pStyle w:val="TableTextDusc"/>
              <w:keepNext/>
              <w:keepLines/>
              <w:rPr>
                <w:rFonts w:cstheme="minorHAnsi"/>
              </w:rPr>
            </w:pPr>
            <w:r>
              <w:rPr>
                <w:rFonts w:cstheme="minorHAnsi"/>
              </w:rPr>
              <w:t>≥ 12 PASI</w:t>
            </w:r>
          </w:p>
          <w:p w14:paraId="2C074E16" w14:textId="77777777" w:rsidR="00E85F3C" w:rsidRPr="00E2771E" w:rsidRDefault="00E85F3C" w:rsidP="005E46D4">
            <w:pPr>
              <w:pStyle w:val="TableTextDusc"/>
              <w:keepNext/>
              <w:keepLines/>
            </w:pPr>
            <w:r>
              <w:rPr>
                <w:rFonts w:cstheme="minorHAnsi"/>
              </w:rPr>
              <w:t>≥ 3 PGA</w:t>
            </w:r>
          </w:p>
        </w:tc>
        <w:tc>
          <w:tcPr>
            <w:tcW w:w="864" w:type="pct"/>
          </w:tcPr>
          <w:p w14:paraId="2F4B6248" w14:textId="77777777" w:rsidR="00E85F3C" w:rsidRPr="00E2771E" w:rsidRDefault="00E85F3C" w:rsidP="005E46D4">
            <w:pPr>
              <w:pStyle w:val="TableTextDusc"/>
              <w:keepNext/>
              <w:keepLines/>
            </w:pPr>
            <w:r w:rsidRPr="0021365C">
              <w:t>210</w:t>
            </w:r>
            <w:r>
              <w:t xml:space="preserve">/300 </w:t>
            </w:r>
            <w:r w:rsidRPr="0021365C">
              <w:t>(70%)</w:t>
            </w:r>
          </w:p>
        </w:tc>
        <w:tc>
          <w:tcPr>
            <w:tcW w:w="679" w:type="pct"/>
          </w:tcPr>
          <w:p w14:paraId="7A063826" w14:textId="77777777" w:rsidR="00E85F3C" w:rsidRDefault="00E85F3C" w:rsidP="005E46D4">
            <w:pPr>
              <w:pStyle w:val="TableTextDusc"/>
              <w:keepNext/>
              <w:keepLines/>
            </w:pPr>
            <w:r>
              <w:t xml:space="preserve">25/309 </w:t>
            </w:r>
            <w:r>
              <w:br/>
              <w:t>(8%)</w:t>
            </w:r>
          </w:p>
        </w:tc>
      </w:tr>
      <w:tr w:rsidR="00E85F3C" w:rsidRPr="00E2771E" w14:paraId="56B4B76A" w14:textId="77777777" w:rsidTr="00E85F3C">
        <w:trPr>
          <w:cantSplit/>
        </w:trPr>
        <w:tc>
          <w:tcPr>
            <w:tcW w:w="627" w:type="pct"/>
            <w:shd w:val="clear" w:color="auto" w:fill="auto"/>
          </w:tcPr>
          <w:p w14:paraId="634D399D" w14:textId="77777777" w:rsidR="00E85F3C" w:rsidRDefault="00E85F3C" w:rsidP="005E46D4">
            <w:pPr>
              <w:pStyle w:val="TableTextDusc"/>
              <w:keepNext/>
              <w:keepLines/>
            </w:pPr>
            <w:r>
              <w:t>AMAGINE 3</w:t>
            </w:r>
          </w:p>
        </w:tc>
        <w:tc>
          <w:tcPr>
            <w:tcW w:w="470" w:type="pct"/>
            <w:shd w:val="clear" w:color="auto" w:fill="auto"/>
          </w:tcPr>
          <w:p w14:paraId="24A839C4" w14:textId="77777777" w:rsidR="00E85F3C" w:rsidRPr="00E2771E" w:rsidRDefault="00E85F3C" w:rsidP="005E46D4">
            <w:pPr>
              <w:pStyle w:val="TableTextDusc"/>
              <w:keepNext/>
              <w:keepLines/>
            </w:pPr>
            <w:r>
              <w:t>No</w:t>
            </w:r>
          </w:p>
        </w:tc>
        <w:tc>
          <w:tcPr>
            <w:tcW w:w="316" w:type="pct"/>
            <w:shd w:val="clear" w:color="auto" w:fill="auto"/>
          </w:tcPr>
          <w:p w14:paraId="64BCE619" w14:textId="77777777" w:rsidR="00E85F3C" w:rsidRPr="00E2771E" w:rsidRDefault="00E85F3C" w:rsidP="005E46D4">
            <w:pPr>
              <w:pStyle w:val="TableTextDusc"/>
              <w:keepNext/>
              <w:keepLines/>
            </w:pPr>
            <w:r>
              <w:t>1,881</w:t>
            </w:r>
          </w:p>
        </w:tc>
        <w:tc>
          <w:tcPr>
            <w:tcW w:w="393" w:type="pct"/>
            <w:shd w:val="clear" w:color="auto" w:fill="auto"/>
          </w:tcPr>
          <w:p w14:paraId="3DD43B60" w14:textId="77777777" w:rsidR="00E85F3C" w:rsidRDefault="00E85F3C" w:rsidP="005E46D4">
            <w:pPr>
              <w:pStyle w:val="TableTextDusc"/>
              <w:keepNext/>
              <w:keepLines/>
            </w:pPr>
            <w:r>
              <w:t>R, DB, PC, MC</w:t>
            </w:r>
          </w:p>
        </w:tc>
        <w:tc>
          <w:tcPr>
            <w:tcW w:w="707" w:type="pct"/>
            <w:shd w:val="clear" w:color="auto" w:fill="auto"/>
          </w:tcPr>
          <w:p w14:paraId="11F6BA1A" w14:textId="77777777" w:rsidR="00E85F3C" w:rsidRPr="00E2771E" w:rsidRDefault="00E85F3C" w:rsidP="005E46D4">
            <w:pPr>
              <w:pStyle w:val="TableTextDusc"/>
              <w:keepNext/>
              <w:keepLines/>
            </w:pPr>
            <w:r>
              <w:t>12 weeks</w:t>
            </w:r>
            <w:r>
              <w:br/>
              <w:t>(52 weeks)</w:t>
            </w:r>
          </w:p>
        </w:tc>
        <w:tc>
          <w:tcPr>
            <w:tcW w:w="393" w:type="pct"/>
            <w:shd w:val="clear" w:color="auto" w:fill="auto"/>
          </w:tcPr>
          <w:p w14:paraId="414E4452" w14:textId="77777777" w:rsidR="00E85F3C" w:rsidRPr="00E2771E" w:rsidRDefault="00E85F3C" w:rsidP="005E46D4">
            <w:pPr>
              <w:pStyle w:val="TableTextDusc"/>
              <w:keepNext/>
              <w:keepLines/>
            </w:pPr>
            <w:r>
              <w:t>Low (High</w:t>
            </w:r>
            <w:r w:rsidRPr="00953417">
              <w:rPr>
                <w:vertAlign w:val="superscript"/>
              </w:rPr>
              <w:t>a</w:t>
            </w:r>
            <w:r>
              <w:t>)</w:t>
            </w:r>
          </w:p>
        </w:tc>
        <w:tc>
          <w:tcPr>
            <w:tcW w:w="551" w:type="pct"/>
            <w:shd w:val="clear" w:color="auto" w:fill="auto"/>
          </w:tcPr>
          <w:p w14:paraId="729FE590" w14:textId="77777777" w:rsidR="00E85F3C" w:rsidRDefault="00E85F3C" w:rsidP="005E46D4">
            <w:pPr>
              <w:pStyle w:val="TableTextDusc"/>
              <w:keepNext/>
              <w:keepLines/>
              <w:rPr>
                <w:rFonts w:cstheme="minorHAnsi"/>
              </w:rPr>
            </w:pPr>
            <w:r>
              <w:rPr>
                <w:rFonts w:cstheme="minorHAnsi"/>
              </w:rPr>
              <w:t>≥ 10% BSA</w:t>
            </w:r>
          </w:p>
          <w:p w14:paraId="7B36B51A" w14:textId="77777777" w:rsidR="00E85F3C" w:rsidRDefault="00E85F3C" w:rsidP="005E46D4">
            <w:pPr>
              <w:pStyle w:val="TableTextDusc"/>
              <w:keepNext/>
              <w:keepLines/>
              <w:rPr>
                <w:rFonts w:cstheme="minorHAnsi"/>
              </w:rPr>
            </w:pPr>
            <w:r>
              <w:rPr>
                <w:rFonts w:cstheme="minorHAnsi"/>
              </w:rPr>
              <w:t>≥ 12 PASI</w:t>
            </w:r>
          </w:p>
          <w:p w14:paraId="7CCEA6F2" w14:textId="77777777" w:rsidR="00E85F3C" w:rsidRPr="00E2771E" w:rsidRDefault="00E85F3C" w:rsidP="005E46D4">
            <w:pPr>
              <w:pStyle w:val="TableTextDusc"/>
              <w:keepNext/>
              <w:keepLines/>
            </w:pPr>
            <w:r>
              <w:rPr>
                <w:rFonts w:cstheme="minorHAnsi"/>
              </w:rPr>
              <w:t>≥ 3 PGA</w:t>
            </w:r>
          </w:p>
        </w:tc>
        <w:tc>
          <w:tcPr>
            <w:tcW w:w="864" w:type="pct"/>
          </w:tcPr>
          <w:p w14:paraId="1EE77F89" w14:textId="77777777" w:rsidR="00E85F3C" w:rsidRPr="00E2771E" w:rsidRDefault="00E85F3C" w:rsidP="005E46D4">
            <w:pPr>
              <w:pStyle w:val="TableTextDusc"/>
              <w:keepNext/>
              <w:keepLines/>
            </w:pPr>
            <w:r w:rsidRPr="0021365C">
              <w:t>217</w:t>
            </w:r>
            <w:r>
              <w:t>/313</w:t>
            </w:r>
            <w:r w:rsidRPr="0021365C">
              <w:t xml:space="preserve"> (69%)</w:t>
            </w:r>
          </w:p>
        </w:tc>
        <w:tc>
          <w:tcPr>
            <w:tcW w:w="679" w:type="pct"/>
          </w:tcPr>
          <w:p w14:paraId="32147AB8" w14:textId="77777777" w:rsidR="00E85F3C" w:rsidRDefault="00E85F3C" w:rsidP="005E46D4">
            <w:pPr>
              <w:pStyle w:val="TableTextDusc"/>
              <w:keepNext/>
              <w:keepLines/>
            </w:pPr>
            <w:r>
              <w:t xml:space="preserve">19/315 </w:t>
            </w:r>
            <w:r>
              <w:br/>
              <w:t>(6%)</w:t>
            </w:r>
          </w:p>
        </w:tc>
      </w:tr>
    </w:tbl>
    <w:p w14:paraId="6DED3DCA" w14:textId="77777777" w:rsidR="00E85F3C" w:rsidRDefault="00E85F3C" w:rsidP="005E46D4">
      <w:pPr>
        <w:pStyle w:val="TableFooter"/>
        <w:keepNext/>
        <w:keepLines/>
      </w:pPr>
      <w:r w:rsidRPr="008521BC">
        <w:t>BSA = body surface area; DB = double blind; MC = multi-</w:t>
      </w:r>
      <w:r w:rsidRPr="00B52E48">
        <w:t>centre</w:t>
      </w:r>
      <w:r w:rsidRPr="008521BC">
        <w:t xml:space="preserve">; </w:t>
      </w:r>
      <w:r>
        <w:t xml:space="preserve">OL = open label; </w:t>
      </w:r>
      <w:r w:rsidRPr="008521BC">
        <w:t xml:space="preserve">PASI = </w:t>
      </w:r>
      <w:r w:rsidRPr="00383CDD">
        <w:t>Psoriasis Area and Severity Index;</w:t>
      </w:r>
      <w:r w:rsidRPr="008521BC">
        <w:t xml:space="preserve"> </w:t>
      </w:r>
      <w:r w:rsidRPr="00383CDD">
        <w:t xml:space="preserve">PASI 75 = reduction in PASI score of 75%; </w:t>
      </w:r>
      <w:r w:rsidRPr="008521BC">
        <w:t xml:space="preserve">PBAC = Pharmaceutical Benefits Advisory Committee; PC = placebo-controlled; </w:t>
      </w:r>
      <w:r>
        <w:t xml:space="preserve">QoL = quality of life; </w:t>
      </w:r>
      <w:r w:rsidRPr="008521BC">
        <w:t xml:space="preserve">R = randomised; </w:t>
      </w:r>
      <w:r>
        <w:t xml:space="preserve">SB = single blind; </w:t>
      </w:r>
      <w:r w:rsidRPr="00513BB3">
        <w:rPr>
          <w:highlight w:val="lightGray"/>
        </w:rPr>
        <w:t>Shaded</w:t>
      </w:r>
      <w:r>
        <w:t xml:space="preserve"> = previously considered by the PBAC</w:t>
      </w:r>
    </w:p>
    <w:p w14:paraId="416857E2" w14:textId="77777777" w:rsidR="00E85F3C" w:rsidRDefault="00E85F3C" w:rsidP="005E46D4">
      <w:pPr>
        <w:pStyle w:val="TableFooter"/>
        <w:keepNext/>
        <w:keepLines/>
      </w:pPr>
      <w:r>
        <w:rPr>
          <w:vertAlign w:val="superscript"/>
        </w:rPr>
        <w:t>1</w:t>
      </w:r>
      <w:r>
        <w:t xml:space="preserve"> Ustekinumab 45 mg SC at Weeks 0, 4; then every 12 weeks (PI recommended dose)</w:t>
      </w:r>
    </w:p>
    <w:p w14:paraId="5B004959" w14:textId="77777777" w:rsidR="00E85F3C" w:rsidRDefault="00E85F3C" w:rsidP="00E85F3C">
      <w:pPr>
        <w:pStyle w:val="TableFooter"/>
      </w:pPr>
    </w:p>
    <w:p w14:paraId="350AC9C7" w14:textId="77777777" w:rsidR="00A04FA0" w:rsidRDefault="00A04FA0" w:rsidP="00A04FA0">
      <w:pPr>
        <w:pStyle w:val="MDSubsubheding"/>
      </w:pPr>
      <w:bookmarkStart w:id="58" w:name="_Toc503274967"/>
      <w:r>
        <w:t>Comparison with evidence previously seen by the PBAC</w:t>
      </w:r>
      <w:bookmarkEnd w:id="58"/>
    </w:p>
    <w:p w14:paraId="79EBA717" w14:textId="48BB3852" w:rsidR="00A04FA0" w:rsidRPr="00FE1642" w:rsidRDefault="00A04FA0" w:rsidP="00A04FA0">
      <w:pPr>
        <w:pStyle w:val="ToRText"/>
      </w:pPr>
      <w:r w:rsidRPr="00FE1642">
        <w:t>b)</w:t>
      </w:r>
      <w:r w:rsidRPr="00FE1642">
        <w:tab/>
      </w:r>
      <w:r w:rsidR="008F3886" w:rsidRPr="00FE1642">
        <w:t>Comparing</w:t>
      </w:r>
      <w:r w:rsidRPr="00FE1642">
        <w:t xml:space="preserve"> new evidence with that already considered by PBAC for each class of medicines.</w:t>
      </w:r>
    </w:p>
    <w:p w14:paraId="6076085A" w14:textId="77777777" w:rsidR="00A04FA0" w:rsidRDefault="00A04FA0" w:rsidP="00A04FA0">
      <w:r w:rsidRPr="006C7EC2">
        <w:t xml:space="preserve">New evidence for each biologic was compared with that already </w:t>
      </w:r>
      <w:r>
        <w:t>considered</w:t>
      </w:r>
      <w:r w:rsidRPr="006C7EC2">
        <w:t xml:space="preserve"> by the PBAC in terms of the proportion of patients achieving a PASI 75 improvement and mean change in DLQI score.</w:t>
      </w:r>
      <w:r>
        <w:t xml:space="preserve"> Tabulated comparisons of those that were previously seen with those that were not are presented above (Table ES.</w:t>
      </w:r>
      <w:r>
        <w:rPr>
          <w:noProof/>
        </w:rPr>
        <w:t>7</w:t>
      </w:r>
      <w:r>
        <w:t xml:space="preserve"> to </w:t>
      </w:r>
      <w:r w:rsidRPr="00594BE2">
        <w:rPr>
          <w:rFonts w:eastAsiaTheme="minorEastAsia" w:cs="Calibri"/>
          <w:color w:val="000000" w:themeColor="text1"/>
          <w:szCs w:val="24"/>
        </w:rPr>
        <w:t>Table ES.</w:t>
      </w:r>
      <w:r w:rsidRPr="00594BE2">
        <w:rPr>
          <w:rFonts w:eastAsiaTheme="minorEastAsia" w:cs="Calibri"/>
          <w:noProof/>
          <w:color w:val="000000" w:themeColor="text1"/>
          <w:szCs w:val="24"/>
        </w:rPr>
        <w:t>13</w:t>
      </w:r>
      <w:r w:rsidRPr="005F4471">
        <w:rPr>
          <w:szCs w:val="24"/>
        </w:rPr>
        <w:t>)</w:t>
      </w:r>
      <w:r>
        <w:t xml:space="preserve">. </w:t>
      </w:r>
      <w:r w:rsidRPr="006C7EC2">
        <w:t>Results were primarily compared for the PI recommended dose.</w:t>
      </w:r>
      <w:r>
        <w:t xml:space="preserve"> </w:t>
      </w:r>
    </w:p>
    <w:p w14:paraId="2B2B4D39" w14:textId="516C73C3" w:rsidR="00A04FA0" w:rsidRDefault="00A04FA0" w:rsidP="00A04FA0">
      <w:r>
        <w:t xml:space="preserve">In total, 21 trials </w:t>
      </w:r>
      <w:r w:rsidR="009E36C4">
        <w:t xml:space="preserve">had </w:t>
      </w:r>
      <w:r>
        <w:t xml:space="preserve">not previously </w:t>
      </w:r>
      <w:r w:rsidR="009E36C4">
        <w:t xml:space="preserve">been </w:t>
      </w:r>
      <w:r>
        <w:t xml:space="preserve">seen by the PBAC. Overall, the trials were similar in terms of inclusion criteria, risk of bias and disease severity. Etanercept and ustekinumab were the two biologics with the most unseen trials. However, the unseen trials for etanercept tended to have doses that were not in line with the currently recommended PI. </w:t>
      </w:r>
    </w:p>
    <w:p w14:paraId="373E4618" w14:textId="77777777" w:rsidR="00A04FA0" w:rsidRPr="00EE5041" w:rsidRDefault="00A04FA0" w:rsidP="00A04FA0">
      <w:pPr>
        <w:pStyle w:val="TableFooter"/>
        <w:rPr>
          <w:sz w:val="24"/>
          <w:szCs w:val="24"/>
        </w:rPr>
      </w:pPr>
      <w:r w:rsidRPr="00EE5041">
        <w:rPr>
          <w:sz w:val="24"/>
          <w:szCs w:val="24"/>
        </w:rPr>
        <w:lastRenderedPageBreak/>
        <w:t>When comparing efficacy and safety of these trials and for each PBS-listed biologic; the new evidence was highly consistent with that already considered by the PBAC.</w:t>
      </w:r>
    </w:p>
    <w:p w14:paraId="6B13DE02" w14:textId="77777777" w:rsidR="00E85F3C" w:rsidRDefault="00E85F3C" w:rsidP="00E61C3D">
      <w:pPr>
        <w:pStyle w:val="MDsubHead3"/>
      </w:pPr>
      <w:r>
        <w:t>Direct comparisons</w:t>
      </w:r>
    </w:p>
    <w:p w14:paraId="7438E404" w14:textId="48A1CEBD" w:rsidR="00E85F3C" w:rsidRDefault="00E85F3C" w:rsidP="00E85F3C">
      <w:r>
        <w:t>As etanercept was one of the earlier biologics in</w:t>
      </w:r>
      <w:r w:rsidR="00AA3488">
        <w:t xml:space="preserve"> the</w:t>
      </w:r>
      <w:r>
        <w:t xml:space="preserve"> treatment </w:t>
      </w:r>
      <w:r w:rsidR="00AA3488">
        <w:t>of</w:t>
      </w:r>
      <w:r>
        <w:t xml:space="preserve"> severe psoriasis, it was used in the comparator arm of the newer biologics. Five trials and five related publications were identified that compared etanercept with other PBS listed medications (PIECE versus infliximab; UNCOVER 2 and 3 versus ixekizumab; FIXTURE versus secukinumab; and ACCEPT versus ustekinumab) and one trial, the CLEAR trial, directly compared secukinumab and ustekinumab. In each of the trials, which utilised etanercept as a comparator, etanercept was dosed at 50 mg twice weekly. This regimen differed from the dosage in the approved Australian Product Information (25 mg twice weekly or 50 mg once weekly). Approved Australian dosage regimens were utilised for infliximab, ixekizumab, secukinumab and ustekinumab. The CLEAR trial, which compared secukinumab and ustekinumab, utilised the recommended dosing regimens for both biologics.</w:t>
      </w:r>
      <w:r w:rsidR="005F4471">
        <w:t xml:space="preserve"> The results of these trials are presented i</w:t>
      </w:r>
      <w:r w:rsidR="005F4471" w:rsidRPr="005F4471">
        <w:rPr>
          <w:szCs w:val="24"/>
        </w:rPr>
        <w:t xml:space="preserve">n </w:t>
      </w:r>
      <w:r w:rsidR="00594BE2" w:rsidRPr="00594BE2">
        <w:rPr>
          <w:rFonts w:eastAsiaTheme="minorEastAsia" w:cs="Calibri"/>
          <w:color w:val="000000" w:themeColor="text1"/>
          <w:szCs w:val="24"/>
        </w:rPr>
        <w:t>Table ES.</w:t>
      </w:r>
      <w:r w:rsidR="00594BE2" w:rsidRPr="00594BE2">
        <w:rPr>
          <w:rFonts w:eastAsiaTheme="minorEastAsia" w:cs="Calibri"/>
          <w:noProof/>
          <w:color w:val="000000" w:themeColor="text1"/>
          <w:szCs w:val="24"/>
        </w:rPr>
        <w:t>13</w:t>
      </w:r>
      <w:r w:rsidR="005F4471" w:rsidRPr="005F4471">
        <w:rPr>
          <w:szCs w:val="24"/>
        </w:rPr>
        <w:t>.</w:t>
      </w:r>
    </w:p>
    <w:p w14:paraId="45905FDE" w14:textId="77777777" w:rsidR="00E85F3C" w:rsidRPr="00C92BCA" w:rsidRDefault="00E85F3C" w:rsidP="008D4D9D">
      <w:pPr>
        <w:pStyle w:val="MDTabCaption"/>
        <w:keepLines/>
      </w:pPr>
      <w:bookmarkStart w:id="59" w:name="_Ref493069720"/>
      <w:bookmarkStart w:id="60" w:name="_Toc501121205"/>
      <w:bookmarkStart w:id="61" w:name="_Toc503275003"/>
      <w:r w:rsidRPr="00E85F3C">
        <w:lastRenderedPageBreak/>
        <w:t xml:space="preserve">Table </w:t>
      </w:r>
      <w:r w:rsidR="005F4471">
        <w:t>ES.</w:t>
      </w:r>
      <w:r w:rsidR="00C92BCA" w:rsidRPr="00C92BCA">
        <w:t>13</w:t>
      </w:r>
      <w:bookmarkEnd w:id="59"/>
      <w:r w:rsidRPr="00E85F3C">
        <w:t>: Direct comparisons of PBS-listed biologics: efficacy results</w:t>
      </w:r>
      <w:bookmarkEnd w:id="60"/>
      <w:bookmarkEnd w:id="61"/>
    </w:p>
    <w:tbl>
      <w:tblPr>
        <w:tblStyle w:val="TableGrid"/>
        <w:tblW w:w="8931" w:type="dxa"/>
        <w:tblInd w:w="-5" w:type="dxa"/>
        <w:tblLook w:val="04A0" w:firstRow="1" w:lastRow="0" w:firstColumn="1" w:lastColumn="0" w:noHBand="0" w:noVBand="1"/>
        <w:tblCaption w:val="Comparison of the efficacy of biologics in the direct trials"/>
      </w:tblPr>
      <w:tblGrid>
        <w:gridCol w:w="1276"/>
        <w:gridCol w:w="1559"/>
        <w:gridCol w:w="1701"/>
        <w:gridCol w:w="851"/>
        <w:gridCol w:w="1843"/>
        <w:gridCol w:w="1701"/>
      </w:tblGrid>
      <w:tr w:rsidR="00E85F3C" w:rsidRPr="00E85F3C" w14:paraId="67BCCAB2" w14:textId="77777777" w:rsidTr="00E85F3C">
        <w:trPr>
          <w:tblHeader/>
        </w:trPr>
        <w:tc>
          <w:tcPr>
            <w:tcW w:w="1276" w:type="dxa"/>
            <w:shd w:val="clear" w:color="auto" w:fill="A6A6A6" w:themeFill="background1" w:themeFillShade="A6"/>
            <w:tcMar>
              <w:left w:w="28" w:type="dxa"/>
              <w:right w:w="28" w:type="dxa"/>
            </w:tcMar>
          </w:tcPr>
          <w:p w14:paraId="4EBAAF93"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Trial</w:t>
            </w:r>
          </w:p>
        </w:tc>
        <w:tc>
          <w:tcPr>
            <w:tcW w:w="1559" w:type="dxa"/>
            <w:shd w:val="clear" w:color="auto" w:fill="A6A6A6" w:themeFill="background1" w:themeFillShade="A6"/>
            <w:tcMar>
              <w:left w:w="28" w:type="dxa"/>
              <w:right w:w="28" w:type="dxa"/>
            </w:tcMar>
          </w:tcPr>
          <w:p w14:paraId="6AEE71C4"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Time horizon</w:t>
            </w:r>
          </w:p>
        </w:tc>
        <w:tc>
          <w:tcPr>
            <w:tcW w:w="1701" w:type="dxa"/>
            <w:shd w:val="clear" w:color="auto" w:fill="A6A6A6" w:themeFill="background1" w:themeFillShade="A6"/>
            <w:tcMar>
              <w:left w:w="28" w:type="dxa"/>
              <w:right w:w="28" w:type="dxa"/>
            </w:tcMar>
          </w:tcPr>
          <w:p w14:paraId="588F6476"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Arm</w:t>
            </w:r>
          </w:p>
        </w:tc>
        <w:tc>
          <w:tcPr>
            <w:tcW w:w="851" w:type="dxa"/>
            <w:shd w:val="clear" w:color="auto" w:fill="A6A6A6" w:themeFill="background1" w:themeFillShade="A6"/>
            <w:tcMar>
              <w:left w:w="28" w:type="dxa"/>
              <w:right w:w="28" w:type="dxa"/>
            </w:tcMar>
          </w:tcPr>
          <w:p w14:paraId="100DF13D"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N</w:t>
            </w:r>
          </w:p>
        </w:tc>
        <w:tc>
          <w:tcPr>
            <w:tcW w:w="1843" w:type="dxa"/>
            <w:shd w:val="clear" w:color="auto" w:fill="A6A6A6" w:themeFill="background1" w:themeFillShade="A6"/>
            <w:tcMar>
              <w:left w:w="28" w:type="dxa"/>
              <w:right w:w="28" w:type="dxa"/>
            </w:tcMar>
          </w:tcPr>
          <w:p w14:paraId="01EC79FF"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PASI 75; n (%)</w:t>
            </w:r>
          </w:p>
        </w:tc>
        <w:tc>
          <w:tcPr>
            <w:tcW w:w="1701" w:type="dxa"/>
            <w:shd w:val="clear" w:color="auto" w:fill="A6A6A6" w:themeFill="background1" w:themeFillShade="A6"/>
            <w:tcMar>
              <w:left w:w="28" w:type="dxa"/>
              <w:right w:w="28" w:type="dxa"/>
            </w:tcMar>
          </w:tcPr>
          <w:p w14:paraId="6810CE0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b/>
              </w:rPr>
              <w:t>∆ DLQI; mean (SD)</w:t>
            </w:r>
          </w:p>
        </w:tc>
      </w:tr>
      <w:tr w:rsidR="00E85F3C" w:rsidRPr="00E85F3C" w14:paraId="6132493B" w14:textId="77777777" w:rsidTr="008C18C0">
        <w:tc>
          <w:tcPr>
            <w:tcW w:w="8931" w:type="dxa"/>
            <w:gridSpan w:val="6"/>
            <w:tcMar>
              <w:left w:w="28" w:type="dxa"/>
              <w:right w:w="28" w:type="dxa"/>
            </w:tcMar>
          </w:tcPr>
          <w:p w14:paraId="50B8EB93" w14:textId="77777777"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color w:val="000000"/>
              </w:rPr>
              <w:t>Infliximab versus etanercept</w:t>
            </w:r>
          </w:p>
        </w:tc>
      </w:tr>
      <w:tr w:rsidR="00E85F3C" w:rsidRPr="00E85F3C" w14:paraId="113BA344" w14:textId="77777777" w:rsidTr="008C18C0">
        <w:tc>
          <w:tcPr>
            <w:tcW w:w="1276" w:type="dxa"/>
            <w:vMerge w:val="restart"/>
            <w:tcMar>
              <w:left w:w="28" w:type="dxa"/>
              <w:right w:w="28" w:type="dxa"/>
            </w:tcMar>
          </w:tcPr>
          <w:p w14:paraId="61304CAD"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PIECE</w:t>
            </w:r>
          </w:p>
        </w:tc>
        <w:tc>
          <w:tcPr>
            <w:tcW w:w="1559" w:type="dxa"/>
            <w:vMerge w:val="restart"/>
            <w:tcMar>
              <w:left w:w="28" w:type="dxa"/>
              <w:right w:w="28" w:type="dxa"/>
            </w:tcMar>
          </w:tcPr>
          <w:p w14:paraId="14FA6670"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12 weeks</w:t>
            </w:r>
          </w:p>
        </w:tc>
        <w:tc>
          <w:tcPr>
            <w:tcW w:w="1701" w:type="dxa"/>
            <w:tcMar>
              <w:left w:w="28" w:type="dxa"/>
              <w:right w:w="28" w:type="dxa"/>
            </w:tcMar>
          </w:tcPr>
          <w:p w14:paraId="65388524"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Infliximab</w:t>
            </w:r>
            <w:r w:rsidRPr="00E85F3C">
              <w:rPr>
                <w:rFonts w:eastAsia="MS Mincho" w:cs="Calibri"/>
                <w:vertAlign w:val="superscript"/>
              </w:rPr>
              <w:t>1*</w:t>
            </w:r>
          </w:p>
        </w:tc>
        <w:tc>
          <w:tcPr>
            <w:tcW w:w="851" w:type="dxa"/>
            <w:tcMar>
              <w:left w:w="28" w:type="dxa"/>
              <w:right w:w="28" w:type="dxa"/>
            </w:tcMar>
          </w:tcPr>
          <w:p w14:paraId="4458A798"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25</w:t>
            </w:r>
          </w:p>
        </w:tc>
        <w:tc>
          <w:tcPr>
            <w:tcW w:w="1843" w:type="dxa"/>
            <w:tcMar>
              <w:left w:w="28" w:type="dxa"/>
              <w:right w:w="28" w:type="dxa"/>
            </w:tcMar>
          </w:tcPr>
          <w:p w14:paraId="1822532E"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19 (76%)</w:t>
            </w:r>
          </w:p>
        </w:tc>
        <w:tc>
          <w:tcPr>
            <w:tcW w:w="1701" w:type="dxa"/>
            <w:tcMar>
              <w:left w:w="28" w:type="dxa"/>
              <w:right w:w="28" w:type="dxa"/>
            </w:tcMar>
          </w:tcPr>
          <w:p w14:paraId="77DDC0D5"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14:paraId="497C412A" w14:textId="77777777" w:rsidTr="008C18C0">
        <w:tc>
          <w:tcPr>
            <w:tcW w:w="1276" w:type="dxa"/>
            <w:vMerge/>
            <w:tcMar>
              <w:left w:w="28" w:type="dxa"/>
              <w:right w:w="28" w:type="dxa"/>
            </w:tcMar>
          </w:tcPr>
          <w:p w14:paraId="37F33328"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tcMar>
              <w:left w:w="28" w:type="dxa"/>
              <w:right w:w="28" w:type="dxa"/>
            </w:tcMar>
          </w:tcPr>
          <w:p w14:paraId="07FE5C01"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tcMar>
              <w:left w:w="28" w:type="dxa"/>
              <w:right w:w="28" w:type="dxa"/>
            </w:tcMar>
          </w:tcPr>
          <w:p w14:paraId="441C3701"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tcMar>
              <w:left w:w="28" w:type="dxa"/>
              <w:right w:w="28" w:type="dxa"/>
            </w:tcMar>
          </w:tcPr>
          <w:p w14:paraId="0976F463"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23</w:t>
            </w:r>
          </w:p>
        </w:tc>
        <w:tc>
          <w:tcPr>
            <w:tcW w:w="1843" w:type="dxa"/>
            <w:tcMar>
              <w:left w:w="28" w:type="dxa"/>
              <w:right w:w="28" w:type="dxa"/>
            </w:tcMar>
          </w:tcPr>
          <w:p w14:paraId="338A3755"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5 (22%) </w:t>
            </w:r>
          </w:p>
        </w:tc>
        <w:tc>
          <w:tcPr>
            <w:tcW w:w="1701" w:type="dxa"/>
            <w:tcMar>
              <w:left w:w="28" w:type="dxa"/>
              <w:right w:w="28" w:type="dxa"/>
            </w:tcMar>
          </w:tcPr>
          <w:p w14:paraId="587988A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14:paraId="00C87580" w14:textId="77777777" w:rsidTr="008C18C0">
        <w:tc>
          <w:tcPr>
            <w:tcW w:w="1276" w:type="dxa"/>
            <w:vMerge/>
            <w:tcMar>
              <w:left w:w="28" w:type="dxa"/>
              <w:right w:w="28" w:type="dxa"/>
            </w:tcMar>
          </w:tcPr>
          <w:p w14:paraId="3EDCC193"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val="restart"/>
            <w:tcMar>
              <w:left w:w="28" w:type="dxa"/>
              <w:right w:w="28" w:type="dxa"/>
            </w:tcMar>
          </w:tcPr>
          <w:p w14:paraId="35FAEBA9"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24 weeks</w:t>
            </w:r>
          </w:p>
        </w:tc>
        <w:tc>
          <w:tcPr>
            <w:tcW w:w="1701" w:type="dxa"/>
            <w:tcMar>
              <w:left w:w="28" w:type="dxa"/>
              <w:right w:w="28" w:type="dxa"/>
            </w:tcMar>
          </w:tcPr>
          <w:p w14:paraId="762F8244"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Infliximab</w:t>
            </w:r>
            <w:r w:rsidRPr="00E85F3C">
              <w:rPr>
                <w:rFonts w:eastAsia="MS Mincho" w:cs="Calibri"/>
                <w:vertAlign w:val="superscript"/>
              </w:rPr>
              <w:t>1*</w:t>
            </w:r>
          </w:p>
        </w:tc>
        <w:tc>
          <w:tcPr>
            <w:tcW w:w="851" w:type="dxa"/>
            <w:tcMar>
              <w:left w:w="28" w:type="dxa"/>
              <w:right w:w="28" w:type="dxa"/>
            </w:tcMar>
          </w:tcPr>
          <w:p w14:paraId="17A55CAC"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25</w:t>
            </w:r>
          </w:p>
        </w:tc>
        <w:tc>
          <w:tcPr>
            <w:tcW w:w="1843" w:type="dxa"/>
            <w:tcMar>
              <w:left w:w="28" w:type="dxa"/>
              <w:right w:w="28" w:type="dxa"/>
            </w:tcMar>
          </w:tcPr>
          <w:p w14:paraId="3DE0F09A"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18 (72%)</w:t>
            </w:r>
          </w:p>
        </w:tc>
        <w:tc>
          <w:tcPr>
            <w:tcW w:w="1701" w:type="dxa"/>
            <w:tcMar>
              <w:left w:w="28" w:type="dxa"/>
              <w:right w:w="28" w:type="dxa"/>
            </w:tcMar>
          </w:tcPr>
          <w:p w14:paraId="797B0DAC"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14:paraId="65FD6CAE" w14:textId="77777777" w:rsidTr="008C18C0">
        <w:tc>
          <w:tcPr>
            <w:tcW w:w="1276" w:type="dxa"/>
            <w:vMerge/>
            <w:tcMar>
              <w:left w:w="28" w:type="dxa"/>
              <w:right w:w="28" w:type="dxa"/>
            </w:tcMar>
          </w:tcPr>
          <w:p w14:paraId="25506646"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tcMar>
              <w:left w:w="28" w:type="dxa"/>
              <w:right w:w="28" w:type="dxa"/>
            </w:tcMar>
          </w:tcPr>
          <w:p w14:paraId="18705CCE"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tcMar>
              <w:left w:w="28" w:type="dxa"/>
              <w:right w:w="28" w:type="dxa"/>
            </w:tcMar>
          </w:tcPr>
          <w:p w14:paraId="29A513DB"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tcMar>
              <w:left w:w="28" w:type="dxa"/>
              <w:right w:w="28" w:type="dxa"/>
            </w:tcMar>
          </w:tcPr>
          <w:p w14:paraId="3CF77F8E"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23</w:t>
            </w:r>
          </w:p>
        </w:tc>
        <w:tc>
          <w:tcPr>
            <w:tcW w:w="1843" w:type="dxa"/>
            <w:tcMar>
              <w:left w:w="28" w:type="dxa"/>
              <w:right w:w="28" w:type="dxa"/>
            </w:tcMar>
          </w:tcPr>
          <w:p w14:paraId="7DE53540"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8 (35%)</w:t>
            </w:r>
          </w:p>
        </w:tc>
        <w:tc>
          <w:tcPr>
            <w:tcW w:w="1701" w:type="dxa"/>
            <w:tcMar>
              <w:left w:w="28" w:type="dxa"/>
              <w:right w:w="28" w:type="dxa"/>
            </w:tcMar>
          </w:tcPr>
          <w:p w14:paraId="5D38C57E"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14:paraId="0321A65A" w14:textId="77777777" w:rsidTr="008C18C0">
        <w:trPr>
          <w:trHeight w:val="293"/>
        </w:trPr>
        <w:tc>
          <w:tcPr>
            <w:tcW w:w="8931" w:type="dxa"/>
            <w:gridSpan w:val="6"/>
            <w:tcMar>
              <w:left w:w="28" w:type="dxa"/>
              <w:right w:w="28" w:type="dxa"/>
            </w:tcMar>
          </w:tcPr>
          <w:p w14:paraId="463F3D5B" w14:textId="77777777"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rPr>
              <w:t>Ixekizumab versus etanercept versus placebo</w:t>
            </w:r>
          </w:p>
        </w:tc>
      </w:tr>
      <w:tr w:rsidR="00E85F3C" w:rsidRPr="00E85F3C" w14:paraId="7F71674B" w14:textId="77777777" w:rsidTr="00E85F3C">
        <w:tc>
          <w:tcPr>
            <w:tcW w:w="1276" w:type="dxa"/>
            <w:vMerge w:val="restart"/>
            <w:shd w:val="clear" w:color="auto" w:fill="D9D9D9" w:themeFill="background1" w:themeFillShade="D9"/>
            <w:tcMar>
              <w:left w:w="28" w:type="dxa"/>
              <w:right w:w="28" w:type="dxa"/>
            </w:tcMar>
          </w:tcPr>
          <w:p w14:paraId="3CF77973"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UNCOVER 2</w:t>
            </w:r>
          </w:p>
        </w:tc>
        <w:tc>
          <w:tcPr>
            <w:tcW w:w="1559" w:type="dxa"/>
            <w:vMerge w:val="restart"/>
            <w:shd w:val="clear" w:color="auto" w:fill="D9D9D9" w:themeFill="background1" w:themeFillShade="D9"/>
            <w:tcMar>
              <w:left w:w="28" w:type="dxa"/>
              <w:right w:w="28" w:type="dxa"/>
            </w:tcMar>
          </w:tcPr>
          <w:p w14:paraId="7CFB17CD"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12 weeks</w:t>
            </w:r>
          </w:p>
        </w:tc>
        <w:tc>
          <w:tcPr>
            <w:tcW w:w="1701" w:type="dxa"/>
            <w:shd w:val="clear" w:color="auto" w:fill="D9D9D9" w:themeFill="background1" w:themeFillShade="D9"/>
            <w:tcMar>
              <w:left w:w="28" w:type="dxa"/>
              <w:right w:w="28" w:type="dxa"/>
            </w:tcMar>
          </w:tcPr>
          <w:p w14:paraId="47CD2150"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Ixekizumab</w:t>
            </w:r>
            <w:r w:rsidRPr="00E85F3C">
              <w:rPr>
                <w:rFonts w:eastAsia="MS Mincho" w:cs="Calibri"/>
                <w:vertAlign w:val="superscript"/>
              </w:rPr>
              <w:t>3*</w:t>
            </w:r>
          </w:p>
        </w:tc>
        <w:tc>
          <w:tcPr>
            <w:tcW w:w="851" w:type="dxa"/>
            <w:shd w:val="clear" w:color="auto" w:fill="D9D9D9" w:themeFill="background1" w:themeFillShade="D9"/>
            <w:tcMar>
              <w:left w:w="28" w:type="dxa"/>
              <w:right w:w="28" w:type="dxa"/>
            </w:tcMar>
          </w:tcPr>
          <w:p w14:paraId="2383CE0F"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351</w:t>
            </w:r>
          </w:p>
        </w:tc>
        <w:tc>
          <w:tcPr>
            <w:tcW w:w="1843" w:type="dxa"/>
            <w:shd w:val="clear" w:color="auto" w:fill="D9D9D9" w:themeFill="background1" w:themeFillShade="D9"/>
            <w:tcMar>
              <w:left w:w="28" w:type="dxa"/>
              <w:right w:w="28" w:type="dxa"/>
            </w:tcMar>
          </w:tcPr>
          <w:p w14:paraId="1284E0AE"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315 (90%)</w:t>
            </w:r>
          </w:p>
        </w:tc>
        <w:tc>
          <w:tcPr>
            <w:tcW w:w="1701" w:type="dxa"/>
            <w:shd w:val="clear" w:color="auto" w:fill="D9D9D9" w:themeFill="background1" w:themeFillShade="D9"/>
            <w:tcMar>
              <w:left w:w="28" w:type="dxa"/>
              <w:right w:w="28" w:type="dxa"/>
            </w:tcMar>
          </w:tcPr>
          <w:p w14:paraId="0EAC34C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-10.4 </w:t>
            </w:r>
            <w:r w:rsidRPr="00E85F3C">
              <w:rPr>
                <w:rFonts w:eastAsia="MS Mincho" w:cs="Calibri"/>
                <w:i/>
              </w:rPr>
              <w:t>(0.3)</w:t>
            </w:r>
          </w:p>
        </w:tc>
      </w:tr>
      <w:tr w:rsidR="00E85F3C" w:rsidRPr="00E85F3C" w14:paraId="58C85DC0" w14:textId="77777777" w:rsidTr="00E85F3C">
        <w:tc>
          <w:tcPr>
            <w:tcW w:w="1276" w:type="dxa"/>
            <w:vMerge/>
            <w:shd w:val="clear" w:color="auto" w:fill="D9D9D9" w:themeFill="background1" w:themeFillShade="D9"/>
            <w:tcMar>
              <w:left w:w="28" w:type="dxa"/>
              <w:right w:w="28" w:type="dxa"/>
            </w:tcMar>
          </w:tcPr>
          <w:p w14:paraId="3C94A082"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14:paraId="2CDE633C"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14:paraId="6A91BDA0"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shd w:val="clear" w:color="auto" w:fill="D9D9D9" w:themeFill="background1" w:themeFillShade="D9"/>
            <w:tcMar>
              <w:left w:w="28" w:type="dxa"/>
              <w:right w:w="28" w:type="dxa"/>
            </w:tcMar>
          </w:tcPr>
          <w:p w14:paraId="7424923E"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358</w:t>
            </w:r>
          </w:p>
        </w:tc>
        <w:tc>
          <w:tcPr>
            <w:tcW w:w="1843" w:type="dxa"/>
            <w:shd w:val="clear" w:color="auto" w:fill="D9D9D9" w:themeFill="background1" w:themeFillShade="D9"/>
            <w:tcMar>
              <w:left w:w="28" w:type="dxa"/>
              <w:right w:w="28" w:type="dxa"/>
            </w:tcMar>
          </w:tcPr>
          <w:p w14:paraId="3A0B3CAD"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149 (42%)</w:t>
            </w:r>
          </w:p>
        </w:tc>
        <w:tc>
          <w:tcPr>
            <w:tcW w:w="1701" w:type="dxa"/>
            <w:shd w:val="clear" w:color="auto" w:fill="D9D9D9" w:themeFill="background1" w:themeFillShade="D9"/>
            <w:tcMar>
              <w:left w:w="28" w:type="dxa"/>
              <w:right w:w="28" w:type="dxa"/>
            </w:tcMar>
          </w:tcPr>
          <w:p w14:paraId="5C237EE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-7.7 </w:t>
            </w:r>
            <w:r w:rsidRPr="00E85F3C">
              <w:rPr>
                <w:rFonts w:eastAsia="MS Mincho" w:cs="Calibri"/>
                <w:i/>
              </w:rPr>
              <w:t>(0.3)</w:t>
            </w:r>
          </w:p>
        </w:tc>
      </w:tr>
      <w:tr w:rsidR="00E85F3C" w:rsidRPr="00E85F3C" w14:paraId="154A98A6" w14:textId="77777777" w:rsidTr="00E85F3C">
        <w:tc>
          <w:tcPr>
            <w:tcW w:w="1276" w:type="dxa"/>
            <w:vMerge/>
            <w:shd w:val="clear" w:color="auto" w:fill="D9D9D9" w:themeFill="background1" w:themeFillShade="D9"/>
            <w:tcMar>
              <w:left w:w="28" w:type="dxa"/>
              <w:right w:w="28" w:type="dxa"/>
            </w:tcMar>
          </w:tcPr>
          <w:p w14:paraId="19C175EE"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14:paraId="2DD5E382"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14:paraId="0185C6F9"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Placebo</w:t>
            </w:r>
          </w:p>
        </w:tc>
        <w:tc>
          <w:tcPr>
            <w:tcW w:w="851" w:type="dxa"/>
            <w:shd w:val="clear" w:color="auto" w:fill="D9D9D9" w:themeFill="background1" w:themeFillShade="D9"/>
            <w:tcMar>
              <w:left w:w="28" w:type="dxa"/>
              <w:right w:w="28" w:type="dxa"/>
            </w:tcMar>
          </w:tcPr>
          <w:p w14:paraId="042F02A5"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168</w:t>
            </w:r>
          </w:p>
        </w:tc>
        <w:tc>
          <w:tcPr>
            <w:tcW w:w="1843" w:type="dxa"/>
            <w:shd w:val="clear" w:color="auto" w:fill="D9D9D9" w:themeFill="background1" w:themeFillShade="D9"/>
            <w:tcMar>
              <w:left w:w="28" w:type="dxa"/>
              <w:right w:w="28" w:type="dxa"/>
            </w:tcMar>
          </w:tcPr>
          <w:p w14:paraId="1A8532A9"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4 (2%)</w:t>
            </w:r>
          </w:p>
        </w:tc>
        <w:tc>
          <w:tcPr>
            <w:tcW w:w="1701" w:type="dxa"/>
            <w:shd w:val="clear" w:color="auto" w:fill="D9D9D9" w:themeFill="background1" w:themeFillShade="D9"/>
            <w:tcMar>
              <w:left w:w="28" w:type="dxa"/>
              <w:right w:w="28" w:type="dxa"/>
            </w:tcMar>
          </w:tcPr>
          <w:p w14:paraId="02F53DA5"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-2.0 </w:t>
            </w:r>
            <w:r w:rsidRPr="00E85F3C">
              <w:rPr>
                <w:rFonts w:eastAsia="MS Mincho" w:cs="Calibri"/>
                <w:i/>
              </w:rPr>
              <w:t>(0.4)</w:t>
            </w:r>
          </w:p>
        </w:tc>
      </w:tr>
      <w:tr w:rsidR="00E85F3C" w:rsidRPr="00E85F3C" w14:paraId="635653D7" w14:textId="77777777" w:rsidTr="00E85F3C">
        <w:tc>
          <w:tcPr>
            <w:tcW w:w="1276" w:type="dxa"/>
            <w:vMerge w:val="restart"/>
            <w:shd w:val="clear" w:color="auto" w:fill="D9D9D9" w:themeFill="background1" w:themeFillShade="D9"/>
            <w:tcMar>
              <w:left w:w="28" w:type="dxa"/>
              <w:right w:w="28" w:type="dxa"/>
            </w:tcMar>
          </w:tcPr>
          <w:p w14:paraId="69CEDCB2"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UNCOVER 3</w:t>
            </w:r>
          </w:p>
        </w:tc>
        <w:tc>
          <w:tcPr>
            <w:tcW w:w="1559" w:type="dxa"/>
            <w:vMerge w:val="restart"/>
            <w:shd w:val="clear" w:color="auto" w:fill="D9D9D9" w:themeFill="background1" w:themeFillShade="D9"/>
            <w:tcMar>
              <w:left w:w="28" w:type="dxa"/>
              <w:right w:w="28" w:type="dxa"/>
            </w:tcMar>
          </w:tcPr>
          <w:p w14:paraId="3FF58B23"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12 weeks</w:t>
            </w:r>
          </w:p>
        </w:tc>
        <w:tc>
          <w:tcPr>
            <w:tcW w:w="1701" w:type="dxa"/>
            <w:shd w:val="clear" w:color="auto" w:fill="D9D9D9" w:themeFill="background1" w:themeFillShade="D9"/>
            <w:tcMar>
              <w:left w:w="28" w:type="dxa"/>
              <w:right w:w="28" w:type="dxa"/>
            </w:tcMar>
          </w:tcPr>
          <w:p w14:paraId="49E78E0A"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Ixekizumab</w:t>
            </w:r>
            <w:r w:rsidRPr="00E85F3C">
              <w:rPr>
                <w:rFonts w:eastAsia="MS Mincho" w:cs="Calibri"/>
                <w:vertAlign w:val="superscript"/>
              </w:rPr>
              <w:t>3*</w:t>
            </w:r>
          </w:p>
        </w:tc>
        <w:tc>
          <w:tcPr>
            <w:tcW w:w="851" w:type="dxa"/>
            <w:shd w:val="clear" w:color="auto" w:fill="D9D9D9" w:themeFill="background1" w:themeFillShade="D9"/>
            <w:tcMar>
              <w:left w:w="28" w:type="dxa"/>
              <w:right w:w="28" w:type="dxa"/>
            </w:tcMar>
          </w:tcPr>
          <w:p w14:paraId="5340E4AE"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385</w:t>
            </w:r>
          </w:p>
        </w:tc>
        <w:tc>
          <w:tcPr>
            <w:tcW w:w="1843" w:type="dxa"/>
            <w:shd w:val="clear" w:color="auto" w:fill="D9D9D9" w:themeFill="background1" w:themeFillShade="D9"/>
            <w:tcMar>
              <w:left w:w="28" w:type="dxa"/>
              <w:right w:w="28" w:type="dxa"/>
            </w:tcMar>
          </w:tcPr>
          <w:p w14:paraId="7B91D940"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336 (87%)</w:t>
            </w:r>
          </w:p>
        </w:tc>
        <w:tc>
          <w:tcPr>
            <w:tcW w:w="1701" w:type="dxa"/>
            <w:shd w:val="clear" w:color="auto" w:fill="D9D9D9" w:themeFill="background1" w:themeFillShade="D9"/>
            <w:tcMar>
              <w:left w:w="28" w:type="dxa"/>
              <w:right w:w="28" w:type="dxa"/>
            </w:tcMar>
          </w:tcPr>
          <w:p w14:paraId="254857A0"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-10.2 </w:t>
            </w:r>
            <w:r w:rsidRPr="00E85F3C">
              <w:rPr>
                <w:rFonts w:eastAsia="MS Mincho" w:cs="Calibri"/>
                <w:i/>
              </w:rPr>
              <w:t>(0.2)</w:t>
            </w:r>
          </w:p>
        </w:tc>
      </w:tr>
      <w:tr w:rsidR="00E85F3C" w:rsidRPr="00E85F3C" w14:paraId="071F28C2" w14:textId="77777777" w:rsidTr="00E85F3C">
        <w:tc>
          <w:tcPr>
            <w:tcW w:w="1276" w:type="dxa"/>
            <w:vMerge/>
            <w:shd w:val="clear" w:color="auto" w:fill="D9D9D9" w:themeFill="background1" w:themeFillShade="D9"/>
            <w:tcMar>
              <w:left w:w="28" w:type="dxa"/>
              <w:right w:w="28" w:type="dxa"/>
            </w:tcMar>
          </w:tcPr>
          <w:p w14:paraId="01DB3A39"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14:paraId="52554B63"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14:paraId="2D39F50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shd w:val="clear" w:color="auto" w:fill="D9D9D9" w:themeFill="background1" w:themeFillShade="D9"/>
            <w:tcMar>
              <w:left w:w="28" w:type="dxa"/>
              <w:right w:w="28" w:type="dxa"/>
            </w:tcMar>
          </w:tcPr>
          <w:p w14:paraId="2379D2C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382</w:t>
            </w:r>
          </w:p>
        </w:tc>
        <w:tc>
          <w:tcPr>
            <w:tcW w:w="1843" w:type="dxa"/>
            <w:shd w:val="clear" w:color="auto" w:fill="D9D9D9" w:themeFill="background1" w:themeFillShade="D9"/>
            <w:tcMar>
              <w:left w:w="28" w:type="dxa"/>
              <w:right w:w="28" w:type="dxa"/>
            </w:tcMar>
          </w:tcPr>
          <w:p w14:paraId="1397EFD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204 (53%)</w:t>
            </w:r>
          </w:p>
        </w:tc>
        <w:tc>
          <w:tcPr>
            <w:tcW w:w="1701" w:type="dxa"/>
            <w:shd w:val="clear" w:color="auto" w:fill="D9D9D9" w:themeFill="background1" w:themeFillShade="D9"/>
            <w:tcMar>
              <w:left w:w="28" w:type="dxa"/>
              <w:right w:w="28" w:type="dxa"/>
            </w:tcMar>
          </w:tcPr>
          <w:p w14:paraId="46D8D2E3"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-8.0 </w:t>
            </w:r>
            <w:r w:rsidRPr="00E85F3C">
              <w:rPr>
                <w:rFonts w:eastAsia="MS Mincho" w:cs="Calibri"/>
                <w:i/>
              </w:rPr>
              <w:t>(0.2)</w:t>
            </w:r>
          </w:p>
        </w:tc>
      </w:tr>
      <w:tr w:rsidR="00E85F3C" w:rsidRPr="00E85F3C" w14:paraId="744C9B57" w14:textId="77777777" w:rsidTr="00E85F3C">
        <w:tc>
          <w:tcPr>
            <w:tcW w:w="1276" w:type="dxa"/>
            <w:vMerge/>
            <w:shd w:val="clear" w:color="auto" w:fill="D9D9D9" w:themeFill="background1" w:themeFillShade="D9"/>
            <w:tcMar>
              <w:left w:w="28" w:type="dxa"/>
              <w:right w:w="28" w:type="dxa"/>
            </w:tcMar>
          </w:tcPr>
          <w:p w14:paraId="516B493B"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14:paraId="1BE54376"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14:paraId="4559D65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Placebo</w:t>
            </w:r>
          </w:p>
        </w:tc>
        <w:tc>
          <w:tcPr>
            <w:tcW w:w="851" w:type="dxa"/>
            <w:shd w:val="clear" w:color="auto" w:fill="D9D9D9" w:themeFill="background1" w:themeFillShade="D9"/>
            <w:tcMar>
              <w:left w:w="28" w:type="dxa"/>
              <w:right w:w="28" w:type="dxa"/>
            </w:tcMar>
          </w:tcPr>
          <w:p w14:paraId="2280A498"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193</w:t>
            </w:r>
          </w:p>
        </w:tc>
        <w:tc>
          <w:tcPr>
            <w:tcW w:w="1843" w:type="dxa"/>
            <w:shd w:val="clear" w:color="auto" w:fill="D9D9D9" w:themeFill="background1" w:themeFillShade="D9"/>
            <w:tcMar>
              <w:left w:w="28" w:type="dxa"/>
              <w:right w:w="28" w:type="dxa"/>
            </w:tcMar>
          </w:tcPr>
          <w:p w14:paraId="3C371EA8"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14 (7%)</w:t>
            </w:r>
          </w:p>
        </w:tc>
        <w:tc>
          <w:tcPr>
            <w:tcW w:w="1701" w:type="dxa"/>
            <w:shd w:val="clear" w:color="auto" w:fill="D9D9D9" w:themeFill="background1" w:themeFillShade="D9"/>
            <w:tcMar>
              <w:left w:w="28" w:type="dxa"/>
              <w:right w:w="28" w:type="dxa"/>
            </w:tcMar>
          </w:tcPr>
          <w:p w14:paraId="299FD8CB"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-1.7 </w:t>
            </w:r>
            <w:r w:rsidRPr="00E85F3C">
              <w:rPr>
                <w:rFonts w:eastAsia="MS Mincho" w:cs="Calibri"/>
                <w:i/>
              </w:rPr>
              <w:t>(0.3)</w:t>
            </w:r>
          </w:p>
        </w:tc>
      </w:tr>
      <w:tr w:rsidR="00E85F3C" w:rsidRPr="00E85F3C" w14:paraId="53441DB0" w14:textId="77777777" w:rsidTr="008C18C0">
        <w:tc>
          <w:tcPr>
            <w:tcW w:w="8931" w:type="dxa"/>
            <w:gridSpan w:val="6"/>
            <w:tcMar>
              <w:left w:w="28" w:type="dxa"/>
              <w:right w:w="28" w:type="dxa"/>
            </w:tcMar>
          </w:tcPr>
          <w:p w14:paraId="39F05044" w14:textId="77777777"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color w:val="000000"/>
              </w:rPr>
              <w:t>Secukinumab versus etanercept versus placebo</w:t>
            </w:r>
          </w:p>
        </w:tc>
      </w:tr>
      <w:tr w:rsidR="00E85F3C" w:rsidRPr="00E85F3C" w14:paraId="126A75F3" w14:textId="77777777" w:rsidTr="005F4471">
        <w:tc>
          <w:tcPr>
            <w:tcW w:w="1276" w:type="dxa"/>
            <w:vMerge w:val="restart"/>
            <w:shd w:val="clear" w:color="auto" w:fill="D9D9D9" w:themeFill="background1" w:themeFillShade="D9"/>
            <w:tcMar>
              <w:left w:w="28" w:type="dxa"/>
              <w:right w:w="28" w:type="dxa"/>
            </w:tcMar>
          </w:tcPr>
          <w:p w14:paraId="7733D2BC"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FIXTURE</w:t>
            </w:r>
          </w:p>
        </w:tc>
        <w:tc>
          <w:tcPr>
            <w:tcW w:w="1559" w:type="dxa"/>
            <w:vMerge w:val="restart"/>
            <w:shd w:val="clear" w:color="auto" w:fill="D9D9D9" w:themeFill="background1" w:themeFillShade="D9"/>
            <w:tcMar>
              <w:left w:w="28" w:type="dxa"/>
              <w:right w:w="28" w:type="dxa"/>
            </w:tcMar>
          </w:tcPr>
          <w:p w14:paraId="1A28626C"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 xml:space="preserve">12 weeks </w:t>
            </w:r>
          </w:p>
        </w:tc>
        <w:tc>
          <w:tcPr>
            <w:tcW w:w="1701" w:type="dxa"/>
            <w:shd w:val="clear" w:color="auto" w:fill="D9D9D9" w:themeFill="background1" w:themeFillShade="D9"/>
            <w:tcMar>
              <w:left w:w="28" w:type="dxa"/>
              <w:right w:w="28" w:type="dxa"/>
            </w:tcMar>
          </w:tcPr>
          <w:p w14:paraId="1A5480E9"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Secukinumab</w:t>
            </w:r>
            <w:r w:rsidRPr="00E85F3C">
              <w:rPr>
                <w:rFonts w:eastAsia="MS Mincho" w:cs="Calibri"/>
                <w:vertAlign w:val="superscript"/>
              </w:rPr>
              <w:t>4*</w:t>
            </w:r>
          </w:p>
        </w:tc>
        <w:tc>
          <w:tcPr>
            <w:tcW w:w="851" w:type="dxa"/>
            <w:shd w:val="clear" w:color="auto" w:fill="D9D9D9" w:themeFill="background1" w:themeFillShade="D9"/>
            <w:tcMar>
              <w:left w:w="28" w:type="dxa"/>
              <w:right w:w="28" w:type="dxa"/>
            </w:tcMar>
          </w:tcPr>
          <w:p w14:paraId="36E21C8C"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327</w:t>
            </w:r>
          </w:p>
        </w:tc>
        <w:tc>
          <w:tcPr>
            <w:tcW w:w="1843" w:type="dxa"/>
            <w:shd w:val="clear" w:color="auto" w:fill="D9D9D9" w:themeFill="background1" w:themeFillShade="D9"/>
            <w:tcMar>
              <w:left w:w="28" w:type="dxa"/>
              <w:right w:w="28" w:type="dxa"/>
            </w:tcMar>
          </w:tcPr>
          <w:p w14:paraId="1B6DFFA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77%</w:t>
            </w:r>
          </w:p>
        </w:tc>
        <w:tc>
          <w:tcPr>
            <w:tcW w:w="1701" w:type="dxa"/>
            <w:shd w:val="clear" w:color="auto" w:fill="D9D9D9" w:themeFill="background1" w:themeFillShade="D9"/>
            <w:tcMar>
              <w:left w:w="28" w:type="dxa"/>
              <w:right w:w="28" w:type="dxa"/>
            </w:tcMar>
          </w:tcPr>
          <w:p w14:paraId="65F56682"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-10.4</w:t>
            </w:r>
          </w:p>
        </w:tc>
      </w:tr>
      <w:tr w:rsidR="00E85F3C" w:rsidRPr="00E85F3C" w14:paraId="59A01DAA" w14:textId="77777777" w:rsidTr="005F4471">
        <w:tc>
          <w:tcPr>
            <w:tcW w:w="1276" w:type="dxa"/>
            <w:vMerge/>
            <w:shd w:val="clear" w:color="auto" w:fill="D9D9D9" w:themeFill="background1" w:themeFillShade="D9"/>
            <w:tcMar>
              <w:left w:w="28" w:type="dxa"/>
              <w:right w:w="28" w:type="dxa"/>
            </w:tcMar>
          </w:tcPr>
          <w:p w14:paraId="193BB443"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14:paraId="227F1EAC"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14:paraId="01C86609"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shd w:val="clear" w:color="auto" w:fill="D9D9D9" w:themeFill="background1" w:themeFillShade="D9"/>
            <w:tcMar>
              <w:left w:w="28" w:type="dxa"/>
              <w:right w:w="28" w:type="dxa"/>
            </w:tcMar>
          </w:tcPr>
          <w:p w14:paraId="7FFF078F"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326</w:t>
            </w:r>
          </w:p>
        </w:tc>
        <w:tc>
          <w:tcPr>
            <w:tcW w:w="1843" w:type="dxa"/>
            <w:shd w:val="clear" w:color="auto" w:fill="D9D9D9" w:themeFill="background1" w:themeFillShade="D9"/>
            <w:tcMar>
              <w:left w:w="28" w:type="dxa"/>
              <w:right w:w="28" w:type="dxa"/>
            </w:tcMar>
          </w:tcPr>
          <w:p w14:paraId="75D2042A"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44%</w:t>
            </w:r>
          </w:p>
        </w:tc>
        <w:tc>
          <w:tcPr>
            <w:tcW w:w="1701" w:type="dxa"/>
            <w:shd w:val="clear" w:color="auto" w:fill="D9D9D9" w:themeFill="background1" w:themeFillShade="D9"/>
            <w:tcMar>
              <w:left w:w="28" w:type="dxa"/>
              <w:right w:w="28" w:type="dxa"/>
            </w:tcMar>
          </w:tcPr>
          <w:p w14:paraId="14F6C2E9"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-7.9</w:t>
            </w:r>
          </w:p>
        </w:tc>
      </w:tr>
      <w:tr w:rsidR="00E85F3C" w:rsidRPr="00E85F3C" w14:paraId="37B96069" w14:textId="77777777" w:rsidTr="005F4471">
        <w:tc>
          <w:tcPr>
            <w:tcW w:w="1276" w:type="dxa"/>
            <w:vMerge/>
            <w:shd w:val="clear" w:color="auto" w:fill="D9D9D9" w:themeFill="background1" w:themeFillShade="D9"/>
            <w:tcMar>
              <w:left w:w="28" w:type="dxa"/>
              <w:right w:w="28" w:type="dxa"/>
            </w:tcMar>
          </w:tcPr>
          <w:p w14:paraId="6E9EE55C"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14:paraId="60D1FC1F"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14:paraId="72C21B48"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Placebo</w:t>
            </w:r>
          </w:p>
        </w:tc>
        <w:tc>
          <w:tcPr>
            <w:tcW w:w="851" w:type="dxa"/>
            <w:shd w:val="clear" w:color="auto" w:fill="D9D9D9" w:themeFill="background1" w:themeFillShade="D9"/>
            <w:tcMar>
              <w:left w:w="28" w:type="dxa"/>
              <w:right w:w="28" w:type="dxa"/>
            </w:tcMar>
          </w:tcPr>
          <w:p w14:paraId="1B9D9A2F"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326</w:t>
            </w:r>
          </w:p>
        </w:tc>
        <w:tc>
          <w:tcPr>
            <w:tcW w:w="1843" w:type="dxa"/>
            <w:shd w:val="clear" w:color="auto" w:fill="D9D9D9" w:themeFill="background1" w:themeFillShade="D9"/>
            <w:tcMar>
              <w:left w:w="28" w:type="dxa"/>
              <w:right w:w="28" w:type="dxa"/>
            </w:tcMar>
          </w:tcPr>
          <w:p w14:paraId="0830CED3"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5%</w:t>
            </w:r>
          </w:p>
        </w:tc>
        <w:tc>
          <w:tcPr>
            <w:tcW w:w="1701" w:type="dxa"/>
            <w:shd w:val="clear" w:color="auto" w:fill="D9D9D9" w:themeFill="background1" w:themeFillShade="D9"/>
            <w:tcMar>
              <w:left w:w="28" w:type="dxa"/>
              <w:right w:w="28" w:type="dxa"/>
            </w:tcMar>
          </w:tcPr>
          <w:p w14:paraId="537B2EA5"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-1.9</w:t>
            </w:r>
          </w:p>
        </w:tc>
      </w:tr>
      <w:tr w:rsidR="00E85F3C" w:rsidRPr="00E85F3C" w14:paraId="6D110DE2" w14:textId="77777777" w:rsidTr="008C18C0">
        <w:tblPrEx>
          <w:tblBorders>
            <w:bottom w:val="none" w:sz="0" w:space="0" w:color="auto"/>
          </w:tblBorders>
          <w:shd w:val="clear" w:color="auto" w:fill="FFFFFF" w:themeFill="background1"/>
        </w:tblPrEx>
        <w:tc>
          <w:tcPr>
            <w:tcW w:w="8931" w:type="dxa"/>
            <w:gridSpan w:val="6"/>
            <w:shd w:val="clear" w:color="auto" w:fill="FFFFFF" w:themeFill="background1"/>
            <w:tcMar>
              <w:left w:w="28" w:type="dxa"/>
              <w:right w:w="28" w:type="dxa"/>
            </w:tcMar>
          </w:tcPr>
          <w:p w14:paraId="5DB46845" w14:textId="77777777"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color w:val="000000"/>
              </w:rPr>
              <w:t>Ustekinumab versus etanercept</w:t>
            </w:r>
          </w:p>
        </w:tc>
      </w:tr>
      <w:tr w:rsidR="00E85F3C" w:rsidRPr="00E85F3C" w14:paraId="4F15D8B8" w14:textId="77777777" w:rsidTr="005F4471">
        <w:tc>
          <w:tcPr>
            <w:tcW w:w="1276" w:type="dxa"/>
            <w:vMerge w:val="restart"/>
            <w:shd w:val="clear" w:color="auto" w:fill="D9D9D9" w:themeFill="background1" w:themeFillShade="D9"/>
            <w:tcMar>
              <w:left w:w="28" w:type="dxa"/>
              <w:right w:w="28" w:type="dxa"/>
            </w:tcMar>
          </w:tcPr>
          <w:p w14:paraId="424E89BE"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noProof/>
                <w:lang w:val="en-US"/>
              </w:rPr>
              <w:t>ACCEPT</w:t>
            </w:r>
          </w:p>
        </w:tc>
        <w:tc>
          <w:tcPr>
            <w:tcW w:w="1559" w:type="dxa"/>
            <w:vMerge w:val="restart"/>
            <w:shd w:val="clear" w:color="auto" w:fill="D9D9D9" w:themeFill="background1" w:themeFillShade="D9"/>
            <w:tcMar>
              <w:left w:w="28" w:type="dxa"/>
              <w:right w:w="28" w:type="dxa"/>
            </w:tcMar>
          </w:tcPr>
          <w:p w14:paraId="5A071490"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12 weeks</w:t>
            </w:r>
          </w:p>
        </w:tc>
        <w:tc>
          <w:tcPr>
            <w:tcW w:w="1701" w:type="dxa"/>
            <w:shd w:val="clear" w:color="auto" w:fill="D9D9D9" w:themeFill="background1" w:themeFillShade="D9"/>
            <w:tcMar>
              <w:left w:w="28" w:type="dxa"/>
              <w:right w:w="28" w:type="dxa"/>
            </w:tcMar>
          </w:tcPr>
          <w:p w14:paraId="5CACD0A5"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Ustekinumab</w:t>
            </w:r>
            <w:r w:rsidRPr="00E85F3C">
              <w:rPr>
                <w:rFonts w:eastAsia="MS Mincho" w:cs="Calibri"/>
                <w:vertAlign w:val="superscript"/>
              </w:rPr>
              <w:t>5*</w:t>
            </w:r>
          </w:p>
        </w:tc>
        <w:tc>
          <w:tcPr>
            <w:tcW w:w="851" w:type="dxa"/>
            <w:shd w:val="clear" w:color="auto" w:fill="D9D9D9" w:themeFill="background1" w:themeFillShade="D9"/>
            <w:tcMar>
              <w:left w:w="28" w:type="dxa"/>
              <w:right w:w="28" w:type="dxa"/>
            </w:tcMar>
          </w:tcPr>
          <w:p w14:paraId="6CCD3F34"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209</w:t>
            </w:r>
          </w:p>
        </w:tc>
        <w:tc>
          <w:tcPr>
            <w:tcW w:w="1843" w:type="dxa"/>
            <w:shd w:val="clear" w:color="auto" w:fill="D9D9D9" w:themeFill="background1" w:themeFillShade="D9"/>
            <w:tcMar>
              <w:left w:w="28" w:type="dxa"/>
              <w:right w:w="28" w:type="dxa"/>
            </w:tcMar>
          </w:tcPr>
          <w:p w14:paraId="18FE91FF"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141 (68%)</w:t>
            </w:r>
          </w:p>
        </w:tc>
        <w:tc>
          <w:tcPr>
            <w:tcW w:w="1701" w:type="dxa"/>
            <w:shd w:val="clear" w:color="auto" w:fill="D9D9D9" w:themeFill="background1" w:themeFillShade="D9"/>
            <w:tcMar>
              <w:left w:w="28" w:type="dxa"/>
              <w:right w:w="28" w:type="dxa"/>
            </w:tcMar>
          </w:tcPr>
          <w:p w14:paraId="7933B0E2"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14:paraId="6E109092" w14:textId="77777777" w:rsidTr="005F4471">
        <w:tc>
          <w:tcPr>
            <w:tcW w:w="1276" w:type="dxa"/>
            <w:vMerge/>
            <w:shd w:val="clear" w:color="auto" w:fill="D9D9D9" w:themeFill="background1" w:themeFillShade="D9"/>
            <w:tcMar>
              <w:left w:w="28" w:type="dxa"/>
              <w:right w:w="28" w:type="dxa"/>
            </w:tcMar>
          </w:tcPr>
          <w:p w14:paraId="1427E62F"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14:paraId="59B65CA9"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14:paraId="440D931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Ustekinumab</w:t>
            </w:r>
            <w:r w:rsidR="00C56FC2">
              <w:rPr>
                <w:rFonts w:eastAsia="MS Mincho" w:cs="Calibri"/>
                <w:vertAlign w:val="superscript"/>
              </w:rPr>
              <w:t>6</w:t>
            </w:r>
          </w:p>
        </w:tc>
        <w:tc>
          <w:tcPr>
            <w:tcW w:w="851" w:type="dxa"/>
            <w:shd w:val="clear" w:color="auto" w:fill="D9D9D9" w:themeFill="background1" w:themeFillShade="D9"/>
            <w:tcMar>
              <w:left w:w="28" w:type="dxa"/>
              <w:right w:w="28" w:type="dxa"/>
            </w:tcMar>
          </w:tcPr>
          <w:p w14:paraId="57D0AF13"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347</w:t>
            </w:r>
          </w:p>
        </w:tc>
        <w:tc>
          <w:tcPr>
            <w:tcW w:w="1843" w:type="dxa"/>
            <w:shd w:val="clear" w:color="auto" w:fill="D9D9D9" w:themeFill="background1" w:themeFillShade="D9"/>
            <w:tcMar>
              <w:left w:w="28" w:type="dxa"/>
              <w:right w:w="28" w:type="dxa"/>
            </w:tcMar>
          </w:tcPr>
          <w:p w14:paraId="7BD93DF2"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256 (74%)</w:t>
            </w:r>
          </w:p>
        </w:tc>
        <w:tc>
          <w:tcPr>
            <w:tcW w:w="1701" w:type="dxa"/>
            <w:shd w:val="clear" w:color="auto" w:fill="D9D9D9" w:themeFill="background1" w:themeFillShade="D9"/>
            <w:tcMar>
              <w:left w:w="28" w:type="dxa"/>
              <w:right w:w="28" w:type="dxa"/>
            </w:tcMar>
          </w:tcPr>
          <w:p w14:paraId="582A6925"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14:paraId="59E900BD" w14:textId="77777777" w:rsidTr="005F4471">
        <w:tc>
          <w:tcPr>
            <w:tcW w:w="1276" w:type="dxa"/>
            <w:vMerge/>
            <w:shd w:val="clear" w:color="auto" w:fill="D9D9D9" w:themeFill="background1" w:themeFillShade="D9"/>
            <w:tcMar>
              <w:left w:w="28" w:type="dxa"/>
              <w:right w:w="28" w:type="dxa"/>
            </w:tcMar>
          </w:tcPr>
          <w:p w14:paraId="0C8732F8"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shd w:val="clear" w:color="auto" w:fill="D9D9D9" w:themeFill="background1" w:themeFillShade="D9"/>
            <w:tcMar>
              <w:left w:w="28" w:type="dxa"/>
              <w:right w:w="28" w:type="dxa"/>
            </w:tcMar>
          </w:tcPr>
          <w:p w14:paraId="39BB065F"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shd w:val="clear" w:color="auto" w:fill="D9D9D9" w:themeFill="background1" w:themeFillShade="D9"/>
            <w:tcMar>
              <w:left w:w="28" w:type="dxa"/>
              <w:right w:w="28" w:type="dxa"/>
            </w:tcMar>
          </w:tcPr>
          <w:p w14:paraId="56F03FC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Etanercept</w:t>
            </w:r>
            <w:r w:rsidRPr="00E85F3C">
              <w:rPr>
                <w:rFonts w:eastAsia="MS Mincho" w:cs="Calibri"/>
                <w:vertAlign w:val="superscript"/>
              </w:rPr>
              <w:t>2</w:t>
            </w:r>
          </w:p>
        </w:tc>
        <w:tc>
          <w:tcPr>
            <w:tcW w:w="851" w:type="dxa"/>
            <w:shd w:val="clear" w:color="auto" w:fill="D9D9D9" w:themeFill="background1" w:themeFillShade="D9"/>
            <w:tcMar>
              <w:left w:w="28" w:type="dxa"/>
              <w:right w:w="28" w:type="dxa"/>
            </w:tcMar>
          </w:tcPr>
          <w:p w14:paraId="59CBAA41"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347</w:t>
            </w:r>
          </w:p>
        </w:tc>
        <w:tc>
          <w:tcPr>
            <w:tcW w:w="1843" w:type="dxa"/>
            <w:shd w:val="clear" w:color="auto" w:fill="D9D9D9" w:themeFill="background1" w:themeFillShade="D9"/>
            <w:tcMar>
              <w:left w:w="28" w:type="dxa"/>
              <w:right w:w="28" w:type="dxa"/>
            </w:tcMar>
          </w:tcPr>
          <w:p w14:paraId="754F6E34"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197 (57%)</w:t>
            </w:r>
          </w:p>
        </w:tc>
        <w:tc>
          <w:tcPr>
            <w:tcW w:w="1701" w:type="dxa"/>
            <w:shd w:val="clear" w:color="auto" w:fill="D9D9D9" w:themeFill="background1" w:themeFillShade="D9"/>
            <w:tcMar>
              <w:left w:w="28" w:type="dxa"/>
              <w:right w:w="28" w:type="dxa"/>
            </w:tcMar>
          </w:tcPr>
          <w:p w14:paraId="0343C4FE"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14:paraId="35E98C82" w14:textId="77777777" w:rsidTr="008C18C0">
        <w:tc>
          <w:tcPr>
            <w:tcW w:w="8931" w:type="dxa"/>
            <w:gridSpan w:val="6"/>
            <w:tcMar>
              <w:left w:w="28" w:type="dxa"/>
              <w:right w:w="28" w:type="dxa"/>
            </w:tcMar>
          </w:tcPr>
          <w:p w14:paraId="5ACE42E7" w14:textId="77777777" w:rsidR="00E85F3C" w:rsidRPr="00E85F3C" w:rsidRDefault="00E85F3C" w:rsidP="00EE5041">
            <w:pPr>
              <w:keepNext/>
              <w:keepLines/>
              <w:autoSpaceDE w:val="0"/>
              <w:autoSpaceDN w:val="0"/>
              <w:adjustRightInd w:val="0"/>
              <w:spacing w:before="60" w:after="60"/>
              <w:rPr>
                <w:rFonts w:eastAsia="MS Mincho" w:cs="Calibri"/>
                <w:b/>
              </w:rPr>
            </w:pPr>
            <w:r w:rsidRPr="00E85F3C">
              <w:rPr>
                <w:rFonts w:eastAsia="MS Mincho" w:cs="Calibri"/>
                <w:b/>
              </w:rPr>
              <w:t>Secukinumab versus ustekinumab</w:t>
            </w:r>
          </w:p>
        </w:tc>
      </w:tr>
      <w:tr w:rsidR="00E85F3C" w:rsidRPr="00E85F3C" w14:paraId="7359D611" w14:textId="77777777" w:rsidTr="008C18C0">
        <w:tc>
          <w:tcPr>
            <w:tcW w:w="1276" w:type="dxa"/>
            <w:vMerge w:val="restart"/>
            <w:tcMar>
              <w:left w:w="28" w:type="dxa"/>
              <w:right w:w="28" w:type="dxa"/>
            </w:tcMar>
          </w:tcPr>
          <w:p w14:paraId="5BC022FA"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CLEAR</w:t>
            </w:r>
          </w:p>
        </w:tc>
        <w:tc>
          <w:tcPr>
            <w:tcW w:w="1559" w:type="dxa"/>
            <w:vMerge w:val="restart"/>
            <w:tcMar>
              <w:left w:w="28" w:type="dxa"/>
              <w:right w:w="28" w:type="dxa"/>
            </w:tcMar>
          </w:tcPr>
          <w:p w14:paraId="750AC328"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16 weeks</w:t>
            </w:r>
          </w:p>
        </w:tc>
        <w:tc>
          <w:tcPr>
            <w:tcW w:w="1701" w:type="dxa"/>
            <w:tcMar>
              <w:left w:w="28" w:type="dxa"/>
              <w:right w:w="28" w:type="dxa"/>
            </w:tcMar>
          </w:tcPr>
          <w:p w14:paraId="38EDDCC7"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Secukinumab</w:t>
            </w:r>
            <w:r w:rsidRPr="00E85F3C">
              <w:rPr>
                <w:rFonts w:eastAsia="MS Mincho" w:cs="Calibri"/>
                <w:vertAlign w:val="superscript"/>
              </w:rPr>
              <w:t>4*</w:t>
            </w:r>
          </w:p>
        </w:tc>
        <w:tc>
          <w:tcPr>
            <w:tcW w:w="851" w:type="dxa"/>
            <w:tcMar>
              <w:left w:w="28" w:type="dxa"/>
              <w:right w:w="28" w:type="dxa"/>
            </w:tcMar>
          </w:tcPr>
          <w:p w14:paraId="183B92E4"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334</w:t>
            </w:r>
          </w:p>
        </w:tc>
        <w:tc>
          <w:tcPr>
            <w:tcW w:w="1843" w:type="dxa"/>
            <w:tcMar>
              <w:left w:w="28" w:type="dxa"/>
              <w:right w:w="28" w:type="dxa"/>
            </w:tcMar>
          </w:tcPr>
          <w:p w14:paraId="407EEB14"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311 (93%)</w:t>
            </w:r>
          </w:p>
        </w:tc>
        <w:tc>
          <w:tcPr>
            <w:tcW w:w="1701" w:type="dxa"/>
            <w:tcMar>
              <w:left w:w="28" w:type="dxa"/>
              <w:right w:w="28" w:type="dxa"/>
            </w:tcMar>
          </w:tcPr>
          <w:p w14:paraId="600D2539"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r w:rsidR="00E85F3C" w:rsidRPr="00E85F3C" w14:paraId="7F4F4D25" w14:textId="77777777" w:rsidTr="008C18C0">
        <w:tc>
          <w:tcPr>
            <w:tcW w:w="1276" w:type="dxa"/>
            <w:vMerge/>
            <w:tcMar>
              <w:left w:w="28" w:type="dxa"/>
              <w:right w:w="28" w:type="dxa"/>
            </w:tcMar>
          </w:tcPr>
          <w:p w14:paraId="58764CA0"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559" w:type="dxa"/>
            <w:vMerge/>
            <w:tcMar>
              <w:left w:w="28" w:type="dxa"/>
              <w:right w:w="28" w:type="dxa"/>
            </w:tcMar>
          </w:tcPr>
          <w:p w14:paraId="4D66791B" w14:textId="77777777" w:rsidR="00E85F3C" w:rsidRPr="00E85F3C" w:rsidRDefault="00E85F3C" w:rsidP="00EE5041">
            <w:pPr>
              <w:keepNext/>
              <w:keepLines/>
              <w:autoSpaceDE w:val="0"/>
              <w:autoSpaceDN w:val="0"/>
              <w:adjustRightInd w:val="0"/>
              <w:spacing w:before="60" w:after="60"/>
              <w:rPr>
                <w:rFonts w:eastAsia="MS Mincho" w:cs="Calibri"/>
              </w:rPr>
            </w:pPr>
          </w:p>
        </w:tc>
        <w:tc>
          <w:tcPr>
            <w:tcW w:w="1701" w:type="dxa"/>
            <w:tcMar>
              <w:left w:w="28" w:type="dxa"/>
              <w:right w:w="28" w:type="dxa"/>
            </w:tcMar>
          </w:tcPr>
          <w:p w14:paraId="6F40D89F"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Ustekinumab</w:t>
            </w:r>
            <w:r w:rsidRPr="00E85F3C">
              <w:rPr>
                <w:rFonts w:eastAsia="MS Mincho" w:cs="Calibri"/>
                <w:vertAlign w:val="superscript"/>
              </w:rPr>
              <w:t>7*</w:t>
            </w:r>
          </w:p>
        </w:tc>
        <w:tc>
          <w:tcPr>
            <w:tcW w:w="851" w:type="dxa"/>
            <w:tcMar>
              <w:left w:w="28" w:type="dxa"/>
              <w:right w:w="28" w:type="dxa"/>
            </w:tcMar>
          </w:tcPr>
          <w:p w14:paraId="25C34778"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color w:val="000000"/>
              </w:rPr>
              <w:t>335</w:t>
            </w:r>
          </w:p>
        </w:tc>
        <w:tc>
          <w:tcPr>
            <w:tcW w:w="1843" w:type="dxa"/>
            <w:tcMar>
              <w:left w:w="28" w:type="dxa"/>
              <w:right w:w="28" w:type="dxa"/>
            </w:tcMar>
          </w:tcPr>
          <w:p w14:paraId="4F999C3C"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277 (83%)</w:t>
            </w:r>
          </w:p>
        </w:tc>
        <w:tc>
          <w:tcPr>
            <w:tcW w:w="1701" w:type="dxa"/>
            <w:tcMar>
              <w:left w:w="28" w:type="dxa"/>
              <w:right w:w="28" w:type="dxa"/>
            </w:tcMar>
          </w:tcPr>
          <w:p w14:paraId="530B9B3D" w14:textId="77777777" w:rsidR="00E85F3C" w:rsidRPr="00E85F3C" w:rsidRDefault="00E85F3C" w:rsidP="00EE5041">
            <w:pPr>
              <w:keepNext/>
              <w:keepLines/>
              <w:autoSpaceDE w:val="0"/>
              <w:autoSpaceDN w:val="0"/>
              <w:adjustRightInd w:val="0"/>
              <w:spacing w:before="60" w:after="60"/>
              <w:rPr>
                <w:rFonts w:eastAsia="MS Mincho" w:cs="Calibri"/>
              </w:rPr>
            </w:pPr>
            <w:r w:rsidRPr="00E85F3C">
              <w:rPr>
                <w:rFonts w:eastAsia="MS Mincho" w:cs="Calibri"/>
              </w:rPr>
              <w:t>NR</w:t>
            </w:r>
          </w:p>
        </w:tc>
      </w:tr>
    </w:tbl>
    <w:p w14:paraId="204F8A6A" w14:textId="77777777" w:rsidR="00E85F3C" w:rsidRPr="00E85F3C" w:rsidRDefault="00E85F3C" w:rsidP="00EE5041">
      <w:pPr>
        <w:keepNext/>
        <w:keepLines/>
        <w:contextualSpacing/>
        <w:rPr>
          <w:rFonts w:eastAsia="Calibri"/>
          <w:i/>
          <w:sz w:val="20"/>
          <w:szCs w:val="20"/>
        </w:rPr>
      </w:pPr>
      <w:r w:rsidRPr="00E85F3C">
        <w:rPr>
          <w:rFonts w:eastAsia="Calibri"/>
          <w:sz w:val="20"/>
          <w:szCs w:val="20"/>
        </w:rPr>
        <w:t xml:space="preserve">DLQI = Dermatology Life Quality Index; IV = intravenous; NR = not reported; PASI 75 = reduction in Psoriasis Area and Severity Index score of 75%; PBS = Pharmaceutical Benefits Scheme; PI = Product Information; SC = subcutaneous; SE = standard error; </w:t>
      </w:r>
      <w:r w:rsidRPr="00E85F3C">
        <w:rPr>
          <w:rFonts w:eastAsia="Calibri"/>
          <w:i/>
          <w:sz w:val="20"/>
          <w:szCs w:val="20"/>
        </w:rPr>
        <w:t xml:space="preserve">Italics = (SE); </w:t>
      </w:r>
      <w:r w:rsidRPr="00E85F3C">
        <w:rPr>
          <w:sz w:val="20"/>
          <w:szCs w:val="20"/>
          <w:highlight w:val="lightGray"/>
        </w:rPr>
        <w:t>Shaded</w:t>
      </w:r>
      <w:r w:rsidRPr="00E85F3C">
        <w:rPr>
          <w:sz w:val="20"/>
          <w:szCs w:val="20"/>
        </w:rPr>
        <w:t xml:space="preserve"> = previously considered by the PBAC</w:t>
      </w:r>
    </w:p>
    <w:p w14:paraId="267DD5A8" w14:textId="77777777" w:rsidR="00E85F3C" w:rsidRPr="00E85F3C" w:rsidRDefault="00E85F3C" w:rsidP="00EE5041">
      <w:pPr>
        <w:keepNext/>
        <w:keepLines/>
        <w:contextualSpacing/>
        <w:rPr>
          <w:rFonts w:eastAsia="Calibri" w:cs="Times New Roman"/>
          <w:sz w:val="20"/>
          <w:szCs w:val="20"/>
        </w:rPr>
      </w:pPr>
      <w:r w:rsidRPr="00E85F3C">
        <w:rPr>
          <w:rFonts w:eastAsia="Calibri" w:cs="Times New Roman"/>
          <w:sz w:val="20"/>
          <w:szCs w:val="20"/>
          <w:vertAlign w:val="superscript"/>
        </w:rPr>
        <w:t>1*</w:t>
      </w:r>
      <w:r w:rsidRPr="00E85F3C">
        <w:rPr>
          <w:rFonts w:eastAsia="Calibri" w:cs="Times New Roman"/>
          <w:sz w:val="20"/>
          <w:szCs w:val="20"/>
        </w:rPr>
        <w:t xml:space="preserve"> Infliximab 5 mg/kg IV at Weeks 0, 2, 6; then every 8 weeks (PI recommended dose)</w:t>
      </w:r>
    </w:p>
    <w:p w14:paraId="447A5D01" w14:textId="77777777"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2</w:t>
      </w:r>
      <w:r w:rsidRPr="00E85F3C">
        <w:rPr>
          <w:rFonts w:eastAsia="Calibri"/>
          <w:sz w:val="20"/>
          <w:szCs w:val="20"/>
        </w:rPr>
        <w:t xml:space="preserve"> Etanercept 50 mg SC twice weekly  </w:t>
      </w:r>
    </w:p>
    <w:p w14:paraId="254EDA70" w14:textId="77777777"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3*</w:t>
      </w:r>
      <w:r w:rsidRPr="00E85F3C">
        <w:rPr>
          <w:rFonts w:eastAsia="Calibri"/>
          <w:sz w:val="20"/>
          <w:szCs w:val="20"/>
        </w:rPr>
        <w:t xml:space="preserve"> Ixekizumab 160 mg SC at Week 0; 80 mg at Weeks 2, 4, 6, 8, 10 (PI recommended dose)</w:t>
      </w:r>
    </w:p>
    <w:p w14:paraId="5D1EC3D1" w14:textId="77777777"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4*</w:t>
      </w:r>
      <w:r w:rsidRPr="00E85F3C">
        <w:rPr>
          <w:rFonts w:eastAsia="Calibri"/>
          <w:sz w:val="20"/>
          <w:szCs w:val="20"/>
        </w:rPr>
        <w:t xml:space="preserve"> Secukinumab 300 mg SC at Weeks 0, 1 2, 3, 4; then every 4 weeks (PI recommended dose)</w:t>
      </w:r>
    </w:p>
    <w:p w14:paraId="004B0D8F" w14:textId="77777777"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5*</w:t>
      </w:r>
      <w:r w:rsidRPr="00E85F3C">
        <w:rPr>
          <w:rFonts w:eastAsia="Calibri"/>
          <w:sz w:val="20"/>
          <w:szCs w:val="20"/>
        </w:rPr>
        <w:t xml:space="preserve"> Ustekinumab 45 mg SC at Weeks 0, 4; then every 12 weeks (PI recommended dose)</w:t>
      </w:r>
    </w:p>
    <w:p w14:paraId="5A53D840" w14:textId="77777777"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6</w:t>
      </w:r>
      <w:r w:rsidRPr="00E85F3C">
        <w:rPr>
          <w:rFonts w:eastAsia="Calibri"/>
          <w:sz w:val="20"/>
          <w:szCs w:val="20"/>
        </w:rPr>
        <w:t xml:space="preserve"> Ustekinumab 90 mg SC at Weeks 0, 4; then every 12 weeks</w:t>
      </w:r>
    </w:p>
    <w:p w14:paraId="5D9BFD05" w14:textId="77777777" w:rsidR="00E85F3C" w:rsidRPr="00E85F3C" w:rsidRDefault="00E85F3C" w:rsidP="00EE5041">
      <w:pPr>
        <w:keepNext/>
        <w:keepLines/>
        <w:contextualSpacing/>
        <w:rPr>
          <w:rFonts w:eastAsia="Calibri"/>
          <w:sz w:val="20"/>
          <w:szCs w:val="20"/>
        </w:rPr>
      </w:pPr>
      <w:r w:rsidRPr="00E85F3C">
        <w:rPr>
          <w:rFonts w:eastAsia="Calibri"/>
          <w:sz w:val="20"/>
          <w:szCs w:val="20"/>
          <w:vertAlign w:val="superscript"/>
        </w:rPr>
        <w:t>7*</w:t>
      </w:r>
      <w:r w:rsidRPr="00E85F3C">
        <w:rPr>
          <w:rFonts w:eastAsia="Calibri"/>
          <w:sz w:val="20"/>
          <w:szCs w:val="20"/>
        </w:rPr>
        <w:t xml:space="preserve"> Ustekinumab 45 mg SC for patients ≤ 100 kg and 90 mg for patients &gt; 100 kg at Weeks 0, 4; then every 12 weeks (PI recommended dose)</w:t>
      </w:r>
    </w:p>
    <w:p w14:paraId="44469503" w14:textId="77777777" w:rsidR="00906554" w:rsidRDefault="00906554" w:rsidP="005F4471">
      <w:pPr>
        <w:pStyle w:val="MDsubHead3"/>
      </w:pPr>
      <w:r>
        <w:t>Indirect Comparison</w:t>
      </w:r>
    </w:p>
    <w:p w14:paraId="62CF7904" w14:textId="02850CC5" w:rsidR="002A6B78" w:rsidRDefault="006C7EC2" w:rsidP="00A77877">
      <w:r w:rsidRPr="006C7EC2">
        <w:t xml:space="preserve">A </w:t>
      </w:r>
      <w:r w:rsidR="001A3CAE">
        <w:t xml:space="preserve">network </w:t>
      </w:r>
      <w:r w:rsidRPr="006C7EC2">
        <w:t xml:space="preserve">meta-analysis was conducted to analyse the comparative effectiveness of the PBS-listed biologics in the treatment of CPP. Efficacy was assessed by comparing the proportion of patients achieving a PASI 75 improvement at 12 weeks. </w:t>
      </w:r>
      <w:r w:rsidR="001A3CAE">
        <w:t>Of the 6</w:t>
      </w:r>
      <w:r w:rsidR="00F75B24">
        <w:t>6</w:t>
      </w:r>
      <w:r w:rsidR="001A3CAE">
        <w:t xml:space="preserve"> trials above</w:t>
      </w:r>
      <w:r w:rsidR="00DE1AC8">
        <w:t>,</w:t>
      </w:r>
      <w:r w:rsidR="001A3CAE">
        <w:t xml:space="preserve"> 35</w:t>
      </w:r>
      <w:r w:rsidRPr="006C7EC2">
        <w:t xml:space="preserve"> </w:t>
      </w:r>
      <w:r w:rsidR="008B2137">
        <w:t>randomised control</w:t>
      </w:r>
      <w:r w:rsidR="00DE1AC8">
        <w:t>led</w:t>
      </w:r>
      <w:r w:rsidR="008B2137">
        <w:t xml:space="preserve"> trials were</w:t>
      </w:r>
      <w:r w:rsidRPr="006C7EC2">
        <w:t xml:space="preserve"> identified for inclusion in the analysis </w:t>
      </w:r>
      <w:r w:rsidR="001A3CAE">
        <w:t xml:space="preserve">of PASI 75 improvement at 12 weeks </w:t>
      </w:r>
      <w:r w:rsidRPr="006C7EC2">
        <w:t>(N = 22,422).</w:t>
      </w:r>
      <w:r w:rsidR="008B2137">
        <w:t xml:space="preserve"> The majority (31</w:t>
      </w:r>
      <w:r w:rsidR="00075189">
        <w:t xml:space="preserve"> of the 35</w:t>
      </w:r>
      <w:r w:rsidR="008B2137">
        <w:t>) of trials were placebo</w:t>
      </w:r>
      <w:r w:rsidR="00DE1AC8">
        <w:t>-</w:t>
      </w:r>
      <w:r w:rsidR="008B2137">
        <w:lastRenderedPageBreak/>
        <w:t>controlled trials</w:t>
      </w:r>
      <w:r w:rsidR="00DE1AC8">
        <w:t>,</w:t>
      </w:r>
      <w:r w:rsidR="008B2137">
        <w:t xml:space="preserve"> with only seven trials including comparison tre</w:t>
      </w:r>
      <w:r w:rsidR="00F75B24">
        <w:t>atment arms other than placebo</w:t>
      </w:r>
      <w:r w:rsidR="00075189">
        <w:t xml:space="preserve">. </w:t>
      </w:r>
      <w:r w:rsidR="00594BE2">
        <w:t>Figure ES.</w:t>
      </w:r>
      <w:r w:rsidR="00594BE2">
        <w:rPr>
          <w:noProof/>
        </w:rPr>
        <w:t>2</w:t>
      </w:r>
      <w:r w:rsidR="00075189">
        <w:t xml:space="preserve"> demonstrates the results of the network meta-analysis of each biologic compared to placebo</w:t>
      </w:r>
      <w:r w:rsidR="008B2137">
        <w:t xml:space="preserve">. </w:t>
      </w:r>
    </w:p>
    <w:p w14:paraId="4C6281FE" w14:textId="77777777" w:rsidR="008B2137" w:rsidRDefault="008B2137" w:rsidP="00A77877">
      <w:r>
        <w:rPr>
          <w:noProof/>
        </w:rPr>
        <w:drawing>
          <wp:inline distT="0" distB="0" distL="0" distR="0" wp14:anchorId="36C4E4BA" wp14:editId="3A877B94">
            <wp:extent cx="5633416" cy="2124075"/>
            <wp:effectExtent l="0" t="0" r="5715" b="0"/>
            <wp:docPr id="3" name="Picture 3" descr=" Forest plot of the OR (95% CI) for the proportion of patients achieving a PASI 75 response at 12 weeks – PBS-listed biologic versus placebo. Network diagram of dichotomous variable." title="Figure 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2926186\AppData\Local\Microsoft\Windows\INetCache\Content.Word\Odds Ratio PASI 75 PBO.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641877" cy="2127265"/>
                    </a:xfrm>
                    <a:prstGeom prst="rect">
                      <a:avLst/>
                    </a:prstGeom>
                    <a:noFill/>
                    <a:ln>
                      <a:noFill/>
                    </a:ln>
                    <a:extLst>
                      <a:ext uri="{53640926-AAD7-44D8-BBD7-CCE9431645EC}">
                        <a14:shadowObscured xmlns:a14="http://schemas.microsoft.com/office/drawing/2010/main"/>
                      </a:ext>
                    </a:extLst>
                  </pic:spPr>
                </pic:pic>
              </a:graphicData>
            </a:graphic>
          </wp:inline>
        </w:drawing>
      </w:r>
    </w:p>
    <w:p w14:paraId="7A21CA8E" w14:textId="77777777" w:rsidR="008B2137" w:rsidRDefault="00A75F73" w:rsidP="003B7D87">
      <w:pPr>
        <w:pStyle w:val="MDFiguretitle"/>
      </w:pPr>
      <w:bookmarkStart w:id="62" w:name="_Ref497300824"/>
      <w:bookmarkStart w:id="63" w:name="_Toc503275016"/>
      <w:bookmarkStart w:id="64" w:name="_Toc499902346"/>
      <w:r>
        <w:t>Figure ES.</w:t>
      </w:r>
      <w:r w:rsidR="00594BE2">
        <w:rPr>
          <w:noProof/>
        </w:rPr>
        <w:t>2</w:t>
      </w:r>
      <w:bookmarkEnd w:id="62"/>
      <w:r w:rsidR="008B2137">
        <w:t xml:space="preserve">: </w:t>
      </w:r>
      <w:r w:rsidR="008B2137" w:rsidRPr="00FD63D7">
        <w:t xml:space="preserve">Forest plot of the OR (95% CI) for the proportion of patients achieving a PASI 75 response at 12 weeks – PBS-listed biologic versus </w:t>
      </w:r>
      <w:r w:rsidR="008B2137">
        <w:t>placebo</w:t>
      </w:r>
      <w:r w:rsidR="008B2137" w:rsidRPr="00FD63D7">
        <w:t>.</w:t>
      </w:r>
      <w:bookmarkEnd w:id="63"/>
      <w:r w:rsidR="008B2137" w:rsidRPr="00FD63D7">
        <w:t xml:space="preserve"> </w:t>
      </w:r>
      <w:bookmarkEnd w:id="64"/>
    </w:p>
    <w:p w14:paraId="7D64AF41" w14:textId="644AAE65" w:rsidR="008B2137" w:rsidRPr="00F75B24" w:rsidRDefault="008B2137" w:rsidP="00A77877">
      <w:pPr>
        <w:rPr>
          <w:b/>
        </w:rPr>
      </w:pPr>
      <w:r w:rsidRPr="008B2137">
        <w:t>Ixekizumab</w:t>
      </w:r>
      <w:r>
        <w:t xml:space="preserve"> </w:t>
      </w:r>
      <w:r w:rsidR="00DE1AC8">
        <w:t xml:space="preserve">appears </w:t>
      </w:r>
      <w:r w:rsidR="00F75B24">
        <w:t>to show</w:t>
      </w:r>
      <w:r>
        <w:t xml:space="preserve"> some</w:t>
      </w:r>
      <w:r w:rsidR="00F75B24">
        <w:t xml:space="preserve"> efficacy</w:t>
      </w:r>
      <w:r>
        <w:t xml:space="preserve"> benefit </w:t>
      </w:r>
      <w:r w:rsidR="00F75B24">
        <w:t xml:space="preserve">over </w:t>
      </w:r>
      <w:r w:rsidRPr="008B2137">
        <w:t>adalimumab (OR = 5.11; 95% CI: 2.94, 8.87), etanercept 25 mg twice weekly (OR = 8.29; 95% CI: 6.05, 11.36), secukinumab (OR = 1.90; 95% CI: 1.22, 2.96) and ustekinumab (OR = 4.82</w:t>
      </w:r>
      <w:r>
        <w:t xml:space="preserve">; 95% CI: 3.24, 7.18 (45 mg)) </w:t>
      </w:r>
      <w:r w:rsidR="00F36564">
        <w:t>(</w:t>
      </w:r>
      <w:r w:rsidR="00B2653C">
        <w:t>Figure ES.</w:t>
      </w:r>
      <w:r w:rsidR="00B2653C">
        <w:rPr>
          <w:noProof/>
        </w:rPr>
        <w:t>3</w:t>
      </w:r>
      <w:r w:rsidR="00F36564">
        <w:t>)</w:t>
      </w:r>
      <w:r>
        <w:t>.</w:t>
      </w:r>
      <w:r w:rsidR="00F75B24">
        <w:t xml:space="preserve"> Also, infliximab </w:t>
      </w:r>
      <w:r w:rsidR="00DE1AC8">
        <w:t xml:space="preserve">appears </w:t>
      </w:r>
      <w:r w:rsidR="00F75B24">
        <w:t xml:space="preserve">to show some efficacy benefit over </w:t>
      </w:r>
      <w:r w:rsidR="00F75B24" w:rsidRPr="008B2137">
        <w:t>adalimumab (OR = 5.11; 95% CI: 2.94, 8.87), etanercept 25 mg twice weekly (OR = 8.29; 95% CI: 6.05, 11.36), secukinumab (OR = 1.90; 95% CI: 1.22, 2.96) and ustekinumab (OR = 4.82</w:t>
      </w:r>
      <w:r w:rsidR="00F75B24">
        <w:t>; 95% CI: 3.24, 7.18 (45 mg))</w:t>
      </w:r>
      <w:r w:rsidR="00F36564">
        <w:t xml:space="preserve"> (</w:t>
      </w:r>
      <w:r w:rsidR="00B2653C">
        <w:t>Figure ES.</w:t>
      </w:r>
      <w:r w:rsidR="00B2653C">
        <w:rPr>
          <w:noProof/>
        </w:rPr>
        <w:t>3</w:t>
      </w:r>
      <w:r w:rsidR="00F36564">
        <w:t>)</w:t>
      </w:r>
      <w:r w:rsidR="00447A78">
        <w:t>.</w:t>
      </w:r>
    </w:p>
    <w:p w14:paraId="1AA4529E" w14:textId="77777777" w:rsidR="00A75F73" w:rsidRDefault="00F75B24" w:rsidP="00A75F73">
      <w:pPr>
        <w:pStyle w:val="MDTabCaption"/>
      </w:pPr>
      <w:r>
        <w:rPr>
          <w:noProof/>
          <w:lang w:val="en-AU" w:eastAsia="en-AU"/>
        </w:rPr>
        <w:lastRenderedPageBreak/>
        <w:drawing>
          <wp:inline distT="0" distB="0" distL="0" distR="0" wp14:anchorId="7A9CA598" wp14:editId="6689A756">
            <wp:extent cx="5676900" cy="5371653"/>
            <wp:effectExtent l="0" t="0" r="0" b="635"/>
            <wp:docPr id="4" name="Picture 4" descr="This figure shows the pairwise comparison of whether patients are more likley to achieve a PASI 75 response with the biologic than the second biologic." title="Forest plot of the OR  for the proportion of patients achieving a PASI 75 response at 12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ds Ratio PASI 75 .jpg"/>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685948" cy="5380214"/>
                    </a:xfrm>
                    <a:prstGeom prst="rect">
                      <a:avLst/>
                    </a:prstGeom>
                    <a:ln>
                      <a:noFill/>
                    </a:ln>
                    <a:extLst>
                      <a:ext uri="{53640926-AAD7-44D8-BBD7-CCE9431645EC}">
                        <a14:shadowObscured xmlns:a14="http://schemas.microsoft.com/office/drawing/2010/main"/>
                      </a:ext>
                    </a:extLst>
                  </pic:spPr>
                </pic:pic>
              </a:graphicData>
            </a:graphic>
          </wp:inline>
        </w:drawing>
      </w:r>
    </w:p>
    <w:p w14:paraId="2D023092" w14:textId="77777777" w:rsidR="00A75F73" w:rsidRDefault="00A75F73" w:rsidP="003B7D87">
      <w:pPr>
        <w:pStyle w:val="MDFiguretitle"/>
      </w:pPr>
      <w:bookmarkStart w:id="65" w:name="_Ref500313815"/>
      <w:bookmarkStart w:id="66" w:name="_Toc503275017"/>
      <w:bookmarkStart w:id="67" w:name="_Toc499902347"/>
      <w:r>
        <w:t>Figure ES.</w:t>
      </w:r>
      <w:r w:rsidR="00B2653C">
        <w:rPr>
          <w:noProof/>
        </w:rPr>
        <w:t>3</w:t>
      </w:r>
      <w:bookmarkEnd w:id="65"/>
      <w:r>
        <w:t xml:space="preserve">: </w:t>
      </w:r>
      <w:r w:rsidRPr="00935977">
        <w:t>Forest plot of the OR (95% CI) for the proportion of patients achieving a PASI 75 response at 12 weeks – PBS-listed biologic versus PBS-listed biologic.</w:t>
      </w:r>
      <w:bookmarkEnd w:id="66"/>
      <w:r w:rsidRPr="00935977">
        <w:t xml:space="preserve"> </w:t>
      </w:r>
      <w:bookmarkEnd w:id="67"/>
    </w:p>
    <w:p w14:paraId="480E1B38" w14:textId="77777777" w:rsidR="008B2137" w:rsidRPr="00C35476" w:rsidRDefault="008B2137" w:rsidP="00F75B24">
      <w:pPr>
        <w:pStyle w:val="TableFooter"/>
      </w:pPr>
      <w:r w:rsidRPr="00C35476">
        <w:t xml:space="preserve">OR values </w:t>
      </w:r>
      <w:r>
        <w:t>less than one</w:t>
      </w:r>
      <w:r w:rsidRPr="00C35476">
        <w:t xml:space="preserve"> suggest</w:t>
      </w:r>
      <w:r>
        <w:t xml:space="preserve"> </w:t>
      </w:r>
      <w:r w:rsidRPr="00C35476">
        <w:t xml:space="preserve">that the first biologic </w:t>
      </w:r>
      <w:r>
        <w:t xml:space="preserve">in the comparison </w:t>
      </w:r>
      <w:r w:rsidRPr="00C35476">
        <w:t xml:space="preserve">is less likely to result in </w:t>
      </w:r>
      <w:r>
        <w:t>a PASI 75 response compared to the second</w:t>
      </w:r>
    </w:p>
    <w:p w14:paraId="60370670" w14:textId="77777777" w:rsidR="008B2137" w:rsidRDefault="008B2137" w:rsidP="00A77877">
      <w:pPr>
        <w:pStyle w:val="TableFooter"/>
      </w:pPr>
      <w:r>
        <w:t>CI = confidence interval; Etanercept – once = etanercept 50 mg once weekly; Etanercept – twice = etanercept 25 mg twice weekly; OR = odds ratio; PASI = Psoriasis Area and Severity Index; PBS = Pharmaceutical Benefits Scheme; vs = versus</w:t>
      </w:r>
    </w:p>
    <w:p w14:paraId="39FEE163" w14:textId="77777777" w:rsidR="008B2137" w:rsidRDefault="008B2137" w:rsidP="00A77877">
      <w:r>
        <w:t>Efalizumab (</w:t>
      </w:r>
      <w:r w:rsidRPr="008B2137">
        <w:t>de-registered</w:t>
      </w:r>
      <w:r>
        <w:t>)</w:t>
      </w:r>
      <w:r w:rsidRPr="008B2137">
        <w:t xml:space="preserve"> </w:t>
      </w:r>
      <w:r>
        <w:t xml:space="preserve">was most likely, compared to placebo, to result in an adverse event at 12 weeks (OR= 1.70; 95% CI: 1.40, 2.06), followed by ixekizumab (OR = 1.56; 95% CI: 1.32, 1.84). </w:t>
      </w:r>
    </w:p>
    <w:p w14:paraId="02195F9F" w14:textId="77777777" w:rsidR="00F75B24" w:rsidRDefault="00F75B24" w:rsidP="00F75B24">
      <w:pPr>
        <w:keepNext/>
      </w:pPr>
      <w:r>
        <w:rPr>
          <w:noProof/>
        </w:rPr>
        <w:lastRenderedPageBreak/>
        <w:drawing>
          <wp:inline distT="0" distB="0" distL="0" distR="0" wp14:anchorId="49E57678" wp14:editId="02FEA679">
            <wp:extent cx="5675521" cy="1952625"/>
            <wp:effectExtent l="0" t="0" r="1905" b="0"/>
            <wp:docPr id="5" name="Picture 5" title="Forest plot of the proportion of patients having an adverse event at 12 weeks compared to placebo (odds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s Ratio AE PLACEBO.jpg"/>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688153" cy="1956971"/>
                    </a:xfrm>
                    <a:prstGeom prst="rect">
                      <a:avLst/>
                    </a:prstGeom>
                    <a:ln>
                      <a:noFill/>
                    </a:ln>
                    <a:extLst>
                      <a:ext uri="{53640926-AAD7-44D8-BBD7-CCE9431645EC}">
                        <a14:shadowObscured xmlns:a14="http://schemas.microsoft.com/office/drawing/2010/main"/>
                      </a:ext>
                    </a:extLst>
                  </pic:spPr>
                </pic:pic>
              </a:graphicData>
            </a:graphic>
          </wp:inline>
        </w:drawing>
      </w:r>
    </w:p>
    <w:p w14:paraId="22760345" w14:textId="77777777" w:rsidR="00F75B24" w:rsidRPr="003B7D87" w:rsidRDefault="00A75F73" w:rsidP="003B7D87">
      <w:pPr>
        <w:pStyle w:val="MDFiguretitle"/>
      </w:pPr>
      <w:bookmarkStart w:id="68" w:name="_Ref499293722"/>
      <w:bookmarkStart w:id="69" w:name="_Toc503275018"/>
      <w:bookmarkStart w:id="70" w:name="_Toc499902348"/>
      <w:r w:rsidRPr="003B7D87">
        <w:t>Figure ES.</w:t>
      </w:r>
      <w:r w:rsidR="00B2653C">
        <w:rPr>
          <w:noProof/>
        </w:rPr>
        <w:t>4</w:t>
      </w:r>
      <w:bookmarkEnd w:id="68"/>
      <w:r w:rsidR="00F75B24" w:rsidRPr="003B7D87">
        <w:t>: Forest plot of the OR (95% CI) for the proportion of patients experiencing an adverse event at 12 weeks – PBS-listed biologic versus placebo.</w:t>
      </w:r>
      <w:bookmarkEnd w:id="69"/>
      <w:r w:rsidR="00F75B24" w:rsidRPr="003B7D87">
        <w:t xml:space="preserve"> </w:t>
      </w:r>
      <w:bookmarkEnd w:id="70"/>
    </w:p>
    <w:p w14:paraId="246843DD" w14:textId="77777777" w:rsidR="00F75B24" w:rsidRDefault="00F75B24" w:rsidP="00F75B24">
      <w:pPr>
        <w:pStyle w:val="TableFooter"/>
        <w:keepNext/>
      </w:pPr>
      <w:r w:rsidRPr="00450E88">
        <w:t>OR values less than one suggest that the first biologic in the compariso</w:t>
      </w:r>
      <w:r>
        <w:t>n is less likely to result in an adverse event</w:t>
      </w:r>
      <w:r w:rsidRPr="00450E88">
        <w:t xml:space="preserve"> compared to </w:t>
      </w:r>
      <w:r w:rsidR="0001631C">
        <w:t>placebo</w:t>
      </w:r>
    </w:p>
    <w:p w14:paraId="4F003EF0" w14:textId="77777777" w:rsidR="004409AA" w:rsidRDefault="00F75B24" w:rsidP="00E61C3D">
      <w:pPr>
        <w:pStyle w:val="TableFooter"/>
        <w:keepNext/>
      </w:pPr>
      <w:r>
        <w:t>CI = confidence interval; Etanercept – once = etanercept 50 mg once weekly; Etanercept – twice = etanercept 25 mg twice weekly; OR = odds ratio; PBS = Pharmaceutic</w:t>
      </w:r>
      <w:r w:rsidR="00E61C3D">
        <w:t>al Benefits Scheme; vs = versus</w:t>
      </w:r>
    </w:p>
    <w:p w14:paraId="577B6C3B" w14:textId="77777777" w:rsidR="00E61C3D" w:rsidRDefault="00E61C3D" w:rsidP="00E61C3D">
      <w:pPr>
        <w:pStyle w:val="TableFooter"/>
        <w:keepNext/>
      </w:pPr>
    </w:p>
    <w:p w14:paraId="34F3F49E" w14:textId="77777777" w:rsidR="000E642B" w:rsidRPr="00FE1642" w:rsidRDefault="002A7E2D" w:rsidP="002A7E2D">
      <w:pPr>
        <w:pStyle w:val="MDSubsubheding"/>
        <w:spacing w:before="120"/>
      </w:pPr>
      <w:bookmarkStart w:id="71" w:name="_Toc503274968"/>
      <w:r>
        <w:t>E</w:t>
      </w:r>
      <w:r w:rsidRPr="00FE1642">
        <w:t>fficacy and safety of biologics in mild‐moderate disease</w:t>
      </w:r>
      <w:r w:rsidRPr="002A7E2D">
        <w:t xml:space="preserve"> </w:t>
      </w:r>
      <w:r w:rsidRPr="00FE1642">
        <w:t>CPP</w:t>
      </w:r>
      <w:bookmarkEnd w:id="71"/>
    </w:p>
    <w:p w14:paraId="0DFC1B6E" w14:textId="20114AE2" w:rsidR="002A6B78" w:rsidRPr="00FE1642" w:rsidRDefault="002A6B78" w:rsidP="00A77877">
      <w:pPr>
        <w:pStyle w:val="ToRText"/>
      </w:pPr>
      <w:r w:rsidRPr="00FE1642">
        <w:t>c)</w:t>
      </w:r>
      <w:r w:rsidRPr="00FE1642">
        <w:tab/>
      </w:r>
      <w:r w:rsidR="001B698A" w:rsidRPr="00FE1642">
        <w:t>Comparing</w:t>
      </w:r>
      <w:r w:rsidRPr="00FE1642">
        <w:t xml:space="preserve"> evidence on the efficacy and safety of biologics for CPP in mild‐moderate disease versus severe disease</w:t>
      </w:r>
      <w:r w:rsidR="00530052" w:rsidRPr="00FE1642">
        <w:t>.</w:t>
      </w:r>
      <w:r w:rsidRPr="00FE1642">
        <w:t xml:space="preserve"> </w:t>
      </w:r>
    </w:p>
    <w:p w14:paraId="1BB5101F" w14:textId="5272930C" w:rsidR="006C7EC2" w:rsidRDefault="006C7EC2" w:rsidP="00A77877">
      <w:r w:rsidRPr="006C7EC2">
        <w:t>The systematic literature review did not identify any trials or studies comparing the use of biologics in mild-moderate CPP versus severe disease.</w:t>
      </w:r>
      <w:r w:rsidR="001D5AF3">
        <w:t xml:space="preserve"> However</w:t>
      </w:r>
      <w:r w:rsidR="0001631C">
        <w:t>,</w:t>
      </w:r>
      <w:r w:rsidR="001D5AF3">
        <w:t xml:space="preserve"> one trial was identified that compared etanercept to </w:t>
      </w:r>
      <w:r w:rsidR="00EA1828">
        <w:t xml:space="preserve">acitretin </w:t>
      </w:r>
      <w:r w:rsidR="001D5AF3">
        <w:t>in patients with a PASI &lt;15</w:t>
      </w:r>
      <w:r w:rsidR="004409AA">
        <w:t xml:space="preserve"> (there was no lower cut off)</w:t>
      </w:r>
      <w:r w:rsidR="001D5AF3">
        <w:t>.</w:t>
      </w:r>
      <w:r w:rsidR="004409AA">
        <w:t xml:space="preserve"> As there was no common comparison arm, </w:t>
      </w:r>
      <w:r w:rsidR="001D5AF3">
        <w:t xml:space="preserve">a </w:t>
      </w:r>
      <w:r w:rsidR="001D5AF3" w:rsidRPr="001D5AF3">
        <w:t xml:space="preserve">naïve indirect comparison </w:t>
      </w:r>
      <w:r w:rsidR="004409AA">
        <w:t>seem</w:t>
      </w:r>
      <w:r w:rsidR="00A04FA0">
        <w:t>ed</w:t>
      </w:r>
      <w:r w:rsidR="004409AA">
        <w:t xml:space="preserve"> to demonstrate that </w:t>
      </w:r>
      <w:r w:rsidR="001D5AF3" w:rsidRPr="001D5AF3">
        <w:t xml:space="preserve">etanercept </w:t>
      </w:r>
      <w:r w:rsidR="004409AA">
        <w:t xml:space="preserve">would </w:t>
      </w:r>
      <w:r w:rsidR="001D5AF3" w:rsidRPr="001D5AF3">
        <w:t>be marginally more effective in patients with a baseline PASI greater than 15 than in those with less severe disease</w:t>
      </w:r>
      <w:r w:rsidR="004409AA">
        <w:t xml:space="preserve"> (</w:t>
      </w:r>
      <w:r w:rsidR="00594BE2">
        <w:t>Table ES.</w:t>
      </w:r>
      <w:r w:rsidR="00F3545E">
        <w:rPr>
          <w:noProof/>
        </w:rPr>
        <w:t>14</w:t>
      </w:r>
      <w:r w:rsidR="004409AA">
        <w:t>)</w:t>
      </w:r>
      <w:r w:rsidR="00EA1828">
        <w:t>.</w:t>
      </w:r>
    </w:p>
    <w:p w14:paraId="0C3841D8" w14:textId="77777777" w:rsidR="004409AA" w:rsidRDefault="004409AA" w:rsidP="008D4D9D">
      <w:pPr>
        <w:pStyle w:val="MDTabCaption"/>
        <w:keepLines/>
      </w:pPr>
      <w:bookmarkStart w:id="72" w:name="_Ref496705343"/>
      <w:bookmarkStart w:id="73" w:name="_Toc501121214"/>
      <w:bookmarkStart w:id="74" w:name="_Toc503275004"/>
      <w:r>
        <w:t>Table ES.</w:t>
      </w:r>
      <w:r w:rsidR="00C92BCA">
        <w:t>14</w:t>
      </w:r>
      <w:bookmarkEnd w:id="72"/>
      <w:r>
        <w:t>: Mild-to-moderate CPP efficacy results, plus a comparison with severe CPP results</w:t>
      </w:r>
      <w:bookmarkEnd w:id="73"/>
      <w:bookmarkEnd w:id="74"/>
    </w:p>
    <w:tbl>
      <w:tblPr>
        <w:tblStyle w:val="TableGrid"/>
        <w:tblW w:w="9639" w:type="dxa"/>
        <w:tblInd w:w="-5" w:type="dxa"/>
        <w:tblLayout w:type="fixed"/>
        <w:tblCellMar>
          <w:left w:w="28" w:type="dxa"/>
          <w:right w:w="28" w:type="dxa"/>
        </w:tblCellMar>
        <w:tblLook w:val="04A0" w:firstRow="1" w:lastRow="0" w:firstColumn="1" w:lastColumn="0" w:noHBand="0" w:noVBand="1"/>
        <w:tblCaption w:val="Mild-to-moderate CPP efficacy results, plus a comparison with severe CPP results"/>
      </w:tblPr>
      <w:tblGrid>
        <w:gridCol w:w="1418"/>
        <w:gridCol w:w="1276"/>
        <w:gridCol w:w="2551"/>
        <w:gridCol w:w="1276"/>
        <w:gridCol w:w="567"/>
        <w:gridCol w:w="1276"/>
        <w:gridCol w:w="1275"/>
      </w:tblGrid>
      <w:tr w:rsidR="006764CD" w:rsidRPr="00A20026" w14:paraId="6E01918F" w14:textId="77777777" w:rsidTr="006764CD">
        <w:trPr>
          <w:cantSplit/>
          <w:tblHeader/>
        </w:trPr>
        <w:tc>
          <w:tcPr>
            <w:tcW w:w="1418" w:type="dxa"/>
            <w:tcMar>
              <w:left w:w="28" w:type="dxa"/>
              <w:right w:w="28" w:type="dxa"/>
            </w:tcMar>
          </w:tcPr>
          <w:p w14:paraId="6542A102" w14:textId="77777777" w:rsidR="006764CD" w:rsidRPr="00635BC6" w:rsidRDefault="006764CD" w:rsidP="005E46D4">
            <w:pPr>
              <w:pStyle w:val="TableTextDusc"/>
              <w:keepNext/>
              <w:keepLines/>
              <w:rPr>
                <w:b/>
              </w:rPr>
            </w:pPr>
            <w:r w:rsidRPr="00635BC6">
              <w:rPr>
                <w:b/>
              </w:rPr>
              <w:t>Trial</w:t>
            </w:r>
          </w:p>
        </w:tc>
        <w:tc>
          <w:tcPr>
            <w:tcW w:w="1276" w:type="dxa"/>
          </w:tcPr>
          <w:p w14:paraId="4827A3A4" w14:textId="77777777" w:rsidR="006764CD" w:rsidRPr="00635BC6" w:rsidRDefault="006764CD" w:rsidP="005E46D4">
            <w:pPr>
              <w:pStyle w:val="TableTextDusc"/>
              <w:keepNext/>
              <w:keepLines/>
              <w:rPr>
                <w:b/>
              </w:rPr>
            </w:pPr>
            <w:r>
              <w:rPr>
                <w:b/>
              </w:rPr>
              <w:t>Time horizon</w:t>
            </w:r>
          </w:p>
        </w:tc>
        <w:tc>
          <w:tcPr>
            <w:tcW w:w="2551" w:type="dxa"/>
          </w:tcPr>
          <w:p w14:paraId="33BDA338" w14:textId="77777777" w:rsidR="006764CD" w:rsidRPr="00635BC6" w:rsidRDefault="006764CD" w:rsidP="005E46D4">
            <w:pPr>
              <w:pStyle w:val="TableTextDusc"/>
              <w:keepNext/>
              <w:keepLines/>
              <w:rPr>
                <w:b/>
              </w:rPr>
            </w:pPr>
            <w:r w:rsidRPr="00635BC6">
              <w:rPr>
                <w:b/>
              </w:rPr>
              <w:t>Arm</w:t>
            </w:r>
          </w:p>
        </w:tc>
        <w:tc>
          <w:tcPr>
            <w:tcW w:w="1276" w:type="dxa"/>
          </w:tcPr>
          <w:p w14:paraId="0D2B709E" w14:textId="77777777" w:rsidR="006764CD" w:rsidRPr="00635BC6" w:rsidRDefault="006764CD" w:rsidP="005E46D4">
            <w:pPr>
              <w:pStyle w:val="TableTextDusc"/>
              <w:keepNext/>
              <w:keepLines/>
              <w:rPr>
                <w:b/>
              </w:rPr>
            </w:pPr>
            <w:r>
              <w:rPr>
                <w:b/>
              </w:rPr>
              <w:t>Baseline PASI</w:t>
            </w:r>
          </w:p>
        </w:tc>
        <w:tc>
          <w:tcPr>
            <w:tcW w:w="567" w:type="dxa"/>
            <w:tcMar>
              <w:left w:w="28" w:type="dxa"/>
              <w:right w:w="28" w:type="dxa"/>
            </w:tcMar>
          </w:tcPr>
          <w:p w14:paraId="568C05A2" w14:textId="77777777" w:rsidR="006764CD" w:rsidRPr="00635BC6" w:rsidRDefault="006764CD" w:rsidP="005E46D4">
            <w:pPr>
              <w:pStyle w:val="TableTextDusc"/>
              <w:keepNext/>
              <w:keepLines/>
              <w:rPr>
                <w:b/>
              </w:rPr>
            </w:pPr>
            <w:r w:rsidRPr="00635BC6">
              <w:rPr>
                <w:b/>
              </w:rPr>
              <w:t>N</w:t>
            </w:r>
          </w:p>
        </w:tc>
        <w:tc>
          <w:tcPr>
            <w:tcW w:w="1276" w:type="dxa"/>
          </w:tcPr>
          <w:p w14:paraId="54C10672" w14:textId="77777777" w:rsidR="006764CD" w:rsidRPr="00635BC6" w:rsidRDefault="006764CD" w:rsidP="005E46D4">
            <w:pPr>
              <w:pStyle w:val="TableTextDusc"/>
              <w:keepNext/>
              <w:keepLines/>
              <w:rPr>
                <w:b/>
                <w:color w:val="000000"/>
              </w:rPr>
            </w:pPr>
            <w:r w:rsidRPr="00635BC6">
              <w:rPr>
                <w:b/>
                <w:color w:val="000000"/>
              </w:rPr>
              <w:t>PASI 50, n (%)</w:t>
            </w:r>
          </w:p>
        </w:tc>
        <w:tc>
          <w:tcPr>
            <w:tcW w:w="1275" w:type="dxa"/>
          </w:tcPr>
          <w:p w14:paraId="0C212127" w14:textId="77777777" w:rsidR="006764CD" w:rsidRPr="00635BC6" w:rsidRDefault="006764CD" w:rsidP="005E46D4">
            <w:pPr>
              <w:pStyle w:val="TableTextDusc"/>
              <w:keepNext/>
              <w:keepLines/>
              <w:rPr>
                <w:b/>
                <w:color w:val="000000"/>
              </w:rPr>
            </w:pPr>
            <w:r w:rsidRPr="00635BC6">
              <w:rPr>
                <w:b/>
                <w:color w:val="000000"/>
              </w:rPr>
              <w:t>PASI 75, n (%)</w:t>
            </w:r>
          </w:p>
        </w:tc>
      </w:tr>
      <w:tr w:rsidR="006764CD" w:rsidRPr="00A20026" w14:paraId="0F7A5213" w14:textId="77777777" w:rsidTr="006764CD">
        <w:trPr>
          <w:cantSplit/>
        </w:trPr>
        <w:tc>
          <w:tcPr>
            <w:tcW w:w="1418" w:type="dxa"/>
            <w:tcMar>
              <w:left w:w="28" w:type="dxa"/>
              <w:right w:w="28" w:type="dxa"/>
            </w:tcMar>
          </w:tcPr>
          <w:p w14:paraId="4D3A0439" w14:textId="77777777" w:rsidR="006764CD" w:rsidRPr="00A47E3B" w:rsidRDefault="006764CD" w:rsidP="005E46D4">
            <w:pPr>
              <w:pStyle w:val="TableTextDusc"/>
              <w:keepNext/>
              <w:keepLines/>
            </w:pPr>
            <w:r w:rsidRPr="00A47E3B">
              <w:t>Gisondi (2008)</w:t>
            </w:r>
          </w:p>
        </w:tc>
        <w:tc>
          <w:tcPr>
            <w:tcW w:w="1276" w:type="dxa"/>
          </w:tcPr>
          <w:p w14:paraId="45C0E07D" w14:textId="77777777" w:rsidR="006764CD" w:rsidRPr="00A47E3B" w:rsidRDefault="006764CD" w:rsidP="005E46D4">
            <w:pPr>
              <w:pStyle w:val="TableTextDusc"/>
              <w:keepNext/>
              <w:keepLines/>
            </w:pPr>
            <w:r>
              <w:t>24 weeks</w:t>
            </w:r>
          </w:p>
        </w:tc>
        <w:tc>
          <w:tcPr>
            <w:tcW w:w="2551" w:type="dxa"/>
          </w:tcPr>
          <w:p w14:paraId="1370F6D3" w14:textId="77777777" w:rsidR="006764CD" w:rsidRPr="00635BC6" w:rsidRDefault="006764CD" w:rsidP="005E46D4">
            <w:pPr>
              <w:pStyle w:val="TableTextDusc"/>
              <w:keepNext/>
              <w:keepLines/>
            </w:pPr>
            <w:r w:rsidRPr="00A47E3B">
              <w:t>Etan</w:t>
            </w:r>
            <w:r>
              <w:t>ercept 25 mg SC twice weekly</w:t>
            </w:r>
          </w:p>
        </w:tc>
        <w:tc>
          <w:tcPr>
            <w:tcW w:w="1276" w:type="dxa"/>
          </w:tcPr>
          <w:p w14:paraId="6FB9C734" w14:textId="77777777" w:rsidR="006764CD" w:rsidRPr="00A47E3B" w:rsidRDefault="006764CD" w:rsidP="005E46D4">
            <w:pPr>
              <w:pStyle w:val="TableTextDusc"/>
              <w:keepNext/>
              <w:keepLines/>
            </w:pPr>
            <w:r>
              <w:t>11.1</w:t>
            </w:r>
          </w:p>
        </w:tc>
        <w:tc>
          <w:tcPr>
            <w:tcW w:w="567" w:type="dxa"/>
            <w:tcMar>
              <w:left w:w="28" w:type="dxa"/>
              <w:right w:w="28" w:type="dxa"/>
            </w:tcMar>
          </w:tcPr>
          <w:p w14:paraId="451C0BD4" w14:textId="77777777" w:rsidR="006764CD" w:rsidRPr="00A47E3B" w:rsidRDefault="006764CD" w:rsidP="005E46D4">
            <w:pPr>
              <w:pStyle w:val="TableTextDusc"/>
              <w:keepNext/>
              <w:keepLines/>
            </w:pPr>
            <w:r w:rsidRPr="00A47E3B">
              <w:t>22</w:t>
            </w:r>
          </w:p>
        </w:tc>
        <w:tc>
          <w:tcPr>
            <w:tcW w:w="1276" w:type="dxa"/>
          </w:tcPr>
          <w:p w14:paraId="5FFE9A42" w14:textId="77777777" w:rsidR="006764CD" w:rsidRPr="00826262" w:rsidRDefault="006764CD" w:rsidP="005E46D4">
            <w:pPr>
              <w:pStyle w:val="TableTextDusc"/>
              <w:keepNext/>
              <w:keepLines/>
            </w:pPr>
            <w:r w:rsidRPr="00826262">
              <w:rPr>
                <w:color w:val="000000"/>
              </w:rPr>
              <w:t>15 (68%)</w:t>
            </w:r>
          </w:p>
        </w:tc>
        <w:tc>
          <w:tcPr>
            <w:tcW w:w="1275" w:type="dxa"/>
          </w:tcPr>
          <w:p w14:paraId="4570B270" w14:textId="77777777" w:rsidR="006764CD" w:rsidRPr="00826262" w:rsidRDefault="006764CD" w:rsidP="005E46D4">
            <w:pPr>
              <w:pStyle w:val="TableTextDusc"/>
              <w:keepNext/>
              <w:keepLines/>
            </w:pPr>
            <w:r w:rsidRPr="00826262">
              <w:rPr>
                <w:color w:val="000000"/>
              </w:rPr>
              <w:t>10 (45%)</w:t>
            </w:r>
          </w:p>
        </w:tc>
      </w:tr>
      <w:tr w:rsidR="006764CD" w:rsidRPr="00A20026" w14:paraId="59503A84" w14:textId="77777777" w:rsidTr="006764CD">
        <w:trPr>
          <w:cantSplit/>
        </w:trPr>
        <w:tc>
          <w:tcPr>
            <w:tcW w:w="1418" w:type="dxa"/>
            <w:tcMar>
              <w:left w:w="28" w:type="dxa"/>
              <w:right w:w="28" w:type="dxa"/>
            </w:tcMar>
          </w:tcPr>
          <w:p w14:paraId="62AB5F25" w14:textId="77777777" w:rsidR="006764CD" w:rsidRPr="00A47E3B" w:rsidRDefault="006764CD" w:rsidP="005E46D4">
            <w:pPr>
              <w:pStyle w:val="TableTextDusc"/>
              <w:keepNext/>
              <w:keepLines/>
            </w:pPr>
            <w:r>
              <w:t>Gottlieb (2003)</w:t>
            </w:r>
          </w:p>
        </w:tc>
        <w:tc>
          <w:tcPr>
            <w:tcW w:w="1276" w:type="dxa"/>
          </w:tcPr>
          <w:p w14:paraId="636DE9C7" w14:textId="77777777" w:rsidR="006764CD" w:rsidRDefault="006764CD" w:rsidP="005E46D4">
            <w:pPr>
              <w:pStyle w:val="TableTextDusc"/>
              <w:keepNext/>
              <w:keepLines/>
            </w:pPr>
            <w:r>
              <w:t>24 weeks</w:t>
            </w:r>
          </w:p>
        </w:tc>
        <w:tc>
          <w:tcPr>
            <w:tcW w:w="2551" w:type="dxa"/>
          </w:tcPr>
          <w:p w14:paraId="0AAE613F" w14:textId="77777777" w:rsidR="006764CD" w:rsidRPr="00A47E3B" w:rsidRDefault="006764CD" w:rsidP="005E46D4">
            <w:pPr>
              <w:pStyle w:val="TableTextDusc"/>
              <w:keepNext/>
              <w:keepLines/>
            </w:pPr>
            <w:r>
              <w:t>Etanercept 25 mg SC twice weekly</w:t>
            </w:r>
          </w:p>
        </w:tc>
        <w:tc>
          <w:tcPr>
            <w:tcW w:w="1276" w:type="dxa"/>
          </w:tcPr>
          <w:p w14:paraId="5ED55B37" w14:textId="77777777" w:rsidR="006764CD" w:rsidRDefault="006764CD" w:rsidP="005E46D4">
            <w:pPr>
              <w:pStyle w:val="TableTextDusc"/>
              <w:keepNext/>
              <w:keepLines/>
            </w:pPr>
            <w:r>
              <w:t>17.8</w:t>
            </w:r>
          </w:p>
        </w:tc>
        <w:tc>
          <w:tcPr>
            <w:tcW w:w="567" w:type="dxa"/>
            <w:tcMar>
              <w:left w:w="28" w:type="dxa"/>
              <w:right w:w="28" w:type="dxa"/>
            </w:tcMar>
          </w:tcPr>
          <w:p w14:paraId="3A194910" w14:textId="77777777" w:rsidR="006764CD" w:rsidRPr="00A47E3B" w:rsidRDefault="006764CD" w:rsidP="005E46D4">
            <w:pPr>
              <w:pStyle w:val="TableTextDusc"/>
              <w:keepNext/>
              <w:keepLines/>
            </w:pPr>
            <w:r>
              <w:t>57</w:t>
            </w:r>
          </w:p>
        </w:tc>
        <w:tc>
          <w:tcPr>
            <w:tcW w:w="1276" w:type="dxa"/>
          </w:tcPr>
          <w:p w14:paraId="7714BCDB" w14:textId="77777777" w:rsidR="006764CD" w:rsidRPr="00826262" w:rsidRDefault="006764CD" w:rsidP="005E46D4">
            <w:pPr>
              <w:pStyle w:val="TableTextDusc"/>
              <w:keepNext/>
              <w:keepLines/>
              <w:rPr>
                <w:color w:val="000000"/>
              </w:rPr>
            </w:pPr>
            <w:r>
              <w:rPr>
                <w:color w:val="000000"/>
              </w:rPr>
              <w:t>NR (77%)</w:t>
            </w:r>
          </w:p>
        </w:tc>
        <w:tc>
          <w:tcPr>
            <w:tcW w:w="1275" w:type="dxa"/>
          </w:tcPr>
          <w:p w14:paraId="719E19C9" w14:textId="77777777" w:rsidR="006764CD" w:rsidRPr="00826262" w:rsidRDefault="006764CD" w:rsidP="005E46D4">
            <w:pPr>
              <w:pStyle w:val="TableTextDusc"/>
              <w:keepNext/>
              <w:keepLines/>
              <w:rPr>
                <w:color w:val="000000"/>
              </w:rPr>
            </w:pPr>
            <w:r>
              <w:rPr>
                <w:color w:val="000000"/>
              </w:rPr>
              <w:t>32 (56%)</w:t>
            </w:r>
          </w:p>
        </w:tc>
      </w:tr>
    </w:tbl>
    <w:p w14:paraId="75E1B596" w14:textId="77777777" w:rsidR="004409AA" w:rsidRDefault="004409AA" w:rsidP="005E46D4">
      <w:pPr>
        <w:pStyle w:val="TableFooter"/>
        <w:keepNext/>
        <w:keepLines/>
      </w:pPr>
      <w:r>
        <w:t>CPP = chronic plaque psoriasis; NR = not reported; PASI 50, 75 = reduction in Psoriasis Area and Severity Index score of 50% or 75%; PI = Product Information; SC = subcutaneous</w:t>
      </w:r>
    </w:p>
    <w:p w14:paraId="6F004150" w14:textId="1BF74A28" w:rsidR="006764CD" w:rsidRDefault="006764CD" w:rsidP="006764CD">
      <w:r>
        <w:t>Also of note</w:t>
      </w:r>
      <w:r w:rsidR="006D1402">
        <w:t>,</w:t>
      </w:r>
      <w:r>
        <w:t xml:space="preserve"> the majority of trials identified in the systematic review had inclusion criteria of a PASI </w:t>
      </w:r>
      <w:r w:rsidR="006D1402">
        <w:t>≥</w:t>
      </w:r>
      <w:r>
        <w:t xml:space="preserve"> 12 with only two biologic</w:t>
      </w:r>
      <w:r w:rsidR="006D1402">
        <w:t>s</w:t>
      </w:r>
      <w:r>
        <w:t xml:space="preserve"> (adalimumab and etanercept) having trials that included patients with a PASI ≥ 10. The </w:t>
      </w:r>
      <w:r w:rsidR="00DE1AC8">
        <w:t xml:space="preserve">adalimumab </w:t>
      </w:r>
      <w:r>
        <w:t xml:space="preserve">submission of March 2013 presented a comparison of the ‘moderate’ patient subgroup versus the full ITT (moderate-severe) trial populations. The submission demonstrated that the moderate subgroup had a statistically significantly greater proportion of patients achieve a PASI 75 response when treated with adalimumab compared with placebo. </w:t>
      </w:r>
      <w:r w:rsidRPr="006764CD">
        <w:t>The PBAC rejected the submission</w:t>
      </w:r>
      <w:r>
        <w:t xml:space="preserve"> </w:t>
      </w:r>
      <w:r w:rsidRPr="006764CD">
        <w:t>based on highly uncertain cost</w:t>
      </w:r>
      <w:r>
        <w:t>-</w:t>
      </w:r>
      <w:r w:rsidRPr="006764CD">
        <w:t>effectiveness</w:t>
      </w:r>
      <w:r>
        <w:t>.</w:t>
      </w:r>
    </w:p>
    <w:p w14:paraId="77D683C9" w14:textId="77777777" w:rsidR="007069EE" w:rsidRDefault="002A7E2D" w:rsidP="00A77877">
      <w:r w:rsidRPr="002A7E2D">
        <w:lastRenderedPageBreak/>
        <w:t xml:space="preserve">The trials in patients with CPP plus PsA </w:t>
      </w:r>
      <w:r>
        <w:t xml:space="preserve">(see below) </w:t>
      </w:r>
      <w:r w:rsidRPr="002A7E2D">
        <w:t xml:space="preserve">also corroborated this result as these patients had lower PASI at baseline and the response rates were lower than seen in the trials with higher PASI baseline in CPP patients. </w:t>
      </w:r>
    </w:p>
    <w:p w14:paraId="7B8A9B3F" w14:textId="77777777" w:rsidR="002A7E2D" w:rsidRDefault="002A7E2D" w:rsidP="002A7E2D">
      <w:pPr>
        <w:pStyle w:val="MDSubsubheding"/>
      </w:pPr>
      <w:bookmarkStart w:id="75" w:name="_Toc503274969"/>
      <w:r>
        <w:t xml:space="preserve">Efficacy of biologicals in </w:t>
      </w:r>
      <w:r w:rsidRPr="002A7E2D">
        <w:t>patients in specific sub populations</w:t>
      </w:r>
      <w:bookmarkEnd w:id="75"/>
    </w:p>
    <w:p w14:paraId="0F72A904" w14:textId="78E4B2A6" w:rsidR="002A6B78" w:rsidRPr="00FE1642" w:rsidRDefault="002A6B78" w:rsidP="00A77877">
      <w:pPr>
        <w:pStyle w:val="ToRText"/>
      </w:pPr>
      <w:r w:rsidRPr="00FE1642">
        <w:t>d)</w:t>
      </w:r>
      <w:r w:rsidRPr="00FE1642">
        <w:tab/>
      </w:r>
      <w:r w:rsidR="001B698A" w:rsidRPr="00FE1642">
        <w:t>Consider</w:t>
      </w:r>
      <w:r w:rsidRPr="00FE1642">
        <w:t xml:space="preserve"> any evidence on the effectiveness of biologics for CPP on other comorbidities such as psoriatic arthritis</w:t>
      </w:r>
      <w:r w:rsidR="00530052" w:rsidRPr="00FE1642">
        <w:t>.</w:t>
      </w:r>
      <w:r w:rsidRPr="00FE1642">
        <w:t xml:space="preserve"> </w:t>
      </w:r>
    </w:p>
    <w:p w14:paraId="3CCAABEF" w14:textId="77777777" w:rsidR="002A7E2D" w:rsidRPr="00631814" w:rsidRDefault="002A7E2D" w:rsidP="00631814">
      <w:pPr>
        <w:pStyle w:val="MDsubHead3"/>
      </w:pPr>
      <w:r w:rsidRPr="002A7E2D">
        <w:t xml:space="preserve">Psoriatic arthritis </w:t>
      </w:r>
    </w:p>
    <w:p w14:paraId="4632D37B" w14:textId="77777777" w:rsidR="002A6B78" w:rsidRDefault="004A374B" w:rsidP="00A77877">
      <w:r w:rsidRPr="00FE1642">
        <w:t xml:space="preserve">Evidence was found for the use of adalimumab, etanercept, infliximab and ustekinumab in the treatment of </w:t>
      </w:r>
      <w:r w:rsidR="00631814">
        <w:t>PsA</w:t>
      </w:r>
      <w:r w:rsidR="007069EE">
        <w:t xml:space="preserve"> in patients with severe CPP; however, these trials did not limit patients to severe CPP and patients had milder psoriasis (</w:t>
      </w:r>
      <w:r w:rsidR="00870C6F">
        <w:t>l</w:t>
      </w:r>
      <w:r w:rsidR="002A7E2D">
        <w:t>ower</w:t>
      </w:r>
      <w:r w:rsidR="007069EE">
        <w:t xml:space="preserve"> mean baseline PASI) than the severe CPP trials above</w:t>
      </w:r>
      <w:r w:rsidRPr="00FE1642">
        <w:t>. A</w:t>
      </w:r>
      <w:r w:rsidR="008C18C0">
        <w:t>ll biologics appeared to have a positive</w:t>
      </w:r>
      <w:r w:rsidRPr="00FE1642">
        <w:t xml:space="preserve"> effect </w:t>
      </w:r>
      <w:r w:rsidR="008C18C0">
        <w:t xml:space="preserve">on PsA </w:t>
      </w:r>
      <w:r w:rsidRPr="00FE1642">
        <w:t>with over half of all treated patients meeting the American College of Rheumatology 20% (ACR 20) improvement criteria for joint response. </w:t>
      </w:r>
    </w:p>
    <w:p w14:paraId="26E7DF7D" w14:textId="77777777" w:rsidR="007069EE" w:rsidRPr="00C92BCA" w:rsidRDefault="00A75F73" w:rsidP="008D4D9D">
      <w:pPr>
        <w:pStyle w:val="MDTabCaption"/>
        <w:keepLines/>
      </w:pPr>
      <w:bookmarkStart w:id="76" w:name="_Ref493167331"/>
      <w:bookmarkStart w:id="77" w:name="_Toc503275005"/>
      <w:r w:rsidRPr="00C92BCA">
        <w:t>Table ES.</w:t>
      </w:r>
      <w:r w:rsidR="00C92BCA" w:rsidRPr="00C92BCA">
        <w:t>15</w:t>
      </w:r>
      <w:bookmarkEnd w:id="76"/>
      <w:r w:rsidR="007069EE" w:rsidRPr="00C92BCA">
        <w:t>: Severe CPP and PsA trials: efficacy results</w:t>
      </w:r>
      <w:bookmarkEnd w:id="77"/>
    </w:p>
    <w:tbl>
      <w:tblPr>
        <w:tblStyle w:val="TableGrid"/>
        <w:tblW w:w="9067" w:type="dxa"/>
        <w:tblLayout w:type="fixed"/>
        <w:tblLook w:val="04A0" w:firstRow="1" w:lastRow="0" w:firstColumn="1" w:lastColumn="0" w:noHBand="0" w:noVBand="1"/>
        <w:tblCaption w:val="Table ES.8"/>
        <w:tblDescription w:val="Severe CPP and PsA trials: efficacy results"/>
      </w:tblPr>
      <w:tblGrid>
        <w:gridCol w:w="988"/>
        <w:gridCol w:w="992"/>
        <w:gridCol w:w="709"/>
        <w:gridCol w:w="708"/>
        <w:gridCol w:w="1134"/>
        <w:gridCol w:w="1134"/>
        <w:gridCol w:w="1134"/>
        <w:gridCol w:w="1134"/>
        <w:gridCol w:w="1134"/>
      </w:tblGrid>
      <w:tr w:rsidR="007069EE" w:rsidRPr="00A75F73" w14:paraId="36C4537C" w14:textId="77777777" w:rsidTr="00A75F73">
        <w:trPr>
          <w:cantSplit/>
          <w:tblHeader/>
        </w:trPr>
        <w:tc>
          <w:tcPr>
            <w:tcW w:w="988" w:type="dxa"/>
            <w:shd w:val="clear" w:color="auto" w:fill="A6A6A6" w:themeFill="background1" w:themeFillShade="A6"/>
            <w:tcMar>
              <w:left w:w="28" w:type="dxa"/>
              <w:right w:w="28" w:type="dxa"/>
            </w:tcMar>
          </w:tcPr>
          <w:p w14:paraId="28759507" w14:textId="77777777" w:rsidR="007069EE" w:rsidRPr="00A75F73" w:rsidRDefault="007069EE" w:rsidP="002760FA">
            <w:pPr>
              <w:pStyle w:val="TableTextDusc"/>
              <w:keepNext/>
              <w:keepLines/>
              <w:rPr>
                <w:b/>
              </w:rPr>
            </w:pPr>
            <w:r w:rsidRPr="00A75F73">
              <w:rPr>
                <w:b/>
              </w:rPr>
              <w:t>Trial</w:t>
            </w:r>
          </w:p>
        </w:tc>
        <w:tc>
          <w:tcPr>
            <w:tcW w:w="992" w:type="dxa"/>
            <w:shd w:val="clear" w:color="auto" w:fill="A6A6A6" w:themeFill="background1" w:themeFillShade="A6"/>
            <w:tcMar>
              <w:left w:w="28" w:type="dxa"/>
              <w:right w:w="28" w:type="dxa"/>
            </w:tcMar>
          </w:tcPr>
          <w:p w14:paraId="41E3067C" w14:textId="77777777" w:rsidR="007069EE" w:rsidRPr="00A75F73" w:rsidRDefault="007069EE" w:rsidP="002760FA">
            <w:pPr>
              <w:pStyle w:val="TableTextDusc"/>
              <w:keepNext/>
              <w:keepLines/>
              <w:rPr>
                <w:b/>
              </w:rPr>
            </w:pPr>
            <w:r w:rsidRPr="00A75F73">
              <w:rPr>
                <w:b/>
              </w:rPr>
              <w:t>Time horizon</w:t>
            </w:r>
          </w:p>
        </w:tc>
        <w:tc>
          <w:tcPr>
            <w:tcW w:w="709" w:type="dxa"/>
            <w:shd w:val="clear" w:color="auto" w:fill="A6A6A6" w:themeFill="background1" w:themeFillShade="A6"/>
            <w:tcMar>
              <w:left w:w="28" w:type="dxa"/>
              <w:right w:w="28" w:type="dxa"/>
            </w:tcMar>
          </w:tcPr>
          <w:p w14:paraId="3D7C8DD3" w14:textId="77777777" w:rsidR="007069EE" w:rsidRPr="00A75F73" w:rsidRDefault="007069EE" w:rsidP="002760FA">
            <w:pPr>
              <w:pStyle w:val="TableTextDusc"/>
              <w:keepNext/>
              <w:keepLines/>
              <w:rPr>
                <w:b/>
              </w:rPr>
            </w:pPr>
            <w:r w:rsidRPr="00A75F73">
              <w:rPr>
                <w:b/>
              </w:rPr>
              <w:t>Arm</w:t>
            </w:r>
          </w:p>
        </w:tc>
        <w:tc>
          <w:tcPr>
            <w:tcW w:w="708" w:type="dxa"/>
            <w:shd w:val="clear" w:color="auto" w:fill="A6A6A6" w:themeFill="background1" w:themeFillShade="A6"/>
            <w:tcMar>
              <w:left w:w="28" w:type="dxa"/>
              <w:right w:w="28" w:type="dxa"/>
            </w:tcMar>
          </w:tcPr>
          <w:p w14:paraId="6E59BC21" w14:textId="77777777" w:rsidR="007069EE" w:rsidRPr="00A75F73" w:rsidRDefault="007069EE" w:rsidP="002760FA">
            <w:pPr>
              <w:pStyle w:val="TableTextDusc"/>
              <w:keepNext/>
              <w:keepLines/>
              <w:rPr>
                <w:b/>
              </w:rPr>
            </w:pPr>
            <w:r w:rsidRPr="00A75F73">
              <w:rPr>
                <w:b/>
              </w:rPr>
              <w:t xml:space="preserve">N </w:t>
            </w:r>
          </w:p>
        </w:tc>
        <w:tc>
          <w:tcPr>
            <w:tcW w:w="1134" w:type="dxa"/>
            <w:shd w:val="clear" w:color="auto" w:fill="A6A6A6" w:themeFill="background1" w:themeFillShade="A6"/>
            <w:tcMar>
              <w:left w:w="28" w:type="dxa"/>
              <w:right w:w="28" w:type="dxa"/>
            </w:tcMar>
          </w:tcPr>
          <w:p w14:paraId="03932E16" w14:textId="77777777" w:rsidR="007069EE" w:rsidRPr="00A75F73" w:rsidRDefault="007069EE" w:rsidP="002760FA">
            <w:pPr>
              <w:pStyle w:val="TableTextDusc"/>
              <w:keepNext/>
              <w:keepLines/>
              <w:rPr>
                <w:b/>
              </w:rPr>
            </w:pPr>
            <w:r w:rsidRPr="00A75F73">
              <w:rPr>
                <w:b/>
              </w:rPr>
              <w:t>ACR 20, %</w:t>
            </w:r>
          </w:p>
        </w:tc>
        <w:tc>
          <w:tcPr>
            <w:tcW w:w="1134" w:type="dxa"/>
            <w:shd w:val="clear" w:color="auto" w:fill="A6A6A6" w:themeFill="background1" w:themeFillShade="A6"/>
            <w:tcMar>
              <w:left w:w="28" w:type="dxa"/>
              <w:right w:w="28" w:type="dxa"/>
            </w:tcMar>
          </w:tcPr>
          <w:p w14:paraId="405BAB47" w14:textId="77777777" w:rsidR="007069EE" w:rsidRPr="00A75F73" w:rsidRDefault="007069EE" w:rsidP="002760FA">
            <w:pPr>
              <w:pStyle w:val="TableTextDusc"/>
              <w:keepNext/>
              <w:keepLines/>
              <w:rPr>
                <w:b/>
              </w:rPr>
            </w:pPr>
            <w:r w:rsidRPr="00A75F73">
              <w:rPr>
                <w:b/>
              </w:rPr>
              <w:t>PsARC, %</w:t>
            </w:r>
          </w:p>
        </w:tc>
        <w:tc>
          <w:tcPr>
            <w:tcW w:w="1134" w:type="dxa"/>
            <w:shd w:val="clear" w:color="auto" w:fill="A6A6A6" w:themeFill="background1" w:themeFillShade="A6"/>
            <w:tcMar>
              <w:left w:w="28" w:type="dxa"/>
              <w:right w:w="28" w:type="dxa"/>
            </w:tcMar>
          </w:tcPr>
          <w:p w14:paraId="17C69FDB" w14:textId="77777777" w:rsidR="007069EE" w:rsidRPr="00A75F73" w:rsidRDefault="007069EE" w:rsidP="002760FA">
            <w:pPr>
              <w:pStyle w:val="TableTextDusc"/>
              <w:keepNext/>
              <w:keepLines/>
              <w:rPr>
                <w:b/>
              </w:rPr>
            </w:pPr>
            <w:r w:rsidRPr="00A75F73">
              <w:rPr>
                <w:b/>
              </w:rPr>
              <w:t>PASI 75, %</w:t>
            </w:r>
          </w:p>
        </w:tc>
        <w:tc>
          <w:tcPr>
            <w:tcW w:w="1134" w:type="dxa"/>
            <w:shd w:val="clear" w:color="auto" w:fill="A6A6A6" w:themeFill="background1" w:themeFillShade="A6"/>
            <w:tcMar>
              <w:left w:w="28" w:type="dxa"/>
              <w:right w:w="28" w:type="dxa"/>
            </w:tcMar>
          </w:tcPr>
          <w:p w14:paraId="39EF5EF7" w14:textId="77777777" w:rsidR="007069EE" w:rsidRPr="00A75F73" w:rsidRDefault="007069EE" w:rsidP="002760FA">
            <w:pPr>
              <w:pStyle w:val="TableTextDusc"/>
              <w:keepNext/>
              <w:keepLines/>
              <w:rPr>
                <w:b/>
              </w:rPr>
            </w:pPr>
            <w:r w:rsidRPr="00A75F73">
              <w:rPr>
                <w:b/>
              </w:rPr>
              <w:t>∆ HAQ DI, mean (SD)</w:t>
            </w:r>
          </w:p>
        </w:tc>
        <w:tc>
          <w:tcPr>
            <w:tcW w:w="1134" w:type="dxa"/>
            <w:shd w:val="clear" w:color="auto" w:fill="A6A6A6" w:themeFill="background1" w:themeFillShade="A6"/>
            <w:tcMar>
              <w:left w:w="28" w:type="dxa"/>
              <w:right w:w="28" w:type="dxa"/>
            </w:tcMar>
          </w:tcPr>
          <w:p w14:paraId="2F1AEB5E" w14:textId="77777777" w:rsidR="007069EE" w:rsidRPr="00A75F73" w:rsidRDefault="007069EE" w:rsidP="002760FA">
            <w:pPr>
              <w:pStyle w:val="TableTextDusc"/>
              <w:keepNext/>
              <w:keepLines/>
              <w:rPr>
                <w:b/>
              </w:rPr>
            </w:pPr>
            <w:r w:rsidRPr="00A75F73">
              <w:rPr>
                <w:b/>
              </w:rPr>
              <w:t>∆ DLQI, mean (SD)</w:t>
            </w:r>
          </w:p>
        </w:tc>
      </w:tr>
      <w:tr w:rsidR="007069EE" w:rsidRPr="00A75F73" w14:paraId="7C8B2BF4" w14:textId="77777777" w:rsidTr="00A77877">
        <w:trPr>
          <w:cantSplit/>
        </w:trPr>
        <w:tc>
          <w:tcPr>
            <w:tcW w:w="9067" w:type="dxa"/>
            <w:gridSpan w:val="9"/>
            <w:shd w:val="clear" w:color="auto" w:fill="auto"/>
            <w:tcMar>
              <w:left w:w="28" w:type="dxa"/>
              <w:right w:w="28" w:type="dxa"/>
            </w:tcMar>
          </w:tcPr>
          <w:p w14:paraId="24C389D3" w14:textId="77777777" w:rsidR="007069EE" w:rsidRPr="00A75F73" w:rsidRDefault="007069EE" w:rsidP="002760FA">
            <w:pPr>
              <w:pStyle w:val="TableTextDusc"/>
              <w:keepNext/>
              <w:keepLines/>
              <w:rPr>
                <w:b/>
              </w:rPr>
            </w:pPr>
            <w:r w:rsidRPr="00A75F73">
              <w:rPr>
                <w:b/>
              </w:rPr>
              <w:t>Etanercept</w:t>
            </w:r>
          </w:p>
        </w:tc>
      </w:tr>
      <w:tr w:rsidR="007069EE" w14:paraId="4E82C56F" w14:textId="77777777" w:rsidTr="00A77877">
        <w:trPr>
          <w:cantSplit/>
        </w:trPr>
        <w:tc>
          <w:tcPr>
            <w:tcW w:w="988" w:type="dxa"/>
            <w:vMerge w:val="restart"/>
            <w:shd w:val="clear" w:color="auto" w:fill="auto"/>
            <w:tcMar>
              <w:left w:w="28" w:type="dxa"/>
              <w:right w:w="28" w:type="dxa"/>
            </w:tcMar>
          </w:tcPr>
          <w:p w14:paraId="02223AB6" w14:textId="77777777" w:rsidR="007069EE" w:rsidRPr="00A5280D" w:rsidRDefault="007069EE" w:rsidP="002760FA">
            <w:pPr>
              <w:pStyle w:val="TableTextDusc"/>
              <w:keepNext/>
              <w:keepLines/>
            </w:pPr>
            <w:r w:rsidRPr="00A5280D">
              <w:t>Mease (2000)</w:t>
            </w:r>
          </w:p>
        </w:tc>
        <w:tc>
          <w:tcPr>
            <w:tcW w:w="992" w:type="dxa"/>
            <w:vMerge w:val="restart"/>
            <w:shd w:val="clear" w:color="auto" w:fill="auto"/>
            <w:tcMar>
              <w:left w:w="28" w:type="dxa"/>
              <w:right w:w="28" w:type="dxa"/>
            </w:tcMar>
          </w:tcPr>
          <w:p w14:paraId="76331063" w14:textId="77777777" w:rsidR="007069EE" w:rsidRPr="00A5280D" w:rsidRDefault="007069EE" w:rsidP="002760FA">
            <w:pPr>
              <w:pStyle w:val="TableTextDusc"/>
              <w:keepNext/>
              <w:keepLines/>
            </w:pPr>
            <w:r w:rsidRPr="00A5280D">
              <w:t>12 weeks</w:t>
            </w:r>
          </w:p>
        </w:tc>
        <w:tc>
          <w:tcPr>
            <w:tcW w:w="709" w:type="dxa"/>
            <w:shd w:val="clear" w:color="auto" w:fill="auto"/>
            <w:tcMar>
              <w:left w:w="28" w:type="dxa"/>
              <w:right w:w="28" w:type="dxa"/>
            </w:tcMar>
          </w:tcPr>
          <w:p w14:paraId="20088F9E" w14:textId="77777777" w:rsidR="007069EE" w:rsidRPr="00A5280D" w:rsidRDefault="007069EE" w:rsidP="002760FA">
            <w:pPr>
              <w:pStyle w:val="TableTextDusc"/>
              <w:keepNext/>
              <w:keepLines/>
            </w:pPr>
            <w:r w:rsidRPr="00A5280D">
              <w:t>Etan</w:t>
            </w:r>
            <w:r>
              <w:rPr>
                <w:vertAlign w:val="superscript"/>
              </w:rPr>
              <w:t>1*</w:t>
            </w:r>
          </w:p>
        </w:tc>
        <w:tc>
          <w:tcPr>
            <w:tcW w:w="708" w:type="dxa"/>
            <w:shd w:val="clear" w:color="auto" w:fill="auto"/>
            <w:tcMar>
              <w:left w:w="28" w:type="dxa"/>
              <w:right w:w="28" w:type="dxa"/>
            </w:tcMar>
          </w:tcPr>
          <w:p w14:paraId="037A6F4D" w14:textId="77777777" w:rsidR="007069EE" w:rsidRPr="00A5280D" w:rsidRDefault="007069EE" w:rsidP="002760FA">
            <w:pPr>
              <w:pStyle w:val="TableTextDusc"/>
              <w:keepNext/>
              <w:keepLines/>
            </w:pPr>
            <w:r w:rsidRPr="00A5280D">
              <w:t>30</w:t>
            </w:r>
          </w:p>
        </w:tc>
        <w:tc>
          <w:tcPr>
            <w:tcW w:w="1134" w:type="dxa"/>
            <w:shd w:val="clear" w:color="auto" w:fill="auto"/>
            <w:tcMar>
              <w:left w:w="28" w:type="dxa"/>
              <w:right w:w="28" w:type="dxa"/>
            </w:tcMar>
          </w:tcPr>
          <w:p w14:paraId="0B0C9AB8" w14:textId="77777777" w:rsidR="007069EE" w:rsidRPr="00A5280D" w:rsidRDefault="007069EE" w:rsidP="002760FA">
            <w:pPr>
              <w:pStyle w:val="TableTextDusc"/>
              <w:keepNext/>
              <w:keepLines/>
            </w:pPr>
            <w:r w:rsidRPr="00A5280D">
              <w:t>73%</w:t>
            </w:r>
          </w:p>
        </w:tc>
        <w:tc>
          <w:tcPr>
            <w:tcW w:w="1134" w:type="dxa"/>
            <w:shd w:val="clear" w:color="auto" w:fill="auto"/>
            <w:tcMar>
              <w:left w:w="28" w:type="dxa"/>
              <w:right w:w="28" w:type="dxa"/>
            </w:tcMar>
          </w:tcPr>
          <w:p w14:paraId="7D982BBA" w14:textId="77777777" w:rsidR="007069EE" w:rsidRPr="00A5280D" w:rsidRDefault="007069EE" w:rsidP="002760FA">
            <w:pPr>
              <w:pStyle w:val="TableTextDusc"/>
              <w:keepNext/>
              <w:keepLines/>
            </w:pPr>
            <w:r w:rsidRPr="00A5280D">
              <w:t>87%</w:t>
            </w:r>
          </w:p>
        </w:tc>
        <w:tc>
          <w:tcPr>
            <w:tcW w:w="1134" w:type="dxa"/>
            <w:shd w:val="clear" w:color="auto" w:fill="auto"/>
            <w:tcMar>
              <w:left w:w="28" w:type="dxa"/>
              <w:right w:w="28" w:type="dxa"/>
            </w:tcMar>
          </w:tcPr>
          <w:p w14:paraId="51D28930" w14:textId="77777777" w:rsidR="007069EE" w:rsidRPr="00A5280D" w:rsidRDefault="007069EE" w:rsidP="002760FA">
            <w:pPr>
              <w:pStyle w:val="TableTextDusc"/>
              <w:keepNext/>
              <w:keepLines/>
            </w:pPr>
            <w:r w:rsidRPr="00A5280D">
              <w:t>26%</w:t>
            </w:r>
          </w:p>
        </w:tc>
        <w:tc>
          <w:tcPr>
            <w:tcW w:w="1134" w:type="dxa"/>
            <w:shd w:val="clear" w:color="auto" w:fill="auto"/>
            <w:tcMar>
              <w:left w:w="28" w:type="dxa"/>
              <w:right w:w="28" w:type="dxa"/>
            </w:tcMar>
          </w:tcPr>
          <w:p w14:paraId="14E5D1C7" w14:textId="77777777" w:rsidR="007069EE" w:rsidRPr="00A5280D" w:rsidRDefault="007069EE" w:rsidP="002760FA">
            <w:pPr>
              <w:pStyle w:val="TableTextDusc"/>
              <w:keepNext/>
              <w:keepLines/>
            </w:pPr>
            <w:r w:rsidRPr="00A5280D">
              <w:t>-1.2</w:t>
            </w:r>
          </w:p>
        </w:tc>
        <w:tc>
          <w:tcPr>
            <w:tcW w:w="1134" w:type="dxa"/>
            <w:shd w:val="clear" w:color="auto" w:fill="auto"/>
            <w:tcMar>
              <w:left w:w="28" w:type="dxa"/>
              <w:right w:w="28" w:type="dxa"/>
            </w:tcMar>
          </w:tcPr>
          <w:p w14:paraId="4FAD82E1" w14:textId="77777777" w:rsidR="007069EE" w:rsidRPr="00A5280D" w:rsidRDefault="008C18C0" w:rsidP="002760FA">
            <w:pPr>
              <w:pStyle w:val="TableTextDusc"/>
              <w:keepNext/>
              <w:keepLines/>
            </w:pPr>
            <w:r>
              <w:t>NR</w:t>
            </w:r>
          </w:p>
        </w:tc>
      </w:tr>
      <w:tr w:rsidR="007069EE" w14:paraId="4B1D4458" w14:textId="77777777" w:rsidTr="00A77877">
        <w:trPr>
          <w:cantSplit/>
        </w:trPr>
        <w:tc>
          <w:tcPr>
            <w:tcW w:w="988" w:type="dxa"/>
            <w:vMerge/>
            <w:shd w:val="clear" w:color="auto" w:fill="auto"/>
            <w:tcMar>
              <w:left w:w="28" w:type="dxa"/>
              <w:right w:w="28" w:type="dxa"/>
            </w:tcMar>
          </w:tcPr>
          <w:p w14:paraId="09DD090C" w14:textId="77777777" w:rsidR="007069EE" w:rsidRPr="00A5280D" w:rsidRDefault="007069EE" w:rsidP="002760FA">
            <w:pPr>
              <w:pStyle w:val="TableTextDusc"/>
              <w:keepNext/>
              <w:keepLines/>
            </w:pPr>
          </w:p>
        </w:tc>
        <w:tc>
          <w:tcPr>
            <w:tcW w:w="992" w:type="dxa"/>
            <w:vMerge/>
            <w:shd w:val="clear" w:color="auto" w:fill="auto"/>
            <w:tcMar>
              <w:left w:w="28" w:type="dxa"/>
              <w:right w:w="28" w:type="dxa"/>
            </w:tcMar>
          </w:tcPr>
          <w:p w14:paraId="7FB0BD0A" w14:textId="77777777" w:rsidR="007069EE" w:rsidRPr="00A5280D" w:rsidRDefault="007069EE" w:rsidP="002760FA">
            <w:pPr>
              <w:pStyle w:val="TableTextDusc"/>
              <w:keepNext/>
              <w:keepLines/>
            </w:pPr>
          </w:p>
        </w:tc>
        <w:tc>
          <w:tcPr>
            <w:tcW w:w="709" w:type="dxa"/>
            <w:shd w:val="clear" w:color="auto" w:fill="auto"/>
            <w:tcMar>
              <w:left w:w="28" w:type="dxa"/>
              <w:right w:w="28" w:type="dxa"/>
            </w:tcMar>
          </w:tcPr>
          <w:p w14:paraId="3A5124DD" w14:textId="77777777" w:rsidR="007069EE" w:rsidRPr="00A5280D" w:rsidRDefault="007069EE" w:rsidP="002760FA">
            <w:pPr>
              <w:pStyle w:val="TableTextDusc"/>
              <w:keepNext/>
              <w:keepLines/>
            </w:pPr>
            <w:r w:rsidRPr="00A5280D">
              <w:t>Pbo</w:t>
            </w:r>
          </w:p>
        </w:tc>
        <w:tc>
          <w:tcPr>
            <w:tcW w:w="708" w:type="dxa"/>
            <w:shd w:val="clear" w:color="auto" w:fill="auto"/>
            <w:tcMar>
              <w:left w:w="28" w:type="dxa"/>
              <w:right w:w="28" w:type="dxa"/>
            </w:tcMar>
          </w:tcPr>
          <w:p w14:paraId="5600126B" w14:textId="77777777" w:rsidR="007069EE" w:rsidRPr="00A5280D" w:rsidRDefault="007069EE" w:rsidP="002760FA">
            <w:pPr>
              <w:pStyle w:val="TableTextDusc"/>
              <w:keepNext/>
              <w:keepLines/>
            </w:pPr>
            <w:r w:rsidRPr="00A5280D">
              <w:t>30</w:t>
            </w:r>
          </w:p>
        </w:tc>
        <w:tc>
          <w:tcPr>
            <w:tcW w:w="1134" w:type="dxa"/>
            <w:shd w:val="clear" w:color="auto" w:fill="auto"/>
            <w:tcMar>
              <w:left w:w="28" w:type="dxa"/>
              <w:right w:w="28" w:type="dxa"/>
            </w:tcMar>
          </w:tcPr>
          <w:p w14:paraId="5BCF6E6F" w14:textId="77777777" w:rsidR="007069EE" w:rsidRPr="00A5280D" w:rsidRDefault="007069EE" w:rsidP="002760FA">
            <w:pPr>
              <w:pStyle w:val="TableTextDusc"/>
              <w:keepNext/>
              <w:keepLines/>
            </w:pPr>
            <w:r w:rsidRPr="00A5280D">
              <w:t>13%</w:t>
            </w:r>
          </w:p>
        </w:tc>
        <w:tc>
          <w:tcPr>
            <w:tcW w:w="1134" w:type="dxa"/>
            <w:shd w:val="clear" w:color="auto" w:fill="auto"/>
            <w:tcMar>
              <w:left w:w="28" w:type="dxa"/>
              <w:right w:w="28" w:type="dxa"/>
            </w:tcMar>
          </w:tcPr>
          <w:p w14:paraId="3FCC70D1" w14:textId="77777777" w:rsidR="007069EE" w:rsidRPr="00A5280D" w:rsidRDefault="007069EE" w:rsidP="002760FA">
            <w:pPr>
              <w:pStyle w:val="TableTextDusc"/>
              <w:keepNext/>
              <w:keepLines/>
            </w:pPr>
            <w:r w:rsidRPr="00A5280D">
              <w:t>23%</w:t>
            </w:r>
          </w:p>
        </w:tc>
        <w:tc>
          <w:tcPr>
            <w:tcW w:w="1134" w:type="dxa"/>
            <w:shd w:val="clear" w:color="auto" w:fill="auto"/>
            <w:tcMar>
              <w:left w:w="28" w:type="dxa"/>
              <w:right w:w="28" w:type="dxa"/>
            </w:tcMar>
          </w:tcPr>
          <w:p w14:paraId="2110C942" w14:textId="77777777" w:rsidR="007069EE" w:rsidRPr="00A5280D" w:rsidRDefault="007069EE" w:rsidP="002760FA">
            <w:pPr>
              <w:pStyle w:val="TableTextDusc"/>
              <w:keepNext/>
              <w:keepLines/>
            </w:pPr>
            <w:r w:rsidRPr="00A5280D">
              <w:t>0</w:t>
            </w:r>
          </w:p>
        </w:tc>
        <w:tc>
          <w:tcPr>
            <w:tcW w:w="1134" w:type="dxa"/>
            <w:shd w:val="clear" w:color="auto" w:fill="auto"/>
            <w:tcMar>
              <w:left w:w="28" w:type="dxa"/>
              <w:right w:w="28" w:type="dxa"/>
            </w:tcMar>
          </w:tcPr>
          <w:p w14:paraId="1C05BFD2" w14:textId="77777777" w:rsidR="007069EE" w:rsidRPr="00A5280D" w:rsidRDefault="007069EE" w:rsidP="002760FA">
            <w:pPr>
              <w:pStyle w:val="TableTextDusc"/>
              <w:keepNext/>
              <w:keepLines/>
            </w:pPr>
            <w:r w:rsidRPr="00A5280D">
              <w:t>-0.1</w:t>
            </w:r>
          </w:p>
        </w:tc>
        <w:tc>
          <w:tcPr>
            <w:tcW w:w="1134" w:type="dxa"/>
            <w:shd w:val="clear" w:color="auto" w:fill="auto"/>
            <w:tcMar>
              <w:left w:w="28" w:type="dxa"/>
              <w:right w:w="28" w:type="dxa"/>
            </w:tcMar>
          </w:tcPr>
          <w:p w14:paraId="239CA2C6" w14:textId="77777777" w:rsidR="007069EE" w:rsidRPr="00A5280D" w:rsidRDefault="008C18C0" w:rsidP="002760FA">
            <w:pPr>
              <w:pStyle w:val="TableTextDusc"/>
              <w:keepNext/>
              <w:keepLines/>
            </w:pPr>
            <w:r>
              <w:t>NR</w:t>
            </w:r>
          </w:p>
        </w:tc>
      </w:tr>
      <w:tr w:rsidR="007069EE" w:rsidRPr="003B7D87" w14:paraId="23E8CB92" w14:textId="77777777" w:rsidTr="00A77877">
        <w:trPr>
          <w:cantSplit/>
        </w:trPr>
        <w:tc>
          <w:tcPr>
            <w:tcW w:w="9067" w:type="dxa"/>
            <w:gridSpan w:val="9"/>
            <w:shd w:val="clear" w:color="auto" w:fill="auto"/>
            <w:tcMar>
              <w:left w:w="28" w:type="dxa"/>
              <w:right w:w="28" w:type="dxa"/>
            </w:tcMar>
          </w:tcPr>
          <w:p w14:paraId="3CD3C992" w14:textId="77777777" w:rsidR="007069EE" w:rsidRPr="003B7D87" w:rsidRDefault="007069EE" w:rsidP="002760FA">
            <w:pPr>
              <w:pStyle w:val="TableTextDusc"/>
              <w:keepNext/>
              <w:keepLines/>
              <w:rPr>
                <w:b/>
              </w:rPr>
            </w:pPr>
            <w:r w:rsidRPr="003B7D87">
              <w:rPr>
                <w:b/>
              </w:rPr>
              <w:t>Infliximab</w:t>
            </w:r>
          </w:p>
        </w:tc>
      </w:tr>
      <w:tr w:rsidR="007069EE" w14:paraId="2D1ECE15" w14:textId="77777777" w:rsidTr="00A77877">
        <w:trPr>
          <w:cantSplit/>
        </w:trPr>
        <w:tc>
          <w:tcPr>
            <w:tcW w:w="988" w:type="dxa"/>
            <w:vMerge w:val="restart"/>
            <w:shd w:val="clear" w:color="auto" w:fill="auto"/>
            <w:tcMar>
              <w:left w:w="28" w:type="dxa"/>
              <w:right w:w="28" w:type="dxa"/>
            </w:tcMar>
          </w:tcPr>
          <w:p w14:paraId="34D6583C" w14:textId="77777777" w:rsidR="007069EE" w:rsidRPr="00A5280D" w:rsidRDefault="007069EE" w:rsidP="002760FA">
            <w:pPr>
              <w:pStyle w:val="TableTextDusc"/>
              <w:keepNext/>
              <w:keepLines/>
            </w:pPr>
            <w:r>
              <w:t>IMPACT 2</w:t>
            </w:r>
          </w:p>
        </w:tc>
        <w:tc>
          <w:tcPr>
            <w:tcW w:w="992" w:type="dxa"/>
            <w:vMerge w:val="restart"/>
            <w:shd w:val="clear" w:color="auto" w:fill="auto"/>
            <w:tcMar>
              <w:left w:w="28" w:type="dxa"/>
              <w:right w:w="28" w:type="dxa"/>
            </w:tcMar>
          </w:tcPr>
          <w:p w14:paraId="1E03D87B" w14:textId="77777777" w:rsidR="007069EE" w:rsidRPr="00A5280D" w:rsidRDefault="007069EE" w:rsidP="002760FA">
            <w:pPr>
              <w:pStyle w:val="TableTextDusc"/>
              <w:keepNext/>
              <w:keepLines/>
            </w:pPr>
            <w:r w:rsidRPr="00A5280D">
              <w:t>16 weeks</w:t>
            </w:r>
          </w:p>
        </w:tc>
        <w:tc>
          <w:tcPr>
            <w:tcW w:w="709" w:type="dxa"/>
            <w:shd w:val="clear" w:color="auto" w:fill="auto"/>
            <w:tcMar>
              <w:left w:w="28" w:type="dxa"/>
              <w:right w:w="28" w:type="dxa"/>
            </w:tcMar>
          </w:tcPr>
          <w:p w14:paraId="1494A2A1" w14:textId="77777777" w:rsidR="007069EE" w:rsidRPr="00A5280D" w:rsidRDefault="007069EE" w:rsidP="002760FA">
            <w:pPr>
              <w:pStyle w:val="TableTextDusc"/>
              <w:keepNext/>
              <w:keepLines/>
            </w:pPr>
            <w:r w:rsidRPr="00A5280D">
              <w:t>Inf</w:t>
            </w:r>
            <w:r>
              <w:rPr>
                <w:vertAlign w:val="superscript"/>
              </w:rPr>
              <w:t>4*</w:t>
            </w:r>
          </w:p>
        </w:tc>
        <w:tc>
          <w:tcPr>
            <w:tcW w:w="708" w:type="dxa"/>
            <w:shd w:val="clear" w:color="auto" w:fill="auto"/>
            <w:tcMar>
              <w:left w:w="28" w:type="dxa"/>
              <w:right w:w="28" w:type="dxa"/>
            </w:tcMar>
          </w:tcPr>
          <w:p w14:paraId="252FB9F4" w14:textId="77777777" w:rsidR="007069EE" w:rsidRPr="00A5280D" w:rsidRDefault="007069EE" w:rsidP="002760FA">
            <w:pPr>
              <w:pStyle w:val="TableTextDusc"/>
              <w:keepNext/>
              <w:keepLines/>
            </w:pPr>
            <w:r w:rsidRPr="00A5280D">
              <w:t>100</w:t>
            </w:r>
          </w:p>
        </w:tc>
        <w:tc>
          <w:tcPr>
            <w:tcW w:w="1134" w:type="dxa"/>
            <w:shd w:val="clear" w:color="auto" w:fill="auto"/>
            <w:tcMar>
              <w:left w:w="28" w:type="dxa"/>
              <w:right w:w="28" w:type="dxa"/>
            </w:tcMar>
          </w:tcPr>
          <w:p w14:paraId="32FD99B6" w14:textId="77777777" w:rsidR="007069EE" w:rsidRPr="00A5280D" w:rsidRDefault="007069EE" w:rsidP="002760FA">
            <w:pPr>
              <w:pStyle w:val="TableTextDusc"/>
              <w:keepNext/>
              <w:keepLines/>
            </w:pPr>
            <w:r w:rsidRPr="00A5280D">
              <w:t>58%</w:t>
            </w:r>
          </w:p>
        </w:tc>
        <w:tc>
          <w:tcPr>
            <w:tcW w:w="1134" w:type="dxa"/>
            <w:shd w:val="clear" w:color="auto" w:fill="auto"/>
            <w:tcMar>
              <w:left w:w="28" w:type="dxa"/>
              <w:right w:w="28" w:type="dxa"/>
            </w:tcMar>
          </w:tcPr>
          <w:p w14:paraId="45FEAD50" w14:textId="77777777" w:rsidR="007069EE" w:rsidRPr="00A5280D" w:rsidRDefault="007069EE" w:rsidP="002760FA">
            <w:pPr>
              <w:pStyle w:val="TableTextDusc"/>
              <w:keepNext/>
              <w:keepLines/>
            </w:pPr>
            <w:r w:rsidRPr="00A5280D">
              <w:t>77%</w:t>
            </w:r>
          </w:p>
        </w:tc>
        <w:tc>
          <w:tcPr>
            <w:tcW w:w="1134" w:type="dxa"/>
            <w:shd w:val="clear" w:color="auto" w:fill="auto"/>
            <w:tcMar>
              <w:left w:w="28" w:type="dxa"/>
              <w:right w:w="28" w:type="dxa"/>
            </w:tcMar>
          </w:tcPr>
          <w:p w14:paraId="564BB9DE" w14:textId="77777777" w:rsidR="007069EE" w:rsidRPr="00A5280D" w:rsidRDefault="007069EE" w:rsidP="002760FA">
            <w:pPr>
              <w:pStyle w:val="TableTextDusc"/>
              <w:keepNext/>
              <w:keepLines/>
            </w:pPr>
            <w:r w:rsidRPr="00A5280D">
              <w:t>64%</w:t>
            </w:r>
          </w:p>
        </w:tc>
        <w:tc>
          <w:tcPr>
            <w:tcW w:w="1134" w:type="dxa"/>
            <w:shd w:val="clear" w:color="auto" w:fill="auto"/>
            <w:tcMar>
              <w:left w:w="28" w:type="dxa"/>
              <w:right w:w="28" w:type="dxa"/>
            </w:tcMar>
          </w:tcPr>
          <w:p w14:paraId="32265164" w14:textId="77777777" w:rsidR="007069EE" w:rsidRPr="00A5280D" w:rsidRDefault="008C18C0" w:rsidP="002760FA">
            <w:pPr>
              <w:pStyle w:val="TableTextDusc"/>
              <w:keepNext/>
              <w:keepLines/>
            </w:pPr>
            <w:r>
              <w:t>NR</w:t>
            </w:r>
          </w:p>
        </w:tc>
        <w:tc>
          <w:tcPr>
            <w:tcW w:w="1134" w:type="dxa"/>
            <w:shd w:val="clear" w:color="auto" w:fill="auto"/>
            <w:tcMar>
              <w:left w:w="28" w:type="dxa"/>
              <w:right w:w="28" w:type="dxa"/>
            </w:tcMar>
          </w:tcPr>
          <w:p w14:paraId="030D37B5" w14:textId="77777777" w:rsidR="007069EE" w:rsidRPr="00A5280D" w:rsidRDefault="008C18C0" w:rsidP="002760FA">
            <w:pPr>
              <w:pStyle w:val="TableTextDusc"/>
              <w:keepNext/>
              <w:keepLines/>
            </w:pPr>
            <w:r>
              <w:t>NR</w:t>
            </w:r>
          </w:p>
        </w:tc>
      </w:tr>
      <w:tr w:rsidR="007069EE" w14:paraId="2BB19B54" w14:textId="77777777" w:rsidTr="00A77877">
        <w:trPr>
          <w:cantSplit/>
        </w:trPr>
        <w:tc>
          <w:tcPr>
            <w:tcW w:w="988" w:type="dxa"/>
            <w:vMerge/>
            <w:shd w:val="clear" w:color="auto" w:fill="auto"/>
            <w:tcMar>
              <w:left w:w="28" w:type="dxa"/>
              <w:right w:w="28" w:type="dxa"/>
            </w:tcMar>
          </w:tcPr>
          <w:p w14:paraId="11D4BF5F" w14:textId="77777777" w:rsidR="007069EE" w:rsidRPr="00A5280D" w:rsidRDefault="007069EE" w:rsidP="002760FA">
            <w:pPr>
              <w:pStyle w:val="TableTextDusc"/>
              <w:keepNext/>
              <w:keepLines/>
            </w:pPr>
          </w:p>
        </w:tc>
        <w:tc>
          <w:tcPr>
            <w:tcW w:w="992" w:type="dxa"/>
            <w:vMerge/>
            <w:shd w:val="clear" w:color="auto" w:fill="auto"/>
            <w:tcMar>
              <w:left w:w="28" w:type="dxa"/>
              <w:right w:w="28" w:type="dxa"/>
            </w:tcMar>
          </w:tcPr>
          <w:p w14:paraId="29BE4B6C" w14:textId="77777777" w:rsidR="007069EE" w:rsidRPr="00A5280D" w:rsidRDefault="007069EE" w:rsidP="002760FA">
            <w:pPr>
              <w:pStyle w:val="TableTextDusc"/>
              <w:keepNext/>
              <w:keepLines/>
            </w:pPr>
          </w:p>
        </w:tc>
        <w:tc>
          <w:tcPr>
            <w:tcW w:w="709" w:type="dxa"/>
            <w:shd w:val="clear" w:color="auto" w:fill="auto"/>
            <w:tcMar>
              <w:left w:w="28" w:type="dxa"/>
              <w:right w:w="28" w:type="dxa"/>
            </w:tcMar>
          </w:tcPr>
          <w:p w14:paraId="046032A6" w14:textId="77777777" w:rsidR="007069EE" w:rsidRPr="00A5280D" w:rsidRDefault="007069EE" w:rsidP="002760FA">
            <w:pPr>
              <w:pStyle w:val="TableTextDusc"/>
              <w:keepNext/>
              <w:keepLines/>
            </w:pPr>
            <w:r w:rsidRPr="00A5280D">
              <w:t>Pbo</w:t>
            </w:r>
          </w:p>
        </w:tc>
        <w:tc>
          <w:tcPr>
            <w:tcW w:w="708" w:type="dxa"/>
            <w:shd w:val="clear" w:color="auto" w:fill="auto"/>
            <w:tcMar>
              <w:left w:w="28" w:type="dxa"/>
              <w:right w:w="28" w:type="dxa"/>
            </w:tcMar>
          </w:tcPr>
          <w:p w14:paraId="7983B78F" w14:textId="77777777" w:rsidR="007069EE" w:rsidRPr="00A5280D" w:rsidRDefault="007069EE" w:rsidP="002760FA">
            <w:pPr>
              <w:pStyle w:val="TableTextDusc"/>
              <w:keepNext/>
              <w:keepLines/>
            </w:pPr>
            <w:r w:rsidRPr="00A5280D">
              <w:t>100</w:t>
            </w:r>
          </w:p>
        </w:tc>
        <w:tc>
          <w:tcPr>
            <w:tcW w:w="1134" w:type="dxa"/>
            <w:shd w:val="clear" w:color="auto" w:fill="auto"/>
            <w:tcMar>
              <w:left w:w="28" w:type="dxa"/>
              <w:right w:w="28" w:type="dxa"/>
            </w:tcMar>
          </w:tcPr>
          <w:p w14:paraId="4D25DE10" w14:textId="77777777" w:rsidR="007069EE" w:rsidRPr="00A5280D" w:rsidRDefault="007069EE" w:rsidP="002760FA">
            <w:pPr>
              <w:pStyle w:val="TableTextDusc"/>
              <w:keepNext/>
              <w:keepLines/>
            </w:pPr>
            <w:r w:rsidRPr="00A5280D">
              <w:t>11%</w:t>
            </w:r>
          </w:p>
        </w:tc>
        <w:tc>
          <w:tcPr>
            <w:tcW w:w="1134" w:type="dxa"/>
            <w:shd w:val="clear" w:color="auto" w:fill="auto"/>
            <w:tcMar>
              <w:left w:w="28" w:type="dxa"/>
              <w:right w:w="28" w:type="dxa"/>
            </w:tcMar>
          </w:tcPr>
          <w:p w14:paraId="40C4E20E" w14:textId="77777777" w:rsidR="007069EE" w:rsidRPr="00A5280D" w:rsidRDefault="007069EE" w:rsidP="002760FA">
            <w:pPr>
              <w:pStyle w:val="TableTextDusc"/>
              <w:keepNext/>
              <w:keepLines/>
            </w:pPr>
            <w:r w:rsidRPr="00A5280D">
              <w:t>27%</w:t>
            </w:r>
          </w:p>
        </w:tc>
        <w:tc>
          <w:tcPr>
            <w:tcW w:w="1134" w:type="dxa"/>
            <w:shd w:val="clear" w:color="auto" w:fill="auto"/>
            <w:tcMar>
              <w:left w:w="28" w:type="dxa"/>
              <w:right w:w="28" w:type="dxa"/>
            </w:tcMar>
          </w:tcPr>
          <w:p w14:paraId="5C210F8C" w14:textId="77777777" w:rsidR="007069EE" w:rsidRPr="00A5280D" w:rsidRDefault="007069EE" w:rsidP="002760FA">
            <w:pPr>
              <w:pStyle w:val="TableTextDusc"/>
              <w:keepNext/>
              <w:keepLines/>
            </w:pPr>
            <w:r w:rsidRPr="00A5280D">
              <w:t>2%</w:t>
            </w:r>
          </w:p>
        </w:tc>
        <w:tc>
          <w:tcPr>
            <w:tcW w:w="1134" w:type="dxa"/>
            <w:shd w:val="clear" w:color="auto" w:fill="auto"/>
            <w:tcMar>
              <w:left w:w="28" w:type="dxa"/>
              <w:right w:w="28" w:type="dxa"/>
            </w:tcMar>
          </w:tcPr>
          <w:p w14:paraId="7B5E4D3D" w14:textId="77777777" w:rsidR="007069EE" w:rsidRPr="00A5280D" w:rsidRDefault="008C18C0" w:rsidP="002760FA">
            <w:pPr>
              <w:pStyle w:val="TableTextDusc"/>
              <w:keepNext/>
              <w:keepLines/>
            </w:pPr>
            <w:r>
              <w:t>NR</w:t>
            </w:r>
          </w:p>
        </w:tc>
        <w:tc>
          <w:tcPr>
            <w:tcW w:w="1134" w:type="dxa"/>
            <w:shd w:val="clear" w:color="auto" w:fill="auto"/>
            <w:tcMar>
              <w:left w:w="28" w:type="dxa"/>
              <w:right w:w="28" w:type="dxa"/>
            </w:tcMar>
          </w:tcPr>
          <w:p w14:paraId="6BC62620" w14:textId="77777777" w:rsidR="007069EE" w:rsidRPr="00A5280D" w:rsidRDefault="008C18C0" w:rsidP="002760FA">
            <w:pPr>
              <w:pStyle w:val="TableTextDusc"/>
              <w:keepNext/>
              <w:keepLines/>
            </w:pPr>
            <w:r>
              <w:t>NR</w:t>
            </w:r>
          </w:p>
        </w:tc>
      </w:tr>
      <w:tr w:rsidR="007069EE" w14:paraId="6187A926" w14:textId="77777777" w:rsidTr="00A77877">
        <w:trPr>
          <w:cantSplit/>
        </w:trPr>
        <w:tc>
          <w:tcPr>
            <w:tcW w:w="988" w:type="dxa"/>
            <w:vMerge/>
            <w:shd w:val="clear" w:color="auto" w:fill="auto"/>
            <w:tcMar>
              <w:left w:w="28" w:type="dxa"/>
              <w:right w:w="28" w:type="dxa"/>
            </w:tcMar>
          </w:tcPr>
          <w:p w14:paraId="57A0A92D" w14:textId="77777777" w:rsidR="007069EE" w:rsidRPr="00A5280D" w:rsidRDefault="007069EE" w:rsidP="002760FA">
            <w:pPr>
              <w:pStyle w:val="TableTextDusc"/>
              <w:keepNext/>
              <w:keepLines/>
            </w:pPr>
          </w:p>
        </w:tc>
        <w:tc>
          <w:tcPr>
            <w:tcW w:w="992" w:type="dxa"/>
            <w:vMerge w:val="restart"/>
            <w:shd w:val="clear" w:color="auto" w:fill="auto"/>
            <w:tcMar>
              <w:left w:w="28" w:type="dxa"/>
              <w:right w:w="28" w:type="dxa"/>
            </w:tcMar>
          </w:tcPr>
          <w:p w14:paraId="4986FE03" w14:textId="77777777" w:rsidR="007069EE" w:rsidRPr="00A5280D" w:rsidRDefault="007069EE" w:rsidP="002760FA">
            <w:pPr>
              <w:pStyle w:val="TableTextDusc"/>
              <w:keepNext/>
              <w:keepLines/>
            </w:pPr>
            <w:r w:rsidRPr="00A5280D">
              <w:t>24 weeks</w:t>
            </w:r>
          </w:p>
        </w:tc>
        <w:tc>
          <w:tcPr>
            <w:tcW w:w="709" w:type="dxa"/>
            <w:shd w:val="clear" w:color="auto" w:fill="auto"/>
            <w:tcMar>
              <w:left w:w="28" w:type="dxa"/>
              <w:right w:w="28" w:type="dxa"/>
            </w:tcMar>
          </w:tcPr>
          <w:p w14:paraId="5ACB8AAF" w14:textId="77777777" w:rsidR="007069EE" w:rsidRPr="00A5280D" w:rsidRDefault="007069EE" w:rsidP="002760FA">
            <w:pPr>
              <w:pStyle w:val="TableTextDusc"/>
              <w:keepNext/>
              <w:keepLines/>
            </w:pPr>
            <w:r w:rsidRPr="00A5280D">
              <w:t>Inf</w:t>
            </w:r>
            <w:r>
              <w:rPr>
                <w:vertAlign w:val="superscript"/>
              </w:rPr>
              <w:t>4*</w:t>
            </w:r>
          </w:p>
        </w:tc>
        <w:tc>
          <w:tcPr>
            <w:tcW w:w="708" w:type="dxa"/>
            <w:shd w:val="clear" w:color="auto" w:fill="auto"/>
            <w:tcMar>
              <w:left w:w="28" w:type="dxa"/>
              <w:right w:w="28" w:type="dxa"/>
            </w:tcMar>
          </w:tcPr>
          <w:p w14:paraId="4D94545C" w14:textId="77777777" w:rsidR="007069EE" w:rsidRPr="00A5280D" w:rsidRDefault="007069EE" w:rsidP="002760FA">
            <w:pPr>
              <w:pStyle w:val="TableTextDusc"/>
              <w:keepNext/>
              <w:keepLines/>
            </w:pPr>
            <w:r w:rsidRPr="00A5280D">
              <w:t>100</w:t>
            </w:r>
          </w:p>
        </w:tc>
        <w:tc>
          <w:tcPr>
            <w:tcW w:w="1134" w:type="dxa"/>
            <w:shd w:val="clear" w:color="auto" w:fill="auto"/>
            <w:tcMar>
              <w:left w:w="28" w:type="dxa"/>
              <w:right w:w="28" w:type="dxa"/>
            </w:tcMar>
          </w:tcPr>
          <w:p w14:paraId="4E751FC4" w14:textId="77777777" w:rsidR="007069EE" w:rsidRPr="00A5280D" w:rsidRDefault="007069EE" w:rsidP="002760FA">
            <w:pPr>
              <w:pStyle w:val="TableTextDusc"/>
              <w:keepNext/>
              <w:keepLines/>
            </w:pPr>
            <w:r w:rsidRPr="00A5280D">
              <w:t>54%</w:t>
            </w:r>
          </w:p>
        </w:tc>
        <w:tc>
          <w:tcPr>
            <w:tcW w:w="1134" w:type="dxa"/>
            <w:shd w:val="clear" w:color="auto" w:fill="auto"/>
            <w:tcMar>
              <w:left w:w="28" w:type="dxa"/>
              <w:right w:w="28" w:type="dxa"/>
            </w:tcMar>
          </w:tcPr>
          <w:p w14:paraId="7E5093F1" w14:textId="77777777" w:rsidR="007069EE" w:rsidRPr="00A5280D" w:rsidRDefault="007069EE" w:rsidP="002760FA">
            <w:pPr>
              <w:pStyle w:val="TableTextDusc"/>
              <w:keepNext/>
              <w:keepLines/>
            </w:pPr>
            <w:r w:rsidRPr="00A5280D">
              <w:t>70%</w:t>
            </w:r>
          </w:p>
        </w:tc>
        <w:tc>
          <w:tcPr>
            <w:tcW w:w="1134" w:type="dxa"/>
            <w:shd w:val="clear" w:color="auto" w:fill="auto"/>
            <w:tcMar>
              <w:left w:w="28" w:type="dxa"/>
              <w:right w:w="28" w:type="dxa"/>
            </w:tcMar>
          </w:tcPr>
          <w:p w14:paraId="74487A69" w14:textId="77777777" w:rsidR="007069EE" w:rsidRPr="00A5280D" w:rsidRDefault="007069EE" w:rsidP="002760FA">
            <w:pPr>
              <w:pStyle w:val="TableTextDusc"/>
              <w:keepNext/>
              <w:keepLines/>
            </w:pPr>
            <w:r w:rsidRPr="00A5280D">
              <w:t>60%</w:t>
            </w:r>
          </w:p>
        </w:tc>
        <w:tc>
          <w:tcPr>
            <w:tcW w:w="1134" w:type="dxa"/>
            <w:shd w:val="clear" w:color="auto" w:fill="auto"/>
            <w:tcMar>
              <w:left w:w="28" w:type="dxa"/>
              <w:right w:w="28" w:type="dxa"/>
            </w:tcMar>
          </w:tcPr>
          <w:p w14:paraId="1B8D03B6" w14:textId="77777777" w:rsidR="007069EE" w:rsidRPr="00A5280D" w:rsidRDefault="008C18C0" w:rsidP="002760FA">
            <w:pPr>
              <w:pStyle w:val="TableTextDusc"/>
              <w:keepNext/>
              <w:keepLines/>
            </w:pPr>
            <w:r>
              <w:t>NR</w:t>
            </w:r>
          </w:p>
        </w:tc>
        <w:tc>
          <w:tcPr>
            <w:tcW w:w="1134" w:type="dxa"/>
            <w:shd w:val="clear" w:color="auto" w:fill="auto"/>
            <w:tcMar>
              <w:left w:w="28" w:type="dxa"/>
              <w:right w:w="28" w:type="dxa"/>
            </w:tcMar>
          </w:tcPr>
          <w:p w14:paraId="0BD41072" w14:textId="77777777" w:rsidR="007069EE" w:rsidRPr="00A5280D" w:rsidRDefault="008C18C0" w:rsidP="002760FA">
            <w:pPr>
              <w:pStyle w:val="TableTextDusc"/>
              <w:keepNext/>
              <w:keepLines/>
            </w:pPr>
            <w:r>
              <w:t>NR</w:t>
            </w:r>
          </w:p>
        </w:tc>
      </w:tr>
      <w:tr w:rsidR="007069EE" w14:paraId="1147DEB0" w14:textId="77777777" w:rsidTr="00A77877">
        <w:trPr>
          <w:cantSplit/>
          <w:trHeight w:val="95"/>
        </w:trPr>
        <w:tc>
          <w:tcPr>
            <w:tcW w:w="988" w:type="dxa"/>
            <w:vMerge/>
            <w:shd w:val="clear" w:color="auto" w:fill="auto"/>
            <w:tcMar>
              <w:left w:w="28" w:type="dxa"/>
              <w:right w:w="28" w:type="dxa"/>
            </w:tcMar>
          </w:tcPr>
          <w:p w14:paraId="2C70F870" w14:textId="77777777" w:rsidR="007069EE" w:rsidRPr="00A5280D" w:rsidRDefault="007069EE" w:rsidP="002760FA">
            <w:pPr>
              <w:pStyle w:val="TableTextDusc"/>
              <w:keepNext/>
              <w:keepLines/>
            </w:pPr>
          </w:p>
        </w:tc>
        <w:tc>
          <w:tcPr>
            <w:tcW w:w="992" w:type="dxa"/>
            <w:vMerge/>
            <w:shd w:val="clear" w:color="auto" w:fill="auto"/>
            <w:tcMar>
              <w:left w:w="28" w:type="dxa"/>
              <w:right w:w="28" w:type="dxa"/>
            </w:tcMar>
          </w:tcPr>
          <w:p w14:paraId="04F7AE2B" w14:textId="77777777" w:rsidR="007069EE" w:rsidRPr="00A5280D" w:rsidRDefault="007069EE" w:rsidP="002760FA">
            <w:pPr>
              <w:pStyle w:val="TableTextDusc"/>
              <w:keepNext/>
              <w:keepLines/>
            </w:pPr>
          </w:p>
        </w:tc>
        <w:tc>
          <w:tcPr>
            <w:tcW w:w="709" w:type="dxa"/>
            <w:shd w:val="clear" w:color="auto" w:fill="auto"/>
            <w:tcMar>
              <w:left w:w="28" w:type="dxa"/>
              <w:right w:w="28" w:type="dxa"/>
            </w:tcMar>
          </w:tcPr>
          <w:p w14:paraId="2CE1540E" w14:textId="77777777" w:rsidR="007069EE" w:rsidRPr="00A5280D" w:rsidRDefault="007069EE" w:rsidP="002760FA">
            <w:pPr>
              <w:pStyle w:val="TableTextDusc"/>
              <w:keepNext/>
              <w:keepLines/>
            </w:pPr>
            <w:r w:rsidRPr="00A5280D">
              <w:t>Pbo</w:t>
            </w:r>
          </w:p>
        </w:tc>
        <w:tc>
          <w:tcPr>
            <w:tcW w:w="708" w:type="dxa"/>
            <w:shd w:val="clear" w:color="auto" w:fill="auto"/>
            <w:tcMar>
              <w:left w:w="28" w:type="dxa"/>
              <w:right w:w="28" w:type="dxa"/>
            </w:tcMar>
          </w:tcPr>
          <w:p w14:paraId="5B626BE9" w14:textId="77777777" w:rsidR="007069EE" w:rsidRPr="00A5280D" w:rsidRDefault="007069EE" w:rsidP="002760FA">
            <w:pPr>
              <w:pStyle w:val="TableTextDusc"/>
              <w:keepNext/>
              <w:keepLines/>
            </w:pPr>
            <w:r w:rsidRPr="00A5280D">
              <w:t>100</w:t>
            </w:r>
          </w:p>
        </w:tc>
        <w:tc>
          <w:tcPr>
            <w:tcW w:w="1134" w:type="dxa"/>
            <w:shd w:val="clear" w:color="auto" w:fill="auto"/>
            <w:tcMar>
              <w:left w:w="28" w:type="dxa"/>
              <w:right w:w="28" w:type="dxa"/>
            </w:tcMar>
          </w:tcPr>
          <w:p w14:paraId="69D2A6C7" w14:textId="77777777" w:rsidR="007069EE" w:rsidRPr="00A5280D" w:rsidRDefault="007069EE" w:rsidP="002760FA">
            <w:pPr>
              <w:pStyle w:val="TableTextDusc"/>
              <w:keepNext/>
              <w:keepLines/>
            </w:pPr>
            <w:r w:rsidRPr="00A5280D">
              <w:t>16%</w:t>
            </w:r>
          </w:p>
        </w:tc>
        <w:tc>
          <w:tcPr>
            <w:tcW w:w="1134" w:type="dxa"/>
            <w:shd w:val="clear" w:color="auto" w:fill="auto"/>
            <w:tcMar>
              <w:left w:w="28" w:type="dxa"/>
              <w:right w:w="28" w:type="dxa"/>
            </w:tcMar>
          </w:tcPr>
          <w:p w14:paraId="51551807" w14:textId="77777777" w:rsidR="007069EE" w:rsidRPr="00A5280D" w:rsidRDefault="007069EE" w:rsidP="002760FA">
            <w:pPr>
              <w:pStyle w:val="TableTextDusc"/>
              <w:keepNext/>
              <w:keepLines/>
            </w:pPr>
            <w:r w:rsidRPr="00A5280D">
              <w:t>32%</w:t>
            </w:r>
          </w:p>
        </w:tc>
        <w:tc>
          <w:tcPr>
            <w:tcW w:w="1134" w:type="dxa"/>
            <w:shd w:val="clear" w:color="auto" w:fill="auto"/>
            <w:tcMar>
              <w:left w:w="28" w:type="dxa"/>
              <w:right w:w="28" w:type="dxa"/>
            </w:tcMar>
          </w:tcPr>
          <w:p w14:paraId="4887A86C" w14:textId="77777777" w:rsidR="007069EE" w:rsidRPr="00A5280D" w:rsidRDefault="007069EE" w:rsidP="002760FA">
            <w:pPr>
              <w:pStyle w:val="TableTextDusc"/>
              <w:keepNext/>
              <w:keepLines/>
            </w:pPr>
            <w:r w:rsidRPr="00A5280D">
              <w:t>1%</w:t>
            </w:r>
          </w:p>
        </w:tc>
        <w:tc>
          <w:tcPr>
            <w:tcW w:w="1134" w:type="dxa"/>
            <w:shd w:val="clear" w:color="auto" w:fill="auto"/>
            <w:tcMar>
              <w:left w:w="28" w:type="dxa"/>
              <w:right w:w="28" w:type="dxa"/>
            </w:tcMar>
          </w:tcPr>
          <w:p w14:paraId="175515F2" w14:textId="77777777" w:rsidR="007069EE" w:rsidRPr="00A5280D" w:rsidRDefault="008C18C0" w:rsidP="002760FA">
            <w:pPr>
              <w:pStyle w:val="TableTextDusc"/>
              <w:keepNext/>
              <w:keepLines/>
            </w:pPr>
            <w:r>
              <w:t>NR</w:t>
            </w:r>
          </w:p>
        </w:tc>
        <w:tc>
          <w:tcPr>
            <w:tcW w:w="1134" w:type="dxa"/>
            <w:shd w:val="clear" w:color="auto" w:fill="auto"/>
            <w:tcMar>
              <w:left w:w="28" w:type="dxa"/>
              <w:right w:w="28" w:type="dxa"/>
            </w:tcMar>
          </w:tcPr>
          <w:p w14:paraId="3637AF2B" w14:textId="77777777" w:rsidR="007069EE" w:rsidRPr="00A5280D" w:rsidRDefault="008C18C0" w:rsidP="002760FA">
            <w:pPr>
              <w:pStyle w:val="TableTextDusc"/>
              <w:keepNext/>
              <w:keepLines/>
            </w:pPr>
            <w:r>
              <w:t>NR</w:t>
            </w:r>
          </w:p>
        </w:tc>
      </w:tr>
      <w:tr w:rsidR="007069EE" w:rsidRPr="003B7D87" w14:paraId="095C9333" w14:textId="77777777" w:rsidTr="00A77877">
        <w:trPr>
          <w:cantSplit/>
          <w:trHeight w:val="95"/>
        </w:trPr>
        <w:tc>
          <w:tcPr>
            <w:tcW w:w="9067" w:type="dxa"/>
            <w:gridSpan w:val="9"/>
            <w:shd w:val="clear" w:color="auto" w:fill="auto"/>
            <w:tcMar>
              <w:left w:w="28" w:type="dxa"/>
              <w:right w:w="28" w:type="dxa"/>
            </w:tcMar>
          </w:tcPr>
          <w:p w14:paraId="0D36C628" w14:textId="77777777" w:rsidR="007069EE" w:rsidRPr="003B7D87" w:rsidRDefault="007069EE" w:rsidP="002760FA">
            <w:pPr>
              <w:pStyle w:val="TableTextDusc"/>
              <w:keepNext/>
              <w:keepLines/>
              <w:rPr>
                <w:b/>
              </w:rPr>
            </w:pPr>
            <w:r w:rsidRPr="003B7D87">
              <w:rPr>
                <w:b/>
              </w:rPr>
              <w:t>Secukinumab</w:t>
            </w:r>
          </w:p>
        </w:tc>
      </w:tr>
      <w:tr w:rsidR="007069EE" w14:paraId="65FEFE03" w14:textId="77777777" w:rsidTr="00A77877">
        <w:trPr>
          <w:cantSplit/>
          <w:trHeight w:val="95"/>
        </w:trPr>
        <w:tc>
          <w:tcPr>
            <w:tcW w:w="988" w:type="dxa"/>
            <w:vMerge w:val="restart"/>
            <w:shd w:val="clear" w:color="auto" w:fill="auto"/>
            <w:tcMar>
              <w:left w:w="28" w:type="dxa"/>
              <w:right w:w="28" w:type="dxa"/>
            </w:tcMar>
          </w:tcPr>
          <w:p w14:paraId="3F87B483" w14:textId="77777777" w:rsidR="007069EE" w:rsidRPr="00A5280D" w:rsidRDefault="007069EE" w:rsidP="002760FA">
            <w:pPr>
              <w:pStyle w:val="TableTextDusc"/>
              <w:keepNext/>
              <w:keepLines/>
            </w:pPr>
            <w:r>
              <w:t>FUTURE 2</w:t>
            </w:r>
          </w:p>
        </w:tc>
        <w:tc>
          <w:tcPr>
            <w:tcW w:w="992" w:type="dxa"/>
            <w:vMerge w:val="restart"/>
            <w:shd w:val="clear" w:color="auto" w:fill="auto"/>
            <w:tcMar>
              <w:left w:w="28" w:type="dxa"/>
              <w:right w:w="28" w:type="dxa"/>
            </w:tcMar>
          </w:tcPr>
          <w:p w14:paraId="5424ED24" w14:textId="77777777" w:rsidR="007069EE" w:rsidRPr="00A5280D" w:rsidRDefault="007069EE" w:rsidP="002760FA">
            <w:pPr>
              <w:pStyle w:val="TableTextDusc"/>
              <w:keepNext/>
              <w:keepLines/>
            </w:pPr>
            <w:r>
              <w:t>16 weeks</w:t>
            </w:r>
          </w:p>
        </w:tc>
        <w:tc>
          <w:tcPr>
            <w:tcW w:w="709" w:type="dxa"/>
            <w:shd w:val="clear" w:color="auto" w:fill="auto"/>
            <w:tcMar>
              <w:left w:w="28" w:type="dxa"/>
              <w:right w:w="28" w:type="dxa"/>
            </w:tcMar>
          </w:tcPr>
          <w:p w14:paraId="27AA58F8" w14:textId="77777777" w:rsidR="007069EE" w:rsidRPr="00A5280D" w:rsidRDefault="007069EE" w:rsidP="002760FA">
            <w:pPr>
              <w:pStyle w:val="TableTextDusc"/>
              <w:keepNext/>
              <w:keepLines/>
            </w:pPr>
            <w:r>
              <w:t>Sec</w:t>
            </w:r>
            <w:r>
              <w:rPr>
                <w:vertAlign w:val="superscript"/>
              </w:rPr>
              <w:t>5</w:t>
            </w:r>
          </w:p>
        </w:tc>
        <w:tc>
          <w:tcPr>
            <w:tcW w:w="708" w:type="dxa"/>
            <w:shd w:val="clear" w:color="auto" w:fill="auto"/>
            <w:tcMar>
              <w:left w:w="28" w:type="dxa"/>
              <w:right w:w="28" w:type="dxa"/>
            </w:tcMar>
          </w:tcPr>
          <w:p w14:paraId="4D23E23B" w14:textId="77777777" w:rsidR="007069EE" w:rsidRPr="00A5280D" w:rsidRDefault="007069EE" w:rsidP="002760FA">
            <w:pPr>
              <w:pStyle w:val="TableTextDusc"/>
              <w:keepNext/>
              <w:keepLines/>
            </w:pPr>
            <w:r>
              <w:t>99</w:t>
            </w:r>
          </w:p>
        </w:tc>
        <w:tc>
          <w:tcPr>
            <w:tcW w:w="1134" w:type="dxa"/>
            <w:shd w:val="clear" w:color="auto" w:fill="auto"/>
            <w:tcMar>
              <w:left w:w="28" w:type="dxa"/>
              <w:right w:w="28" w:type="dxa"/>
            </w:tcMar>
          </w:tcPr>
          <w:p w14:paraId="74AADDDA" w14:textId="77777777" w:rsidR="007069EE" w:rsidRPr="00CB1EED" w:rsidRDefault="007069EE" w:rsidP="002760FA">
            <w:pPr>
              <w:pStyle w:val="TableTextDusc"/>
              <w:keepNext/>
              <w:keepLines/>
            </w:pPr>
            <w:r w:rsidRPr="00CB1EED">
              <w:t>29%</w:t>
            </w:r>
          </w:p>
        </w:tc>
        <w:tc>
          <w:tcPr>
            <w:tcW w:w="1134" w:type="dxa"/>
            <w:shd w:val="clear" w:color="auto" w:fill="auto"/>
            <w:tcMar>
              <w:left w:w="28" w:type="dxa"/>
              <w:right w:w="28" w:type="dxa"/>
            </w:tcMar>
          </w:tcPr>
          <w:p w14:paraId="5A0DEE07" w14:textId="77777777" w:rsidR="007069EE" w:rsidRPr="00CB1EED" w:rsidRDefault="008C18C0" w:rsidP="002760FA">
            <w:pPr>
              <w:pStyle w:val="TableTextDusc"/>
              <w:keepNext/>
              <w:keepLines/>
            </w:pPr>
            <w:r>
              <w:t>NR</w:t>
            </w:r>
          </w:p>
        </w:tc>
        <w:tc>
          <w:tcPr>
            <w:tcW w:w="1134" w:type="dxa"/>
            <w:shd w:val="clear" w:color="auto" w:fill="auto"/>
            <w:tcMar>
              <w:left w:w="28" w:type="dxa"/>
              <w:right w:w="28" w:type="dxa"/>
            </w:tcMar>
          </w:tcPr>
          <w:p w14:paraId="637169DE" w14:textId="77777777" w:rsidR="007069EE" w:rsidRPr="00CB1EED" w:rsidRDefault="007069EE" w:rsidP="002760FA">
            <w:pPr>
              <w:pStyle w:val="TableTextDusc"/>
              <w:keepNext/>
              <w:keepLines/>
            </w:pPr>
            <w:r w:rsidRPr="00CB1EED">
              <w:t>28%</w:t>
            </w:r>
          </w:p>
        </w:tc>
        <w:tc>
          <w:tcPr>
            <w:tcW w:w="1134" w:type="dxa"/>
            <w:shd w:val="clear" w:color="auto" w:fill="auto"/>
            <w:tcMar>
              <w:left w:w="28" w:type="dxa"/>
              <w:right w:w="28" w:type="dxa"/>
            </w:tcMar>
          </w:tcPr>
          <w:p w14:paraId="10F755FF" w14:textId="77777777" w:rsidR="007069EE" w:rsidRPr="00CB1EED" w:rsidRDefault="007069EE" w:rsidP="002760FA">
            <w:pPr>
              <w:pStyle w:val="TableTextDusc"/>
              <w:keepNext/>
              <w:keepLines/>
            </w:pPr>
            <w:r w:rsidRPr="00CB1EED">
              <w:t>-0.3 (0.</w:t>
            </w:r>
            <w:r>
              <w:t>1</w:t>
            </w:r>
            <w:r w:rsidRPr="00CB1EED">
              <w:t>)</w:t>
            </w:r>
          </w:p>
        </w:tc>
        <w:tc>
          <w:tcPr>
            <w:tcW w:w="1134" w:type="dxa"/>
            <w:shd w:val="clear" w:color="auto" w:fill="auto"/>
            <w:tcMar>
              <w:left w:w="28" w:type="dxa"/>
              <w:right w:w="28" w:type="dxa"/>
            </w:tcMar>
          </w:tcPr>
          <w:p w14:paraId="7BAAE423" w14:textId="77777777" w:rsidR="007069EE" w:rsidRDefault="008C18C0" w:rsidP="002760FA">
            <w:pPr>
              <w:pStyle w:val="TableTextDusc"/>
              <w:keepNext/>
              <w:keepLines/>
            </w:pPr>
            <w:r>
              <w:t>NR</w:t>
            </w:r>
          </w:p>
        </w:tc>
      </w:tr>
      <w:tr w:rsidR="007069EE" w14:paraId="6AAB8CED" w14:textId="77777777" w:rsidTr="00A77877">
        <w:trPr>
          <w:cantSplit/>
          <w:trHeight w:val="95"/>
        </w:trPr>
        <w:tc>
          <w:tcPr>
            <w:tcW w:w="988" w:type="dxa"/>
            <w:vMerge/>
            <w:shd w:val="clear" w:color="auto" w:fill="auto"/>
            <w:tcMar>
              <w:left w:w="28" w:type="dxa"/>
              <w:right w:w="28" w:type="dxa"/>
            </w:tcMar>
          </w:tcPr>
          <w:p w14:paraId="02639721" w14:textId="77777777" w:rsidR="007069EE" w:rsidRPr="00A5280D" w:rsidRDefault="007069EE" w:rsidP="002760FA">
            <w:pPr>
              <w:pStyle w:val="TableTextDusc"/>
              <w:keepNext/>
              <w:keepLines/>
            </w:pPr>
          </w:p>
        </w:tc>
        <w:tc>
          <w:tcPr>
            <w:tcW w:w="992" w:type="dxa"/>
            <w:vMerge/>
            <w:shd w:val="clear" w:color="auto" w:fill="auto"/>
            <w:tcMar>
              <w:left w:w="28" w:type="dxa"/>
              <w:right w:w="28" w:type="dxa"/>
            </w:tcMar>
          </w:tcPr>
          <w:p w14:paraId="41A97EE4" w14:textId="77777777" w:rsidR="007069EE" w:rsidRPr="00A5280D" w:rsidRDefault="007069EE" w:rsidP="002760FA">
            <w:pPr>
              <w:pStyle w:val="TableTextDusc"/>
              <w:keepNext/>
              <w:keepLines/>
            </w:pPr>
          </w:p>
        </w:tc>
        <w:tc>
          <w:tcPr>
            <w:tcW w:w="709" w:type="dxa"/>
            <w:shd w:val="clear" w:color="auto" w:fill="auto"/>
            <w:tcMar>
              <w:left w:w="28" w:type="dxa"/>
              <w:right w:w="28" w:type="dxa"/>
            </w:tcMar>
          </w:tcPr>
          <w:p w14:paraId="1E75C99F" w14:textId="77777777" w:rsidR="007069EE" w:rsidRPr="00A5280D" w:rsidRDefault="007069EE" w:rsidP="002760FA">
            <w:pPr>
              <w:pStyle w:val="TableTextDusc"/>
              <w:keepNext/>
              <w:keepLines/>
            </w:pPr>
            <w:r>
              <w:t>Sec</w:t>
            </w:r>
            <w:r>
              <w:rPr>
                <w:vertAlign w:val="superscript"/>
              </w:rPr>
              <w:t>6*</w:t>
            </w:r>
          </w:p>
        </w:tc>
        <w:tc>
          <w:tcPr>
            <w:tcW w:w="708" w:type="dxa"/>
            <w:shd w:val="clear" w:color="auto" w:fill="auto"/>
            <w:tcMar>
              <w:left w:w="28" w:type="dxa"/>
              <w:right w:w="28" w:type="dxa"/>
            </w:tcMar>
          </w:tcPr>
          <w:p w14:paraId="27C4AC9C" w14:textId="77777777" w:rsidR="007069EE" w:rsidRPr="00A5280D" w:rsidRDefault="007069EE" w:rsidP="002760FA">
            <w:pPr>
              <w:pStyle w:val="TableTextDusc"/>
              <w:keepNext/>
              <w:keepLines/>
            </w:pPr>
            <w:r>
              <w:t>100</w:t>
            </w:r>
          </w:p>
        </w:tc>
        <w:tc>
          <w:tcPr>
            <w:tcW w:w="1134" w:type="dxa"/>
            <w:shd w:val="clear" w:color="auto" w:fill="auto"/>
            <w:tcMar>
              <w:left w:w="28" w:type="dxa"/>
              <w:right w:w="28" w:type="dxa"/>
            </w:tcMar>
          </w:tcPr>
          <w:p w14:paraId="3F1E99F7" w14:textId="77777777" w:rsidR="007069EE" w:rsidRPr="00CB1EED" w:rsidRDefault="007069EE" w:rsidP="002760FA">
            <w:pPr>
              <w:pStyle w:val="TableTextDusc"/>
              <w:keepNext/>
              <w:keepLines/>
            </w:pPr>
            <w:r w:rsidRPr="00CB1EED">
              <w:t>51%</w:t>
            </w:r>
          </w:p>
        </w:tc>
        <w:tc>
          <w:tcPr>
            <w:tcW w:w="1134" w:type="dxa"/>
            <w:shd w:val="clear" w:color="auto" w:fill="auto"/>
            <w:tcMar>
              <w:left w:w="28" w:type="dxa"/>
              <w:right w:w="28" w:type="dxa"/>
            </w:tcMar>
          </w:tcPr>
          <w:p w14:paraId="1405628A" w14:textId="77777777" w:rsidR="007069EE" w:rsidRPr="00CB1EED" w:rsidRDefault="008C18C0" w:rsidP="002760FA">
            <w:pPr>
              <w:pStyle w:val="TableTextDusc"/>
              <w:keepNext/>
              <w:keepLines/>
            </w:pPr>
            <w:r>
              <w:t>NR</w:t>
            </w:r>
          </w:p>
        </w:tc>
        <w:tc>
          <w:tcPr>
            <w:tcW w:w="1134" w:type="dxa"/>
            <w:shd w:val="clear" w:color="auto" w:fill="auto"/>
            <w:tcMar>
              <w:left w:w="28" w:type="dxa"/>
              <w:right w:w="28" w:type="dxa"/>
            </w:tcMar>
          </w:tcPr>
          <w:p w14:paraId="2DA1F863" w14:textId="77777777" w:rsidR="007069EE" w:rsidRPr="00CB1EED" w:rsidRDefault="007069EE" w:rsidP="002760FA">
            <w:pPr>
              <w:pStyle w:val="TableTextDusc"/>
              <w:keepNext/>
              <w:keepLines/>
            </w:pPr>
            <w:r w:rsidRPr="00CB1EED">
              <w:t>48%</w:t>
            </w:r>
          </w:p>
        </w:tc>
        <w:tc>
          <w:tcPr>
            <w:tcW w:w="1134" w:type="dxa"/>
            <w:shd w:val="clear" w:color="auto" w:fill="auto"/>
            <w:tcMar>
              <w:left w:w="28" w:type="dxa"/>
              <w:right w:w="28" w:type="dxa"/>
            </w:tcMar>
          </w:tcPr>
          <w:p w14:paraId="39C2C6E8" w14:textId="77777777" w:rsidR="007069EE" w:rsidRPr="00CB1EED" w:rsidRDefault="007069EE" w:rsidP="002760FA">
            <w:pPr>
              <w:pStyle w:val="TableTextDusc"/>
              <w:keepNext/>
              <w:keepLines/>
            </w:pPr>
            <w:r w:rsidRPr="00CB1EED">
              <w:t>-0.</w:t>
            </w:r>
            <w:r>
              <w:t>5</w:t>
            </w:r>
            <w:r w:rsidRPr="00CB1EED">
              <w:t xml:space="preserve"> (0.</w:t>
            </w:r>
            <w:r>
              <w:t>1</w:t>
            </w:r>
            <w:r w:rsidRPr="00CB1EED">
              <w:t>)</w:t>
            </w:r>
          </w:p>
        </w:tc>
        <w:tc>
          <w:tcPr>
            <w:tcW w:w="1134" w:type="dxa"/>
            <w:shd w:val="clear" w:color="auto" w:fill="auto"/>
            <w:tcMar>
              <w:left w:w="28" w:type="dxa"/>
              <w:right w:w="28" w:type="dxa"/>
            </w:tcMar>
          </w:tcPr>
          <w:p w14:paraId="00557D10" w14:textId="77777777" w:rsidR="007069EE" w:rsidRDefault="008C18C0" w:rsidP="002760FA">
            <w:pPr>
              <w:pStyle w:val="TableTextDusc"/>
              <w:keepNext/>
              <w:keepLines/>
            </w:pPr>
            <w:r>
              <w:t>NR</w:t>
            </w:r>
          </w:p>
        </w:tc>
      </w:tr>
      <w:tr w:rsidR="007069EE" w14:paraId="2FC2911E" w14:textId="77777777" w:rsidTr="00A77877">
        <w:trPr>
          <w:cantSplit/>
          <w:trHeight w:val="95"/>
        </w:trPr>
        <w:tc>
          <w:tcPr>
            <w:tcW w:w="988" w:type="dxa"/>
            <w:vMerge/>
            <w:shd w:val="clear" w:color="auto" w:fill="auto"/>
            <w:tcMar>
              <w:left w:w="28" w:type="dxa"/>
              <w:right w:w="28" w:type="dxa"/>
            </w:tcMar>
          </w:tcPr>
          <w:p w14:paraId="524A5031" w14:textId="77777777" w:rsidR="007069EE" w:rsidRPr="00A5280D" w:rsidRDefault="007069EE" w:rsidP="002760FA">
            <w:pPr>
              <w:pStyle w:val="TableTextDusc"/>
              <w:keepNext/>
              <w:keepLines/>
            </w:pPr>
          </w:p>
        </w:tc>
        <w:tc>
          <w:tcPr>
            <w:tcW w:w="992" w:type="dxa"/>
            <w:vMerge/>
            <w:shd w:val="clear" w:color="auto" w:fill="auto"/>
            <w:tcMar>
              <w:left w:w="28" w:type="dxa"/>
              <w:right w:w="28" w:type="dxa"/>
            </w:tcMar>
          </w:tcPr>
          <w:p w14:paraId="07F345D7" w14:textId="77777777" w:rsidR="007069EE" w:rsidRPr="00A5280D" w:rsidRDefault="007069EE" w:rsidP="002760FA">
            <w:pPr>
              <w:pStyle w:val="TableTextDusc"/>
              <w:keepNext/>
              <w:keepLines/>
            </w:pPr>
          </w:p>
        </w:tc>
        <w:tc>
          <w:tcPr>
            <w:tcW w:w="709" w:type="dxa"/>
            <w:shd w:val="clear" w:color="auto" w:fill="auto"/>
            <w:tcMar>
              <w:left w:w="28" w:type="dxa"/>
              <w:right w:w="28" w:type="dxa"/>
            </w:tcMar>
          </w:tcPr>
          <w:p w14:paraId="1ACAFB03" w14:textId="77777777" w:rsidR="007069EE" w:rsidRPr="00A5280D" w:rsidRDefault="007069EE" w:rsidP="002760FA">
            <w:pPr>
              <w:pStyle w:val="TableTextDusc"/>
              <w:keepNext/>
              <w:keepLines/>
            </w:pPr>
            <w:r>
              <w:t>Sec</w:t>
            </w:r>
            <w:r>
              <w:rPr>
                <w:vertAlign w:val="superscript"/>
              </w:rPr>
              <w:t>7*</w:t>
            </w:r>
          </w:p>
        </w:tc>
        <w:tc>
          <w:tcPr>
            <w:tcW w:w="708" w:type="dxa"/>
            <w:shd w:val="clear" w:color="auto" w:fill="auto"/>
            <w:tcMar>
              <w:left w:w="28" w:type="dxa"/>
              <w:right w:w="28" w:type="dxa"/>
            </w:tcMar>
          </w:tcPr>
          <w:p w14:paraId="780C5483" w14:textId="77777777" w:rsidR="007069EE" w:rsidRPr="00A5280D" w:rsidRDefault="007069EE" w:rsidP="002760FA">
            <w:pPr>
              <w:pStyle w:val="TableTextDusc"/>
              <w:keepNext/>
              <w:keepLines/>
            </w:pPr>
            <w:r>
              <w:t>100</w:t>
            </w:r>
          </w:p>
        </w:tc>
        <w:tc>
          <w:tcPr>
            <w:tcW w:w="1134" w:type="dxa"/>
            <w:shd w:val="clear" w:color="auto" w:fill="auto"/>
            <w:tcMar>
              <w:left w:w="28" w:type="dxa"/>
              <w:right w:w="28" w:type="dxa"/>
            </w:tcMar>
          </w:tcPr>
          <w:p w14:paraId="0C132F29" w14:textId="77777777" w:rsidR="007069EE" w:rsidRPr="00CB1EED" w:rsidRDefault="007069EE" w:rsidP="002760FA">
            <w:pPr>
              <w:pStyle w:val="TableTextDusc"/>
              <w:keepNext/>
              <w:keepLines/>
            </w:pPr>
            <w:r w:rsidRPr="00CB1EED">
              <w:t>54%</w:t>
            </w:r>
          </w:p>
        </w:tc>
        <w:tc>
          <w:tcPr>
            <w:tcW w:w="1134" w:type="dxa"/>
            <w:shd w:val="clear" w:color="auto" w:fill="auto"/>
            <w:tcMar>
              <w:left w:w="28" w:type="dxa"/>
              <w:right w:w="28" w:type="dxa"/>
            </w:tcMar>
          </w:tcPr>
          <w:p w14:paraId="5704FE40" w14:textId="77777777" w:rsidR="007069EE" w:rsidRPr="00CB1EED" w:rsidRDefault="008C18C0" w:rsidP="002760FA">
            <w:pPr>
              <w:pStyle w:val="TableTextDusc"/>
              <w:keepNext/>
              <w:keepLines/>
            </w:pPr>
            <w:r>
              <w:t>NR</w:t>
            </w:r>
          </w:p>
        </w:tc>
        <w:tc>
          <w:tcPr>
            <w:tcW w:w="1134" w:type="dxa"/>
            <w:shd w:val="clear" w:color="auto" w:fill="auto"/>
            <w:tcMar>
              <w:left w:w="28" w:type="dxa"/>
              <w:right w:w="28" w:type="dxa"/>
            </w:tcMar>
          </w:tcPr>
          <w:p w14:paraId="759ACC97" w14:textId="77777777" w:rsidR="007069EE" w:rsidRPr="00CB1EED" w:rsidRDefault="007069EE" w:rsidP="002760FA">
            <w:pPr>
              <w:pStyle w:val="TableTextDusc"/>
              <w:keepNext/>
              <w:keepLines/>
            </w:pPr>
            <w:r w:rsidRPr="00CB1EED">
              <w:t>63%</w:t>
            </w:r>
          </w:p>
        </w:tc>
        <w:tc>
          <w:tcPr>
            <w:tcW w:w="1134" w:type="dxa"/>
            <w:shd w:val="clear" w:color="auto" w:fill="auto"/>
            <w:tcMar>
              <w:left w:w="28" w:type="dxa"/>
              <w:right w:w="28" w:type="dxa"/>
            </w:tcMar>
          </w:tcPr>
          <w:p w14:paraId="4EA7B9E9" w14:textId="77777777" w:rsidR="007069EE" w:rsidRPr="00CB1EED" w:rsidRDefault="007069EE" w:rsidP="002760FA">
            <w:pPr>
              <w:pStyle w:val="TableTextDusc"/>
              <w:keepNext/>
              <w:keepLines/>
            </w:pPr>
            <w:r w:rsidRPr="00CB1EED">
              <w:t>-0.6 (0.</w:t>
            </w:r>
            <w:r>
              <w:t>1</w:t>
            </w:r>
            <w:r w:rsidRPr="00CB1EED">
              <w:t>)</w:t>
            </w:r>
          </w:p>
        </w:tc>
        <w:tc>
          <w:tcPr>
            <w:tcW w:w="1134" w:type="dxa"/>
            <w:shd w:val="clear" w:color="auto" w:fill="auto"/>
            <w:tcMar>
              <w:left w:w="28" w:type="dxa"/>
              <w:right w:w="28" w:type="dxa"/>
            </w:tcMar>
          </w:tcPr>
          <w:p w14:paraId="1393FFA1" w14:textId="77777777" w:rsidR="007069EE" w:rsidRDefault="008C18C0" w:rsidP="002760FA">
            <w:pPr>
              <w:pStyle w:val="TableTextDusc"/>
              <w:keepNext/>
              <w:keepLines/>
            </w:pPr>
            <w:r>
              <w:t>NR</w:t>
            </w:r>
          </w:p>
        </w:tc>
      </w:tr>
      <w:tr w:rsidR="007069EE" w14:paraId="2EFAE24A" w14:textId="77777777" w:rsidTr="00A77877">
        <w:trPr>
          <w:cantSplit/>
          <w:trHeight w:val="95"/>
        </w:trPr>
        <w:tc>
          <w:tcPr>
            <w:tcW w:w="988" w:type="dxa"/>
            <w:vMerge/>
            <w:shd w:val="clear" w:color="auto" w:fill="auto"/>
            <w:tcMar>
              <w:left w:w="28" w:type="dxa"/>
              <w:right w:w="28" w:type="dxa"/>
            </w:tcMar>
          </w:tcPr>
          <w:p w14:paraId="5645E644" w14:textId="77777777" w:rsidR="007069EE" w:rsidRPr="00A5280D" w:rsidRDefault="007069EE" w:rsidP="002760FA">
            <w:pPr>
              <w:pStyle w:val="TableTextDusc"/>
              <w:keepNext/>
              <w:keepLines/>
            </w:pPr>
          </w:p>
        </w:tc>
        <w:tc>
          <w:tcPr>
            <w:tcW w:w="992" w:type="dxa"/>
            <w:vMerge/>
            <w:shd w:val="clear" w:color="auto" w:fill="auto"/>
            <w:tcMar>
              <w:left w:w="28" w:type="dxa"/>
              <w:right w:w="28" w:type="dxa"/>
            </w:tcMar>
          </w:tcPr>
          <w:p w14:paraId="529FABA6" w14:textId="77777777" w:rsidR="007069EE" w:rsidRPr="00A5280D" w:rsidRDefault="007069EE" w:rsidP="002760FA">
            <w:pPr>
              <w:pStyle w:val="TableTextDusc"/>
              <w:keepNext/>
              <w:keepLines/>
            </w:pPr>
          </w:p>
        </w:tc>
        <w:tc>
          <w:tcPr>
            <w:tcW w:w="709" w:type="dxa"/>
            <w:shd w:val="clear" w:color="auto" w:fill="auto"/>
            <w:tcMar>
              <w:left w:w="28" w:type="dxa"/>
              <w:right w:w="28" w:type="dxa"/>
            </w:tcMar>
          </w:tcPr>
          <w:p w14:paraId="5288DD30" w14:textId="77777777" w:rsidR="007069EE" w:rsidRPr="00A5280D" w:rsidRDefault="007069EE" w:rsidP="002760FA">
            <w:pPr>
              <w:pStyle w:val="TableTextDusc"/>
              <w:keepNext/>
              <w:keepLines/>
            </w:pPr>
            <w:r>
              <w:t>Pbo</w:t>
            </w:r>
          </w:p>
        </w:tc>
        <w:tc>
          <w:tcPr>
            <w:tcW w:w="708" w:type="dxa"/>
            <w:shd w:val="clear" w:color="auto" w:fill="auto"/>
            <w:tcMar>
              <w:left w:w="28" w:type="dxa"/>
              <w:right w:w="28" w:type="dxa"/>
            </w:tcMar>
          </w:tcPr>
          <w:p w14:paraId="679A6B21" w14:textId="77777777" w:rsidR="007069EE" w:rsidRPr="00A5280D" w:rsidRDefault="007069EE" w:rsidP="002760FA">
            <w:pPr>
              <w:pStyle w:val="TableTextDusc"/>
              <w:keepNext/>
              <w:keepLines/>
            </w:pPr>
            <w:r>
              <w:t>98</w:t>
            </w:r>
          </w:p>
        </w:tc>
        <w:tc>
          <w:tcPr>
            <w:tcW w:w="1134" w:type="dxa"/>
            <w:shd w:val="clear" w:color="auto" w:fill="auto"/>
            <w:tcMar>
              <w:left w:w="28" w:type="dxa"/>
              <w:right w:w="28" w:type="dxa"/>
            </w:tcMar>
          </w:tcPr>
          <w:p w14:paraId="2A0CB206" w14:textId="77777777" w:rsidR="007069EE" w:rsidRPr="00CB1EED" w:rsidRDefault="007069EE" w:rsidP="002760FA">
            <w:pPr>
              <w:pStyle w:val="TableTextDusc"/>
              <w:keepNext/>
              <w:keepLines/>
            </w:pPr>
            <w:r w:rsidRPr="00CB1EED">
              <w:t>15%</w:t>
            </w:r>
          </w:p>
        </w:tc>
        <w:tc>
          <w:tcPr>
            <w:tcW w:w="1134" w:type="dxa"/>
            <w:shd w:val="clear" w:color="auto" w:fill="auto"/>
            <w:tcMar>
              <w:left w:w="28" w:type="dxa"/>
              <w:right w:w="28" w:type="dxa"/>
            </w:tcMar>
          </w:tcPr>
          <w:p w14:paraId="44164C46" w14:textId="77777777" w:rsidR="007069EE" w:rsidRPr="00CB1EED" w:rsidRDefault="008C18C0" w:rsidP="002760FA">
            <w:pPr>
              <w:pStyle w:val="TableTextDusc"/>
              <w:keepNext/>
              <w:keepLines/>
            </w:pPr>
            <w:r>
              <w:t>NR</w:t>
            </w:r>
          </w:p>
        </w:tc>
        <w:tc>
          <w:tcPr>
            <w:tcW w:w="1134" w:type="dxa"/>
            <w:shd w:val="clear" w:color="auto" w:fill="auto"/>
            <w:tcMar>
              <w:left w:w="28" w:type="dxa"/>
              <w:right w:w="28" w:type="dxa"/>
            </w:tcMar>
          </w:tcPr>
          <w:p w14:paraId="2678E6D5" w14:textId="77777777" w:rsidR="007069EE" w:rsidRPr="00CB1EED" w:rsidRDefault="007069EE" w:rsidP="002760FA">
            <w:pPr>
              <w:pStyle w:val="TableTextDusc"/>
              <w:keepNext/>
              <w:keepLines/>
            </w:pPr>
            <w:r w:rsidRPr="00CB1EED">
              <w:t>16%</w:t>
            </w:r>
          </w:p>
        </w:tc>
        <w:tc>
          <w:tcPr>
            <w:tcW w:w="1134" w:type="dxa"/>
            <w:shd w:val="clear" w:color="auto" w:fill="auto"/>
            <w:tcMar>
              <w:left w:w="28" w:type="dxa"/>
              <w:right w:w="28" w:type="dxa"/>
            </w:tcMar>
          </w:tcPr>
          <w:p w14:paraId="073C4536" w14:textId="77777777" w:rsidR="007069EE" w:rsidRPr="00CB1EED" w:rsidRDefault="007069EE" w:rsidP="002760FA">
            <w:pPr>
              <w:pStyle w:val="TableTextDusc"/>
              <w:keepNext/>
              <w:keepLines/>
            </w:pPr>
            <w:r w:rsidRPr="00CB1EED">
              <w:t>-0.3 (0.</w:t>
            </w:r>
            <w:r>
              <w:t>1)</w:t>
            </w:r>
          </w:p>
        </w:tc>
        <w:tc>
          <w:tcPr>
            <w:tcW w:w="1134" w:type="dxa"/>
            <w:shd w:val="clear" w:color="auto" w:fill="auto"/>
            <w:tcMar>
              <w:left w:w="28" w:type="dxa"/>
              <w:right w:w="28" w:type="dxa"/>
            </w:tcMar>
          </w:tcPr>
          <w:p w14:paraId="2E37D533" w14:textId="77777777" w:rsidR="007069EE" w:rsidRDefault="008C18C0" w:rsidP="002760FA">
            <w:pPr>
              <w:pStyle w:val="TableTextDusc"/>
              <w:keepNext/>
              <w:keepLines/>
            </w:pPr>
            <w:r>
              <w:t>NR</w:t>
            </w:r>
          </w:p>
        </w:tc>
      </w:tr>
    </w:tbl>
    <w:p w14:paraId="69C805C6" w14:textId="77777777" w:rsidR="007069EE" w:rsidRDefault="007069EE" w:rsidP="002760FA">
      <w:pPr>
        <w:pStyle w:val="TableFooter"/>
        <w:keepNext/>
        <w:keepLines/>
        <w:rPr>
          <w:i/>
        </w:rPr>
      </w:pPr>
      <w:r>
        <w:t xml:space="preserve">ARC 20 = reduction in American College of Rheumatology score of 20%; CPP = chronic plaque psoriasis; DLQI = Dermatology Life Quality Index; Etan = etanercept; HAQ DI = Health Assessment Questionnaire Disability Index; Inf = infliximab; IV = intravenous; </w:t>
      </w:r>
      <w:r w:rsidR="008C18C0">
        <w:t xml:space="preserve">NR = not reported; </w:t>
      </w:r>
      <w:r>
        <w:t>PASI 75 = reduction in Psoriasis Area and Severity Index score of 75%; PI = Product Information; Pbo = placebo; PsA = psoriatic arthritis; PsARC = Psoriatic Arthritis Response Criteria; SC = subcutaneous; SD = standard deviation; Sec = secukinumab</w:t>
      </w:r>
    </w:p>
    <w:p w14:paraId="3992756A" w14:textId="77777777" w:rsidR="007069EE" w:rsidRDefault="007069EE" w:rsidP="002760FA">
      <w:pPr>
        <w:pStyle w:val="TableFooter"/>
        <w:keepNext/>
        <w:keepLines/>
      </w:pPr>
      <w:r>
        <w:rPr>
          <w:vertAlign w:val="superscript"/>
        </w:rPr>
        <w:t>1*</w:t>
      </w:r>
      <w:r>
        <w:t xml:space="preserve"> Etanercept 25 mg SC twice weekly (PI recommended dose)</w:t>
      </w:r>
    </w:p>
    <w:p w14:paraId="42AF4058" w14:textId="77777777" w:rsidR="007069EE" w:rsidRDefault="007069EE" w:rsidP="002760FA">
      <w:pPr>
        <w:pStyle w:val="TableFooter"/>
        <w:keepNext/>
        <w:keepLines/>
      </w:pPr>
      <w:r w:rsidRPr="00543132">
        <w:rPr>
          <w:vertAlign w:val="superscript"/>
        </w:rPr>
        <w:t>2</w:t>
      </w:r>
      <w:r>
        <w:rPr>
          <w:vertAlign w:val="superscript"/>
        </w:rPr>
        <w:t>*</w:t>
      </w:r>
      <w:r>
        <w:t xml:space="preserve"> Etanercept 50 mg SC once weekly (PI recommended dose)</w:t>
      </w:r>
    </w:p>
    <w:p w14:paraId="58444BD4" w14:textId="77777777" w:rsidR="007069EE" w:rsidRDefault="007069EE" w:rsidP="002760FA">
      <w:pPr>
        <w:pStyle w:val="TableFooter"/>
        <w:keepNext/>
        <w:keepLines/>
      </w:pPr>
      <w:r w:rsidRPr="00543132">
        <w:rPr>
          <w:vertAlign w:val="superscript"/>
        </w:rPr>
        <w:t>3</w:t>
      </w:r>
      <w:r>
        <w:t xml:space="preserve"> Etanercept 50 mg SC twice weekly</w:t>
      </w:r>
    </w:p>
    <w:p w14:paraId="4F1DF861" w14:textId="77777777" w:rsidR="007069EE" w:rsidRDefault="007069EE" w:rsidP="002760FA">
      <w:pPr>
        <w:pStyle w:val="TableFooter"/>
        <w:keepNext/>
        <w:keepLines/>
      </w:pPr>
      <w:r>
        <w:rPr>
          <w:vertAlign w:val="superscript"/>
        </w:rPr>
        <w:t>4*</w:t>
      </w:r>
      <w:r>
        <w:t xml:space="preserve"> Infliximab 5 mg/kg IV at Weeks 0, 2, 6; then every 8 weeks (PI recommended dose)</w:t>
      </w:r>
    </w:p>
    <w:p w14:paraId="4BCE7E73" w14:textId="77777777" w:rsidR="007069EE" w:rsidRDefault="007069EE" w:rsidP="002760FA">
      <w:pPr>
        <w:pStyle w:val="TableFooter"/>
        <w:keepNext/>
        <w:keepLines/>
      </w:pPr>
      <w:r>
        <w:rPr>
          <w:vertAlign w:val="superscript"/>
        </w:rPr>
        <w:t>5</w:t>
      </w:r>
      <w:r>
        <w:t xml:space="preserve"> Secukinumab 75 mg SC at Weeks 0, 1, 2, 3, 4; then every 4 weeks</w:t>
      </w:r>
    </w:p>
    <w:p w14:paraId="4BD5DA1E" w14:textId="77777777" w:rsidR="007069EE" w:rsidRDefault="007069EE" w:rsidP="002760FA">
      <w:pPr>
        <w:pStyle w:val="TableFooter"/>
        <w:keepNext/>
        <w:keepLines/>
      </w:pPr>
      <w:r>
        <w:rPr>
          <w:vertAlign w:val="superscript"/>
        </w:rPr>
        <w:t>6*</w:t>
      </w:r>
      <w:r>
        <w:t xml:space="preserve"> Secukinumab 150 mg SC at Weeks 0, 1, 2, 3, 4; then every 4 weeks (PI recommended dose, PsA)</w:t>
      </w:r>
    </w:p>
    <w:p w14:paraId="661D90A8" w14:textId="77777777" w:rsidR="007069EE" w:rsidRDefault="007069EE" w:rsidP="002760FA">
      <w:pPr>
        <w:pStyle w:val="TableFooter"/>
        <w:keepNext/>
        <w:keepLines/>
      </w:pPr>
      <w:r>
        <w:rPr>
          <w:vertAlign w:val="superscript"/>
        </w:rPr>
        <w:t>7*</w:t>
      </w:r>
      <w:r>
        <w:t xml:space="preserve"> Secukinumab 300 mg SC at Weeks 0, 1, 2, 3, 4; then every 4 weeks (PI recommended dose, CPP)</w:t>
      </w:r>
    </w:p>
    <w:p w14:paraId="17435C1E" w14:textId="77777777" w:rsidR="004409AA" w:rsidRDefault="004409AA" w:rsidP="00A77877">
      <w:pPr>
        <w:pStyle w:val="TableFooter"/>
      </w:pPr>
    </w:p>
    <w:p w14:paraId="0E31B1A2" w14:textId="78A68D80" w:rsidR="004409AA" w:rsidRDefault="004409AA" w:rsidP="004409AA">
      <w:r>
        <w:lastRenderedPageBreak/>
        <w:t xml:space="preserve">Although  ToR2 focussed on the effectiveness of the PBS-listed biologics on PsA, some safety data was identified in the systematic literature review. Overall, the safety results from these trials were similar to those in the severe CPP trials. </w:t>
      </w:r>
    </w:p>
    <w:p w14:paraId="23785950" w14:textId="77777777" w:rsidR="00972FFA" w:rsidRDefault="002A7E2D" w:rsidP="002A7E2D">
      <w:pPr>
        <w:pStyle w:val="MDsubHead3"/>
      </w:pPr>
      <w:r>
        <w:t>Children</w:t>
      </w:r>
    </w:p>
    <w:p w14:paraId="5B071426" w14:textId="288F69CD" w:rsidR="00CA5350" w:rsidRDefault="009E4833" w:rsidP="00A77877">
      <w:r>
        <w:t>Of the PBS-listed biologics for the treatment of severe CPP in adults, only etanercept is listed on the PBS for the treatment of severe CPP in children.</w:t>
      </w:r>
      <w:r w:rsidRPr="009E4833">
        <w:t xml:space="preserve"> The systematic literature review identified three trials, with five related publications, relating to the use of the PBS-listed biologics for the treatment of severe CPP in children: one trial each considering adalimumab, etanercept and ustekinumab.</w:t>
      </w:r>
      <w:r w:rsidR="00CA5350">
        <w:t xml:space="preserve"> Each trial demonstrated that the biologics were better than placebo at reaching PASI 75.</w:t>
      </w:r>
    </w:p>
    <w:p w14:paraId="399CD796" w14:textId="77777777" w:rsidR="00CA5350" w:rsidRDefault="00A75F73" w:rsidP="002760FA">
      <w:pPr>
        <w:pStyle w:val="MDTabCaption"/>
        <w:keepLines/>
      </w:pPr>
      <w:bookmarkStart w:id="78" w:name="_Ref494365066"/>
      <w:bookmarkStart w:id="79" w:name="_Toc503275006"/>
      <w:r>
        <w:t>Table ES.</w:t>
      </w:r>
      <w:r w:rsidR="00E92AD5">
        <w:t>16</w:t>
      </w:r>
      <w:bookmarkEnd w:id="78"/>
      <w:r w:rsidR="00CA5350">
        <w:t>: Biologics in children and adolescents: efficacy results</w:t>
      </w:r>
      <w:bookmarkEnd w:id="79"/>
    </w:p>
    <w:tbl>
      <w:tblPr>
        <w:tblStyle w:val="TableGrid"/>
        <w:tblW w:w="5000" w:type="pct"/>
        <w:tblLook w:val="04A0" w:firstRow="1" w:lastRow="0" w:firstColumn="1" w:lastColumn="0" w:noHBand="0" w:noVBand="1"/>
        <w:tblCaption w:val="Table ES.9: Biologics in children and adolescents: efficacy results"/>
        <w:tblDescription w:val="Table ES.9: Biologics in children and adolescents: efficacy results"/>
      </w:tblPr>
      <w:tblGrid>
        <w:gridCol w:w="1749"/>
        <w:gridCol w:w="1598"/>
        <w:gridCol w:w="1073"/>
        <w:gridCol w:w="1073"/>
        <w:gridCol w:w="932"/>
        <w:gridCol w:w="1253"/>
        <w:gridCol w:w="1338"/>
      </w:tblGrid>
      <w:tr w:rsidR="00CA5350" w:rsidRPr="00F42E93" w14:paraId="3AB0B9C4" w14:textId="77777777" w:rsidTr="00F42E93">
        <w:trPr>
          <w:tblHeader/>
        </w:trPr>
        <w:tc>
          <w:tcPr>
            <w:tcW w:w="970" w:type="pct"/>
            <w:shd w:val="clear" w:color="auto" w:fill="A6A6A6" w:themeFill="background1" w:themeFillShade="A6"/>
            <w:tcMar>
              <w:left w:w="28" w:type="dxa"/>
              <w:right w:w="28" w:type="dxa"/>
            </w:tcMar>
          </w:tcPr>
          <w:p w14:paraId="510770E7" w14:textId="77777777" w:rsidR="00CA5350" w:rsidRPr="00F42E93" w:rsidRDefault="00CA5350" w:rsidP="002760FA">
            <w:pPr>
              <w:pStyle w:val="TableTextDusc"/>
              <w:keepNext/>
              <w:keepLines/>
              <w:rPr>
                <w:b/>
              </w:rPr>
            </w:pPr>
            <w:r w:rsidRPr="00F42E93">
              <w:rPr>
                <w:b/>
              </w:rPr>
              <w:t>Trial</w:t>
            </w:r>
          </w:p>
        </w:tc>
        <w:tc>
          <w:tcPr>
            <w:tcW w:w="886" w:type="pct"/>
            <w:shd w:val="clear" w:color="auto" w:fill="A6A6A6" w:themeFill="background1" w:themeFillShade="A6"/>
            <w:tcMar>
              <w:left w:w="28" w:type="dxa"/>
              <w:right w:w="28" w:type="dxa"/>
            </w:tcMar>
          </w:tcPr>
          <w:p w14:paraId="25833ED6" w14:textId="77777777" w:rsidR="00CA5350" w:rsidRPr="00F42E93" w:rsidRDefault="00CA5350" w:rsidP="002760FA">
            <w:pPr>
              <w:pStyle w:val="TableTextDusc"/>
              <w:keepNext/>
              <w:keepLines/>
              <w:rPr>
                <w:b/>
              </w:rPr>
            </w:pPr>
            <w:r w:rsidRPr="00F42E93">
              <w:rPr>
                <w:b/>
              </w:rPr>
              <w:t>Time horizon</w:t>
            </w:r>
          </w:p>
        </w:tc>
        <w:tc>
          <w:tcPr>
            <w:tcW w:w="595" w:type="pct"/>
            <w:shd w:val="clear" w:color="auto" w:fill="A6A6A6" w:themeFill="background1" w:themeFillShade="A6"/>
          </w:tcPr>
          <w:p w14:paraId="370E6751" w14:textId="77777777" w:rsidR="00CA5350" w:rsidRPr="00F42E93" w:rsidRDefault="00CA5350" w:rsidP="002760FA">
            <w:pPr>
              <w:pStyle w:val="TableTextDusc"/>
              <w:keepNext/>
              <w:keepLines/>
              <w:rPr>
                <w:b/>
              </w:rPr>
            </w:pPr>
            <w:r w:rsidRPr="00F42E93">
              <w:rPr>
                <w:b/>
              </w:rPr>
              <w:t>Age</w:t>
            </w:r>
          </w:p>
        </w:tc>
        <w:tc>
          <w:tcPr>
            <w:tcW w:w="595" w:type="pct"/>
            <w:shd w:val="clear" w:color="auto" w:fill="A6A6A6" w:themeFill="background1" w:themeFillShade="A6"/>
            <w:tcMar>
              <w:left w:w="28" w:type="dxa"/>
              <w:right w:w="28" w:type="dxa"/>
            </w:tcMar>
          </w:tcPr>
          <w:p w14:paraId="3E9E6485" w14:textId="77777777" w:rsidR="00CA5350" w:rsidRPr="00F42E93" w:rsidRDefault="00CA5350" w:rsidP="002760FA">
            <w:pPr>
              <w:pStyle w:val="TableTextDusc"/>
              <w:keepNext/>
              <w:keepLines/>
              <w:rPr>
                <w:b/>
              </w:rPr>
            </w:pPr>
            <w:r w:rsidRPr="00F42E93">
              <w:rPr>
                <w:b/>
              </w:rPr>
              <w:t>Arm</w:t>
            </w:r>
          </w:p>
        </w:tc>
        <w:tc>
          <w:tcPr>
            <w:tcW w:w="517" w:type="pct"/>
            <w:shd w:val="clear" w:color="auto" w:fill="A6A6A6" w:themeFill="background1" w:themeFillShade="A6"/>
            <w:tcMar>
              <w:left w:w="28" w:type="dxa"/>
              <w:right w:w="28" w:type="dxa"/>
            </w:tcMar>
          </w:tcPr>
          <w:p w14:paraId="5D8310D7" w14:textId="77777777" w:rsidR="00CA5350" w:rsidRPr="00F42E93" w:rsidRDefault="00CA5350" w:rsidP="002760FA">
            <w:pPr>
              <w:pStyle w:val="TableTextDusc"/>
              <w:keepNext/>
              <w:keepLines/>
              <w:rPr>
                <w:b/>
              </w:rPr>
            </w:pPr>
            <w:r w:rsidRPr="00F42E93">
              <w:rPr>
                <w:b/>
              </w:rPr>
              <w:t>N</w:t>
            </w:r>
          </w:p>
        </w:tc>
        <w:tc>
          <w:tcPr>
            <w:tcW w:w="695" w:type="pct"/>
            <w:shd w:val="clear" w:color="auto" w:fill="A6A6A6" w:themeFill="background1" w:themeFillShade="A6"/>
            <w:tcMar>
              <w:left w:w="28" w:type="dxa"/>
              <w:right w:w="28" w:type="dxa"/>
            </w:tcMar>
          </w:tcPr>
          <w:p w14:paraId="0829EFBC" w14:textId="77777777" w:rsidR="00CA5350" w:rsidRPr="00F42E93" w:rsidRDefault="00CA5350" w:rsidP="002760FA">
            <w:pPr>
              <w:pStyle w:val="TableTextDusc"/>
              <w:keepNext/>
              <w:keepLines/>
              <w:rPr>
                <w:b/>
              </w:rPr>
            </w:pPr>
            <w:r w:rsidRPr="00F42E93">
              <w:rPr>
                <w:b/>
              </w:rPr>
              <w:t>PASI 75;</w:t>
            </w:r>
            <w:r w:rsidR="00F42E93" w:rsidRPr="00F42E93">
              <w:rPr>
                <w:b/>
              </w:rPr>
              <w:t xml:space="preserve"> </w:t>
            </w:r>
            <w:r w:rsidRPr="00F42E93">
              <w:rPr>
                <w:b/>
              </w:rPr>
              <w:t>n (%)</w:t>
            </w:r>
          </w:p>
        </w:tc>
        <w:tc>
          <w:tcPr>
            <w:tcW w:w="742" w:type="pct"/>
            <w:shd w:val="clear" w:color="auto" w:fill="A6A6A6" w:themeFill="background1" w:themeFillShade="A6"/>
            <w:tcMar>
              <w:left w:w="28" w:type="dxa"/>
              <w:right w:w="28" w:type="dxa"/>
            </w:tcMar>
          </w:tcPr>
          <w:p w14:paraId="4BDEBACA" w14:textId="77777777" w:rsidR="00CA5350" w:rsidRPr="00F42E93" w:rsidRDefault="00CA5350" w:rsidP="002760FA">
            <w:pPr>
              <w:pStyle w:val="TableTextDusc"/>
              <w:keepNext/>
              <w:keepLines/>
              <w:rPr>
                <w:b/>
              </w:rPr>
            </w:pPr>
            <w:r w:rsidRPr="00F42E93">
              <w:rPr>
                <w:b/>
              </w:rPr>
              <w:t>∆ CDLQI; mean (SD)</w:t>
            </w:r>
          </w:p>
        </w:tc>
      </w:tr>
      <w:tr w:rsidR="00CA5350" w:rsidRPr="00F42E93" w14:paraId="4F48EF2A" w14:textId="77777777" w:rsidTr="00F42E93">
        <w:tc>
          <w:tcPr>
            <w:tcW w:w="5000" w:type="pct"/>
            <w:gridSpan w:val="7"/>
            <w:tcMar>
              <w:left w:w="28" w:type="dxa"/>
              <w:right w:w="28" w:type="dxa"/>
            </w:tcMar>
          </w:tcPr>
          <w:p w14:paraId="28D35AA3" w14:textId="77777777" w:rsidR="00CA5350" w:rsidRPr="00F42E93" w:rsidRDefault="00CA5350" w:rsidP="002760FA">
            <w:pPr>
              <w:pStyle w:val="TableTextDusc"/>
              <w:keepNext/>
              <w:keepLines/>
              <w:rPr>
                <w:b/>
              </w:rPr>
            </w:pPr>
            <w:r w:rsidRPr="00F42E93">
              <w:rPr>
                <w:b/>
              </w:rPr>
              <w:t xml:space="preserve">Adalimumab versus methotrexate </w:t>
            </w:r>
          </w:p>
        </w:tc>
      </w:tr>
      <w:tr w:rsidR="00CA5350" w14:paraId="150AB8EB" w14:textId="77777777" w:rsidTr="00F42E93">
        <w:tc>
          <w:tcPr>
            <w:tcW w:w="970" w:type="pct"/>
            <w:vMerge w:val="restart"/>
            <w:tcMar>
              <w:left w:w="28" w:type="dxa"/>
              <w:right w:w="28" w:type="dxa"/>
            </w:tcMar>
          </w:tcPr>
          <w:p w14:paraId="3C0BF0D4" w14:textId="77777777" w:rsidR="00CA5350" w:rsidRDefault="00CA5350" w:rsidP="002760FA">
            <w:pPr>
              <w:pStyle w:val="TableTextDusc"/>
              <w:keepNext/>
              <w:keepLines/>
            </w:pPr>
            <w:r w:rsidRPr="004E2053">
              <w:t>Papp (2017)</w:t>
            </w:r>
          </w:p>
        </w:tc>
        <w:tc>
          <w:tcPr>
            <w:tcW w:w="886" w:type="pct"/>
            <w:vMerge w:val="restart"/>
            <w:tcMar>
              <w:left w:w="28" w:type="dxa"/>
              <w:right w:w="28" w:type="dxa"/>
            </w:tcMar>
          </w:tcPr>
          <w:p w14:paraId="3122D54D" w14:textId="77777777" w:rsidR="00CA5350" w:rsidRDefault="00CA5350" w:rsidP="002760FA">
            <w:pPr>
              <w:pStyle w:val="TableTextDusc"/>
              <w:keepNext/>
              <w:keepLines/>
            </w:pPr>
            <w:r>
              <w:t>16 weeks</w:t>
            </w:r>
          </w:p>
        </w:tc>
        <w:tc>
          <w:tcPr>
            <w:tcW w:w="595" w:type="pct"/>
            <w:vMerge w:val="restart"/>
          </w:tcPr>
          <w:p w14:paraId="205DAE1C" w14:textId="77777777" w:rsidR="00CA5350" w:rsidRPr="004E2053" w:rsidRDefault="00CA5350" w:rsidP="002760FA">
            <w:pPr>
              <w:pStyle w:val="TableTextDusc"/>
              <w:keepNext/>
              <w:keepLines/>
            </w:pPr>
            <w:r>
              <w:t>4 to 17 years</w:t>
            </w:r>
          </w:p>
        </w:tc>
        <w:tc>
          <w:tcPr>
            <w:tcW w:w="595" w:type="pct"/>
            <w:tcMar>
              <w:left w:w="28" w:type="dxa"/>
              <w:right w:w="28" w:type="dxa"/>
            </w:tcMar>
          </w:tcPr>
          <w:p w14:paraId="44ED386C" w14:textId="77777777" w:rsidR="00CA5350" w:rsidRDefault="00CA5350" w:rsidP="002760FA">
            <w:pPr>
              <w:pStyle w:val="TableTextDusc"/>
              <w:keepNext/>
              <w:keepLines/>
            </w:pPr>
            <w:r w:rsidRPr="004E2053">
              <w:t>Ada</w:t>
            </w:r>
            <w:r>
              <w:rPr>
                <w:vertAlign w:val="superscript"/>
              </w:rPr>
              <w:t>1</w:t>
            </w:r>
          </w:p>
        </w:tc>
        <w:tc>
          <w:tcPr>
            <w:tcW w:w="517" w:type="pct"/>
            <w:tcMar>
              <w:left w:w="28" w:type="dxa"/>
              <w:right w:w="28" w:type="dxa"/>
            </w:tcMar>
          </w:tcPr>
          <w:p w14:paraId="5B9A4F50" w14:textId="77777777" w:rsidR="00CA5350" w:rsidRDefault="00CA5350" w:rsidP="002760FA">
            <w:pPr>
              <w:pStyle w:val="TableTextDusc"/>
              <w:keepNext/>
              <w:keepLines/>
            </w:pPr>
            <w:r w:rsidRPr="004E2053">
              <w:t>39</w:t>
            </w:r>
          </w:p>
        </w:tc>
        <w:tc>
          <w:tcPr>
            <w:tcW w:w="695" w:type="pct"/>
            <w:tcMar>
              <w:left w:w="28" w:type="dxa"/>
              <w:right w:w="28" w:type="dxa"/>
            </w:tcMar>
          </w:tcPr>
          <w:p w14:paraId="49E1A639" w14:textId="77777777" w:rsidR="00CA5350" w:rsidRPr="009106FF" w:rsidRDefault="00CA5350" w:rsidP="002760FA">
            <w:pPr>
              <w:pStyle w:val="TableTextDusc"/>
              <w:keepNext/>
              <w:keepLines/>
            </w:pPr>
            <w:r w:rsidRPr="009106FF">
              <w:t>17 (4</w:t>
            </w:r>
            <w:r>
              <w:t>4</w:t>
            </w:r>
            <w:r w:rsidRPr="009106FF">
              <w:t>%)</w:t>
            </w:r>
          </w:p>
        </w:tc>
        <w:tc>
          <w:tcPr>
            <w:tcW w:w="742" w:type="pct"/>
            <w:tcMar>
              <w:left w:w="28" w:type="dxa"/>
              <w:right w:w="28" w:type="dxa"/>
            </w:tcMar>
          </w:tcPr>
          <w:p w14:paraId="70B2C3B4" w14:textId="77777777" w:rsidR="00CA5350" w:rsidRPr="009106FF" w:rsidRDefault="00CA5350" w:rsidP="002760FA">
            <w:pPr>
              <w:pStyle w:val="TableTextDusc"/>
              <w:keepNext/>
              <w:keepLines/>
            </w:pPr>
            <w:r w:rsidRPr="009106FF">
              <w:t>-4.9 (6.2)</w:t>
            </w:r>
          </w:p>
        </w:tc>
      </w:tr>
      <w:tr w:rsidR="00CA5350" w14:paraId="6F1438D3" w14:textId="77777777" w:rsidTr="00F42E93">
        <w:tc>
          <w:tcPr>
            <w:tcW w:w="970" w:type="pct"/>
            <w:vMerge/>
            <w:tcMar>
              <w:left w:w="28" w:type="dxa"/>
              <w:right w:w="28" w:type="dxa"/>
            </w:tcMar>
          </w:tcPr>
          <w:p w14:paraId="5764D1D5" w14:textId="77777777" w:rsidR="00CA5350" w:rsidRDefault="00CA5350" w:rsidP="002760FA">
            <w:pPr>
              <w:pStyle w:val="TableTextDusc"/>
              <w:keepNext/>
              <w:keepLines/>
            </w:pPr>
          </w:p>
        </w:tc>
        <w:tc>
          <w:tcPr>
            <w:tcW w:w="886" w:type="pct"/>
            <w:vMerge/>
            <w:tcMar>
              <w:left w:w="28" w:type="dxa"/>
              <w:right w:w="28" w:type="dxa"/>
            </w:tcMar>
          </w:tcPr>
          <w:p w14:paraId="51D2B6A3" w14:textId="77777777" w:rsidR="00CA5350" w:rsidRDefault="00CA5350" w:rsidP="002760FA">
            <w:pPr>
              <w:pStyle w:val="TableTextDusc"/>
              <w:keepNext/>
              <w:keepLines/>
            </w:pPr>
          </w:p>
        </w:tc>
        <w:tc>
          <w:tcPr>
            <w:tcW w:w="595" w:type="pct"/>
            <w:vMerge/>
          </w:tcPr>
          <w:p w14:paraId="1BB57863" w14:textId="77777777" w:rsidR="00CA5350" w:rsidRPr="004E2053" w:rsidRDefault="00CA5350" w:rsidP="002760FA">
            <w:pPr>
              <w:pStyle w:val="TableTextDusc"/>
              <w:keepNext/>
              <w:keepLines/>
            </w:pPr>
          </w:p>
        </w:tc>
        <w:tc>
          <w:tcPr>
            <w:tcW w:w="595" w:type="pct"/>
            <w:tcMar>
              <w:left w:w="28" w:type="dxa"/>
              <w:right w:w="28" w:type="dxa"/>
            </w:tcMar>
          </w:tcPr>
          <w:p w14:paraId="1BD83A65" w14:textId="77777777" w:rsidR="00CA5350" w:rsidRDefault="00CA5350" w:rsidP="002760FA">
            <w:pPr>
              <w:pStyle w:val="TableTextDusc"/>
              <w:keepNext/>
              <w:keepLines/>
            </w:pPr>
            <w:r w:rsidRPr="004E2053">
              <w:t>Ada</w:t>
            </w:r>
            <w:r>
              <w:rPr>
                <w:vertAlign w:val="superscript"/>
              </w:rPr>
              <w:t>2</w:t>
            </w:r>
          </w:p>
        </w:tc>
        <w:tc>
          <w:tcPr>
            <w:tcW w:w="517" w:type="pct"/>
            <w:tcMar>
              <w:left w:w="28" w:type="dxa"/>
              <w:right w:w="28" w:type="dxa"/>
            </w:tcMar>
          </w:tcPr>
          <w:p w14:paraId="5144F2A8" w14:textId="77777777" w:rsidR="00CA5350" w:rsidRDefault="00CA5350" w:rsidP="002760FA">
            <w:pPr>
              <w:pStyle w:val="TableTextDusc"/>
              <w:keepNext/>
              <w:keepLines/>
            </w:pPr>
            <w:r w:rsidRPr="004E2053">
              <w:t>38</w:t>
            </w:r>
          </w:p>
        </w:tc>
        <w:tc>
          <w:tcPr>
            <w:tcW w:w="695" w:type="pct"/>
            <w:tcMar>
              <w:left w:w="28" w:type="dxa"/>
              <w:right w:w="28" w:type="dxa"/>
            </w:tcMar>
          </w:tcPr>
          <w:p w14:paraId="5D1DF930" w14:textId="77777777" w:rsidR="00CA5350" w:rsidRPr="009106FF" w:rsidRDefault="00CA5350" w:rsidP="002760FA">
            <w:pPr>
              <w:pStyle w:val="TableTextDusc"/>
              <w:keepNext/>
              <w:keepLines/>
            </w:pPr>
            <w:r w:rsidRPr="009106FF">
              <w:t>22 (5</w:t>
            </w:r>
            <w:r>
              <w:t>8</w:t>
            </w:r>
            <w:r w:rsidRPr="009106FF">
              <w:t>%)</w:t>
            </w:r>
          </w:p>
        </w:tc>
        <w:tc>
          <w:tcPr>
            <w:tcW w:w="742" w:type="pct"/>
            <w:tcMar>
              <w:left w:w="28" w:type="dxa"/>
              <w:right w:w="28" w:type="dxa"/>
            </w:tcMar>
          </w:tcPr>
          <w:p w14:paraId="61ED7E54" w14:textId="77777777" w:rsidR="00CA5350" w:rsidRPr="009106FF" w:rsidRDefault="00CA5350" w:rsidP="002760FA">
            <w:pPr>
              <w:pStyle w:val="TableTextDusc"/>
              <w:keepNext/>
              <w:keepLines/>
            </w:pPr>
            <w:r w:rsidRPr="009106FF">
              <w:t>-6.6 (6.2)</w:t>
            </w:r>
          </w:p>
        </w:tc>
      </w:tr>
      <w:tr w:rsidR="00CA5350" w14:paraId="29B55E0C" w14:textId="77777777" w:rsidTr="00F42E93">
        <w:tc>
          <w:tcPr>
            <w:tcW w:w="970" w:type="pct"/>
            <w:vMerge/>
            <w:tcMar>
              <w:left w:w="28" w:type="dxa"/>
              <w:right w:w="28" w:type="dxa"/>
            </w:tcMar>
          </w:tcPr>
          <w:p w14:paraId="75D4EE76" w14:textId="77777777" w:rsidR="00CA5350" w:rsidRDefault="00CA5350" w:rsidP="002760FA">
            <w:pPr>
              <w:pStyle w:val="TableTextDusc"/>
              <w:keepNext/>
              <w:keepLines/>
            </w:pPr>
          </w:p>
        </w:tc>
        <w:tc>
          <w:tcPr>
            <w:tcW w:w="886" w:type="pct"/>
            <w:vMerge/>
            <w:tcMar>
              <w:left w:w="28" w:type="dxa"/>
              <w:right w:w="28" w:type="dxa"/>
            </w:tcMar>
          </w:tcPr>
          <w:p w14:paraId="04CD0FCB" w14:textId="77777777" w:rsidR="00CA5350" w:rsidRDefault="00CA5350" w:rsidP="002760FA">
            <w:pPr>
              <w:pStyle w:val="TableTextDusc"/>
              <w:keepNext/>
              <w:keepLines/>
            </w:pPr>
          </w:p>
        </w:tc>
        <w:tc>
          <w:tcPr>
            <w:tcW w:w="595" w:type="pct"/>
            <w:vMerge/>
          </w:tcPr>
          <w:p w14:paraId="49E39A04" w14:textId="77777777" w:rsidR="00CA5350" w:rsidRPr="004E2053" w:rsidRDefault="00CA5350" w:rsidP="002760FA">
            <w:pPr>
              <w:pStyle w:val="TableTextDusc"/>
              <w:keepNext/>
              <w:keepLines/>
            </w:pPr>
          </w:p>
        </w:tc>
        <w:tc>
          <w:tcPr>
            <w:tcW w:w="595" w:type="pct"/>
            <w:tcMar>
              <w:left w:w="28" w:type="dxa"/>
              <w:right w:w="28" w:type="dxa"/>
            </w:tcMar>
          </w:tcPr>
          <w:p w14:paraId="3B9858EE" w14:textId="77777777" w:rsidR="00CA5350" w:rsidRDefault="00CA5350" w:rsidP="002760FA">
            <w:pPr>
              <w:pStyle w:val="TableTextDusc"/>
              <w:keepNext/>
              <w:keepLines/>
            </w:pPr>
            <w:r w:rsidRPr="004E2053">
              <w:t>Mtx</w:t>
            </w:r>
          </w:p>
        </w:tc>
        <w:tc>
          <w:tcPr>
            <w:tcW w:w="517" w:type="pct"/>
            <w:tcMar>
              <w:left w:w="28" w:type="dxa"/>
              <w:right w:w="28" w:type="dxa"/>
            </w:tcMar>
          </w:tcPr>
          <w:p w14:paraId="5E987541" w14:textId="77777777" w:rsidR="00CA5350" w:rsidRDefault="00CA5350" w:rsidP="002760FA">
            <w:pPr>
              <w:pStyle w:val="TableTextDusc"/>
              <w:keepNext/>
              <w:keepLines/>
            </w:pPr>
            <w:r w:rsidRPr="004E2053">
              <w:t>37</w:t>
            </w:r>
          </w:p>
        </w:tc>
        <w:tc>
          <w:tcPr>
            <w:tcW w:w="695" w:type="pct"/>
            <w:tcMar>
              <w:left w:w="28" w:type="dxa"/>
              <w:right w:w="28" w:type="dxa"/>
            </w:tcMar>
          </w:tcPr>
          <w:p w14:paraId="19D733CE" w14:textId="77777777" w:rsidR="00CA5350" w:rsidRPr="009106FF" w:rsidRDefault="00CA5350" w:rsidP="002760FA">
            <w:pPr>
              <w:pStyle w:val="TableTextDusc"/>
              <w:keepNext/>
              <w:keepLines/>
            </w:pPr>
            <w:r w:rsidRPr="009106FF">
              <w:t>12 (32%)</w:t>
            </w:r>
          </w:p>
        </w:tc>
        <w:tc>
          <w:tcPr>
            <w:tcW w:w="742" w:type="pct"/>
            <w:tcMar>
              <w:left w:w="28" w:type="dxa"/>
              <w:right w:w="28" w:type="dxa"/>
            </w:tcMar>
          </w:tcPr>
          <w:p w14:paraId="6FEB1C9B" w14:textId="77777777" w:rsidR="00CA5350" w:rsidRPr="009106FF" w:rsidRDefault="00CA5350" w:rsidP="002760FA">
            <w:pPr>
              <w:pStyle w:val="TableTextDusc"/>
              <w:keepNext/>
              <w:keepLines/>
            </w:pPr>
            <w:r w:rsidRPr="009106FF">
              <w:t>-5.0 (7.1)</w:t>
            </w:r>
          </w:p>
        </w:tc>
      </w:tr>
      <w:tr w:rsidR="00CA5350" w:rsidRPr="00F42E93" w14:paraId="5F9EC2D3" w14:textId="77777777" w:rsidTr="00F42E93">
        <w:tblPrEx>
          <w:tblCellMar>
            <w:left w:w="28" w:type="dxa"/>
            <w:right w:w="28" w:type="dxa"/>
          </w:tblCellMar>
        </w:tblPrEx>
        <w:trPr>
          <w:trHeight w:val="300"/>
        </w:trPr>
        <w:tc>
          <w:tcPr>
            <w:tcW w:w="5000" w:type="pct"/>
            <w:gridSpan w:val="7"/>
            <w:tcMar>
              <w:left w:w="28" w:type="dxa"/>
              <w:right w:w="28" w:type="dxa"/>
            </w:tcMar>
          </w:tcPr>
          <w:p w14:paraId="2DE5B007" w14:textId="77777777" w:rsidR="00CA5350" w:rsidRPr="00F42E93" w:rsidRDefault="00CA5350" w:rsidP="002760FA">
            <w:pPr>
              <w:pStyle w:val="TableTextDusc"/>
              <w:keepNext/>
              <w:keepLines/>
              <w:rPr>
                <w:b/>
              </w:rPr>
            </w:pPr>
            <w:r w:rsidRPr="00F42E93">
              <w:rPr>
                <w:b/>
              </w:rPr>
              <w:t>Etanercept versus placebo</w:t>
            </w:r>
          </w:p>
        </w:tc>
      </w:tr>
      <w:tr w:rsidR="00CA5350" w14:paraId="252DFED3" w14:textId="77777777" w:rsidTr="00F42E93">
        <w:trPr>
          <w:trHeight w:val="263"/>
        </w:trPr>
        <w:tc>
          <w:tcPr>
            <w:tcW w:w="970" w:type="pct"/>
            <w:vMerge w:val="restart"/>
            <w:tcMar>
              <w:left w:w="28" w:type="dxa"/>
              <w:right w:w="28" w:type="dxa"/>
            </w:tcMar>
          </w:tcPr>
          <w:p w14:paraId="68A50106" w14:textId="77777777" w:rsidR="00CA5350" w:rsidRDefault="00CA5350" w:rsidP="002760FA">
            <w:pPr>
              <w:pStyle w:val="TableTextDusc"/>
              <w:keepNext/>
              <w:keepLines/>
            </w:pPr>
            <w:r w:rsidRPr="004E2053">
              <w:t>Paller (2008)</w:t>
            </w:r>
          </w:p>
        </w:tc>
        <w:tc>
          <w:tcPr>
            <w:tcW w:w="886" w:type="pct"/>
            <w:vMerge w:val="restart"/>
            <w:tcMar>
              <w:left w:w="28" w:type="dxa"/>
              <w:right w:w="28" w:type="dxa"/>
            </w:tcMar>
          </w:tcPr>
          <w:p w14:paraId="1D25445C" w14:textId="77777777" w:rsidR="00CA5350" w:rsidRDefault="00CA5350" w:rsidP="002760FA">
            <w:pPr>
              <w:pStyle w:val="TableTextDusc"/>
              <w:keepNext/>
              <w:keepLines/>
            </w:pPr>
            <w:r>
              <w:t>12 weeks</w:t>
            </w:r>
          </w:p>
        </w:tc>
        <w:tc>
          <w:tcPr>
            <w:tcW w:w="595" w:type="pct"/>
            <w:vMerge w:val="restart"/>
          </w:tcPr>
          <w:p w14:paraId="39BC3698" w14:textId="77777777" w:rsidR="00CA5350" w:rsidRPr="004E2053" w:rsidRDefault="00CA5350" w:rsidP="002760FA">
            <w:pPr>
              <w:pStyle w:val="TableTextDusc"/>
              <w:keepNext/>
              <w:keepLines/>
            </w:pPr>
            <w:r>
              <w:t>4 to 17 years</w:t>
            </w:r>
          </w:p>
        </w:tc>
        <w:tc>
          <w:tcPr>
            <w:tcW w:w="595" w:type="pct"/>
            <w:tcMar>
              <w:left w:w="28" w:type="dxa"/>
              <w:right w:w="28" w:type="dxa"/>
            </w:tcMar>
          </w:tcPr>
          <w:p w14:paraId="04872F67" w14:textId="77777777" w:rsidR="00CA5350" w:rsidRDefault="00CA5350" w:rsidP="002760FA">
            <w:pPr>
              <w:pStyle w:val="TableTextDusc"/>
              <w:keepNext/>
              <w:keepLines/>
            </w:pPr>
            <w:r w:rsidRPr="004E2053">
              <w:t>Etan</w:t>
            </w:r>
            <w:r>
              <w:rPr>
                <w:vertAlign w:val="superscript"/>
              </w:rPr>
              <w:t>3*</w:t>
            </w:r>
          </w:p>
        </w:tc>
        <w:tc>
          <w:tcPr>
            <w:tcW w:w="517" w:type="pct"/>
            <w:tcMar>
              <w:left w:w="28" w:type="dxa"/>
              <w:right w:w="28" w:type="dxa"/>
            </w:tcMar>
          </w:tcPr>
          <w:p w14:paraId="51322F26" w14:textId="77777777" w:rsidR="00CA5350" w:rsidRDefault="00CA5350" w:rsidP="002760FA">
            <w:pPr>
              <w:pStyle w:val="TableTextDusc"/>
              <w:keepNext/>
              <w:keepLines/>
            </w:pPr>
            <w:r w:rsidRPr="004E2053">
              <w:t>106</w:t>
            </w:r>
          </w:p>
        </w:tc>
        <w:tc>
          <w:tcPr>
            <w:tcW w:w="695" w:type="pct"/>
            <w:tcMar>
              <w:left w:w="28" w:type="dxa"/>
              <w:right w:w="28" w:type="dxa"/>
            </w:tcMar>
          </w:tcPr>
          <w:p w14:paraId="0D47AF82" w14:textId="77777777" w:rsidR="00CA5350" w:rsidRPr="00CF03B5" w:rsidRDefault="00CA5350" w:rsidP="002760FA">
            <w:pPr>
              <w:pStyle w:val="TableTextDusc"/>
              <w:keepNext/>
              <w:keepLines/>
            </w:pPr>
            <w:r w:rsidRPr="00CF03B5">
              <w:t>57%</w:t>
            </w:r>
          </w:p>
        </w:tc>
        <w:tc>
          <w:tcPr>
            <w:tcW w:w="742" w:type="pct"/>
            <w:tcMar>
              <w:left w:w="28" w:type="dxa"/>
              <w:right w:w="28" w:type="dxa"/>
            </w:tcMar>
          </w:tcPr>
          <w:p w14:paraId="1224B485" w14:textId="77777777" w:rsidR="00CA5350" w:rsidRPr="0050358E" w:rsidRDefault="00CA5350" w:rsidP="002760FA">
            <w:pPr>
              <w:pStyle w:val="TableTextDusc"/>
              <w:keepNext/>
              <w:keepLines/>
            </w:pPr>
            <w:r w:rsidRPr="0050358E">
              <w:t>-52%</w:t>
            </w:r>
          </w:p>
        </w:tc>
      </w:tr>
      <w:tr w:rsidR="00CA5350" w14:paraId="63B335E4" w14:textId="77777777" w:rsidTr="00F42E93">
        <w:tc>
          <w:tcPr>
            <w:tcW w:w="970" w:type="pct"/>
            <w:vMerge/>
            <w:tcMar>
              <w:left w:w="28" w:type="dxa"/>
              <w:right w:w="28" w:type="dxa"/>
            </w:tcMar>
          </w:tcPr>
          <w:p w14:paraId="7095BA71" w14:textId="77777777" w:rsidR="00CA5350" w:rsidRDefault="00CA5350" w:rsidP="002760FA">
            <w:pPr>
              <w:pStyle w:val="TableTextDusc"/>
              <w:keepNext/>
              <w:keepLines/>
            </w:pPr>
          </w:p>
        </w:tc>
        <w:tc>
          <w:tcPr>
            <w:tcW w:w="886" w:type="pct"/>
            <w:vMerge/>
            <w:tcMar>
              <w:left w:w="28" w:type="dxa"/>
              <w:right w:w="28" w:type="dxa"/>
            </w:tcMar>
          </w:tcPr>
          <w:p w14:paraId="3B1E806E" w14:textId="77777777" w:rsidR="00CA5350" w:rsidRDefault="00CA5350" w:rsidP="002760FA">
            <w:pPr>
              <w:pStyle w:val="TableTextDusc"/>
              <w:keepNext/>
              <w:keepLines/>
            </w:pPr>
          </w:p>
        </w:tc>
        <w:tc>
          <w:tcPr>
            <w:tcW w:w="595" w:type="pct"/>
            <w:vMerge/>
          </w:tcPr>
          <w:p w14:paraId="1C31CDB6" w14:textId="77777777" w:rsidR="00CA5350" w:rsidRPr="004E2053" w:rsidRDefault="00CA5350" w:rsidP="002760FA">
            <w:pPr>
              <w:pStyle w:val="TableTextDusc"/>
              <w:keepNext/>
              <w:keepLines/>
            </w:pPr>
          </w:p>
        </w:tc>
        <w:tc>
          <w:tcPr>
            <w:tcW w:w="595" w:type="pct"/>
            <w:tcMar>
              <w:left w:w="28" w:type="dxa"/>
              <w:right w:w="28" w:type="dxa"/>
            </w:tcMar>
          </w:tcPr>
          <w:p w14:paraId="3DAD791D" w14:textId="77777777" w:rsidR="00CA5350" w:rsidRDefault="00CA5350" w:rsidP="002760FA">
            <w:pPr>
              <w:pStyle w:val="TableTextDusc"/>
              <w:keepNext/>
              <w:keepLines/>
            </w:pPr>
            <w:r w:rsidRPr="004E2053">
              <w:t>Pbo</w:t>
            </w:r>
          </w:p>
        </w:tc>
        <w:tc>
          <w:tcPr>
            <w:tcW w:w="517" w:type="pct"/>
            <w:tcMar>
              <w:left w:w="28" w:type="dxa"/>
              <w:right w:w="28" w:type="dxa"/>
            </w:tcMar>
          </w:tcPr>
          <w:p w14:paraId="430C17A4" w14:textId="77777777" w:rsidR="00CA5350" w:rsidRDefault="00CA5350" w:rsidP="002760FA">
            <w:pPr>
              <w:pStyle w:val="TableTextDusc"/>
              <w:keepNext/>
              <w:keepLines/>
            </w:pPr>
            <w:r w:rsidRPr="004E2053">
              <w:t>105</w:t>
            </w:r>
          </w:p>
        </w:tc>
        <w:tc>
          <w:tcPr>
            <w:tcW w:w="695" w:type="pct"/>
            <w:tcMar>
              <w:left w:w="28" w:type="dxa"/>
              <w:right w:w="28" w:type="dxa"/>
            </w:tcMar>
          </w:tcPr>
          <w:p w14:paraId="41F3BAB5" w14:textId="77777777" w:rsidR="00CA5350" w:rsidRPr="00CF03B5" w:rsidRDefault="00CA5350" w:rsidP="002760FA">
            <w:pPr>
              <w:pStyle w:val="TableTextDusc"/>
              <w:keepNext/>
              <w:keepLines/>
            </w:pPr>
            <w:r w:rsidRPr="00CF03B5">
              <w:t>11%</w:t>
            </w:r>
          </w:p>
        </w:tc>
        <w:tc>
          <w:tcPr>
            <w:tcW w:w="742" w:type="pct"/>
            <w:tcMar>
              <w:left w:w="28" w:type="dxa"/>
              <w:right w:w="28" w:type="dxa"/>
            </w:tcMar>
          </w:tcPr>
          <w:p w14:paraId="3E4E7A36" w14:textId="77777777" w:rsidR="00CA5350" w:rsidRPr="0050358E" w:rsidRDefault="00CA5350" w:rsidP="002760FA">
            <w:pPr>
              <w:pStyle w:val="TableTextDusc"/>
              <w:keepNext/>
              <w:keepLines/>
            </w:pPr>
            <w:r w:rsidRPr="0050358E">
              <w:t>-18%</w:t>
            </w:r>
          </w:p>
        </w:tc>
      </w:tr>
      <w:tr w:rsidR="00CA5350" w:rsidRPr="00F42E93" w14:paraId="1BE40688" w14:textId="77777777" w:rsidTr="00F42E93">
        <w:tblPrEx>
          <w:tblBorders>
            <w:bottom w:val="none" w:sz="0" w:space="0" w:color="auto"/>
          </w:tblBorders>
          <w:shd w:val="clear" w:color="auto" w:fill="FFFFFF" w:themeFill="background1"/>
          <w:tblCellMar>
            <w:left w:w="57" w:type="dxa"/>
            <w:right w:w="57" w:type="dxa"/>
          </w:tblCellMar>
        </w:tblPrEx>
        <w:trPr>
          <w:trHeight w:val="300"/>
        </w:trPr>
        <w:tc>
          <w:tcPr>
            <w:tcW w:w="5000" w:type="pct"/>
            <w:gridSpan w:val="7"/>
            <w:tcBorders>
              <w:bottom w:val="single" w:sz="4" w:space="0" w:color="auto"/>
            </w:tcBorders>
            <w:shd w:val="clear" w:color="auto" w:fill="FFFFFF" w:themeFill="background1"/>
            <w:tcMar>
              <w:left w:w="28" w:type="dxa"/>
              <w:right w:w="28" w:type="dxa"/>
            </w:tcMar>
          </w:tcPr>
          <w:p w14:paraId="6D276895" w14:textId="77777777" w:rsidR="00CA5350" w:rsidRPr="00F42E93" w:rsidRDefault="00CA5350" w:rsidP="002760FA">
            <w:pPr>
              <w:pStyle w:val="TableTextDusc"/>
              <w:keepNext/>
              <w:keepLines/>
              <w:rPr>
                <w:b/>
              </w:rPr>
            </w:pPr>
            <w:r w:rsidRPr="00F42E93">
              <w:rPr>
                <w:b/>
              </w:rPr>
              <w:t>Ustekinumab versus placebo</w:t>
            </w:r>
            <w:r w:rsidRPr="00F42E93">
              <w:rPr>
                <w:b/>
              </w:rPr>
              <w:tab/>
            </w:r>
          </w:p>
        </w:tc>
      </w:tr>
      <w:tr w:rsidR="00CA5350" w14:paraId="635C16B6" w14:textId="77777777" w:rsidTr="00F42E93">
        <w:tc>
          <w:tcPr>
            <w:tcW w:w="970" w:type="pct"/>
            <w:vMerge w:val="restart"/>
            <w:tcMar>
              <w:left w:w="28" w:type="dxa"/>
              <w:right w:w="28" w:type="dxa"/>
            </w:tcMar>
          </w:tcPr>
          <w:p w14:paraId="15DB4030" w14:textId="77777777" w:rsidR="00CA5350" w:rsidRDefault="00CA5350" w:rsidP="002760FA">
            <w:pPr>
              <w:pStyle w:val="TableTextDusc"/>
              <w:keepNext/>
              <w:keepLines/>
            </w:pPr>
            <w:r w:rsidRPr="004E2053">
              <w:rPr>
                <w:noProof/>
                <w:lang w:val="en-US"/>
              </w:rPr>
              <w:t>CADMUS</w:t>
            </w:r>
          </w:p>
        </w:tc>
        <w:tc>
          <w:tcPr>
            <w:tcW w:w="886" w:type="pct"/>
            <w:vMerge w:val="restart"/>
            <w:tcMar>
              <w:left w:w="28" w:type="dxa"/>
              <w:right w:w="28" w:type="dxa"/>
            </w:tcMar>
          </w:tcPr>
          <w:p w14:paraId="173A2E6F" w14:textId="77777777" w:rsidR="00CA5350" w:rsidRDefault="00CA5350" w:rsidP="002760FA">
            <w:pPr>
              <w:pStyle w:val="TableTextDusc"/>
              <w:keepNext/>
              <w:keepLines/>
            </w:pPr>
            <w:r>
              <w:t>12 weeks</w:t>
            </w:r>
          </w:p>
        </w:tc>
        <w:tc>
          <w:tcPr>
            <w:tcW w:w="595" w:type="pct"/>
            <w:vMerge w:val="restart"/>
          </w:tcPr>
          <w:p w14:paraId="2E140642" w14:textId="77777777" w:rsidR="00CA5350" w:rsidRPr="004E2053" w:rsidRDefault="00CA5350" w:rsidP="002760FA">
            <w:pPr>
              <w:pStyle w:val="TableTextDusc"/>
              <w:keepNext/>
              <w:keepLines/>
            </w:pPr>
            <w:r>
              <w:t>12 to 17 years</w:t>
            </w:r>
          </w:p>
        </w:tc>
        <w:tc>
          <w:tcPr>
            <w:tcW w:w="595" w:type="pct"/>
            <w:tcMar>
              <w:left w:w="28" w:type="dxa"/>
              <w:right w:w="28" w:type="dxa"/>
            </w:tcMar>
          </w:tcPr>
          <w:p w14:paraId="5140D2B7" w14:textId="77777777" w:rsidR="00CA5350" w:rsidRDefault="00CA5350" w:rsidP="002760FA">
            <w:pPr>
              <w:pStyle w:val="TableTextDusc"/>
              <w:keepNext/>
              <w:keepLines/>
            </w:pPr>
            <w:r w:rsidRPr="004E2053">
              <w:t>Ust</w:t>
            </w:r>
            <w:r>
              <w:rPr>
                <w:vertAlign w:val="superscript"/>
              </w:rPr>
              <w:t>4</w:t>
            </w:r>
          </w:p>
        </w:tc>
        <w:tc>
          <w:tcPr>
            <w:tcW w:w="517" w:type="pct"/>
            <w:tcMar>
              <w:left w:w="28" w:type="dxa"/>
              <w:right w:w="28" w:type="dxa"/>
            </w:tcMar>
          </w:tcPr>
          <w:p w14:paraId="3EE08DEC" w14:textId="77777777" w:rsidR="00CA5350" w:rsidRDefault="00CA5350" w:rsidP="002760FA">
            <w:pPr>
              <w:pStyle w:val="TableTextDusc"/>
              <w:keepNext/>
              <w:keepLines/>
            </w:pPr>
            <w:r w:rsidRPr="004E2053">
              <w:t>37</w:t>
            </w:r>
          </w:p>
        </w:tc>
        <w:tc>
          <w:tcPr>
            <w:tcW w:w="695" w:type="pct"/>
            <w:tcMar>
              <w:left w:w="28" w:type="dxa"/>
              <w:right w:w="28" w:type="dxa"/>
            </w:tcMar>
          </w:tcPr>
          <w:p w14:paraId="47B16F99" w14:textId="77777777" w:rsidR="00CA5350" w:rsidRPr="00CF03B5" w:rsidRDefault="00CA5350" w:rsidP="002760FA">
            <w:pPr>
              <w:pStyle w:val="TableTextDusc"/>
              <w:keepNext/>
              <w:keepLines/>
            </w:pPr>
            <w:r w:rsidRPr="00CF03B5">
              <w:t>29 (78%)</w:t>
            </w:r>
          </w:p>
        </w:tc>
        <w:tc>
          <w:tcPr>
            <w:tcW w:w="742" w:type="pct"/>
            <w:tcMar>
              <w:left w:w="28" w:type="dxa"/>
              <w:right w:w="28" w:type="dxa"/>
            </w:tcMar>
          </w:tcPr>
          <w:p w14:paraId="7D132AC1" w14:textId="77777777" w:rsidR="00CA5350" w:rsidRPr="00CF03B5" w:rsidRDefault="00CA5350" w:rsidP="002760FA">
            <w:pPr>
              <w:pStyle w:val="TableTextDusc"/>
              <w:keepNext/>
              <w:keepLines/>
            </w:pPr>
            <w:r w:rsidRPr="00CF03B5">
              <w:t>-5.6 (6.4)</w:t>
            </w:r>
          </w:p>
        </w:tc>
      </w:tr>
      <w:tr w:rsidR="00CA5350" w14:paraId="20F2920E" w14:textId="77777777" w:rsidTr="00F42E93">
        <w:tc>
          <w:tcPr>
            <w:tcW w:w="970" w:type="pct"/>
            <w:vMerge/>
            <w:tcMar>
              <w:left w:w="28" w:type="dxa"/>
              <w:right w:w="28" w:type="dxa"/>
            </w:tcMar>
          </w:tcPr>
          <w:p w14:paraId="5EE033D5" w14:textId="77777777" w:rsidR="00CA5350" w:rsidRDefault="00CA5350" w:rsidP="002760FA">
            <w:pPr>
              <w:pStyle w:val="TableTextDusc"/>
              <w:keepNext/>
              <w:keepLines/>
            </w:pPr>
          </w:p>
        </w:tc>
        <w:tc>
          <w:tcPr>
            <w:tcW w:w="886" w:type="pct"/>
            <w:vMerge/>
            <w:tcMar>
              <w:left w:w="28" w:type="dxa"/>
              <w:right w:w="28" w:type="dxa"/>
            </w:tcMar>
          </w:tcPr>
          <w:p w14:paraId="5A316BE9" w14:textId="77777777" w:rsidR="00CA5350" w:rsidRDefault="00CA5350" w:rsidP="002760FA">
            <w:pPr>
              <w:pStyle w:val="TableTextDusc"/>
              <w:keepNext/>
              <w:keepLines/>
            </w:pPr>
          </w:p>
        </w:tc>
        <w:tc>
          <w:tcPr>
            <w:tcW w:w="595" w:type="pct"/>
            <w:vMerge/>
          </w:tcPr>
          <w:p w14:paraId="3505BB50" w14:textId="77777777" w:rsidR="00CA5350" w:rsidRPr="004E2053" w:rsidRDefault="00CA5350" w:rsidP="002760FA">
            <w:pPr>
              <w:pStyle w:val="TableTextDusc"/>
              <w:keepNext/>
              <w:keepLines/>
            </w:pPr>
          </w:p>
        </w:tc>
        <w:tc>
          <w:tcPr>
            <w:tcW w:w="595" w:type="pct"/>
            <w:tcMar>
              <w:left w:w="28" w:type="dxa"/>
              <w:right w:w="28" w:type="dxa"/>
            </w:tcMar>
          </w:tcPr>
          <w:p w14:paraId="37EFB498" w14:textId="77777777" w:rsidR="00CA5350" w:rsidRDefault="00CA5350" w:rsidP="002760FA">
            <w:pPr>
              <w:pStyle w:val="TableTextDusc"/>
              <w:keepNext/>
              <w:keepLines/>
            </w:pPr>
            <w:r w:rsidRPr="004E2053">
              <w:t>Ust</w:t>
            </w:r>
            <w:r>
              <w:rPr>
                <w:vertAlign w:val="superscript"/>
              </w:rPr>
              <w:t>5</w:t>
            </w:r>
          </w:p>
        </w:tc>
        <w:tc>
          <w:tcPr>
            <w:tcW w:w="517" w:type="pct"/>
            <w:tcMar>
              <w:left w:w="28" w:type="dxa"/>
              <w:right w:w="28" w:type="dxa"/>
            </w:tcMar>
          </w:tcPr>
          <w:p w14:paraId="01EFFE78" w14:textId="77777777" w:rsidR="00CA5350" w:rsidRDefault="00CA5350" w:rsidP="002760FA">
            <w:pPr>
              <w:pStyle w:val="TableTextDusc"/>
              <w:keepNext/>
              <w:keepLines/>
            </w:pPr>
            <w:r w:rsidRPr="004E2053">
              <w:t>36</w:t>
            </w:r>
          </w:p>
        </w:tc>
        <w:tc>
          <w:tcPr>
            <w:tcW w:w="695" w:type="pct"/>
            <w:tcMar>
              <w:left w:w="28" w:type="dxa"/>
              <w:right w:w="28" w:type="dxa"/>
            </w:tcMar>
          </w:tcPr>
          <w:p w14:paraId="6F01ED80" w14:textId="77777777" w:rsidR="00CA5350" w:rsidRPr="00CF03B5" w:rsidRDefault="00CA5350" w:rsidP="002760FA">
            <w:pPr>
              <w:pStyle w:val="TableTextDusc"/>
              <w:keepNext/>
              <w:keepLines/>
            </w:pPr>
            <w:r w:rsidRPr="00CF03B5">
              <w:t>29 (8</w:t>
            </w:r>
            <w:r>
              <w:t>1</w:t>
            </w:r>
            <w:r w:rsidRPr="00CF03B5">
              <w:t>%)</w:t>
            </w:r>
          </w:p>
        </w:tc>
        <w:tc>
          <w:tcPr>
            <w:tcW w:w="742" w:type="pct"/>
            <w:tcMar>
              <w:left w:w="28" w:type="dxa"/>
              <w:right w:w="28" w:type="dxa"/>
            </w:tcMar>
          </w:tcPr>
          <w:p w14:paraId="38013247" w14:textId="77777777" w:rsidR="00CA5350" w:rsidRPr="00CF03B5" w:rsidRDefault="00CA5350" w:rsidP="002760FA">
            <w:pPr>
              <w:pStyle w:val="TableTextDusc"/>
              <w:keepNext/>
              <w:keepLines/>
            </w:pPr>
            <w:r w:rsidRPr="00CF03B5">
              <w:t>-6.7 (5.6)</w:t>
            </w:r>
          </w:p>
        </w:tc>
      </w:tr>
      <w:tr w:rsidR="00CA5350" w14:paraId="60E65B88" w14:textId="77777777" w:rsidTr="00F42E93">
        <w:tc>
          <w:tcPr>
            <w:tcW w:w="970" w:type="pct"/>
            <w:vMerge/>
            <w:tcMar>
              <w:left w:w="28" w:type="dxa"/>
              <w:right w:w="28" w:type="dxa"/>
            </w:tcMar>
          </w:tcPr>
          <w:p w14:paraId="14D9E8C6" w14:textId="77777777" w:rsidR="00CA5350" w:rsidRDefault="00CA5350" w:rsidP="002760FA">
            <w:pPr>
              <w:pStyle w:val="TableTextDusc"/>
              <w:keepNext/>
              <w:keepLines/>
            </w:pPr>
          </w:p>
        </w:tc>
        <w:tc>
          <w:tcPr>
            <w:tcW w:w="886" w:type="pct"/>
            <w:vMerge/>
            <w:tcMar>
              <w:left w:w="28" w:type="dxa"/>
              <w:right w:w="28" w:type="dxa"/>
            </w:tcMar>
          </w:tcPr>
          <w:p w14:paraId="06C3A490" w14:textId="77777777" w:rsidR="00CA5350" w:rsidRDefault="00CA5350" w:rsidP="002760FA">
            <w:pPr>
              <w:pStyle w:val="TableTextDusc"/>
              <w:keepNext/>
              <w:keepLines/>
            </w:pPr>
          </w:p>
        </w:tc>
        <w:tc>
          <w:tcPr>
            <w:tcW w:w="595" w:type="pct"/>
            <w:vMerge/>
          </w:tcPr>
          <w:p w14:paraId="1A8CD75F" w14:textId="77777777" w:rsidR="00CA5350" w:rsidRPr="004E2053" w:rsidRDefault="00CA5350" w:rsidP="002760FA">
            <w:pPr>
              <w:pStyle w:val="TableTextDusc"/>
              <w:keepNext/>
              <w:keepLines/>
            </w:pPr>
          </w:p>
        </w:tc>
        <w:tc>
          <w:tcPr>
            <w:tcW w:w="595" w:type="pct"/>
            <w:tcMar>
              <w:left w:w="28" w:type="dxa"/>
              <w:right w:w="28" w:type="dxa"/>
            </w:tcMar>
          </w:tcPr>
          <w:p w14:paraId="282F0DB0" w14:textId="77777777" w:rsidR="00CA5350" w:rsidRDefault="00CA5350" w:rsidP="002760FA">
            <w:pPr>
              <w:pStyle w:val="TableTextDusc"/>
              <w:keepNext/>
              <w:keepLines/>
            </w:pPr>
            <w:r w:rsidRPr="004E2053">
              <w:t>Pbo</w:t>
            </w:r>
          </w:p>
        </w:tc>
        <w:tc>
          <w:tcPr>
            <w:tcW w:w="517" w:type="pct"/>
            <w:tcMar>
              <w:left w:w="28" w:type="dxa"/>
              <w:right w:w="28" w:type="dxa"/>
            </w:tcMar>
          </w:tcPr>
          <w:p w14:paraId="302CD8ED" w14:textId="77777777" w:rsidR="00CA5350" w:rsidRDefault="00CA5350" w:rsidP="002760FA">
            <w:pPr>
              <w:pStyle w:val="TableTextDusc"/>
              <w:keepNext/>
              <w:keepLines/>
            </w:pPr>
            <w:r w:rsidRPr="004E2053">
              <w:t>37</w:t>
            </w:r>
          </w:p>
        </w:tc>
        <w:tc>
          <w:tcPr>
            <w:tcW w:w="695" w:type="pct"/>
            <w:tcMar>
              <w:left w:w="28" w:type="dxa"/>
              <w:right w:w="28" w:type="dxa"/>
            </w:tcMar>
          </w:tcPr>
          <w:p w14:paraId="438ADA95" w14:textId="77777777" w:rsidR="00CA5350" w:rsidRPr="00CF03B5" w:rsidRDefault="00CA5350" w:rsidP="002760FA">
            <w:pPr>
              <w:pStyle w:val="TableTextDusc"/>
              <w:keepNext/>
              <w:keepLines/>
            </w:pPr>
            <w:r w:rsidRPr="00CF03B5">
              <w:t>4 (1</w:t>
            </w:r>
            <w:r>
              <w:t>1</w:t>
            </w:r>
            <w:r w:rsidRPr="00CF03B5">
              <w:t>%)</w:t>
            </w:r>
          </w:p>
        </w:tc>
        <w:tc>
          <w:tcPr>
            <w:tcW w:w="742" w:type="pct"/>
            <w:tcMar>
              <w:left w:w="28" w:type="dxa"/>
              <w:right w:w="28" w:type="dxa"/>
            </w:tcMar>
          </w:tcPr>
          <w:p w14:paraId="40F061D7" w14:textId="77777777" w:rsidR="00CA5350" w:rsidRPr="00CF03B5" w:rsidRDefault="00CA5350" w:rsidP="002760FA">
            <w:pPr>
              <w:pStyle w:val="TableTextDusc"/>
              <w:keepNext/>
              <w:keepLines/>
            </w:pPr>
            <w:r w:rsidRPr="00CF03B5">
              <w:t>-1.5 (3.2)</w:t>
            </w:r>
          </w:p>
        </w:tc>
      </w:tr>
    </w:tbl>
    <w:p w14:paraId="005255DD" w14:textId="77777777" w:rsidR="00CA5350" w:rsidRPr="00926BBE" w:rsidRDefault="00CA5350" w:rsidP="002760FA">
      <w:pPr>
        <w:pStyle w:val="TableFooter"/>
        <w:keepNext/>
        <w:keepLines/>
        <w:rPr>
          <w:i/>
        </w:rPr>
      </w:pPr>
      <w:r>
        <w:t xml:space="preserve">Ada = adalimumab; CDLQI = Children’s Dermatology Life Quality Index; Etan = etanercept; Mtx = methotrexate; PASI 50, 75, 90, 100 = reduction in Psoriasis Area and Severity Index score of 50%, 75%, 90% or 100%; Pbo = placebo; SC = subcutaneous; SD = standard deviation; Ust = ustekinumab; </w:t>
      </w:r>
      <w:r w:rsidRPr="00926BBE">
        <w:rPr>
          <w:i/>
        </w:rPr>
        <w:t xml:space="preserve">Italics = </w:t>
      </w:r>
      <w:r>
        <w:rPr>
          <w:i/>
        </w:rPr>
        <w:t>percentage change in CDLQI</w:t>
      </w:r>
    </w:p>
    <w:p w14:paraId="71B4B083" w14:textId="77777777" w:rsidR="00CA5350" w:rsidRDefault="00CA5350" w:rsidP="002760FA">
      <w:pPr>
        <w:pStyle w:val="TableFooter"/>
        <w:keepNext/>
        <w:keepLines/>
      </w:pPr>
      <w:r>
        <w:rPr>
          <w:vertAlign w:val="superscript"/>
        </w:rPr>
        <w:t>1</w:t>
      </w:r>
      <w:r>
        <w:t xml:space="preserve"> Adalimumab 0.4 mg/kg SC every other week</w:t>
      </w:r>
    </w:p>
    <w:p w14:paraId="3BE47865" w14:textId="77777777" w:rsidR="00CA5350" w:rsidRDefault="00CA5350" w:rsidP="002760FA">
      <w:pPr>
        <w:pStyle w:val="TableFooter"/>
        <w:keepNext/>
        <w:keepLines/>
      </w:pPr>
      <w:r>
        <w:rPr>
          <w:vertAlign w:val="superscript"/>
        </w:rPr>
        <w:t>2</w:t>
      </w:r>
      <w:r>
        <w:t xml:space="preserve"> Adalimumab 0.8 mg/kg SC every other week</w:t>
      </w:r>
    </w:p>
    <w:p w14:paraId="46EB84A5" w14:textId="77777777" w:rsidR="00CA5350" w:rsidRDefault="00CA5350" w:rsidP="002760FA">
      <w:pPr>
        <w:pStyle w:val="TableFooter"/>
        <w:keepNext/>
        <w:keepLines/>
      </w:pPr>
      <w:r>
        <w:rPr>
          <w:vertAlign w:val="superscript"/>
        </w:rPr>
        <w:t>3*</w:t>
      </w:r>
      <w:r>
        <w:t xml:space="preserve"> Etanercept 0.8 mg/kg SC once weekly (PI recommended dose)</w:t>
      </w:r>
    </w:p>
    <w:p w14:paraId="544C927F" w14:textId="77777777" w:rsidR="00CA5350" w:rsidRDefault="00CA5350" w:rsidP="002760FA">
      <w:pPr>
        <w:pStyle w:val="TableFooter"/>
        <w:keepNext/>
        <w:keepLines/>
      </w:pPr>
      <w:r>
        <w:rPr>
          <w:vertAlign w:val="superscript"/>
        </w:rPr>
        <w:t>4</w:t>
      </w:r>
      <w:r>
        <w:t xml:space="preserve"> Ustekinumab </w:t>
      </w:r>
      <w:r w:rsidRPr="00A53117">
        <w:t>0.375 mg/kg if ≤ 60 kg o</w:t>
      </w:r>
      <w:r>
        <w:t xml:space="preserve">r 22.5 mg if 60-100 kg or 45 mg </w:t>
      </w:r>
      <w:r w:rsidRPr="00A53117">
        <w:t xml:space="preserve">if </w:t>
      </w:r>
      <w:r>
        <w:t xml:space="preserve">&gt; </w:t>
      </w:r>
      <w:r w:rsidRPr="00A53117">
        <w:t xml:space="preserve">100 kg </w:t>
      </w:r>
      <w:r>
        <w:t xml:space="preserve">SC </w:t>
      </w:r>
      <w:r w:rsidRPr="00A53117">
        <w:t xml:space="preserve">at </w:t>
      </w:r>
      <w:r>
        <w:t>W</w:t>
      </w:r>
      <w:r w:rsidRPr="00A53117">
        <w:t>eeks 0</w:t>
      </w:r>
      <w:r>
        <w:t>,</w:t>
      </w:r>
      <w:r w:rsidRPr="00A53117">
        <w:t xml:space="preserve"> 4</w:t>
      </w:r>
    </w:p>
    <w:p w14:paraId="189CE2D6" w14:textId="77777777" w:rsidR="00CA5350" w:rsidRDefault="00CA5350" w:rsidP="002760FA">
      <w:pPr>
        <w:pStyle w:val="TableFooter"/>
        <w:keepNext/>
        <w:keepLines/>
      </w:pPr>
      <w:r>
        <w:rPr>
          <w:vertAlign w:val="superscript"/>
        </w:rPr>
        <w:t>5</w:t>
      </w:r>
      <w:r>
        <w:t xml:space="preserve"> Ustekinumab </w:t>
      </w:r>
      <w:r w:rsidRPr="00A53117">
        <w:t>0.</w:t>
      </w:r>
      <w:r>
        <w:t>75</w:t>
      </w:r>
      <w:r w:rsidRPr="00A53117">
        <w:t xml:space="preserve"> mg/kg if ≤ 60 kg or </w:t>
      </w:r>
      <w:r>
        <w:t>4</w:t>
      </w:r>
      <w:r w:rsidRPr="00A53117">
        <w:t xml:space="preserve">5 mg if 60-100 kg or </w:t>
      </w:r>
      <w:r>
        <w:t>90</w:t>
      </w:r>
      <w:r w:rsidRPr="00A53117">
        <w:t xml:space="preserve"> mg if </w:t>
      </w:r>
      <w:r>
        <w:t xml:space="preserve">&gt; </w:t>
      </w:r>
      <w:r w:rsidRPr="00A53117">
        <w:t xml:space="preserve">100 kg </w:t>
      </w:r>
      <w:r>
        <w:t xml:space="preserve">SC </w:t>
      </w:r>
      <w:r w:rsidRPr="00A53117">
        <w:t xml:space="preserve">at </w:t>
      </w:r>
      <w:r>
        <w:t>W</w:t>
      </w:r>
      <w:r w:rsidRPr="00A53117">
        <w:t>eeks 0</w:t>
      </w:r>
      <w:r>
        <w:t>,</w:t>
      </w:r>
      <w:r w:rsidRPr="00A53117">
        <w:t xml:space="preserve"> 4</w:t>
      </w:r>
    </w:p>
    <w:p w14:paraId="55B6F745" w14:textId="77777777" w:rsidR="009E4833" w:rsidRPr="00FE1642" w:rsidRDefault="00CA5350" w:rsidP="00504042">
      <w:pPr>
        <w:pStyle w:val="MDSubsubheding"/>
      </w:pPr>
      <w:r>
        <w:t xml:space="preserve"> </w:t>
      </w:r>
      <w:bookmarkStart w:id="80" w:name="_Toc503274970"/>
      <w:r w:rsidR="00504042">
        <w:t>Efficacy of biologicals in specific sites on the body</w:t>
      </w:r>
      <w:bookmarkEnd w:id="80"/>
    </w:p>
    <w:p w14:paraId="6738EF80" w14:textId="20DAB285" w:rsidR="002A6B78" w:rsidRPr="00FE1642" w:rsidRDefault="002A6B78" w:rsidP="00A77877">
      <w:pPr>
        <w:pStyle w:val="ToRText"/>
      </w:pPr>
      <w:r w:rsidRPr="00FE1642">
        <w:t>e)</w:t>
      </w:r>
      <w:r w:rsidRPr="00FE1642">
        <w:tab/>
      </w:r>
      <w:r w:rsidR="005A2F14" w:rsidRPr="00FE1642">
        <w:t>Consider</w:t>
      </w:r>
      <w:r w:rsidRPr="00FE1642">
        <w:t xml:space="preserve"> evidence on comparative effectiveness of classes of biologic agents in populations with hand/face/feet</w:t>
      </w:r>
      <w:r w:rsidR="00504042">
        <w:t xml:space="preserve"> (or genital)</w:t>
      </w:r>
      <w:r w:rsidRPr="00FE1642">
        <w:t xml:space="preserve"> psoriasis</w:t>
      </w:r>
      <w:r w:rsidR="00530052" w:rsidRPr="00FE1642">
        <w:t>.</w:t>
      </w:r>
      <w:r w:rsidRPr="00FE1642">
        <w:t xml:space="preserve"> </w:t>
      </w:r>
    </w:p>
    <w:p w14:paraId="0E48EEC0" w14:textId="77777777" w:rsidR="00C564FA" w:rsidRDefault="006C7EC2" w:rsidP="00A77877">
      <w:r w:rsidRPr="006C7EC2">
        <w:t>There was limited evidence for the treatment of hand/face/feet psoriasis. In the systematic review one small trial each for adalimumab, infliximab and secukinumab was identified.</w:t>
      </w:r>
      <w:r w:rsidR="00C564FA">
        <w:t xml:space="preserve"> Two trials </w:t>
      </w:r>
      <w:r w:rsidR="0001631C">
        <w:t xml:space="preserve">(of general severe CPP population from above) </w:t>
      </w:r>
      <w:r w:rsidR="00C564FA">
        <w:t>for secukinumab also provided sub-group analysis of palmopl</w:t>
      </w:r>
      <w:r w:rsidR="0001631C">
        <w:t>antar involvement</w:t>
      </w:r>
      <w:r w:rsidR="00C564FA">
        <w:t>.</w:t>
      </w:r>
    </w:p>
    <w:p w14:paraId="1EFBE8C9" w14:textId="5C6F5ADB" w:rsidR="00C564FA" w:rsidRDefault="00C564FA" w:rsidP="00A77877">
      <w:r>
        <w:lastRenderedPageBreak/>
        <w:t>The trials and subgroup analysis that were identified included palmoplantar and fingernail involvement</w:t>
      </w:r>
      <w:r w:rsidR="00F3545E">
        <w:t>.</w:t>
      </w:r>
      <w:r>
        <w:t xml:space="preserve"> </w:t>
      </w:r>
      <w:r w:rsidR="00F3545E">
        <w:t xml:space="preserve">No </w:t>
      </w:r>
      <w:r>
        <w:t xml:space="preserve">trials were identified </w:t>
      </w:r>
      <w:r w:rsidR="00F3545E">
        <w:t>that</w:t>
      </w:r>
      <w:r>
        <w:t xml:space="preserve"> considered the effect of the PBS-listed biologics on CPP specifically focused on face or genital involvement.</w:t>
      </w:r>
    </w:p>
    <w:p w14:paraId="411E20DD" w14:textId="35952E72" w:rsidR="006C7EC2" w:rsidRDefault="006C7EC2" w:rsidP="00A77877">
      <w:r w:rsidRPr="006C7EC2">
        <w:t xml:space="preserve">Each trial assessed the proportion of patients achieving a score of clear or almost clear on the hand and/or feet Physician's Global Assessment tool. Each drug appeared to have some </w:t>
      </w:r>
      <w:r w:rsidR="00F3545E">
        <w:t>e</w:t>
      </w:r>
      <w:r w:rsidR="00F3545E" w:rsidRPr="006C7EC2">
        <w:t xml:space="preserve">ffect </w:t>
      </w:r>
      <w:r w:rsidRPr="006C7EC2">
        <w:t>compared to placebo</w:t>
      </w:r>
      <w:r w:rsidR="00504042">
        <w:t xml:space="preserve"> (</w:t>
      </w:r>
      <w:r w:rsidR="00594BE2">
        <w:t>Table ES.</w:t>
      </w:r>
      <w:r w:rsidR="00F3545E">
        <w:rPr>
          <w:noProof/>
        </w:rPr>
        <w:t>17</w:t>
      </w:r>
      <w:r w:rsidR="00504042">
        <w:t>)</w:t>
      </w:r>
      <w:r w:rsidRPr="006C7EC2">
        <w:t>.</w:t>
      </w:r>
    </w:p>
    <w:p w14:paraId="3BDFA0D1" w14:textId="77777777" w:rsidR="00504042" w:rsidRDefault="00A75F73" w:rsidP="008D4D9D">
      <w:pPr>
        <w:pStyle w:val="MDTabCaption"/>
        <w:keepLines/>
      </w:pPr>
      <w:bookmarkStart w:id="81" w:name="_Ref499897278"/>
      <w:bookmarkStart w:id="82" w:name="_Toc503275007"/>
      <w:r>
        <w:t>Table ES.</w:t>
      </w:r>
      <w:r w:rsidR="00E92AD5">
        <w:t>17</w:t>
      </w:r>
      <w:bookmarkEnd w:id="81"/>
      <w:r w:rsidR="00504042">
        <w:t>: CPP with hands and/or feet involvement trials: efficacy results</w:t>
      </w:r>
      <w:bookmarkEnd w:id="82"/>
    </w:p>
    <w:tbl>
      <w:tblPr>
        <w:tblStyle w:val="TableGrid"/>
        <w:tblW w:w="9067" w:type="dxa"/>
        <w:tblLayout w:type="fixed"/>
        <w:tblLook w:val="04A0" w:firstRow="1" w:lastRow="0" w:firstColumn="1" w:lastColumn="0" w:noHBand="0" w:noVBand="1"/>
        <w:tblCaption w:val="Efficacy results of trials examining biologic in psoriasis of the hands or feet"/>
      </w:tblPr>
      <w:tblGrid>
        <w:gridCol w:w="1129"/>
        <w:gridCol w:w="1276"/>
        <w:gridCol w:w="567"/>
        <w:gridCol w:w="567"/>
        <w:gridCol w:w="1418"/>
        <w:gridCol w:w="1417"/>
        <w:gridCol w:w="1701"/>
        <w:gridCol w:w="992"/>
      </w:tblGrid>
      <w:tr w:rsidR="00504042" w:rsidRPr="000711AC" w14:paraId="2D974386" w14:textId="77777777" w:rsidTr="00F62952">
        <w:trPr>
          <w:cantSplit/>
          <w:tblHeader/>
        </w:trPr>
        <w:tc>
          <w:tcPr>
            <w:tcW w:w="1129" w:type="dxa"/>
            <w:shd w:val="clear" w:color="auto" w:fill="A6A6A6" w:themeFill="background1" w:themeFillShade="A6"/>
            <w:tcMar>
              <w:left w:w="28" w:type="dxa"/>
              <w:right w:w="28" w:type="dxa"/>
            </w:tcMar>
          </w:tcPr>
          <w:p w14:paraId="0D29464C" w14:textId="77777777" w:rsidR="00504042" w:rsidRPr="000711AC" w:rsidRDefault="00504042" w:rsidP="00504042">
            <w:pPr>
              <w:pStyle w:val="TableTextDusc"/>
              <w:keepNext/>
              <w:rPr>
                <w:b/>
              </w:rPr>
            </w:pPr>
            <w:r w:rsidRPr="000711AC">
              <w:rPr>
                <w:b/>
              </w:rPr>
              <w:t>Trial</w:t>
            </w:r>
          </w:p>
        </w:tc>
        <w:tc>
          <w:tcPr>
            <w:tcW w:w="1276" w:type="dxa"/>
            <w:shd w:val="clear" w:color="auto" w:fill="A6A6A6" w:themeFill="background1" w:themeFillShade="A6"/>
            <w:tcMar>
              <w:left w:w="28" w:type="dxa"/>
              <w:right w:w="28" w:type="dxa"/>
            </w:tcMar>
          </w:tcPr>
          <w:p w14:paraId="037A9952" w14:textId="77777777" w:rsidR="00504042" w:rsidRPr="000711AC" w:rsidRDefault="00504042" w:rsidP="00504042">
            <w:pPr>
              <w:pStyle w:val="TableTextDusc"/>
              <w:keepNext/>
              <w:rPr>
                <w:b/>
              </w:rPr>
            </w:pPr>
            <w:r w:rsidRPr="000711AC">
              <w:rPr>
                <w:b/>
              </w:rPr>
              <w:t>Time horizon</w:t>
            </w:r>
          </w:p>
        </w:tc>
        <w:tc>
          <w:tcPr>
            <w:tcW w:w="567" w:type="dxa"/>
            <w:shd w:val="clear" w:color="auto" w:fill="A6A6A6" w:themeFill="background1" w:themeFillShade="A6"/>
            <w:tcMar>
              <w:left w:w="28" w:type="dxa"/>
              <w:right w:w="28" w:type="dxa"/>
            </w:tcMar>
          </w:tcPr>
          <w:p w14:paraId="11588BC0" w14:textId="77777777" w:rsidR="00504042" w:rsidRPr="000711AC" w:rsidRDefault="00504042" w:rsidP="00504042">
            <w:pPr>
              <w:pStyle w:val="TableTextDusc"/>
              <w:keepNext/>
              <w:rPr>
                <w:b/>
              </w:rPr>
            </w:pPr>
            <w:r w:rsidRPr="000711AC">
              <w:rPr>
                <w:b/>
              </w:rPr>
              <w:t>Arm</w:t>
            </w:r>
          </w:p>
        </w:tc>
        <w:tc>
          <w:tcPr>
            <w:tcW w:w="567" w:type="dxa"/>
            <w:shd w:val="clear" w:color="auto" w:fill="A6A6A6" w:themeFill="background1" w:themeFillShade="A6"/>
            <w:tcMar>
              <w:left w:w="28" w:type="dxa"/>
              <w:right w:w="28" w:type="dxa"/>
            </w:tcMar>
          </w:tcPr>
          <w:p w14:paraId="0CF5F7A1" w14:textId="77777777" w:rsidR="00504042" w:rsidRPr="000711AC" w:rsidRDefault="00504042" w:rsidP="00504042">
            <w:pPr>
              <w:pStyle w:val="TableTextDusc"/>
              <w:keepNext/>
              <w:rPr>
                <w:b/>
              </w:rPr>
            </w:pPr>
            <w:r w:rsidRPr="000711AC">
              <w:rPr>
                <w:b/>
              </w:rPr>
              <w:t xml:space="preserve">N </w:t>
            </w:r>
          </w:p>
        </w:tc>
        <w:tc>
          <w:tcPr>
            <w:tcW w:w="1418" w:type="dxa"/>
            <w:shd w:val="clear" w:color="auto" w:fill="A6A6A6" w:themeFill="background1" w:themeFillShade="A6"/>
            <w:tcMar>
              <w:left w:w="28" w:type="dxa"/>
              <w:right w:w="28" w:type="dxa"/>
            </w:tcMar>
          </w:tcPr>
          <w:p w14:paraId="53299BC7" w14:textId="77777777" w:rsidR="00504042" w:rsidRPr="000711AC" w:rsidRDefault="00504042" w:rsidP="00504042">
            <w:pPr>
              <w:pStyle w:val="TableTextDusc"/>
              <w:keepNext/>
              <w:rPr>
                <w:b/>
              </w:rPr>
            </w:pPr>
            <w:r w:rsidRPr="000711AC">
              <w:rPr>
                <w:b/>
              </w:rPr>
              <w:t>m-P</w:t>
            </w:r>
            <w:r>
              <w:rPr>
                <w:b/>
              </w:rPr>
              <w:t>P</w:t>
            </w:r>
            <w:r w:rsidRPr="000711AC">
              <w:rPr>
                <w:b/>
              </w:rPr>
              <w:t>PASI 50, %</w:t>
            </w:r>
          </w:p>
        </w:tc>
        <w:tc>
          <w:tcPr>
            <w:tcW w:w="1417" w:type="dxa"/>
            <w:shd w:val="clear" w:color="auto" w:fill="A6A6A6" w:themeFill="background1" w:themeFillShade="A6"/>
            <w:tcMar>
              <w:left w:w="28" w:type="dxa"/>
              <w:right w:w="28" w:type="dxa"/>
            </w:tcMar>
          </w:tcPr>
          <w:p w14:paraId="7E49F549" w14:textId="77777777" w:rsidR="00504042" w:rsidRPr="000711AC" w:rsidRDefault="00504042" w:rsidP="00504042">
            <w:pPr>
              <w:pStyle w:val="TableTextDusc"/>
              <w:keepNext/>
              <w:rPr>
                <w:b/>
              </w:rPr>
            </w:pPr>
            <w:r w:rsidRPr="000711AC">
              <w:rPr>
                <w:b/>
              </w:rPr>
              <w:t>m-P</w:t>
            </w:r>
            <w:r>
              <w:rPr>
                <w:b/>
              </w:rPr>
              <w:t>P</w:t>
            </w:r>
            <w:r w:rsidRPr="000711AC">
              <w:rPr>
                <w:b/>
              </w:rPr>
              <w:t>PASI 75, %</w:t>
            </w:r>
          </w:p>
        </w:tc>
        <w:tc>
          <w:tcPr>
            <w:tcW w:w="1701" w:type="dxa"/>
            <w:shd w:val="clear" w:color="auto" w:fill="A6A6A6" w:themeFill="background1" w:themeFillShade="A6"/>
            <w:tcMar>
              <w:left w:w="28" w:type="dxa"/>
              <w:right w:w="28" w:type="dxa"/>
            </w:tcMar>
          </w:tcPr>
          <w:p w14:paraId="7653E31C" w14:textId="77777777" w:rsidR="00504042" w:rsidRPr="000711AC" w:rsidRDefault="00504042" w:rsidP="00504042">
            <w:pPr>
              <w:pStyle w:val="TableTextDusc"/>
              <w:keepNext/>
              <w:rPr>
                <w:b/>
              </w:rPr>
            </w:pPr>
            <w:r w:rsidRPr="000711AC">
              <w:rPr>
                <w:b/>
              </w:rPr>
              <w:t>hf PGA</w:t>
            </w:r>
            <w:r>
              <w:rPr>
                <w:b/>
              </w:rPr>
              <w:t xml:space="preserve"> of 0 or 1, %</w:t>
            </w:r>
          </w:p>
        </w:tc>
        <w:tc>
          <w:tcPr>
            <w:tcW w:w="992" w:type="dxa"/>
            <w:shd w:val="clear" w:color="auto" w:fill="A6A6A6" w:themeFill="background1" w:themeFillShade="A6"/>
            <w:tcMar>
              <w:left w:w="28" w:type="dxa"/>
              <w:right w:w="28" w:type="dxa"/>
            </w:tcMar>
          </w:tcPr>
          <w:p w14:paraId="0B3C911A" w14:textId="77777777" w:rsidR="00504042" w:rsidRPr="000711AC" w:rsidRDefault="00504042" w:rsidP="00504042">
            <w:pPr>
              <w:pStyle w:val="TableTextDusc"/>
              <w:keepNext/>
              <w:rPr>
                <w:b/>
              </w:rPr>
            </w:pPr>
            <w:r w:rsidRPr="000711AC">
              <w:rPr>
                <w:b/>
              </w:rPr>
              <w:t>PASI 75, %</w:t>
            </w:r>
          </w:p>
        </w:tc>
      </w:tr>
      <w:tr w:rsidR="00504042" w:rsidRPr="000711AC" w14:paraId="4E8072AB" w14:textId="77777777" w:rsidTr="00504042">
        <w:trPr>
          <w:cantSplit/>
          <w:trHeight w:val="197"/>
        </w:trPr>
        <w:tc>
          <w:tcPr>
            <w:tcW w:w="9067" w:type="dxa"/>
            <w:gridSpan w:val="8"/>
            <w:shd w:val="clear" w:color="auto" w:fill="auto"/>
            <w:tcMar>
              <w:left w:w="28" w:type="dxa"/>
              <w:right w:w="28" w:type="dxa"/>
            </w:tcMar>
          </w:tcPr>
          <w:p w14:paraId="1F06448C" w14:textId="77777777" w:rsidR="00504042" w:rsidRPr="000711AC" w:rsidRDefault="00504042" w:rsidP="00504042">
            <w:pPr>
              <w:pStyle w:val="TableTextDusc"/>
              <w:keepNext/>
              <w:rPr>
                <w:b/>
              </w:rPr>
            </w:pPr>
            <w:r w:rsidRPr="000711AC">
              <w:rPr>
                <w:b/>
              </w:rPr>
              <w:t>Adalimumab</w:t>
            </w:r>
          </w:p>
        </w:tc>
      </w:tr>
      <w:tr w:rsidR="00504042" w14:paraId="668F884E" w14:textId="77777777" w:rsidTr="00504042">
        <w:trPr>
          <w:cantSplit/>
        </w:trPr>
        <w:tc>
          <w:tcPr>
            <w:tcW w:w="1129" w:type="dxa"/>
            <w:vMerge w:val="restart"/>
            <w:shd w:val="clear" w:color="auto" w:fill="auto"/>
            <w:tcMar>
              <w:left w:w="28" w:type="dxa"/>
              <w:right w:w="28" w:type="dxa"/>
            </w:tcMar>
          </w:tcPr>
          <w:p w14:paraId="30BBF2B9" w14:textId="77777777" w:rsidR="00504042" w:rsidRPr="00A5280D" w:rsidRDefault="00504042" w:rsidP="00504042">
            <w:pPr>
              <w:pStyle w:val="TableTextDusc"/>
              <w:keepNext/>
            </w:pPr>
            <w:r>
              <w:t xml:space="preserve">REACH </w:t>
            </w:r>
          </w:p>
        </w:tc>
        <w:tc>
          <w:tcPr>
            <w:tcW w:w="1276" w:type="dxa"/>
            <w:vMerge w:val="restart"/>
            <w:shd w:val="clear" w:color="auto" w:fill="auto"/>
            <w:tcMar>
              <w:left w:w="28" w:type="dxa"/>
              <w:right w:w="28" w:type="dxa"/>
            </w:tcMar>
          </w:tcPr>
          <w:p w14:paraId="355B6C90" w14:textId="77777777" w:rsidR="00504042" w:rsidRPr="00A5280D" w:rsidRDefault="00504042" w:rsidP="00504042">
            <w:pPr>
              <w:pStyle w:val="TableTextDusc"/>
              <w:keepNext/>
            </w:pPr>
            <w:r>
              <w:t>16 weeks</w:t>
            </w:r>
          </w:p>
        </w:tc>
        <w:tc>
          <w:tcPr>
            <w:tcW w:w="567" w:type="dxa"/>
            <w:shd w:val="clear" w:color="auto" w:fill="auto"/>
            <w:tcMar>
              <w:left w:w="28" w:type="dxa"/>
              <w:right w:w="28" w:type="dxa"/>
            </w:tcMar>
          </w:tcPr>
          <w:p w14:paraId="0F60A37C" w14:textId="77777777" w:rsidR="00504042" w:rsidRPr="00A5280D" w:rsidRDefault="00504042" w:rsidP="008C18C0">
            <w:pPr>
              <w:pStyle w:val="TableTextDusc"/>
              <w:keepNext/>
            </w:pPr>
            <w:r w:rsidRPr="00A5280D">
              <w:t>Ada</w:t>
            </w:r>
            <w:r w:rsidRPr="00A5280D">
              <w:rPr>
                <w:vertAlign w:val="superscript"/>
              </w:rPr>
              <w:t>1</w:t>
            </w:r>
          </w:p>
        </w:tc>
        <w:tc>
          <w:tcPr>
            <w:tcW w:w="567" w:type="dxa"/>
            <w:shd w:val="clear" w:color="auto" w:fill="auto"/>
            <w:tcMar>
              <w:left w:w="28" w:type="dxa"/>
              <w:right w:w="28" w:type="dxa"/>
            </w:tcMar>
          </w:tcPr>
          <w:p w14:paraId="096C975A" w14:textId="77777777" w:rsidR="00504042" w:rsidRPr="00A5280D" w:rsidRDefault="00504042" w:rsidP="00504042">
            <w:pPr>
              <w:pStyle w:val="TableTextDusc"/>
              <w:keepNext/>
            </w:pPr>
            <w:r>
              <w:t>49</w:t>
            </w:r>
          </w:p>
        </w:tc>
        <w:tc>
          <w:tcPr>
            <w:tcW w:w="1418" w:type="dxa"/>
            <w:shd w:val="clear" w:color="auto" w:fill="auto"/>
            <w:tcMar>
              <w:left w:w="28" w:type="dxa"/>
              <w:right w:w="28" w:type="dxa"/>
            </w:tcMar>
          </w:tcPr>
          <w:p w14:paraId="25F7203A" w14:textId="77777777" w:rsidR="00504042" w:rsidRPr="00A5280D" w:rsidRDefault="008C18C0" w:rsidP="00504042">
            <w:pPr>
              <w:pStyle w:val="TableTextDusc"/>
              <w:keepNext/>
            </w:pPr>
            <w:r>
              <w:t>NR</w:t>
            </w:r>
          </w:p>
        </w:tc>
        <w:tc>
          <w:tcPr>
            <w:tcW w:w="1417" w:type="dxa"/>
            <w:shd w:val="clear" w:color="auto" w:fill="auto"/>
            <w:tcMar>
              <w:left w:w="28" w:type="dxa"/>
              <w:right w:w="28" w:type="dxa"/>
            </w:tcMar>
          </w:tcPr>
          <w:p w14:paraId="149C2452" w14:textId="77777777" w:rsidR="00504042" w:rsidRPr="00A5280D" w:rsidRDefault="008C18C0" w:rsidP="00504042">
            <w:pPr>
              <w:pStyle w:val="TableTextDusc"/>
              <w:keepNext/>
            </w:pPr>
            <w:r>
              <w:t>NR</w:t>
            </w:r>
          </w:p>
        </w:tc>
        <w:tc>
          <w:tcPr>
            <w:tcW w:w="1701" w:type="dxa"/>
            <w:shd w:val="clear" w:color="auto" w:fill="auto"/>
            <w:tcMar>
              <w:left w:w="28" w:type="dxa"/>
              <w:right w:w="28" w:type="dxa"/>
            </w:tcMar>
          </w:tcPr>
          <w:p w14:paraId="452A09B2" w14:textId="77777777" w:rsidR="00504042" w:rsidRPr="00A5280D" w:rsidRDefault="00504042" w:rsidP="00504042">
            <w:pPr>
              <w:pStyle w:val="TableTextDusc"/>
              <w:keepNext/>
            </w:pPr>
            <w:r>
              <w:t>31%</w:t>
            </w:r>
          </w:p>
        </w:tc>
        <w:tc>
          <w:tcPr>
            <w:tcW w:w="992" w:type="dxa"/>
            <w:shd w:val="clear" w:color="auto" w:fill="auto"/>
            <w:tcMar>
              <w:left w:w="28" w:type="dxa"/>
              <w:right w:w="28" w:type="dxa"/>
            </w:tcMar>
          </w:tcPr>
          <w:p w14:paraId="78C2DC6F" w14:textId="77777777" w:rsidR="00504042" w:rsidRPr="00A5280D" w:rsidRDefault="008C18C0" w:rsidP="00504042">
            <w:pPr>
              <w:pStyle w:val="TableTextDusc"/>
              <w:keepNext/>
            </w:pPr>
            <w:r>
              <w:t>NR</w:t>
            </w:r>
          </w:p>
        </w:tc>
      </w:tr>
      <w:tr w:rsidR="00504042" w14:paraId="72A0C922" w14:textId="77777777" w:rsidTr="00504042">
        <w:trPr>
          <w:cantSplit/>
        </w:trPr>
        <w:tc>
          <w:tcPr>
            <w:tcW w:w="1129" w:type="dxa"/>
            <w:vMerge/>
            <w:shd w:val="clear" w:color="auto" w:fill="auto"/>
            <w:tcMar>
              <w:left w:w="28" w:type="dxa"/>
              <w:right w:w="28" w:type="dxa"/>
            </w:tcMar>
          </w:tcPr>
          <w:p w14:paraId="2B6D0D73" w14:textId="77777777" w:rsidR="00504042" w:rsidRPr="00A5280D" w:rsidRDefault="00504042" w:rsidP="00504042">
            <w:pPr>
              <w:pStyle w:val="TableTextDusc"/>
              <w:keepNext/>
            </w:pPr>
          </w:p>
        </w:tc>
        <w:tc>
          <w:tcPr>
            <w:tcW w:w="1276" w:type="dxa"/>
            <w:vMerge/>
            <w:shd w:val="clear" w:color="auto" w:fill="auto"/>
            <w:tcMar>
              <w:left w:w="28" w:type="dxa"/>
              <w:right w:w="28" w:type="dxa"/>
            </w:tcMar>
          </w:tcPr>
          <w:p w14:paraId="11A9CAF3" w14:textId="77777777" w:rsidR="00504042" w:rsidRPr="00A5280D" w:rsidRDefault="00504042" w:rsidP="00504042">
            <w:pPr>
              <w:pStyle w:val="TableTextDusc"/>
              <w:keepNext/>
            </w:pPr>
          </w:p>
        </w:tc>
        <w:tc>
          <w:tcPr>
            <w:tcW w:w="567" w:type="dxa"/>
            <w:shd w:val="clear" w:color="auto" w:fill="auto"/>
            <w:tcMar>
              <w:left w:w="28" w:type="dxa"/>
              <w:right w:w="28" w:type="dxa"/>
            </w:tcMar>
          </w:tcPr>
          <w:p w14:paraId="39DB7B68" w14:textId="77777777" w:rsidR="00504042" w:rsidRPr="00A5280D" w:rsidRDefault="00504042" w:rsidP="00504042">
            <w:pPr>
              <w:pStyle w:val="TableTextDusc"/>
              <w:keepNext/>
            </w:pPr>
            <w:r w:rsidRPr="00A5280D">
              <w:t>Pbo</w:t>
            </w:r>
          </w:p>
        </w:tc>
        <w:tc>
          <w:tcPr>
            <w:tcW w:w="567" w:type="dxa"/>
            <w:shd w:val="clear" w:color="auto" w:fill="auto"/>
            <w:tcMar>
              <w:left w:w="28" w:type="dxa"/>
              <w:right w:w="28" w:type="dxa"/>
            </w:tcMar>
          </w:tcPr>
          <w:p w14:paraId="341A2849" w14:textId="77777777" w:rsidR="00504042" w:rsidRPr="00A5280D" w:rsidRDefault="00504042" w:rsidP="00504042">
            <w:pPr>
              <w:pStyle w:val="TableTextDusc"/>
              <w:keepNext/>
            </w:pPr>
            <w:r>
              <w:t>23</w:t>
            </w:r>
          </w:p>
        </w:tc>
        <w:tc>
          <w:tcPr>
            <w:tcW w:w="1418" w:type="dxa"/>
            <w:shd w:val="clear" w:color="auto" w:fill="auto"/>
            <w:tcMar>
              <w:left w:w="28" w:type="dxa"/>
              <w:right w:w="28" w:type="dxa"/>
            </w:tcMar>
          </w:tcPr>
          <w:p w14:paraId="6A885AC0" w14:textId="77777777" w:rsidR="00504042" w:rsidRPr="00A5280D" w:rsidRDefault="008C18C0" w:rsidP="00504042">
            <w:pPr>
              <w:pStyle w:val="TableTextDusc"/>
              <w:keepNext/>
            </w:pPr>
            <w:r>
              <w:t>NR</w:t>
            </w:r>
          </w:p>
        </w:tc>
        <w:tc>
          <w:tcPr>
            <w:tcW w:w="1417" w:type="dxa"/>
            <w:shd w:val="clear" w:color="auto" w:fill="auto"/>
            <w:tcMar>
              <w:left w:w="28" w:type="dxa"/>
              <w:right w:w="28" w:type="dxa"/>
            </w:tcMar>
          </w:tcPr>
          <w:p w14:paraId="0C0E569D" w14:textId="77777777" w:rsidR="00504042" w:rsidRPr="00A5280D" w:rsidRDefault="008C18C0" w:rsidP="00504042">
            <w:pPr>
              <w:pStyle w:val="TableTextDusc"/>
              <w:keepNext/>
            </w:pPr>
            <w:r>
              <w:t>NR</w:t>
            </w:r>
          </w:p>
        </w:tc>
        <w:tc>
          <w:tcPr>
            <w:tcW w:w="1701" w:type="dxa"/>
            <w:shd w:val="clear" w:color="auto" w:fill="auto"/>
            <w:tcMar>
              <w:left w:w="28" w:type="dxa"/>
              <w:right w:w="28" w:type="dxa"/>
            </w:tcMar>
          </w:tcPr>
          <w:p w14:paraId="1D1D76DD" w14:textId="77777777" w:rsidR="00504042" w:rsidRPr="00A5280D" w:rsidRDefault="00504042" w:rsidP="00504042">
            <w:pPr>
              <w:pStyle w:val="TableTextDusc"/>
              <w:keepNext/>
            </w:pPr>
            <w:r>
              <w:t>4%</w:t>
            </w:r>
          </w:p>
        </w:tc>
        <w:tc>
          <w:tcPr>
            <w:tcW w:w="992" w:type="dxa"/>
            <w:shd w:val="clear" w:color="auto" w:fill="auto"/>
            <w:tcMar>
              <w:left w:w="28" w:type="dxa"/>
              <w:right w:w="28" w:type="dxa"/>
            </w:tcMar>
          </w:tcPr>
          <w:p w14:paraId="0E65CE1C" w14:textId="77777777" w:rsidR="00504042" w:rsidRPr="00A5280D" w:rsidRDefault="008C18C0" w:rsidP="00504042">
            <w:pPr>
              <w:pStyle w:val="TableTextDusc"/>
              <w:keepNext/>
            </w:pPr>
            <w:r>
              <w:t>NR</w:t>
            </w:r>
          </w:p>
        </w:tc>
      </w:tr>
      <w:tr w:rsidR="00504042" w:rsidRPr="000711AC" w14:paraId="48EDE4AE" w14:textId="77777777" w:rsidTr="00504042">
        <w:trPr>
          <w:cantSplit/>
        </w:trPr>
        <w:tc>
          <w:tcPr>
            <w:tcW w:w="9067" w:type="dxa"/>
            <w:gridSpan w:val="8"/>
            <w:shd w:val="clear" w:color="auto" w:fill="auto"/>
            <w:tcMar>
              <w:left w:w="28" w:type="dxa"/>
              <w:right w:w="28" w:type="dxa"/>
            </w:tcMar>
          </w:tcPr>
          <w:p w14:paraId="1D5109B3" w14:textId="77777777" w:rsidR="00504042" w:rsidRPr="000711AC" w:rsidRDefault="00504042" w:rsidP="00504042">
            <w:pPr>
              <w:pStyle w:val="TableTextDusc"/>
              <w:rPr>
                <w:b/>
              </w:rPr>
            </w:pPr>
            <w:r w:rsidRPr="000711AC">
              <w:rPr>
                <w:b/>
              </w:rPr>
              <w:t>Infliximab</w:t>
            </w:r>
          </w:p>
        </w:tc>
      </w:tr>
      <w:tr w:rsidR="00504042" w14:paraId="23D6AA67" w14:textId="77777777" w:rsidTr="00504042">
        <w:trPr>
          <w:cantSplit/>
        </w:trPr>
        <w:tc>
          <w:tcPr>
            <w:tcW w:w="1129" w:type="dxa"/>
            <w:vMerge w:val="restart"/>
            <w:shd w:val="clear" w:color="auto" w:fill="auto"/>
            <w:tcMar>
              <w:left w:w="28" w:type="dxa"/>
              <w:right w:w="28" w:type="dxa"/>
            </w:tcMar>
          </w:tcPr>
          <w:p w14:paraId="696ABA14" w14:textId="77777777" w:rsidR="00504042" w:rsidRPr="00A5280D" w:rsidRDefault="00504042" w:rsidP="00504042">
            <w:pPr>
              <w:pStyle w:val="TableTextDusc"/>
            </w:pPr>
            <w:r>
              <w:t>Bissonnette (2011)</w:t>
            </w:r>
          </w:p>
        </w:tc>
        <w:tc>
          <w:tcPr>
            <w:tcW w:w="1276" w:type="dxa"/>
            <w:vMerge w:val="restart"/>
            <w:shd w:val="clear" w:color="auto" w:fill="auto"/>
            <w:tcMar>
              <w:left w:w="28" w:type="dxa"/>
              <w:right w:w="28" w:type="dxa"/>
            </w:tcMar>
          </w:tcPr>
          <w:p w14:paraId="3E718D6C" w14:textId="77777777" w:rsidR="00504042" w:rsidRPr="00A5280D" w:rsidRDefault="00504042" w:rsidP="00504042">
            <w:pPr>
              <w:pStyle w:val="TableTextDusc"/>
            </w:pPr>
            <w:r w:rsidRPr="00A5280D">
              <w:t>1</w:t>
            </w:r>
            <w:r>
              <w:t>4</w:t>
            </w:r>
            <w:r w:rsidRPr="00A5280D">
              <w:t xml:space="preserve"> weeks</w:t>
            </w:r>
          </w:p>
        </w:tc>
        <w:tc>
          <w:tcPr>
            <w:tcW w:w="567" w:type="dxa"/>
            <w:shd w:val="clear" w:color="auto" w:fill="auto"/>
            <w:tcMar>
              <w:left w:w="28" w:type="dxa"/>
              <w:right w:w="28" w:type="dxa"/>
            </w:tcMar>
          </w:tcPr>
          <w:p w14:paraId="254B4140" w14:textId="77777777" w:rsidR="00504042" w:rsidRPr="00A5280D" w:rsidRDefault="00504042" w:rsidP="008C18C0">
            <w:pPr>
              <w:pStyle w:val="TableTextDusc"/>
            </w:pPr>
            <w:r>
              <w:t>Inf</w:t>
            </w:r>
            <w:r w:rsidRPr="00DC3DBA">
              <w:rPr>
                <w:vertAlign w:val="superscript"/>
              </w:rPr>
              <w:t>2</w:t>
            </w:r>
          </w:p>
        </w:tc>
        <w:tc>
          <w:tcPr>
            <w:tcW w:w="567" w:type="dxa"/>
            <w:shd w:val="clear" w:color="auto" w:fill="auto"/>
            <w:tcMar>
              <w:left w:w="28" w:type="dxa"/>
              <w:right w:w="28" w:type="dxa"/>
            </w:tcMar>
          </w:tcPr>
          <w:p w14:paraId="531305FF" w14:textId="77777777" w:rsidR="00504042" w:rsidRPr="00A5280D" w:rsidRDefault="00504042" w:rsidP="00504042">
            <w:pPr>
              <w:pStyle w:val="TableTextDusc"/>
            </w:pPr>
            <w:r>
              <w:t>12</w:t>
            </w:r>
          </w:p>
        </w:tc>
        <w:tc>
          <w:tcPr>
            <w:tcW w:w="1418" w:type="dxa"/>
            <w:shd w:val="clear" w:color="auto" w:fill="auto"/>
            <w:tcMar>
              <w:left w:w="28" w:type="dxa"/>
              <w:right w:w="28" w:type="dxa"/>
            </w:tcMar>
          </w:tcPr>
          <w:p w14:paraId="1BD9E7FF" w14:textId="77777777" w:rsidR="00504042" w:rsidRPr="00A5280D" w:rsidRDefault="00504042" w:rsidP="00504042">
            <w:pPr>
              <w:pStyle w:val="TableTextDusc"/>
            </w:pPr>
            <w:r>
              <w:t>67%</w:t>
            </w:r>
          </w:p>
        </w:tc>
        <w:tc>
          <w:tcPr>
            <w:tcW w:w="1417" w:type="dxa"/>
            <w:shd w:val="clear" w:color="auto" w:fill="auto"/>
            <w:tcMar>
              <w:left w:w="28" w:type="dxa"/>
              <w:right w:w="28" w:type="dxa"/>
            </w:tcMar>
          </w:tcPr>
          <w:p w14:paraId="11A5EBBE" w14:textId="77777777" w:rsidR="00504042" w:rsidRPr="00A5280D" w:rsidRDefault="00504042" w:rsidP="00504042">
            <w:pPr>
              <w:pStyle w:val="TableTextDusc"/>
            </w:pPr>
            <w:r>
              <w:t>33%</w:t>
            </w:r>
          </w:p>
        </w:tc>
        <w:tc>
          <w:tcPr>
            <w:tcW w:w="1701" w:type="dxa"/>
            <w:shd w:val="clear" w:color="auto" w:fill="auto"/>
            <w:tcMar>
              <w:left w:w="28" w:type="dxa"/>
              <w:right w:w="28" w:type="dxa"/>
            </w:tcMar>
          </w:tcPr>
          <w:p w14:paraId="2551A427" w14:textId="77777777" w:rsidR="00504042" w:rsidRPr="00A5280D" w:rsidRDefault="00504042" w:rsidP="00504042">
            <w:pPr>
              <w:pStyle w:val="TableTextDusc"/>
            </w:pPr>
            <w:r>
              <w:t>25%</w:t>
            </w:r>
          </w:p>
        </w:tc>
        <w:tc>
          <w:tcPr>
            <w:tcW w:w="992" w:type="dxa"/>
            <w:shd w:val="clear" w:color="auto" w:fill="auto"/>
            <w:tcMar>
              <w:left w:w="28" w:type="dxa"/>
              <w:right w:w="28" w:type="dxa"/>
            </w:tcMar>
          </w:tcPr>
          <w:p w14:paraId="481334A0" w14:textId="77777777" w:rsidR="00504042" w:rsidRPr="00A5280D" w:rsidRDefault="008C18C0" w:rsidP="00504042">
            <w:pPr>
              <w:pStyle w:val="TableTextDusc"/>
            </w:pPr>
            <w:r>
              <w:t>NR</w:t>
            </w:r>
          </w:p>
        </w:tc>
      </w:tr>
      <w:tr w:rsidR="00504042" w14:paraId="30A6553A" w14:textId="77777777" w:rsidTr="00504042">
        <w:trPr>
          <w:cantSplit/>
        </w:trPr>
        <w:tc>
          <w:tcPr>
            <w:tcW w:w="1129" w:type="dxa"/>
            <w:vMerge/>
            <w:shd w:val="clear" w:color="auto" w:fill="auto"/>
            <w:tcMar>
              <w:left w:w="28" w:type="dxa"/>
              <w:right w:w="28" w:type="dxa"/>
            </w:tcMar>
          </w:tcPr>
          <w:p w14:paraId="7D5407CF" w14:textId="77777777" w:rsidR="00504042" w:rsidRPr="00A5280D" w:rsidRDefault="00504042" w:rsidP="00504042">
            <w:pPr>
              <w:pStyle w:val="TableTextDusc"/>
            </w:pPr>
          </w:p>
        </w:tc>
        <w:tc>
          <w:tcPr>
            <w:tcW w:w="1276" w:type="dxa"/>
            <w:vMerge/>
            <w:shd w:val="clear" w:color="auto" w:fill="auto"/>
            <w:tcMar>
              <w:left w:w="28" w:type="dxa"/>
              <w:right w:w="28" w:type="dxa"/>
            </w:tcMar>
          </w:tcPr>
          <w:p w14:paraId="1BBC7A9A" w14:textId="77777777" w:rsidR="00504042" w:rsidRPr="00A5280D" w:rsidRDefault="00504042" w:rsidP="00504042">
            <w:pPr>
              <w:pStyle w:val="TableTextDusc"/>
            </w:pPr>
          </w:p>
        </w:tc>
        <w:tc>
          <w:tcPr>
            <w:tcW w:w="567" w:type="dxa"/>
            <w:shd w:val="clear" w:color="auto" w:fill="auto"/>
            <w:tcMar>
              <w:left w:w="28" w:type="dxa"/>
              <w:right w:w="28" w:type="dxa"/>
            </w:tcMar>
          </w:tcPr>
          <w:p w14:paraId="28B816BA" w14:textId="77777777" w:rsidR="00504042" w:rsidRPr="00A5280D" w:rsidRDefault="00504042" w:rsidP="00504042">
            <w:pPr>
              <w:pStyle w:val="TableTextDusc"/>
            </w:pPr>
            <w:r>
              <w:t xml:space="preserve">Pbo </w:t>
            </w:r>
          </w:p>
        </w:tc>
        <w:tc>
          <w:tcPr>
            <w:tcW w:w="567" w:type="dxa"/>
            <w:shd w:val="clear" w:color="auto" w:fill="auto"/>
            <w:tcMar>
              <w:left w:w="28" w:type="dxa"/>
              <w:right w:w="28" w:type="dxa"/>
            </w:tcMar>
          </w:tcPr>
          <w:p w14:paraId="394C9A90" w14:textId="77777777" w:rsidR="00504042" w:rsidRPr="00A5280D" w:rsidRDefault="00504042" w:rsidP="00504042">
            <w:pPr>
              <w:pStyle w:val="TableTextDusc"/>
            </w:pPr>
            <w:r>
              <w:t>12</w:t>
            </w:r>
          </w:p>
        </w:tc>
        <w:tc>
          <w:tcPr>
            <w:tcW w:w="1418" w:type="dxa"/>
            <w:shd w:val="clear" w:color="auto" w:fill="auto"/>
            <w:tcMar>
              <w:left w:w="28" w:type="dxa"/>
              <w:right w:w="28" w:type="dxa"/>
            </w:tcMar>
          </w:tcPr>
          <w:p w14:paraId="4AD25A9B" w14:textId="77777777" w:rsidR="00504042" w:rsidRPr="00A5280D" w:rsidRDefault="00504042" w:rsidP="00504042">
            <w:pPr>
              <w:pStyle w:val="TableTextDusc"/>
            </w:pPr>
            <w:r>
              <w:t>8%</w:t>
            </w:r>
          </w:p>
        </w:tc>
        <w:tc>
          <w:tcPr>
            <w:tcW w:w="1417" w:type="dxa"/>
            <w:shd w:val="clear" w:color="auto" w:fill="auto"/>
            <w:tcMar>
              <w:left w:w="28" w:type="dxa"/>
              <w:right w:w="28" w:type="dxa"/>
            </w:tcMar>
          </w:tcPr>
          <w:p w14:paraId="02EAD36A" w14:textId="77777777" w:rsidR="00504042" w:rsidRPr="00A5280D" w:rsidRDefault="00504042" w:rsidP="00504042">
            <w:pPr>
              <w:pStyle w:val="TableTextDusc"/>
            </w:pPr>
            <w:r>
              <w:t>8%</w:t>
            </w:r>
          </w:p>
        </w:tc>
        <w:tc>
          <w:tcPr>
            <w:tcW w:w="1701" w:type="dxa"/>
            <w:shd w:val="clear" w:color="auto" w:fill="auto"/>
            <w:tcMar>
              <w:left w:w="28" w:type="dxa"/>
              <w:right w:w="28" w:type="dxa"/>
            </w:tcMar>
          </w:tcPr>
          <w:p w14:paraId="05BD3A97" w14:textId="77777777" w:rsidR="00504042" w:rsidRPr="00A5280D" w:rsidRDefault="00504042" w:rsidP="00504042">
            <w:pPr>
              <w:pStyle w:val="TableTextDusc"/>
            </w:pPr>
            <w:r>
              <w:t>8%</w:t>
            </w:r>
          </w:p>
        </w:tc>
        <w:tc>
          <w:tcPr>
            <w:tcW w:w="992" w:type="dxa"/>
            <w:shd w:val="clear" w:color="auto" w:fill="auto"/>
            <w:tcMar>
              <w:left w:w="28" w:type="dxa"/>
              <w:right w:w="28" w:type="dxa"/>
            </w:tcMar>
          </w:tcPr>
          <w:p w14:paraId="477D655C" w14:textId="77777777" w:rsidR="00504042" w:rsidRPr="00A5280D" w:rsidRDefault="008C18C0" w:rsidP="00504042">
            <w:pPr>
              <w:pStyle w:val="TableTextDusc"/>
            </w:pPr>
            <w:r>
              <w:t>NR</w:t>
            </w:r>
          </w:p>
        </w:tc>
      </w:tr>
      <w:tr w:rsidR="00504042" w:rsidRPr="000711AC" w14:paraId="0D68ABE0" w14:textId="77777777" w:rsidTr="00504042">
        <w:trPr>
          <w:cantSplit/>
        </w:trPr>
        <w:tc>
          <w:tcPr>
            <w:tcW w:w="9067" w:type="dxa"/>
            <w:gridSpan w:val="8"/>
            <w:shd w:val="clear" w:color="auto" w:fill="auto"/>
            <w:tcMar>
              <w:left w:w="28" w:type="dxa"/>
              <w:right w:w="28" w:type="dxa"/>
            </w:tcMar>
          </w:tcPr>
          <w:p w14:paraId="78206251" w14:textId="77777777" w:rsidR="00504042" w:rsidRPr="000711AC" w:rsidRDefault="00504042" w:rsidP="00504042">
            <w:pPr>
              <w:pStyle w:val="TableTextDusc"/>
              <w:rPr>
                <w:b/>
              </w:rPr>
            </w:pPr>
            <w:r w:rsidRPr="000711AC">
              <w:rPr>
                <w:b/>
              </w:rPr>
              <w:t>Secukinumab</w:t>
            </w:r>
          </w:p>
        </w:tc>
      </w:tr>
      <w:tr w:rsidR="00504042" w14:paraId="7D4FD6FE" w14:textId="77777777" w:rsidTr="00504042">
        <w:trPr>
          <w:cantSplit/>
        </w:trPr>
        <w:tc>
          <w:tcPr>
            <w:tcW w:w="1129" w:type="dxa"/>
            <w:vMerge w:val="restart"/>
            <w:shd w:val="clear" w:color="auto" w:fill="auto"/>
            <w:tcMar>
              <w:left w:w="28" w:type="dxa"/>
              <w:right w:w="28" w:type="dxa"/>
            </w:tcMar>
          </w:tcPr>
          <w:p w14:paraId="039659F7" w14:textId="77777777" w:rsidR="00504042" w:rsidRDefault="00504042" w:rsidP="00504042">
            <w:pPr>
              <w:pStyle w:val="TableTextDusc"/>
            </w:pPr>
            <w:r>
              <w:t>GESTURE</w:t>
            </w:r>
          </w:p>
        </w:tc>
        <w:tc>
          <w:tcPr>
            <w:tcW w:w="1276" w:type="dxa"/>
            <w:vMerge w:val="restart"/>
            <w:shd w:val="clear" w:color="auto" w:fill="auto"/>
            <w:tcMar>
              <w:left w:w="28" w:type="dxa"/>
              <w:right w:w="28" w:type="dxa"/>
            </w:tcMar>
          </w:tcPr>
          <w:p w14:paraId="3A0604F0" w14:textId="77777777" w:rsidR="00504042" w:rsidRDefault="00504042" w:rsidP="00504042">
            <w:pPr>
              <w:pStyle w:val="TableTextDusc"/>
            </w:pPr>
            <w:r>
              <w:t>16 weeks</w:t>
            </w:r>
          </w:p>
        </w:tc>
        <w:tc>
          <w:tcPr>
            <w:tcW w:w="567" w:type="dxa"/>
            <w:shd w:val="clear" w:color="auto" w:fill="auto"/>
            <w:tcMar>
              <w:left w:w="28" w:type="dxa"/>
              <w:right w:w="28" w:type="dxa"/>
            </w:tcMar>
          </w:tcPr>
          <w:p w14:paraId="13F84B79" w14:textId="77777777" w:rsidR="00504042" w:rsidRDefault="00504042" w:rsidP="00504042">
            <w:pPr>
              <w:pStyle w:val="TableTextDusc"/>
            </w:pPr>
            <w:r>
              <w:t>Sec</w:t>
            </w:r>
            <w:r w:rsidRPr="005E2D4C">
              <w:rPr>
                <w:vertAlign w:val="superscript"/>
              </w:rPr>
              <w:t>3</w:t>
            </w:r>
          </w:p>
        </w:tc>
        <w:tc>
          <w:tcPr>
            <w:tcW w:w="567" w:type="dxa"/>
            <w:shd w:val="clear" w:color="auto" w:fill="auto"/>
            <w:tcMar>
              <w:left w:w="28" w:type="dxa"/>
              <w:right w:w="28" w:type="dxa"/>
            </w:tcMar>
          </w:tcPr>
          <w:p w14:paraId="37742418" w14:textId="77777777" w:rsidR="00504042" w:rsidRDefault="00504042" w:rsidP="00504042">
            <w:pPr>
              <w:pStyle w:val="TableTextDusc"/>
              <w:rPr>
                <w:color w:val="000000"/>
              </w:rPr>
            </w:pPr>
            <w:r>
              <w:rPr>
                <w:color w:val="000000"/>
              </w:rPr>
              <w:t>68</w:t>
            </w:r>
          </w:p>
        </w:tc>
        <w:tc>
          <w:tcPr>
            <w:tcW w:w="1418" w:type="dxa"/>
            <w:shd w:val="clear" w:color="auto" w:fill="auto"/>
            <w:tcMar>
              <w:left w:w="28" w:type="dxa"/>
              <w:right w:w="28" w:type="dxa"/>
            </w:tcMar>
          </w:tcPr>
          <w:p w14:paraId="7D997CF7" w14:textId="77777777" w:rsidR="00504042" w:rsidRDefault="008C18C0" w:rsidP="00504042">
            <w:pPr>
              <w:pStyle w:val="TableTextDusc"/>
            </w:pPr>
            <w:r>
              <w:t>NR</w:t>
            </w:r>
          </w:p>
        </w:tc>
        <w:tc>
          <w:tcPr>
            <w:tcW w:w="1417" w:type="dxa"/>
            <w:shd w:val="clear" w:color="auto" w:fill="auto"/>
            <w:tcMar>
              <w:left w:w="28" w:type="dxa"/>
              <w:right w:w="28" w:type="dxa"/>
            </w:tcMar>
          </w:tcPr>
          <w:p w14:paraId="045BFE2E" w14:textId="77777777" w:rsidR="00504042" w:rsidRDefault="008C18C0" w:rsidP="00504042">
            <w:pPr>
              <w:pStyle w:val="TableTextDusc"/>
            </w:pPr>
            <w:r>
              <w:t>NR</w:t>
            </w:r>
          </w:p>
        </w:tc>
        <w:tc>
          <w:tcPr>
            <w:tcW w:w="1701" w:type="dxa"/>
            <w:shd w:val="clear" w:color="auto" w:fill="auto"/>
            <w:tcMar>
              <w:left w:w="28" w:type="dxa"/>
              <w:right w:w="28" w:type="dxa"/>
            </w:tcMar>
          </w:tcPr>
          <w:p w14:paraId="5832D44C" w14:textId="77777777" w:rsidR="00504042" w:rsidRDefault="00504042" w:rsidP="00504042">
            <w:pPr>
              <w:pStyle w:val="TableTextDusc"/>
            </w:pPr>
            <w:r>
              <w:t>22%</w:t>
            </w:r>
          </w:p>
        </w:tc>
        <w:tc>
          <w:tcPr>
            <w:tcW w:w="992" w:type="dxa"/>
            <w:shd w:val="clear" w:color="auto" w:fill="auto"/>
            <w:tcMar>
              <w:left w:w="28" w:type="dxa"/>
              <w:right w:w="28" w:type="dxa"/>
            </w:tcMar>
          </w:tcPr>
          <w:p w14:paraId="31073A2E" w14:textId="77777777" w:rsidR="00504042" w:rsidRDefault="008C18C0" w:rsidP="00504042">
            <w:pPr>
              <w:pStyle w:val="TableTextDusc"/>
            </w:pPr>
            <w:r>
              <w:t>NR</w:t>
            </w:r>
          </w:p>
        </w:tc>
      </w:tr>
      <w:tr w:rsidR="00504042" w14:paraId="0DA55291" w14:textId="77777777" w:rsidTr="00504042">
        <w:trPr>
          <w:cantSplit/>
        </w:trPr>
        <w:tc>
          <w:tcPr>
            <w:tcW w:w="1129" w:type="dxa"/>
            <w:vMerge/>
            <w:shd w:val="clear" w:color="auto" w:fill="auto"/>
            <w:tcMar>
              <w:left w:w="28" w:type="dxa"/>
              <w:right w:w="28" w:type="dxa"/>
            </w:tcMar>
          </w:tcPr>
          <w:p w14:paraId="7AF7B7C5" w14:textId="77777777" w:rsidR="00504042" w:rsidRDefault="00504042" w:rsidP="00504042">
            <w:pPr>
              <w:pStyle w:val="TableTextDusc"/>
            </w:pPr>
          </w:p>
        </w:tc>
        <w:tc>
          <w:tcPr>
            <w:tcW w:w="1276" w:type="dxa"/>
            <w:vMerge/>
            <w:shd w:val="clear" w:color="auto" w:fill="auto"/>
            <w:tcMar>
              <w:left w:w="28" w:type="dxa"/>
              <w:right w:w="28" w:type="dxa"/>
            </w:tcMar>
          </w:tcPr>
          <w:p w14:paraId="0C51F72E" w14:textId="77777777" w:rsidR="00504042" w:rsidRDefault="00504042" w:rsidP="00504042">
            <w:pPr>
              <w:pStyle w:val="TableTextDusc"/>
            </w:pPr>
          </w:p>
        </w:tc>
        <w:tc>
          <w:tcPr>
            <w:tcW w:w="567" w:type="dxa"/>
            <w:shd w:val="clear" w:color="auto" w:fill="auto"/>
            <w:tcMar>
              <w:left w:w="28" w:type="dxa"/>
              <w:right w:w="28" w:type="dxa"/>
            </w:tcMar>
          </w:tcPr>
          <w:p w14:paraId="3F8467DE" w14:textId="77777777" w:rsidR="00504042" w:rsidRDefault="00504042" w:rsidP="008C18C0">
            <w:pPr>
              <w:pStyle w:val="TableTextDusc"/>
            </w:pPr>
            <w:r>
              <w:t>Sec</w:t>
            </w:r>
            <w:r w:rsidRPr="005E2D4C">
              <w:rPr>
                <w:vertAlign w:val="superscript"/>
              </w:rPr>
              <w:t>4</w:t>
            </w:r>
          </w:p>
        </w:tc>
        <w:tc>
          <w:tcPr>
            <w:tcW w:w="567" w:type="dxa"/>
            <w:shd w:val="clear" w:color="auto" w:fill="auto"/>
            <w:tcMar>
              <w:left w:w="28" w:type="dxa"/>
              <w:right w:w="28" w:type="dxa"/>
            </w:tcMar>
          </w:tcPr>
          <w:p w14:paraId="5591866A" w14:textId="77777777" w:rsidR="00504042" w:rsidRDefault="00504042" w:rsidP="00504042">
            <w:pPr>
              <w:pStyle w:val="TableTextDusc"/>
              <w:rPr>
                <w:color w:val="000000"/>
              </w:rPr>
            </w:pPr>
            <w:r>
              <w:rPr>
                <w:color w:val="000000"/>
              </w:rPr>
              <w:t>69</w:t>
            </w:r>
          </w:p>
        </w:tc>
        <w:tc>
          <w:tcPr>
            <w:tcW w:w="1418" w:type="dxa"/>
            <w:shd w:val="clear" w:color="auto" w:fill="auto"/>
            <w:tcMar>
              <w:left w:w="28" w:type="dxa"/>
              <w:right w:w="28" w:type="dxa"/>
            </w:tcMar>
          </w:tcPr>
          <w:p w14:paraId="4ADE7762" w14:textId="77777777" w:rsidR="00504042" w:rsidRDefault="008C18C0" w:rsidP="00504042">
            <w:pPr>
              <w:pStyle w:val="TableTextDusc"/>
            </w:pPr>
            <w:r>
              <w:t>NR</w:t>
            </w:r>
          </w:p>
        </w:tc>
        <w:tc>
          <w:tcPr>
            <w:tcW w:w="1417" w:type="dxa"/>
            <w:shd w:val="clear" w:color="auto" w:fill="auto"/>
            <w:tcMar>
              <w:left w:w="28" w:type="dxa"/>
              <w:right w:w="28" w:type="dxa"/>
            </w:tcMar>
          </w:tcPr>
          <w:p w14:paraId="5396D380" w14:textId="77777777" w:rsidR="00504042" w:rsidRDefault="008C18C0" w:rsidP="00504042">
            <w:pPr>
              <w:pStyle w:val="TableTextDusc"/>
            </w:pPr>
            <w:r>
              <w:t>NR</w:t>
            </w:r>
          </w:p>
        </w:tc>
        <w:tc>
          <w:tcPr>
            <w:tcW w:w="1701" w:type="dxa"/>
            <w:shd w:val="clear" w:color="auto" w:fill="auto"/>
            <w:tcMar>
              <w:left w:w="28" w:type="dxa"/>
              <w:right w:w="28" w:type="dxa"/>
            </w:tcMar>
          </w:tcPr>
          <w:p w14:paraId="5C3CBABA" w14:textId="77777777" w:rsidR="00504042" w:rsidRDefault="00504042" w:rsidP="00504042">
            <w:pPr>
              <w:pStyle w:val="TableTextDusc"/>
            </w:pPr>
            <w:r>
              <w:t>33%</w:t>
            </w:r>
          </w:p>
        </w:tc>
        <w:tc>
          <w:tcPr>
            <w:tcW w:w="992" w:type="dxa"/>
            <w:shd w:val="clear" w:color="auto" w:fill="auto"/>
            <w:tcMar>
              <w:left w:w="28" w:type="dxa"/>
              <w:right w:w="28" w:type="dxa"/>
            </w:tcMar>
          </w:tcPr>
          <w:p w14:paraId="20D45A9F" w14:textId="77777777" w:rsidR="00504042" w:rsidRDefault="008C18C0" w:rsidP="00504042">
            <w:pPr>
              <w:pStyle w:val="TableTextDusc"/>
            </w:pPr>
            <w:r>
              <w:t>NR</w:t>
            </w:r>
          </w:p>
        </w:tc>
      </w:tr>
      <w:tr w:rsidR="00504042" w14:paraId="425A783A" w14:textId="77777777" w:rsidTr="00504042">
        <w:trPr>
          <w:cantSplit/>
        </w:trPr>
        <w:tc>
          <w:tcPr>
            <w:tcW w:w="1129" w:type="dxa"/>
            <w:vMerge/>
            <w:shd w:val="clear" w:color="auto" w:fill="auto"/>
            <w:tcMar>
              <w:left w:w="28" w:type="dxa"/>
              <w:right w:w="28" w:type="dxa"/>
            </w:tcMar>
          </w:tcPr>
          <w:p w14:paraId="1A5D3F1F" w14:textId="77777777" w:rsidR="00504042" w:rsidRDefault="00504042" w:rsidP="00504042">
            <w:pPr>
              <w:pStyle w:val="TableTextDusc"/>
            </w:pPr>
          </w:p>
        </w:tc>
        <w:tc>
          <w:tcPr>
            <w:tcW w:w="1276" w:type="dxa"/>
            <w:vMerge/>
            <w:shd w:val="clear" w:color="auto" w:fill="auto"/>
            <w:tcMar>
              <w:left w:w="28" w:type="dxa"/>
              <w:right w:w="28" w:type="dxa"/>
            </w:tcMar>
          </w:tcPr>
          <w:p w14:paraId="064B55D1" w14:textId="77777777" w:rsidR="00504042" w:rsidRDefault="00504042" w:rsidP="00504042">
            <w:pPr>
              <w:pStyle w:val="TableTextDusc"/>
            </w:pPr>
          </w:p>
        </w:tc>
        <w:tc>
          <w:tcPr>
            <w:tcW w:w="567" w:type="dxa"/>
            <w:shd w:val="clear" w:color="auto" w:fill="auto"/>
            <w:tcMar>
              <w:left w:w="28" w:type="dxa"/>
              <w:right w:w="28" w:type="dxa"/>
            </w:tcMar>
          </w:tcPr>
          <w:p w14:paraId="1327E654" w14:textId="77777777" w:rsidR="00504042" w:rsidRDefault="00504042" w:rsidP="00504042">
            <w:pPr>
              <w:pStyle w:val="TableTextDusc"/>
            </w:pPr>
            <w:r>
              <w:t>Pbo</w:t>
            </w:r>
          </w:p>
        </w:tc>
        <w:tc>
          <w:tcPr>
            <w:tcW w:w="567" w:type="dxa"/>
            <w:shd w:val="clear" w:color="auto" w:fill="auto"/>
            <w:tcMar>
              <w:left w:w="28" w:type="dxa"/>
              <w:right w:w="28" w:type="dxa"/>
            </w:tcMar>
          </w:tcPr>
          <w:p w14:paraId="7CBBEF37" w14:textId="77777777" w:rsidR="00504042" w:rsidRDefault="00504042" w:rsidP="00504042">
            <w:pPr>
              <w:pStyle w:val="TableTextDusc"/>
              <w:rPr>
                <w:color w:val="000000"/>
              </w:rPr>
            </w:pPr>
            <w:r>
              <w:rPr>
                <w:color w:val="000000"/>
              </w:rPr>
              <w:t>68</w:t>
            </w:r>
          </w:p>
        </w:tc>
        <w:tc>
          <w:tcPr>
            <w:tcW w:w="1418" w:type="dxa"/>
            <w:shd w:val="clear" w:color="auto" w:fill="auto"/>
            <w:tcMar>
              <w:left w:w="28" w:type="dxa"/>
              <w:right w:w="28" w:type="dxa"/>
            </w:tcMar>
          </w:tcPr>
          <w:p w14:paraId="50D514DB" w14:textId="77777777" w:rsidR="00504042" w:rsidRDefault="008C18C0" w:rsidP="00504042">
            <w:pPr>
              <w:pStyle w:val="TableTextDusc"/>
            </w:pPr>
            <w:r>
              <w:t>NR</w:t>
            </w:r>
          </w:p>
        </w:tc>
        <w:tc>
          <w:tcPr>
            <w:tcW w:w="1417" w:type="dxa"/>
            <w:shd w:val="clear" w:color="auto" w:fill="auto"/>
            <w:tcMar>
              <w:left w:w="28" w:type="dxa"/>
              <w:right w:w="28" w:type="dxa"/>
            </w:tcMar>
          </w:tcPr>
          <w:p w14:paraId="198DE369" w14:textId="77777777" w:rsidR="00504042" w:rsidRDefault="008C18C0" w:rsidP="00504042">
            <w:pPr>
              <w:pStyle w:val="TableTextDusc"/>
            </w:pPr>
            <w:r>
              <w:t>NR</w:t>
            </w:r>
          </w:p>
        </w:tc>
        <w:tc>
          <w:tcPr>
            <w:tcW w:w="1701" w:type="dxa"/>
            <w:shd w:val="clear" w:color="auto" w:fill="auto"/>
            <w:tcMar>
              <w:left w:w="28" w:type="dxa"/>
              <w:right w:w="28" w:type="dxa"/>
            </w:tcMar>
          </w:tcPr>
          <w:p w14:paraId="735A026A" w14:textId="77777777" w:rsidR="00504042" w:rsidRDefault="00504042" w:rsidP="00504042">
            <w:pPr>
              <w:pStyle w:val="TableTextDusc"/>
            </w:pPr>
            <w:r>
              <w:t>2%</w:t>
            </w:r>
          </w:p>
        </w:tc>
        <w:tc>
          <w:tcPr>
            <w:tcW w:w="992" w:type="dxa"/>
            <w:shd w:val="clear" w:color="auto" w:fill="auto"/>
            <w:tcMar>
              <w:left w:w="28" w:type="dxa"/>
              <w:right w:w="28" w:type="dxa"/>
            </w:tcMar>
          </w:tcPr>
          <w:p w14:paraId="5F1BA374" w14:textId="77777777" w:rsidR="00504042" w:rsidRDefault="008C18C0" w:rsidP="00504042">
            <w:pPr>
              <w:pStyle w:val="TableTextDusc"/>
            </w:pPr>
            <w:r>
              <w:t>NR</w:t>
            </w:r>
          </w:p>
        </w:tc>
      </w:tr>
      <w:tr w:rsidR="00504042" w14:paraId="26B06A97" w14:textId="77777777" w:rsidTr="00504042">
        <w:trPr>
          <w:cantSplit/>
          <w:trHeight w:val="289"/>
        </w:trPr>
        <w:tc>
          <w:tcPr>
            <w:tcW w:w="1129" w:type="dxa"/>
            <w:vMerge w:val="restart"/>
            <w:shd w:val="clear" w:color="auto" w:fill="auto"/>
            <w:tcMar>
              <w:left w:w="28" w:type="dxa"/>
              <w:right w:w="28" w:type="dxa"/>
            </w:tcMar>
          </w:tcPr>
          <w:p w14:paraId="23C30FCE" w14:textId="77777777" w:rsidR="00504042" w:rsidRPr="00A5280D" w:rsidRDefault="00504042" w:rsidP="00504042">
            <w:pPr>
              <w:pStyle w:val="TableTextDusc"/>
            </w:pPr>
            <w:r>
              <w:t>Rich (2013)</w:t>
            </w:r>
          </w:p>
        </w:tc>
        <w:tc>
          <w:tcPr>
            <w:tcW w:w="1276" w:type="dxa"/>
            <w:vMerge w:val="restart"/>
            <w:shd w:val="clear" w:color="auto" w:fill="auto"/>
            <w:tcMar>
              <w:left w:w="28" w:type="dxa"/>
              <w:right w:w="28" w:type="dxa"/>
            </w:tcMar>
          </w:tcPr>
          <w:p w14:paraId="0D42174C" w14:textId="77777777" w:rsidR="00504042" w:rsidRPr="00A5280D" w:rsidRDefault="00504042" w:rsidP="00504042">
            <w:pPr>
              <w:pStyle w:val="TableTextDusc"/>
            </w:pPr>
            <w:r>
              <w:t>12 weeks</w:t>
            </w:r>
          </w:p>
        </w:tc>
        <w:tc>
          <w:tcPr>
            <w:tcW w:w="567" w:type="dxa"/>
            <w:shd w:val="clear" w:color="auto" w:fill="auto"/>
            <w:tcMar>
              <w:left w:w="28" w:type="dxa"/>
              <w:right w:w="28" w:type="dxa"/>
            </w:tcMar>
          </w:tcPr>
          <w:p w14:paraId="3B8480B2" w14:textId="77777777" w:rsidR="00504042" w:rsidRDefault="00504042" w:rsidP="00504042">
            <w:pPr>
              <w:pStyle w:val="TableTextDusc"/>
            </w:pPr>
            <w:r>
              <w:t>Sec</w:t>
            </w:r>
            <w:r>
              <w:rPr>
                <w:vertAlign w:val="superscript"/>
              </w:rPr>
              <w:t>5</w:t>
            </w:r>
          </w:p>
        </w:tc>
        <w:tc>
          <w:tcPr>
            <w:tcW w:w="567" w:type="dxa"/>
            <w:shd w:val="clear" w:color="auto" w:fill="auto"/>
            <w:tcMar>
              <w:left w:w="28" w:type="dxa"/>
              <w:right w:w="28" w:type="dxa"/>
            </w:tcMar>
          </w:tcPr>
          <w:p w14:paraId="654A0E72" w14:textId="77777777" w:rsidR="00504042" w:rsidRPr="00A5280D" w:rsidRDefault="00504042" w:rsidP="00504042">
            <w:pPr>
              <w:pStyle w:val="TableTextDusc"/>
            </w:pPr>
            <w:r w:rsidRPr="00C3425C">
              <w:rPr>
                <w:color w:val="000000"/>
              </w:rPr>
              <w:t>41</w:t>
            </w:r>
          </w:p>
        </w:tc>
        <w:tc>
          <w:tcPr>
            <w:tcW w:w="1418" w:type="dxa"/>
            <w:shd w:val="clear" w:color="auto" w:fill="auto"/>
            <w:tcMar>
              <w:left w:w="28" w:type="dxa"/>
              <w:right w:w="28" w:type="dxa"/>
            </w:tcMar>
          </w:tcPr>
          <w:p w14:paraId="651906D3" w14:textId="77777777" w:rsidR="00504042" w:rsidRPr="00A5280D" w:rsidRDefault="008C18C0" w:rsidP="00504042">
            <w:pPr>
              <w:pStyle w:val="TableTextDusc"/>
            </w:pPr>
            <w:r>
              <w:t>NR</w:t>
            </w:r>
          </w:p>
        </w:tc>
        <w:tc>
          <w:tcPr>
            <w:tcW w:w="1417" w:type="dxa"/>
            <w:shd w:val="clear" w:color="auto" w:fill="auto"/>
            <w:tcMar>
              <w:left w:w="28" w:type="dxa"/>
              <w:right w:w="28" w:type="dxa"/>
            </w:tcMar>
          </w:tcPr>
          <w:p w14:paraId="0C27BD93" w14:textId="77777777" w:rsidR="00504042" w:rsidRPr="00A5280D" w:rsidRDefault="008C18C0" w:rsidP="00504042">
            <w:pPr>
              <w:pStyle w:val="TableTextDusc"/>
            </w:pPr>
            <w:r>
              <w:t>NR</w:t>
            </w:r>
          </w:p>
        </w:tc>
        <w:tc>
          <w:tcPr>
            <w:tcW w:w="1701" w:type="dxa"/>
            <w:shd w:val="clear" w:color="auto" w:fill="auto"/>
            <w:tcMar>
              <w:left w:w="28" w:type="dxa"/>
              <w:right w:w="28" w:type="dxa"/>
            </w:tcMar>
          </w:tcPr>
          <w:p w14:paraId="6BA0599C" w14:textId="77777777" w:rsidR="00504042" w:rsidRDefault="00504042" w:rsidP="00504042">
            <w:pPr>
              <w:pStyle w:val="TableTextDusc"/>
            </w:pPr>
            <w:r>
              <w:t>39%</w:t>
            </w:r>
          </w:p>
        </w:tc>
        <w:tc>
          <w:tcPr>
            <w:tcW w:w="992" w:type="dxa"/>
            <w:shd w:val="clear" w:color="auto" w:fill="auto"/>
            <w:tcMar>
              <w:left w:w="28" w:type="dxa"/>
              <w:right w:w="28" w:type="dxa"/>
            </w:tcMar>
          </w:tcPr>
          <w:p w14:paraId="019AB222" w14:textId="77777777" w:rsidR="00504042" w:rsidRPr="00A5280D" w:rsidRDefault="00504042" w:rsidP="00504042">
            <w:pPr>
              <w:pStyle w:val="TableTextDusc"/>
            </w:pPr>
            <w:r>
              <w:t>32%</w:t>
            </w:r>
          </w:p>
        </w:tc>
      </w:tr>
      <w:tr w:rsidR="00504042" w14:paraId="0F6B639E" w14:textId="77777777" w:rsidTr="00504042">
        <w:trPr>
          <w:cantSplit/>
        </w:trPr>
        <w:tc>
          <w:tcPr>
            <w:tcW w:w="1129" w:type="dxa"/>
            <w:vMerge/>
            <w:shd w:val="clear" w:color="auto" w:fill="auto"/>
            <w:tcMar>
              <w:left w:w="28" w:type="dxa"/>
              <w:right w:w="28" w:type="dxa"/>
            </w:tcMar>
          </w:tcPr>
          <w:p w14:paraId="58F5EB16" w14:textId="77777777" w:rsidR="00504042" w:rsidRPr="00A5280D" w:rsidRDefault="00504042" w:rsidP="00504042">
            <w:pPr>
              <w:pStyle w:val="TableTextDusc"/>
            </w:pPr>
          </w:p>
        </w:tc>
        <w:tc>
          <w:tcPr>
            <w:tcW w:w="1276" w:type="dxa"/>
            <w:vMerge/>
            <w:shd w:val="clear" w:color="auto" w:fill="auto"/>
            <w:tcMar>
              <w:left w:w="28" w:type="dxa"/>
              <w:right w:w="28" w:type="dxa"/>
            </w:tcMar>
          </w:tcPr>
          <w:p w14:paraId="6D48943A" w14:textId="77777777" w:rsidR="00504042" w:rsidRPr="00A5280D" w:rsidRDefault="00504042" w:rsidP="00504042">
            <w:pPr>
              <w:pStyle w:val="TableTextDusc"/>
            </w:pPr>
          </w:p>
        </w:tc>
        <w:tc>
          <w:tcPr>
            <w:tcW w:w="567" w:type="dxa"/>
            <w:shd w:val="clear" w:color="auto" w:fill="auto"/>
            <w:tcMar>
              <w:left w:w="28" w:type="dxa"/>
              <w:right w:w="28" w:type="dxa"/>
            </w:tcMar>
          </w:tcPr>
          <w:p w14:paraId="146B6684" w14:textId="77777777" w:rsidR="00504042" w:rsidRDefault="00504042" w:rsidP="00504042">
            <w:pPr>
              <w:pStyle w:val="TableTextDusc"/>
            </w:pPr>
            <w:r>
              <w:t>Sec</w:t>
            </w:r>
            <w:r>
              <w:rPr>
                <w:vertAlign w:val="superscript"/>
              </w:rPr>
              <w:t>6</w:t>
            </w:r>
          </w:p>
        </w:tc>
        <w:tc>
          <w:tcPr>
            <w:tcW w:w="567" w:type="dxa"/>
            <w:shd w:val="clear" w:color="auto" w:fill="auto"/>
            <w:tcMar>
              <w:left w:w="28" w:type="dxa"/>
              <w:right w:w="28" w:type="dxa"/>
            </w:tcMar>
          </w:tcPr>
          <w:p w14:paraId="774889BA" w14:textId="77777777" w:rsidR="00504042" w:rsidRPr="00A5280D" w:rsidRDefault="00504042" w:rsidP="00504042">
            <w:pPr>
              <w:pStyle w:val="TableTextDusc"/>
            </w:pPr>
            <w:r w:rsidRPr="00C3425C">
              <w:rPr>
                <w:color w:val="000000"/>
              </w:rPr>
              <w:t>47</w:t>
            </w:r>
          </w:p>
        </w:tc>
        <w:tc>
          <w:tcPr>
            <w:tcW w:w="1418" w:type="dxa"/>
            <w:shd w:val="clear" w:color="auto" w:fill="auto"/>
            <w:tcMar>
              <w:left w:w="28" w:type="dxa"/>
              <w:right w:w="28" w:type="dxa"/>
            </w:tcMar>
          </w:tcPr>
          <w:p w14:paraId="34D8921E" w14:textId="77777777" w:rsidR="00504042" w:rsidRPr="00A5280D" w:rsidRDefault="008C18C0" w:rsidP="00504042">
            <w:pPr>
              <w:pStyle w:val="TableTextDusc"/>
            </w:pPr>
            <w:r>
              <w:t>NR</w:t>
            </w:r>
          </w:p>
        </w:tc>
        <w:tc>
          <w:tcPr>
            <w:tcW w:w="1417" w:type="dxa"/>
            <w:shd w:val="clear" w:color="auto" w:fill="auto"/>
            <w:tcMar>
              <w:left w:w="28" w:type="dxa"/>
              <w:right w:w="28" w:type="dxa"/>
            </w:tcMar>
          </w:tcPr>
          <w:p w14:paraId="736A51F3" w14:textId="77777777" w:rsidR="00504042" w:rsidRPr="00A5280D" w:rsidRDefault="008C18C0" w:rsidP="00504042">
            <w:pPr>
              <w:pStyle w:val="TableTextDusc"/>
            </w:pPr>
            <w:r>
              <w:t>NR</w:t>
            </w:r>
          </w:p>
        </w:tc>
        <w:tc>
          <w:tcPr>
            <w:tcW w:w="1701" w:type="dxa"/>
            <w:shd w:val="clear" w:color="auto" w:fill="auto"/>
            <w:tcMar>
              <w:left w:w="28" w:type="dxa"/>
              <w:right w:w="28" w:type="dxa"/>
            </w:tcMar>
          </w:tcPr>
          <w:p w14:paraId="50D6DB4D" w14:textId="77777777" w:rsidR="00504042" w:rsidRDefault="00504042" w:rsidP="00504042">
            <w:pPr>
              <w:pStyle w:val="TableTextDusc"/>
            </w:pPr>
            <w:r>
              <w:t>54%</w:t>
            </w:r>
          </w:p>
        </w:tc>
        <w:tc>
          <w:tcPr>
            <w:tcW w:w="992" w:type="dxa"/>
            <w:shd w:val="clear" w:color="auto" w:fill="auto"/>
            <w:tcMar>
              <w:left w:w="28" w:type="dxa"/>
              <w:right w:w="28" w:type="dxa"/>
            </w:tcMar>
          </w:tcPr>
          <w:p w14:paraId="5DA7F4E8" w14:textId="77777777" w:rsidR="00504042" w:rsidRPr="00A5280D" w:rsidRDefault="00504042" w:rsidP="00504042">
            <w:pPr>
              <w:pStyle w:val="TableTextDusc"/>
            </w:pPr>
            <w:r>
              <w:t>50%</w:t>
            </w:r>
          </w:p>
        </w:tc>
      </w:tr>
      <w:tr w:rsidR="00504042" w14:paraId="571F0E52" w14:textId="77777777" w:rsidTr="00504042">
        <w:trPr>
          <w:cantSplit/>
        </w:trPr>
        <w:tc>
          <w:tcPr>
            <w:tcW w:w="1129" w:type="dxa"/>
            <w:vMerge/>
            <w:shd w:val="clear" w:color="auto" w:fill="auto"/>
            <w:tcMar>
              <w:left w:w="28" w:type="dxa"/>
              <w:right w:w="28" w:type="dxa"/>
            </w:tcMar>
          </w:tcPr>
          <w:p w14:paraId="25D95720" w14:textId="77777777" w:rsidR="00504042" w:rsidRPr="00A5280D" w:rsidRDefault="00504042" w:rsidP="00504042">
            <w:pPr>
              <w:pStyle w:val="TableTextDusc"/>
            </w:pPr>
          </w:p>
        </w:tc>
        <w:tc>
          <w:tcPr>
            <w:tcW w:w="1276" w:type="dxa"/>
            <w:vMerge/>
            <w:shd w:val="clear" w:color="auto" w:fill="auto"/>
            <w:tcMar>
              <w:left w:w="28" w:type="dxa"/>
              <w:right w:w="28" w:type="dxa"/>
            </w:tcMar>
          </w:tcPr>
          <w:p w14:paraId="1DF03F58" w14:textId="77777777" w:rsidR="00504042" w:rsidRPr="00A5280D" w:rsidRDefault="00504042" w:rsidP="00504042">
            <w:pPr>
              <w:pStyle w:val="TableTextDusc"/>
            </w:pPr>
          </w:p>
        </w:tc>
        <w:tc>
          <w:tcPr>
            <w:tcW w:w="567" w:type="dxa"/>
            <w:shd w:val="clear" w:color="auto" w:fill="auto"/>
            <w:tcMar>
              <w:left w:w="28" w:type="dxa"/>
              <w:right w:w="28" w:type="dxa"/>
            </w:tcMar>
          </w:tcPr>
          <w:p w14:paraId="24BAC8D8" w14:textId="77777777" w:rsidR="00504042" w:rsidRDefault="00504042" w:rsidP="00504042">
            <w:pPr>
              <w:pStyle w:val="TableTextDusc"/>
            </w:pPr>
            <w:r>
              <w:t>Pbo</w:t>
            </w:r>
          </w:p>
        </w:tc>
        <w:tc>
          <w:tcPr>
            <w:tcW w:w="567" w:type="dxa"/>
            <w:shd w:val="clear" w:color="auto" w:fill="auto"/>
            <w:tcMar>
              <w:left w:w="28" w:type="dxa"/>
              <w:right w:w="28" w:type="dxa"/>
            </w:tcMar>
          </w:tcPr>
          <w:p w14:paraId="2CB7D0F3" w14:textId="77777777" w:rsidR="00504042" w:rsidRPr="00A5280D" w:rsidRDefault="00504042" w:rsidP="00504042">
            <w:pPr>
              <w:pStyle w:val="TableTextDusc"/>
            </w:pPr>
            <w:r w:rsidRPr="00C3425C">
              <w:rPr>
                <w:color w:val="000000"/>
              </w:rPr>
              <w:t>27</w:t>
            </w:r>
          </w:p>
        </w:tc>
        <w:tc>
          <w:tcPr>
            <w:tcW w:w="1418" w:type="dxa"/>
            <w:shd w:val="clear" w:color="auto" w:fill="auto"/>
            <w:tcMar>
              <w:left w:w="28" w:type="dxa"/>
              <w:right w:w="28" w:type="dxa"/>
            </w:tcMar>
          </w:tcPr>
          <w:p w14:paraId="22D7C2E3" w14:textId="77777777" w:rsidR="00504042" w:rsidRPr="00A5280D" w:rsidRDefault="008C18C0" w:rsidP="00504042">
            <w:pPr>
              <w:pStyle w:val="TableTextDusc"/>
            </w:pPr>
            <w:r>
              <w:t>NR</w:t>
            </w:r>
          </w:p>
        </w:tc>
        <w:tc>
          <w:tcPr>
            <w:tcW w:w="1417" w:type="dxa"/>
            <w:shd w:val="clear" w:color="auto" w:fill="auto"/>
            <w:tcMar>
              <w:left w:w="28" w:type="dxa"/>
              <w:right w:w="28" w:type="dxa"/>
            </w:tcMar>
          </w:tcPr>
          <w:p w14:paraId="4A5C3251" w14:textId="77777777" w:rsidR="00504042" w:rsidRPr="00A5280D" w:rsidRDefault="008C18C0" w:rsidP="00504042">
            <w:pPr>
              <w:pStyle w:val="TableTextDusc"/>
            </w:pPr>
            <w:r>
              <w:t>NR</w:t>
            </w:r>
          </w:p>
        </w:tc>
        <w:tc>
          <w:tcPr>
            <w:tcW w:w="1701" w:type="dxa"/>
            <w:shd w:val="clear" w:color="auto" w:fill="auto"/>
            <w:tcMar>
              <w:left w:w="28" w:type="dxa"/>
              <w:right w:w="28" w:type="dxa"/>
            </w:tcMar>
          </w:tcPr>
          <w:p w14:paraId="4E031B93" w14:textId="77777777" w:rsidR="00504042" w:rsidRDefault="00504042" w:rsidP="00504042">
            <w:pPr>
              <w:pStyle w:val="TableTextDusc"/>
            </w:pPr>
            <w:r>
              <w:t>19%</w:t>
            </w:r>
          </w:p>
        </w:tc>
        <w:tc>
          <w:tcPr>
            <w:tcW w:w="992" w:type="dxa"/>
            <w:shd w:val="clear" w:color="auto" w:fill="auto"/>
            <w:tcMar>
              <w:left w:w="28" w:type="dxa"/>
              <w:right w:w="28" w:type="dxa"/>
            </w:tcMar>
          </w:tcPr>
          <w:p w14:paraId="6845C18C" w14:textId="77777777" w:rsidR="00504042" w:rsidRPr="00A5280D" w:rsidRDefault="00504042" w:rsidP="00504042">
            <w:pPr>
              <w:pStyle w:val="TableTextDusc"/>
            </w:pPr>
            <w:r>
              <w:t>4%</w:t>
            </w:r>
          </w:p>
        </w:tc>
      </w:tr>
      <w:tr w:rsidR="00504042" w14:paraId="38805D33" w14:textId="77777777" w:rsidTr="00504042">
        <w:trPr>
          <w:cantSplit/>
          <w:trHeight w:val="291"/>
        </w:trPr>
        <w:tc>
          <w:tcPr>
            <w:tcW w:w="1129" w:type="dxa"/>
            <w:vMerge w:val="restart"/>
            <w:shd w:val="clear" w:color="auto" w:fill="auto"/>
            <w:tcMar>
              <w:left w:w="28" w:type="dxa"/>
              <w:right w:w="28" w:type="dxa"/>
            </w:tcMar>
          </w:tcPr>
          <w:p w14:paraId="5D75404C" w14:textId="77777777" w:rsidR="00504042" w:rsidRPr="00A5280D" w:rsidRDefault="00504042" w:rsidP="00504042">
            <w:pPr>
              <w:pStyle w:val="TableTextDusc"/>
            </w:pPr>
            <w:r>
              <w:rPr>
                <w:noProof/>
              </w:rPr>
              <w:t>Papp (2013)</w:t>
            </w:r>
          </w:p>
        </w:tc>
        <w:tc>
          <w:tcPr>
            <w:tcW w:w="1276" w:type="dxa"/>
            <w:vMerge w:val="restart"/>
            <w:shd w:val="clear" w:color="auto" w:fill="auto"/>
            <w:tcMar>
              <w:left w:w="28" w:type="dxa"/>
              <w:right w:w="28" w:type="dxa"/>
            </w:tcMar>
          </w:tcPr>
          <w:p w14:paraId="76307BA6" w14:textId="77777777" w:rsidR="00504042" w:rsidRPr="00A5280D" w:rsidRDefault="00504042" w:rsidP="00504042">
            <w:pPr>
              <w:pStyle w:val="TableTextDusc"/>
            </w:pPr>
            <w:r>
              <w:t>12 weeks</w:t>
            </w:r>
          </w:p>
        </w:tc>
        <w:tc>
          <w:tcPr>
            <w:tcW w:w="567" w:type="dxa"/>
            <w:shd w:val="clear" w:color="auto" w:fill="auto"/>
            <w:tcMar>
              <w:left w:w="28" w:type="dxa"/>
              <w:right w:w="28" w:type="dxa"/>
            </w:tcMar>
          </w:tcPr>
          <w:p w14:paraId="3D04798E" w14:textId="77777777" w:rsidR="00504042" w:rsidRDefault="00504042" w:rsidP="00504042">
            <w:pPr>
              <w:pStyle w:val="TableTextDusc"/>
            </w:pPr>
            <w:r>
              <w:t>Sec</w:t>
            </w:r>
            <w:r>
              <w:rPr>
                <w:vertAlign w:val="superscript"/>
              </w:rPr>
              <w:t>5</w:t>
            </w:r>
          </w:p>
        </w:tc>
        <w:tc>
          <w:tcPr>
            <w:tcW w:w="567" w:type="dxa"/>
            <w:shd w:val="clear" w:color="auto" w:fill="auto"/>
            <w:tcMar>
              <w:left w:w="28" w:type="dxa"/>
              <w:right w:w="28" w:type="dxa"/>
            </w:tcMar>
          </w:tcPr>
          <w:p w14:paraId="6FB805F0" w14:textId="77777777" w:rsidR="00504042" w:rsidRPr="00C3425C" w:rsidRDefault="00504042" w:rsidP="00504042">
            <w:pPr>
              <w:pStyle w:val="TableTextDusc"/>
              <w:rPr>
                <w:color w:val="000000"/>
              </w:rPr>
            </w:pPr>
            <w:r>
              <w:rPr>
                <w:color w:val="000000"/>
              </w:rPr>
              <w:t>7</w:t>
            </w:r>
          </w:p>
        </w:tc>
        <w:tc>
          <w:tcPr>
            <w:tcW w:w="1418" w:type="dxa"/>
            <w:shd w:val="clear" w:color="auto" w:fill="auto"/>
            <w:tcMar>
              <w:left w:w="28" w:type="dxa"/>
              <w:right w:w="28" w:type="dxa"/>
            </w:tcMar>
          </w:tcPr>
          <w:p w14:paraId="01C8C1BA" w14:textId="77777777" w:rsidR="00504042" w:rsidRDefault="008C18C0" w:rsidP="00504042">
            <w:pPr>
              <w:pStyle w:val="TableTextDusc"/>
            </w:pPr>
            <w:r>
              <w:t>NR</w:t>
            </w:r>
          </w:p>
        </w:tc>
        <w:tc>
          <w:tcPr>
            <w:tcW w:w="1417" w:type="dxa"/>
            <w:shd w:val="clear" w:color="auto" w:fill="auto"/>
            <w:tcMar>
              <w:left w:w="28" w:type="dxa"/>
              <w:right w:w="28" w:type="dxa"/>
            </w:tcMar>
          </w:tcPr>
          <w:p w14:paraId="0DBCA1AA" w14:textId="77777777" w:rsidR="00504042" w:rsidRDefault="008C18C0" w:rsidP="00504042">
            <w:pPr>
              <w:pStyle w:val="TableTextDusc"/>
            </w:pPr>
            <w:r>
              <w:t>NR</w:t>
            </w:r>
          </w:p>
        </w:tc>
        <w:tc>
          <w:tcPr>
            <w:tcW w:w="1701" w:type="dxa"/>
            <w:shd w:val="clear" w:color="auto" w:fill="auto"/>
            <w:tcMar>
              <w:left w:w="28" w:type="dxa"/>
              <w:right w:w="28" w:type="dxa"/>
            </w:tcMar>
          </w:tcPr>
          <w:p w14:paraId="1892A6DE" w14:textId="77777777" w:rsidR="00504042" w:rsidRDefault="00504042" w:rsidP="00504042">
            <w:pPr>
              <w:pStyle w:val="TableTextDusc"/>
            </w:pPr>
            <w:r>
              <w:t>71%</w:t>
            </w:r>
          </w:p>
        </w:tc>
        <w:tc>
          <w:tcPr>
            <w:tcW w:w="992" w:type="dxa"/>
            <w:shd w:val="clear" w:color="auto" w:fill="auto"/>
            <w:tcMar>
              <w:left w:w="28" w:type="dxa"/>
              <w:right w:w="28" w:type="dxa"/>
            </w:tcMar>
          </w:tcPr>
          <w:p w14:paraId="4D184E4A" w14:textId="77777777" w:rsidR="00504042" w:rsidRDefault="00504042" w:rsidP="00504042">
            <w:pPr>
              <w:pStyle w:val="TableTextDusc"/>
            </w:pPr>
            <w:r>
              <w:t>100%</w:t>
            </w:r>
          </w:p>
        </w:tc>
      </w:tr>
      <w:tr w:rsidR="00504042" w14:paraId="2CE799EA" w14:textId="77777777" w:rsidTr="00504042">
        <w:trPr>
          <w:cantSplit/>
          <w:trHeight w:val="237"/>
        </w:trPr>
        <w:tc>
          <w:tcPr>
            <w:tcW w:w="1129" w:type="dxa"/>
            <w:vMerge/>
            <w:shd w:val="clear" w:color="auto" w:fill="auto"/>
            <w:tcMar>
              <w:left w:w="28" w:type="dxa"/>
              <w:right w:w="28" w:type="dxa"/>
            </w:tcMar>
          </w:tcPr>
          <w:p w14:paraId="2F845215" w14:textId="77777777" w:rsidR="00504042" w:rsidRPr="00A5280D" w:rsidRDefault="00504042" w:rsidP="00504042">
            <w:pPr>
              <w:pStyle w:val="TableTextDusc"/>
            </w:pPr>
          </w:p>
        </w:tc>
        <w:tc>
          <w:tcPr>
            <w:tcW w:w="1276" w:type="dxa"/>
            <w:vMerge/>
            <w:shd w:val="clear" w:color="auto" w:fill="auto"/>
            <w:tcMar>
              <w:left w:w="28" w:type="dxa"/>
              <w:right w:w="28" w:type="dxa"/>
            </w:tcMar>
          </w:tcPr>
          <w:p w14:paraId="024DC055" w14:textId="77777777" w:rsidR="00504042" w:rsidRPr="00A5280D" w:rsidRDefault="00504042" w:rsidP="00504042">
            <w:pPr>
              <w:pStyle w:val="TableTextDusc"/>
            </w:pPr>
          </w:p>
        </w:tc>
        <w:tc>
          <w:tcPr>
            <w:tcW w:w="567" w:type="dxa"/>
            <w:shd w:val="clear" w:color="auto" w:fill="auto"/>
            <w:tcMar>
              <w:left w:w="28" w:type="dxa"/>
              <w:right w:w="28" w:type="dxa"/>
            </w:tcMar>
          </w:tcPr>
          <w:p w14:paraId="7BD8220A" w14:textId="77777777" w:rsidR="00504042" w:rsidRDefault="00504042" w:rsidP="00504042">
            <w:pPr>
              <w:pStyle w:val="TableTextDusc"/>
            </w:pPr>
            <w:r>
              <w:t>Pbo</w:t>
            </w:r>
          </w:p>
        </w:tc>
        <w:tc>
          <w:tcPr>
            <w:tcW w:w="567" w:type="dxa"/>
            <w:shd w:val="clear" w:color="auto" w:fill="auto"/>
            <w:tcMar>
              <w:left w:w="28" w:type="dxa"/>
              <w:right w:w="28" w:type="dxa"/>
            </w:tcMar>
          </w:tcPr>
          <w:p w14:paraId="2D9EDD6F" w14:textId="77777777" w:rsidR="00504042" w:rsidRPr="00C3425C" w:rsidRDefault="00504042" w:rsidP="00504042">
            <w:pPr>
              <w:pStyle w:val="TableTextDusc"/>
              <w:rPr>
                <w:color w:val="000000"/>
              </w:rPr>
            </w:pPr>
            <w:r>
              <w:rPr>
                <w:color w:val="000000"/>
              </w:rPr>
              <w:t>5</w:t>
            </w:r>
          </w:p>
        </w:tc>
        <w:tc>
          <w:tcPr>
            <w:tcW w:w="1418" w:type="dxa"/>
            <w:shd w:val="clear" w:color="auto" w:fill="auto"/>
            <w:tcMar>
              <w:left w:w="28" w:type="dxa"/>
              <w:right w:w="28" w:type="dxa"/>
            </w:tcMar>
          </w:tcPr>
          <w:p w14:paraId="42A1C936" w14:textId="77777777" w:rsidR="00504042" w:rsidRDefault="008C18C0" w:rsidP="00504042">
            <w:pPr>
              <w:pStyle w:val="TableTextDusc"/>
            </w:pPr>
            <w:r>
              <w:t>NR</w:t>
            </w:r>
          </w:p>
        </w:tc>
        <w:tc>
          <w:tcPr>
            <w:tcW w:w="1417" w:type="dxa"/>
            <w:shd w:val="clear" w:color="auto" w:fill="auto"/>
            <w:tcMar>
              <w:left w:w="28" w:type="dxa"/>
              <w:right w:w="28" w:type="dxa"/>
            </w:tcMar>
          </w:tcPr>
          <w:p w14:paraId="53B0E6F2" w14:textId="77777777" w:rsidR="00504042" w:rsidRDefault="008C18C0" w:rsidP="00504042">
            <w:pPr>
              <w:pStyle w:val="TableTextDusc"/>
            </w:pPr>
            <w:r>
              <w:t>NR</w:t>
            </w:r>
          </w:p>
        </w:tc>
        <w:tc>
          <w:tcPr>
            <w:tcW w:w="1701" w:type="dxa"/>
            <w:shd w:val="clear" w:color="auto" w:fill="auto"/>
            <w:tcMar>
              <w:left w:w="28" w:type="dxa"/>
              <w:right w:w="28" w:type="dxa"/>
            </w:tcMar>
          </w:tcPr>
          <w:p w14:paraId="4498B2F2" w14:textId="77777777" w:rsidR="00504042" w:rsidRDefault="00504042" w:rsidP="00504042">
            <w:pPr>
              <w:pStyle w:val="TableTextDusc"/>
            </w:pPr>
            <w:r>
              <w:t>20%</w:t>
            </w:r>
          </w:p>
        </w:tc>
        <w:tc>
          <w:tcPr>
            <w:tcW w:w="992" w:type="dxa"/>
            <w:shd w:val="clear" w:color="auto" w:fill="auto"/>
            <w:tcMar>
              <w:left w:w="28" w:type="dxa"/>
              <w:right w:w="28" w:type="dxa"/>
            </w:tcMar>
          </w:tcPr>
          <w:p w14:paraId="3115D05F" w14:textId="77777777" w:rsidR="00504042" w:rsidRDefault="00504042" w:rsidP="00504042">
            <w:pPr>
              <w:pStyle w:val="TableTextDusc"/>
            </w:pPr>
            <w:r>
              <w:t>0</w:t>
            </w:r>
          </w:p>
        </w:tc>
      </w:tr>
    </w:tbl>
    <w:p w14:paraId="4C0871D6" w14:textId="77777777" w:rsidR="00504042" w:rsidRDefault="00504042" w:rsidP="00504042">
      <w:pPr>
        <w:pStyle w:val="TableFooter"/>
      </w:pPr>
      <w:r>
        <w:t>Ada = adalimumab; CPP = chronic plaque psoriasis; hf PGA = hands and/or feet Physician’s Global Assessment; Inf = infliximab; IV = intravenous; m-PPPASI 50, 75 = reduction in modified-Palmoplantar Psoriasis Area and Severity Index score of 50% or 75%;</w:t>
      </w:r>
      <w:r w:rsidR="008C18C0">
        <w:t xml:space="preserve"> NR = not reported;</w:t>
      </w:r>
      <w:r>
        <w:t xml:space="preserve"> PASI 75 = reduction in Psoriasis Area and Severity Index score of 75%; PI = Product Information; SC = subcutaneous; Sec = secukinumab</w:t>
      </w:r>
    </w:p>
    <w:p w14:paraId="7B03F1AF" w14:textId="77777777" w:rsidR="00504042" w:rsidRDefault="00504042" w:rsidP="00504042">
      <w:pPr>
        <w:pStyle w:val="TableFooter"/>
      </w:pPr>
      <w:r w:rsidRPr="002776BD">
        <w:rPr>
          <w:vertAlign w:val="superscript"/>
        </w:rPr>
        <w:t>a</w:t>
      </w:r>
      <w:r>
        <w:t xml:space="preserve"> Baseline characteristics for patients receiving secukinumab 150 mg SC at Week 0 were not included in the comparison</w:t>
      </w:r>
    </w:p>
    <w:p w14:paraId="615BC9B2" w14:textId="77777777" w:rsidR="00504042" w:rsidRPr="00C21612" w:rsidRDefault="00504042" w:rsidP="00504042">
      <w:pPr>
        <w:pStyle w:val="TableFooter"/>
        <w:rPr>
          <w:i/>
        </w:rPr>
      </w:pPr>
      <w:r w:rsidRPr="007E5B89">
        <w:rPr>
          <w:vertAlign w:val="superscript"/>
        </w:rPr>
        <w:t>b</w:t>
      </w:r>
      <w:r>
        <w:t xml:space="preserve"> Baseline characteristics for patients receiving secukinumab 25 mg SC at Week 0; 25 mg SC at Weeks 0, 4, 8; and 75 mg SC at Weeks 0, 4, 8 were not included in the comparison</w:t>
      </w:r>
    </w:p>
    <w:p w14:paraId="1955AD13" w14:textId="77777777" w:rsidR="00504042" w:rsidRDefault="00504042" w:rsidP="00504042">
      <w:pPr>
        <w:pStyle w:val="TableFooter"/>
      </w:pPr>
      <w:r w:rsidRPr="002839C0">
        <w:rPr>
          <w:vertAlign w:val="superscript"/>
        </w:rPr>
        <w:t>1</w:t>
      </w:r>
      <w:r>
        <w:t xml:space="preserve"> Adalimumab 80 mg SC Week 0; then 40 mg every other week from Week 1 (PI recommended dose)</w:t>
      </w:r>
    </w:p>
    <w:p w14:paraId="06DD6B9A" w14:textId="77777777" w:rsidR="00504042" w:rsidRDefault="00504042" w:rsidP="00504042">
      <w:pPr>
        <w:pStyle w:val="TableFooter"/>
      </w:pPr>
      <w:r w:rsidRPr="002839C0">
        <w:rPr>
          <w:vertAlign w:val="superscript"/>
        </w:rPr>
        <w:t>2</w:t>
      </w:r>
      <w:r>
        <w:t xml:space="preserve"> Infliximab 5 mg/kg IV at Weeks 0, 2, 6 (PI recommended dose)</w:t>
      </w:r>
    </w:p>
    <w:p w14:paraId="7775A12C" w14:textId="77777777" w:rsidR="00504042" w:rsidRDefault="00504042" w:rsidP="00504042">
      <w:pPr>
        <w:pStyle w:val="TableFooter"/>
      </w:pPr>
      <w:r w:rsidRPr="00225CF7">
        <w:rPr>
          <w:vertAlign w:val="superscript"/>
        </w:rPr>
        <w:t>3</w:t>
      </w:r>
      <w:r>
        <w:t xml:space="preserve"> Secukinumab 150 mg SC at Weeks 0, 1, 2, 3, 4; then every 4 weeks</w:t>
      </w:r>
    </w:p>
    <w:p w14:paraId="76B517F5" w14:textId="77777777" w:rsidR="00504042" w:rsidRDefault="00504042" w:rsidP="00504042">
      <w:pPr>
        <w:pStyle w:val="TableFooter"/>
      </w:pPr>
      <w:r w:rsidRPr="00225CF7">
        <w:rPr>
          <w:vertAlign w:val="superscript"/>
        </w:rPr>
        <w:t>4</w:t>
      </w:r>
      <w:r w:rsidR="008C18C0">
        <w:rPr>
          <w:vertAlign w:val="superscript"/>
        </w:rPr>
        <w:t xml:space="preserve"> </w:t>
      </w:r>
      <w:r>
        <w:t>Secukinumab 300 mg SC at Weeks 0, 1, 2, 3, 4; then every 4 weeks</w:t>
      </w:r>
    </w:p>
    <w:p w14:paraId="1C64FF54" w14:textId="77777777" w:rsidR="00504042" w:rsidRDefault="00504042" w:rsidP="00504042">
      <w:pPr>
        <w:pStyle w:val="TableFooter"/>
      </w:pPr>
      <w:r>
        <w:rPr>
          <w:vertAlign w:val="superscript"/>
        </w:rPr>
        <w:t>5</w:t>
      </w:r>
      <w:r>
        <w:t xml:space="preserve"> Secukinumab 150 mg SC at Weeks 0, 4, 8</w:t>
      </w:r>
    </w:p>
    <w:p w14:paraId="69A3ED97" w14:textId="77777777" w:rsidR="00504042" w:rsidRDefault="00504042" w:rsidP="00504042">
      <w:pPr>
        <w:pStyle w:val="TableFooter"/>
      </w:pPr>
      <w:r>
        <w:rPr>
          <w:vertAlign w:val="superscript"/>
        </w:rPr>
        <w:t>6</w:t>
      </w:r>
      <w:r>
        <w:t xml:space="preserve"> Secukinumab 150 mg SC at Weeks 0, 1, 2, 4</w:t>
      </w:r>
    </w:p>
    <w:p w14:paraId="50DE9CE9" w14:textId="77777777" w:rsidR="00504042" w:rsidRDefault="007907AF" w:rsidP="00E61C3D">
      <w:pPr>
        <w:pStyle w:val="MDSubsubheding"/>
      </w:pPr>
      <w:bookmarkStart w:id="83" w:name="_Toc503274971"/>
      <w:r w:rsidRPr="006C7EC2">
        <w:lastRenderedPageBreak/>
        <w:t>The longer-term safety and efficacy of the PBS-listed biologics</w:t>
      </w:r>
      <w:bookmarkEnd w:id="83"/>
    </w:p>
    <w:p w14:paraId="0736756F" w14:textId="37239AEA" w:rsidR="002A6B78" w:rsidRPr="00FE1642" w:rsidRDefault="002A6B78" w:rsidP="00E61C3D">
      <w:pPr>
        <w:pStyle w:val="ToRText"/>
        <w:keepNext/>
        <w:keepLines/>
      </w:pPr>
      <w:r w:rsidRPr="00FE1642">
        <w:t>f)</w:t>
      </w:r>
      <w:r w:rsidRPr="00FE1642">
        <w:tab/>
      </w:r>
      <w:r w:rsidR="005A2F14" w:rsidRPr="00FE1642">
        <w:t>Identify</w:t>
      </w:r>
      <w:r w:rsidRPr="00FE1642">
        <w:t xml:space="preserve"> and describe any recent findings concerning safety associated with longer term use of biologics </w:t>
      </w:r>
    </w:p>
    <w:p w14:paraId="4F43CE2F" w14:textId="6BFAD221" w:rsidR="008C18C0" w:rsidRDefault="008C18C0" w:rsidP="00E61C3D">
      <w:pPr>
        <w:keepNext/>
        <w:keepLines/>
      </w:pPr>
      <w:r>
        <w:t xml:space="preserve">There were a number of long term safety </w:t>
      </w:r>
      <w:r w:rsidR="00E35D7A">
        <w:t xml:space="preserve">(≥1 year) studies available based on </w:t>
      </w:r>
      <w:r>
        <w:t xml:space="preserve">extension studies </w:t>
      </w:r>
      <w:r w:rsidR="00E35D7A">
        <w:t>of primary RCTs. S</w:t>
      </w:r>
      <w:r w:rsidR="00090524">
        <w:t>tudy follow ranged up to</w:t>
      </w:r>
      <w:r>
        <w:t xml:space="preserve"> five years</w:t>
      </w:r>
      <w:r w:rsidR="00090524">
        <w:t xml:space="preserve"> (</w:t>
      </w:r>
      <w:r w:rsidR="00594BE2">
        <w:t>Table ES.</w:t>
      </w:r>
      <w:r w:rsidR="00F3545E">
        <w:rPr>
          <w:noProof/>
        </w:rPr>
        <w:t>18</w:t>
      </w:r>
      <w:r w:rsidR="00090524">
        <w:t>)</w:t>
      </w:r>
      <w:r>
        <w:t xml:space="preserve">. </w:t>
      </w:r>
      <w:r w:rsidR="00E35D7A">
        <w:t>Overall, the</w:t>
      </w:r>
      <w:r w:rsidRPr="006C7EC2">
        <w:t xml:space="preserve"> longer-term use of </w:t>
      </w:r>
      <w:r w:rsidR="00E35D7A">
        <w:t xml:space="preserve">currently listed </w:t>
      </w:r>
      <w:r w:rsidRPr="006C7EC2">
        <w:t>biologics (up to three years) for the treatment of CPP appears relatively safe, with approximately 10% of patients experiencing a severe adverse event. The incidence of cardiovascular disease, serious infection and malignancy was consistently very low across all studies.</w:t>
      </w:r>
    </w:p>
    <w:p w14:paraId="7749B704" w14:textId="77777777" w:rsidR="008C18C0" w:rsidRDefault="008C18C0" w:rsidP="008D4D9D">
      <w:pPr>
        <w:pStyle w:val="MDTabCaption"/>
        <w:keepLines/>
      </w:pPr>
      <w:bookmarkStart w:id="84" w:name="_Ref493165266"/>
      <w:bookmarkStart w:id="85" w:name="_Toc501121211"/>
      <w:bookmarkStart w:id="86" w:name="_Toc503275008"/>
      <w:r>
        <w:t xml:space="preserve">Table </w:t>
      </w:r>
      <w:r w:rsidR="00090524">
        <w:t>ES.</w:t>
      </w:r>
      <w:r w:rsidR="00E92AD5">
        <w:t>18</w:t>
      </w:r>
      <w:bookmarkEnd w:id="84"/>
      <w:r>
        <w:t>: Longer-term safety of biologics in the treatment of CPP (% of patients affected)</w:t>
      </w:r>
      <w:bookmarkEnd w:id="85"/>
      <w:bookmarkEnd w:id="86"/>
    </w:p>
    <w:tbl>
      <w:tblPr>
        <w:tblStyle w:val="TableGrid"/>
        <w:tblW w:w="0" w:type="auto"/>
        <w:tblLayout w:type="fixed"/>
        <w:tblLook w:val="04A0" w:firstRow="1" w:lastRow="0" w:firstColumn="1" w:lastColumn="0" w:noHBand="0" w:noVBand="1"/>
        <w:tblCaption w:val="longer-term safety data for adalimumab, etanercept, infliximab, ixekizumab and ustekinumab in the treatment of CPP"/>
      </w:tblPr>
      <w:tblGrid>
        <w:gridCol w:w="1354"/>
        <w:gridCol w:w="1051"/>
        <w:gridCol w:w="598"/>
        <w:gridCol w:w="518"/>
        <w:gridCol w:w="550"/>
        <w:gridCol w:w="532"/>
        <w:gridCol w:w="565"/>
        <w:gridCol w:w="834"/>
        <w:gridCol w:w="818"/>
        <w:gridCol w:w="1015"/>
        <w:gridCol w:w="483"/>
        <w:gridCol w:w="698"/>
      </w:tblGrid>
      <w:tr w:rsidR="008C18C0" w:rsidRPr="00BA22FB" w14:paraId="4DE400CD" w14:textId="77777777" w:rsidTr="008C18C0">
        <w:trPr>
          <w:cantSplit/>
          <w:tblHeader/>
        </w:trPr>
        <w:tc>
          <w:tcPr>
            <w:tcW w:w="1354" w:type="dxa"/>
            <w:tcMar>
              <w:left w:w="28" w:type="dxa"/>
              <w:right w:w="28" w:type="dxa"/>
            </w:tcMar>
          </w:tcPr>
          <w:p w14:paraId="61FEFB67" w14:textId="77777777" w:rsidR="008C18C0" w:rsidRPr="00BA22FB" w:rsidRDefault="008C18C0" w:rsidP="008C18C0">
            <w:pPr>
              <w:pStyle w:val="TableTextDusc"/>
              <w:keepNext/>
              <w:rPr>
                <w:b/>
              </w:rPr>
            </w:pPr>
            <w:r w:rsidRPr="00BA22FB">
              <w:rPr>
                <w:b/>
              </w:rPr>
              <w:t>Trial</w:t>
            </w:r>
          </w:p>
        </w:tc>
        <w:tc>
          <w:tcPr>
            <w:tcW w:w="1051" w:type="dxa"/>
            <w:tcMar>
              <w:left w:w="28" w:type="dxa"/>
              <w:right w:w="28" w:type="dxa"/>
            </w:tcMar>
          </w:tcPr>
          <w:p w14:paraId="0DFF8E70" w14:textId="77777777" w:rsidR="008C18C0" w:rsidRPr="00B851ED" w:rsidRDefault="008C18C0" w:rsidP="008C18C0">
            <w:pPr>
              <w:pStyle w:val="TableTextDusc"/>
              <w:keepNext/>
              <w:rPr>
                <w:b/>
              </w:rPr>
            </w:pPr>
            <w:r w:rsidRPr="00B851ED">
              <w:rPr>
                <w:b/>
              </w:rPr>
              <w:t>Time horizon</w:t>
            </w:r>
          </w:p>
        </w:tc>
        <w:tc>
          <w:tcPr>
            <w:tcW w:w="598" w:type="dxa"/>
            <w:tcMar>
              <w:left w:w="28" w:type="dxa"/>
              <w:right w:w="28" w:type="dxa"/>
            </w:tcMar>
          </w:tcPr>
          <w:p w14:paraId="2008275F" w14:textId="77777777" w:rsidR="008C18C0" w:rsidRPr="00BA22FB" w:rsidRDefault="008C18C0" w:rsidP="008C18C0">
            <w:pPr>
              <w:pStyle w:val="TableTextDusc"/>
              <w:keepNext/>
              <w:rPr>
                <w:b/>
              </w:rPr>
            </w:pPr>
            <w:r>
              <w:rPr>
                <w:b/>
              </w:rPr>
              <w:t>Arm</w:t>
            </w:r>
          </w:p>
        </w:tc>
        <w:tc>
          <w:tcPr>
            <w:tcW w:w="518" w:type="dxa"/>
            <w:tcMar>
              <w:left w:w="28" w:type="dxa"/>
              <w:right w:w="28" w:type="dxa"/>
            </w:tcMar>
          </w:tcPr>
          <w:p w14:paraId="73DB2254" w14:textId="77777777" w:rsidR="008C18C0" w:rsidRPr="00BA22FB" w:rsidRDefault="008C18C0" w:rsidP="008C18C0">
            <w:pPr>
              <w:pStyle w:val="TableTextDusc"/>
              <w:keepNext/>
              <w:rPr>
                <w:b/>
              </w:rPr>
            </w:pPr>
            <w:r w:rsidRPr="00BA22FB">
              <w:rPr>
                <w:b/>
              </w:rPr>
              <w:t>N</w:t>
            </w:r>
          </w:p>
        </w:tc>
        <w:tc>
          <w:tcPr>
            <w:tcW w:w="550" w:type="dxa"/>
            <w:tcMar>
              <w:left w:w="28" w:type="dxa"/>
              <w:right w:w="28" w:type="dxa"/>
            </w:tcMar>
          </w:tcPr>
          <w:p w14:paraId="38C0E0E9" w14:textId="77777777" w:rsidR="008C18C0" w:rsidRPr="00BA22FB" w:rsidRDefault="008C18C0" w:rsidP="008C18C0">
            <w:pPr>
              <w:pStyle w:val="TableTextDusc"/>
              <w:keepNext/>
              <w:rPr>
                <w:b/>
              </w:rPr>
            </w:pPr>
            <w:r w:rsidRPr="00BA22FB">
              <w:rPr>
                <w:b/>
              </w:rPr>
              <w:t>AEs</w:t>
            </w:r>
          </w:p>
        </w:tc>
        <w:tc>
          <w:tcPr>
            <w:tcW w:w="532" w:type="dxa"/>
            <w:tcMar>
              <w:left w:w="28" w:type="dxa"/>
              <w:right w:w="28" w:type="dxa"/>
            </w:tcMar>
          </w:tcPr>
          <w:p w14:paraId="5A810FCD" w14:textId="77777777" w:rsidR="008C18C0" w:rsidRPr="00BA22FB" w:rsidRDefault="008C18C0" w:rsidP="008C18C0">
            <w:pPr>
              <w:pStyle w:val="TableTextDusc"/>
              <w:keepNext/>
              <w:rPr>
                <w:b/>
              </w:rPr>
            </w:pPr>
            <w:r w:rsidRPr="00BA22FB">
              <w:rPr>
                <w:b/>
              </w:rPr>
              <w:t xml:space="preserve">SAEs </w:t>
            </w:r>
          </w:p>
        </w:tc>
        <w:tc>
          <w:tcPr>
            <w:tcW w:w="565" w:type="dxa"/>
            <w:tcMar>
              <w:left w:w="28" w:type="dxa"/>
              <w:right w:w="28" w:type="dxa"/>
            </w:tcMar>
          </w:tcPr>
          <w:p w14:paraId="24481E6A" w14:textId="77777777" w:rsidR="008C18C0" w:rsidRPr="00BA22FB" w:rsidRDefault="008C18C0" w:rsidP="008C18C0">
            <w:pPr>
              <w:pStyle w:val="TableTextDusc"/>
              <w:keepNext/>
              <w:rPr>
                <w:b/>
              </w:rPr>
            </w:pPr>
            <w:r w:rsidRPr="00BA22FB">
              <w:rPr>
                <w:b/>
              </w:rPr>
              <w:t>Death</w:t>
            </w:r>
          </w:p>
        </w:tc>
        <w:tc>
          <w:tcPr>
            <w:tcW w:w="834" w:type="dxa"/>
            <w:tcMar>
              <w:left w:w="28" w:type="dxa"/>
              <w:right w:w="28" w:type="dxa"/>
            </w:tcMar>
          </w:tcPr>
          <w:p w14:paraId="7DC39468" w14:textId="77777777" w:rsidR="008C18C0" w:rsidRPr="00BA22FB" w:rsidRDefault="008C18C0" w:rsidP="008C18C0">
            <w:pPr>
              <w:pStyle w:val="TableTextDusc"/>
              <w:keepNext/>
              <w:rPr>
                <w:b/>
              </w:rPr>
            </w:pPr>
            <w:r w:rsidRPr="00BA22FB">
              <w:rPr>
                <w:b/>
              </w:rPr>
              <w:t>Infection</w:t>
            </w:r>
          </w:p>
        </w:tc>
        <w:tc>
          <w:tcPr>
            <w:tcW w:w="818" w:type="dxa"/>
            <w:tcMar>
              <w:left w:w="28" w:type="dxa"/>
              <w:right w:w="28" w:type="dxa"/>
            </w:tcMar>
          </w:tcPr>
          <w:p w14:paraId="53215A0F" w14:textId="77777777" w:rsidR="008C18C0" w:rsidRPr="00BA22FB" w:rsidRDefault="008C18C0" w:rsidP="008C18C0">
            <w:pPr>
              <w:pStyle w:val="TableTextDusc"/>
              <w:keepNext/>
              <w:rPr>
                <w:b/>
              </w:rPr>
            </w:pPr>
            <w:r w:rsidRPr="00BA22FB">
              <w:rPr>
                <w:b/>
              </w:rPr>
              <w:t>Serious infection</w:t>
            </w:r>
          </w:p>
        </w:tc>
        <w:tc>
          <w:tcPr>
            <w:tcW w:w="1015" w:type="dxa"/>
            <w:tcMar>
              <w:left w:w="28" w:type="dxa"/>
              <w:right w:w="28" w:type="dxa"/>
            </w:tcMar>
          </w:tcPr>
          <w:p w14:paraId="4188CA17" w14:textId="77777777" w:rsidR="008C18C0" w:rsidRPr="00BA22FB" w:rsidRDefault="008C18C0" w:rsidP="008C18C0">
            <w:pPr>
              <w:pStyle w:val="TableTextDusc"/>
              <w:keepNext/>
              <w:rPr>
                <w:b/>
              </w:rPr>
            </w:pPr>
            <w:r w:rsidRPr="00BA22FB">
              <w:rPr>
                <w:b/>
              </w:rPr>
              <w:t>Malignancy</w:t>
            </w:r>
          </w:p>
        </w:tc>
        <w:tc>
          <w:tcPr>
            <w:tcW w:w="483" w:type="dxa"/>
            <w:tcMar>
              <w:left w:w="28" w:type="dxa"/>
              <w:right w:w="28" w:type="dxa"/>
            </w:tcMar>
          </w:tcPr>
          <w:p w14:paraId="37BDA9A0" w14:textId="77777777" w:rsidR="008C18C0" w:rsidRPr="00BA22FB" w:rsidRDefault="008C18C0" w:rsidP="008C18C0">
            <w:pPr>
              <w:pStyle w:val="TableTextDusc"/>
              <w:keepNext/>
              <w:rPr>
                <w:b/>
              </w:rPr>
            </w:pPr>
            <w:r w:rsidRPr="00BA22FB">
              <w:rPr>
                <w:b/>
              </w:rPr>
              <w:t>CVD</w:t>
            </w:r>
          </w:p>
        </w:tc>
        <w:tc>
          <w:tcPr>
            <w:tcW w:w="698" w:type="dxa"/>
            <w:tcMar>
              <w:left w:w="28" w:type="dxa"/>
              <w:right w:w="28" w:type="dxa"/>
            </w:tcMar>
          </w:tcPr>
          <w:p w14:paraId="02212DBB" w14:textId="77777777" w:rsidR="008C18C0" w:rsidRPr="00BA22FB" w:rsidRDefault="008C18C0" w:rsidP="008C18C0">
            <w:pPr>
              <w:pStyle w:val="TableTextDusc"/>
              <w:keepNext/>
              <w:rPr>
                <w:b/>
              </w:rPr>
            </w:pPr>
            <w:r w:rsidRPr="00BA22FB">
              <w:rPr>
                <w:b/>
              </w:rPr>
              <w:t>Liver disease</w:t>
            </w:r>
          </w:p>
        </w:tc>
      </w:tr>
      <w:tr w:rsidR="008C18C0" w:rsidRPr="00BA22FB" w14:paraId="6E326903" w14:textId="77777777" w:rsidTr="008C18C0">
        <w:trPr>
          <w:cantSplit/>
        </w:trPr>
        <w:tc>
          <w:tcPr>
            <w:tcW w:w="9016" w:type="dxa"/>
            <w:gridSpan w:val="12"/>
            <w:tcMar>
              <w:left w:w="28" w:type="dxa"/>
              <w:right w:w="28" w:type="dxa"/>
            </w:tcMar>
          </w:tcPr>
          <w:p w14:paraId="3EFF9636" w14:textId="77777777" w:rsidR="008C18C0" w:rsidRPr="00BA22FB" w:rsidRDefault="008C18C0" w:rsidP="008C18C0">
            <w:pPr>
              <w:pStyle w:val="TableTextDusc"/>
              <w:keepNext/>
              <w:rPr>
                <w:b/>
              </w:rPr>
            </w:pPr>
            <w:r w:rsidRPr="00BA22FB">
              <w:rPr>
                <w:b/>
              </w:rPr>
              <w:t>Adalimumab</w:t>
            </w:r>
          </w:p>
        </w:tc>
      </w:tr>
      <w:tr w:rsidR="008C18C0" w14:paraId="462F77BA" w14:textId="77777777" w:rsidTr="008C18C0">
        <w:trPr>
          <w:cantSplit/>
          <w:trHeight w:val="214"/>
        </w:trPr>
        <w:tc>
          <w:tcPr>
            <w:tcW w:w="1354" w:type="dxa"/>
            <w:tcMar>
              <w:left w:w="28" w:type="dxa"/>
              <w:right w:w="28" w:type="dxa"/>
            </w:tcMar>
          </w:tcPr>
          <w:p w14:paraId="1EF3784D" w14:textId="77777777" w:rsidR="008C18C0" w:rsidRPr="00626925" w:rsidRDefault="008C18C0" w:rsidP="008C18C0">
            <w:pPr>
              <w:pStyle w:val="TableTextDusc"/>
              <w:keepNext/>
            </w:pPr>
            <w:r w:rsidRPr="00626925">
              <w:t>Gordon (2015)</w:t>
            </w:r>
          </w:p>
        </w:tc>
        <w:tc>
          <w:tcPr>
            <w:tcW w:w="1051" w:type="dxa"/>
            <w:tcMar>
              <w:left w:w="28" w:type="dxa"/>
              <w:right w:w="28" w:type="dxa"/>
            </w:tcMar>
          </w:tcPr>
          <w:p w14:paraId="7D5ADE23" w14:textId="77777777" w:rsidR="008C18C0" w:rsidRPr="00626925" w:rsidRDefault="008C18C0" w:rsidP="008C18C0">
            <w:pPr>
              <w:pStyle w:val="TableTextDusc"/>
              <w:keepNext/>
            </w:pPr>
            <w:r>
              <w:t>52 weeks</w:t>
            </w:r>
          </w:p>
        </w:tc>
        <w:tc>
          <w:tcPr>
            <w:tcW w:w="598" w:type="dxa"/>
            <w:tcMar>
              <w:left w:w="28" w:type="dxa"/>
              <w:right w:w="28" w:type="dxa"/>
            </w:tcMar>
          </w:tcPr>
          <w:p w14:paraId="2208DF73" w14:textId="77777777" w:rsidR="008C18C0" w:rsidRPr="00626925" w:rsidRDefault="008C18C0" w:rsidP="008C18C0">
            <w:pPr>
              <w:pStyle w:val="TableTextDusc"/>
              <w:keepNext/>
            </w:pPr>
            <w:r>
              <w:t>Ada</w:t>
            </w:r>
            <w:r w:rsidRPr="00373229">
              <w:rPr>
                <w:vertAlign w:val="superscript"/>
              </w:rPr>
              <w:t>1</w:t>
            </w:r>
            <w:r>
              <w:rPr>
                <w:vertAlign w:val="superscript"/>
              </w:rPr>
              <w:t>*</w:t>
            </w:r>
          </w:p>
        </w:tc>
        <w:tc>
          <w:tcPr>
            <w:tcW w:w="518" w:type="dxa"/>
            <w:tcMar>
              <w:left w:w="28" w:type="dxa"/>
              <w:right w:w="28" w:type="dxa"/>
            </w:tcMar>
          </w:tcPr>
          <w:p w14:paraId="497106A2" w14:textId="77777777" w:rsidR="008C18C0" w:rsidRPr="00626925" w:rsidRDefault="008C18C0" w:rsidP="008C18C0">
            <w:pPr>
              <w:pStyle w:val="TableTextDusc"/>
              <w:keepNext/>
            </w:pPr>
            <w:r w:rsidRPr="00626925">
              <w:rPr>
                <w:color w:val="000000"/>
              </w:rPr>
              <w:t>38</w:t>
            </w:r>
          </w:p>
        </w:tc>
        <w:tc>
          <w:tcPr>
            <w:tcW w:w="550" w:type="dxa"/>
            <w:tcMar>
              <w:left w:w="28" w:type="dxa"/>
              <w:right w:w="28" w:type="dxa"/>
            </w:tcMar>
          </w:tcPr>
          <w:p w14:paraId="1018561D" w14:textId="77777777" w:rsidR="008C18C0" w:rsidRPr="00626925" w:rsidRDefault="008C18C0" w:rsidP="008C18C0">
            <w:pPr>
              <w:pStyle w:val="TableTextDusc"/>
              <w:keepNext/>
            </w:pPr>
            <w:r w:rsidRPr="00626925">
              <w:rPr>
                <w:color w:val="000000"/>
              </w:rPr>
              <w:t>61%</w:t>
            </w:r>
          </w:p>
        </w:tc>
        <w:tc>
          <w:tcPr>
            <w:tcW w:w="532" w:type="dxa"/>
            <w:tcMar>
              <w:left w:w="28" w:type="dxa"/>
              <w:right w:w="28" w:type="dxa"/>
            </w:tcMar>
          </w:tcPr>
          <w:p w14:paraId="10AC412C" w14:textId="77777777" w:rsidR="008C18C0" w:rsidRPr="00626925" w:rsidRDefault="008C18C0" w:rsidP="008C18C0">
            <w:pPr>
              <w:pStyle w:val="TableTextDusc"/>
              <w:keepNext/>
            </w:pPr>
            <w:r w:rsidRPr="00626925">
              <w:rPr>
                <w:color w:val="000000"/>
              </w:rPr>
              <w:t>3%</w:t>
            </w:r>
          </w:p>
        </w:tc>
        <w:tc>
          <w:tcPr>
            <w:tcW w:w="565" w:type="dxa"/>
            <w:tcMar>
              <w:left w:w="28" w:type="dxa"/>
              <w:right w:w="28" w:type="dxa"/>
            </w:tcMar>
          </w:tcPr>
          <w:p w14:paraId="3B4CF606" w14:textId="77777777" w:rsidR="008C18C0" w:rsidRPr="00626925" w:rsidRDefault="008C18C0" w:rsidP="008C18C0">
            <w:pPr>
              <w:pStyle w:val="TableTextDusc"/>
              <w:keepNext/>
            </w:pPr>
            <w:r w:rsidRPr="00626925">
              <w:rPr>
                <w:color w:val="000000"/>
              </w:rPr>
              <w:t> </w:t>
            </w:r>
            <w:r>
              <w:rPr>
                <w:color w:val="000000"/>
              </w:rPr>
              <w:t>NR</w:t>
            </w:r>
          </w:p>
        </w:tc>
        <w:tc>
          <w:tcPr>
            <w:tcW w:w="834" w:type="dxa"/>
            <w:tcMar>
              <w:left w:w="28" w:type="dxa"/>
              <w:right w:w="28" w:type="dxa"/>
            </w:tcMar>
          </w:tcPr>
          <w:p w14:paraId="12871122" w14:textId="77777777" w:rsidR="008C18C0" w:rsidRPr="00626925" w:rsidRDefault="008C18C0" w:rsidP="008C18C0">
            <w:pPr>
              <w:pStyle w:val="TableTextDusc"/>
              <w:keepNext/>
            </w:pPr>
            <w:r w:rsidRPr="00626925">
              <w:rPr>
                <w:color w:val="000000"/>
              </w:rPr>
              <w:t>37%</w:t>
            </w:r>
          </w:p>
        </w:tc>
        <w:tc>
          <w:tcPr>
            <w:tcW w:w="818" w:type="dxa"/>
            <w:tcMar>
              <w:left w:w="28" w:type="dxa"/>
              <w:right w:w="28" w:type="dxa"/>
            </w:tcMar>
          </w:tcPr>
          <w:p w14:paraId="62A90DBB" w14:textId="77777777" w:rsidR="008C18C0" w:rsidRPr="00626925" w:rsidRDefault="008C18C0" w:rsidP="008C18C0">
            <w:pPr>
              <w:pStyle w:val="TableTextDusc"/>
              <w:keepNext/>
            </w:pPr>
            <w:r w:rsidRPr="00626925">
              <w:rPr>
                <w:color w:val="000000"/>
              </w:rPr>
              <w:t>3%</w:t>
            </w:r>
          </w:p>
        </w:tc>
        <w:tc>
          <w:tcPr>
            <w:tcW w:w="1015" w:type="dxa"/>
            <w:tcMar>
              <w:left w:w="28" w:type="dxa"/>
              <w:right w:w="28" w:type="dxa"/>
            </w:tcMar>
          </w:tcPr>
          <w:p w14:paraId="0A80AA9C" w14:textId="77777777" w:rsidR="008C18C0" w:rsidRPr="00626925" w:rsidRDefault="008C18C0" w:rsidP="008C18C0">
            <w:pPr>
              <w:pStyle w:val="TableTextDusc"/>
              <w:keepNext/>
            </w:pPr>
            <w:r w:rsidRPr="00626925">
              <w:rPr>
                <w:color w:val="000000"/>
              </w:rPr>
              <w:t>0</w:t>
            </w:r>
          </w:p>
        </w:tc>
        <w:tc>
          <w:tcPr>
            <w:tcW w:w="483" w:type="dxa"/>
            <w:tcMar>
              <w:left w:w="28" w:type="dxa"/>
              <w:right w:w="28" w:type="dxa"/>
            </w:tcMar>
          </w:tcPr>
          <w:p w14:paraId="051DD6D3" w14:textId="77777777" w:rsidR="008C18C0" w:rsidRPr="00626925" w:rsidRDefault="008C18C0" w:rsidP="008C18C0">
            <w:pPr>
              <w:pStyle w:val="TableTextDusc"/>
              <w:keepNext/>
            </w:pPr>
            <w:r w:rsidRPr="00626925">
              <w:rPr>
                <w:color w:val="000000"/>
              </w:rPr>
              <w:t>0</w:t>
            </w:r>
          </w:p>
        </w:tc>
        <w:tc>
          <w:tcPr>
            <w:tcW w:w="698" w:type="dxa"/>
            <w:tcMar>
              <w:left w:w="28" w:type="dxa"/>
              <w:right w:w="28" w:type="dxa"/>
            </w:tcMar>
          </w:tcPr>
          <w:p w14:paraId="64C72050" w14:textId="77777777" w:rsidR="008C18C0" w:rsidRPr="00626925" w:rsidRDefault="008C18C0" w:rsidP="008C18C0">
            <w:pPr>
              <w:pStyle w:val="TableTextDusc"/>
              <w:keepNext/>
            </w:pPr>
            <w:r>
              <w:rPr>
                <w:color w:val="000000"/>
              </w:rPr>
              <w:t>NR</w:t>
            </w:r>
          </w:p>
        </w:tc>
      </w:tr>
      <w:tr w:rsidR="008C18C0" w14:paraId="6FA025D8" w14:textId="77777777" w:rsidTr="008C18C0">
        <w:trPr>
          <w:cantSplit/>
          <w:trHeight w:val="152"/>
        </w:trPr>
        <w:tc>
          <w:tcPr>
            <w:tcW w:w="1354" w:type="dxa"/>
            <w:vMerge w:val="restart"/>
            <w:tcMar>
              <w:left w:w="28" w:type="dxa"/>
              <w:right w:w="28" w:type="dxa"/>
            </w:tcMar>
          </w:tcPr>
          <w:p w14:paraId="2610EC2B" w14:textId="77777777" w:rsidR="008C18C0" w:rsidRPr="00626925" w:rsidRDefault="008C18C0" w:rsidP="008C18C0">
            <w:pPr>
              <w:pStyle w:val="TableTextDusc"/>
              <w:keepNext/>
            </w:pPr>
            <w:r w:rsidRPr="00626925">
              <w:t>Gordon (2006)</w:t>
            </w:r>
          </w:p>
        </w:tc>
        <w:tc>
          <w:tcPr>
            <w:tcW w:w="1051" w:type="dxa"/>
            <w:vMerge w:val="restart"/>
            <w:tcMar>
              <w:left w:w="28" w:type="dxa"/>
              <w:right w:w="28" w:type="dxa"/>
            </w:tcMar>
          </w:tcPr>
          <w:p w14:paraId="7241000A" w14:textId="77777777" w:rsidR="008C18C0" w:rsidRPr="00626925" w:rsidRDefault="008C18C0" w:rsidP="008C18C0">
            <w:pPr>
              <w:pStyle w:val="TableTextDusc"/>
              <w:keepNext/>
            </w:pPr>
            <w:r>
              <w:t>60 weeks</w:t>
            </w:r>
          </w:p>
        </w:tc>
        <w:tc>
          <w:tcPr>
            <w:tcW w:w="598" w:type="dxa"/>
            <w:tcMar>
              <w:left w:w="28" w:type="dxa"/>
              <w:right w:w="28" w:type="dxa"/>
            </w:tcMar>
          </w:tcPr>
          <w:p w14:paraId="42AB7858" w14:textId="77777777" w:rsidR="008C18C0" w:rsidRPr="00626925" w:rsidRDefault="008C18C0" w:rsidP="008C18C0">
            <w:pPr>
              <w:pStyle w:val="TableTextDusc"/>
              <w:keepNext/>
            </w:pPr>
            <w:r>
              <w:t>Ada</w:t>
            </w:r>
            <w:r w:rsidRPr="00373229">
              <w:rPr>
                <w:vertAlign w:val="superscript"/>
              </w:rPr>
              <w:t>1</w:t>
            </w:r>
            <w:r>
              <w:rPr>
                <w:vertAlign w:val="superscript"/>
              </w:rPr>
              <w:t>*</w:t>
            </w:r>
          </w:p>
        </w:tc>
        <w:tc>
          <w:tcPr>
            <w:tcW w:w="518" w:type="dxa"/>
            <w:tcMar>
              <w:left w:w="28" w:type="dxa"/>
              <w:right w:w="28" w:type="dxa"/>
            </w:tcMar>
          </w:tcPr>
          <w:p w14:paraId="4734936C" w14:textId="77777777" w:rsidR="008C18C0" w:rsidRPr="00626925" w:rsidRDefault="008C18C0" w:rsidP="008C18C0">
            <w:pPr>
              <w:pStyle w:val="TableTextDusc"/>
              <w:keepNext/>
            </w:pPr>
            <w:r w:rsidRPr="00626925">
              <w:rPr>
                <w:color w:val="000000"/>
              </w:rPr>
              <w:t>92</w:t>
            </w:r>
          </w:p>
        </w:tc>
        <w:tc>
          <w:tcPr>
            <w:tcW w:w="550" w:type="dxa"/>
            <w:tcMar>
              <w:left w:w="28" w:type="dxa"/>
              <w:right w:w="28" w:type="dxa"/>
            </w:tcMar>
          </w:tcPr>
          <w:p w14:paraId="47086CB4" w14:textId="77777777" w:rsidR="008C18C0" w:rsidRPr="00626925" w:rsidRDefault="008C18C0" w:rsidP="008C18C0">
            <w:pPr>
              <w:pStyle w:val="TableTextDusc"/>
              <w:keepNext/>
            </w:pPr>
            <w:r>
              <w:rPr>
                <w:color w:val="000000"/>
              </w:rPr>
              <w:t>78%</w:t>
            </w:r>
          </w:p>
        </w:tc>
        <w:tc>
          <w:tcPr>
            <w:tcW w:w="532" w:type="dxa"/>
            <w:tcMar>
              <w:left w:w="28" w:type="dxa"/>
              <w:right w:w="28" w:type="dxa"/>
            </w:tcMar>
          </w:tcPr>
          <w:p w14:paraId="293F0065" w14:textId="77777777" w:rsidR="008C18C0" w:rsidRPr="00626925" w:rsidRDefault="008C18C0" w:rsidP="008C18C0">
            <w:pPr>
              <w:pStyle w:val="TableTextDusc"/>
              <w:keepNext/>
            </w:pPr>
            <w:r>
              <w:rPr>
                <w:color w:val="000000"/>
              </w:rPr>
              <w:t>2%</w:t>
            </w:r>
          </w:p>
        </w:tc>
        <w:tc>
          <w:tcPr>
            <w:tcW w:w="565" w:type="dxa"/>
            <w:tcMar>
              <w:left w:w="28" w:type="dxa"/>
              <w:right w:w="28" w:type="dxa"/>
            </w:tcMar>
          </w:tcPr>
          <w:p w14:paraId="70FEF5B6" w14:textId="77777777" w:rsidR="008C18C0" w:rsidRPr="00626925" w:rsidRDefault="008C18C0" w:rsidP="008C18C0">
            <w:pPr>
              <w:pStyle w:val="TableTextDusc"/>
              <w:keepNext/>
            </w:pPr>
            <w:r w:rsidRPr="00626925">
              <w:rPr>
                <w:color w:val="000000"/>
              </w:rPr>
              <w:t>0</w:t>
            </w:r>
          </w:p>
        </w:tc>
        <w:tc>
          <w:tcPr>
            <w:tcW w:w="834" w:type="dxa"/>
            <w:tcMar>
              <w:left w:w="28" w:type="dxa"/>
              <w:right w:w="28" w:type="dxa"/>
            </w:tcMar>
          </w:tcPr>
          <w:p w14:paraId="00252ADA" w14:textId="77777777" w:rsidR="008C18C0" w:rsidRPr="00626925" w:rsidRDefault="008C18C0" w:rsidP="008C18C0">
            <w:pPr>
              <w:pStyle w:val="TableTextDusc"/>
              <w:keepNext/>
            </w:pPr>
            <w:r>
              <w:rPr>
                <w:color w:val="000000"/>
              </w:rPr>
              <w:t>NR</w:t>
            </w:r>
            <w:r w:rsidRPr="00626925">
              <w:rPr>
                <w:color w:val="000000"/>
              </w:rPr>
              <w:t> </w:t>
            </w:r>
          </w:p>
        </w:tc>
        <w:tc>
          <w:tcPr>
            <w:tcW w:w="818" w:type="dxa"/>
            <w:tcMar>
              <w:left w:w="28" w:type="dxa"/>
              <w:right w:w="28" w:type="dxa"/>
            </w:tcMar>
          </w:tcPr>
          <w:p w14:paraId="2CE997AE" w14:textId="77777777" w:rsidR="008C18C0" w:rsidRPr="00626925" w:rsidRDefault="008C18C0" w:rsidP="008C18C0">
            <w:pPr>
              <w:pStyle w:val="TableTextDusc"/>
              <w:keepNext/>
            </w:pPr>
            <w:r w:rsidRPr="00626925">
              <w:rPr>
                <w:color w:val="000000"/>
              </w:rPr>
              <w:t>0</w:t>
            </w:r>
          </w:p>
        </w:tc>
        <w:tc>
          <w:tcPr>
            <w:tcW w:w="1015" w:type="dxa"/>
            <w:tcMar>
              <w:left w:w="28" w:type="dxa"/>
              <w:right w:w="28" w:type="dxa"/>
            </w:tcMar>
          </w:tcPr>
          <w:p w14:paraId="186CC7AE" w14:textId="77777777" w:rsidR="008C18C0" w:rsidRPr="00626925" w:rsidRDefault="008C18C0" w:rsidP="008C18C0">
            <w:pPr>
              <w:pStyle w:val="TableTextDusc"/>
              <w:keepNext/>
            </w:pPr>
            <w:r w:rsidRPr="00626925">
              <w:rPr>
                <w:color w:val="000000"/>
              </w:rPr>
              <w:t>1%</w:t>
            </w:r>
          </w:p>
        </w:tc>
        <w:tc>
          <w:tcPr>
            <w:tcW w:w="483" w:type="dxa"/>
            <w:tcMar>
              <w:left w:w="28" w:type="dxa"/>
              <w:right w:w="28" w:type="dxa"/>
            </w:tcMar>
          </w:tcPr>
          <w:p w14:paraId="20351B6E" w14:textId="77777777" w:rsidR="008C18C0" w:rsidRPr="00626925" w:rsidRDefault="008C18C0" w:rsidP="008C18C0">
            <w:pPr>
              <w:pStyle w:val="TableTextDusc"/>
              <w:keepNext/>
            </w:pPr>
            <w:r>
              <w:rPr>
                <w:color w:val="000000"/>
              </w:rPr>
              <w:t>0</w:t>
            </w:r>
            <w:r w:rsidRPr="00626925">
              <w:rPr>
                <w:color w:val="000000"/>
              </w:rPr>
              <w:t> </w:t>
            </w:r>
          </w:p>
        </w:tc>
        <w:tc>
          <w:tcPr>
            <w:tcW w:w="698" w:type="dxa"/>
            <w:tcMar>
              <w:left w:w="28" w:type="dxa"/>
              <w:right w:w="28" w:type="dxa"/>
            </w:tcMar>
          </w:tcPr>
          <w:p w14:paraId="306A0DCC" w14:textId="77777777" w:rsidR="008C18C0" w:rsidRPr="00626925" w:rsidRDefault="008C18C0" w:rsidP="008C18C0">
            <w:pPr>
              <w:pStyle w:val="TableTextDusc"/>
              <w:keepNext/>
            </w:pPr>
            <w:r>
              <w:rPr>
                <w:color w:val="000000"/>
              </w:rPr>
              <w:t>NR</w:t>
            </w:r>
            <w:r w:rsidRPr="00626925">
              <w:rPr>
                <w:color w:val="000000"/>
              </w:rPr>
              <w:t> </w:t>
            </w:r>
          </w:p>
        </w:tc>
      </w:tr>
      <w:tr w:rsidR="008C18C0" w14:paraId="38B10EC0" w14:textId="77777777" w:rsidTr="008C18C0">
        <w:trPr>
          <w:cantSplit/>
        </w:trPr>
        <w:tc>
          <w:tcPr>
            <w:tcW w:w="1354" w:type="dxa"/>
            <w:vMerge/>
            <w:tcMar>
              <w:left w:w="28" w:type="dxa"/>
              <w:right w:w="28" w:type="dxa"/>
            </w:tcMar>
          </w:tcPr>
          <w:p w14:paraId="6DD8CE65" w14:textId="77777777" w:rsidR="008C18C0" w:rsidRPr="00626925" w:rsidRDefault="008C18C0" w:rsidP="008C18C0">
            <w:pPr>
              <w:pStyle w:val="TableTextDusc"/>
            </w:pPr>
          </w:p>
        </w:tc>
        <w:tc>
          <w:tcPr>
            <w:tcW w:w="1051" w:type="dxa"/>
            <w:vMerge/>
            <w:tcMar>
              <w:left w:w="28" w:type="dxa"/>
              <w:right w:w="28" w:type="dxa"/>
            </w:tcMar>
          </w:tcPr>
          <w:p w14:paraId="3172ED81" w14:textId="77777777" w:rsidR="008C18C0" w:rsidRPr="00626925" w:rsidRDefault="008C18C0" w:rsidP="008C18C0">
            <w:pPr>
              <w:pStyle w:val="TableTextDusc"/>
            </w:pPr>
          </w:p>
        </w:tc>
        <w:tc>
          <w:tcPr>
            <w:tcW w:w="598" w:type="dxa"/>
            <w:tcMar>
              <w:left w:w="28" w:type="dxa"/>
              <w:right w:w="28" w:type="dxa"/>
            </w:tcMar>
          </w:tcPr>
          <w:p w14:paraId="210E4E99" w14:textId="77777777" w:rsidR="008C18C0" w:rsidRPr="00626925" w:rsidRDefault="008C18C0" w:rsidP="008C18C0">
            <w:pPr>
              <w:pStyle w:val="TableTextDusc"/>
            </w:pPr>
            <w:r>
              <w:t>Ada</w:t>
            </w:r>
            <w:r w:rsidRPr="00373229">
              <w:rPr>
                <w:vertAlign w:val="superscript"/>
              </w:rPr>
              <w:t>2</w:t>
            </w:r>
          </w:p>
        </w:tc>
        <w:tc>
          <w:tcPr>
            <w:tcW w:w="518" w:type="dxa"/>
            <w:tcMar>
              <w:left w:w="28" w:type="dxa"/>
              <w:right w:w="28" w:type="dxa"/>
            </w:tcMar>
          </w:tcPr>
          <w:p w14:paraId="3CEA0A2A" w14:textId="77777777" w:rsidR="008C18C0" w:rsidRPr="00626925" w:rsidRDefault="008C18C0" w:rsidP="008C18C0">
            <w:pPr>
              <w:pStyle w:val="TableTextDusc"/>
              <w:rPr>
                <w:color w:val="000000"/>
              </w:rPr>
            </w:pPr>
            <w:r w:rsidRPr="00626925">
              <w:rPr>
                <w:color w:val="000000"/>
              </w:rPr>
              <w:t>50</w:t>
            </w:r>
          </w:p>
        </w:tc>
        <w:tc>
          <w:tcPr>
            <w:tcW w:w="550" w:type="dxa"/>
            <w:tcMar>
              <w:left w:w="28" w:type="dxa"/>
              <w:right w:w="28" w:type="dxa"/>
            </w:tcMar>
          </w:tcPr>
          <w:p w14:paraId="7994CB24" w14:textId="77777777" w:rsidR="008C18C0" w:rsidRPr="00626925" w:rsidRDefault="008C18C0" w:rsidP="008C18C0">
            <w:pPr>
              <w:pStyle w:val="TableTextDusc"/>
              <w:rPr>
                <w:color w:val="000000"/>
              </w:rPr>
            </w:pPr>
            <w:r w:rsidRPr="00626925">
              <w:rPr>
                <w:color w:val="000000"/>
              </w:rPr>
              <w:t>78%</w:t>
            </w:r>
          </w:p>
        </w:tc>
        <w:tc>
          <w:tcPr>
            <w:tcW w:w="532" w:type="dxa"/>
            <w:tcMar>
              <w:left w:w="28" w:type="dxa"/>
              <w:right w:w="28" w:type="dxa"/>
            </w:tcMar>
          </w:tcPr>
          <w:p w14:paraId="5C4214C5" w14:textId="77777777" w:rsidR="008C18C0" w:rsidRDefault="008C18C0" w:rsidP="008C18C0">
            <w:pPr>
              <w:pStyle w:val="TableTextDusc"/>
              <w:rPr>
                <w:color w:val="000000"/>
              </w:rPr>
            </w:pPr>
            <w:r w:rsidRPr="00626925">
              <w:rPr>
                <w:color w:val="000000"/>
              </w:rPr>
              <w:t>14%</w:t>
            </w:r>
          </w:p>
        </w:tc>
        <w:tc>
          <w:tcPr>
            <w:tcW w:w="565" w:type="dxa"/>
            <w:tcMar>
              <w:left w:w="28" w:type="dxa"/>
              <w:right w:w="28" w:type="dxa"/>
            </w:tcMar>
          </w:tcPr>
          <w:p w14:paraId="6E23AA99" w14:textId="77777777" w:rsidR="008C18C0" w:rsidRDefault="008C18C0" w:rsidP="008C18C0">
            <w:pPr>
              <w:pStyle w:val="TableTextDusc"/>
              <w:rPr>
                <w:color w:val="000000"/>
              </w:rPr>
            </w:pPr>
            <w:r w:rsidRPr="00626925">
              <w:rPr>
                <w:color w:val="000000"/>
              </w:rPr>
              <w:t>2%</w:t>
            </w:r>
          </w:p>
        </w:tc>
        <w:tc>
          <w:tcPr>
            <w:tcW w:w="834" w:type="dxa"/>
            <w:tcMar>
              <w:left w:w="28" w:type="dxa"/>
              <w:right w:w="28" w:type="dxa"/>
            </w:tcMar>
          </w:tcPr>
          <w:p w14:paraId="69549209" w14:textId="77777777" w:rsidR="008C18C0" w:rsidRPr="00626925" w:rsidRDefault="008C18C0" w:rsidP="008C18C0">
            <w:pPr>
              <w:pStyle w:val="TableTextDusc"/>
              <w:rPr>
                <w:color w:val="000000"/>
              </w:rPr>
            </w:pPr>
            <w:r>
              <w:rPr>
                <w:color w:val="000000"/>
              </w:rPr>
              <w:t>NR</w:t>
            </w:r>
            <w:r w:rsidRPr="00626925">
              <w:rPr>
                <w:color w:val="000000"/>
              </w:rPr>
              <w:t> </w:t>
            </w:r>
          </w:p>
        </w:tc>
        <w:tc>
          <w:tcPr>
            <w:tcW w:w="818" w:type="dxa"/>
            <w:tcMar>
              <w:left w:w="28" w:type="dxa"/>
              <w:right w:w="28" w:type="dxa"/>
            </w:tcMar>
          </w:tcPr>
          <w:p w14:paraId="6C73572E" w14:textId="77777777" w:rsidR="008C18C0" w:rsidRDefault="008C18C0" w:rsidP="008C18C0">
            <w:pPr>
              <w:pStyle w:val="TableTextDusc"/>
              <w:rPr>
                <w:color w:val="000000"/>
              </w:rPr>
            </w:pPr>
            <w:r w:rsidRPr="00626925">
              <w:rPr>
                <w:color w:val="000000"/>
              </w:rPr>
              <w:t>0</w:t>
            </w:r>
          </w:p>
        </w:tc>
        <w:tc>
          <w:tcPr>
            <w:tcW w:w="1015" w:type="dxa"/>
            <w:tcMar>
              <w:left w:w="28" w:type="dxa"/>
              <w:right w:w="28" w:type="dxa"/>
            </w:tcMar>
          </w:tcPr>
          <w:p w14:paraId="1FE47FD7" w14:textId="77777777" w:rsidR="008C18C0" w:rsidRDefault="008C18C0" w:rsidP="008C18C0">
            <w:pPr>
              <w:pStyle w:val="TableTextDusc"/>
              <w:rPr>
                <w:color w:val="000000"/>
              </w:rPr>
            </w:pPr>
            <w:r w:rsidRPr="00626925">
              <w:rPr>
                <w:color w:val="000000"/>
              </w:rPr>
              <w:t>6%</w:t>
            </w:r>
          </w:p>
        </w:tc>
        <w:tc>
          <w:tcPr>
            <w:tcW w:w="483" w:type="dxa"/>
            <w:tcMar>
              <w:left w:w="28" w:type="dxa"/>
              <w:right w:w="28" w:type="dxa"/>
            </w:tcMar>
          </w:tcPr>
          <w:p w14:paraId="1C0925F6" w14:textId="77777777" w:rsidR="008C18C0" w:rsidRDefault="008C18C0" w:rsidP="008C18C0">
            <w:pPr>
              <w:pStyle w:val="TableTextDusc"/>
              <w:rPr>
                <w:color w:val="000000"/>
              </w:rPr>
            </w:pPr>
            <w:r w:rsidRPr="00626925">
              <w:rPr>
                <w:color w:val="000000"/>
              </w:rPr>
              <w:t>8%</w:t>
            </w:r>
          </w:p>
        </w:tc>
        <w:tc>
          <w:tcPr>
            <w:tcW w:w="698" w:type="dxa"/>
            <w:tcMar>
              <w:left w:w="28" w:type="dxa"/>
              <w:right w:w="28" w:type="dxa"/>
            </w:tcMar>
          </w:tcPr>
          <w:p w14:paraId="26021374" w14:textId="77777777" w:rsidR="008C18C0" w:rsidRDefault="008C18C0" w:rsidP="008C18C0">
            <w:pPr>
              <w:pStyle w:val="TableTextDusc"/>
              <w:rPr>
                <w:color w:val="000000"/>
              </w:rPr>
            </w:pPr>
            <w:r>
              <w:rPr>
                <w:color w:val="000000"/>
              </w:rPr>
              <w:t>NR</w:t>
            </w:r>
            <w:r w:rsidRPr="00626925">
              <w:rPr>
                <w:color w:val="000000"/>
              </w:rPr>
              <w:t> </w:t>
            </w:r>
          </w:p>
        </w:tc>
      </w:tr>
      <w:tr w:rsidR="008C18C0" w14:paraId="21622BF2" w14:textId="77777777" w:rsidTr="008C18C0">
        <w:trPr>
          <w:cantSplit/>
        </w:trPr>
        <w:tc>
          <w:tcPr>
            <w:tcW w:w="1354" w:type="dxa"/>
            <w:vMerge w:val="restart"/>
            <w:tcMar>
              <w:left w:w="28" w:type="dxa"/>
              <w:right w:w="28" w:type="dxa"/>
            </w:tcMar>
          </w:tcPr>
          <w:p w14:paraId="7B8FABC5" w14:textId="77777777" w:rsidR="008C18C0" w:rsidRPr="00626925" w:rsidRDefault="008C18C0" w:rsidP="008C18C0">
            <w:pPr>
              <w:pStyle w:val="TableTextDusc"/>
            </w:pPr>
            <w:r w:rsidRPr="00626925">
              <w:t>REVEAL</w:t>
            </w:r>
          </w:p>
          <w:p w14:paraId="51BDA478" w14:textId="77777777" w:rsidR="008C18C0" w:rsidRPr="00626925" w:rsidRDefault="008C18C0" w:rsidP="008C18C0">
            <w:pPr>
              <w:pStyle w:val="TableTextDusc"/>
            </w:pPr>
          </w:p>
        </w:tc>
        <w:tc>
          <w:tcPr>
            <w:tcW w:w="1051" w:type="dxa"/>
            <w:tcMar>
              <w:left w:w="28" w:type="dxa"/>
              <w:right w:w="28" w:type="dxa"/>
            </w:tcMar>
          </w:tcPr>
          <w:p w14:paraId="735B6BD4" w14:textId="77777777" w:rsidR="008C18C0" w:rsidRPr="00626925" w:rsidRDefault="008C18C0" w:rsidP="008C18C0">
            <w:pPr>
              <w:pStyle w:val="TableTextDusc"/>
            </w:pPr>
            <w:r>
              <w:t>Year 1</w:t>
            </w:r>
          </w:p>
        </w:tc>
        <w:tc>
          <w:tcPr>
            <w:tcW w:w="598" w:type="dxa"/>
            <w:vMerge w:val="restart"/>
            <w:tcMar>
              <w:left w:w="28" w:type="dxa"/>
              <w:right w:w="28" w:type="dxa"/>
            </w:tcMar>
          </w:tcPr>
          <w:p w14:paraId="154494DC" w14:textId="77777777" w:rsidR="008C18C0" w:rsidRPr="00626925" w:rsidRDefault="008C18C0" w:rsidP="008C18C0">
            <w:pPr>
              <w:pStyle w:val="TableTextDusc"/>
            </w:pPr>
            <w:r>
              <w:t>Ada</w:t>
            </w:r>
            <w:r w:rsidRPr="00CF258B">
              <w:rPr>
                <w:vertAlign w:val="superscript"/>
              </w:rPr>
              <w:t>3</w:t>
            </w:r>
          </w:p>
        </w:tc>
        <w:tc>
          <w:tcPr>
            <w:tcW w:w="518" w:type="dxa"/>
            <w:tcMar>
              <w:left w:w="28" w:type="dxa"/>
              <w:right w:w="28" w:type="dxa"/>
            </w:tcMar>
          </w:tcPr>
          <w:p w14:paraId="030F84AE" w14:textId="77777777" w:rsidR="008C18C0" w:rsidRPr="00626925" w:rsidRDefault="008C18C0" w:rsidP="008C18C0">
            <w:pPr>
              <w:pStyle w:val="TableTextDusc"/>
            </w:pPr>
            <w:r w:rsidRPr="00626925">
              <w:rPr>
                <w:color w:val="000000"/>
              </w:rPr>
              <w:t>1,159</w:t>
            </w:r>
          </w:p>
        </w:tc>
        <w:tc>
          <w:tcPr>
            <w:tcW w:w="550" w:type="dxa"/>
            <w:tcMar>
              <w:left w:w="28" w:type="dxa"/>
              <w:right w:w="28" w:type="dxa"/>
            </w:tcMar>
          </w:tcPr>
          <w:p w14:paraId="0561C900" w14:textId="77777777" w:rsidR="008C18C0" w:rsidRPr="00804DDE" w:rsidRDefault="008C18C0" w:rsidP="008C18C0">
            <w:pPr>
              <w:pStyle w:val="TableTextDusc"/>
              <w:rPr>
                <w:i/>
              </w:rPr>
            </w:pPr>
            <w:r w:rsidRPr="00804DDE">
              <w:rPr>
                <w:i/>
                <w:color w:val="000000"/>
              </w:rPr>
              <w:t>3,174</w:t>
            </w:r>
          </w:p>
        </w:tc>
        <w:tc>
          <w:tcPr>
            <w:tcW w:w="532" w:type="dxa"/>
            <w:tcMar>
              <w:left w:w="28" w:type="dxa"/>
              <w:right w:w="28" w:type="dxa"/>
            </w:tcMar>
          </w:tcPr>
          <w:p w14:paraId="1368CAEA" w14:textId="77777777" w:rsidR="008C18C0" w:rsidRPr="00626925" w:rsidRDefault="008C18C0" w:rsidP="008C18C0">
            <w:pPr>
              <w:pStyle w:val="TableTextDusc"/>
            </w:pPr>
            <w:r>
              <w:rPr>
                <w:color w:val="000000"/>
              </w:rPr>
              <w:t>5%</w:t>
            </w:r>
          </w:p>
        </w:tc>
        <w:tc>
          <w:tcPr>
            <w:tcW w:w="565" w:type="dxa"/>
            <w:tcMar>
              <w:left w:w="28" w:type="dxa"/>
              <w:right w:w="28" w:type="dxa"/>
            </w:tcMar>
          </w:tcPr>
          <w:p w14:paraId="363D292C" w14:textId="77777777" w:rsidR="008C18C0" w:rsidRPr="00626925" w:rsidRDefault="008C18C0" w:rsidP="008C18C0">
            <w:pPr>
              <w:pStyle w:val="TableTextDusc"/>
            </w:pPr>
            <w:r w:rsidRPr="00626925">
              <w:rPr>
                <w:color w:val="000000"/>
              </w:rPr>
              <w:t>0</w:t>
            </w:r>
          </w:p>
        </w:tc>
        <w:tc>
          <w:tcPr>
            <w:tcW w:w="834" w:type="dxa"/>
            <w:tcMar>
              <w:left w:w="28" w:type="dxa"/>
              <w:right w:w="28" w:type="dxa"/>
            </w:tcMar>
          </w:tcPr>
          <w:p w14:paraId="63615416" w14:textId="77777777" w:rsidR="008C18C0" w:rsidRPr="00626925" w:rsidRDefault="008C18C0" w:rsidP="008C18C0">
            <w:pPr>
              <w:pStyle w:val="TableTextDusc"/>
            </w:pPr>
            <w:r>
              <w:rPr>
                <w:color w:val="000000"/>
              </w:rPr>
              <w:t>NR</w:t>
            </w:r>
          </w:p>
        </w:tc>
        <w:tc>
          <w:tcPr>
            <w:tcW w:w="818" w:type="dxa"/>
            <w:tcMar>
              <w:left w:w="28" w:type="dxa"/>
              <w:right w:w="28" w:type="dxa"/>
            </w:tcMar>
          </w:tcPr>
          <w:p w14:paraId="27E3C315" w14:textId="77777777" w:rsidR="008C18C0" w:rsidRPr="00626925" w:rsidRDefault="008C18C0" w:rsidP="008C18C0">
            <w:pPr>
              <w:pStyle w:val="TableTextDusc"/>
            </w:pPr>
            <w:r>
              <w:rPr>
                <w:color w:val="000000"/>
              </w:rPr>
              <w:t>2%</w:t>
            </w:r>
          </w:p>
        </w:tc>
        <w:tc>
          <w:tcPr>
            <w:tcW w:w="1015" w:type="dxa"/>
            <w:tcMar>
              <w:left w:w="28" w:type="dxa"/>
              <w:right w:w="28" w:type="dxa"/>
            </w:tcMar>
          </w:tcPr>
          <w:p w14:paraId="67BFD677" w14:textId="77777777" w:rsidR="008C18C0" w:rsidRPr="00626925" w:rsidRDefault="008C18C0" w:rsidP="008C18C0">
            <w:pPr>
              <w:pStyle w:val="TableTextDusc"/>
            </w:pPr>
            <w:r>
              <w:rPr>
                <w:color w:val="000000"/>
              </w:rPr>
              <w:t>&lt; 1%</w:t>
            </w:r>
          </w:p>
        </w:tc>
        <w:tc>
          <w:tcPr>
            <w:tcW w:w="483" w:type="dxa"/>
            <w:tcMar>
              <w:left w:w="28" w:type="dxa"/>
              <w:right w:w="28" w:type="dxa"/>
            </w:tcMar>
          </w:tcPr>
          <w:p w14:paraId="45938B44" w14:textId="77777777" w:rsidR="008C18C0" w:rsidRPr="00626925" w:rsidRDefault="008C18C0" w:rsidP="008C18C0">
            <w:pPr>
              <w:pStyle w:val="TableTextDusc"/>
            </w:pPr>
            <w:r>
              <w:rPr>
                <w:color w:val="000000"/>
              </w:rPr>
              <w:t>&lt; 1%</w:t>
            </w:r>
          </w:p>
        </w:tc>
        <w:tc>
          <w:tcPr>
            <w:tcW w:w="698" w:type="dxa"/>
            <w:tcMar>
              <w:left w:w="28" w:type="dxa"/>
              <w:right w:w="28" w:type="dxa"/>
            </w:tcMar>
          </w:tcPr>
          <w:p w14:paraId="48528918" w14:textId="77777777" w:rsidR="008C18C0" w:rsidRPr="00626925" w:rsidRDefault="008C18C0" w:rsidP="008C18C0">
            <w:pPr>
              <w:pStyle w:val="TableTextDusc"/>
            </w:pPr>
            <w:r>
              <w:t>NR</w:t>
            </w:r>
          </w:p>
        </w:tc>
      </w:tr>
      <w:tr w:rsidR="008C18C0" w14:paraId="7BD7F3FD" w14:textId="77777777" w:rsidTr="008C18C0">
        <w:trPr>
          <w:cantSplit/>
        </w:trPr>
        <w:tc>
          <w:tcPr>
            <w:tcW w:w="1354" w:type="dxa"/>
            <w:vMerge/>
            <w:tcMar>
              <w:left w:w="28" w:type="dxa"/>
              <w:right w:w="28" w:type="dxa"/>
            </w:tcMar>
          </w:tcPr>
          <w:p w14:paraId="4E3CAEAB" w14:textId="77777777" w:rsidR="008C18C0" w:rsidRPr="00626925" w:rsidRDefault="008C18C0" w:rsidP="008C18C0">
            <w:pPr>
              <w:pStyle w:val="TableTextDusc"/>
            </w:pPr>
          </w:p>
        </w:tc>
        <w:tc>
          <w:tcPr>
            <w:tcW w:w="1051" w:type="dxa"/>
            <w:tcMar>
              <w:left w:w="28" w:type="dxa"/>
              <w:right w:w="28" w:type="dxa"/>
            </w:tcMar>
          </w:tcPr>
          <w:p w14:paraId="0905A21A" w14:textId="77777777" w:rsidR="008C18C0" w:rsidRPr="00626925" w:rsidRDefault="008C18C0" w:rsidP="008C18C0">
            <w:pPr>
              <w:pStyle w:val="TableTextDusc"/>
            </w:pPr>
            <w:r>
              <w:t>Year 2</w:t>
            </w:r>
          </w:p>
        </w:tc>
        <w:tc>
          <w:tcPr>
            <w:tcW w:w="598" w:type="dxa"/>
            <w:vMerge/>
            <w:tcMar>
              <w:left w:w="28" w:type="dxa"/>
              <w:right w:w="28" w:type="dxa"/>
            </w:tcMar>
          </w:tcPr>
          <w:p w14:paraId="382879F7" w14:textId="77777777" w:rsidR="008C18C0" w:rsidRPr="00626925" w:rsidRDefault="008C18C0" w:rsidP="008C18C0">
            <w:pPr>
              <w:pStyle w:val="TableTextDusc"/>
            </w:pPr>
          </w:p>
        </w:tc>
        <w:tc>
          <w:tcPr>
            <w:tcW w:w="518" w:type="dxa"/>
            <w:tcMar>
              <w:left w:w="28" w:type="dxa"/>
              <w:right w:w="28" w:type="dxa"/>
            </w:tcMar>
          </w:tcPr>
          <w:p w14:paraId="03DBCD41" w14:textId="77777777" w:rsidR="008C18C0" w:rsidRPr="00626925" w:rsidRDefault="008C18C0" w:rsidP="008C18C0">
            <w:pPr>
              <w:pStyle w:val="TableTextDusc"/>
            </w:pPr>
            <w:r w:rsidRPr="00626925">
              <w:rPr>
                <w:color w:val="000000"/>
              </w:rPr>
              <w:t>621</w:t>
            </w:r>
          </w:p>
        </w:tc>
        <w:tc>
          <w:tcPr>
            <w:tcW w:w="550" w:type="dxa"/>
            <w:tcMar>
              <w:left w:w="28" w:type="dxa"/>
              <w:right w:w="28" w:type="dxa"/>
            </w:tcMar>
          </w:tcPr>
          <w:p w14:paraId="225DE5E5" w14:textId="77777777" w:rsidR="008C18C0" w:rsidRPr="00804DDE" w:rsidRDefault="008C18C0" w:rsidP="008C18C0">
            <w:pPr>
              <w:pStyle w:val="TableTextDusc"/>
              <w:rPr>
                <w:i/>
              </w:rPr>
            </w:pPr>
            <w:r w:rsidRPr="00804DDE">
              <w:rPr>
                <w:i/>
                <w:color w:val="000000"/>
              </w:rPr>
              <w:t>978</w:t>
            </w:r>
          </w:p>
        </w:tc>
        <w:tc>
          <w:tcPr>
            <w:tcW w:w="532" w:type="dxa"/>
            <w:tcMar>
              <w:left w:w="28" w:type="dxa"/>
              <w:right w:w="28" w:type="dxa"/>
            </w:tcMar>
          </w:tcPr>
          <w:p w14:paraId="07494D46" w14:textId="77777777" w:rsidR="008C18C0" w:rsidRPr="00626925" w:rsidRDefault="008C18C0" w:rsidP="008C18C0">
            <w:pPr>
              <w:pStyle w:val="TableTextDusc"/>
            </w:pPr>
            <w:r>
              <w:rPr>
                <w:color w:val="000000"/>
              </w:rPr>
              <w:t>6%</w:t>
            </w:r>
          </w:p>
        </w:tc>
        <w:tc>
          <w:tcPr>
            <w:tcW w:w="565" w:type="dxa"/>
            <w:tcMar>
              <w:left w:w="28" w:type="dxa"/>
              <w:right w:w="28" w:type="dxa"/>
            </w:tcMar>
          </w:tcPr>
          <w:p w14:paraId="22262A0F" w14:textId="77777777" w:rsidR="008C18C0" w:rsidRPr="00626925" w:rsidRDefault="008C18C0" w:rsidP="008C18C0">
            <w:pPr>
              <w:pStyle w:val="TableTextDusc"/>
            </w:pPr>
            <w:r w:rsidRPr="00626925">
              <w:rPr>
                <w:color w:val="000000"/>
              </w:rPr>
              <w:t>0</w:t>
            </w:r>
          </w:p>
        </w:tc>
        <w:tc>
          <w:tcPr>
            <w:tcW w:w="834" w:type="dxa"/>
            <w:tcMar>
              <w:left w:w="28" w:type="dxa"/>
              <w:right w:w="28" w:type="dxa"/>
            </w:tcMar>
          </w:tcPr>
          <w:p w14:paraId="2D283AB2" w14:textId="77777777" w:rsidR="008C18C0" w:rsidRPr="00626925" w:rsidRDefault="008C18C0" w:rsidP="008C18C0">
            <w:pPr>
              <w:pStyle w:val="TableTextDusc"/>
            </w:pPr>
            <w:r>
              <w:t>NR</w:t>
            </w:r>
          </w:p>
        </w:tc>
        <w:tc>
          <w:tcPr>
            <w:tcW w:w="818" w:type="dxa"/>
            <w:tcMar>
              <w:left w:w="28" w:type="dxa"/>
              <w:right w:w="28" w:type="dxa"/>
            </w:tcMar>
          </w:tcPr>
          <w:p w14:paraId="7B608FCF" w14:textId="77777777" w:rsidR="008C18C0" w:rsidRPr="00626925" w:rsidRDefault="008C18C0" w:rsidP="008C18C0">
            <w:pPr>
              <w:pStyle w:val="TableTextDusc"/>
            </w:pPr>
            <w:r>
              <w:rPr>
                <w:color w:val="000000"/>
              </w:rPr>
              <w:t>&lt; 1%</w:t>
            </w:r>
          </w:p>
        </w:tc>
        <w:tc>
          <w:tcPr>
            <w:tcW w:w="1015" w:type="dxa"/>
            <w:tcMar>
              <w:left w:w="28" w:type="dxa"/>
              <w:right w:w="28" w:type="dxa"/>
            </w:tcMar>
          </w:tcPr>
          <w:p w14:paraId="4279ED8A" w14:textId="77777777" w:rsidR="008C18C0" w:rsidRPr="00626925" w:rsidRDefault="008C18C0" w:rsidP="008C18C0">
            <w:pPr>
              <w:pStyle w:val="TableTextDusc"/>
            </w:pPr>
            <w:r>
              <w:rPr>
                <w:color w:val="000000"/>
              </w:rPr>
              <w:t>1%</w:t>
            </w:r>
          </w:p>
        </w:tc>
        <w:tc>
          <w:tcPr>
            <w:tcW w:w="483" w:type="dxa"/>
            <w:tcMar>
              <w:left w:w="28" w:type="dxa"/>
              <w:right w:w="28" w:type="dxa"/>
            </w:tcMar>
          </w:tcPr>
          <w:p w14:paraId="5A9A8BFE" w14:textId="77777777" w:rsidR="008C18C0" w:rsidRPr="00626925" w:rsidRDefault="008C18C0" w:rsidP="008C18C0">
            <w:pPr>
              <w:pStyle w:val="TableTextDusc"/>
            </w:pPr>
            <w:r>
              <w:rPr>
                <w:color w:val="000000"/>
              </w:rPr>
              <w:t>&lt; 1%</w:t>
            </w:r>
          </w:p>
        </w:tc>
        <w:tc>
          <w:tcPr>
            <w:tcW w:w="698" w:type="dxa"/>
            <w:tcMar>
              <w:left w:w="28" w:type="dxa"/>
              <w:right w:w="28" w:type="dxa"/>
            </w:tcMar>
          </w:tcPr>
          <w:p w14:paraId="75F96656" w14:textId="77777777" w:rsidR="008C18C0" w:rsidRPr="00626925" w:rsidRDefault="008C18C0" w:rsidP="008C18C0">
            <w:pPr>
              <w:pStyle w:val="TableTextDusc"/>
            </w:pPr>
            <w:r>
              <w:t>NR</w:t>
            </w:r>
          </w:p>
        </w:tc>
      </w:tr>
      <w:tr w:rsidR="008C18C0" w14:paraId="546EE1FA" w14:textId="77777777" w:rsidTr="008C18C0">
        <w:trPr>
          <w:cantSplit/>
        </w:trPr>
        <w:tc>
          <w:tcPr>
            <w:tcW w:w="1354" w:type="dxa"/>
            <w:vMerge/>
            <w:tcMar>
              <w:left w:w="28" w:type="dxa"/>
              <w:right w:w="28" w:type="dxa"/>
            </w:tcMar>
          </w:tcPr>
          <w:p w14:paraId="26B82FC4" w14:textId="77777777" w:rsidR="008C18C0" w:rsidRPr="00626925" w:rsidRDefault="008C18C0" w:rsidP="008C18C0">
            <w:pPr>
              <w:pStyle w:val="TableTextDusc"/>
            </w:pPr>
          </w:p>
        </w:tc>
        <w:tc>
          <w:tcPr>
            <w:tcW w:w="1051" w:type="dxa"/>
            <w:tcMar>
              <w:left w:w="28" w:type="dxa"/>
              <w:right w:w="28" w:type="dxa"/>
            </w:tcMar>
          </w:tcPr>
          <w:p w14:paraId="030D399D" w14:textId="77777777" w:rsidR="008C18C0" w:rsidRPr="00626925" w:rsidRDefault="008C18C0" w:rsidP="008C18C0">
            <w:pPr>
              <w:pStyle w:val="TableTextDusc"/>
            </w:pPr>
            <w:r>
              <w:t>Year 3</w:t>
            </w:r>
          </w:p>
        </w:tc>
        <w:tc>
          <w:tcPr>
            <w:tcW w:w="598" w:type="dxa"/>
            <w:vMerge/>
            <w:tcMar>
              <w:left w:w="28" w:type="dxa"/>
              <w:right w:w="28" w:type="dxa"/>
            </w:tcMar>
          </w:tcPr>
          <w:p w14:paraId="2D67F37C" w14:textId="77777777" w:rsidR="008C18C0" w:rsidRPr="00626925" w:rsidRDefault="008C18C0" w:rsidP="008C18C0">
            <w:pPr>
              <w:pStyle w:val="TableTextDusc"/>
            </w:pPr>
          </w:p>
        </w:tc>
        <w:tc>
          <w:tcPr>
            <w:tcW w:w="518" w:type="dxa"/>
            <w:tcMar>
              <w:left w:w="28" w:type="dxa"/>
              <w:right w:w="28" w:type="dxa"/>
            </w:tcMar>
          </w:tcPr>
          <w:p w14:paraId="07F49F6A" w14:textId="77777777" w:rsidR="008C18C0" w:rsidRPr="00626925" w:rsidRDefault="008C18C0" w:rsidP="008C18C0">
            <w:pPr>
              <w:pStyle w:val="TableTextDusc"/>
            </w:pPr>
            <w:r w:rsidRPr="00626925">
              <w:rPr>
                <w:color w:val="000000"/>
              </w:rPr>
              <w:t>443</w:t>
            </w:r>
          </w:p>
        </w:tc>
        <w:tc>
          <w:tcPr>
            <w:tcW w:w="550" w:type="dxa"/>
            <w:tcMar>
              <w:left w:w="28" w:type="dxa"/>
              <w:right w:w="28" w:type="dxa"/>
            </w:tcMar>
          </w:tcPr>
          <w:p w14:paraId="4E9454F0" w14:textId="77777777" w:rsidR="008C18C0" w:rsidRPr="00804DDE" w:rsidRDefault="008C18C0" w:rsidP="008C18C0">
            <w:pPr>
              <w:pStyle w:val="TableTextDusc"/>
              <w:rPr>
                <w:i/>
              </w:rPr>
            </w:pPr>
            <w:r w:rsidRPr="00804DDE">
              <w:rPr>
                <w:i/>
                <w:color w:val="000000"/>
              </w:rPr>
              <w:t>857</w:t>
            </w:r>
          </w:p>
        </w:tc>
        <w:tc>
          <w:tcPr>
            <w:tcW w:w="532" w:type="dxa"/>
            <w:tcMar>
              <w:left w:w="28" w:type="dxa"/>
              <w:right w:w="28" w:type="dxa"/>
            </w:tcMar>
          </w:tcPr>
          <w:p w14:paraId="2B8B5434" w14:textId="77777777" w:rsidR="008C18C0" w:rsidRPr="00626925" w:rsidRDefault="008C18C0" w:rsidP="008C18C0">
            <w:pPr>
              <w:pStyle w:val="TableTextDusc"/>
            </w:pPr>
            <w:r>
              <w:rPr>
                <w:color w:val="000000"/>
              </w:rPr>
              <w:t>11%</w:t>
            </w:r>
          </w:p>
        </w:tc>
        <w:tc>
          <w:tcPr>
            <w:tcW w:w="565" w:type="dxa"/>
            <w:tcMar>
              <w:left w:w="28" w:type="dxa"/>
              <w:right w:w="28" w:type="dxa"/>
            </w:tcMar>
          </w:tcPr>
          <w:p w14:paraId="1B2A20A4" w14:textId="77777777" w:rsidR="008C18C0" w:rsidRPr="00626925" w:rsidRDefault="008C18C0" w:rsidP="008C18C0">
            <w:pPr>
              <w:pStyle w:val="TableTextDusc"/>
            </w:pPr>
            <w:r w:rsidRPr="00626925">
              <w:rPr>
                <w:color w:val="000000"/>
              </w:rPr>
              <w:t>0</w:t>
            </w:r>
          </w:p>
        </w:tc>
        <w:tc>
          <w:tcPr>
            <w:tcW w:w="834" w:type="dxa"/>
            <w:tcMar>
              <w:left w:w="28" w:type="dxa"/>
              <w:right w:w="28" w:type="dxa"/>
            </w:tcMar>
          </w:tcPr>
          <w:p w14:paraId="3A32ED93" w14:textId="77777777" w:rsidR="008C18C0" w:rsidRPr="00626925" w:rsidRDefault="008C18C0" w:rsidP="008C18C0">
            <w:pPr>
              <w:pStyle w:val="TableTextDusc"/>
            </w:pPr>
            <w:r>
              <w:t>NR</w:t>
            </w:r>
          </w:p>
        </w:tc>
        <w:tc>
          <w:tcPr>
            <w:tcW w:w="818" w:type="dxa"/>
            <w:tcMar>
              <w:left w:w="28" w:type="dxa"/>
              <w:right w:w="28" w:type="dxa"/>
            </w:tcMar>
          </w:tcPr>
          <w:p w14:paraId="4ED0EA81" w14:textId="77777777" w:rsidR="008C18C0" w:rsidRPr="00626925" w:rsidRDefault="008C18C0" w:rsidP="008C18C0">
            <w:pPr>
              <w:pStyle w:val="TableTextDusc"/>
            </w:pPr>
            <w:r>
              <w:rPr>
                <w:color w:val="000000"/>
              </w:rPr>
              <w:t>2%</w:t>
            </w:r>
          </w:p>
        </w:tc>
        <w:tc>
          <w:tcPr>
            <w:tcW w:w="1015" w:type="dxa"/>
            <w:tcMar>
              <w:left w:w="28" w:type="dxa"/>
              <w:right w:w="28" w:type="dxa"/>
            </w:tcMar>
          </w:tcPr>
          <w:p w14:paraId="3FC1495B" w14:textId="77777777" w:rsidR="008C18C0" w:rsidRPr="00626925" w:rsidRDefault="008C18C0" w:rsidP="008C18C0">
            <w:pPr>
              <w:pStyle w:val="TableTextDusc"/>
            </w:pPr>
            <w:r>
              <w:rPr>
                <w:color w:val="000000"/>
              </w:rPr>
              <w:t>1%</w:t>
            </w:r>
          </w:p>
        </w:tc>
        <w:tc>
          <w:tcPr>
            <w:tcW w:w="483" w:type="dxa"/>
            <w:tcMar>
              <w:left w:w="28" w:type="dxa"/>
              <w:right w:w="28" w:type="dxa"/>
            </w:tcMar>
          </w:tcPr>
          <w:p w14:paraId="7527F083" w14:textId="77777777" w:rsidR="008C18C0" w:rsidRPr="00626925" w:rsidRDefault="008C18C0" w:rsidP="008C18C0">
            <w:pPr>
              <w:pStyle w:val="TableTextDusc"/>
            </w:pPr>
            <w:r>
              <w:rPr>
                <w:color w:val="000000"/>
              </w:rPr>
              <w:t>1%</w:t>
            </w:r>
          </w:p>
        </w:tc>
        <w:tc>
          <w:tcPr>
            <w:tcW w:w="698" w:type="dxa"/>
            <w:tcMar>
              <w:left w:w="28" w:type="dxa"/>
              <w:right w:w="28" w:type="dxa"/>
            </w:tcMar>
          </w:tcPr>
          <w:p w14:paraId="1842C43C" w14:textId="77777777" w:rsidR="008C18C0" w:rsidRPr="00626925" w:rsidRDefault="008C18C0" w:rsidP="008C18C0">
            <w:pPr>
              <w:pStyle w:val="TableTextDusc"/>
            </w:pPr>
            <w:r>
              <w:t>NR</w:t>
            </w:r>
          </w:p>
        </w:tc>
      </w:tr>
      <w:tr w:rsidR="008C18C0" w14:paraId="4DB5A3DC" w14:textId="77777777" w:rsidTr="008C18C0">
        <w:trPr>
          <w:cantSplit/>
          <w:trHeight w:val="137"/>
        </w:trPr>
        <w:tc>
          <w:tcPr>
            <w:tcW w:w="1354" w:type="dxa"/>
            <w:tcMar>
              <w:left w:w="28" w:type="dxa"/>
              <w:right w:w="28" w:type="dxa"/>
            </w:tcMar>
          </w:tcPr>
          <w:p w14:paraId="3CE005CB" w14:textId="77777777" w:rsidR="008C18C0" w:rsidRPr="00626925" w:rsidRDefault="008C18C0" w:rsidP="008C18C0">
            <w:pPr>
              <w:pStyle w:val="TableTextDusc"/>
            </w:pPr>
            <w:r w:rsidRPr="00626925">
              <w:t>Asahina (2015)</w:t>
            </w:r>
          </w:p>
        </w:tc>
        <w:tc>
          <w:tcPr>
            <w:tcW w:w="1051" w:type="dxa"/>
            <w:tcMar>
              <w:left w:w="28" w:type="dxa"/>
              <w:right w:w="28" w:type="dxa"/>
            </w:tcMar>
          </w:tcPr>
          <w:p w14:paraId="794B0BA4" w14:textId="77777777" w:rsidR="008C18C0" w:rsidRPr="00626925" w:rsidRDefault="008C18C0" w:rsidP="008C18C0">
            <w:pPr>
              <w:pStyle w:val="TableTextDusc"/>
            </w:pPr>
            <w:r>
              <w:t>220 weeks</w:t>
            </w:r>
          </w:p>
        </w:tc>
        <w:tc>
          <w:tcPr>
            <w:tcW w:w="598" w:type="dxa"/>
            <w:tcMar>
              <w:left w:w="28" w:type="dxa"/>
              <w:right w:w="28" w:type="dxa"/>
            </w:tcMar>
          </w:tcPr>
          <w:p w14:paraId="4F0A9D0C" w14:textId="77777777" w:rsidR="008C18C0" w:rsidRPr="00626925" w:rsidRDefault="008C18C0" w:rsidP="008C18C0">
            <w:pPr>
              <w:pStyle w:val="TableTextDusc"/>
            </w:pPr>
            <w:r>
              <w:t>Ada</w:t>
            </w:r>
            <w:r w:rsidRPr="00CF258B">
              <w:rPr>
                <w:vertAlign w:val="superscript"/>
              </w:rPr>
              <w:t>3</w:t>
            </w:r>
          </w:p>
        </w:tc>
        <w:tc>
          <w:tcPr>
            <w:tcW w:w="518" w:type="dxa"/>
            <w:tcMar>
              <w:left w:w="28" w:type="dxa"/>
              <w:right w:w="28" w:type="dxa"/>
            </w:tcMar>
          </w:tcPr>
          <w:p w14:paraId="6537A29C" w14:textId="77777777" w:rsidR="008C18C0" w:rsidRPr="00626925" w:rsidRDefault="008C18C0" w:rsidP="008C18C0">
            <w:pPr>
              <w:pStyle w:val="TableTextDusc"/>
            </w:pPr>
            <w:r w:rsidRPr="00626925">
              <w:rPr>
                <w:color w:val="000000"/>
              </w:rPr>
              <w:t>163</w:t>
            </w:r>
          </w:p>
        </w:tc>
        <w:tc>
          <w:tcPr>
            <w:tcW w:w="550" w:type="dxa"/>
            <w:tcMar>
              <w:left w:w="28" w:type="dxa"/>
              <w:right w:w="28" w:type="dxa"/>
            </w:tcMar>
          </w:tcPr>
          <w:p w14:paraId="22661EEE" w14:textId="77777777" w:rsidR="008C18C0" w:rsidRPr="00804DDE" w:rsidRDefault="008C18C0" w:rsidP="008C18C0">
            <w:pPr>
              <w:pStyle w:val="TableTextDusc"/>
              <w:rPr>
                <w:i/>
              </w:rPr>
            </w:pPr>
            <w:r w:rsidRPr="00804DDE">
              <w:rPr>
                <w:i/>
                <w:color w:val="000000"/>
              </w:rPr>
              <w:t>2,851</w:t>
            </w:r>
          </w:p>
        </w:tc>
        <w:tc>
          <w:tcPr>
            <w:tcW w:w="532" w:type="dxa"/>
            <w:tcMar>
              <w:left w:w="28" w:type="dxa"/>
              <w:right w:w="28" w:type="dxa"/>
            </w:tcMar>
          </w:tcPr>
          <w:p w14:paraId="42BD4549" w14:textId="77777777" w:rsidR="008C18C0" w:rsidRPr="00626925" w:rsidRDefault="008C18C0" w:rsidP="008C18C0">
            <w:pPr>
              <w:pStyle w:val="TableTextDusc"/>
            </w:pPr>
            <w:r>
              <w:rPr>
                <w:color w:val="000000"/>
              </w:rPr>
              <w:t>25%</w:t>
            </w:r>
          </w:p>
        </w:tc>
        <w:tc>
          <w:tcPr>
            <w:tcW w:w="565" w:type="dxa"/>
            <w:tcMar>
              <w:left w:w="28" w:type="dxa"/>
              <w:right w:w="28" w:type="dxa"/>
            </w:tcMar>
          </w:tcPr>
          <w:p w14:paraId="7217DD87" w14:textId="77777777" w:rsidR="008C18C0" w:rsidRPr="00626925" w:rsidRDefault="008C18C0" w:rsidP="008C18C0">
            <w:pPr>
              <w:pStyle w:val="TableTextDusc"/>
            </w:pPr>
            <w:r w:rsidRPr="00626925">
              <w:rPr>
                <w:color w:val="000000"/>
              </w:rPr>
              <w:t>0</w:t>
            </w:r>
          </w:p>
        </w:tc>
        <w:tc>
          <w:tcPr>
            <w:tcW w:w="834" w:type="dxa"/>
            <w:tcMar>
              <w:left w:w="28" w:type="dxa"/>
              <w:right w:w="28" w:type="dxa"/>
            </w:tcMar>
          </w:tcPr>
          <w:p w14:paraId="189A8659" w14:textId="77777777" w:rsidR="008C18C0" w:rsidRPr="00626925" w:rsidRDefault="008C18C0" w:rsidP="008C18C0">
            <w:pPr>
              <w:pStyle w:val="TableTextDusc"/>
            </w:pPr>
            <w:r>
              <w:rPr>
                <w:color w:val="000000"/>
              </w:rPr>
              <w:t>NR</w:t>
            </w:r>
          </w:p>
        </w:tc>
        <w:tc>
          <w:tcPr>
            <w:tcW w:w="818" w:type="dxa"/>
            <w:tcMar>
              <w:left w:w="28" w:type="dxa"/>
              <w:right w:w="28" w:type="dxa"/>
            </w:tcMar>
          </w:tcPr>
          <w:p w14:paraId="7B20B302" w14:textId="77777777" w:rsidR="008C18C0" w:rsidRPr="00626925" w:rsidRDefault="008C18C0" w:rsidP="008C18C0">
            <w:pPr>
              <w:pStyle w:val="TableTextDusc"/>
            </w:pPr>
            <w:r>
              <w:rPr>
                <w:color w:val="000000"/>
              </w:rPr>
              <w:t>4%</w:t>
            </w:r>
          </w:p>
        </w:tc>
        <w:tc>
          <w:tcPr>
            <w:tcW w:w="1015" w:type="dxa"/>
            <w:tcMar>
              <w:left w:w="28" w:type="dxa"/>
              <w:right w:w="28" w:type="dxa"/>
            </w:tcMar>
          </w:tcPr>
          <w:p w14:paraId="30805A26" w14:textId="77777777" w:rsidR="008C18C0" w:rsidRPr="00626925" w:rsidRDefault="008C18C0" w:rsidP="008C18C0">
            <w:pPr>
              <w:pStyle w:val="TableTextDusc"/>
            </w:pPr>
            <w:r>
              <w:rPr>
                <w:color w:val="000000"/>
              </w:rPr>
              <w:t>2%</w:t>
            </w:r>
          </w:p>
        </w:tc>
        <w:tc>
          <w:tcPr>
            <w:tcW w:w="483" w:type="dxa"/>
            <w:tcMar>
              <w:left w:w="28" w:type="dxa"/>
              <w:right w:w="28" w:type="dxa"/>
            </w:tcMar>
          </w:tcPr>
          <w:p w14:paraId="470F388C" w14:textId="77777777" w:rsidR="008C18C0" w:rsidRPr="00626925" w:rsidRDefault="008C18C0" w:rsidP="008C18C0">
            <w:pPr>
              <w:pStyle w:val="TableTextDusc"/>
            </w:pPr>
            <w:r w:rsidRPr="00626925">
              <w:rPr>
                <w:color w:val="000000"/>
              </w:rPr>
              <w:t>3%</w:t>
            </w:r>
          </w:p>
        </w:tc>
        <w:tc>
          <w:tcPr>
            <w:tcW w:w="698" w:type="dxa"/>
            <w:tcMar>
              <w:left w:w="28" w:type="dxa"/>
              <w:right w:w="28" w:type="dxa"/>
            </w:tcMar>
          </w:tcPr>
          <w:p w14:paraId="2DF93D69" w14:textId="77777777" w:rsidR="008C18C0" w:rsidRPr="00626925" w:rsidRDefault="008C18C0" w:rsidP="008C18C0">
            <w:pPr>
              <w:pStyle w:val="TableTextDusc"/>
            </w:pPr>
            <w:r>
              <w:rPr>
                <w:color w:val="000000"/>
              </w:rPr>
              <w:t>59%</w:t>
            </w:r>
          </w:p>
        </w:tc>
      </w:tr>
      <w:tr w:rsidR="008C18C0" w:rsidRPr="00BA22FB" w14:paraId="01F9D051" w14:textId="77777777" w:rsidTr="008C18C0">
        <w:trPr>
          <w:cantSplit/>
        </w:trPr>
        <w:tc>
          <w:tcPr>
            <w:tcW w:w="9016" w:type="dxa"/>
            <w:gridSpan w:val="12"/>
            <w:tcMar>
              <w:left w:w="28" w:type="dxa"/>
              <w:right w:w="28" w:type="dxa"/>
            </w:tcMar>
          </w:tcPr>
          <w:p w14:paraId="4C5C0A09" w14:textId="77777777" w:rsidR="008C18C0" w:rsidRPr="00BA22FB" w:rsidRDefault="008C18C0" w:rsidP="008C18C0">
            <w:pPr>
              <w:pStyle w:val="TableTextDusc"/>
              <w:rPr>
                <w:b/>
              </w:rPr>
            </w:pPr>
            <w:r w:rsidRPr="00BA22FB">
              <w:rPr>
                <w:b/>
              </w:rPr>
              <w:t>Etanercept</w:t>
            </w:r>
          </w:p>
        </w:tc>
      </w:tr>
      <w:tr w:rsidR="008C18C0" w14:paraId="5C744AB5" w14:textId="77777777" w:rsidTr="008C18C0">
        <w:trPr>
          <w:cantSplit/>
          <w:trHeight w:val="199"/>
        </w:trPr>
        <w:tc>
          <w:tcPr>
            <w:tcW w:w="1354" w:type="dxa"/>
            <w:vMerge w:val="restart"/>
            <w:tcMar>
              <w:left w:w="28" w:type="dxa"/>
              <w:right w:w="28" w:type="dxa"/>
            </w:tcMar>
          </w:tcPr>
          <w:p w14:paraId="67B96D1E" w14:textId="77777777" w:rsidR="008C18C0" w:rsidRPr="00626925" w:rsidRDefault="008C18C0" w:rsidP="008C18C0">
            <w:pPr>
              <w:pStyle w:val="TableTextDusc"/>
            </w:pPr>
            <w:r>
              <w:t>CRYSTAL</w:t>
            </w:r>
          </w:p>
        </w:tc>
        <w:tc>
          <w:tcPr>
            <w:tcW w:w="1051" w:type="dxa"/>
            <w:vMerge w:val="restart"/>
            <w:tcMar>
              <w:left w:w="28" w:type="dxa"/>
              <w:right w:w="28" w:type="dxa"/>
            </w:tcMar>
          </w:tcPr>
          <w:p w14:paraId="4F9C12DC" w14:textId="77777777" w:rsidR="008C18C0" w:rsidRPr="00B851ED" w:rsidRDefault="008C18C0" w:rsidP="008C18C0">
            <w:pPr>
              <w:pStyle w:val="TableTextDusc"/>
            </w:pPr>
            <w:r w:rsidRPr="00B851ED">
              <w:t>54 weeks</w:t>
            </w:r>
          </w:p>
        </w:tc>
        <w:tc>
          <w:tcPr>
            <w:tcW w:w="598" w:type="dxa"/>
            <w:tcMar>
              <w:left w:w="28" w:type="dxa"/>
              <w:right w:w="28" w:type="dxa"/>
            </w:tcMar>
          </w:tcPr>
          <w:p w14:paraId="318C4F2D" w14:textId="77777777" w:rsidR="008C18C0" w:rsidRPr="00626925" w:rsidRDefault="008C18C0" w:rsidP="008C18C0">
            <w:pPr>
              <w:pStyle w:val="TableTextDusc"/>
            </w:pPr>
            <w:r>
              <w:t>Etan</w:t>
            </w:r>
            <w:r>
              <w:rPr>
                <w:vertAlign w:val="superscript"/>
              </w:rPr>
              <w:t>4*</w:t>
            </w:r>
          </w:p>
        </w:tc>
        <w:tc>
          <w:tcPr>
            <w:tcW w:w="518" w:type="dxa"/>
            <w:tcMar>
              <w:left w:w="28" w:type="dxa"/>
              <w:right w:w="28" w:type="dxa"/>
            </w:tcMar>
          </w:tcPr>
          <w:p w14:paraId="6EC62F3C" w14:textId="77777777" w:rsidR="008C18C0" w:rsidRPr="00626925" w:rsidRDefault="008C18C0" w:rsidP="008C18C0">
            <w:pPr>
              <w:pStyle w:val="TableTextDusc"/>
              <w:rPr>
                <w:color w:val="000000"/>
              </w:rPr>
            </w:pPr>
            <w:r>
              <w:rPr>
                <w:color w:val="000000"/>
              </w:rPr>
              <w:t>357</w:t>
            </w:r>
          </w:p>
        </w:tc>
        <w:tc>
          <w:tcPr>
            <w:tcW w:w="550" w:type="dxa"/>
            <w:tcMar>
              <w:left w:w="28" w:type="dxa"/>
              <w:right w:w="28" w:type="dxa"/>
            </w:tcMar>
          </w:tcPr>
          <w:p w14:paraId="440F1259" w14:textId="77777777" w:rsidR="008C18C0" w:rsidRDefault="008C18C0" w:rsidP="008C18C0">
            <w:pPr>
              <w:pStyle w:val="TableTextDusc"/>
              <w:rPr>
                <w:color w:val="000000"/>
              </w:rPr>
            </w:pPr>
            <w:r>
              <w:rPr>
                <w:color w:val="000000"/>
              </w:rPr>
              <w:t>79%</w:t>
            </w:r>
          </w:p>
        </w:tc>
        <w:tc>
          <w:tcPr>
            <w:tcW w:w="532" w:type="dxa"/>
            <w:tcMar>
              <w:left w:w="28" w:type="dxa"/>
              <w:right w:w="28" w:type="dxa"/>
            </w:tcMar>
          </w:tcPr>
          <w:p w14:paraId="113FBC6C" w14:textId="77777777" w:rsidR="008C18C0" w:rsidRPr="00626925" w:rsidRDefault="008C18C0" w:rsidP="008C18C0">
            <w:pPr>
              <w:pStyle w:val="TableTextDusc"/>
              <w:rPr>
                <w:color w:val="000000"/>
              </w:rPr>
            </w:pPr>
            <w:r>
              <w:rPr>
                <w:color w:val="000000"/>
              </w:rPr>
              <w:t>6%</w:t>
            </w:r>
          </w:p>
        </w:tc>
        <w:tc>
          <w:tcPr>
            <w:tcW w:w="565" w:type="dxa"/>
            <w:tcMar>
              <w:left w:w="28" w:type="dxa"/>
              <w:right w:w="28" w:type="dxa"/>
            </w:tcMar>
          </w:tcPr>
          <w:p w14:paraId="552C37C7" w14:textId="77777777" w:rsidR="008C18C0" w:rsidRDefault="008C18C0" w:rsidP="008C18C0">
            <w:pPr>
              <w:pStyle w:val="TableTextDusc"/>
              <w:rPr>
                <w:color w:val="000000"/>
              </w:rPr>
            </w:pPr>
            <w:r>
              <w:rPr>
                <w:color w:val="000000"/>
              </w:rPr>
              <w:t>0</w:t>
            </w:r>
          </w:p>
        </w:tc>
        <w:tc>
          <w:tcPr>
            <w:tcW w:w="834" w:type="dxa"/>
            <w:tcMar>
              <w:left w:w="28" w:type="dxa"/>
              <w:right w:w="28" w:type="dxa"/>
            </w:tcMar>
          </w:tcPr>
          <w:p w14:paraId="1C649E25" w14:textId="77777777" w:rsidR="008C18C0" w:rsidRDefault="008C18C0" w:rsidP="008C18C0">
            <w:pPr>
              <w:pStyle w:val="TableTextDusc"/>
              <w:rPr>
                <w:color w:val="000000"/>
              </w:rPr>
            </w:pPr>
            <w:r>
              <w:rPr>
                <w:color w:val="000000"/>
              </w:rPr>
              <w:t>NR</w:t>
            </w:r>
          </w:p>
        </w:tc>
        <w:tc>
          <w:tcPr>
            <w:tcW w:w="818" w:type="dxa"/>
            <w:tcMar>
              <w:left w:w="28" w:type="dxa"/>
              <w:right w:w="28" w:type="dxa"/>
            </w:tcMar>
          </w:tcPr>
          <w:p w14:paraId="5B13A48B" w14:textId="77777777" w:rsidR="008C18C0" w:rsidRDefault="008C18C0" w:rsidP="008C18C0">
            <w:pPr>
              <w:pStyle w:val="TableTextDusc"/>
              <w:rPr>
                <w:color w:val="000000"/>
              </w:rPr>
            </w:pPr>
            <w:r>
              <w:rPr>
                <w:color w:val="000000"/>
              </w:rPr>
              <w:t>1%</w:t>
            </w:r>
          </w:p>
        </w:tc>
        <w:tc>
          <w:tcPr>
            <w:tcW w:w="1015" w:type="dxa"/>
            <w:tcMar>
              <w:left w:w="28" w:type="dxa"/>
              <w:right w:w="28" w:type="dxa"/>
            </w:tcMar>
          </w:tcPr>
          <w:p w14:paraId="1B9C3DB1" w14:textId="77777777" w:rsidR="008C18C0" w:rsidRPr="00626925" w:rsidRDefault="008C18C0" w:rsidP="008C18C0">
            <w:pPr>
              <w:pStyle w:val="TableTextDusc"/>
              <w:rPr>
                <w:color w:val="000000"/>
              </w:rPr>
            </w:pPr>
            <w:r>
              <w:rPr>
                <w:color w:val="000000"/>
              </w:rPr>
              <w:t>1%</w:t>
            </w:r>
          </w:p>
        </w:tc>
        <w:tc>
          <w:tcPr>
            <w:tcW w:w="483" w:type="dxa"/>
            <w:tcMar>
              <w:left w:w="28" w:type="dxa"/>
              <w:right w:w="28" w:type="dxa"/>
            </w:tcMar>
          </w:tcPr>
          <w:p w14:paraId="53F776EE" w14:textId="77777777" w:rsidR="008C18C0" w:rsidRDefault="008C18C0" w:rsidP="008C18C0">
            <w:pPr>
              <w:pStyle w:val="TableTextDusc"/>
              <w:rPr>
                <w:color w:val="000000"/>
              </w:rPr>
            </w:pPr>
            <w:r>
              <w:rPr>
                <w:color w:val="000000"/>
              </w:rPr>
              <w:t>NR</w:t>
            </w:r>
          </w:p>
        </w:tc>
        <w:tc>
          <w:tcPr>
            <w:tcW w:w="698" w:type="dxa"/>
            <w:tcMar>
              <w:left w:w="28" w:type="dxa"/>
              <w:right w:w="28" w:type="dxa"/>
            </w:tcMar>
          </w:tcPr>
          <w:p w14:paraId="579A7B2D" w14:textId="77777777" w:rsidR="008C18C0" w:rsidRDefault="008C18C0" w:rsidP="008C18C0">
            <w:pPr>
              <w:pStyle w:val="TableTextDusc"/>
              <w:rPr>
                <w:color w:val="000000"/>
              </w:rPr>
            </w:pPr>
            <w:r>
              <w:rPr>
                <w:color w:val="000000"/>
              </w:rPr>
              <w:t>NR</w:t>
            </w:r>
          </w:p>
        </w:tc>
      </w:tr>
      <w:tr w:rsidR="008C18C0" w14:paraId="0402BD26" w14:textId="77777777" w:rsidTr="008C18C0">
        <w:trPr>
          <w:cantSplit/>
        </w:trPr>
        <w:tc>
          <w:tcPr>
            <w:tcW w:w="1354" w:type="dxa"/>
            <w:vMerge/>
            <w:tcMar>
              <w:left w:w="28" w:type="dxa"/>
              <w:right w:w="28" w:type="dxa"/>
            </w:tcMar>
          </w:tcPr>
          <w:p w14:paraId="7462E807" w14:textId="77777777" w:rsidR="008C18C0" w:rsidRDefault="008C18C0" w:rsidP="008C18C0">
            <w:pPr>
              <w:pStyle w:val="TableTextDusc"/>
            </w:pPr>
          </w:p>
        </w:tc>
        <w:tc>
          <w:tcPr>
            <w:tcW w:w="1051" w:type="dxa"/>
            <w:vMerge/>
            <w:tcMar>
              <w:left w:w="28" w:type="dxa"/>
              <w:right w:w="28" w:type="dxa"/>
            </w:tcMar>
          </w:tcPr>
          <w:p w14:paraId="116C526D" w14:textId="77777777" w:rsidR="008C18C0" w:rsidRDefault="008C18C0" w:rsidP="008C18C0">
            <w:pPr>
              <w:pStyle w:val="TableTextDusc"/>
            </w:pPr>
          </w:p>
        </w:tc>
        <w:tc>
          <w:tcPr>
            <w:tcW w:w="598" w:type="dxa"/>
            <w:tcMar>
              <w:left w:w="28" w:type="dxa"/>
              <w:right w:w="28" w:type="dxa"/>
            </w:tcMar>
          </w:tcPr>
          <w:p w14:paraId="03A2D912" w14:textId="77777777" w:rsidR="008C18C0" w:rsidRPr="00626925" w:rsidRDefault="008C18C0" w:rsidP="008C18C0">
            <w:pPr>
              <w:pStyle w:val="TableTextDusc"/>
            </w:pPr>
            <w:r>
              <w:t>Etan</w:t>
            </w:r>
            <w:r>
              <w:rPr>
                <w:vertAlign w:val="superscript"/>
              </w:rPr>
              <w:t>5</w:t>
            </w:r>
          </w:p>
        </w:tc>
        <w:tc>
          <w:tcPr>
            <w:tcW w:w="518" w:type="dxa"/>
            <w:tcMar>
              <w:left w:w="28" w:type="dxa"/>
              <w:right w:w="28" w:type="dxa"/>
            </w:tcMar>
          </w:tcPr>
          <w:p w14:paraId="196E473B" w14:textId="77777777" w:rsidR="008C18C0" w:rsidRDefault="008C18C0" w:rsidP="008C18C0">
            <w:pPr>
              <w:pStyle w:val="TableTextDusc"/>
              <w:rPr>
                <w:color w:val="000000"/>
              </w:rPr>
            </w:pPr>
            <w:r>
              <w:rPr>
                <w:color w:val="000000"/>
              </w:rPr>
              <w:t>363</w:t>
            </w:r>
          </w:p>
        </w:tc>
        <w:tc>
          <w:tcPr>
            <w:tcW w:w="550" w:type="dxa"/>
            <w:tcMar>
              <w:left w:w="28" w:type="dxa"/>
              <w:right w:w="28" w:type="dxa"/>
            </w:tcMar>
          </w:tcPr>
          <w:p w14:paraId="36AF650C" w14:textId="77777777" w:rsidR="008C18C0" w:rsidRDefault="008C18C0" w:rsidP="008C18C0">
            <w:pPr>
              <w:pStyle w:val="TableTextDusc"/>
              <w:rPr>
                <w:color w:val="000000"/>
              </w:rPr>
            </w:pPr>
            <w:r>
              <w:rPr>
                <w:color w:val="000000"/>
              </w:rPr>
              <w:t>75%</w:t>
            </w:r>
          </w:p>
        </w:tc>
        <w:tc>
          <w:tcPr>
            <w:tcW w:w="532" w:type="dxa"/>
            <w:tcMar>
              <w:left w:w="28" w:type="dxa"/>
              <w:right w:w="28" w:type="dxa"/>
            </w:tcMar>
          </w:tcPr>
          <w:p w14:paraId="01C44332" w14:textId="77777777" w:rsidR="008C18C0" w:rsidRDefault="008C18C0" w:rsidP="008C18C0">
            <w:pPr>
              <w:pStyle w:val="TableTextDusc"/>
              <w:rPr>
                <w:color w:val="000000"/>
              </w:rPr>
            </w:pPr>
            <w:r>
              <w:rPr>
                <w:color w:val="000000"/>
              </w:rPr>
              <w:t>9%</w:t>
            </w:r>
          </w:p>
        </w:tc>
        <w:tc>
          <w:tcPr>
            <w:tcW w:w="565" w:type="dxa"/>
            <w:tcMar>
              <w:left w:w="28" w:type="dxa"/>
              <w:right w:w="28" w:type="dxa"/>
            </w:tcMar>
          </w:tcPr>
          <w:p w14:paraId="615293BA" w14:textId="77777777" w:rsidR="008C18C0" w:rsidRDefault="008C18C0" w:rsidP="008C18C0">
            <w:pPr>
              <w:pStyle w:val="TableTextDusc"/>
              <w:rPr>
                <w:color w:val="000000"/>
              </w:rPr>
            </w:pPr>
            <w:r>
              <w:rPr>
                <w:color w:val="000000"/>
              </w:rPr>
              <w:t>1%</w:t>
            </w:r>
          </w:p>
        </w:tc>
        <w:tc>
          <w:tcPr>
            <w:tcW w:w="834" w:type="dxa"/>
            <w:tcMar>
              <w:left w:w="28" w:type="dxa"/>
              <w:right w:w="28" w:type="dxa"/>
            </w:tcMar>
          </w:tcPr>
          <w:p w14:paraId="37FA3A1D" w14:textId="77777777" w:rsidR="008C18C0" w:rsidRDefault="008C18C0" w:rsidP="008C18C0">
            <w:pPr>
              <w:pStyle w:val="TableTextDusc"/>
              <w:rPr>
                <w:color w:val="000000"/>
              </w:rPr>
            </w:pPr>
            <w:r>
              <w:rPr>
                <w:color w:val="000000"/>
              </w:rPr>
              <w:t>NR</w:t>
            </w:r>
          </w:p>
        </w:tc>
        <w:tc>
          <w:tcPr>
            <w:tcW w:w="818" w:type="dxa"/>
            <w:tcMar>
              <w:left w:w="28" w:type="dxa"/>
              <w:right w:w="28" w:type="dxa"/>
            </w:tcMar>
          </w:tcPr>
          <w:p w14:paraId="15943877" w14:textId="77777777" w:rsidR="008C18C0" w:rsidRDefault="008C18C0" w:rsidP="008C18C0">
            <w:pPr>
              <w:pStyle w:val="TableTextDusc"/>
              <w:rPr>
                <w:color w:val="000000"/>
              </w:rPr>
            </w:pPr>
            <w:r>
              <w:rPr>
                <w:color w:val="000000"/>
              </w:rPr>
              <w:t>1%</w:t>
            </w:r>
          </w:p>
        </w:tc>
        <w:tc>
          <w:tcPr>
            <w:tcW w:w="1015" w:type="dxa"/>
            <w:tcMar>
              <w:left w:w="28" w:type="dxa"/>
              <w:right w:w="28" w:type="dxa"/>
            </w:tcMar>
          </w:tcPr>
          <w:p w14:paraId="7246DD1B" w14:textId="77777777" w:rsidR="008C18C0" w:rsidRDefault="008C18C0" w:rsidP="008C18C0">
            <w:pPr>
              <w:pStyle w:val="TableTextDusc"/>
              <w:rPr>
                <w:color w:val="000000"/>
              </w:rPr>
            </w:pPr>
            <w:r>
              <w:rPr>
                <w:color w:val="000000"/>
              </w:rPr>
              <w:t>2%</w:t>
            </w:r>
          </w:p>
        </w:tc>
        <w:tc>
          <w:tcPr>
            <w:tcW w:w="483" w:type="dxa"/>
            <w:tcMar>
              <w:left w:w="28" w:type="dxa"/>
              <w:right w:w="28" w:type="dxa"/>
            </w:tcMar>
          </w:tcPr>
          <w:p w14:paraId="239D57A3" w14:textId="77777777" w:rsidR="008C18C0" w:rsidRDefault="008C18C0" w:rsidP="008C18C0">
            <w:pPr>
              <w:pStyle w:val="TableTextDusc"/>
              <w:rPr>
                <w:color w:val="000000"/>
              </w:rPr>
            </w:pPr>
            <w:r>
              <w:rPr>
                <w:color w:val="000000"/>
              </w:rPr>
              <w:t>NR</w:t>
            </w:r>
          </w:p>
        </w:tc>
        <w:tc>
          <w:tcPr>
            <w:tcW w:w="698" w:type="dxa"/>
            <w:tcMar>
              <w:left w:w="28" w:type="dxa"/>
              <w:right w:w="28" w:type="dxa"/>
            </w:tcMar>
          </w:tcPr>
          <w:p w14:paraId="6637C162" w14:textId="77777777" w:rsidR="008C18C0" w:rsidRDefault="008C18C0" w:rsidP="008C18C0">
            <w:pPr>
              <w:pStyle w:val="TableTextDusc"/>
              <w:rPr>
                <w:color w:val="000000"/>
              </w:rPr>
            </w:pPr>
            <w:r>
              <w:rPr>
                <w:color w:val="000000"/>
              </w:rPr>
              <w:t>NR</w:t>
            </w:r>
          </w:p>
        </w:tc>
      </w:tr>
      <w:tr w:rsidR="008C18C0" w14:paraId="3DEC887A" w14:textId="77777777" w:rsidTr="008C18C0">
        <w:trPr>
          <w:cantSplit/>
          <w:trHeight w:val="295"/>
        </w:trPr>
        <w:tc>
          <w:tcPr>
            <w:tcW w:w="1354" w:type="dxa"/>
            <w:tcMar>
              <w:left w:w="28" w:type="dxa"/>
              <w:right w:w="28" w:type="dxa"/>
            </w:tcMar>
          </w:tcPr>
          <w:p w14:paraId="781F0789" w14:textId="77777777" w:rsidR="008C18C0" w:rsidRPr="00626925" w:rsidRDefault="008C18C0" w:rsidP="008C18C0">
            <w:pPr>
              <w:pStyle w:val="TableTextDusc"/>
            </w:pPr>
            <w:r w:rsidRPr="00626925">
              <w:t xml:space="preserve">Elewski (2007) </w:t>
            </w:r>
          </w:p>
        </w:tc>
        <w:tc>
          <w:tcPr>
            <w:tcW w:w="1051" w:type="dxa"/>
            <w:tcMar>
              <w:left w:w="28" w:type="dxa"/>
              <w:right w:w="28" w:type="dxa"/>
            </w:tcMar>
          </w:tcPr>
          <w:p w14:paraId="5970FD77" w14:textId="77777777" w:rsidR="008C18C0" w:rsidRPr="00626925" w:rsidRDefault="008C18C0" w:rsidP="008C18C0">
            <w:pPr>
              <w:pStyle w:val="TableTextDusc"/>
            </w:pPr>
            <w:r>
              <w:t>72 weeks</w:t>
            </w:r>
          </w:p>
        </w:tc>
        <w:tc>
          <w:tcPr>
            <w:tcW w:w="598" w:type="dxa"/>
            <w:tcMar>
              <w:left w:w="28" w:type="dxa"/>
              <w:right w:w="28" w:type="dxa"/>
            </w:tcMar>
          </w:tcPr>
          <w:p w14:paraId="5EB8B13E" w14:textId="77777777" w:rsidR="008C18C0" w:rsidRPr="00626925" w:rsidRDefault="008C18C0" w:rsidP="008C18C0">
            <w:pPr>
              <w:pStyle w:val="TableTextDusc"/>
            </w:pPr>
            <w:r>
              <w:t>Etan</w:t>
            </w:r>
            <w:r w:rsidRPr="006A389F">
              <w:rPr>
                <w:vertAlign w:val="superscript"/>
              </w:rPr>
              <w:t>6</w:t>
            </w:r>
          </w:p>
        </w:tc>
        <w:tc>
          <w:tcPr>
            <w:tcW w:w="518" w:type="dxa"/>
            <w:tcMar>
              <w:left w:w="28" w:type="dxa"/>
              <w:right w:w="28" w:type="dxa"/>
            </w:tcMar>
          </w:tcPr>
          <w:p w14:paraId="6E7490C1" w14:textId="77777777" w:rsidR="008C18C0" w:rsidRPr="00626925" w:rsidRDefault="008C18C0" w:rsidP="008C18C0">
            <w:pPr>
              <w:pStyle w:val="TableTextDusc"/>
            </w:pPr>
            <w:r>
              <w:t>912</w:t>
            </w:r>
          </w:p>
        </w:tc>
        <w:tc>
          <w:tcPr>
            <w:tcW w:w="550" w:type="dxa"/>
            <w:tcMar>
              <w:left w:w="28" w:type="dxa"/>
              <w:right w:w="28" w:type="dxa"/>
            </w:tcMar>
          </w:tcPr>
          <w:p w14:paraId="08E23846" w14:textId="77777777" w:rsidR="008C18C0" w:rsidRPr="00626925" w:rsidRDefault="008C18C0" w:rsidP="008C18C0">
            <w:pPr>
              <w:pStyle w:val="TableTextDusc"/>
            </w:pPr>
            <w:r>
              <w:t>NR</w:t>
            </w:r>
          </w:p>
        </w:tc>
        <w:tc>
          <w:tcPr>
            <w:tcW w:w="532" w:type="dxa"/>
            <w:tcMar>
              <w:left w:w="28" w:type="dxa"/>
              <w:right w:w="28" w:type="dxa"/>
            </w:tcMar>
          </w:tcPr>
          <w:p w14:paraId="69958827" w14:textId="77777777" w:rsidR="008C18C0" w:rsidRPr="00626925" w:rsidRDefault="008C18C0" w:rsidP="008C18C0">
            <w:pPr>
              <w:pStyle w:val="TableTextDusc"/>
            </w:pPr>
            <w:r>
              <w:t>8%</w:t>
            </w:r>
          </w:p>
        </w:tc>
        <w:tc>
          <w:tcPr>
            <w:tcW w:w="565" w:type="dxa"/>
            <w:tcMar>
              <w:left w:w="28" w:type="dxa"/>
              <w:right w:w="28" w:type="dxa"/>
            </w:tcMar>
          </w:tcPr>
          <w:p w14:paraId="28953F40" w14:textId="77777777" w:rsidR="008C18C0" w:rsidRPr="00626925" w:rsidRDefault="008C18C0" w:rsidP="008C18C0">
            <w:pPr>
              <w:pStyle w:val="TableTextDusc"/>
            </w:pPr>
            <w:r>
              <w:t>&lt; 1%</w:t>
            </w:r>
          </w:p>
        </w:tc>
        <w:tc>
          <w:tcPr>
            <w:tcW w:w="834" w:type="dxa"/>
            <w:tcMar>
              <w:left w:w="28" w:type="dxa"/>
              <w:right w:w="28" w:type="dxa"/>
            </w:tcMar>
          </w:tcPr>
          <w:p w14:paraId="00A83021" w14:textId="77777777" w:rsidR="008C18C0" w:rsidRPr="00626925" w:rsidRDefault="008C18C0" w:rsidP="008C18C0">
            <w:pPr>
              <w:pStyle w:val="TableTextDusc"/>
            </w:pPr>
            <w:r>
              <w:t>NR</w:t>
            </w:r>
          </w:p>
        </w:tc>
        <w:tc>
          <w:tcPr>
            <w:tcW w:w="818" w:type="dxa"/>
            <w:tcMar>
              <w:left w:w="28" w:type="dxa"/>
              <w:right w:w="28" w:type="dxa"/>
            </w:tcMar>
          </w:tcPr>
          <w:p w14:paraId="4F4B061A" w14:textId="77777777" w:rsidR="008C18C0" w:rsidRPr="00626925" w:rsidRDefault="008C18C0" w:rsidP="008C18C0">
            <w:pPr>
              <w:pStyle w:val="TableTextDusc"/>
            </w:pPr>
            <w:r>
              <w:t>2%</w:t>
            </w:r>
          </w:p>
        </w:tc>
        <w:tc>
          <w:tcPr>
            <w:tcW w:w="1015" w:type="dxa"/>
            <w:tcMar>
              <w:left w:w="28" w:type="dxa"/>
              <w:right w:w="28" w:type="dxa"/>
            </w:tcMar>
          </w:tcPr>
          <w:p w14:paraId="0C36026B" w14:textId="77777777" w:rsidR="008C18C0" w:rsidRPr="00626925" w:rsidRDefault="008C18C0" w:rsidP="008C18C0">
            <w:pPr>
              <w:pStyle w:val="TableTextDusc"/>
            </w:pPr>
            <w:r>
              <w:t>7%</w:t>
            </w:r>
          </w:p>
        </w:tc>
        <w:tc>
          <w:tcPr>
            <w:tcW w:w="483" w:type="dxa"/>
            <w:tcMar>
              <w:left w:w="28" w:type="dxa"/>
              <w:right w:w="28" w:type="dxa"/>
            </w:tcMar>
          </w:tcPr>
          <w:p w14:paraId="0F078230" w14:textId="77777777" w:rsidR="008C18C0" w:rsidRPr="00626925" w:rsidRDefault="008C18C0" w:rsidP="008C18C0">
            <w:pPr>
              <w:pStyle w:val="TableTextDusc"/>
            </w:pPr>
            <w:r>
              <w:t>NR</w:t>
            </w:r>
          </w:p>
        </w:tc>
        <w:tc>
          <w:tcPr>
            <w:tcW w:w="698" w:type="dxa"/>
            <w:tcMar>
              <w:left w:w="28" w:type="dxa"/>
              <w:right w:w="28" w:type="dxa"/>
            </w:tcMar>
          </w:tcPr>
          <w:p w14:paraId="2E1A3192" w14:textId="77777777" w:rsidR="008C18C0" w:rsidRPr="00626925" w:rsidRDefault="008C18C0" w:rsidP="008C18C0">
            <w:pPr>
              <w:pStyle w:val="TableTextDusc"/>
            </w:pPr>
            <w:r>
              <w:t>NR</w:t>
            </w:r>
          </w:p>
        </w:tc>
      </w:tr>
      <w:tr w:rsidR="008C18C0" w14:paraId="329DFE8A" w14:textId="77777777" w:rsidTr="008C18C0">
        <w:trPr>
          <w:cantSplit/>
        </w:trPr>
        <w:tc>
          <w:tcPr>
            <w:tcW w:w="1354" w:type="dxa"/>
            <w:tcMar>
              <w:left w:w="28" w:type="dxa"/>
              <w:right w:w="28" w:type="dxa"/>
            </w:tcMar>
          </w:tcPr>
          <w:p w14:paraId="363C9360" w14:textId="77777777" w:rsidR="008C18C0" w:rsidRPr="00626925" w:rsidRDefault="008C18C0" w:rsidP="008C18C0">
            <w:pPr>
              <w:pStyle w:val="TableTextDusc"/>
            </w:pPr>
            <w:r>
              <w:t>Tyring (2006)</w:t>
            </w:r>
          </w:p>
        </w:tc>
        <w:tc>
          <w:tcPr>
            <w:tcW w:w="1051" w:type="dxa"/>
            <w:tcMar>
              <w:left w:w="28" w:type="dxa"/>
              <w:right w:w="28" w:type="dxa"/>
            </w:tcMar>
          </w:tcPr>
          <w:p w14:paraId="4CEEA8A9" w14:textId="77777777" w:rsidR="008C18C0" w:rsidRPr="00626925" w:rsidRDefault="008C18C0" w:rsidP="008C18C0">
            <w:pPr>
              <w:pStyle w:val="TableTextDusc"/>
            </w:pPr>
            <w:r>
              <w:t>84 weeks</w:t>
            </w:r>
          </w:p>
        </w:tc>
        <w:tc>
          <w:tcPr>
            <w:tcW w:w="598" w:type="dxa"/>
            <w:tcMar>
              <w:left w:w="28" w:type="dxa"/>
              <w:right w:w="28" w:type="dxa"/>
            </w:tcMar>
          </w:tcPr>
          <w:p w14:paraId="7AC92C9D" w14:textId="77777777" w:rsidR="008C18C0" w:rsidRPr="00B851ED" w:rsidRDefault="008C18C0" w:rsidP="008C18C0">
            <w:pPr>
              <w:pStyle w:val="TableTextDusc"/>
              <w:rPr>
                <w:b/>
              </w:rPr>
            </w:pPr>
            <w:r>
              <w:t>Etan</w:t>
            </w:r>
            <w:r w:rsidRPr="006A389F">
              <w:rPr>
                <w:vertAlign w:val="superscript"/>
              </w:rPr>
              <w:t>7</w:t>
            </w:r>
          </w:p>
        </w:tc>
        <w:tc>
          <w:tcPr>
            <w:tcW w:w="518" w:type="dxa"/>
            <w:tcMar>
              <w:left w:w="28" w:type="dxa"/>
              <w:right w:w="28" w:type="dxa"/>
            </w:tcMar>
          </w:tcPr>
          <w:p w14:paraId="12C17F58" w14:textId="77777777" w:rsidR="008C18C0" w:rsidRPr="00626925" w:rsidRDefault="008C18C0" w:rsidP="008C18C0">
            <w:pPr>
              <w:pStyle w:val="TableTextDusc"/>
            </w:pPr>
            <w:r w:rsidRPr="00626925">
              <w:rPr>
                <w:color w:val="000000"/>
              </w:rPr>
              <w:t>618</w:t>
            </w:r>
          </w:p>
        </w:tc>
        <w:tc>
          <w:tcPr>
            <w:tcW w:w="550" w:type="dxa"/>
            <w:tcMar>
              <w:left w:w="28" w:type="dxa"/>
              <w:right w:w="28" w:type="dxa"/>
            </w:tcMar>
          </w:tcPr>
          <w:p w14:paraId="243F13A2" w14:textId="77777777" w:rsidR="008C18C0" w:rsidRPr="00626925" w:rsidRDefault="008C18C0" w:rsidP="008C18C0">
            <w:pPr>
              <w:pStyle w:val="TableTextDusc"/>
            </w:pPr>
            <w:r>
              <w:rPr>
                <w:color w:val="000000"/>
              </w:rPr>
              <w:t>NR</w:t>
            </w:r>
            <w:r w:rsidRPr="00626925">
              <w:rPr>
                <w:color w:val="000000"/>
              </w:rPr>
              <w:t> </w:t>
            </w:r>
          </w:p>
        </w:tc>
        <w:tc>
          <w:tcPr>
            <w:tcW w:w="532" w:type="dxa"/>
            <w:tcMar>
              <w:left w:w="28" w:type="dxa"/>
              <w:right w:w="28" w:type="dxa"/>
            </w:tcMar>
          </w:tcPr>
          <w:p w14:paraId="22E0FE54" w14:textId="77777777" w:rsidR="008C18C0" w:rsidRPr="00626925" w:rsidRDefault="008C18C0" w:rsidP="008C18C0">
            <w:pPr>
              <w:pStyle w:val="TableTextDusc"/>
            </w:pPr>
            <w:r>
              <w:rPr>
                <w:color w:val="000000"/>
              </w:rPr>
              <w:t>NR</w:t>
            </w:r>
            <w:r w:rsidRPr="00626925">
              <w:rPr>
                <w:color w:val="000000"/>
              </w:rPr>
              <w:t> </w:t>
            </w:r>
          </w:p>
        </w:tc>
        <w:tc>
          <w:tcPr>
            <w:tcW w:w="565" w:type="dxa"/>
            <w:tcMar>
              <w:left w:w="28" w:type="dxa"/>
              <w:right w:w="28" w:type="dxa"/>
            </w:tcMar>
          </w:tcPr>
          <w:p w14:paraId="2C899324" w14:textId="77777777" w:rsidR="008C18C0" w:rsidRPr="00626925" w:rsidRDefault="008C18C0" w:rsidP="008C18C0">
            <w:pPr>
              <w:pStyle w:val="TableTextDusc"/>
            </w:pPr>
            <w:r>
              <w:rPr>
                <w:color w:val="000000"/>
              </w:rPr>
              <w:t>&lt; 1</w:t>
            </w:r>
            <w:r w:rsidRPr="00626925">
              <w:rPr>
                <w:color w:val="000000"/>
              </w:rPr>
              <w:t>%</w:t>
            </w:r>
          </w:p>
        </w:tc>
        <w:tc>
          <w:tcPr>
            <w:tcW w:w="834" w:type="dxa"/>
            <w:tcMar>
              <w:left w:w="28" w:type="dxa"/>
              <w:right w:w="28" w:type="dxa"/>
            </w:tcMar>
          </w:tcPr>
          <w:p w14:paraId="34DE8F84" w14:textId="77777777" w:rsidR="008C18C0" w:rsidRPr="00626925" w:rsidRDefault="008C18C0" w:rsidP="008C18C0">
            <w:pPr>
              <w:pStyle w:val="TableTextDusc"/>
            </w:pPr>
            <w:r>
              <w:rPr>
                <w:color w:val="000000"/>
              </w:rPr>
              <w:t>NR</w:t>
            </w:r>
            <w:r w:rsidRPr="00626925">
              <w:rPr>
                <w:color w:val="000000"/>
              </w:rPr>
              <w:t> </w:t>
            </w:r>
          </w:p>
        </w:tc>
        <w:tc>
          <w:tcPr>
            <w:tcW w:w="818" w:type="dxa"/>
            <w:tcMar>
              <w:left w:w="28" w:type="dxa"/>
              <w:right w:w="28" w:type="dxa"/>
            </w:tcMar>
          </w:tcPr>
          <w:p w14:paraId="593480B6" w14:textId="77777777" w:rsidR="008C18C0" w:rsidRPr="00626925" w:rsidRDefault="008C18C0" w:rsidP="008C18C0">
            <w:pPr>
              <w:pStyle w:val="TableTextDusc"/>
            </w:pPr>
            <w:r>
              <w:rPr>
                <w:color w:val="000000"/>
              </w:rPr>
              <w:t>2</w:t>
            </w:r>
            <w:r w:rsidRPr="00626925">
              <w:rPr>
                <w:color w:val="000000"/>
              </w:rPr>
              <w:t>%</w:t>
            </w:r>
          </w:p>
        </w:tc>
        <w:tc>
          <w:tcPr>
            <w:tcW w:w="1015" w:type="dxa"/>
            <w:tcMar>
              <w:left w:w="28" w:type="dxa"/>
              <w:right w:w="28" w:type="dxa"/>
            </w:tcMar>
          </w:tcPr>
          <w:p w14:paraId="4E3AA414" w14:textId="77777777" w:rsidR="008C18C0" w:rsidRPr="00626925" w:rsidRDefault="008C18C0" w:rsidP="008C18C0">
            <w:pPr>
              <w:pStyle w:val="TableTextDusc"/>
            </w:pPr>
            <w:r>
              <w:rPr>
                <w:color w:val="000000"/>
              </w:rPr>
              <w:t>2</w:t>
            </w:r>
            <w:r w:rsidRPr="00626925">
              <w:rPr>
                <w:color w:val="000000"/>
              </w:rPr>
              <w:t>%</w:t>
            </w:r>
          </w:p>
        </w:tc>
        <w:tc>
          <w:tcPr>
            <w:tcW w:w="483" w:type="dxa"/>
            <w:tcMar>
              <w:left w:w="28" w:type="dxa"/>
              <w:right w:w="28" w:type="dxa"/>
            </w:tcMar>
          </w:tcPr>
          <w:p w14:paraId="3AB56490" w14:textId="77777777" w:rsidR="008C18C0" w:rsidRPr="00626925" w:rsidRDefault="008C18C0" w:rsidP="008C18C0">
            <w:pPr>
              <w:pStyle w:val="TableTextDusc"/>
            </w:pPr>
            <w:r>
              <w:rPr>
                <w:color w:val="000000"/>
              </w:rPr>
              <w:t>NR</w:t>
            </w:r>
            <w:r w:rsidRPr="00626925">
              <w:rPr>
                <w:color w:val="000000"/>
              </w:rPr>
              <w:t> </w:t>
            </w:r>
          </w:p>
        </w:tc>
        <w:tc>
          <w:tcPr>
            <w:tcW w:w="698" w:type="dxa"/>
            <w:tcMar>
              <w:left w:w="28" w:type="dxa"/>
              <w:right w:w="28" w:type="dxa"/>
            </w:tcMar>
          </w:tcPr>
          <w:p w14:paraId="5BDFC539" w14:textId="77777777" w:rsidR="008C18C0" w:rsidRPr="00626925" w:rsidRDefault="008C18C0" w:rsidP="008C18C0">
            <w:pPr>
              <w:pStyle w:val="TableTextDusc"/>
            </w:pPr>
            <w:r>
              <w:rPr>
                <w:color w:val="000000"/>
              </w:rPr>
              <w:t>NR</w:t>
            </w:r>
            <w:r w:rsidRPr="00626925">
              <w:rPr>
                <w:color w:val="000000"/>
              </w:rPr>
              <w:t> </w:t>
            </w:r>
          </w:p>
        </w:tc>
      </w:tr>
      <w:tr w:rsidR="008C18C0" w14:paraId="006D549F" w14:textId="77777777" w:rsidTr="008C18C0">
        <w:trPr>
          <w:cantSplit/>
        </w:trPr>
        <w:tc>
          <w:tcPr>
            <w:tcW w:w="1354" w:type="dxa"/>
            <w:tcMar>
              <w:left w:w="28" w:type="dxa"/>
              <w:right w:w="28" w:type="dxa"/>
            </w:tcMar>
          </w:tcPr>
          <w:p w14:paraId="723ABE02" w14:textId="77777777" w:rsidR="008C18C0" w:rsidRPr="00626925" w:rsidRDefault="008C18C0" w:rsidP="008C18C0">
            <w:pPr>
              <w:pStyle w:val="TableTextDusc"/>
            </w:pPr>
            <w:r>
              <w:t>Luger (2016)</w:t>
            </w:r>
          </w:p>
        </w:tc>
        <w:tc>
          <w:tcPr>
            <w:tcW w:w="1051" w:type="dxa"/>
            <w:tcMar>
              <w:left w:w="28" w:type="dxa"/>
              <w:right w:w="28" w:type="dxa"/>
            </w:tcMar>
          </w:tcPr>
          <w:p w14:paraId="529856AD" w14:textId="77777777" w:rsidR="008C18C0" w:rsidRPr="00626925" w:rsidRDefault="008C18C0" w:rsidP="008C18C0">
            <w:pPr>
              <w:pStyle w:val="TableTextDusc"/>
            </w:pPr>
            <w:r>
              <w:t>3 years</w:t>
            </w:r>
          </w:p>
        </w:tc>
        <w:tc>
          <w:tcPr>
            <w:tcW w:w="598" w:type="dxa"/>
            <w:tcMar>
              <w:left w:w="28" w:type="dxa"/>
              <w:right w:w="28" w:type="dxa"/>
            </w:tcMar>
          </w:tcPr>
          <w:p w14:paraId="3941FFBE" w14:textId="77777777" w:rsidR="008C18C0" w:rsidRPr="00626925" w:rsidRDefault="008C18C0" w:rsidP="008C18C0">
            <w:pPr>
              <w:pStyle w:val="TableTextDusc"/>
            </w:pPr>
            <w:r>
              <w:t>Etan</w:t>
            </w:r>
            <w:r w:rsidRPr="006A389F">
              <w:rPr>
                <w:vertAlign w:val="superscript"/>
              </w:rPr>
              <w:t>8</w:t>
            </w:r>
          </w:p>
        </w:tc>
        <w:tc>
          <w:tcPr>
            <w:tcW w:w="518" w:type="dxa"/>
            <w:tcMar>
              <w:left w:w="28" w:type="dxa"/>
              <w:right w:w="28" w:type="dxa"/>
            </w:tcMar>
          </w:tcPr>
          <w:p w14:paraId="33FCEE25" w14:textId="77777777" w:rsidR="008C18C0" w:rsidRPr="00626925" w:rsidRDefault="008C18C0" w:rsidP="008C18C0">
            <w:pPr>
              <w:pStyle w:val="TableTextDusc"/>
              <w:rPr>
                <w:color w:val="000000"/>
              </w:rPr>
            </w:pPr>
            <w:r w:rsidRPr="00626925">
              <w:rPr>
                <w:color w:val="000000"/>
              </w:rPr>
              <w:t>926</w:t>
            </w:r>
          </w:p>
        </w:tc>
        <w:tc>
          <w:tcPr>
            <w:tcW w:w="550" w:type="dxa"/>
            <w:tcMar>
              <w:left w:w="28" w:type="dxa"/>
              <w:right w:w="28" w:type="dxa"/>
            </w:tcMar>
          </w:tcPr>
          <w:p w14:paraId="0948DE48" w14:textId="77777777" w:rsidR="008C18C0" w:rsidRDefault="008C18C0" w:rsidP="008C18C0">
            <w:pPr>
              <w:pStyle w:val="TableTextDusc"/>
              <w:rPr>
                <w:color w:val="000000"/>
              </w:rPr>
            </w:pPr>
            <w:r>
              <w:rPr>
                <w:color w:val="000000"/>
              </w:rPr>
              <w:t>30</w:t>
            </w:r>
            <w:r w:rsidRPr="00626925">
              <w:rPr>
                <w:color w:val="000000"/>
              </w:rPr>
              <w:t>%</w:t>
            </w:r>
          </w:p>
        </w:tc>
        <w:tc>
          <w:tcPr>
            <w:tcW w:w="532" w:type="dxa"/>
            <w:tcMar>
              <w:left w:w="28" w:type="dxa"/>
              <w:right w:w="28" w:type="dxa"/>
            </w:tcMar>
          </w:tcPr>
          <w:p w14:paraId="4B8425A8" w14:textId="77777777" w:rsidR="008C18C0" w:rsidRPr="00626925" w:rsidRDefault="008C18C0" w:rsidP="008C18C0">
            <w:pPr>
              <w:pStyle w:val="TableTextDusc"/>
              <w:rPr>
                <w:color w:val="000000"/>
              </w:rPr>
            </w:pPr>
            <w:r w:rsidRPr="00626925">
              <w:rPr>
                <w:color w:val="000000"/>
              </w:rPr>
              <w:t>6%</w:t>
            </w:r>
          </w:p>
        </w:tc>
        <w:tc>
          <w:tcPr>
            <w:tcW w:w="565" w:type="dxa"/>
            <w:tcMar>
              <w:left w:w="28" w:type="dxa"/>
              <w:right w:w="28" w:type="dxa"/>
            </w:tcMar>
          </w:tcPr>
          <w:p w14:paraId="27A56C09" w14:textId="77777777" w:rsidR="008C18C0" w:rsidRDefault="008C18C0" w:rsidP="008C18C0">
            <w:pPr>
              <w:pStyle w:val="TableTextDusc"/>
              <w:rPr>
                <w:color w:val="000000"/>
              </w:rPr>
            </w:pPr>
            <w:r>
              <w:rPr>
                <w:color w:val="000000"/>
              </w:rPr>
              <w:t>&lt; 1</w:t>
            </w:r>
            <w:r w:rsidRPr="00626925">
              <w:rPr>
                <w:color w:val="000000"/>
              </w:rPr>
              <w:t>%</w:t>
            </w:r>
          </w:p>
        </w:tc>
        <w:tc>
          <w:tcPr>
            <w:tcW w:w="834" w:type="dxa"/>
            <w:tcMar>
              <w:left w:w="28" w:type="dxa"/>
              <w:right w:w="28" w:type="dxa"/>
            </w:tcMar>
          </w:tcPr>
          <w:p w14:paraId="102E4C1F" w14:textId="77777777" w:rsidR="008C18C0" w:rsidRDefault="008C18C0" w:rsidP="008C18C0">
            <w:pPr>
              <w:pStyle w:val="TableTextDusc"/>
              <w:rPr>
                <w:color w:val="000000"/>
              </w:rPr>
            </w:pPr>
            <w:r>
              <w:rPr>
                <w:color w:val="000000"/>
              </w:rPr>
              <w:t>9</w:t>
            </w:r>
            <w:r w:rsidRPr="00626925">
              <w:rPr>
                <w:color w:val="000000"/>
              </w:rPr>
              <w:t>%</w:t>
            </w:r>
          </w:p>
        </w:tc>
        <w:tc>
          <w:tcPr>
            <w:tcW w:w="818" w:type="dxa"/>
            <w:tcMar>
              <w:left w:w="28" w:type="dxa"/>
              <w:right w:w="28" w:type="dxa"/>
            </w:tcMar>
          </w:tcPr>
          <w:p w14:paraId="5B2AF33D" w14:textId="77777777" w:rsidR="008C18C0" w:rsidRDefault="008C18C0" w:rsidP="008C18C0">
            <w:pPr>
              <w:pStyle w:val="TableTextDusc"/>
              <w:rPr>
                <w:color w:val="000000"/>
              </w:rPr>
            </w:pPr>
            <w:r>
              <w:rPr>
                <w:color w:val="000000"/>
              </w:rPr>
              <w:t>&lt; 1</w:t>
            </w:r>
            <w:r w:rsidRPr="00626925">
              <w:rPr>
                <w:color w:val="000000"/>
              </w:rPr>
              <w:t>%</w:t>
            </w:r>
          </w:p>
        </w:tc>
        <w:tc>
          <w:tcPr>
            <w:tcW w:w="1015" w:type="dxa"/>
            <w:tcMar>
              <w:left w:w="28" w:type="dxa"/>
              <w:right w:w="28" w:type="dxa"/>
            </w:tcMar>
          </w:tcPr>
          <w:p w14:paraId="19C24AEC" w14:textId="77777777" w:rsidR="008C18C0" w:rsidRPr="00626925" w:rsidRDefault="008C18C0" w:rsidP="008C18C0">
            <w:pPr>
              <w:pStyle w:val="TableTextDusc"/>
              <w:rPr>
                <w:color w:val="000000"/>
              </w:rPr>
            </w:pPr>
            <w:r w:rsidRPr="00626925">
              <w:rPr>
                <w:color w:val="000000"/>
              </w:rPr>
              <w:t>1%</w:t>
            </w:r>
          </w:p>
        </w:tc>
        <w:tc>
          <w:tcPr>
            <w:tcW w:w="483" w:type="dxa"/>
            <w:tcMar>
              <w:left w:w="28" w:type="dxa"/>
              <w:right w:w="28" w:type="dxa"/>
            </w:tcMar>
          </w:tcPr>
          <w:p w14:paraId="4DC0F874" w14:textId="77777777" w:rsidR="008C18C0" w:rsidRDefault="008C18C0" w:rsidP="008C18C0">
            <w:pPr>
              <w:pStyle w:val="TableTextDusc"/>
              <w:rPr>
                <w:color w:val="000000"/>
              </w:rPr>
            </w:pPr>
            <w:r>
              <w:rPr>
                <w:color w:val="000000"/>
              </w:rPr>
              <w:t>NR</w:t>
            </w:r>
            <w:r w:rsidRPr="00626925">
              <w:rPr>
                <w:color w:val="000000"/>
              </w:rPr>
              <w:t> </w:t>
            </w:r>
          </w:p>
        </w:tc>
        <w:tc>
          <w:tcPr>
            <w:tcW w:w="698" w:type="dxa"/>
            <w:tcMar>
              <w:left w:w="28" w:type="dxa"/>
              <w:right w:w="28" w:type="dxa"/>
            </w:tcMar>
          </w:tcPr>
          <w:p w14:paraId="7F08673C" w14:textId="77777777" w:rsidR="008C18C0" w:rsidRDefault="008C18C0" w:rsidP="008C18C0">
            <w:pPr>
              <w:pStyle w:val="TableTextDusc"/>
              <w:rPr>
                <w:color w:val="000000"/>
              </w:rPr>
            </w:pPr>
            <w:r>
              <w:rPr>
                <w:color w:val="000000"/>
              </w:rPr>
              <w:t>NR</w:t>
            </w:r>
            <w:r w:rsidRPr="00626925">
              <w:rPr>
                <w:color w:val="000000"/>
              </w:rPr>
              <w:t> </w:t>
            </w:r>
          </w:p>
        </w:tc>
      </w:tr>
      <w:tr w:rsidR="008C18C0" w14:paraId="58AC6EF5" w14:textId="77777777" w:rsidTr="008C18C0">
        <w:trPr>
          <w:cantSplit/>
        </w:trPr>
        <w:tc>
          <w:tcPr>
            <w:tcW w:w="1354" w:type="dxa"/>
            <w:tcMar>
              <w:left w:w="28" w:type="dxa"/>
              <w:right w:w="28" w:type="dxa"/>
            </w:tcMar>
          </w:tcPr>
          <w:p w14:paraId="7D5419EC" w14:textId="77777777" w:rsidR="008C18C0" w:rsidRPr="00626925" w:rsidRDefault="008C18C0" w:rsidP="008C18C0">
            <w:pPr>
              <w:pStyle w:val="TableTextDusc"/>
            </w:pPr>
            <w:r w:rsidRPr="00626925">
              <w:t xml:space="preserve">OBSERVE-5 </w:t>
            </w:r>
          </w:p>
        </w:tc>
        <w:tc>
          <w:tcPr>
            <w:tcW w:w="1051" w:type="dxa"/>
            <w:tcMar>
              <w:left w:w="28" w:type="dxa"/>
              <w:right w:w="28" w:type="dxa"/>
            </w:tcMar>
          </w:tcPr>
          <w:p w14:paraId="1E735B7D" w14:textId="77777777" w:rsidR="008C18C0" w:rsidRPr="00626925" w:rsidRDefault="008C18C0" w:rsidP="008C18C0">
            <w:pPr>
              <w:pStyle w:val="TableTextDusc"/>
            </w:pPr>
            <w:r>
              <w:t>3 years</w:t>
            </w:r>
          </w:p>
        </w:tc>
        <w:tc>
          <w:tcPr>
            <w:tcW w:w="598" w:type="dxa"/>
            <w:tcMar>
              <w:left w:w="28" w:type="dxa"/>
              <w:right w:w="28" w:type="dxa"/>
            </w:tcMar>
          </w:tcPr>
          <w:p w14:paraId="4A8986E1" w14:textId="77777777" w:rsidR="008C18C0" w:rsidRPr="00626925" w:rsidRDefault="008C18C0" w:rsidP="008C18C0">
            <w:pPr>
              <w:pStyle w:val="TableTextDusc"/>
            </w:pPr>
            <w:r>
              <w:t>Etan</w:t>
            </w:r>
            <w:r w:rsidRPr="006A389F">
              <w:rPr>
                <w:vertAlign w:val="superscript"/>
              </w:rPr>
              <w:t>8</w:t>
            </w:r>
          </w:p>
        </w:tc>
        <w:tc>
          <w:tcPr>
            <w:tcW w:w="518" w:type="dxa"/>
            <w:tcMar>
              <w:left w:w="28" w:type="dxa"/>
              <w:right w:w="28" w:type="dxa"/>
            </w:tcMar>
          </w:tcPr>
          <w:p w14:paraId="19082F9F" w14:textId="77777777" w:rsidR="008C18C0" w:rsidRPr="00626925" w:rsidRDefault="008C18C0" w:rsidP="008C18C0">
            <w:pPr>
              <w:pStyle w:val="TableTextDusc"/>
            </w:pPr>
            <w:r w:rsidRPr="00626925">
              <w:rPr>
                <w:color w:val="000000"/>
              </w:rPr>
              <w:t>2</w:t>
            </w:r>
            <w:r>
              <w:rPr>
                <w:color w:val="000000"/>
              </w:rPr>
              <w:t>,</w:t>
            </w:r>
            <w:r w:rsidRPr="00626925">
              <w:rPr>
                <w:color w:val="000000"/>
              </w:rPr>
              <w:t>511</w:t>
            </w:r>
          </w:p>
        </w:tc>
        <w:tc>
          <w:tcPr>
            <w:tcW w:w="550" w:type="dxa"/>
            <w:tcMar>
              <w:left w:w="28" w:type="dxa"/>
              <w:right w:w="28" w:type="dxa"/>
            </w:tcMar>
          </w:tcPr>
          <w:p w14:paraId="6A179DFB" w14:textId="77777777" w:rsidR="008C18C0" w:rsidRPr="00626925" w:rsidRDefault="008C18C0" w:rsidP="008C18C0">
            <w:pPr>
              <w:pStyle w:val="TableTextDusc"/>
            </w:pPr>
            <w:r>
              <w:rPr>
                <w:color w:val="000000"/>
              </w:rPr>
              <w:t>NR</w:t>
            </w:r>
            <w:r w:rsidRPr="00626925">
              <w:rPr>
                <w:color w:val="000000"/>
              </w:rPr>
              <w:t> </w:t>
            </w:r>
          </w:p>
        </w:tc>
        <w:tc>
          <w:tcPr>
            <w:tcW w:w="532" w:type="dxa"/>
            <w:tcMar>
              <w:left w:w="28" w:type="dxa"/>
              <w:right w:w="28" w:type="dxa"/>
            </w:tcMar>
          </w:tcPr>
          <w:p w14:paraId="2714A15E" w14:textId="77777777" w:rsidR="008C18C0" w:rsidRPr="00626925" w:rsidRDefault="008C18C0" w:rsidP="008C18C0">
            <w:pPr>
              <w:pStyle w:val="TableTextDusc"/>
            </w:pPr>
            <w:r w:rsidRPr="00626925">
              <w:rPr>
                <w:color w:val="000000"/>
              </w:rPr>
              <w:t>1</w:t>
            </w:r>
            <w:r>
              <w:rPr>
                <w:color w:val="000000"/>
              </w:rPr>
              <w:t>2</w:t>
            </w:r>
            <w:r w:rsidRPr="00626925">
              <w:rPr>
                <w:color w:val="000000"/>
              </w:rPr>
              <w:t>%</w:t>
            </w:r>
          </w:p>
        </w:tc>
        <w:tc>
          <w:tcPr>
            <w:tcW w:w="565" w:type="dxa"/>
            <w:tcMar>
              <w:left w:w="28" w:type="dxa"/>
              <w:right w:w="28" w:type="dxa"/>
            </w:tcMar>
          </w:tcPr>
          <w:p w14:paraId="5D7F5E4D" w14:textId="77777777" w:rsidR="008C18C0" w:rsidRPr="00626925" w:rsidRDefault="008C18C0" w:rsidP="008C18C0">
            <w:pPr>
              <w:pStyle w:val="TableTextDusc"/>
            </w:pPr>
            <w:r w:rsidRPr="00626925">
              <w:rPr>
                <w:color w:val="000000"/>
              </w:rPr>
              <w:t>1%</w:t>
            </w:r>
          </w:p>
        </w:tc>
        <w:tc>
          <w:tcPr>
            <w:tcW w:w="834" w:type="dxa"/>
            <w:tcMar>
              <w:left w:w="28" w:type="dxa"/>
              <w:right w:w="28" w:type="dxa"/>
            </w:tcMar>
          </w:tcPr>
          <w:p w14:paraId="7A5190ED" w14:textId="77777777" w:rsidR="008C18C0" w:rsidRPr="00626925" w:rsidRDefault="008C18C0" w:rsidP="008C18C0">
            <w:pPr>
              <w:pStyle w:val="TableTextDusc"/>
            </w:pPr>
            <w:r>
              <w:t>NR</w:t>
            </w:r>
          </w:p>
        </w:tc>
        <w:tc>
          <w:tcPr>
            <w:tcW w:w="818" w:type="dxa"/>
            <w:tcMar>
              <w:left w:w="28" w:type="dxa"/>
              <w:right w:w="28" w:type="dxa"/>
            </w:tcMar>
          </w:tcPr>
          <w:p w14:paraId="2631D5F3" w14:textId="77777777" w:rsidR="008C18C0" w:rsidRPr="00626925" w:rsidRDefault="008C18C0" w:rsidP="008C18C0">
            <w:pPr>
              <w:pStyle w:val="TableTextDusc"/>
            </w:pPr>
            <w:r>
              <w:rPr>
                <w:color w:val="000000"/>
              </w:rPr>
              <w:t>3</w:t>
            </w:r>
            <w:r w:rsidRPr="00626925">
              <w:rPr>
                <w:color w:val="000000"/>
              </w:rPr>
              <w:t>%</w:t>
            </w:r>
          </w:p>
        </w:tc>
        <w:tc>
          <w:tcPr>
            <w:tcW w:w="1015" w:type="dxa"/>
            <w:tcMar>
              <w:left w:w="28" w:type="dxa"/>
              <w:right w:w="28" w:type="dxa"/>
            </w:tcMar>
          </w:tcPr>
          <w:p w14:paraId="60E99CDF" w14:textId="77777777" w:rsidR="008C18C0" w:rsidRPr="00626925" w:rsidRDefault="008C18C0" w:rsidP="008C18C0">
            <w:pPr>
              <w:pStyle w:val="TableTextDusc"/>
            </w:pPr>
            <w:r w:rsidRPr="00626925">
              <w:rPr>
                <w:color w:val="000000"/>
              </w:rPr>
              <w:t>3</w:t>
            </w:r>
            <w:r>
              <w:rPr>
                <w:color w:val="000000"/>
              </w:rPr>
              <w:t>%</w:t>
            </w:r>
          </w:p>
        </w:tc>
        <w:tc>
          <w:tcPr>
            <w:tcW w:w="483" w:type="dxa"/>
            <w:tcMar>
              <w:left w:w="28" w:type="dxa"/>
              <w:right w:w="28" w:type="dxa"/>
            </w:tcMar>
          </w:tcPr>
          <w:p w14:paraId="7D340FCB" w14:textId="77777777" w:rsidR="008C18C0" w:rsidRPr="00626925" w:rsidRDefault="008C18C0" w:rsidP="008C18C0">
            <w:pPr>
              <w:pStyle w:val="TableTextDusc"/>
            </w:pPr>
            <w:r>
              <w:rPr>
                <w:color w:val="000000"/>
              </w:rPr>
              <w:t>1%</w:t>
            </w:r>
          </w:p>
        </w:tc>
        <w:tc>
          <w:tcPr>
            <w:tcW w:w="698" w:type="dxa"/>
            <w:tcMar>
              <w:left w:w="28" w:type="dxa"/>
              <w:right w:w="28" w:type="dxa"/>
            </w:tcMar>
          </w:tcPr>
          <w:p w14:paraId="514ED774" w14:textId="77777777" w:rsidR="008C18C0" w:rsidRPr="00626925" w:rsidRDefault="008C18C0" w:rsidP="008C18C0">
            <w:pPr>
              <w:pStyle w:val="TableTextDusc"/>
            </w:pPr>
            <w:r>
              <w:t>NR</w:t>
            </w:r>
          </w:p>
        </w:tc>
      </w:tr>
      <w:tr w:rsidR="008C18C0" w:rsidRPr="00BA22FB" w14:paraId="55A583F6" w14:textId="77777777" w:rsidTr="008C18C0">
        <w:trPr>
          <w:cantSplit/>
        </w:trPr>
        <w:tc>
          <w:tcPr>
            <w:tcW w:w="9016" w:type="dxa"/>
            <w:gridSpan w:val="12"/>
            <w:tcMar>
              <w:left w:w="28" w:type="dxa"/>
              <w:right w:w="28" w:type="dxa"/>
            </w:tcMar>
          </w:tcPr>
          <w:p w14:paraId="6A298378" w14:textId="77777777" w:rsidR="008C18C0" w:rsidRPr="00BA22FB" w:rsidRDefault="008C18C0" w:rsidP="008C18C0">
            <w:pPr>
              <w:pStyle w:val="TableTextDusc"/>
              <w:rPr>
                <w:b/>
              </w:rPr>
            </w:pPr>
            <w:r w:rsidRPr="00BA22FB">
              <w:rPr>
                <w:b/>
              </w:rPr>
              <w:t>Infliximab</w:t>
            </w:r>
          </w:p>
        </w:tc>
      </w:tr>
      <w:tr w:rsidR="008C18C0" w14:paraId="2A37C260" w14:textId="77777777" w:rsidTr="008C18C0">
        <w:trPr>
          <w:cantSplit/>
        </w:trPr>
        <w:tc>
          <w:tcPr>
            <w:tcW w:w="1354" w:type="dxa"/>
            <w:tcMar>
              <w:left w:w="28" w:type="dxa"/>
              <w:right w:w="28" w:type="dxa"/>
            </w:tcMar>
          </w:tcPr>
          <w:p w14:paraId="49C44763" w14:textId="77777777" w:rsidR="008C18C0" w:rsidRPr="00626925" w:rsidRDefault="008C18C0" w:rsidP="008C18C0">
            <w:pPr>
              <w:pStyle w:val="TableTextDusc"/>
            </w:pPr>
            <w:r w:rsidRPr="00626925">
              <w:t>Torii (2010)</w:t>
            </w:r>
          </w:p>
        </w:tc>
        <w:tc>
          <w:tcPr>
            <w:tcW w:w="1051" w:type="dxa"/>
            <w:tcMar>
              <w:left w:w="28" w:type="dxa"/>
              <w:right w:w="28" w:type="dxa"/>
            </w:tcMar>
          </w:tcPr>
          <w:p w14:paraId="09F384B3" w14:textId="77777777" w:rsidR="008C18C0" w:rsidRPr="00626925" w:rsidRDefault="008C18C0" w:rsidP="008C18C0">
            <w:pPr>
              <w:pStyle w:val="TableTextDusc"/>
            </w:pPr>
            <w:r w:rsidRPr="00626925">
              <w:t>72 weeks</w:t>
            </w:r>
          </w:p>
        </w:tc>
        <w:tc>
          <w:tcPr>
            <w:tcW w:w="598" w:type="dxa"/>
            <w:tcMar>
              <w:left w:w="28" w:type="dxa"/>
              <w:right w:w="28" w:type="dxa"/>
            </w:tcMar>
          </w:tcPr>
          <w:p w14:paraId="5E36716F" w14:textId="77777777" w:rsidR="008C18C0" w:rsidRPr="00626925" w:rsidRDefault="008C18C0" w:rsidP="008C18C0">
            <w:pPr>
              <w:pStyle w:val="TableTextDusc"/>
            </w:pPr>
            <w:r>
              <w:t>Inf</w:t>
            </w:r>
            <w:r>
              <w:rPr>
                <w:vertAlign w:val="superscript"/>
              </w:rPr>
              <w:t>9</w:t>
            </w:r>
            <w:r w:rsidRPr="006A389F">
              <w:rPr>
                <w:vertAlign w:val="superscript"/>
              </w:rPr>
              <w:t>*</w:t>
            </w:r>
          </w:p>
        </w:tc>
        <w:tc>
          <w:tcPr>
            <w:tcW w:w="518" w:type="dxa"/>
            <w:tcMar>
              <w:left w:w="28" w:type="dxa"/>
              <w:right w:w="28" w:type="dxa"/>
            </w:tcMar>
          </w:tcPr>
          <w:p w14:paraId="69AAA82E" w14:textId="77777777" w:rsidR="008C18C0" w:rsidRPr="00626925" w:rsidRDefault="008C18C0" w:rsidP="008C18C0">
            <w:pPr>
              <w:pStyle w:val="TableTextDusc"/>
            </w:pPr>
            <w:r w:rsidRPr="00626925">
              <w:rPr>
                <w:color w:val="000000"/>
              </w:rPr>
              <w:t>50</w:t>
            </w:r>
          </w:p>
        </w:tc>
        <w:tc>
          <w:tcPr>
            <w:tcW w:w="550" w:type="dxa"/>
            <w:tcMar>
              <w:left w:w="28" w:type="dxa"/>
              <w:right w:w="28" w:type="dxa"/>
            </w:tcMar>
          </w:tcPr>
          <w:p w14:paraId="5302EC63" w14:textId="77777777" w:rsidR="008C18C0" w:rsidRPr="00626925" w:rsidRDefault="008C18C0" w:rsidP="008C18C0">
            <w:pPr>
              <w:pStyle w:val="TableTextDusc"/>
            </w:pPr>
            <w:r w:rsidRPr="00626925">
              <w:rPr>
                <w:color w:val="000000"/>
              </w:rPr>
              <w:t>100%</w:t>
            </w:r>
          </w:p>
        </w:tc>
        <w:tc>
          <w:tcPr>
            <w:tcW w:w="532" w:type="dxa"/>
            <w:tcMar>
              <w:left w:w="28" w:type="dxa"/>
              <w:right w:w="28" w:type="dxa"/>
            </w:tcMar>
          </w:tcPr>
          <w:p w14:paraId="32337F96" w14:textId="77777777" w:rsidR="008C18C0" w:rsidRPr="00626925" w:rsidRDefault="008C18C0" w:rsidP="008C18C0">
            <w:pPr>
              <w:pStyle w:val="TableTextDusc"/>
            </w:pPr>
            <w:r w:rsidRPr="00626925">
              <w:rPr>
                <w:color w:val="000000"/>
              </w:rPr>
              <w:t>12%</w:t>
            </w:r>
          </w:p>
        </w:tc>
        <w:tc>
          <w:tcPr>
            <w:tcW w:w="565" w:type="dxa"/>
            <w:tcMar>
              <w:left w:w="28" w:type="dxa"/>
              <w:right w:w="28" w:type="dxa"/>
            </w:tcMar>
          </w:tcPr>
          <w:p w14:paraId="7CB26D5D" w14:textId="77777777" w:rsidR="008C18C0" w:rsidRPr="00626925" w:rsidRDefault="008C18C0" w:rsidP="008C18C0">
            <w:pPr>
              <w:pStyle w:val="TableTextDusc"/>
            </w:pPr>
            <w:r w:rsidRPr="00626925">
              <w:rPr>
                <w:color w:val="000000"/>
              </w:rPr>
              <w:t>0</w:t>
            </w:r>
          </w:p>
        </w:tc>
        <w:tc>
          <w:tcPr>
            <w:tcW w:w="834" w:type="dxa"/>
            <w:tcMar>
              <w:left w:w="28" w:type="dxa"/>
              <w:right w:w="28" w:type="dxa"/>
            </w:tcMar>
          </w:tcPr>
          <w:p w14:paraId="641A7AC0" w14:textId="77777777" w:rsidR="008C18C0" w:rsidRPr="00626925" w:rsidRDefault="008C18C0" w:rsidP="008C18C0">
            <w:pPr>
              <w:pStyle w:val="TableTextDusc"/>
            </w:pPr>
            <w:r w:rsidRPr="00626925">
              <w:rPr>
                <w:color w:val="000000"/>
              </w:rPr>
              <w:t>86%</w:t>
            </w:r>
          </w:p>
        </w:tc>
        <w:tc>
          <w:tcPr>
            <w:tcW w:w="818" w:type="dxa"/>
            <w:tcMar>
              <w:left w:w="28" w:type="dxa"/>
              <w:right w:w="28" w:type="dxa"/>
            </w:tcMar>
          </w:tcPr>
          <w:p w14:paraId="66E3FC3A" w14:textId="77777777" w:rsidR="008C18C0" w:rsidRPr="00626925" w:rsidRDefault="008C18C0" w:rsidP="008C18C0">
            <w:pPr>
              <w:pStyle w:val="TableTextDusc"/>
            </w:pPr>
            <w:r w:rsidRPr="00626925">
              <w:rPr>
                <w:color w:val="000000"/>
              </w:rPr>
              <w:t>2%</w:t>
            </w:r>
          </w:p>
        </w:tc>
        <w:tc>
          <w:tcPr>
            <w:tcW w:w="1015" w:type="dxa"/>
            <w:tcMar>
              <w:left w:w="28" w:type="dxa"/>
              <w:right w:w="28" w:type="dxa"/>
            </w:tcMar>
          </w:tcPr>
          <w:p w14:paraId="53502D2A" w14:textId="77777777" w:rsidR="008C18C0" w:rsidRPr="00626925" w:rsidRDefault="008C18C0" w:rsidP="008C18C0">
            <w:pPr>
              <w:pStyle w:val="TableTextDusc"/>
            </w:pPr>
            <w:r>
              <w:rPr>
                <w:color w:val="000000"/>
              </w:rPr>
              <w:t>NR</w:t>
            </w:r>
            <w:r w:rsidRPr="00626925">
              <w:rPr>
                <w:color w:val="000000"/>
              </w:rPr>
              <w:t> </w:t>
            </w:r>
          </w:p>
        </w:tc>
        <w:tc>
          <w:tcPr>
            <w:tcW w:w="483" w:type="dxa"/>
            <w:tcMar>
              <w:left w:w="28" w:type="dxa"/>
              <w:right w:w="28" w:type="dxa"/>
            </w:tcMar>
          </w:tcPr>
          <w:p w14:paraId="45E173E8" w14:textId="77777777" w:rsidR="008C18C0" w:rsidRPr="00626925" w:rsidRDefault="008C18C0" w:rsidP="008C18C0">
            <w:pPr>
              <w:pStyle w:val="TableTextDusc"/>
            </w:pPr>
            <w:r>
              <w:rPr>
                <w:color w:val="000000"/>
              </w:rPr>
              <w:t>NR</w:t>
            </w:r>
            <w:r w:rsidRPr="00626925">
              <w:rPr>
                <w:color w:val="000000"/>
              </w:rPr>
              <w:t> </w:t>
            </w:r>
          </w:p>
        </w:tc>
        <w:tc>
          <w:tcPr>
            <w:tcW w:w="698" w:type="dxa"/>
            <w:tcMar>
              <w:left w:w="28" w:type="dxa"/>
              <w:right w:w="28" w:type="dxa"/>
            </w:tcMar>
          </w:tcPr>
          <w:p w14:paraId="75286857" w14:textId="77777777" w:rsidR="008C18C0" w:rsidRPr="00626925" w:rsidRDefault="008C18C0" w:rsidP="008C18C0">
            <w:pPr>
              <w:pStyle w:val="TableTextDusc"/>
            </w:pPr>
            <w:r>
              <w:rPr>
                <w:color w:val="000000"/>
              </w:rPr>
              <w:t>NR</w:t>
            </w:r>
            <w:r w:rsidRPr="00626925">
              <w:rPr>
                <w:color w:val="000000"/>
              </w:rPr>
              <w:t> </w:t>
            </w:r>
          </w:p>
        </w:tc>
      </w:tr>
      <w:tr w:rsidR="008C18C0" w14:paraId="6BE19EF1" w14:textId="77777777" w:rsidTr="008C18C0">
        <w:trPr>
          <w:cantSplit/>
          <w:trHeight w:val="218"/>
        </w:trPr>
        <w:tc>
          <w:tcPr>
            <w:tcW w:w="1354" w:type="dxa"/>
            <w:vMerge w:val="restart"/>
            <w:tcMar>
              <w:left w:w="28" w:type="dxa"/>
              <w:right w:w="28" w:type="dxa"/>
            </w:tcMar>
          </w:tcPr>
          <w:p w14:paraId="38289E97" w14:textId="77777777" w:rsidR="008C18C0" w:rsidRPr="00626925" w:rsidRDefault="008C18C0" w:rsidP="008C18C0">
            <w:pPr>
              <w:pStyle w:val="TableTextDusc"/>
            </w:pPr>
            <w:r>
              <w:t>RESTORE</w:t>
            </w:r>
          </w:p>
        </w:tc>
        <w:tc>
          <w:tcPr>
            <w:tcW w:w="1051" w:type="dxa"/>
            <w:vMerge w:val="restart"/>
            <w:tcMar>
              <w:left w:w="28" w:type="dxa"/>
              <w:right w:w="28" w:type="dxa"/>
            </w:tcMar>
          </w:tcPr>
          <w:p w14:paraId="0958C5CD" w14:textId="77777777" w:rsidR="008C18C0" w:rsidRDefault="008C18C0" w:rsidP="008C18C0">
            <w:pPr>
              <w:pStyle w:val="TableTextDusc"/>
            </w:pPr>
            <w:r w:rsidRPr="00626925">
              <w:t>124 weeks</w:t>
            </w:r>
          </w:p>
          <w:p w14:paraId="2DA8ECC4" w14:textId="77777777" w:rsidR="008C18C0" w:rsidRDefault="008C18C0" w:rsidP="008C18C0">
            <w:pPr>
              <w:pStyle w:val="TableTextDusc"/>
            </w:pPr>
          </w:p>
        </w:tc>
        <w:tc>
          <w:tcPr>
            <w:tcW w:w="598" w:type="dxa"/>
            <w:tcMar>
              <w:left w:w="28" w:type="dxa"/>
              <w:right w:w="28" w:type="dxa"/>
            </w:tcMar>
          </w:tcPr>
          <w:p w14:paraId="448FE3E2" w14:textId="77777777" w:rsidR="008C18C0" w:rsidRPr="00626925" w:rsidRDefault="008C18C0" w:rsidP="008C18C0">
            <w:pPr>
              <w:pStyle w:val="TableTextDusc"/>
            </w:pPr>
            <w:r>
              <w:t>Inf</w:t>
            </w:r>
            <w:r>
              <w:rPr>
                <w:vertAlign w:val="superscript"/>
              </w:rPr>
              <w:t>9*</w:t>
            </w:r>
          </w:p>
        </w:tc>
        <w:tc>
          <w:tcPr>
            <w:tcW w:w="518" w:type="dxa"/>
            <w:tcMar>
              <w:left w:w="28" w:type="dxa"/>
              <w:right w:w="28" w:type="dxa"/>
            </w:tcMar>
          </w:tcPr>
          <w:p w14:paraId="5F263648" w14:textId="77777777" w:rsidR="008C18C0" w:rsidRPr="00626925" w:rsidRDefault="008C18C0" w:rsidP="008C18C0">
            <w:pPr>
              <w:pStyle w:val="TableTextDusc"/>
            </w:pPr>
            <w:r w:rsidRPr="00626925">
              <w:rPr>
                <w:color w:val="000000"/>
              </w:rPr>
              <w:t>222</w:t>
            </w:r>
          </w:p>
        </w:tc>
        <w:tc>
          <w:tcPr>
            <w:tcW w:w="550" w:type="dxa"/>
            <w:tcMar>
              <w:left w:w="28" w:type="dxa"/>
              <w:right w:w="28" w:type="dxa"/>
            </w:tcMar>
          </w:tcPr>
          <w:p w14:paraId="57FD588C" w14:textId="77777777" w:rsidR="008C18C0" w:rsidRPr="00626925" w:rsidRDefault="008C18C0" w:rsidP="008C18C0">
            <w:pPr>
              <w:pStyle w:val="TableTextDusc"/>
            </w:pPr>
            <w:r w:rsidRPr="00626925">
              <w:rPr>
                <w:color w:val="000000"/>
              </w:rPr>
              <w:t>73%</w:t>
            </w:r>
          </w:p>
        </w:tc>
        <w:tc>
          <w:tcPr>
            <w:tcW w:w="532" w:type="dxa"/>
            <w:tcMar>
              <w:left w:w="28" w:type="dxa"/>
              <w:right w:w="28" w:type="dxa"/>
            </w:tcMar>
          </w:tcPr>
          <w:p w14:paraId="2D3ADE62" w14:textId="77777777" w:rsidR="008C18C0" w:rsidRPr="00626925" w:rsidRDefault="008C18C0" w:rsidP="008C18C0">
            <w:pPr>
              <w:pStyle w:val="TableTextDusc"/>
            </w:pPr>
            <w:r w:rsidRPr="00626925">
              <w:rPr>
                <w:color w:val="000000"/>
              </w:rPr>
              <w:t>11%</w:t>
            </w:r>
          </w:p>
        </w:tc>
        <w:tc>
          <w:tcPr>
            <w:tcW w:w="565" w:type="dxa"/>
            <w:tcMar>
              <w:left w:w="28" w:type="dxa"/>
              <w:right w:w="28" w:type="dxa"/>
            </w:tcMar>
          </w:tcPr>
          <w:p w14:paraId="4672222E" w14:textId="77777777" w:rsidR="008C18C0" w:rsidRPr="00626925" w:rsidRDefault="008C18C0" w:rsidP="008C18C0">
            <w:pPr>
              <w:pStyle w:val="TableTextDusc"/>
            </w:pPr>
            <w:r w:rsidRPr="00626925">
              <w:rPr>
                <w:color w:val="000000"/>
              </w:rPr>
              <w:t>0</w:t>
            </w:r>
          </w:p>
        </w:tc>
        <w:tc>
          <w:tcPr>
            <w:tcW w:w="834" w:type="dxa"/>
            <w:tcMar>
              <w:left w:w="28" w:type="dxa"/>
              <w:right w:w="28" w:type="dxa"/>
            </w:tcMar>
          </w:tcPr>
          <w:p w14:paraId="23960A9E" w14:textId="77777777" w:rsidR="008C18C0" w:rsidRPr="00626925" w:rsidRDefault="008C18C0" w:rsidP="008C18C0">
            <w:pPr>
              <w:pStyle w:val="TableTextDusc"/>
            </w:pPr>
            <w:r>
              <w:rPr>
                <w:color w:val="000000"/>
              </w:rPr>
              <w:t>NR</w:t>
            </w:r>
            <w:r w:rsidRPr="00626925">
              <w:rPr>
                <w:color w:val="000000"/>
              </w:rPr>
              <w:t> </w:t>
            </w:r>
          </w:p>
        </w:tc>
        <w:tc>
          <w:tcPr>
            <w:tcW w:w="818" w:type="dxa"/>
            <w:tcMar>
              <w:left w:w="28" w:type="dxa"/>
              <w:right w:w="28" w:type="dxa"/>
            </w:tcMar>
          </w:tcPr>
          <w:p w14:paraId="4E2202F3" w14:textId="77777777" w:rsidR="008C18C0" w:rsidRPr="00626925" w:rsidRDefault="008C18C0" w:rsidP="008C18C0">
            <w:pPr>
              <w:pStyle w:val="TableTextDusc"/>
            </w:pPr>
            <w:r w:rsidRPr="00626925">
              <w:rPr>
                <w:color w:val="000000"/>
              </w:rPr>
              <w:t>5%</w:t>
            </w:r>
          </w:p>
        </w:tc>
        <w:tc>
          <w:tcPr>
            <w:tcW w:w="1015" w:type="dxa"/>
            <w:tcMar>
              <w:left w:w="28" w:type="dxa"/>
              <w:right w:w="28" w:type="dxa"/>
            </w:tcMar>
          </w:tcPr>
          <w:p w14:paraId="09D7FCEC" w14:textId="77777777" w:rsidR="008C18C0" w:rsidRPr="00626925" w:rsidRDefault="008C18C0" w:rsidP="008C18C0">
            <w:pPr>
              <w:pStyle w:val="TableTextDusc"/>
            </w:pPr>
            <w:r w:rsidRPr="00626925">
              <w:rPr>
                <w:color w:val="000000"/>
              </w:rPr>
              <w:t>1%</w:t>
            </w:r>
          </w:p>
        </w:tc>
        <w:tc>
          <w:tcPr>
            <w:tcW w:w="483" w:type="dxa"/>
            <w:tcMar>
              <w:left w:w="28" w:type="dxa"/>
              <w:right w:w="28" w:type="dxa"/>
            </w:tcMar>
          </w:tcPr>
          <w:p w14:paraId="3E0E98A4" w14:textId="77777777" w:rsidR="008C18C0" w:rsidRPr="00626925" w:rsidRDefault="008C18C0" w:rsidP="008C18C0">
            <w:pPr>
              <w:pStyle w:val="TableTextDusc"/>
            </w:pPr>
            <w:r w:rsidRPr="00626925">
              <w:rPr>
                <w:color w:val="000000"/>
              </w:rPr>
              <w:t>0</w:t>
            </w:r>
          </w:p>
        </w:tc>
        <w:tc>
          <w:tcPr>
            <w:tcW w:w="698" w:type="dxa"/>
            <w:tcMar>
              <w:left w:w="28" w:type="dxa"/>
              <w:right w:w="28" w:type="dxa"/>
            </w:tcMar>
          </w:tcPr>
          <w:p w14:paraId="51029A2D" w14:textId="77777777" w:rsidR="008C18C0" w:rsidRPr="00626925" w:rsidRDefault="008C18C0" w:rsidP="008C18C0">
            <w:pPr>
              <w:pStyle w:val="TableTextDusc"/>
            </w:pPr>
            <w:r>
              <w:rPr>
                <w:color w:val="000000"/>
              </w:rPr>
              <w:t>NR</w:t>
            </w:r>
            <w:r w:rsidRPr="00626925">
              <w:rPr>
                <w:color w:val="000000"/>
              </w:rPr>
              <w:t> </w:t>
            </w:r>
          </w:p>
        </w:tc>
      </w:tr>
      <w:tr w:rsidR="008C18C0" w14:paraId="481615B8" w14:textId="77777777" w:rsidTr="008C18C0">
        <w:trPr>
          <w:cantSplit/>
          <w:trHeight w:val="113"/>
        </w:trPr>
        <w:tc>
          <w:tcPr>
            <w:tcW w:w="1354" w:type="dxa"/>
            <w:vMerge/>
            <w:tcMar>
              <w:left w:w="28" w:type="dxa"/>
              <w:right w:w="28" w:type="dxa"/>
            </w:tcMar>
          </w:tcPr>
          <w:p w14:paraId="499B6149" w14:textId="77777777" w:rsidR="008C18C0" w:rsidRDefault="008C18C0" w:rsidP="008C18C0">
            <w:pPr>
              <w:pStyle w:val="TableTextDusc"/>
            </w:pPr>
          </w:p>
        </w:tc>
        <w:tc>
          <w:tcPr>
            <w:tcW w:w="1051" w:type="dxa"/>
            <w:vMerge/>
            <w:tcMar>
              <w:left w:w="28" w:type="dxa"/>
              <w:right w:w="28" w:type="dxa"/>
            </w:tcMar>
          </w:tcPr>
          <w:p w14:paraId="68F01059" w14:textId="77777777" w:rsidR="008C18C0" w:rsidRPr="00626925" w:rsidRDefault="008C18C0" w:rsidP="008C18C0">
            <w:pPr>
              <w:pStyle w:val="TableTextDusc"/>
            </w:pPr>
          </w:p>
        </w:tc>
        <w:tc>
          <w:tcPr>
            <w:tcW w:w="598" w:type="dxa"/>
            <w:tcMar>
              <w:left w:w="28" w:type="dxa"/>
              <w:right w:w="28" w:type="dxa"/>
            </w:tcMar>
          </w:tcPr>
          <w:p w14:paraId="5CB01693" w14:textId="77777777" w:rsidR="008C18C0" w:rsidRDefault="008C18C0" w:rsidP="008C18C0">
            <w:pPr>
              <w:pStyle w:val="TableTextDusc"/>
            </w:pPr>
            <w:r>
              <w:t>Inf</w:t>
            </w:r>
            <w:r>
              <w:rPr>
                <w:vertAlign w:val="superscript"/>
              </w:rPr>
              <w:t>10</w:t>
            </w:r>
          </w:p>
        </w:tc>
        <w:tc>
          <w:tcPr>
            <w:tcW w:w="518" w:type="dxa"/>
            <w:tcMar>
              <w:left w:w="28" w:type="dxa"/>
              <w:right w:w="28" w:type="dxa"/>
            </w:tcMar>
          </w:tcPr>
          <w:p w14:paraId="6A5EE2FC" w14:textId="77777777" w:rsidR="008C18C0" w:rsidRDefault="008C18C0" w:rsidP="008C18C0">
            <w:pPr>
              <w:pStyle w:val="TableTextDusc"/>
              <w:rPr>
                <w:color w:val="000000"/>
              </w:rPr>
            </w:pPr>
            <w:r>
              <w:rPr>
                <w:color w:val="000000"/>
              </w:rPr>
              <w:t>219</w:t>
            </w:r>
          </w:p>
        </w:tc>
        <w:tc>
          <w:tcPr>
            <w:tcW w:w="550" w:type="dxa"/>
            <w:tcMar>
              <w:left w:w="28" w:type="dxa"/>
              <w:right w:w="28" w:type="dxa"/>
            </w:tcMar>
          </w:tcPr>
          <w:p w14:paraId="5536D8BA" w14:textId="77777777" w:rsidR="008C18C0" w:rsidRDefault="008C18C0" w:rsidP="008C18C0">
            <w:pPr>
              <w:pStyle w:val="TableTextDusc"/>
              <w:rPr>
                <w:color w:val="000000"/>
              </w:rPr>
            </w:pPr>
            <w:r>
              <w:rPr>
                <w:color w:val="000000"/>
              </w:rPr>
              <w:t>71%</w:t>
            </w:r>
          </w:p>
        </w:tc>
        <w:tc>
          <w:tcPr>
            <w:tcW w:w="532" w:type="dxa"/>
            <w:tcMar>
              <w:left w:w="28" w:type="dxa"/>
              <w:right w:w="28" w:type="dxa"/>
            </w:tcMar>
          </w:tcPr>
          <w:p w14:paraId="34254916" w14:textId="77777777" w:rsidR="008C18C0" w:rsidRDefault="008C18C0" w:rsidP="008C18C0">
            <w:pPr>
              <w:pStyle w:val="TableTextDusc"/>
              <w:rPr>
                <w:color w:val="000000"/>
              </w:rPr>
            </w:pPr>
            <w:r>
              <w:rPr>
                <w:color w:val="000000"/>
              </w:rPr>
              <w:t>11%</w:t>
            </w:r>
          </w:p>
        </w:tc>
        <w:tc>
          <w:tcPr>
            <w:tcW w:w="565" w:type="dxa"/>
            <w:tcMar>
              <w:left w:w="28" w:type="dxa"/>
              <w:right w:w="28" w:type="dxa"/>
            </w:tcMar>
          </w:tcPr>
          <w:p w14:paraId="1571B1F4" w14:textId="77777777" w:rsidR="008C18C0" w:rsidRDefault="008C18C0" w:rsidP="008C18C0">
            <w:pPr>
              <w:pStyle w:val="TableTextDusc"/>
              <w:rPr>
                <w:color w:val="000000"/>
              </w:rPr>
            </w:pPr>
            <w:r>
              <w:rPr>
                <w:color w:val="000000"/>
              </w:rPr>
              <w:t>1%</w:t>
            </w:r>
          </w:p>
        </w:tc>
        <w:tc>
          <w:tcPr>
            <w:tcW w:w="834" w:type="dxa"/>
            <w:tcMar>
              <w:left w:w="28" w:type="dxa"/>
              <w:right w:w="28" w:type="dxa"/>
            </w:tcMar>
          </w:tcPr>
          <w:p w14:paraId="45C492C4" w14:textId="77777777" w:rsidR="008C18C0" w:rsidRDefault="008C18C0" w:rsidP="008C18C0">
            <w:pPr>
              <w:pStyle w:val="TableTextDusc"/>
              <w:rPr>
                <w:color w:val="000000"/>
              </w:rPr>
            </w:pPr>
            <w:r>
              <w:rPr>
                <w:color w:val="000000"/>
              </w:rPr>
              <w:t>NR</w:t>
            </w:r>
          </w:p>
        </w:tc>
        <w:tc>
          <w:tcPr>
            <w:tcW w:w="818" w:type="dxa"/>
            <w:tcMar>
              <w:left w:w="28" w:type="dxa"/>
              <w:right w:w="28" w:type="dxa"/>
            </w:tcMar>
          </w:tcPr>
          <w:p w14:paraId="213F3ABA" w14:textId="77777777" w:rsidR="008C18C0" w:rsidRDefault="008C18C0" w:rsidP="008C18C0">
            <w:pPr>
              <w:pStyle w:val="TableTextDusc"/>
              <w:rPr>
                <w:color w:val="000000"/>
              </w:rPr>
            </w:pPr>
            <w:r>
              <w:rPr>
                <w:color w:val="000000"/>
              </w:rPr>
              <w:t>1%</w:t>
            </w:r>
          </w:p>
        </w:tc>
        <w:tc>
          <w:tcPr>
            <w:tcW w:w="1015" w:type="dxa"/>
            <w:tcMar>
              <w:left w:w="28" w:type="dxa"/>
              <w:right w:w="28" w:type="dxa"/>
            </w:tcMar>
          </w:tcPr>
          <w:p w14:paraId="11BCBD07" w14:textId="77777777" w:rsidR="008C18C0" w:rsidRDefault="008C18C0" w:rsidP="008C18C0">
            <w:pPr>
              <w:pStyle w:val="TableTextDusc"/>
              <w:rPr>
                <w:color w:val="000000"/>
              </w:rPr>
            </w:pPr>
            <w:r>
              <w:rPr>
                <w:color w:val="000000"/>
              </w:rPr>
              <w:t>&lt; 1%</w:t>
            </w:r>
          </w:p>
        </w:tc>
        <w:tc>
          <w:tcPr>
            <w:tcW w:w="483" w:type="dxa"/>
            <w:tcMar>
              <w:left w:w="28" w:type="dxa"/>
              <w:right w:w="28" w:type="dxa"/>
            </w:tcMar>
          </w:tcPr>
          <w:p w14:paraId="10AC65A6" w14:textId="77777777" w:rsidR="008C18C0" w:rsidRDefault="008C18C0" w:rsidP="008C18C0">
            <w:pPr>
              <w:pStyle w:val="TableTextDusc"/>
              <w:rPr>
                <w:color w:val="000000"/>
              </w:rPr>
            </w:pPr>
            <w:r>
              <w:rPr>
                <w:color w:val="000000"/>
              </w:rPr>
              <w:t>&lt; 1%</w:t>
            </w:r>
          </w:p>
        </w:tc>
        <w:tc>
          <w:tcPr>
            <w:tcW w:w="698" w:type="dxa"/>
            <w:tcMar>
              <w:left w:w="28" w:type="dxa"/>
              <w:right w:w="28" w:type="dxa"/>
            </w:tcMar>
          </w:tcPr>
          <w:p w14:paraId="40C45C4F" w14:textId="77777777" w:rsidR="008C18C0" w:rsidRDefault="008C18C0" w:rsidP="008C18C0">
            <w:pPr>
              <w:pStyle w:val="TableTextDusc"/>
              <w:rPr>
                <w:color w:val="000000"/>
              </w:rPr>
            </w:pPr>
            <w:r>
              <w:rPr>
                <w:color w:val="000000"/>
              </w:rPr>
              <w:t>NR</w:t>
            </w:r>
          </w:p>
        </w:tc>
      </w:tr>
      <w:tr w:rsidR="008C18C0" w:rsidRPr="00BA22FB" w14:paraId="0C31332E" w14:textId="77777777" w:rsidTr="008C18C0">
        <w:trPr>
          <w:cantSplit/>
        </w:trPr>
        <w:tc>
          <w:tcPr>
            <w:tcW w:w="9016" w:type="dxa"/>
            <w:gridSpan w:val="12"/>
            <w:tcMar>
              <w:left w:w="28" w:type="dxa"/>
              <w:right w:w="28" w:type="dxa"/>
            </w:tcMar>
          </w:tcPr>
          <w:p w14:paraId="124C1794" w14:textId="77777777" w:rsidR="008C18C0" w:rsidRPr="00BA22FB" w:rsidRDefault="008C18C0" w:rsidP="008C18C0">
            <w:pPr>
              <w:pStyle w:val="TableTextDusc"/>
              <w:rPr>
                <w:b/>
                <w:color w:val="000000"/>
              </w:rPr>
            </w:pPr>
            <w:r w:rsidRPr="00BA22FB">
              <w:rPr>
                <w:b/>
                <w:color w:val="000000"/>
              </w:rPr>
              <w:t>Ixekizumab</w:t>
            </w:r>
          </w:p>
        </w:tc>
      </w:tr>
      <w:tr w:rsidR="008C18C0" w14:paraId="02D9118D" w14:textId="77777777" w:rsidTr="008C18C0">
        <w:trPr>
          <w:cantSplit/>
        </w:trPr>
        <w:tc>
          <w:tcPr>
            <w:tcW w:w="1354" w:type="dxa"/>
            <w:tcMar>
              <w:left w:w="28" w:type="dxa"/>
              <w:right w:w="28" w:type="dxa"/>
            </w:tcMar>
          </w:tcPr>
          <w:p w14:paraId="568517D8" w14:textId="77777777" w:rsidR="008C18C0" w:rsidRPr="00626925" w:rsidRDefault="008C18C0" w:rsidP="008C18C0">
            <w:pPr>
              <w:pStyle w:val="TableTextDusc"/>
            </w:pPr>
            <w:r>
              <w:t>Leonardi (2012)</w:t>
            </w:r>
          </w:p>
        </w:tc>
        <w:tc>
          <w:tcPr>
            <w:tcW w:w="1051" w:type="dxa"/>
            <w:tcMar>
              <w:left w:w="28" w:type="dxa"/>
              <w:right w:w="28" w:type="dxa"/>
            </w:tcMar>
          </w:tcPr>
          <w:p w14:paraId="4AF092C8" w14:textId="77777777" w:rsidR="008C18C0" w:rsidRPr="00626925" w:rsidRDefault="008C18C0" w:rsidP="008C18C0">
            <w:pPr>
              <w:pStyle w:val="TableTextDusc"/>
            </w:pPr>
            <w:r>
              <w:t>52 weeks</w:t>
            </w:r>
          </w:p>
        </w:tc>
        <w:tc>
          <w:tcPr>
            <w:tcW w:w="598" w:type="dxa"/>
            <w:tcMar>
              <w:left w:w="28" w:type="dxa"/>
              <w:right w:w="28" w:type="dxa"/>
            </w:tcMar>
          </w:tcPr>
          <w:p w14:paraId="0A3BF048" w14:textId="77777777" w:rsidR="008C18C0" w:rsidRPr="00626925" w:rsidRDefault="008C18C0" w:rsidP="008C18C0">
            <w:pPr>
              <w:pStyle w:val="TableTextDusc"/>
            </w:pPr>
            <w:r>
              <w:t>Ixe</w:t>
            </w:r>
            <w:r w:rsidRPr="00EF7B6E">
              <w:rPr>
                <w:vertAlign w:val="superscript"/>
              </w:rPr>
              <w:t>11</w:t>
            </w:r>
          </w:p>
        </w:tc>
        <w:tc>
          <w:tcPr>
            <w:tcW w:w="518" w:type="dxa"/>
            <w:tcMar>
              <w:left w:w="28" w:type="dxa"/>
              <w:right w:w="28" w:type="dxa"/>
            </w:tcMar>
          </w:tcPr>
          <w:p w14:paraId="387DA3AB" w14:textId="77777777" w:rsidR="008C18C0" w:rsidRPr="00626925" w:rsidRDefault="008C18C0" w:rsidP="008C18C0">
            <w:pPr>
              <w:pStyle w:val="TableTextDusc"/>
              <w:rPr>
                <w:color w:val="000000"/>
              </w:rPr>
            </w:pPr>
            <w:r>
              <w:rPr>
                <w:color w:val="000000"/>
              </w:rPr>
              <w:t>120</w:t>
            </w:r>
          </w:p>
        </w:tc>
        <w:tc>
          <w:tcPr>
            <w:tcW w:w="550" w:type="dxa"/>
            <w:tcMar>
              <w:left w:w="28" w:type="dxa"/>
              <w:right w:w="28" w:type="dxa"/>
            </w:tcMar>
          </w:tcPr>
          <w:p w14:paraId="46FCA2B9" w14:textId="77777777" w:rsidR="008C18C0" w:rsidRPr="00626925" w:rsidRDefault="008C18C0" w:rsidP="008C18C0">
            <w:pPr>
              <w:pStyle w:val="TableTextDusc"/>
              <w:rPr>
                <w:color w:val="000000"/>
              </w:rPr>
            </w:pPr>
            <w:r>
              <w:rPr>
                <w:color w:val="000000"/>
              </w:rPr>
              <w:t>67%</w:t>
            </w:r>
          </w:p>
        </w:tc>
        <w:tc>
          <w:tcPr>
            <w:tcW w:w="532" w:type="dxa"/>
            <w:tcMar>
              <w:left w:w="28" w:type="dxa"/>
              <w:right w:w="28" w:type="dxa"/>
            </w:tcMar>
          </w:tcPr>
          <w:p w14:paraId="64FB779C" w14:textId="77777777" w:rsidR="008C18C0" w:rsidRPr="00626925" w:rsidRDefault="008C18C0" w:rsidP="008C18C0">
            <w:pPr>
              <w:pStyle w:val="TableTextDusc"/>
              <w:rPr>
                <w:color w:val="000000"/>
              </w:rPr>
            </w:pPr>
            <w:r>
              <w:rPr>
                <w:color w:val="000000"/>
              </w:rPr>
              <w:t>8%</w:t>
            </w:r>
          </w:p>
        </w:tc>
        <w:tc>
          <w:tcPr>
            <w:tcW w:w="565" w:type="dxa"/>
            <w:tcMar>
              <w:left w:w="28" w:type="dxa"/>
              <w:right w:w="28" w:type="dxa"/>
            </w:tcMar>
          </w:tcPr>
          <w:p w14:paraId="1E2884CC" w14:textId="77777777" w:rsidR="008C18C0" w:rsidRPr="00626925" w:rsidRDefault="008C18C0" w:rsidP="008C18C0">
            <w:pPr>
              <w:pStyle w:val="TableTextDusc"/>
              <w:rPr>
                <w:color w:val="000000"/>
              </w:rPr>
            </w:pPr>
            <w:r>
              <w:rPr>
                <w:color w:val="000000"/>
              </w:rPr>
              <w:t>NR</w:t>
            </w:r>
          </w:p>
        </w:tc>
        <w:tc>
          <w:tcPr>
            <w:tcW w:w="834" w:type="dxa"/>
            <w:tcMar>
              <w:left w:w="28" w:type="dxa"/>
              <w:right w:w="28" w:type="dxa"/>
            </w:tcMar>
          </w:tcPr>
          <w:p w14:paraId="137B59E2" w14:textId="77777777" w:rsidR="008C18C0" w:rsidRPr="00626925" w:rsidRDefault="008C18C0" w:rsidP="008C18C0">
            <w:pPr>
              <w:pStyle w:val="TableTextDusc"/>
              <w:rPr>
                <w:color w:val="000000"/>
              </w:rPr>
            </w:pPr>
            <w:r>
              <w:rPr>
                <w:color w:val="000000"/>
              </w:rPr>
              <w:t>NR</w:t>
            </w:r>
          </w:p>
        </w:tc>
        <w:tc>
          <w:tcPr>
            <w:tcW w:w="818" w:type="dxa"/>
            <w:tcMar>
              <w:left w:w="28" w:type="dxa"/>
              <w:right w:w="28" w:type="dxa"/>
            </w:tcMar>
          </w:tcPr>
          <w:p w14:paraId="7E33E96C" w14:textId="77777777" w:rsidR="008C18C0" w:rsidRPr="00626925" w:rsidRDefault="008C18C0" w:rsidP="008C18C0">
            <w:pPr>
              <w:pStyle w:val="TableTextDusc"/>
              <w:rPr>
                <w:color w:val="000000"/>
              </w:rPr>
            </w:pPr>
            <w:r>
              <w:rPr>
                <w:color w:val="000000"/>
              </w:rPr>
              <w:t>2%</w:t>
            </w:r>
          </w:p>
        </w:tc>
        <w:tc>
          <w:tcPr>
            <w:tcW w:w="1015" w:type="dxa"/>
            <w:tcMar>
              <w:left w:w="28" w:type="dxa"/>
              <w:right w:w="28" w:type="dxa"/>
            </w:tcMar>
          </w:tcPr>
          <w:p w14:paraId="288EC886" w14:textId="77777777" w:rsidR="008C18C0" w:rsidRDefault="008C18C0" w:rsidP="008C18C0">
            <w:pPr>
              <w:pStyle w:val="TableTextDusc"/>
              <w:rPr>
                <w:color w:val="000000"/>
              </w:rPr>
            </w:pPr>
            <w:r>
              <w:rPr>
                <w:color w:val="000000"/>
              </w:rPr>
              <w:t>1%</w:t>
            </w:r>
          </w:p>
        </w:tc>
        <w:tc>
          <w:tcPr>
            <w:tcW w:w="483" w:type="dxa"/>
            <w:tcMar>
              <w:left w:w="28" w:type="dxa"/>
              <w:right w:w="28" w:type="dxa"/>
            </w:tcMar>
          </w:tcPr>
          <w:p w14:paraId="08AF92ED" w14:textId="77777777" w:rsidR="008C18C0" w:rsidRDefault="008C18C0" w:rsidP="008C18C0">
            <w:pPr>
              <w:pStyle w:val="TableTextDusc"/>
              <w:rPr>
                <w:color w:val="000000"/>
              </w:rPr>
            </w:pPr>
            <w:r>
              <w:rPr>
                <w:color w:val="000000"/>
              </w:rPr>
              <w:t>3%</w:t>
            </w:r>
          </w:p>
        </w:tc>
        <w:tc>
          <w:tcPr>
            <w:tcW w:w="698" w:type="dxa"/>
            <w:tcMar>
              <w:left w:w="28" w:type="dxa"/>
              <w:right w:w="28" w:type="dxa"/>
            </w:tcMar>
          </w:tcPr>
          <w:p w14:paraId="52A44432" w14:textId="77777777" w:rsidR="008C18C0" w:rsidRDefault="008C18C0" w:rsidP="008C18C0">
            <w:pPr>
              <w:pStyle w:val="TableTextDusc"/>
              <w:rPr>
                <w:color w:val="000000"/>
              </w:rPr>
            </w:pPr>
            <w:r>
              <w:rPr>
                <w:color w:val="000000"/>
              </w:rPr>
              <w:t>NR</w:t>
            </w:r>
          </w:p>
        </w:tc>
      </w:tr>
      <w:tr w:rsidR="008C18C0" w:rsidRPr="00BA22FB" w14:paraId="2A355292" w14:textId="77777777" w:rsidTr="008C18C0">
        <w:trPr>
          <w:cantSplit/>
        </w:trPr>
        <w:tc>
          <w:tcPr>
            <w:tcW w:w="9016" w:type="dxa"/>
            <w:gridSpan w:val="12"/>
            <w:tcMar>
              <w:left w:w="28" w:type="dxa"/>
              <w:right w:w="28" w:type="dxa"/>
            </w:tcMar>
          </w:tcPr>
          <w:p w14:paraId="5C830A77" w14:textId="77777777" w:rsidR="008C18C0" w:rsidRPr="00BA22FB" w:rsidRDefault="008C18C0" w:rsidP="008C18C0">
            <w:pPr>
              <w:pStyle w:val="TableTextDusc"/>
              <w:rPr>
                <w:b/>
              </w:rPr>
            </w:pPr>
            <w:r w:rsidRPr="00BA22FB">
              <w:rPr>
                <w:b/>
              </w:rPr>
              <w:t>Ustekinumab</w:t>
            </w:r>
          </w:p>
        </w:tc>
      </w:tr>
      <w:tr w:rsidR="008C18C0" w14:paraId="617770EE" w14:textId="77777777" w:rsidTr="008C18C0">
        <w:trPr>
          <w:cantSplit/>
          <w:trHeight w:val="141"/>
        </w:trPr>
        <w:tc>
          <w:tcPr>
            <w:tcW w:w="1354" w:type="dxa"/>
            <w:vMerge w:val="restart"/>
            <w:tcMar>
              <w:left w:w="28" w:type="dxa"/>
              <w:right w:w="28" w:type="dxa"/>
            </w:tcMar>
          </w:tcPr>
          <w:p w14:paraId="5AAD85A0" w14:textId="77777777" w:rsidR="008C18C0" w:rsidRPr="00626925" w:rsidRDefault="008C18C0" w:rsidP="008C18C0">
            <w:pPr>
              <w:pStyle w:val="TableTextDusc"/>
            </w:pPr>
            <w:r>
              <w:t>PHOENIX 1</w:t>
            </w:r>
          </w:p>
        </w:tc>
        <w:tc>
          <w:tcPr>
            <w:tcW w:w="1051" w:type="dxa"/>
            <w:vMerge w:val="restart"/>
            <w:tcMar>
              <w:left w:w="28" w:type="dxa"/>
              <w:right w:w="28" w:type="dxa"/>
            </w:tcMar>
          </w:tcPr>
          <w:p w14:paraId="4DEC3C1E" w14:textId="77777777" w:rsidR="008C18C0" w:rsidRPr="00626925" w:rsidRDefault="008C18C0" w:rsidP="008C18C0">
            <w:pPr>
              <w:pStyle w:val="TableTextDusc"/>
            </w:pPr>
            <w:r>
              <w:t>3 years</w:t>
            </w:r>
          </w:p>
        </w:tc>
        <w:tc>
          <w:tcPr>
            <w:tcW w:w="598" w:type="dxa"/>
            <w:tcMar>
              <w:left w:w="28" w:type="dxa"/>
              <w:right w:w="28" w:type="dxa"/>
            </w:tcMar>
          </w:tcPr>
          <w:p w14:paraId="7ACB2170" w14:textId="77777777" w:rsidR="008C18C0" w:rsidRPr="00626925" w:rsidRDefault="008C18C0" w:rsidP="008C18C0">
            <w:pPr>
              <w:pStyle w:val="TableTextDusc"/>
            </w:pPr>
            <w:r>
              <w:t>Ust</w:t>
            </w:r>
            <w:r>
              <w:rPr>
                <w:vertAlign w:val="superscript"/>
              </w:rPr>
              <w:t>12*</w:t>
            </w:r>
          </w:p>
        </w:tc>
        <w:tc>
          <w:tcPr>
            <w:tcW w:w="518" w:type="dxa"/>
            <w:tcMar>
              <w:left w:w="28" w:type="dxa"/>
              <w:right w:w="28" w:type="dxa"/>
            </w:tcMar>
          </w:tcPr>
          <w:p w14:paraId="5DCEBE05" w14:textId="77777777" w:rsidR="008C18C0" w:rsidRPr="00626925" w:rsidRDefault="008C18C0" w:rsidP="008C18C0">
            <w:pPr>
              <w:pStyle w:val="TableTextDusc"/>
            </w:pPr>
            <w:r w:rsidRPr="00626925">
              <w:rPr>
                <w:color w:val="000000"/>
              </w:rPr>
              <w:t>378</w:t>
            </w:r>
          </w:p>
        </w:tc>
        <w:tc>
          <w:tcPr>
            <w:tcW w:w="550" w:type="dxa"/>
            <w:tcMar>
              <w:left w:w="28" w:type="dxa"/>
              <w:right w:w="28" w:type="dxa"/>
            </w:tcMar>
          </w:tcPr>
          <w:p w14:paraId="5F5CBB3A" w14:textId="77777777" w:rsidR="008C18C0" w:rsidRPr="00626925" w:rsidRDefault="008C18C0" w:rsidP="008C18C0">
            <w:pPr>
              <w:pStyle w:val="TableTextDusc"/>
            </w:pPr>
            <w:r w:rsidRPr="00626925">
              <w:rPr>
                <w:color w:val="000000"/>
              </w:rPr>
              <w:t>92%</w:t>
            </w:r>
          </w:p>
        </w:tc>
        <w:tc>
          <w:tcPr>
            <w:tcW w:w="532" w:type="dxa"/>
            <w:tcMar>
              <w:left w:w="28" w:type="dxa"/>
              <w:right w:w="28" w:type="dxa"/>
            </w:tcMar>
          </w:tcPr>
          <w:p w14:paraId="0387921D" w14:textId="77777777" w:rsidR="008C18C0" w:rsidRPr="00EF7B6E" w:rsidRDefault="008C18C0" w:rsidP="008C18C0">
            <w:pPr>
              <w:pStyle w:val="TableTextDusc"/>
              <w:rPr>
                <w:color w:val="000000"/>
              </w:rPr>
            </w:pPr>
            <w:r>
              <w:rPr>
                <w:color w:val="000000"/>
              </w:rPr>
              <w:t>8%</w:t>
            </w:r>
          </w:p>
        </w:tc>
        <w:tc>
          <w:tcPr>
            <w:tcW w:w="565" w:type="dxa"/>
            <w:tcMar>
              <w:left w:w="28" w:type="dxa"/>
              <w:right w:w="28" w:type="dxa"/>
            </w:tcMar>
          </w:tcPr>
          <w:p w14:paraId="02FD278C" w14:textId="77777777" w:rsidR="008C18C0" w:rsidRPr="00626925" w:rsidRDefault="008C18C0" w:rsidP="008C18C0">
            <w:pPr>
              <w:pStyle w:val="TableTextDusc"/>
            </w:pPr>
            <w:r w:rsidRPr="00626925">
              <w:rPr>
                <w:color w:val="000000"/>
              </w:rPr>
              <w:t>0</w:t>
            </w:r>
          </w:p>
        </w:tc>
        <w:tc>
          <w:tcPr>
            <w:tcW w:w="834" w:type="dxa"/>
            <w:tcMar>
              <w:left w:w="28" w:type="dxa"/>
              <w:right w:w="28" w:type="dxa"/>
            </w:tcMar>
          </w:tcPr>
          <w:p w14:paraId="44E2E480" w14:textId="77777777" w:rsidR="008C18C0" w:rsidRPr="00626925" w:rsidRDefault="008C18C0" w:rsidP="008C18C0">
            <w:pPr>
              <w:pStyle w:val="TableTextDusc"/>
            </w:pPr>
            <w:r w:rsidRPr="00626925">
              <w:rPr>
                <w:color w:val="000000"/>
              </w:rPr>
              <w:t>7</w:t>
            </w:r>
            <w:r>
              <w:rPr>
                <w:color w:val="000000"/>
              </w:rPr>
              <w:t>6</w:t>
            </w:r>
            <w:r w:rsidRPr="00626925">
              <w:rPr>
                <w:color w:val="000000"/>
              </w:rPr>
              <w:t>%</w:t>
            </w:r>
          </w:p>
        </w:tc>
        <w:tc>
          <w:tcPr>
            <w:tcW w:w="818" w:type="dxa"/>
            <w:tcMar>
              <w:left w:w="28" w:type="dxa"/>
              <w:right w:w="28" w:type="dxa"/>
            </w:tcMar>
          </w:tcPr>
          <w:p w14:paraId="4F64D6A5" w14:textId="77777777" w:rsidR="008C18C0" w:rsidRPr="00626925" w:rsidRDefault="008C18C0" w:rsidP="008C18C0">
            <w:pPr>
              <w:pStyle w:val="TableTextDusc"/>
            </w:pPr>
            <w:r w:rsidRPr="00626925">
              <w:rPr>
                <w:color w:val="000000"/>
              </w:rPr>
              <w:t>1%</w:t>
            </w:r>
          </w:p>
        </w:tc>
        <w:tc>
          <w:tcPr>
            <w:tcW w:w="1015" w:type="dxa"/>
            <w:tcMar>
              <w:left w:w="28" w:type="dxa"/>
              <w:right w:w="28" w:type="dxa"/>
            </w:tcMar>
          </w:tcPr>
          <w:p w14:paraId="6A8B681B" w14:textId="77777777" w:rsidR="008C18C0" w:rsidRPr="00626925" w:rsidRDefault="008C18C0" w:rsidP="008C18C0">
            <w:pPr>
              <w:pStyle w:val="TableTextDusc"/>
            </w:pPr>
            <w:r w:rsidRPr="00626925">
              <w:rPr>
                <w:color w:val="000000"/>
              </w:rPr>
              <w:t>4%</w:t>
            </w:r>
          </w:p>
        </w:tc>
        <w:tc>
          <w:tcPr>
            <w:tcW w:w="483" w:type="dxa"/>
            <w:tcMar>
              <w:left w:w="28" w:type="dxa"/>
              <w:right w:w="28" w:type="dxa"/>
            </w:tcMar>
          </w:tcPr>
          <w:p w14:paraId="0125D0CB" w14:textId="77777777" w:rsidR="008C18C0" w:rsidRPr="00626925" w:rsidRDefault="008C18C0" w:rsidP="008C18C0">
            <w:pPr>
              <w:pStyle w:val="TableTextDusc"/>
            </w:pPr>
            <w:r w:rsidRPr="00626925">
              <w:rPr>
                <w:color w:val="000000"/>
              </w:rPr>
              <w:t>1%</w:t>
            </w:r>
          </w:p>
        </w:tc>
        <w:tc>
          <w:tcPr>
            <w:tcW w:w="698" w:type="dxa"/>
            <w:tcMar>
              <w:left w:w="28" w:type="dxa"/>
              <w:right w:w="28" w:type="dxa"/>
            </w:tcMar>
          </w:tcPr>
          <w:p w14:paraId="22C7AE53" w14:textId="77777777" w:rsidR="008C18C0" w:rsidRPr="00626925" w:rsidRDefault="008C18C0" w:rsidP="008C18C0">
            <w:pPr>
              <w:pStyle w:val="TableTextDusc"/>
            </w:pPr>
            <w:r>
              <w:rPr>
                <w:color w:val="000000"/>
              </w:rPr>
              <w:t>NR</w:t>
            </w:r>
            <w:r w:rsidRPr="00626925">
              <w:rPr>
                <w:color w:val="000000"/>
              </w:rPr>
              <w:t> </w:t>
            </w:r>
          </w:p>
        </w:tc>
      </w:tr>
      <w:tr w:rsidR="008C18C0" w14:paraId="709F0D1E" w14:textId="77777777" w:rsidTr="008C18C0">
        <w:trPr>
          <w:cantSplit/>
          <w:trHeight w:val="61"/>
        </w:trPr>
        <w:tc>
          <w:tcPr>
            <w:tcW w:w="1354" w:type="dxa"/>
            <w:vMerge/>
            <w:tcMar>
              <w:left w:w="28" w:type="dxa"/>
              <w:right w:w="28" w:type="dxa"/>
            </w:tcMar>
          </w:tcPr>
          <w:p w14:paraId="3E344A71" w14:textId="77777777" w:rsidR="008C18C0" w:rsidRDefault="008C18C0" w:rsidP="008C18C0">
            <w:pPr>
              <w:pStyle w:val="TableTextDusc"/>
            </w:pPr>
          </w:p>
        </w:tc>
        <w:tc>
          <w:tcPr>
            <w:tcW w:w="1051" w:type="dxa"/>
            <w:vMerge/>
            <w:tcMar>
              <w:left w:w="28" w:type="dxa"/>
              <w:right w:w="28" w:type="dxa"/>
            </w:tcMar>
          </w:tcPr>
          <w:p w14:paraId="7718A977" w14:textId="77777777" w:rsidR="008C18C0" w:rsidRDefault="008C18C0" w:rsidP="008C18C0">
            <w:pPr>
              <w:pStyle w:val="TableTextDusc"/>
            </w:pPr>
          </w:p>
        </w:tc>
        <w:tc>
          <w:tcPr>
            <w:tcW w:w="598" w:type="dxa"/>
            <w:tcMar>
              <w:left w:w="28" w:type="dxa"/>
              <w:right w:w="28" w:type="dxa"/>
            </w:tcMar>
          </w:tcPr>
          <w:p w14:paraId="082A20F6" w14:textId="77777777" w:rsidR="008C18C0" w:rsidRPr="00626925" w:rsidRDefault="008C18C0" w:rsidP="008C18C0">
            <w:pPr>
              <w:pStyle w:val="TableTextDusc"/>
            </w:pPr>
            <w:r>
              <w:t>Ust</w:t>
            </w:r>
            <w:r>
              <w:rPr>
                <w:vertAlign w:val="superscript"/>
              </w:rPr>
              <w:t>13</w:t>
            </w:r>
          </w:p>
        </w:tc>
        <w:tc>
          <w:tcPr>
            <w:tcW w:w="518" w:type="dxa"/>
            <w:tcMar>
              <w:left w:w="28" w:type="dxa"/>
              <w:right w:w="28" w:type="dxa"/>
            </w:tcMar>
          </w:tcPr>
          <w:p w14:paraId="533F320A" w14:textId="77777777" w:rsidR="008C18C0" w:rsidRDefault="008C18C0" w:rsidP="008C18C0">
            <w:pPr>
              <w:pStyle w:val="TableTextDusc"/>
              <w:rPr>
                <w:color w:val="000000"/>
              </w:rPr>
            </w:pPr>
            <w:r>
              <w:rPr>
                <w:color w:val="000000"/>
              </w:rPr>
              <w:t>375</w:t>
            </w:r>
          </w:p>
        </w:tc>
        <w:tc>
          <w:tcPr>
            <w:tcW w:w="550" w:type="dxa"/>
            <w:tcMar>
              <w:left w:w="28" w:type="dxa"/>
              <w:right w:w="28" w:type="dxa"/>
            </w:tcMar>
          </w:tcPr>
          <w:p w14:paraId="3A6F9E12" w14:textId="77777777" w:rsidR="008C18C0" w:rsidRDefault="008C18C0" w:rsidP="008C18C0">
            <w:pPr>
              <w:pStyle w:val="TableTextDusc"/>
              <w:rPr>
                <w:color w:val="000000"/>
              </w:rPr>
            </w:pPr>
            <w:r>
              <w:rPr>
                <w:color w:val="000000"/>
              </w:rPr>
              <w:t>91%</w:t>
            </w:r>
          </w:p>
        </w:tc>
        <w:tc>
          <w:tcPr>
            <w:tcW w:w="532" w:type="dxa"/>
            <w:tcMar>
              <w:left w:w="28" w:type="dxa"/>
              <w:right w:w="28" w:type="dxa"/>
            </w:tcMar>
          </w:tcPr>
          <w:p w14:paraId="670FFCB7" w14:textId="77777777" w:rsidR="008C18C0" w:rsidRDefault="008C18C0" w:rsidP="008C18C0">
            <w:pPr>
              <w:pStyle w:val="TableTextDusc"/>
              <w:rPr>
                <w:color w:val="000000"/>
              </w:rPr>
            </w:pPr>
            <w:r>
              <w:rPr>
                <w:color w:val="000000"/>
              </w:rPr>
              <w:t>10%</w:t>
            </w:r>
          </w:p>
        </w:tc>
        <w:tc>
          <w:tcPr>
            <w:tcW w:w="565" w:type="dxa"/>
            <w:tcMar>
              <w:left w:w="28" w:type="dxa"/>
              <w:right w:w="28" w:type="dxa"/>
            </w:tcMar>
          </w:tcPr>
          <w:p w14:paraId="6B5EF310" w14:textId="77777777" w:rsidR="008C18C0" w:rsidRDefault="008C18C0" w:rsidP="008C18C0">
            <w:pPr>
              <w:pStyle w:val="TableTextDusc"/>
              <w:rPr>
                <w:color w:val="000000"/>
              </w:rPr>
            </w:pPr>
            <w:r>
              <w:rPr>
                <w:color w:val="000000"/>
              </w:rPr>
              <w:t>1%</w:t>
            </w:r>
          </w:p>
        </w:tc>
        <w:tc>
          <w:tcPr>
            <w:tcW w:w="834" w:type="dxa"/>
            <w:tcMar>
              <w:left w:w="28" w:type="dxa"/>
              <w:right w:w="28" w:type="dxa"/>
            </w:tcMar>
          </w:tcPr>
          <w:p w14:paraId="349F8CF2" w14:textId="77777777" w:rsidR="008C18C0" w:rsidRDefault="008C18C0" w:rsidP="008C18C0">
            <w:pPr>
              <w:pStyle w:val="TableTextDusc"/>
              <w:rPr>
                <w:color w:val="000000"/>
              </w:rPr>
            </w:pPr>
            <w:r>
              <w:rPr>
                <w:color w:val="000000"/>
              </w:rPr>
              <w:t>77%</w:t>
            </w:r>
          </w:p>
        </w:tc>
        <w:tc>
          <w:tcPr>
            <w:tcW w:w="818" w:type="dxa"/>
            <w:tcMar>
              <w:left w:w="28" w:type="dxa"/>
              <w:right w:w="28" w:type="dxa"/>
            </w:tcMar>
          </w:tcPr>
          <w:p w14:paraId="67EEFB8D" w14:textId="77777777" w:rsidR="008C18C0" w:rsidRDefault="008C18C0" w:rsidP="008C18C0">
            <w:pPr>
              <w:pStyle w:val="TableTextDusc"/>
              <w:rPr>
                <w:color w:val="000000"/>
              </w:rPr>
            </w:pPr>
            <w:r>
              <w:rPr>
                <w:color w:val="000000"/>
              </w:rPr>
              <w:t>3%</w:t>
            </w:r>
          </w:p>
        </w:tc>
        <w:tc>
          <w:tcPr>
            <w:tcW w:w="1015" w:type="dxa"/>
            <w:tcMar>
              <w:left w:w="28" w:type="dxa"/>
              <w:right w:w="28" w:type="dxa"/>
            </w:tcMar>
          </w:tcPr>
          <w:p w14:paraId="56352FAE" w14:textId="77777777" w:rsidR="008C18C0" w:rsidRDefault="008C18C0" w:rsidP="008C18C0">
            <w:pPr>
              <w:pStyle w:val="TableTextDusc"/>
              <w:rPr>
                <w:color w:val="000000"/>
              </w:rPr>
            </w:pPr>
            <w:r>
              <w:rPr>
                <w:color w:val="000000"/>
              </w:rPr>
              <w:t>1%</w:t>
            </w:r>
          </w:p>
        </w:tc>
        <w:tc>
          <w:tcPr>
            <w:tcW w:w="483" w:type="dxa"/>
            <w:tcMar>
              <w:left w:w="28" w:type="dxa"/>
              <w:right w:w="28" w:type="dxa"/>
            </w:tcMar>
          </w:tcPr>
          <w:p w14:paraId="51730FC9" w14:textId="77777777" w:rsidR="008C18C0" w:rsidRDefault="008C18C0" w:rsidP="008C18C0">
            <w:pPr>
              <w:pStyle w:val="TableTextDusc"/>
              <w:rPr>
                <w:color w:val="000000"/>
              </w:rPr>
            </w:pPr>
            <w:r>
              <w:rPr>
                <w:color w:val="000000"/>
              </w:rPr>
              <w:t>&lt; 1%</w:t>
            </w:r>
          </w:p>
        </w:tc>
        <w:tc>
          <w:tcPr>
            <w:tcW w:w="698" w:type="dxa"/>
            <w:tcMar>
              <w:left w:w="28" w:type="dxa"/>
              <w:right w:w="28" w:type="dxa"/>
            </w:tcMar>
          </w:tcPr>
          <w:p w14:paraId="4631693C" w14:textId="77777777" w:rsidR="008C18C0" w:rsidRDefault="008C18C0" w:rsidP="008C18C0">
            <w:pPr>
              <w:pStyle w:val="TableTextDusc"/>
              <w:rPr>
                <w:color w:val="000000"/>
              </w:rPr>
            </w:pPr>
            <w:r>
              <w:rPr>
                <w:color w:val="000000"/>
              </w:rPr>
              <w:t>NR</w:t>
            </w:r>
          </w:p>
        </w:tc>
      </w:tr>
      <w:tr w:rsidR="008C18C0" w14:paraId="4B0AE999" w14:textId="77777777" w:rsidTr="008C18C0">
        <w:trPr>
          <w:cantSplit/>
          <w:trHeight w:val="265"/>
        </w:trPr>
        <w:tc>
          <w:tcPr>
            <w:tcW w:w="1354" w:type="dxa"/>
            <w:vMerge/>
            <w:tcMar>
              <w:left w:w="28" w:type="dxa"/>
              <w:right w:w="28" w:type="dxa"/>
            </w:tcMar>
          </w:tcPr>
          <w:p w14:paraId="20C72E70" w14:textId="77777777" w:rsidR="008C18C0" w:rsidRPr="00626925" w:rsidRDefault="008C18C0" w:rsidP="008C18C0">
            <w:pPr>
              <w:pStyle w:val="TableTextDusc"/>
            </w:pPr>
          </w:p>
        </w:tc>
        <w:tc>
          <w:tcPr>
            <w:tcW w:w="1051" w:type="dxa"/>
            <w:vMerge w:val="restart"/>
            <w:tcMar>
              <w:left w:w="28" w:type="dxa"/>
              <w:right w:w="28" w:type="dxa"/>
            </w:tcMar>
          </w:tcPr>
          <w:p w14:paraId="144D3FF4" w14:textId="77777777" w:rsidR="008C18C0" w:rsidRDefault="008C18C0" w:rsidP="008C18C0">
            <w:pPr>
              <w:pStyle w:val="TableTextDusc"/>
            </w:pPr>
            <w:r>
              <w:t>5 years</w:t>
            </w:r>
          </w:p>
        </w:tc>
        <w:tc>
          <w:tcPr>
            <w:tcW w:w="598" w:type="dxa"/>
            <w:tcMar>
              <w:left w:w="28" w:type="dxa"/>
              <w:right w:w="28" w:type="dxa"/>
            </w:tcMar>
          </w:tcPr>
          <w:p w14:paraId="729B2F22" w14:textId="77777777" w:rsidR="008C18C0" w:rsidRPr="00626925" w:rsidRDefault="008C18C0" w:rsidP="008C18C0">
            <w:pPr>
              <w:pStyle w:val="TableTextDusc"/>
            </w:pPr>
            <w:r>
              <w:t>Ust</w:t>
            </w:r>
            <w:r>
              <w:rPr>
                <w:vertAlign w:val="superscript"/>
              </w:rPr>
              <w:t>12*</w:t>
            </w:r>
          </w:p>
        </w:tc>
        <w:tc>
          <w:tcPr>
            <w:tcW w:w="518" w:type="dxa"/>
            <w:tcMar>
              <w:left w:w="28" w:type="dxa"/>
              <w:right w:w="28" w:type="dxa"/>
            </w:tcMar>
          </w:tcPr>
          <w:p w14:paraId="466C0DBB" w14:textId="77777777" w:rsidR="008C18C0" w:rsidRPr="00626925" w:rsidRDefault="008C18C0" w:rsidP="008C18C0">
            <w:pPr>
              <w:pStyle w:val="TableTextDusc"/>
            </w:pPr>
            <w:r>
              <w:t>289</w:t>
            </w:r>
          </w:p>
        </w:tc>
        <w:tc>
          <w:tcPr>
            <w:tcW w:w="550" w:type="dxa"/>
            <w:tcMar>
              <w:left w:w="28" w:type="dxa"/>
              <w:right w:w="28" w:type="dxa"/>
            </w:tcMar>
          </w:tcPr>
          <w:p w14:paraId="3A57ABCE" w14:textId="77777777" w:rsidR="008C18C0" w:rsidRPr="00626925" w:rsidRDefault="008C18C0" w:rsidP="008C18C0">
            <w:pPr>
              <w:pStyle w:val="TableTextDusc"/>
            </w:pPr>
            <w:r>
              <w:t>NR</w:t>
            </w:r>
          </w:p>
        </w:tc>
        <w:tc>
          <w:tcPr>
            <w:tcW w:w="532" w:type="dxa"/>
            <w:tcMar>
              <w:left w:w="28" w:type="dxa"/>
              <w:right w:w="28" w:type="dxa"/>
            </w:tcMar>
          </w:tcPr>
          <w:p w14:paraId="5066D4C1" w14:textId="77777777" w:rsidR="008C18C0" w:rsidRPr="00626925" w:rsidRDefault="008C18C0" w:rsidP="008C18C0">
            <w:pPr>
              <w:pStyle w:val="TableTextDusc"/>
            </w:pPr>
            <w:r>
              <w:t>NR</w:t>
            </w:r>
          </w:p>
        </w:tc>
        <w:tc>
          <w:tcPr>
            <w:tcW w:w="565" w:type="dxa"/>
            <w:tcMar>
              <w:left w:w="28" w:type="dxa"/>
              <w:right w:w="28" w:type="dxa"/>
            </w:tcMar>
          </w:tcPr>
          <w:p w14:paraId="13FCBE91" w14:textId="77777777" w:rsidR="008C18C0" w:rsidRPr="00626925" w:rsidRDefault="008C18C0" w:rsidP="008C18C0">
            <w:pPr>
              <w:pStyle w:val="TableTextDusc"/>
            </w:pPr>
            <w:r>
              <w:rPr>
                <w:color w:val="000000"/>
              </w:rPr>
              <w:t>&lt; 1%</w:t>
            </w:r>
          </w:p>
        </w:tc>
        <w:tc>
          <w:tcPr>
            <w:tcW w:w="834" w:type="dxa"/>
            <w:tcMar>
              <w:left w:w="28" w:type="dxa"/>
              <w:right w:w="28" w:type="dxa"/>
            </w:tcMar>
          </w:tcPr>
          <w:p w14:paraId="62277AF8" w14:textId="77777777" w:rsidR="008C18C0" w:rsidRPr="00EF7B6E" w:rsidRDefault="008C18C0" w:rsidP="008C18C0">
            <w:pPr>
              <w:pStyle w:val="TableTextDusc"/>
              <w:rPr>
                <w:color w:val="000000"/>
              </w:rPr>
            </w:pPr>
            <w:r>
              <w:rPr>
                <w:color w:val="000000"/>
              </w:rPr>
              <w:t>NR</w:t>
            </w:r>
          </w:p>
        </w:tc>
        <w:tc>
          <w:tcPr>
            <w:tcW w:w="818" w:type="dxa"/>
            <w:tcMar>
              <w:left w:w="28" w:type="dxa"/>
              <w:right w:w="28" w:type="dxa"/>
            </w:tcMar>
          </w:tcPr>
          <w:p w14:paraId="1FA56213" w14:textId="77777777" w:rsidR="008C18C0" w:rsidRPr="00626925" w:rsidRDefault="008C18C0" w:rsidP="008C18C0">
            <w:pPr>
              <w:pStyle w:val="TableTextDusc"/>
            </w:pPr>
            <w:r>
              <w:rPr>
                <w:color w:val="000000"/>
              </w:rPr>
              <w:t>5%</w:t>
            </w:r>
          </w:p>
        </w:tc>
        <w:tc>
          <w:tcPr>
            <w:tcW w:w="1015" w:type="dxa"/>
            <w:tcMar>
              <w:left w:w="28" w:type="dxa"/>
              <w:right w:w="28" w:type="dxa"/>
            </w:tcMar>
          </w:tcPr>
          <w:p w14:paraId="26B02E8C" w14:textId="77777777" w:rsidR="008C18C0" w:rsidRPr="00626925" w:rsidRDefault="008C18C0" w:rsidP="008C18C0">
            <w:pPr>
              <w:pStyle w:val="TableTextDusc"/>
            </w:pPr>
            <w:r>
              <w:rPr>
                <w:color w:val="000000"/>
              </w:rPr>
              <w:t>3%</w:t>
            </w:r>
          </w:p>
        </w:tc>
        <w:tc>
          <w:tcPr>
            <w:tcW w:w="483" w:type="dxa"/>
            <w:tcMar>
              <w:left w:w="28" w:type="dxa"/>
              <w:right w:w="28" w:type="dxa"/>
            </w:tcMar>
          </w:tcPr>
          <w:p w14:paraId="4FF67AD0" w14:textId="77777777" w:rsidR="008C18C0" w:rsidRPr="00626925" w:rsidRDefault="008C18C0" w:rsidP="008C18C0">
            <w:pPr>
              <w:pStyle w:val="TableTextDusc"/>
            </w:pPr>
            <w:r>
              <w:rPr>
                <w:color w:val="000000"/>
              </w:rPr>
              <w:t>3%</w:t>
            </w:r>
          </w:p>
        </w:tc>
        <w:tc>
          <w:tcPr>
            <w:tcW w:w="698" w:type="dxa"/>
            <w:tcMar>
              <w:left w:w="28" w:type="dxa"/>
              <w:right w:w="28" w:type="dxa"/>
            </w:tcMar>
          </w:tcPr>
          <w:p w14:paraId="3DD2621E" w14:textId="77777777" w:rsidR="008C18C0" w:rsidRPr="00626925" w:rsidRDefault="008C18C0" w:rsidP="008C18C0">
            <w:pPr>
              <w:pStyle w:val="TableTextDusc"/>
            </w:pPr>
            <w:r>
              <w:rPr>
                <w:color w:val="000000"/>
              </w:rPr>
              <w:t>NR</w:t>
            </w:r>
            <w:r w:rsidRPr="00626925">
              <w:rPr>
                <w:color w:val="000000"/>
              </w:rPr>
              <w:t> </w:t>
            </w:r>
          </w:p>
        </w:tc>
      </w:tr>
      <w:tr w:rsidR="008C18C0" w14:paraId="22A5F1EE" w14:textId="77777777" w:rsidTr="008C18C0">
        <w:trPr>
          <w:cantSplit/>
          <w:trHeight w:val="171"/>
        </w:trPr>
        <w:tc>
          <w:tcPr>
            <w:tcW w:w="1354" w:type="dxa"/>
            <w:vMerge/>
            <w:tcMar>
              <w:left w:w="28" w:type="dxa"/>
              <w:right w:w="28" w:type="dxa"/>
            </w:tcMar>
          </w:tcPr>
          <w:p w14:paraId="7CB05E1B" w14:textId="77777777" w:rsidR="008C18C0" w:rsidRPr="00626925" w:rsidRDefault="008C18C0" w:rsidP="008C18C0">
            <w:pPr>
              <w:pStyle w:val="TableTextDusc"/>
            </w:pPr>
          </w:p>
        </w:tc>
        <w:tc>
          <w:tcPr>
            <w:tcW w:w="1051" w:type="dxa"/>
            <w:vMerge/>
            <w:tcMar>
              <w:left w:w="28" w:type="dxa"/>
              <w:right w:w="28" w:type="dxa"/>
            </w:tcMar>
          </w:tcPr>
          <w:p w14:paraId="1517359C" w14:textId="77777777" w:rsidR="008C18C0" w:rsidRPr="00626925" w:rsidRDefault="008C18C0" w:rsidP="008C18C0">
            <w:pPr>
              <w:pStyle w:val="TableTextDusc"/>
            </w:pPr>
          </w:p>
        </w:tc>
        <w:tc>
          <w:tcPr>
            <w:tcW w:w="598" w:type="dxa"/>
            <w:tcMar>
              <w:left w:w="28" w:type="dxa"/>
              <w:right w:w="28" w:type="dxa"/>
            </w:tcMar>
          </w:tcPr>
          <w:p w14:paraId="367068A1" w14:textId="77777777" w:rsidR="008C18C0" w:rsidRPr="00626925" w:rsidRDefault="008C18C0" w:rsidP="008C18C0">
            <w:pPr>
              <w:pStyle w:val="TableTextDusc"/>
            </w:pPr>
            <w:r>
              <w:t>Ust</w:t>
            </w:r>
            <w:r w:rsidRPr="00EF7B6E">
              <w:rPr>
                <w:vertAlign w:val="superscript"/>
              </w:rPr>
              <w:t>13</w:t>
            </w:r>
          </w:p>
        </w:tc>
        <w:tc>
          <w:tcPr>
            <w:tcW w:w="518" w:type="dxa"/>
            <w:tcMar>
              <w:left w:w="28" w:type="dxa"/>
              <w:right w:w="28" w:type="dxa"/>
            </w:tcMar>
          </w:tcPr>
          <w:p w14:paraId="116AC2DB" w14:textId="77777777" w:rsidR="008C18C0" w:rsidRDefault="008C18C0" w:rsidP="008C18C0">
            <w:pPr>
              <w:pStyle w:val="TableTextDusc"/>
            </w:pPr>
            <w:r>
              <w:t>254</w:t>
            </w:r>
          </w:p>
        </w:tc>
        <w:tc>
          <w:tcPr>
            <w:tcW w:w="550" w:type="dxa"/>
            <w:tcMar>
              <w:left w:w="28" w:type="dxa"/>
              <w:right w:w="28" w:type="dxa"/>
            </w:tcMar>
          </w:tcPr>
          <w:p w14:paraId="47C20148" w14:textId="77777777" w:rsidR="008C18C0" w:rsidRDefault="008C18C0" w:rsidP="008C18C0">
            <w:pPr>
              <w:pStyle w:val="TableTextDusc"/>
            </w:pPr>
            <w:r>
              <w:t>NR</w:t>
            </w:r>
          </w:p>
        </w:tc>
        <w:tc>
          <w:tcPr>
            <w:tcW w:w="532" w:type="dxa"/>
            <w:tcMar>
              <w:left w:w="28" w:type="dxa"/>
              <w:right w:w="28" w:type="dxa"/>
            </w:tcMar>
          </w:tcPr>
          <w:p w14:paraId="78B80A0F" w14:textId="77777777" w:rsidR="008C18C0" w:rsidRDefault="008C18C0" w:rsidP="008C18C0">
            <w:pPr>
              <w:pStyle w:val="TableTextDusc"/>
            </w:pPr>
            <w:r>
              <w:t>NR</w:t>
            </w:r>
          </w:p>
        </w:tc>
        <w:tc>
          <w:tcPr>
            <w:tcW w:w="565" w:type="dxa"/>
            <w:tcMar>
              <w:left w:w="28" w:type="dxa"/>
              <w:right w:w="28" w:type="dxa"/>
            </w:tcMar>
          </w:tcPr>
          <w:p w14:paraId="4766D8A9" w14:textId="77777777" w:rsidR="008C18C0" w:rsidRDefault="008C18C0" w:rsidP="008C18C0">
            <w:pPr>
              <w:pStyle w:val="TableTextDusc"/>
              <w:rPr>
                <w:color w:val="000000"/>
              </w:rPr>
            </w:pPr>
            <w:r>
              <w:rPr>
                <w:color w:val="000000"/>
              </w:rPr>
              <w:t>2%</w:t>
            </w:r>
          </w:p>
        </w:tc>
        <w:tc>
          <w:tcPr>
            <w:tcW w:w="834" w:type="dxa"/>
            <w:tcMar>
              <w:left w:w="28" w:type="dxa"/>
              <w:right w:w="28" w:type="dxa"/>
            </w:tcMar>
          </w:tcPr>
          <w:p w14:paraId="4F92A4EF" w14:textId="77777777" w:rsidR="008C18C0" w:rsidRDefault="008C18C0" w:rsidP="008C18C0">
            <w:pPr>
              <w:pStyle w:val="TableTextDusc"/>
              <w:rPr>
                <w:color w:val="000000"/>
              </w:rPr>
            </w:pPr>
            <w:r>
              <w:rPr>
                <w:color w:val="000000"/>
              </w:rPr>
              <w:t>NR</w:t>
            </w:r>
          </w:p>
        </w:tc>
        <w:tc>
          <w:tcPr>
            <w:tcW w:w="818" w:type="dxa"/>
            <w:tcMar>
              <w:left w:w="28" w:type="dxa"/>
              <w:right w:w="28" w:type="dxa"/>
            </w:tcMar>
          </w:tcPr>
          <w:p w14:paraId="47CE40FC" w14:textId="77777777" w:rsidR="008C18C0" w:rsidRDefault="008C18C0" w:rsidP="008C18C0">
            <w:pPr>
              <w:pStyle w:val="TableTextDusc"/>
              <w:rPr>
                <w:color w:val="000000"/>
              </w:rPr>
            </w:pPr>
            <w:r>
              <w:rPr>
                <w:color w:val="000000"/>
              </w:rPr>
              <w:t>7%</w:t>
            </w:r>
          </w:p>
        </w:tc>
        <w:tc>
          <w:tcPr>
            <w:tcW w:w="1015" w:type="dxa"/>
            <w:tcMar>
              <w:left w:w="28" w:type="dxa"/>
              <w:right w:w="28" w:type="dxa"/>
            </w:tcMar>
          </w:tcPr>
          <w:p w14:paraId="4E9FED6C" w14:textId="77777777" w:rsidR="008C18C0" w:rsidRDefault="008C18C0" w:rsidP="008C18C0">
            <w:pPr>
              <w:pStyle w:val="TableTextDusc"/>
              <w:rPr>
                <w:color w:val="000000"/>
              </w:rPr>
            </w:pPr>
            <w:r>
              <w:rPr>
                <w:color w:val="000000"/>
              </w:rPr>
              <w:t>2%</w:t>
            </w:r>
          </w:p>
        </w:tc>
        <w:tc>
          <w:tcPr>
            <w:tcW w:w="483" w:type="dxa"/>
            <w:tcMar>
              <w:left w:w="28" w:type="dxa"/>
              <w:right w:w="28" w:type="dxa"/>
            </w:tcMar>
          </w:tcPr>
          <w:p w14:paraId="686414F5" w14:textId="77777777" w:rsidR="008C18C0" w:rsidRDefault="008C18C0" w:rsidP="008C18C0">
            <w:pPr>
              <w:pStyle w:val="TableTextDusc"/>
              <w:rPr>
                <w:color w:val="000000"/>
              </w:rPr>
            </w:pPr>
            <w:r>
              <w:rPr>
                <w:color w:val="000000"/>
              </w:rPr>
              <w:t>1%</w:t>
            </w:r>
          </w:p>
        </w:tc>
        <w:tc>
          <w:tcPr>
            <w:tcW w:w="698" w:type="dxa"/>
            <w:tcMar>
              <w:left w:w="28" w:type="dxa"/>
              <w:right w:w="28" w:type="dxa"/>
            </w:tcMar>
          </w:tcPr>
          <w:p w14:paraId="6284FB34" w14:textId="77777777" w:rsidR="008C18C0" w:rsidRDefault="008C18C0" w:rsidP="008C18C0">
            <w:pPr>
              <w:pStyle w:val="TableTextDusc"/>
              <w:rPr>
                <w:color w:val="000000"/>
              </w:rPr>
            </w:pPr>
            <w:r>
              <w:rPr>
                <w:color w:val="000000"/>
              </w:rPr>
              <w:t>NR</w:t>
            </w:r>
          </w:p>
        </w:tc>
      </w:tr>
    </w:tbl>
    <w:p w14:paraId="533EEA7C" w14:textId="77777777" w:rsidR="008C18C0" w:rsidRPr="00804DDE" w:rsidRDefault="008C18C0" w:rsidP="008C18C0">
      <w:pPr>
        <w:pStyle w:val="TableFooter"/>
        <w:rPr>
          <w:i/>
        </w:rPr>
      </w:pPr>
      <w:r>
        <w:t xml:space="preserve">Ada = adalimumab; AE = adverse event; CVD = cardiovascular disease; Inf = infliximab; IV = intravenous; </w:t>
      </w:r>
      <w:r w:rsidRPr="005A311B">
        <w:t xml:space="preserve">NR = not reported; </w:t>
      </w:r>
      <w:r>
        <w:t xml:space="preserve">PI = Product Information; SAE = serious adverse event; SC = subcutaneous; Ust = ustekinumab; </w:t>
      </w:r>
      <w:r w:rsidRPr="00804DDE">
        <w:rPr>
          <w:i/>
        </w:rPr>
        <w:t>Italics = number of events</w:t>
      </w:r>
    </w:p>
    <w:p w14:paraId="2FB68BA3" w14:textId="77777777" w:rsidR="008C18C0" w:rsidRDefault="008C18C0" w:rsidP="008C18C0">
      <w:pPr>
        <w:pStyle w:val="TableFooter"/>
      </w:pPr>
      <w:r w:rsidRPr="003C2CDE">
        <w:rPr>
          <w:vertAlign w:val="superscript"/>
        </w:rPr>
        <w:t>1</w:t>
      </w:r>
      <w:r>
        <w:rPr>
          <w:vertAlign w:val="superscript"/>
        </w:rPr>
        <w:t>*</w:t>
      </w:r>
      <w:r>
        <w:t xml:space="preserve"> Adalimumab 80 mg SC Week 0; then 40 mg every other week (PI recommended dose)</w:t>
      </w:r>
    </w:p>
    <w:p w14:paraId="0917B7F9" w14:textId="77777777" w:rsidR="008C18C0" w:rsidRDefault="008C18C0" w:rsidP="008C18C0">
      <w:pPr>
        <w:pStyle w:val="TableFooter"/>
      </w:pPr>
      <w:r w:rsidRPr="003C2CDE">
        <w:rPr>
          <w:vertAlign w:val="superscript"/>
        </w:rPr>
        <w:t>2</w:t>
      </w:r>
      <w:r>
        <w:t xml:space="preserve"> Adalimumab 80 mg SC Week 0; then 40 mg every week</w:t>
      </w:r>
    </w:p>
    <w:p w14:paraId="6DF97112" w14:textId="77777777" w:rsidR="008C18C0" w:rsidRPr="00CF258B" w:rsidRDefault="008C18C0" w:rsidP="008C18C0">
      <w:pPr>
        <w:pStyle w:val="TableFooter"/>
        <w:rPr>
          <w:vertAlign w:val="superscript"/>
        </w:rPr>
      </w:pPr>
      <w:r w:rsidRPr="00CF258B">
        <w:rPr>
          <w:vertAlign w:val="superscript"/>
        </w:rPr>
        <w:t>3</w:t>
      </w:r>
      <w:r>
        <w:t xml:space="preserve"> Adalimumab – all patients who had received a dose</w:t>
      </w:r>
      <w:r w:rsidRPr="00CF258B">
        <w:rPr>
          <w:vertAlign w:val="superscript"/>
        </w:rPr>
        <w:tab/>
      </w:r>
    </w:p>
    <w:p w14:paraId="1573A06D" w14:textId="77777777" w:rsidR="008C18C0" w:rsidRDefault="008C18C0" w:rsidP="008C18C0">
      <w:pPr>
        <w:pStyle w:val="TableFooter"/>
      </w:pPr>
      <w:r>
        <w:rPr>
          <w:vertAlign w:val="superscript"/>
        </w:rPr>
        <w:t>4*</w:t>
      </w:r>
      <w:r>
        <w:t xml:space="preserve"> Etanercept 25 mg SC twice weekly (PI recommended dose)</w:t>
      </w:r>
    </w:p>
    <w:p w14:paraId="0FDE23D5" w14:textId="77777777" w:rsidR="008C18C0" w:rsidRDefault="008C18C0" w:rsidP="008C18C0">
      <w:pPr>
        <w:pStyle w:val="TableFooter"/>
      </w:pPr>
      <w:r>
        <w:rPr>
          <w:vertAlign w:val="superscript"/>
        </w:rPr>
        <w:t>5</w:t>
      </w:r>
      <w:r>
        <w:t xml:space="preserve"> Etanercept 50 mg SC twice weekly until response; pause until relapse; 25 mg twice weekly until response; pause until relapse</w:t>
      </w:r>
    </w:p>
    <w:p w14:paraId="581158A0" w14:textId="77777777" w:rsidR="008C18C0" w:rsidRDefault="008C18C0" w:rsidP="008C18C0">
      <w:pPr>
        <w:pStyle w:val="TableFooter"/>
      </w:pPr>
      <w:r w:rsidRPr="006A389F">
        <w:rPr>
          <w:vertAlign w:val="superscript"/>
        </w:rPr>
        <w:t>6</w:t>
      </w:r>
      <w:r>
        <w:t xml:space="preserve"> Etanercept 50 mg SC once or twice weekly</w:t>
      </w:r>
    </w:p>
    <w:p w14:paraId="2C81DF72" w14:textId="77777777" w:rsidR="008C18C0" w:rsidRDefault="008C18C0" w:rsidP="008C18C0">
      <w:pPr>
        <w:pStyle w:val="TableFooter"/>
      </w:pPr>
      <w:r w:rsidRPr="006A389F">
        <w:rPr>
          <w:vertAlign w:val="superscript"/>
        </w:rPr>
        <w:t>7</w:t>
      </w:r>
      <w:r>
        <w:t xml:space="preserve"> Etanercept 50 mg SC twice weekly</w:t>
      </w:r>
    </w:p>
    <w:p w14:paraId="0D65F2C8" w14:textId="77777777" w:rsidR="008C18C0" w:rsidRPr="00405DE0" w:rsidRDefault="008C18C0" w:rsidP="008C18C0">
      <w:pPr>
        <w:pStyle w:val="TableFooter"/>
      </w:pPr>
      <w:r w:rsidRPr="006A389F">
        <w:rPr>
          <w:vertAlign w:val="superscript"/>
        </w:rPr>
        <w:t>8</w:t>
      </w:r>
      <w:r>
        <w:t xml:space="preserve"> Etanercept SC – dose determined by study investigator</w:t>
      </w:r>
    </w:p>
    <w:p w14:paraId="1B1F9862" w14:textId="77777777" w:rsidR="008C18C0" w:rsidRDefault="008C18C0" w:rsidP="008C18C0">
      <w:pPr>
        <w:pStyle w:val="TableFooter"/>
      </w:pPr>
      <w:r>
        <w:rPr>
          <w:vertAlign w:val="superscript"/>
        </w:rPr>
        <w:t>9*</w:t>
      </w:r>
      <w:r>
        <w:t xml:space="preserve"> Infliximab 5 mg/kg IV every 8 weeks (PI recommended dose)</w:t>
      </w:r>
    </w:p>
    <w:p w14:paraId="2625A425" w14:textId="77777777" w:rsidR="008C18C0" w:rsidRDefault="008C18C0" w:rsidP="008C18C0">
      <w:pPr>
        <w:pStyle w:val="TableFooter"/>
      </w:pPr>
      <w:r>
        <w:rPr>
          <w:vertAlign w:val="superscript"/>
        </w:rPr>
        <w:t>10</w:t>
      </w:r>
      <w:r>
        <w:t xml:space="preserve"> Infliximab 5 mg/kg IV when required</w:t>
      </w:r>
    </w:p>
    <w:p w14:paraId="0D16F04B" w14:textId="77777777" w:rsidR="008C18C0" w:rsidRDefault="008C18C0" w:rsidP="008C18C0">
      <w:pPr>
        <w:pStyle w:val="TableFooter"/>
      </w:pPr>
      <w:r w:rsidRPr="00EF7B6E">
        <w:rPr>
          <w:vertAlign w:val="superscript"/>
        </w:rPr>
        <w:t>11</w:t>
      </w:r>
      <w:r>
        <w:t xml:space="preserve"> Ixekizumab 120 mg SC every 4 weeks</w:t>
      </w:r>
    </w:p>
    <w:p w14:paraId="440D2059" w14:textId="77777777" w:rsidR="008C18C0" w:rsidRDefault="008C18C0" w:rsidP="008C18C0">
      <w:pPr>
        <w:pStyle w:val="TableFooter"/>
      </w:pPr>
      <w:r>
        <w:rPr>
          <w:vertAlign w:val="superscript"/>
        </w:rPr>
        <w:t>12*</w:t>
      </w:r>
      <w:r>
        <w:t xml:space="preserve"> Ustekinumab 45 mg SC every 12 weeks (PI recommended dose)</w:t>
      </w:r>
    </w:p>
    <w:p w14:paraId="469ECB87" w14:textId="77777777" w:rsidR="008C18C0" w:rsidRDefault="008C18C0" w:rsidP="008C18C0">
      <w:pPr>
        <w:pStyle w:val="TableFooter"/>
      </w:pPr>
      <w:r>
        <w:rPr>
          <w:vertAlign w:val="superscript"/>
        </w:rPr>
        <w:t>13</w:t>
      </w:r>
      <w:r>
        <w:t xml:space="preserve"> Ustekinumab 90 mg SC every 12 weeks</w:t>
      </w:r>
    </w:p>
    <w:p w14:paraId="54F2C1AC" w14:textId="77777777" w:rsidR="006C7EC2" w:rsidRPr="006C7EC2" w:rsidRDefault="008C18C0" w:rsidP="00A77877">
      <w:r w:rsidRPr="008C18C0">
        <w:t>Again, the differing time horizons and dosing regimens utilised made it difficult to compare the longer-term efficacy of each PBS-listed biologic. However, in terms of the proportions of patients continuing to achieve a PASI 75 response, it appeared that the biologics continued to have an efficacious effect beyond one year</w:t>
      </w:r>
      <w:r w:rsidR="00090524">
        <w:t xml:space="preserve"> (</w:t>
      </w:r>
      <w:r w:rsidR="00150633">
        <w:t>Table ES.</w:t>
      </w:r>
      <w:r w:rsidR="00150633">
        <w:rPr>
          <w:noProof/>
        </w:rPr>
        <w:t>22</w:t>
      </w:r>
      <w:r w:rsidR="00090524">
        <w:t>)</w:t>
      </w:r>
      <w:r w:rsidRPr="008C18C0">
        <w:t>. Ustekinumab appeared to retain</w:t>
      </w:r>
      <w:r w:rsidR="00090524">
        <w:t xml:space="preserve"> some efficacy</w:t>
      </w:r>
      <w:r w:rsidRPr="008C18C0">
        <w:t xml:space="preserve"> for up to five years.</w:t>
      </w:r>
    </w:p>
    <w:p w14:paraId="7FFCD632" w14:textId="105C3500" w:rsidR="002A6B78" w:rsidRPr="00FE1642" w:rsidRDefault="002A6B78" w:rsidP="00921A20">
      <w:pPr>
        <w:pStyle w:val="ToRText"/>
        <w:keepNext/>
        <w:keepLines/>
      </w:pPr>
      <w:r w:rsidRPr="00FE1642">
        <w:t>g)</w:t>
      </w:r>
      <w:r w:rsidRPr="00FE1642">
        <w:tab/>
      </w:r>
      <w:r w:rsidR="005A2F14" w:rsidRPr="00FE1642">
        <w:t>Include</w:t>
      </w:r>
      <w:r w:rsidRPr="00FE1642">
        <w:t xml:space="preserve"> a quality assessment and description of the limitations of included trials or observational studies </w:t>
      </w:r>
    </w:p>
    <w:p w14:paraId="21B23FE4" w14:textId="77777777" w:rsidR="002A6B78" w:rsidRDefault="006C7EC2" w:rsidP="00921A20">
      <w:pPr>
        <w:keepNext/>
        <w:keepLines/>
      </w:pPr>
      <w:r w:rsidRPr="006C7EC2">
        <w:t>The major limitations of the identified trials and studies were the varying double-blind time periods and the use of non-PI approved dosing regimens. This made accurate comparisons difficult.</w:t>
      </w:r>
      <w:r>
        <w:t xml:space="preserve"> </w:t>
      </w:r>
    </w:p>
    <w:p w14:paraId="4E49CDE4" w14:textId="3C6A01F7" w:rsidR="007907AF" w:rsidRDefault="0001631C" w:rsidP="00F42E93">
      <w:r>
        <w:t>In addition</w:t>
      </w:r>
      <w:r w:rsidR="007907AF">
        <w:t>, the majority of participants in the trials had severe disease despite the majority of trials having cut</w:t>
      </w:r>
      <w:r w:rsidR="00F3545E">
        <w:t>-</w:t>
      </w:r>
      <w:r w:rsidR="007907AF">
        <w:t>of</w:t>
      </w:r>
      <w:r w:rsidR="00F3545E">
        <w:t>f</w:t>
      </w:r>
      <w:r w:rsidR="007907AF">
        <w:t xml:space="preserve"> points of PASI either greater than 10 or 12. The pooled mean PASI scores were high for m</w:t>
      </w:r>
      <w:r w:rsidR="00906554">
        <w:t>o</w:t>
      </w:r>
      <w:r w:rsidR="007907AF">
        <w:t xml:space="preserve">st biologic trials which made it difficult to interpret their role and efficacy in less severe CPP. </w:t>
      </w:r>
    </w:p>
    <w:p w14:paraId="006C8949" w14:textId="77777777" w:rsidR="00761486" w:rsidRDefault="00A75F73" w:rsidP="008D4D9D">
      <w:pPr>
        <w:pStyle w:val="MDTabCaption"/>
        <w:keepLines/>
      </w:pPr>
      <w:bookmarkStart w:id="87" w:name="_Toc503275009"/>
      <w:r>
        <w:t>Table ES.</w:t>
      </w:r>
      <w:r w:rsidR="00E92AD5">
        <w:t>19</w:t>
      </w:r>
      <w:r w:rsidR="00761486">
        <w:t>: Pooled mean</w:t>
      </w:r>
      <w:r w:rsidR="00906554">
        <w:t xml:space="preserve"> baseline</w:t>
      </w:r>
      <w:r w:rsidR="00761486">
        <w:t xml:space="preserve"> severity scores of the included trials in the systematic review of efficacy in severe CPP</w:t>
      </w:r>
      <w:bookmarkEnd w:id="87"/>
    </w:p>
    <w:tbl>
      <w:tblPr>
        <w:tblStyle w:val="TableGrid3"/>
        <w:tblW w:w="5000" w:type="pct"/>
        <w:tblLook w:val="04A0" w:firstRow="1" w:lastRow="0" w:firstColumn="1" w:lastColumn="0" w:noHBand="0" w:noVBand="1"/>
        <w:tblCaption w:val="Table ES.11"/>
        <w:tblDescription w:val="Pooled mean severity scores of the included trials in the systematic review of efficacy in severe CPP"/>
      </w:tblPr>
      <w:tblGrid>
        <w:gridCol w:w="2674"/>
        <w:gridCol w:w="2674"/>
        <w:gridCol w:w="1834"/>
        <w:gridCol w:w="1834"/>
      </w:tblGrid>
      <w:tr w:rsidR="007907AF" w:rsidRPr="00761486" w14:paraId="014FAC16" w14:textId="77777777" w:rsidTr="00F62952">
        <w:trPr>
          <w:trHeight w:val="300"/>
          <w:tblHeader/>
        </w:trPr>
        <w:tc>
          <w:tcPr>
            <w:tcW w:w="1483" w:type="pct"/>
            <w:shd w:val="clear" w:color="auto" w:fill="A6A6A6" w:themeFill="background1" w:themeFillShade="A6"/>
            <w:noWrap/>
            <w:hideMark/>
          </w:tcPr>
          <w:p w14:paraId="5EDB66BF" w14:textId="77777777" w:rsidR="007907AF" w:rsidRPr="00761486" w:rsidRDefault="00761486" w:rsidP="00761486">
            <w:pPr>
              <w:rPr>
                <w:b/>
              </w:rPr>
            </w:pPr>
            <w:r w:rsidRPr="00761486">
              <w:rPr>
                <w:b/>
              </w:rPr>
              <w:t>Biologic</w:t>
            </w:r>
          </w:p>
        </w:tc>
        <w:tc>
          <w:tcPr>
            <w:tcW w:w="1483" w:type="pct"/>
            <w:shd w:val="clear" w:color="auto" w:fill="A6A6A6" w:themeFill="background1" w:themeFillShade="A6"/>
            <w:noWrap/>
            <w:hideMark/>
          </w:tcPr>
          <w:p w14:paraId="22019431" w14:textId="77777777" w:rsidR="007907AF" w:rsidRPr="00761486" w:rsidRDefault="007907AF" w:rsidP="00761486">
            <w:pPr>
              <w:rPr>
                <w:b/>
                <w:color w:val="000000"/>
              </w:rPr>
            </w:pPr>
            <w:r w:rsidRPr="00761486">
              <w:rPr>
                <w:b/>
                <w:color w:val="000000"/>
              </w:rPr>
              <w:t>BSA</w:t>
            </w:r>
          </w:p>
        </w:tc>
        <w:tc>
          <w:tcPr>
            <w:tcW w:w="1017" w:type="pct"/>
            <w:shd w:val="clear" w:color="auto" w:fill="A6A6A6" w:themeFill="background1" w:themeFillShade="A6"/>
            <w:noWrap/>
            <w:hideMark/>
          </w:tcPr>
          <w:p w14:paraId="319EE2D6" w14:textId="77777777" w:rsidR="007907AF" w:rsidRPr="00761486" w:rsidRDefault="007907AF" w:rsidP="00761486">
            <w:pPr>
              <w:rPr>
                <w:b/>
                <w:color w:val="000000"/>
              </w:rPr>
            </w:pPr>
            <w:r w:rsidRPr="00761486">
              <w:rPr>
                <w:b/>
                <w:color w:val="000000"/>
              </w:rPr>
              <w:t>PASI</w:t>
            </w:r>
          </w:p>
        </w:tc>
        <w:tc>
          <w:tcPr>
            <w:tcW w:w="1017" w:type="pct"/>
            <w:shd w:val="clear" w:color="auto" w:fill="A6A6A6" w:themeFill="background1" w:themeFillShade="A6"/>
            <w:noWrap/>
            <w:hideMark/>
          </w:tcPr>
          <w:p w14:paraId="3770E6B6" w14:textId="77777777" w:rsidR="007907AF" w:rsidRPr="00761486" w:rsidRDefault="007907AF" w:rsidP="00761486">
            <w:pPr>
              <w:rPr>
                <w:b/>
                <w:color w:val="000000"/>
              </w:rPr>
            </w:pPr>
            <w:r w:rsidRPr="00761486">
              <w:rPr>
                <w:b/>
                <w:color w:val="000000"/>
              </w:rPr>
              <w:t>DLQI</w:t>
            </w:r>
          </w:p>
        </w:tc>
      </w:tr>
      <w:tr w:rsidR="007907AF" w:rsidRPr="00761486" w14:paraId="5F7EAD6E" w14:textId="77777777" w:rsidTr="00761486">
        <w:trPr>
          <w:trHeight w:val="315"/>
        </w:trPr>
        <w:tc>
          <w:tcPr>
            <w:tcW w:w="1483" w:type="pct"/>
            <w:noWrap/>
            <w:hideMark/>
          </w:tcPr>
          <w:p w14:paraId="688984E8" w14:textId="77777777" w:rsidR="007907AF" w:rsidRPr="00761486" w:rsidRDefault="007907AF" w:rsidP="00761486">
            <w:pPr>
              <w:rPr>
                <w:color w:val="000000"/>
              </w:rPr>
            </w:pPr>
            <w:r w:rsidRPr="00761486">
              <w:rPr>
                <w:color w:val="000000"/>
              </w:rPr>
              <w:t>adalimumab</w:t>
            </w:r>
          </w:p>
        </w:tc>
        <w:tc>
          <w:tcPr>
            <w:tcW w:w="1483" w:type="pct"/>
            <w:noWrap/>
            <w:hideMark/>
          </w:tcPr>
          <w:p w14:paraId="7EBCABF8" w14:textId="77777777" w:rsidR="007907AF" w:rsidRPr="00761486" w:rsidRDefault="007907AF" w:rsidP="00761486">
            <w:pPr>
              <w:rPr>
                <w:color w:val="000000"/>
              </w:rPr>
            </w:pPr>
            <w:r w:rsidRPr="00761486">
              <w:rPr>
                <w:color w:val="000000"/>
              </w:rPr>
              <w:t>31%</w:t>
            </w:r>
          </w:p>
        </w:tc>
        <w:tc>
          <w:tcPr>
            <w:tcW w:w="1017" w:type="pct"/>
            <w:noWrap/>
            <w:hideMark/>
          </w:tcPr>
          <w:p w14:paraId="271E3FC8" w14:textId="77777777" w:rsidR="007907AF" w:rsidRPr="00761486" w:rsidRDefault="007907AF" w:rsidP="00761486">
            <w:pPr>
              <w:rPr>
                <w:color w:val="000000"/>
              </w:rPr>
            </w:pPr>
            <w:r w:rsidRPr="00761486">
              <w:rPr>
                <w:color w:val="000000"/>
              </w:rPr>
              <w:t>20.5</w:t>
            </w:r>
          </w:p>
        </w:tc>
        <w:tc>
          <w:tcPr>
            <w:tcW w:w="1017" w:type="pct"/>
            <w:noWrap/>
            <w:hideMark/>
          </w:tcPr>
          <w:p w14:paraId="4E81AAB4" w14:textId="77777777" w:rsidR="007907AF" w:rsidRPr="00761486" w:rsidRDefault="007907AF" w:rsidP="00761486">
            <w:pPr>
              <w:rPr>
                <w:color w:val="000000"/>
              </w:rPr>
            </w:pPr>
            <w:r w:rsidRPr="00761486">
              <w:rPr>
                <w:color w:val="000000"/>
              </w:rPr>
              <w:t>12.4</w:t>
            </w:r>
          </w:p>
        </w:tc>
      </w:tr>
      <w:tr w:rsidR="007907AF" w:rsidRPr="00761486" w14:paraId="7D43DB67" w14:textId="77777777" w:rsidTr="00761486">
        <w:trPr>
          <w:trHeight w:val="315"/>
        </w:trPr>
        <w:tc>
          <w:tcPr>
            <w:tcW w:w="1483" w:type="pct"/>
            <w:noWrap/>
            <w:hideMark/>
          </w:tcPr>
          <w:p w14:paraId="19D04056" w14:textId="77777777" w:rsidR="007907AF" w:rsidRPr="00761486" w:rsidRDefault="007907AF" w:rsidP="00761486">
            <w:pPr>
              <w:rPr>
                <w:color w:val="000000"/>
              </w:rPr>
            </w:pPr>
            <w:r w:rsidRPr="00761486">
              <w:rPr>
                <w:color w:val="000000"/>
              </w:rPr>
              <w:t>etanercept</w:t>
            </w:r>
          </w:p>
        </w:tc>
        <w:tc>
          <w:tcPr>
            <w:tcW w:w="1483" w:type="pct"/>
            <w:noWrap/>
            <w:hideMark/>
          </w:tcPr>
          <w:p w14:paraId="6540E1E1" w14:textId="77777777" w:rsidR="007907AF" w:rsidRPr="00761486" w:rsidRDefault="007907AF" w:rsidP="00761486">
            <w:pPr>
              <w:rPr>
                <w:color w:val="000000"/>
              </w:rPr>
            </w:pPr>
            <w:r w:rsidRPr="00761486">
              <w:rPr>
                <w:color w:val="000000"/>
              </w:rPr>
              <w:t>28%</w:t>
            </w:r>
          </w:p>
        </w:tc>
        <w:tc>
          <w:tcPr>
            <w:tcW w:w="1017" w:type="pct"/>
            <w:noWrap/>
            <w:hideMark/>
          </w:tcPr>
          <w:p w14:paraId="05266F40" w14:textId="77777777" w:rsidR="007907AF" w:rsidRPr="00761486" w:rsidRDefault="007907AF" w:rsidP="00761486">
            <w:pPr>
              <w:rPr>
                <w:color w:val="000000"/>
              </w:rPr>
            </w:pPr>
            <w:r w:rsidRPr="00761486">
              <w:rPr>
                <w:color w:val="000000"/>
              </w:rPr>
              <w:t>19.3</w:t>
            </w:r>
          </w:p>
        </w:tc>
        <w:tc>
          <w:tcPr>
            <w:tcW w:w="1017" w:type="pct"/>
            <w:noWrap/>
            <w:hideMark/>
          </w:tcPr>
          <w:p w14:paraId="2E869D0E" w14:textId="77777777" w:rsidR="007907AF" w:rsidRPr="00761486" w:rsidRDefault="007907AF" w:rsidP="00761486">
            <w:pPr>
              <w:rPr>
                <w:color w:val="000000"/>
              </w:rPr>
            </w:pPr>
            <w:r w:rsidRPr="00761486">
              <w:rPr>
                <w:color w:val="000000"/>
              </w:rPr>
              <w:t>12.4</w:t>
            </w:r>
          </w:p>
        </w:tc>
      </w:tr>
      <w:tr w:rsidR="007907AF" w:rsidRPr="00761486" w14:paraId="6D06CE04" w14:textId="77777777" w:rsidTr="00761486">
        <w:trPr>
          <w:trHeight w:val="315"/>
        </w:trPr>
        <w:tc>
          <w:tcPr>
            <w:tcW w:w="1483" w:type="pct"/>
            <w:noWrap/>
            <w:hideMark/>
          </w:tcPr>
          <w:p w14:paraId="2F44FCE6" w14:textId="77777777" w:rsidR="007907AF" w:rsidRPr="00761486" w:rsidRDefault="007907AF" w:rsidP="00761486">
            <w:pPr>
              <w:rPr>
                <w:color w:val="000000"/>
              </w:rPr>
            </w:pPr>
            <w:r w:rsidRPr="00761486">
              <w:rPr>
                <w:color w:val="000000"/>
              </w:rPr>
              <w:t>infliximab</w:t>
            </w:r>
          </w:p>
        </w:tc>
        <w:tc>
          <w:tcPr>
            <w:tcW w:w="1483" w:type="pct"/>
            <w:noWrap/>
            <w:hideMark/>
          </w:tcPr>
          <w:p w14:paraId="04A6CE69" w14:textId="77777777" w:rsidR="007907AF" w:rsidRPr="00761486" w:rsidRDefault="007907AF" w:rsidP="00761486">
            <w:pPr>
              <w:rPr>
                <w:color w:val="000000"/>
              </w:rPr>
            </w:pPr>
            <w:r w:rsidRPr="00761486">
              <w:rPr>
                <w:color w:val="000000"/>
              </w:rPr>
              <w:t>31%</w:t>
            </w:r>
          </w:p>
        </w:tc>
        <w:tc>
          <w:tcPr>
            <w:tcW w:w="1017" w:type="pct"/>
            <w:noWrap/>
            <w:hideMark/>
          </w:tcPr>
          <w:p w14:paraId="0E49573B" w14:textId="77777777" w:rsidR="007907AF" w:rsidRPr="00761486" w:rsidRDefault="007907AF" w:rsidP="00761486">
            <w:pPr>
              <w:rPr>
                <w:color w:val="000000"/>
              </w:rPr>
            </w:pPr>
            <w:r w:rsidRPr="00761486">
              <w:rPr>
                <w:color w:val="000000"/>
              </w:rPr>
              <w:t>21.3</w:t>
            </w:r>
          </w:p>
        </w:tc>
        <w:tc>
          <w:tcPr>
            <w:tcW w:w="1017" w:type="pct"/>
            <w:noWrap/>
            <w:hideMark/>
          </w:tcPr>
          <w:p w14:paraId="2EA4380B" w14:textId="77777777" w:rsidR="007907AF" w:rsidRPr="00761486" w:rsidRDefault="007907AF" w:rsidP="00761486">
            <w:pPr>
              <w:rPr>
                <w:color w:val="000000"/>
              </w:rPr>
            </w:pPr>
            <w:r w:rsidRPr="00761486">
              <w:rPr>
                <w:color w:val="000000"/>
              </w:rPr>
              <w:t>13.2</w:t>
            </w:r>
          </w:p>
        </w:tc>
      </w:tr>
      <w:tr w:rsidR="007907AF" w:rsidRPr="00761486" w14:paraId="539F0194" w14:textId="77777777" w:rsidTr="00761486">
        <w:trPr>
          <w:trHeight w:val="315"/>
        </w:trPr>
        <w:tc>
          <w:tcPr>
            <w:tcW w:w="1483" w:type="pct"/>
            <w:noWrap/>
            <w:hideMark/>
          </w:tcPr>
          <w:p w14:paraId="391A6F5B" w14:textId="77777777" w:rsidR="007907AF" w:rsidRPr="00761486" w:rsidRDefault="007907AF" w:rsidP="00761486">
            <w:pPr>
              <w:rPr>
                <w:color w:val="000000"/>
              </w:rPr>
            </w:pPr>
            <w:r w:rsidRPr="00761486">
              <w:rPr>
                <w:color w:val="000000"/>
              </w:rPr>
              <w:t>ixekizumab</w:t>
            </w:r>
          </w:p>
        </w:tc>
        <w:tc>
          <w:tcPr>
            <w:tcW w:w="1483" w:type="pct"/>
            <w:noWrap/>
            <w:hideMark/>
          </w:tcPr>
          <w:p w14:paraId="462ED24C" w14:textId="77777777" w:rsidR="007907AF" w:rsidRPr="00761486" w:rsidRDefault="007907AF" w:rsidP="00761486">
            <w:pPr>
              <w:rPr>
                <w:color w:val="000000"/>
              </w:rPr>
            </w:pPr>
            <w:r w:rsidRPr="00761486">
              <w:rPr>
                <w:color w:val="000000"/>
              </w:rPr>
              <w:t>27%</w:t>
            </w:r>
          </w:p>
        </w:tc>
        <w:tc>
          <w:tcPr>
            <w:tcW w:w="1017" w:type="pct"/>
            <w:noWrap/>
            <w:hideMark/>
          </w:tcPr>
          <w:p w14:paraId="0D467817" w14:textId="77777777" w:rsidR="007907AF" w:rsidRPr="00761486" w:rsidRDefault="007907AF" w:rsidP="00761486">
            <w:pPr>
              <w:rPr>
                <w:color w:val="000000"/>
              </w:rPr>
            </w:pPr>
            <w:r w:rsidRPr="00761486">
              <w:rPr>
                <w:color w:val="000000"/>
              </w:rPr>
              <w:t>20.1</w:t>
            </w:r>
          </w:p>
        </w:tc>
        <w:tc>
          <w:tcPr>
            <w:tcW w:w="1017" w:type="pct"/>
            <w:noWrap/>
            <w:hideMark/>
          </w:tcPr>
          <w:p w14:paraId="6379D2F6" w14:textId="77777777" w:rsidR="007907AF" w:rsidRPr="00761486" w:rsidRDefault="007907AF" w:rsidP="00761486">
            <w:pPr>
              <w:rPr>
                <w:color w:val="000000"/>
              </w:rPr>
            </w:pPr>
            <w:r w:rsidRPr="00761486">
              <w:rPr>
                <w:color w:val="000000"/>
              </w:rPr>
              <w:t>12.2</w:t>
            </w:r>
          </w:p>
        </w:tc>
      </w:tr>
      <w:tr w:rsidR="007907AF" w:rsidRPr="00761486" w14:paraId="3D7B2D79" w14:textId="77777777" w:rsidTr="00761486">
        <w:trPr>
          <w:trHeight w:val="315"/>
        </w:trPr>
        <w:tc>
          <w:tcPr>
            <w:tcW w:w="1483" w:type="pct"/>
            <w:noWrap/>
            <w:hideMark/>
          </w:tcPr>
          <w:p w14:paraId="160C7F48" w14:textId="77777777" w:rsidR="007907AF" w:rsidRPr="00761486" w:rsidRDefault="007907AF" w:rsidP="00761486">
            <w:pPr>
              <w:rPr>
                <w:color w:val="000000"/>
              </w:rPr>
            </w:pPr>
            <w:r w:rsidRPr="00761486">
              <w:rPr>
                <w:color w:val="000000"/>
              </w:rPr>
              <w:t>secukinumab</w:t>
            </w:r>
          </w:p>
        </w:tc>
        <w:tc>
          <w:tcPr>
            <w:tcW w:w="1483" w:type="pct"/>
            <w:noWrap/>
            <w:hideMark/>
          </w:tcPr>
          <w:p w14:paraId="787BB1F0" w14:textId="77777777" w:rsidR="007907AF" w:rsidRPr="00761486" w:rsidRDefault="007907AF" w:rsidP="00761486">
            <w:pPr>
              <w:rPr>
                <w:color w:val="000000"/>
              </w:rPr>
            </w:pPr>
            <w:r w:rsidRPr="00761486">
              <w:rPr>
                <w:color w:val="000000"/>
              </w:rPr>
              <w:t>33%</w:t>
            </w:r>
          </w:p>
        </w:tc>
        <w:tc>
          <w:tcPr>
            <w:tcW w:w="1017" w:type="pct"/>
            <w:noWrap/>
            <w:hideMark/>
          </w:tcPr>
          <w:p w14:paraId="3C663AA6" w14:textId="77777777" w:rsidR="007907AF" w:rsidRPr="00761486" w:rsidRDefault="007907AF" w:rsidP="00761486">
            <w:pPr>
              <w:rPr>
                <w:color w:val="000000"/>
              </w:rPr>
            </w:pPr>
            <w:r w:rsidRPr="00761486">
              <w:rPr>
                <w:color w:val="000000"/>
              </w:rPr>
              <w:t>22.6</w:t>
            </w:r>
          </w:p>
        </w:tc>
        <w:tc>
          <w:tcPr>
            <w:tcW w:w="1017" w:type="pct"/>
            <w:noWrap/>
            <w:hideMark/>
          </w:tcPr>
          <w:p w14:paraId="38E4D2E3" w14:textId="77777777" w:rsidR="007907AF" w:rsidRPr="00761486" w:rsidRDefault="007907AF" w:rsidP="00761486">
            <w:pPr>
              <w:rPr>
                <w:color w:val="000000"/>
              </w:rPr>
            </w:pPr>
            <w:r w:rsidRPr="00761486">
              <w:rPr>
                <w:color w:val="000000"/>
              </w:rPr>
              <w:t>11.9</w:t>
            </w:r>
          </w:p>
        </w:tc>
      </w:tr>
      <w:tr w:rsidR="007907AF" w:rsidRPr="00761486" w14:paraId="708D95C2" w14:textId="77777777" w:rsidTr="00761486">
        <w:trPr>
          <w:trHeight w:val="315"/>
        </w:trPr>
        <w:tc>
          <w:tcPr>
            <w:tcW w:w="1483" w:type="pct"/>
            <w:noWrap/>
            <w:hideMark/>
          </w:tcPr>
          <w:p w14:paraId="398C6116" w14:textId="77777777" w:rsidR="007907AF" w:rsidRPr="00761486" w:rsidRDefault="007907AF" w:rsidP="00761486">
            <w:pPr>
              <w:rPr>
                <w:color w:val="000000"/>
              </w:rPr>
            </w:pPr>
            <w:r w:rsidRPr="00761486">
              <w:rPr>
                <w:color w:val="000000"/>
              </w:rPr>
              <w:t>ustekinumab</w:t>
            </w:r>
          </w:p>
        </w:tc>
        <w:tc>
          <w:tcPr>
            <w:tcW w:w="1483" w:type="pct"/>
            <w:noWrap/>
            <w:hideMark/>
          </w:tcPr>
          <w:p w14:paraId="59755292" w14:textId="77777777" w:rsidR="007907AF" w:rsidRPr="00761486" w:rsidRDefault="007907AF" w:rsidP="00761486">
            <w:pPr>
              <w:rPr>
                <w:color w:val="000000"/>
              </w:rPr>
            </w:pPr>
            <w:r w:rsidRPr="00761486">
              <w:rPr>
                <w:color w:val="000000"/>
              </w:rPr>
              <w:t>29%</w:t>
            </w:r>
          </w:p>
        </w:tc>
        <w:tc>
          <w:tcPr>
            <w:tcW w:w="1017" w:type="pct"/>
            <w:noWrap/>
            <w:hideMark/>
          </w:tcPr>
          <w:p w14:paraId="04ED931E" w14:textId="77777777" w:rsidR="007907AF" w:rsidRPr="00761486" w:rsidRDefault="007907AF" w:rsidP="00761486">
            <w:pPr>
              <w:rPr>
                <w:color w:val="000000"/>
              </w:rPr>
            </w:pPr>
            <w:r w:rsidRPr="00761486">
              <w:rPr>
                <w:color w:val="000000"/>
              </w:rPr>
              <w:t>20.6</w:t>
            </w:r>
          </w:p>
        </w:tc>
        <w:tc>
          <w:tcPr>
            <w:tcW w:w="1017" w:type="pct"/>
            <w:noWrap/>
            <w:hideMark/>
          </w:tcPr>
          <w:p w14:paraId="2931A4D7" w14:textId="77777777" w:rsidR="007907AF" w:rsidRPr="00761486" w:rsidRDefault="007907AF" w:rsidP="00761486">
            <w:pPr>
              <w:rPr>
                <w:color w:val="000000"/>
              </w:rPr>
            </w:pPr>
            <w:r w:rsidRPr="00761486">
              <w:rPr>
                <w:color w:val="000000"/>
              </w:rPr>
              <w:t>12.3</w:t>
            </w:r>
          </w:p>
        </w:tc>
      </w:tr>
    </w:tbl>
    <w:p w14:paraId="02B72286" w14:textId="77777777" w:rsidR="00761486" w:rsidRDefault="00761486" w:rsidP="00761486">
      <w:pPr>
        <w:pStyle w:val="TableFooter"/>
      </w:pPr>
      <w:r>
        <w:t>BSA = body surface area; CPP = chronic plaque psoriasis; DLQI = Dermatology Life Quality Index; PASI = Psoriasis Area and Severity Index</w:t>
      </w:r>
    </w:p>
    <w:p w14:paraId="46B429A6" w14:textId="77777777" w:rsidR="0025608C" w:rsidRDefault="0025608C" w:rsidP="0025608C">
      <w:pPr>
        <w:pStyle w:val="MDSubsubheding"/>
      </w:pPr>
      <w:bookmarkStart w:id="88" w:name="_Toc503274972"/>
      <w:r>
        <w:lastRenderedPageBreak/>
        <w:t>Stakeholder views (Public consultation and stakeholder forum)</w:t>
      </w:r>
      <w:bookmarkEnd w:id="88"/>
      <w:r>
        <w:t xml:space="preserve"> </w:t>
      </w:r>
    </w:p>
    <w:p w14:paraId="08AE9D47" w14:textId="77777777" w:rsidR="007E2DFC" w:rsidRPr="00520FE4" w:rsidRDefault="007E2DFC" w:rsidP="007E2DFC">
      <w:pPr>
        <w:pStyle w:val="ListParagraph"/>
        <w:numPr>
          <w:ilvl w:val="0"/>
          <w:numId w:val="33"/>
        </w:numPr>
        <w:spacing w:line="276" w:lineRule="auto"/>
        <w:ind w:hanging="357"/>
        <w:rPr>
          <w:lang w:val="en-GB"/>
        </w:rPr>
      </w:pPr>
      <w:r w:rsidRPr="00520FE4">
        <w:rPr>
          <w:lang w:val="en-GB"/>
        </w:rPr>
        <w:t>Some clinicians noted that there are efficacy differences between biologics and individual patient variations with respect to biologic efficacy:</w:t>
      </w:r>
    </w:p>
    <w:p w14:paraId="2DD45A5A" w14:textId="24D957DB" w:rsidR="007E2DFC" w:rsidRPr="00520FE4" w:rsidRDefault="007E2DFC" w:rsidP="007E2DFC">
      <w:pPr>
        <w:pStyle w:val="ListParagraph"/>
        <w:numPr>
          <w:ilvl w:val="1"/>
          <w:numId w:val="33"/>
        </w:numPr>
        <w:spacing w:line="276" w:lineRule="auto"/>
        <w:ind w:hanging="357"/>
        <w:rPr>
          <w:lang w:val="en-GB"/>
        </w:rPr>
      </w:pPr>
      <w:r w:rsidRPr="00520FE4">
        <w:rPr>
          <w:lang w:val="en-GB"/>
        </w:rPr>
        <w:t>The IL-17 class of biologics (e.g. ixekizumab) consistently achieves a PASI 90 response in 60 to 80% of patients, while the TNF</w:t>
      </w:r>
      <w:r w:rsidR="00F3545E" w:rsidRPr="00FE1642">
        <w:t>-α</w:t>
      </w:r>
      <w:r w:rsidRPr="00520FE4">
        <w:rPr>
          <w:lang w:val="en-GB"/>
        </w:rPr>
        <w:t xml:space="preserve"> inhibitor class (e.g. adalimumab, e</w:t>
      </w:r>
      <w:r>
        <w:rPr>
          <w:lang w:val="en-GB"/>
        </w:rPr>
        <w:t>tan</w:t>
      </w:r>
      <w:r w:rsidRPr="00520FE4">
        <w:rPr>
          <w:lang w:val="en-GB"/>
        </w:rPr>
        <w:t>ercept and infliximab) consistently achieves a PASI 75 response in 60 to 80% of patients.</w:t>
      </w:r>
    </w:p>
    <w:p w14:paraId="469AF2F4" w14:textId="77777777" w:rsidR="007E2DFC" w:rsidRPr="00520FE4" w:rsidRDefault="007E2DFC" w:rsidP="007E2DFC">
      <w:pPr>
        <w:pStyle w:val="ListParagraph"/>
        <w:numPr>
          <w:ilvl w:val="1"/>
          <w:numId w:val="33"/>
        </w:numPr>
        <w:spacing w:line="276" w:lineRule="auto"/>
        <w:ind w:hanging="357"/>
        <w:rPr>
          <w:lang w:val="en-GB"/>
        </w:rPr>
      </w:pPr>
      <w:r w:rsidRPr="00520FE4">
        <w:rPr>
          <w:lang w:val="en-GB"/>
        </w:rPr>
        <w:t xml:space="preserve">The difference to patients may not be large and they may be happy with a PASI 75 response. However, most patients say they want the best response. </w:t>
      </w:r>
    </w:p>
    <w:p w14:paraId="416766B0" w14:textId="77777777" w:rsidR="007E2DFC" w:rsidRPr="00520FE4" w:rsidRDefault="007E2DFC" w:rsidP="007E2DFC">
      <w:pPr>
        <w:pStyle w:val="ListParagraph"/>
        <w:numPr>
          <w:ilvl w:val="1"/>
          <w:numId w:val="33"/>
        </w:numPr>
        <w:spacing w:line="276" w:lineRule="auto"/>
        <w:ind w:hanging="357"/>
        <w:rPr>
          <w:lang w:val="en-GB"/>
        </w:rPr>
      </w:pPr>
      <w:r w:rsidRPr="00520FE4">
        <w:rPr>
          <w:lang w:val="en-GB"/>
        </w:rPr>
        <w:t xml:space="preserve">New drug classes may be more effective. </w:t>
      </w:r>
    </w:p>
    <w:p w14:paraId="36DB44EE" w14:textId="77777777" w:rsidR="007E2DFC" w:rsidRPr="00520FE4" w:rsidRDefault="007E2DFC" w:rsidP="007E2DFC">
      <w:pPr>
        <w:pStyle w:val="ListParagraph"/>
        <w:numPr>
          <w:ilvl w:val="1"/>
          <w:numId w:val="33"/>
        </w:numPr>
        <w:spacing w:line="276" w:lineRule="auto"/>
        <w:ind w:hanging="357"/>
        <w:rPr>
          <w:lang w:val="en-GB"/>
        </w:rPr>
      </w:pPr>
      <w:r w:rsidRPr="00520FE4">
        <w:rPr>
          <w:lang w:val="en-GB"/>
        </w:rPr>
        <w:t xml:space="preserve">Etanercept has a particular role due to its long-term safety data, short half-life and use in paediatric populations. </w:t>
      </w:r>
    </w:p>
    <w:p w14:paraId="14F033E2" w14:textId="77777777" w:rsidR="007E2DFC" w:rsidRPr="00520FE4" w:rsidRDefault="007E2DFC" w:rsidP="007E2DFC">
      <w:pPr>
        <w:pStyle w:val="ListParagraph"/>
        <w:numPr>
          <w:ilvl w:val="0"/>
          <w:numId w:val="33"/>
        </w:numPr>
        <w:spacing w:line="276" w:lineRule="auto"/>
        <w:ind w:hanging="357"/>
        <w:rPr>
          <w:lang w:val="en-GB"/>
        </w:rPr>
      </w:pPr>
      <w:r w:rsidRPr="00520FE4">
        <w:rPr>
          <w:lang w:val="en-GB"/>
        </w:rPr>
        <w:t xml:space="preserve">There are very limited options for treating psoriasis in children and this is a group with high unmet need. </w:t>
      </w:r>
    </w:p>
    <w:p w14:paraId="5E031B46" w14:textId="77777777" w:rsidR="007E2DFC" w:rsidRPr="00520FE4" w:rsidRDefault="007E2DFC" w:rsidP="007E2DFC">
      <w:pPr>
        <w:pStyle w:val="ListParagraph"/>
        <w:numPr>
          <w:ilvl w:val="0"/>
          <w:numId w:val="33"/>
        </w:numPr>
        <w:spacing w:line="276" w:lineRule="auto"/>
        <w:ind w:hanging="357"/>
        <w:rPr>
          <w:lang w:val="en-GB"/>
        </w:rPr>
      </w:pPr>
      <w:r w:rsidRPr="00520FE4">
        <w:rPr>
          <w:lang w:val="en-GB"/>
        </w:rPr>
        <w:t xml:space="preserve">Consumers expressed concerns about waning effectiveness of biologics over time. </w:t>
      </w:r>
    </w:p>
    <w:p w14:paraId="383A32C8" w14:textId="77777777" w:rsidR="007E2DFC" w:rsidRPr="00520FE4" w:rsidRDefault="007E2DFC" w:rsidP="007E2DFC">
      <w:pPr>
        <w:pStyle w:val="ListParagraph"/>
        <w:numPr>
          <w:ilvl w:val="0"/>
          <w:numId w:val="33"/>
        </w:numPr>
        <w:spacing w:line="276" w:lineRule="auto"/>
        <w:ind w:hanging="357"/>
        <w:rPr>
          <w:lang w:val="en-GB"/>
        </w:rPr>
      </w:pPr>
      <w:r w:rsidRPr="00520FE4">
        <w:rPr>
          <w:lang w:val="en-GB"/>
        </w:rPr>
        <w:t xml:space="preserve">It was noted that the lower the baseline PASI score (e.g. PASI 10-12), the harder it is to achieve a 75% reduction in PASI score (PASI 75). This creates issues with using PASI 75 as a measure of treatment response in these patients. </w:t>
      </w:r>
    </w:p>
    <w:p w14:paraId="2BBB0124" w14:textId="77777777" w:rsidR="0025608C" w:rsidRPr="007E2DFC" w:rsidRDefault="007E2DFC" w:rsidP="007E2DFC">
      <w:pPr>
        <w:pStyle w:val="ListParagraph"/>
        <w:numPr>
          <w:ilvl w:val="0"/>
          <w:numId w:val="33"/>
        </w:numPr>
        <w:spacing w:line="276" w:lineRule="auto"/>
        <w:ind w:hanging="357"/>
        <w:rPr>
          <w:lang w:val="en-GB"/>
        </w:rPr>
      </w:pPr>
      <w:r w:rsidRPr="00520FE4">
        <w:rPr>
          <w:lang w:val="en-GB"/>
        </w:rPr>
        <w:t>Biologics were considered to be generally well tolerated, with adverse events such as infections consistent with those reported in the clinical trials. It was noted that psoriasis and comorbidities can be sufficiently severe that many patients are willing to accept any risk for successful treatment.</w:t>
      </w:r>
    </w:p>
    <w:p w14:paraId="40279DCA" w14:textId="77777777" w:rsidR="00631814" w:rsidRDefault="00631814" w:rsidP="00631814">
      <w:pPr>
        <w:pStyle w:val="MDSubsubheding"/>
      </w:pPr>
      <w:bookmarkStart w:id="89" w:name="_Toc503274973"/>
      <w:r>
        <w:t>Conclusion</w:t>
      </w:r>
      <w:bookmarkEnd w:id="89"/>
    </w:p>
    <w:p w14:paraId="4ADD34CF" w14:textId="5A6CBE90" w:rsidR="00FD0D17" w:rsidRDefault="00CD335B" w:rsidP="00D209B4">
      <w:r>
        <w:t>Overall, the efficacy of biological</w:t>
      </w:r>
      <w:r w:rsidR="00DD1D83">
        <w:t>s</w:t>
      </w:r>
      <w:r>
        <w:t xml:space="preserve"> compared to placebo demonstrated that biologics provide patients with clinically meaningful improvements in their psoriasis severity. There was some variation in the efficacy</w:t>
      </w:r>
      <w:r w:rsidR="00C83CD0">
        <w:t xml:space="preserve"> and safety results</w:t>
      </w:r>
      <w:r>
        <w:t xml:space="preserve"> between different biologics</w:t>
      </w:r>
      <w:r w:rsidRPr="00D828FB">
        <w:t>.</w:t>
      </w:r>
      <w:r w:rsidR="00FD0D17" w:rsidRPr="00D828FB">
        <w:t xml:space="preserve"> Of the currently PBS-liste</w:t>
      </w:r>
      <w:r w:rsidR="00FD0D17" w:rsidRPr="00FD0D17">
        <w:t>d biologics, while having similar pooled results, ixekizumab</w:t>
      </w:r>
      <w:r w:rsidR="004130C4">
        <w:t xml:space="preserve"> seemed most likely to result in a response, but also</w:t>
      </w:r>
      <w:r w:rsidR="00FD0D17" w:rsidRPr="00FD0D17">
        <w:t xml:space="preserve"> most likely to result in an adverse event when compared to placebo. When compared to each other, infliximab was most likely to result in an adverse event; ustekinumab and etanercept demonstrated the lowest point estimates.</w:t>
      </w:r>
      <w:r>
        <w:t xml:space="preserve"> </w:t>
      </w:r>
      <w:r w:rsidR="00FD0D17" w:rsidRPr="00FD0D17">
        <w:t>Most of the open-label extension studies had adverse event rates, which were comparable with the short-term comparator-controlled RCTs</w:t>
      </w:r>
    </w:p>
    <w:p w14:paraId="233FCEA7" w14:textId="49DA26B7" w:rsidR="00CD335B" w:rsidRDefault="00CD335B" w:rsidP="00D209B4">
      <w:r>
        <w:t xml:space="preserve">The review identified a substantial amount of evidence that has not been presented to the PBAC prior to this review, but the new evidence tended to agree with that seen by the PBAC previously. The </w:t>
      </w:r>
      <w:r w:rsidR="00E858D2">
        <w:t xml:space="preserve">quality of the </w:t>
      </w:r>
      <w:r w:rsidR="00F15099">
        <w:t>RCTs</w:t>
      </w:r>
      <w:r w:rsidR="00E858D2">
        <w:t xml:space="preserve"> was</w:t>
      </w:r>
      <w:r>
        <w:t xml:space="preserve"> general</w:t>
      </w:r>
      <w:r w:rsidR="00C83CD0">
        <w:t>ly</w:t>
      </w:r>
      <w:r>
        <w:t xml:space="preserve"> high for methods but most trials </w:t>
      </w:r>
      <w:r w:rsidR="00D209B4">
        <w:t xml:space="preserve">would have had an unclear or high risk of bias. The blinding of outcome assessors was not described in a number of the studies, making this the area of most uncertainty. The other issue in terms of </w:t>
      </w:r>
      <w:r w:rsidR="00FD0D17">
        <w:t>bias</w:t>
      </w:r>
      <w:r w:rsidR="00D209B4">
        <w:t xml:space="preserve"> was that </w:t>
      </w:r>
      <w:r w:rsidR="00FD0D17">
        <w:t>pharmaceutical companies funded the trials, with the exception of one infliximab trial</w:t>
      </w:r>
      <w:r w:rsidR="00D209B4">
        <w:t>.</w:t>
      </w:r>
    </w:p>
    <w:p w14:paraId="61E7B442" w14:textId="10FFFFDF" w:rsidR="00CD335B" w:rsidRPr="00D209B4" w:rsidRDefault="00CD335B" w:rsidP="00D209B4">
      <w:r>
        <w:lastRenderedPageBreak/>
        <w:t xml:space="preserve">There is very little data available for biologics in the mild-moderate (PASI &gt;10 but &lt;15) disease category, even though the consensus from international and Australian guidelines was that biologics can and should be used in this disease category. </w:t>
      </w:r>
      <w:r w:rsidR="00D209B4">
        <w:t>The evidence that was identified tended to suggest that in the milder disease categories</w:t>
      </w:r>
      <w:r w:rsidR="00F15099">
        <w:t>,</w:t>
      </w:r>
      <w:r w:rsidR="00D209B4">
        <w:t xml:space="preserve"> efficacy in terms of PASI response would be lower than in those with more severe disease. Also, there was limited data for severe CPP with concomitant PsA. The trials that addressed </w:t>
      </w:r>
      <w:r w:rsidR="00FD0D17">
        <w:t>concomitant</w:t>
      </w:r>
      <w:r w:rsidR="00D209B4">
        <w:t xml:space="preserve"> PsA and CPP tended to have lower inclusion criteria for PASI. Therefore, to </w:t>
      </w:r>
      <w:r w:rsidR="00D209B4" w:rsidRPr="00D209B4">
        <w:t>enable an analysis</w:t>
      </w:r>
      <w:r w:rsidR="00D209B4">
        <w:t xml:space="preserve"> in the review</w:t>
      </w:r>
      <w:r w:rsidR="00D209B4" w:rsidRPr="00D209B4">
        <w:t xml:space="preserve">, a lower cut off PASI score was </w:t>
      </w:r>
      <w:r w:rsidR="00FD0D17" w:rsidRPr="00D209B4">
        <w:t>used,</w:t>
      </w:r>
      <w:r w:rsidR="00D209B4" w:rsidRPr="00D209B4">
        <w:t xml:space="preserve"> as studies were limited. Overall, the efficacy of biological compared to placebo demonstrated that biologics provide</w:t>
      </w:r>
      <w:r w:rsidR="00D209B4">
        <w:t>d</w:t>
      </w:r>
      <w:r w:rsidR="00D209B4" w:rsidRPr="00D209B4">
        <w:t xml:space="preserve"> patients with clinically meaningfu</w:t>
      </w:r>
      <w:r w:rsidR="00D209B4">
        <w:t>l improvements in their PsA</w:t>
      </w:r>
      <w:r w:rsidR="00D209B4" w:rsidRPr="00D209B4">
        <w:t xml:space="preserve"> severity.  It</w:t>
      </w:r>
      <w:r w:rsidR="00D209B4">
        <w:t xml:space="preserve"> also</w:t>
      </w:r>
      <w:r w:rsidR="00D209B4" w:rsidRPr="00D209B4">
        <w:t xml:space="preserve"> appeared that the biologics were marginally less effective in terms of the proportion of patients achieving a PASI 75 response in patients with concomitant PsA than in patients without</w:t>
      </w:r>
      <w:r w:rsidR="00D209B4">
        <w:t xml:space="preserve"> (but this could have been due to the lower disease severity).</w:t>
      </w:r>
      <w:r w:rsidR="00FD0D17">
        <w:t xml:space="preserve"> Trials that examined the efficacy of biologics on specific body areas were limited. </w:t>
      </w:r>
      <w:r w:rsidR="00FD0D17" w:rsidRPr="00FD0D17">
        <w:t xml:space="preserve">Five small trials (including two subgroup analyses) were identified </w:t>
      </w:r>
      <w:r w:rsidR="00FD0D17">
        <w:t>and t</w:t>
      </w:r>
      <w:r w:rsidR="00FD0D17" w:rsidRPr="00892ED6">
        <w:t>he results suggested that the biologics have some effect in treating CPP of the hands and/or feet.</w:t>
      </w:r>
    </w:p>
    <w:p w14:paraId="10FB2EC8" w14:textId="77777777" w:rsidR="00446E80" w:rsidRPr="00FE1642" w:rsidRDefault="00446E80" w:rsidP="00A77877">
      <w:pPr>
        <w:pStyle w:val="MDSubheading"/>
      </w:pPr>
      <w:bookmarkStart w:id="90" w:name="_Toc503274974"/>
      <w:r w:rsidRPr="00FE1642">
        <w:t xml:space="preserve">ToR 3: </w:t>
      </w:r>
      <w:r w:rsidR="00C70468">
        <w:t xml:space="preserve">Prevalence and </w:t>
      </w:r>
      <w:r w:rsidRPr="00FE1642">
        <w:t xml:space="preserve">utilisation of PBS listed biologics for </w:t>
      </w:r>
      <w:r w:rsidR="00C70468">
        <w:t>CPP</w:t>
      </w:r>
      <w:bookmarkEnd w:id="90"/>
    </w:p>
    <w:p w14:paraId="0F3E6A3A" w14:textId="77777777" w:rsidR="00470C5B" w:rsidRPr="00FE1642" w:rsidRDefault="00470C5B" w:rsidP="00A77877">
      <w:pPr>
        <w:pStyle w:val="MDSubsubheding"/>
      </w:pPr>
      <w:bookmarkStart w:id="91" w:name="_Toc503274975"/>
      <w:r w:rsidRPr="00FE1642">
        <w:t>Estimating the prevalence of chronic plaque psoriasis</w:t>
      </w:r>
      <w:bookmarkEnd w:id="91"/>
      <w:r w:rsidRPr="00FE1642">
        <w:t xml:space="preserve"> </w:t>
      </w:r>
    </w:p>
    <w:p w14:paraId="687DF60E" w14:textId="77777777" w:rsidR="00B67975" w:rsidRPr="00FE1642" w:rsidRDefault="00B67975" w:rsidP="00A77877">
      <w:pPr>
        <w:pStyle w:val="ToRText"/>
      </w:pPr>
      <w:r w:rsidRPr="00FE1642">
        <w:t>Q1.</w:t>
      </w:r>
      <w:r w:rsidRPr="00FE1642">
        <w:tab/>
        <w:t>Summarise the most recent estimates of incidence and prevalence of severe CPP in Australia or other similar populations.</w:t>
      </w:r>
    </w:p>
    <w:p w14:paraId="43555FC3" w14:textId="77777777" w:rsidR="00B67975" w:rsidRPr="00FE1642" w:rsidRDefault="00B67975" w:rsidP="00A77877">
      <w:pPr>
        <w:pStyle w:val="ToRText"/>
      </w:pPr>
      <w:r w:rsidRPr="00FE1642">
        <w:t>Q2.</w:t>
      </w:r>
      <w:r w:rsidRPr="00FE1642">
        <w:tab/>
        <w:t>Provide any published estimates on the prevalence of patients with psoriatic arthritis within the patient population with CPP.</w:t>
      </w:r>
    </w:p>
    <w:p w14:paraId="3D478C2A" w14:textId="7EEE2BE5" w:rsidR="00012651" w:rsidRDefault="00012651" w:rsidP="00012651">
      <w:r w:rsidRPr="007B1B63">
        <w:t xml:space="preserve">A systematic review </w:t>
      </w:r>
      <w:r>
        <w:t>was</w:t>
      </w:r>
      <w:r w:rsidRPr="007B1B63">
        <w:t xml:space="preserve"> undertaken to identify estimates of the incidence and prevalence of severe CPP in Australia</w:t>
      </w:r>
      <w:r w:rsidR="00F15099">
        <w:t>,</w:t>
      </w:r>
      <w:r w:rsidRPr="007B1B63">
        <w:t xml:space="preserve"> or estimates that may be applicable to the Australian context. The systematic review also aim</w:t>
      </w:r>
      <w:r>
        <w:t>ed</w:t>
      </w:r>
      <w:r w:rsidRPr="007B1B63">
        <w:t xml:space="preserve"> to identify any estimates published on the prevalence of patients with </w:t>
      </w:r>
      <w:r>
        <w:t>PsA</w:t>
      </w:r>
      <w:r w:rsidRPr="007B1B63">
        <w:t xml:space="preserve"> within the patient population with CPP</w:t>
      </w:r>
      <w:r>
        <w:t>.</w:t>
      </w:r>
    </w:p>
    <w:p w14:paraId="7CD8F64E" w14:textId="77777777" w:rsidR="00012651" w:rsidRPr="00CA7470" w:rsidRDefault="00012651" w:rsidP="00012651">
      <w:pPr>
        <w:rPr>
          <w:rFonts w:cs="Times New Roman"/>
          <w:szCs w:val="24"/>
          <w:lang w:eastAsia="en-GB"/>
        </w:rPr>
      </w:pPr>
      <w:r w:rsidRPr="00CA7470">
        <w:rPr>
          <w:rFonts w:cs="Times New Roman"/>
          <w:szCs w:val="24"/>
          <w:lang w:eastAsia="en-GB"/>
        </w:rPr>
        <w:t xml:space="preserve">The literature review </w:t>
      </w:r>
      <w:r w:rsidRPr="003A20F9">
        <w:rPr>
          <w:rFonts w:cs="Times New Roman"/>
          <w:noProof/>
          <w:szCs w:val="24"/>
          <w:lang w:eastAsia="en-GB"/>
        </w:rPr>
        <w:t>focussed</w:t>
      </w:r>
      <w:r w:rsidRPr="00CA7470">
        <w:rPr>
          <w:rFonts w:cs="Times New Roman"/>
          <w:szCs w:val="24"/>
          <w:lang w:eastAsia="en-GB"/>
        </w:rPr>
        <w:t xml:space="preserve"> on epidemiological estimates from Australia as well as the following: New Zealand, United Kingdom (UK), United States of Ame</w:t>
      </w:r>
      <w:r>
        <w:rPr>
          <w:rFonts w:cs="Times New Roman"/>
          <w:szCs w:val="24"/>
          <w:lang w:eastAsia="en-GB"/>
        </w:rPr>
        <w:t>rica (USA), Canada, and Europe</w:t>
      </w:r>
      <w:r w:rsidRPr="00CA7470">
        <w:rPr>
          <w:rFonts w:cs="Times New Roman"/>
          <w:szCs w:val="24"/>
          <w:lang w:eastAsia="en-GB"/>
        </w:rPr>
        <w:t xml:space="preserve">. </w:t>
      </w:r>
      <w:r>
        <w:rPr>
          <w:rFonts w:cs="Times New Roman"/>
          <w:szCs w:val="24"/>
          <w:lang w:eastAsia="en-GB"/>
        </w:rPr>
        <w:t>The literature review did not identify estimates for the prevalence of severe CPP in Australia or overseas. Therefore, the prevalence of severe CPP had to be calculated using a number of estimates from different disease categories. The</w:t>
      </w:r>
      <w:r w:rsidRPr="004E4FC0">
        <w:rPr>
          <w:rFonts w:cs="Times New Roman"/>
          <w:szCs w:val="24"/>
          <w:lang w:eastAsia="en-GB"/>
        </w:rPr>
        <w:t xml:space="preserve"> </w:t>
      </w:r>
      <w:r>
        <w:rPr>
          <w:rFonts w:cs="Times New Roman"/>
          <w:szCs w:val="24"/>
          <w:lang w:eastAsia="en-GB"/>
        </w:rPr>
        <w:t xml:space="preserve">prevalence of severe CPP was calculated using i) the prevalence of psoriasis in Australia, ii) the prevalence of CPP in patients with psoriasis, and iii) the prevalence of severe psoriasis within the CPP population.  </w:t>
      </w:r>
    </w:p>
    <w:p w14:paraId="2A6E0061" w14:textId="77777777" w:rsidR="00012651" w:rsidRDefault="00012651" w:rsidP="00012651">
      <w:pPr>
        <w:pStyle w:val="MDSubsubheding"/>
      </w:pPr>
      <w:bookmarkStart w:id="92" w:name="_Toc503274976"/>
      <w:r>
        <w:t>Prevalence of CPP</w:t>
      </w:r>
      <w:bookmarkEnd w:id="92"/>
    </w:p>
    <w:p w14:paraId="59114E65" w14:textId="5574B67B" w:rsidR="00470C5B" w:rsidRDefault="00470C5B" w:rsidP="00A77877">
      <w:r w:rsidRPr="00FE1642">
        <w:t xml:space="preserve">There is considerable uncertainty around the </w:t>
      </w:r>
      <w:r w:rsidR="00AF4E18" w:rsidRPr="00FE1642">
        <w:t>prevalence</w:t>
      </w:r>
      <w:r w:rsidRPr="00FE1642">
        <w:t xml:space="preserve"> of severe chroni</w:t>
      </w:r>
      <w:r w:rsidR="00B67975" w:rsidRPr="00FE1642">
        <w:t xml:space="preserve">c plaque psoriasis in Australia. With a paucity of data  and </w:t>
      </w:r>
      <w:r w:rsidR="00B67975" w:rsidRPr="00FE1642">
        <w:rPr>
          <w:rFonts w:eastAsia="Calibri"/>
        </w:rPr>
        <w:t>no Australian</w:t>
      </w:r>
      <w:r w:rsidR="00F15099">
        <w:rPr>
          <w:rFonts w:eastAsia="Calibri"/>
        </w:rPr>
        <w:t>-</w:t>
      </w:r>
      <w:r w:rsidR="00B67975" w:rsidRPr="00FE1642">
        <w:rPr>
          <w:rFonts w:eastAsia="Calibri"/>
        </w:rPr>
        <w:t>wide evidence to guide estimates</w:t>
      </w:r>
      <w:r w:rsidR="00F15099">
        <w:rPr>
          <w:rFonts w:eastAsia="Calibri"/>
        </w:rPr>
        <w:t>,</w:t>
      </w:r>
      <w:r w:rsidR="00B67975" w:rsidRPr="00FE1642">
        <w:rPr>
          <w:rFonts w:eastAsia="Calibri"/>
        </w:rPr>
        <w:t xml:space="preserve"> we used a number of Australian and international sources to estimate the prevalence. </w:t>
      </w:r>
      <w:r w:rsidRPr="00FE1642">
        <w:t xml:space="preserve">The best estimate of the prevalence of severe </w:t>
      </w:r>
      <w:r w:rsidR="00450E54">
        <w:t>CPP (</w:t>
      </w:r>
      <w:r w:rsidR="00450E54" w:rsidRPr="00450E54">
        <w:t>PASI &gt;15</w:t>
      </w:r>
      <w:r w:rsidR="00450E54">
        <w:t>)</w:t>
      </w:r>
      <w:r w:rsidRPr="00FE1642">
        <w:t xml:space="preserve"> in Australia was 19,</w:t>
      </w:r>
      <w:r w:rsidR="00761486">
        <w:t>000 people</w:t>
      </w:r>
      <w:r w:rsidRPr="00FE1642">
        <w:t xml:space="preserve"> (range 7,</w:t>
      </w:r>
      <w:r w:rsidR="00761486">
        <w:t>000</w:t>
      </w:r>
      <w:r w:rsidRPr="00FE1642">
        <w:t xml:space="preserve"> to 3</w:t>
      </w:r>
      <w:r w:rsidR="00761486">
        <w:t>60</w:t>
      </w:r>
      <w:r w:rsidRPr="00FE1642">
        <w:t>,</w:t>
      </w:r>
      <w:r w:rsidR="00761486">
        <w:t>000</w:t>
      </w:r>
      <w:r w:rsidRPr="00FE1642">
        <w:t>)</w:t>
      </w:r>
      <w:r w:rsidR="00012651">
        <w:t xml:space="preserve"> (</w:t>
      </w:r>
      <w:r w:rsidR="00150633">
        <w:t>Table ES.20</w:t>
      </w:r>
      <w:r w:rsidR="00012651">
        <w:t>)</w:t>
      </w:r>
      <w:r w:rsidRPr="00FE1642">
        <w:t xml:space="preserve">. </w:t>
      </w:r>
    </w:p>
    <w:p w14:paraId="07F96BA3" w14:textId="77777777" w:rsidR="00012651" w:rsidRDefault="00A75F73" w:rsidP="008D4D9D">
      <w:pPr>
        <w:pStyle w:val="MDTabCaption"/>
        <w:keepLines/>
      </w:pPr>
      <w:bookmarkStart w:id="93" w:name="_Ref492993402"/>
      <w:bookmarkStart w:id="94" w:name="_Toc503275010"/>
      <w:r>
        <w:lastRenderedPageBreak/>
        <w:t>Table ES.</w:t>
      </w:r>
      <w:r w:rsidR="00E92AD5">
        <w:t>20</w:t>
      </w:r>
      <w:bookmarkEnd w:id="93"/>
      <w:r w:rsidR="00012651">
        <w:t xml:space="preserve">: </w:t>
      </w:r>
      <w:r w:rsidR="00012651" w:rsidRPr="00461B24">
        <w:t xml:space="preserve">Prevalence of severe </w:t>
      </w:r>
      <w:r w:rsidR="00012651">
        <w:t>CPP</w:t>
      </w:r>
      <w:r w:rsidR="00012651" w:rsidRPr="00461B24">
        <w:t xml:space="preserve"> in Australia</w:t>
      </w:r>
      <w:bookmarkEnd w:id="94"/>
    </w:p>
    <w:tbl>
      <w:tblPr>
        <w:tblStyle w:val="TableGrid7"/>
        <w:tblpPr w:leftFromText="180" w:rightFromText="180" w:vertAnchor="text" w:horzAnchor="margin" w:tblpY="43"/>
        <w:tblW w:w="0" w:type="auto"/>
        <w:tblLook w:val="04A0" w:firstRow="1" w:lastRow="0" w:firstColumn="1" w:lastColumn="0" w:noHBand="0" w:noVBand="1"/>
        <w:tblCaption w:val="The estimated prevalence of severe CPP in Australia"/>
      </w:tblPr>
      <w:tblGrid>
        <w:gridCol w:w="2122"/>
        <w:gridCol w:w="1134"/>
        <w:gridCol w:w="985"/>
        <w:gridCol w:w="947"/>
        <w:gridCol w:w="1333"/>
        <w:gridCol w:w="1329"/>
        <w:gridCol w:w="1166"/>
      </w:tblGrid>
      <w:tr w:rsidR="00012651" w:rsidRPr="00304385" w14:paraId="4F322C86" w14:textId="77777777" w:rsidTr="00123BF4">
        <w:trPr>
          <w:cantSplit/>
          <w:trHeight w:val="353"/>
          <w:tblHeader/>
        </w:trPr>
        <w:tc>
          <w:tcPr>
            <w:tcW w:w="2122" w:type="dxa"/>
            <w:tcBorders>
              <w:bottom w:val="single" w:sz="4" w:space="0" w:color="auto"/>
            </w:tcBorders>
            <w:shd w:val="clear" w:color="auto" w:fill="BFBFBF" w:themeFill="background1" w:themeFillShade="BF"/>
            <w:vAlign w:val="center"/>
          </w:tcPr>
          <w:p w14:paraId="06A2F1C2" w14:textId="77777777" w:rsidR="00012651" w:rsidRPr="00304385" w:rsidRDefault="00012651" w:rsidP="00123BF4">
            <w:pPr>
              <w:spacing w:beforeLines="60" w:before="144" w:afterLines="60" w:after="144"/>
              <w:contextualSpacing/>
              <w:rPr>
                <w:rFonts w:cs="Times New Roman"/>
                <w:b/>
                <w:sz w:val="20"/>
                <w:szCs w:val="20"/>
                <w:lang w:eastAsia="en-GB"/>
              </w:rPr>
            </w:pPr>
            <w:r w:rsidRPr="00304385">
              <w:rPr>
                <w:rFonts w:cs="Calibri"/>
                <w:b/>
                <w:sz w:val="20"/>
                <w:szCs w:val="20"/>
                <w:lang w:eastAsia="en-GB"/>
              </w:rPr>
              <w:t>Parameter</w:t>
            </w:r>
          </w:p>
        </w:tc>
        <w:tc>
          <w:tcPr>
            <w:tcW w:w="1134" w:type="dxa"/>
            <w:tcBorders>
              <w:bottom w:val="single" w:sz="4" w:space="0" w:color="auto"/>
            </w:tcBorders>
            <w:shd w:val="clear" w:color="auto" w:fill="BFBFBF" w:themeFill="background1" w:themeFillShade="BF"/>
            <w:vAlign w:val="center"/>
          </w:tcPr>
          <w:p w14:paraId="34215307" w14:textId="77777777"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Best estimate</w:t>
            </w:r>
          </w:p>
        </w:tc>
        <w:tc>
          <w:tcPr>
            <w:tcW w:w="985" w:type="dxa"/>
            <w:tcBorders>
              <w:bottom w:val="single" w:sz="4" w:space="0" w:color="auto"/>
            </w:tcBorders>
            <w:shd w:val="clear" w:color="auto" w:fill="BFBFBF" w:themeFill="background1" w:themeFillShade="BF"/>
            <w:vAlign w:val="center"/>
          </w:tcPr>
          <w:p w14:paraId="7D7B0C2E" w14:textId="77777777"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Lower estimate</w:t>
            </w:r>
          </w:p>
        </w:tc>
        <w:tc>
          <w:tcPr>
            <w:tcW w:w="947" w:type="dxa"/>
            <w:tcBorders>
              <w:bottom w:val="single" w:sz="4" w:space="0" w:color="auto"/>
            </w:tcBorders>
            <w:shd w:val="clear" w:color="auto" w:fill="BFBFBF" w:themeFill="background1" w:themeFillShade="BF"/>
            <w:vAlign w:val="center"/>
          </w:tcPr>
          <w:p w14:paraId="748F3C57" w14:textId="77777777"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Upper estimate</w:t>
            </w:r>
          </w:p>
        </w:tc>
        <w:tc>
          <w:tcPr>
            <w:tcW w:w="0" w:type="auto"/>
            <w:tcBorders>
              <w:bottom w:val="single" w:sz="4" w:space="0" w:color="auto"/>
            </w:tcBorders>
            <w:shd w:val="clear" w:color="auto" w:fill="BFBFBF" w:themeFill="background1" w:themeFillShade="BF"/>
          </w:tcPr>
          <w:p w14:paraId="360ACAB8" w14:textId="77777777"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 xml:space="preserve">Source </w:t>
            </w:r>
            <w:r w:rsidRPr="00304385">
              <w:rPr>
                <w:rFonts w:cs="Calibri"/>
                <w:b/>
                <w:sz w:val="20"/>
                <w:szCs w:val="20"/>
                <w:lang w:eastAsia="en-GB"/>
              </w:rPr>
              <w:br/>
              <w:t>(best estimate)</w:t>
            </w:r>
          </w:p>
        </w:tc>
        <w:tc>
          <w:tcPr>
            <w:tcW w:w="0" w:type="auto"/>
            <w:tcBorders>
              <w:bottom w:val="single" w:sz="4" w:space="0" w:color="auto"/>
            </w:tcBorders>
            <w:shd w:val="clear" w:color="auto" w:fill="BFBFBF" w:themeFill="background1" w:themeFillShade="BF"/>
          </w:tcPr>
          <w:p w14:paraId="570FCB16" w14:textId="77777777"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 xml:space="preserve">Source </w:t>
            </w:r>
            <w:r w:rsidRPr="00304385">
              <w:rPr>
                <w:rFonts w:cs="Calibri"/>
                <w:b/>
                <w:sz w:val="20"/>
                <w:szCs w:val="20"/>
                <w:lang w:eastAsia="en-GB"/>
              </w:rPr>
              <w:br/>
              <w:t>(lower estimate)</w:t>
            </w:r>
          </w:p>
        </w:tc>
        <w:tc>
          <w:tcPr>
            <w:tcW w:w="0" w:type="auto"/>
            <w:tcBorders>
              <w:bottom w:val="single" w:sz="4" w:space="0" w:color="auto"/>
            </w:tcBorders>
            <w:shd w:val="clear" w:color="auto" w:fill="BFBFBF" w:themeFill="background1" w:themeFillShade="BF"/>
          </w:tcPr>
          <w:p w14:paraId="13EEE775" w14:textId="77777777" w:rsidR="00012651" w:rsidRPr="00304385" w:rsidRDefault="00012651" w:rsidP="00123BF4">
            <w:pPr>
              <w:autoSpaceDE w:val="0"/>
              <w:autoSpaceDN w:val="0"/>
              <w:adjustRightInd w:val="0"/>
              <w:spacing w:beforeLines="60" w:before="144" w:afterLines="60" w:after="144"/>
              <w:contextualSpacing/>
              <w:jc w:val="center"/>
              <w:rPr>
                <w:rFonts w:cs="Calibri"/>
                <w:b/>
                <w:sz w:val="20"/>
                <w:szCs w:val="20"/>
                <w:lang w:eastAsia="en-GB"/>
              </w:rPr>
            </w:pPr>
            <w:r w:rsidRPr="00304385">
              <w:rPr>
                <w:rFonts w:cs="Calibri"/>
                <w:b/>
                <w:sz w:val="20"/>
                <w:szCs w:val="20"/>
                <w:lang w:eastAsia="en-GB"/>
              </w:rPr>
              <w:t xml:space="preserve">Source </w:t>
            </w:r>
            <w:r w:rsidRPr="00304385">
              <w:rPr>
                <w:rFonts w:cs="Calibri"/>
                <w:b/>
                <w:sz w:val="20"/>
                <w:szCs w:val="20"/>
                <w:lang w:eastAsia="en-GB"/>
              </w:rPr>
              <w:br/>
              <w:t>(upper estimate)</w:t>
            </w:r>
          </w:p>
        </w:tc>
      </w:tr>
      <w:tr w:rsidR="00012651" w:rsidRPr="00304385" w14:paraId="45535FEC" w14:textId="77777777" w:rsidTr="00123BF4">
        <w:trPr>
          <w:cantSplit/>
          <w:trHeight w:val="353"/>
          <w:tblHeader/>
        </w:trPr>
        <w:tc>
          <w:tcPr>
            <w:tcW w:w="2122" w:type="dxa"/>
            <w:vAlign w:val="center"/>
          </w:tcPr>
          <w:p w14:paraId="52E2F349" w14:textId="77777777"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Australian adult population</w:t>
            </w:r>
          </w:p>
        </w:tc>
        <w:tc>
          <w:tcPr>
            <w:tcW w:w="3066" w:type="dxa"/>
            <w:gridSpan w:val="3"/>
            <w:vAlign w:val="center"/>
          </w:tcPr>
          <w:p w14:paraId="679C12DB"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18,717,575</w:t>
            </w:r>
          </w:p>
        </w:tc>
        <w:tc>
          <w:tcPr>
            <w:tcW w:w="0" w:type="auto"/>
            <w:gridSpan w:val="3"/>
            <w:vAlign w:val="center"/>
          </w:tcPr>
          <w:p w14:paraId="698C4581"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ABS Australian Demographic Statistics, September 2016</w:t>
            </w:r>
          </w:p>
        </w:tc>
      </w:tr>
      <w:tr w:rsidR="00012651" w:rsidRPr="00304385" w14:paraId="3005606F" w14:textId="77777777" w:rsidTr="00123BF4">
        <w:trPr>
          <w:cantSplit/>
          <w:trHeight w:val="353"/>
          <w:tblHeader/>
        </w:trPr>
        <w:tc>
          <w:tcPr>
            <w:tcW w:w="2122" w:type="dxa"/>
            <w:vAlign w:val="center"/>
          </w:tcPr>
          <w:p w14:paraId="2A93B674" w14:textId="77777777"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Psoriasis prevalence</w:t>
            </w:r>
          </w:p>
        </w:tc>
        <w:tc>
          <w:tcPr>
            <w:tcW w:w="1134" w:type="dxa"/>
            <w:vAlign w:val="center"/>
          </w:tcPr>
          <w:p w14:paraId="7FCB522F"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2.60%</w:t>
            </w:r>
          </w:p>
        </w:tc>
        <w:tc>
          <w:tcPr>
            <w:tcW w:w="985" w:type="dxa"/>
            <w:vAlign w:val="center"/>
          </w:tcPr>
          <w:p w14:paraId="361CD14E"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2.40%</w:t>
            </w:r>
          </w:p>
        </w:tc>
        <w:tc>
          <w:tcPr>
            <w:tcW w:w="947" w:type="dxa"/>
            <w:vAlign w:val="center"/>
          </w:tcPr>
          <w:p w14:paraId="0A967D79"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6.60%</w:t>
            </w:r>
          </w:p>
        </w:tc>
        <w:tc>
          <w:tcPr>
            <w:tcW w:w="0" w:type="auto"/>
            <w:vAlign w:val="center"/>
          </w:tcPr>
          <w:p w14:paraId="4A584028"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ABS NHS 2014-15</w:t>
            </w:r>
          </w:p>
        </w:tc>
        <w:tc>
          <w:tcPr>
            <w:tcW w:w="0" w:type="auto"/>
            <w:tcBorders>
              <w:right w:val="single" w:sz="4" w:space="0" w:color="auto"/>
            </w:tcBorders>
            <w:vAlign w:val="center"/>
          </w:tcPr>
          <w:p w14:paraId="36A21706"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ABS NHS 2011-12</w:t>
            </w:r>
          </w:p>
        </w:tc>
        <w:tc>
          <w:tcPr>
            <w:tcW w:w="0" w:type="auto"/>
            <w:tcBorders>
              <w:right w:val="single" w:sz="4" w:space="0" w:color="auto"/>
            </w:tcBorders>
            <w:vAlign w:val="center"/>
          </w:tcPr>
          <w:p w14:paraId="035A0884"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 xml:space="preserve">Plunkett </w:t>
            </w:r>
            <w:r>
              <w:rPr>
                <w:rFonts w:cs="Times New Roman"/>
                <w:color w:val="000000"/>
                <w:sz w:val="20"/>
                <w:szCs w:val="20"/>
                <w:lang w:eastAsia="en-GB"/>
              </w:rPr>
              <w:t>(</w:t>
            </w:r>
            <w:r w:rsidRPr="00304385">
              <w:rPr>
                <w:rFonts w:cs="Times New Roman"/>
                <w:color w:val="000000"/>
                <w:sz w:val="20"/>
                <w:szCs w:val="20"/>
                <w:lang w:eastAsia="en-GB"/>
              </w:rPr>
              <w:t>1999</w:t>
            </w:r>
            <w:r>
              <w:rPr>
                <w:rFonts w:cs="Times New Roman"/>
                <w:color w:val="000000"/>
                <w:sz w:val="20"/>
                <w:szCs w:val="20"/>
                <w:lang w:eastAsia="en-GB"/>
              </w:rPr>
              <w:t>)</w:t>
            </w:r>
          </w:p>
        </w:tc>
      </w:tr>
      <w:tr w:rsidR="00012651" w:rsidRPr="00304385" w14:paraId="1E9CE858" w14:textId="77777777" w:rsidTr="00123BF4">
        <w:trPr>
          <w:cantSplit/>
          <w:trHeight w:val="531"/>
          <w:tblHeader/>
        </w:trPr>
        <w:tc>
          <w:tcPr>
            <w:tcW w:w="2122" w:type="dxa"/>
            <w:vAlign w:val="center"/>
          </w:tcPr>
          <w:p w14:paraId="595149CE" w14:textId="77777777"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 xml:space="preserve">Proportion </w:t>
            </w:r>
            <w:r>
              <w:rPr>
                <w:rFonts w:cs="Times New Roman"/>
                <w:sz w:val="20"/>
                <w:szCs w:val="20"/>
                <w:lang w:eastAsia="en-GB"/>
              </w:rPr>
              <w:t>CPP</w:t>
            </w:r>
          </w:p>
        </w:tc>
        <w:tc>
          <w:tcPr>
            <w:tcW w:w="1134" w:type="dxa"/>
            <w:vAlign w:val="center"/>
          </w:tcPr>
          <w:p w14:paraId="1E89489E"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79%</w:t>
            </w:r>
          </w:p>
        </w:tc>
        <w:tc>
          <w:tcPr>
            <w:tcW w:w="985" w:type="dxa"/>
            <w:vAlign w:val="center"/>
          </w:tcPr>
          <w:p w14:paraId="13B394A4"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57.78%</w:t>
            </w:r>
          </w:p>
        </w:tc>
        <w:tc>
          <w:tcPr>
            <w:tcW w:w="947" w:type="dxa"/>
            <w:vAlign w:val="center"/>
          </w:tcPr>
          <w:p w14:paraId="6B5A16BE"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94%</w:t>
            </w:r>
          </w:p>
        </w:tc>
        <w:tc>
          <w:tcPr>
            <w:tcW w:w="0" w:type="auto"/>
            <w:vAlign w:val="center"/>
          </w:tcPr>
          <w:p w14:paraId="7A275594"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 xml:space="preserve">Icen </w:t>
            </w:r>
            <w:r>
              <w:rPr>
                <w:rFonts w:cs="Times New Roman"/>
                <w:color w:val="000000"/>
                <w:sz w:val="20"/>
                <w:szCs w:val="20"/>
                <w:lang w:eastAsia="en-GB"/>
              </w:rPr>
              <w:t>(</w:t>
            </w:r>
            <w:r w:rsidRPr="00304385">
              <w:rPr>
                <w:rFonts w:cs="Times New Roman"/>
                <w:color w:val="000000"/>
                <w:sz w:val="20"/>
                <w:szCs w:val="20"/>
                <w:lang w:eastAsia="en-GB"/>
              </w:rPr>
              <w:t>2009</w:t>
            </w:r>
            <w:r>
              <w:rPr>
                <w:rFonts w:cs="Times New Roman"/>
                <w:color w:val="000000"/>
                <w:sz w:val="20"/>
                <w:szCs w:val="20"/>
                <w:lang w:eastAsia="en-GB"/>
              </w:rPr>
              <w:t>)</w:t>
            </w:r>
          </w:p>
        </w:tc>
        <w:tc>
          <w:tcPr>
            <w:tcW w:w="0" w:type="auto"/>
            <w:tcBorders>
              <w:right w:val="single" w:sz="4" w:space="0" w:color="auto"/>
            </w:tcBorders>
            <w:vAlign w:val="center"/>
          </w:tcPr>
          <w:p w14:paraId="520B17F5"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 xml:space="preserve">Schafer </w:t>
            </w:r>
            <w:r>
              <w:rPr>
                <w:rFonts w:cs="Times New Roman"/>
                <w:color w:val="000000"/>
                <w:sz w:val="20"/>
                <w:szCs w:val="20"/>
                <w:lang w:eastAsia="en-GB"/>
              </w:rPr>
              <w:t>(</w:t>
            </w:r>
            <w:r w:rsidRPr="00304385">
              <w:rPr>
                <w:rFonts w:cs="Times New Roman"/>
                <w:color w:val="000000"/>
                <w:sz w:val="20"/>
                <w:szCs w:val="20"/>
                <w:lang w:eastAsia="en-GB"/>
              </w:rPr>
              <w:t>2011</w:t>
            </w:r>
            <w:r>
              <w:rPr>
                <w:rFonts w:cs="Times New Roman"/>
                <w:color w:val="000000"/>
                <w:sz w:val="20"/>
                <w:szCs w:val="20"/>
                <w:lang w:eastAsia="en-GB"/>
              </w:rPr>
              <w:t>)</w:t>
            </w:r>
          </w:p>
        </w:tc>
        <w:tc>
          <w:tcPr>
            <w:tcW w:w="0" w:type="auto"/>
            <w:tcBorders>
              <w:right w:val="single" w:sz="4" w:space="0" w:color="auto"/>
            </w:tcBorders>
            <w:vAlign w:val="center"/>
          </w:tcPr>
          <w:p w14:paraId="0EA30253"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 xml:space="preserve">Papadavid </w:t>
            </w:r>
            <w:r>
              <w:rPr>
                <w:rFonts w:cs="Times New Roman"/>
                <w:color w:val="000000"/>
                <w:sz w:val="20"/>
                <w:szCs w:val="20"/>
                <w:lang w:eastAsia="en-GB"/>
              </w:rPr>
              <w:t>(</w:t>
            </w:r>
            <w:r w:rsidRPr="00304385">
              <w:rPr>
                <w:rFonts w:cs="Times New Roman"/>
                <w:color w:val="000000"/>
                <w:sz w:val="20"/>
                <w:szCs w:val="20"/>
                <w:lang w:eastAsia="en-GB"/>
              </w:rPr>
              <w:t>2017</w:t>
            </w:r>
            <w:r>
              <w:rPr>
                <w:rFonts w:cs="Times New Roman"/>
                <w:color w:val="000000"/>
                <w:sz w:val="20"/>
                <w:szCs w:val="20"/>
                <w:lang w:eastAsia="en-GB"/>
              </w:rPr>
              <w:t>)</w:t>
            </w:r>
            <w:r w:rsidRPr="00304385">
              <w:rPr>
                <w:rFonts w:cs="Times New Roman"/>
                <w:color w:val="000000"/>
                <w:sz w:val="20"/>
                <w:szCs w:val="20"/>
                <w:lang w:eastAsia="en-GB"/>
              </w:rPr>
              <w:t xml:space="preserve"> </w:t>
            </w:r>
          </w:p>
        </w:tc>
      </w:tr>
      <w:tr w:rsidR="00012651" w:rsidRPr="00304385" w14:paraId="318F5BC5" w14:textId="77777777" w:rsidTr="00123BF4">
        <w:trPr>
          <w:cantSplit/>
          <w:trHeight w:val="353"/>
          <w:tblHeader/>
        </w:trPr>
        <w:tc>
          <w:tcPr>
            <w:tcW w:w="2122" w:type="dxa"/>
            <w:vAlign w:val="center"/>
          </w:tcPr>
          <w:p w14:paraId="048A48AC" w14:textId="77777777"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 xml:space="preserve">Proportion </w:t>
            </w:r>
            <w:r>
              <w:rPr>
                <w:rFonts w:cs="Times New Roman"/>
                <w:sz w:val="20"/>
                <w:szCs w:val="20"/>
                <w:lang w:eastAsia="en-GB"/>
              </w:rPr>
              <w:t>PASI &gt;15</w:t>
            </w:r>
          </w:p>
        </w:tc>
        <w:tc>
          <w:tcPr>
            <w:tcW w:w="1134" w:type="dxa"/>
            <w:vAlign w:val="center"/>
          </w:tcPr>
          <w:p w14:paraId="481293A6"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5%</w:t>
            </w:r>
          </w:p>
        </w:tc>
        <w:tc>
          <w:tcPr>
            <w:tcW w:w="985" w:type="dxa"/>
            <w:vAlign w:val="center"/>
          </w:tcPr>
          <w:p w14:paraId="0BB724BE"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3%</w:t>
            </w:r>
          </w:p>
        </w:tc>
        <w:tc>
          <w:tcPr>
            <w:tcW w:w="947" w:type="dxa"/>
            <w:vAlign w:val="center"/>
          </w:tcPr>
          <w:p w14:paraId="0C0953E9"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31%</w:t>
            </w:r>
          </w:p>
        </w:tc>
        <w:tc>
          <w:tcPr>
            <w:tcW w:w="0" w:type="auto"/>
            <w:vAlign w:val="center"/>
          </w:tcPr>
          <w:p w14:paraId="5CE4BEAD"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Mallbris 2005 (upper estimate)</w:t>
            </w:r>
          </w:p>
        </w:tc>
        <w:tc>
          <w:tcPr>
            <w:tcW w:w="0" w:type="auto"/>
            <w:tcBorders>
              <w:right w:val="single" w:sz="4" w:space="0" w:color="auto"/>
            </w:tcBorders>
            <w:vAlign w:val="center"/>
          </w:tcPr>
          <w:p w14:paraId="4E73D30E"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Mallbris 2005 (lower estimate)</w:t>
            </w:r>
          </w:p>
        </w:tc>
        <w:tc>
          <w:tcPr>
            <w:tcW w:w="0" w:type="auto"/>
            <w:tcBorders>
              <w:right w:val="single" w:sz="4" w:space="0" w:color="auto"/>
            </w:tcBorders>
            <w:vAlign w:val="center"/>
          </w:tcPr>
          <w:p w14:paraId="4C74A29E"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304385">
              <w:rPr>
                <w:rFonts w:cs="Times New Roman"/>
                <w:color w:val="000000"/>
                <w:sz w:val="20"/>
                <w:szCs w:val="20"/>
                <w:lang w:eastAsia="en-GB"/>
              </w:rPr>
              <w:t xml:space="preserve">Piaserico </w:t>
            </w:r>
            <w:r>
              <w:rPr>
                <w:rFonts w:cs="Times New Roman"/>
                <w:color w:val="000000"/>
                <w:sz w:val="20"/>
                <w:szCs w:val="20"/>
                <w:lang w:eastAsia="en-GB"/>
              </w:rPr>
              <w:t>(</w:t>
            </w:r>
            <w:r w:rsidRPr="00304385">
              <w:rPr>
                <w:rFonts w:cs="Times New Roman"/>
                <w:color w:val="000000"/>
                <w:sz w:val="20"/>
                <w:szCs w:val="20"/>
                <w:lang w:eastAsia="en-GB"/>
              </w:rPr>
              <w:t>2016</w:t>
            </w:r>
            <w:r>
              <w:rPr>
                <w:rFonts w:cs="Times New Roman"/>
                <w:color w:val="000000"/>
                <w:sz w:val="20"/>
                <w:szCs w:val="20"/>
                <w:lang w:eastAsia="en-GB"/>
              </w:rPr>
              <w:t>)</w:t>
            </w:r>
          </w:p>
        </w:tc>
      </w:tr>
      <w:tr w:rsidR="00012651" w:rsidRPr="00304385" w14:paraId="51F9DC8C" w14:textId="77777777" w:rsidTr="00123BF4">
        <w:trPr>
          <w:cantSplit/>
          <w:trHeight w:val="353"/>
          <w:tblHeader/>
        </w:trPr>
        <w:tc>
          <w:tcPr>
            <w:tcW w:w="2122" w:type="dxa"/>
            <w:vAlign w:val="center"/>
          </w:tcPr>
          <w:p w14:paraId="63C05C45" w14:textId="77777777"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 xml:space="preserve">Proportion </w:t>
            </w:r>
            <w:r>
              <w:rPr>
                <w:rFonts w:cs="Times New Roman"/>
                <w:sz w:val="20"/>
                <w:szCs w:val="20"/>
                <w:lang w:eastAsia="en-GB"/>
              </w:rPr>
              <w:t>PASI ≥10</w:t>
            </w:r>
          </w:p>
        </w:tc>
        <w:tc>
          <w:tcPr>
            <w:tcW w:w="1134" w:type="dxa"/>
            <w:vAlign w:val="center"/>
          </w:tcPr>
          <w:p w14:paraId="65A0BCBF"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Pr>
                <w:rFonts w:cs="Calibri"/>
                <w:sz w:val="20"/>
                <w:szCs w:val="20"/>
                <w:lang w:eastAsia="en-GB"/>
              </w:rPr>
              <w:t>13%</w:t>
            </w:r>
          </w:p>
        </w:tc>
        <w:tc>
          <w:tcPr>
            <w:tcW w:w="985" w:type="dxa"/>
            <w:vAlign w:val="center"/>
          </w:tcPr>
          <w:p w14:paraId="6275EAFD"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Pr>
                <w:rFonts w:cs="Calibri"/>
                <w:sz w:val="20"/>
                <w:szCs w:val="20"/>
                <w:lang w:eastAsia="en-GB"/>
              </w:rPr>
              <w:t>13%</w:t>
            </w:r>
          </w:p>
        </w:tc>
        <w:tc>
          <w:tcPr>
            <w:tcW w:w="947" w:type="dxa"/>
            <w:vAlign w:val="center"/>
          </w:tcPr>
          <w:p w14:paraId="60C4D28F"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Pr>
                <w:rFonts w:cs="Calibri"/>
                <w:sz w:val="20"/>
                <w:szCs w:val="20"/>
                <w:lang w:eastAsia="en-GB"/>
              </w:rPr>
              <w:t>53%</w:t>
            </w:r>
          </w:p>
        </w:tc>
        <w:tc>
          <w:tcPr>
            <w:tcW w:w="0" w:type="auto"/>
            <w:vAlign w:val="center"/>
          </w:tcPr>
          <w:p w14:paraId="79CEB24E"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Pr>
                <w:rFonts w:cs="Times New Roman"/>
                <w:color w:val="000000"/>
                <w:sz w:val="20"/>
                <w:szCs w:val="20"/>
                <w:lang w:eastAsia="en-GB"/>
              </w:rPr>
              <w:t>Eder (2016)</w:t>
            </w:r>
          </w:p>
        </w:tc>
        <w:tc>
          <w:tcPr>
            <w:tcW w:w="0" w:type="auto"/>
            <w:tcBorders>
              <w:right w:val="single" w:sz="4" w:space="0" w:color="auto"/>
            </w:tcBorders>
            <w:vAlign w:val="center"/>
          </w:tcPr>
          <w:p w14:paraId="099B4BEE"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Pr>
                <w:rFonts w:cs="Times New Roman"/>
                <w:color w:val="000000"/>
                <w:sz w:val="20"/>
                <w:szCs w:val="20"/>
                <w:lang w:eastAsia="en-GB"/>
              </w:rPr>
              <w:t>Eder (2016)</w:t>
            </w:r>
          </w:p>
        </w:tc>
        <w:tc>
          <w:tcPr>
            <w:tcW w:w="0" w:type="auto"/>
            <w:tcBorders>
              <w:right w:val="single" w:sz="4" w:space="0" w:color="auto"/>
            </w:tcBorders>
            <w:vAlign w:val="center"/>
          </w:tcPr>
          <w:p w14:paraId="25BCAB06" w14:textId="77777777" w:rsidR="00012651" w:rsidRPr="00304385" w:rsidRDefault="00012651" w:rsidP="00123BF4">
            <w:pPr>
              <w:autoSpaceDE w:val="0"/>
              <w:autoSpaceDN w:val="0"/>
              <w:adjustRightInd w:val="0"/>
              <w:spacing w:beforeLines="60" w:before="144" w:afterLines="60" w:after="144"/>
              <w:contextualSpacing/>
              <w:jc w:val="center"/>
              <w:rPr>
                <w:rFonts w:cs="Times New Roman"/>
                <w:color w:val="000000"/>
                <w:sz w:val="20"/>
                <w:szCs w:val="20"/>
                <w:lang w:eastAsia="en-GB"/>
              </w:rPr>
            </w:pPr>
            <w:r w:rsidRPr="00FF67F6">
              <w:rPr>
                <w:rFonts w:cs="Times New Roman"/>
                <w:color w:val="000000"/>
                <w:sz w:val="20"/>
                <w:szCs w:val="20"/>
                <w:lang w:eastAsia="en-GB"/>
              </w:rPr>
              <w:t>Piaserico (2016)</w:t>
            </w:r>
          </w:p>
        </w:tc>
      </w:tr>
      <w:tr w:rsidR="00012651" w:rsidRPr="00304385" w14:paraId="1CA08488" w14:textId="77777777" w:rsidTr="00123BF4">
        <w:trPr>
          <w:cantSplit/>
          <w:trHeight w:val="353"/>
          <w:tblHeader/>
        </w:trPr>
        <w:tc>
          <w:tcPr>
            <w:tcW w:w="2122" w:type="dxa"/>
            <w:vAlign w:val="center"/>
          </w:tcPr>
          <w:p w14:paraId="798EB8C1" w14:textId="77777777"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Prevalence CPP</w:t>
            </w:r>
            <w:r>
              <w:rPr>
                <w:rFonts w:cs="Times New Roman"/>
                <w:sz w:val="20"/>
                <w:szCs w:val="20"/>
                <w:lang w:eastAsia="en-GB"/>
              </w:rPr>
              <w:t xml:space="preserve">  with PASI &gt;15</w:t>
            </w:r>
          </w:p>
        </w:tc>
        <w:tc>
          <w:tcPr>
            <w:tcW w:w="1134" w:type="dxa"/>
            <w:vAlign w:val="center"/>
          </w:tcPr>
          <w:p w14:paraId="7352B268"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19,223</w:t>
            </w:r>
          </w:p>
        </w:tc>
        <w:tc>
          <w:tcPr>
            <w:tcW w:w="985" w:type="dxa"/>
            <w:vAlign w:val="center"/>
          </w:tcPr>
          <w:p w14:paraId="46932802"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7,787</w:t>
            </w:r>
          </w:p>
        </w:tc>
        <w:tc>
          <w:tcPr>
            <w:tcW w:w="947" w:type="dxa"/>
            <w:vAlign w:val="center"/>
          </w:tcPr>
          <w:p w14:paraId="1672A1AE"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359,984</w:t>
            </w:r>
          </w:p>
        </w:tc>
        <w:tc>
          <w:tcPr>
            <w:tcW w:w="0" w:type="auto"/>
            <w:gridSpan w:val="3"/>
            <w:vAlign w:val="center"/>
          </w:tcPr>
          <w:p w14:paraId="46B15897"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Calculated</w:t>
            </w:r>
          </w:p>
        </w:tc>
      </w:tr>
      <w:tr w:rsidR="00012651" w:rsidRPr="00304385" w14:paraId="30738064" w14:textId="77777777" w:rsidTr="00123BF4">
        <w:trPr>
          <w:cantSplit/>
          <w:trHeight w:val="353"/>
          <w:tblHeader/>
        </w:trPr>
        <w:tc>
          <w:tcPr>
            <w:tcW w:w="2122" w:type="dxa"/>
            <w:vAlign w:val="center"/>
          </w:tcPr>
          <w:p w14:paraId="5509098E" w14:textId="77777777" w:rsidR="00012651" w:rsidRPr="00304385" w:rsidRDefault="00012651" w:rsidP="00123BF4">
            <w:pPr>
              <w:spacing w:beforeLines="60" w:before="144" w:afterLines="60" w:after="144"/>
              <w:contextualSpacing/>
              <w:rPr>
                <w:rFonts w:cs="Times New Roman"/>
                <w:sz w:val="20"/>
                <w:szCs w:val="20"/>
                <w:lang w:eastAsia="en-GB"/>
              </w:rPr>
            </w:pPr>
            <w:r w:rsidRPr="00304385">
              <w:rPr>
                <w:rFonts w:cs="Times New Roman"/>
                <w:sz w:val="20"/>
                <w:szCs w:val="20"/>
                <w:lang w:eastAsia="en-GB"/>
              </w:rPr>
              <w:t>Prevalence CPP</w:t>
            </w:r>
            <w:r>
              <w:rPr>
                <w:rFonts w:cs="Times New Roman"/>
                <w:sz w:val="20"/>
                <w:szCs w:val="20"/>
                <w:lang w:eastAsia="en-GB"/>
              </w:rPr>
              <w:t xml:space="preserve">  with  PASI ≥10</w:t>
            </w:r>
          </w:p>
        </w:tc>
        <w:tc>
          <w:tcPr>
            <w:tcW w:w="1134" w:type="dxa"/>
            <w:vAlign w:val="center"/>
          </w:tcPr>
          <w:p w14:paraId="56C0769C"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1B0DBD">
              <w:rPr>
                <w:rFonts w:cs="Calibri"/>
                <w:sz w:val="20"/>
                <w:szCs w:val="20"/>
                <w:lang w:eastAsia="en-GB"/>
              </w:rPr>
              <w:t>49,980</w:t>
            </w:r>
          </w:p>
        </w:tc>
        <w:tc>
          <w:tcPr>
            <w:tcW w:w="985" w:type="dxa"/>
            <w:vAlign w:val="center"/>
          </w:tcPr>
          <w:p w14:paraId="30931956"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6865E7">
              <w:rPr>
                <w:rFonts w:cs="Calibri"/>
                <w:sz w:val="20"/>
                <w:szCs w:val="20"/>
                <w:lang w:eastAsia="en-GB"/>
              </w:rPr>
              <w:t>33,743</w:t>
            </w:r>
          </w:p>
        </w:tc>
        <w:tc>
          <w:tcPr>
            <w:tcW w:w="947" w:type="dxa"/>
            <w:vAlign w:val="center"/>
          </w:tcPr>
          <w:p w14:paraId="163FC9D8" w14:textId="77777777" w:rsidR="00012651" w:rsidRPr="00304385" w:rsidRDefault="008967A2" w:rsidP="00123BF4">
            <w:pPr>
              <w:autoSpaceDE w:val="0"/>
              <w:autoSpaceDN w:val="0"/>
              <w:adjustRightInd w:val="0"/>
              <w:spacing w:beforeLines="60" w:before="144" w:afterLines="60" w:after="144"/>
              <w:contextualSpacing/>
              <w:jc w:val="center"/>
              <w:rPr>
                <w:rFonts w:cs="Calibri"/>
                <w:sz w:val="20"/>
                <w:szCs w:val="20"/>
                <w:lang w:eastAsia="en-GB"/>
              </w:rPr>
            </w:pPr>
            <w:r>
              <w:rPr>
                <w:rFonts w:cs="Calibri"/>
                <w:sz w:val="20"/>
                <w:szCs w:val="20"/>
                <w:lang w:eastAsia="en-GB"/>
              </w:rPr>
              <w:t>615,456</w:t>
            </w:r>
          </w:p>
        </w:tc>
        <w:tc>
          <w:tcPr>
            <w:tcW w:w="0" w:type="auto"/>
            <w:gridSpan w:val="3"/>
            <w:vAlign w:val="center"/>
          </w:tcPr>
          <w:p w14:paraId="282F0F87" w14:textId="77777777" w:rsidR="00012651" w:rsidRPr="00304385" w:rsidRDefault="00012651" w:rsidP="00123BF4">
            <w:pPr>
              <w:autoSpaceDE w:val="0"/>
              <w:autoSpaceDN w:val="0"/>
              <w:adjustRightInd w:val="0"/>
              <w:spacing w:beforeLines="60" w:before="144" w:afterLines="60" w:after="144"/>
              <w:contextualSpacing/>
              <w:jc w:val="center"/>
              <w:rPr>
                <w:rFonts w:cs="Calibri"/>
                <w:sz w:val="20"/>
                <w:szCs w:val="20"/>
                <w:lang w:eastAsia="en-GB"/>
              </w:rPr>
            </w:pPr>
            <w:r w:rsidRPr="00304385">
              <w:rPr>
                <w:rFonts w:cs="Calibri"/>
                <w:sz w:val="20"/>
                <w:szCs w:val="20"/>
                <w:lang w:eastAsia="en-GB"/>
              </w:rPr>
              <w:t>Calculated</w:t>
            </w:r>
          </w:p>
        </w:tc>
      </w:tr>
    </w:tbl>
    <w:p w14:paraId="5A1147B4" w14:textId="79896AB7" w:rsidR="00012651" w:rsidRPr="00304385" w:rsidRDefault="00012651" w:rsidP="00012651">
      <w:pPr>
        <w:rPr>
          <w:rFonts w:eastAsiaTheme="minorEastAsia" w:cs="Baskerville"/>
          <w:sz w:val="20"/>
          <w:szCs w:val="20"/>
          <w:lang w:eastAsia="en-GB"/>
        </w:rPr>
      </w:pPr>
      <w:r w:rsidRPr="00304385">
        <w:rPr>
          <w:rFonts w:eastAsiaTheme="minorEastAsia" w:cs="Baskerville"/>
          <w:sz w:val="20"/>
          <w:szCs w:val="20"/>
          <w:lang w:eastAsia="en-GB"/>
        </w:rPr>
        <w:t xml:space="preserve">ABS = Australian Bureau of Statistics; </w:t>
      </w:r>
      <w:r>
        <w:rPr>
          <w:rFonts w:eastAsiaTheme="minorEastAsia" w:cs="Baskerville"/>
          <w:sz w:val="20"/>
          <w:szCs w:val="20"/>
          <w:lang w:eastAsia="en-GB"/>
        </w:rPr>
        <w:t xml:space="preserve">CPP = chronic plaque psoriasis; </w:t>
      </w:r>
      <w:r w:rsidRPr="00304385">
        <w:rPr>
          <w:rFonts w:eastAsiaTheme="minorEastAsia" w:cs="Baskerville"/>
          <w:sz w:val="20"/>
          <w:szCs w:val="20"/>
          <w:lang w:eastAsia="en-GB"/>
        </w:rPr>
        <w:t>NHS = National Health Survey</w:t>
      </w:r>
      <w:r>
        <w:rPr>
          <w:rFonts w:eastAsiaTheme="minorEastAsia" w:cs="Baskerville"/>
          <w:sz w:val="20"/>
          <w:szCs w:val="20"/>
          <w:lang w:eastAsia="en-GB"/>
        </w:rPr>
        <w:t xml:space="preserve">; </w:t>
      </w:r>
      <w:r w:rsidRPr="00304385">
        <w:rPr>
          <w:rFonts w:eastAsiaTheme="minorEastAsia" w:cs="Baskerville"/>
          <w:sz w:val="20"/>
          <w:szCs w:val="20"/>
          <w:lang w:eastAsia="en-GB"/>
        </w:rPr>
        <w:t>PASI = Psoriasis Area and Severity Index</w:t>
      </w:r>
    </w:p>
    <w:p w14:paraId="63F8BA40" w14:textId="6EC8241C" w:rsidR="00761486" w:rsidRDefault="00761486" w:rsidP="00761486">
      <w:pPr>
        <w:rPr>
          <w:lang w:eastAsia="en-GB"/>
        </w:rPr>
      </w:pPr>
      <w:r>
        <w:rPr>
          <w:lang w:eastAsia="en-GB"/>
        </w:rPr>
        <w:t xml:space="preserve">During the second reference group meeting and as a response to the stakeholder engagement, it was considered that options to explore the number of patients with moderate to severe CPP (PASI 10 to 15) </w:t>
      </w:r>
      <w:r w:rsidR="00450E54">
        <w:rPr>
          <w:lang w:eastAsia="en-GB"/>
        </w:rPr>
        <w:t xml:space="preserve">should be considered </w:t>
      </w:r>
      <w:r>
        <w:rPr>
          <w:lang w:eastAsia="en-GB"/>
        </w:rPr>
        <w:t xml:space="preserve">and how this would differ from the current setting. The most likely estimate for the prevalence of CPP with a PASI 10 or greater was 50,000 people with lower and upper estimates between 33,000 and </w:t>
      </w:r>
      <w:r w:rsidR="008967A2">
        <w:rPr>
          <w:lang w:eastAsia="en-GB"/>
        </w:rPr>
        <w:t>616</w:t>
      </w:r>
      <w:r w:rsidRPr="00535728">
        <w:rPr>
          <w:lang w:eastAsia="en-GB"/>
        </w:rPr>
        <w:t>,</w:t>
      </w:r>
      <w:r>
        <w:rPr>
          <w:lang w:eastAsia="en-GB"/>
        </w:rPr>
        <w:t>000 affected people</w:t>
      </w:r>
      <w:r w:rsidR="00AF2F4B">
        <w:rPr>
          <w:lang w:eastAsia="en-GB"/>
        </w:rPr>
        <w:t xml:space="preserve"> (</w:t>
      </w:r>
      <w:r w:rsidR="00594BE2">
        <w:t xml:space="preserve">Table </w:t>
      </w:r>
      <w:r w:rsidR="00594BE2">
        <w:rPr>
          <w:noProof/>
        </w:rPr>
        <w:t>ES</w:t>
      </w:r>
      <w:r w:rsidR="00594BE2">
        <w:t>.</w:t>
      </w:r>
      <w:r w:rsidR="00770AA8">
        <w:rPr>
          <w:noProof/>
        </w:rPr>
        <w:t>20</w:t>
      </w:r>
      <w:r w:rsidR="00AF2F4B">
        <w:rPr>
          <w:lang w:eastAsia="en-GB"/>
        </w:rPr>
        <w:t xml:space="preserve">; </w:t>
      </w:r>
      <w:r w:rsidR="00594BE2">
        <w:t>Figure ES.</w:t>
      </w:r>
      <w:r w:rsidR="00594BE2">
        <w:rPr>
          <w:noProof/>
        </w:rPr>
        <w:t>5</w:t>
      </w:r>
      <w:r w:rsidR="00AF2F4B">
        <w:rPr>
          <w:lang w:eastAsia="en-GB"/>
        </w:rPr>
        <w:t>).</w:t>
      </w:r>
      <w:r>
        <w:rPr>
          <w:lang w:eastAsia="en-GB"/>
        </w:rPr>
        <w:t xml:space="preserve"> This would increase the population pool for biologics treatment by 31,000 people</w:t>
      </w:r>
      <w:r w:rsidR="00012651">
        <w:rPr>
          <w:lang w:eastAsia="en-GB"/>
        </w:rPr>
        <w:t>;</w:t>
      </w:r>
      <w:r>
        <w:rPr>
          <w:lang w:eastAsia="en-GB"/>
        </w:rPr>
        <w:t xml:space="preserve"> with lower and upper estimates between 26,000 and </w:t>
      </w:r>
      <w:r w:rsidR="008967A2">
        <w:rPr>
          <w:lang w:eastAsia="en-GB"/>
        </w:rPr>
        <w:t>256</w:t>
      </w:r>
      <w:r>
        <w:rPr>
          <w:lang w:eastAsia="en-GB"/>
        </w:rPr>
        <w:t>,000 people</w:t>
      </w:r>
      <w:r w:rsidR="00AF2F4B">
        <w:rPr>
          <w:lang w:eastAsia="en-GB"/>
        </w:rPr>
        <w:t xml:space="preserve"> (</w:t>
      </w:r>
      <w:r w:rsidR="00594BE2">
        <w:t xml:space="preserve">Table </w:t>
      </w:r>
      <w:r w:rsidR="00594BE2">
        <w:rPr>
          <w:noProof/>
        </w:rPr>
        <w:t>ES</w:t>
      </w:r>
      <w:r w:rsidR="00594BE2">
        <w:t>.</w:t>
      </w:r>
      <w:r w:rsidR="00770AA8">
        <w:rPr>
          <w:noProof/>
        </w:rPr>
        <w:t>20</w:t>
      </w:r>
      <w:r w:rsidR="00AF2F4B">
        <w:rPr>
          <w:lang w:eastAsia="en-GB"/>
        </w:rPr>
        <w:t xml:space="preserve">; </w:t>
      </w:r>
      <w:r w:rsidR="00594BE2">
        <w:t>Figure ES.</w:t>
      </w:r>
      <w:r w:rsidR="00594BE2">
        <w:rPr>
          <w:noProof/>
        </w:rPr>
        <w:t>5</w:t>
      </w:r>
      <w:r w:rsidR="00AF2F4B">
        <w:rPr>
          <w:lang w:eastAsia="en-GB"/>
        </w:rPr>
        <w:t>)</w:t>
      </w:r>
      <w:r>
        <w:rPr>
          <w:lang w:eastAsia="en-GB"/>
        </w:rPr>
        <w:t xml:space="preserve">. </w:t>
      </w:r>
    </w:p>
    <w:p w14:paraId="580E1EBD" w14:textId="77777777" w:rsidR="00631814" w:rsidRPr="00FE1642" w:rsidRDefault="00631814" w:rsidP="00631814">
      <w:pPr>
        <w:pStyle w:val="ToRText"/>
      </w:pPr>
      <w:r w:rsidRPr="00FE1642">
        <w:t>Q2.</w:t>
      </w:r>
      <w:r w:rsidRPr="00FE1642">
        <w:tab/>
        <w:t>Provide any published estimates on the prevalence of patients with psoriatic arthritis within the patient population with CPP.</w:t>
      </w:r>
    </w:p>
    <w:p w14:paraId="30BE0B4F" w14:textId="153CDCB2" w:rsidR="00470C5B" w:rsidRPr="00FE1642" w:rsidRDefault="00761486" w:rsidP="00761486">
      <w:r w:rsidRPr="00FE1642">
        <w:t>Again,</w:t>
      </w:r>
      <w:r w:rsidR="00B67975" w:rsidRPr="00FE1642">
        <w:t xml:space="preserve"> there was evidence lacking on the proportion of people with </w:t>
      </w:r>
      <w:r w:rsidR="00631814">
        <w:t>PsA</w:t>
      </w:r>
      <w:r w:rsidR="005E626F" w:rsidRPr="00FE1642">
        <w:t xml:space="preserve">. Using a </w:t>
      </w:r>
      <w:r w:rsidR="002C1F79" w:rsidRPr="00FE1642">
        <w:t>combination</w:t>
      </w:r>
      <w:r w:rsidR="005E626F" w:rsidRPr="00FE1642">
        <w:t xml:space="preserve"> of different sources we provide a </w:t>
      </w:r>
      <w:r w:rsidR="00470C5B" w:rsidRPr="00FE1642">
        <w:t xml:space="preserve">best estimate of the prevalence of patients with </w:t>
      </w:r>
      <w:r w:rsidR="00770AA8">
        <w:t>PsA</w:t>
      </w:r>
      <w:r w:rsidR="00470C5B" w:rsidRPr="00FE1642">
        <w:t xml:space="preserve"> within the </w:t>
      </w:r>
      <w:r w:rsidR="00631814">
        <w:t xml:space="preserve">moderate to severe </w:t>
      </w:r>
      <w:r w:rsidR="00770AA8">
        <w:t>CPP</w:t>
      </w:r>
      <w:r w:rsidR="00E50B53">
        <w:t xml:space="preserve">. </w:t>
      </w:r>
      <w:r w:rsidR="00E50B53" w:rsidRPr="00E50B53">
        <w:t xml:space="preserve">In </w:t>
      </w:r>
      <w:r w:rsidR="00631814">
        <w:t xml:space="preserve">Australia, it was estimated that </w:t>
      </w:r>
      <w:r w:rsidR="00E50B53" w:rsidRPr="00E50B53">
        <w:t>about 30% of the patients with CPP (with a PASI ≥ 10) or between 10,000 and 160,000 people</w:t>
      </w:r>
      <w:r w:rsidR="00631814">
        <w:t xml:space="preserve"> would have PsA</w:t>
      </w:r>
      <w:r w:rsidR="00470C5B" w:rsidRPr="00FE1642">
        <w:t xml:space="preserve">. </w:t>
      </w:r>
    </w:p>
    <w:p w14:paraId="05C49697" w14:textId="77777777" w:rsidR="005E626F" w:rsidRDefault="00470C5B" w:rsidP="00A77877">
      <w:pPr>
        <w:pStyle w:val="MDSubsubheding"/>
      </w:pPr>
      <w:bookmarkStart w:id="95" w:name="_Toc503274977"/>
      <w:r w:rsidRPr="00FE1642">
        <w:t>Utilisation of PBS listed biologics for chronic plaque psoriasis</w:t>
      </w:r>
      <w:bookmarkEnd w:id="95"/>
    </w:p>
    <w:p w14:paraId="61D1DDDE" w14:textId="77777777" w:rsidR="00012651" w:rsidRDefault="00012651" w:rsidP="00012651">
      <w:r w:rsidRPr="00A17BBF">
        <w:t xml:space="preserve">An analysis of the </w:t>
      </w:r>
      <w:r w:rsidRPr="003A20F9">
        <w:rPr>
          <w:noProof/>
        </w:rPr>
        <w:t>utilisation</w:t>
      </w:r>
      <w:r w:rsidRPr="00A17BBF">
        <w:t xml:space="preserve"> of biologics for severe CPP was undertaken using prescription data from the Department of Human Services Supplied Prescriptions Database. </w:t>
      </w:r>
      <w:r>
        <w:t>Dispensed</w:t>
      </w:r>
      <w:r w:rsidRPr="00A17BBF">
        <w:t xml:space="preserve"> prescription data for biologics listed on the Pharmaceutical Benefits Scheme (PBS) for severe CPP were exacted for the period from 1 July 2013 to 31 December 2016</w:t>
      </w:r>
      <w:r>
        <w:t xml:space="preserve"> based on the date of dispensing</w:t>
      </w:r>
      <w:r w:rsidRPr="00A17BBF">
        <w:t>. The data w</w:t>
      </w:r>
      <w:r>
        <w:t>ere</w:t>
      </w:r>
      <w:r w:rsidRPr="00A17BBF">
        <w:t xml:space="preserve"> extracted in May 2017. The supplied data file comprised of 119,933 dispensing records.</w:t>
      </w:r>
    </w:p>
    <w:p w14:paraId="4B3984A2" w14:textId="77777777" w:rsidR="00012651" w:rsidRPr="00A17BBF" w:rsidRDefault="00012651" w:rsidP="00012651">
      <w:pPr>
        <w:pStyle w:val="MDSubsubheding"/>
      </w:pPr>
      <w:bookmarkStart w:id="96" w:name="_Toc503274978"/>
      <w:r w:rsidRPr="00FE1642">
        <w:lastRenderedPageBreak/>
        <w:t xml:space="preserve">Overall utilisation </w:t>
      </w:r>
      <w:r>
        <w:t xml:space="preserve">of </w:t>
      </w:r>
      <w:r w:rsidRPr="00FE1642">
        <w:t>biologics to treat severe CPP</w:t>
      </w:r>
      <w:r>
        <w:t xml:space="preserve"> through the PBS</w:t>
      </w:r>
      <w:bookmarkEnd w:id="96"/>
    </w:p>
    <w:p w14:paraId="78A225C5" w14:textId="77777777" w:rsidR="005E626F" w:rsidRPr="00FE1642" w:rsidRDefault="005E626F" w:rsidP="00A77877">
      <w:pPr>
        <w:pStyle w:val="ToRText"/>
      </w:pPr>
      <w:r w:rsidRPr="00FE1642">
        <w:t>Q3.</w:t>
      </w:r>
      <w:r w:rsidRPr="00FE1642">
        <w:tab/>
        <w:t>Describe the overall utilisation in terms of prescriptions dispensed and government benefits paid for PBS listed biologics to treat severe CPP using unit record level PBS data.</w:t>
      </w:r>
    </w:p>
    <w:p w14:paraId="7F8FFE7C" w14:textId="77777777" w:rsidR="00470C5B" w:rsidRDefault="00470C5B" w:rsidP="00A77877">
      <w:r w:rsidRPr="00FE1642">
        <w:t xml:space="preserve">The number of prevalent patients being treated with biologics has </w:t>
      </w:r>
      <w:r w:rsidR="00631814">
        <w:t>increased by over 60%</w:t>
      </w:r>
      <w:r w:rsidR="002C1F79" w:rsidRPr="00FE1642">
        <w:t xml:space="preserve"> in recent years</w:t>
      </w:r>
      <w:r w:rsidRPr="00FE1642">
        <w:t xml:space="preserve">, from 3,185 patients in the first quarter of 2014 to 5,144 patients in the last quarter of 2016.  </w:t>
      </w:r>
      <w:r w:rsidR="00012651" w:rsidRPr="00012651">
        <w:t>Ustekinumab was the most commonly used biologic, with 46% of patients having had at least one prescription for this biologic in 2016. Adalimumab and secukinumab are the next most commonly used biologics, with approximately 20% of patients having had at least one dispensing for adalimumab and/or secukinumab in 2016. Etanercept and infliximab have low patient numbers, with fewer than 6% of patients having used these biologics in 2016</w:t>
      </w:r>
      <w:r w:rsidR="00012651">
        <w:t xml:space="preserve"> (</w:t>
      </w:r>
      <w:r w:rsidR="00B2653C">
        <w:t>Figure ES.</w:t>
      </w:r>
      <w:r w:rsidR="00B2653C">
        <w:rPr>
          <w:noProof/>
        </w:rPr>
        <w:t>5</w:t>
      </w:r>
      <w:r w:rsidR="00012651">
        <w:t>)</w:t>
      </w:r>
      <w:r w:rsidR="00012651" w:rsidRPr="00012651">
        <w:t>.</w:t>
      </w:r>
    </w:p>
    <w:p w14:paraId="5222C811" w14:textId="77777777" w:rsidR="00012651" w:rsidRDefault="00012651" w:rsidP="00012651">
      <w:pPr>
        <w:pStyle w:val="Figure"/>
        <w:keepNext/>
      </w:pPr>
      <w:bookmarkStart w:id="97" w:name="_Ref492985892"/>
      <w:r>
        <w:rPr>
          <w:rStyle w:val="MDFiguretitleChar"/>
          <w:b/>
          <w:noProof/>
          <w:lang w:val="en-AU"/>
        </w:rPr>
        <w:drawing>
          <wp:inline distT="0" distB="0" distL="0" distR="0" wp14:anchorId="7E45315E" wp14:editId="3F83D2F2">
            <wp:extent cx="5761990" cy="3181062"/>
            <wp:effectExtent l="0" t="0" r="0" b="635"/>
            <wp:docPr id="34" name="Picture 34" title="Patients receiving biologics for severe CPP b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9702" cy="3185319"/>
                    </a:xfrm>
                    <a:prstGeom prst="rect">
                      <a:avLst/>
                    </a:prstGeom>
                    <a:noFill/>
                  </pic:spPr>
                </pic:pic>
              </a:graphicData>
            </a:graphic>
          </wp:inline>
        </w:drawing>
      </w:r>
      <w:bookmarkEnd w:id="97"/>
    </w:p>
    <w:p w14:paraId="1B62191B" w14:textId="77777777" w:rsidR="00012651" w:rsidRPr="00394001" w:rsidRDefault="00A75F73" w:rsidP="00012651">
      <w:pPr>
        <w:pStyle w:val="MDFiguretitle"/>
        <w:rPr>
          <w:rStyle w:val="FigureDUSCChar"/>
          <w:b/>
        </w:rPr>
      </w:pPr>
      <w:bookmarkStart w:id="98" w:name="_Ref499899580"/>
      <w:bookmarkStart w:id="99" w:name="_Toc499902349"/>
      <w:bookmarkStart w:id="100" w:name="_Toc503275019"/>
      <w:r>
        <w:t>Figure ES.</w:t>
      </w:r>
      <w:r w:rsidR="00B2653C">
        <w:rPr>
          <w:noProof/>
        </w:rPr>
        <w:t>5</w:t>
      </w:r>
      <w:bookmarkEnd w:id="98"/>
      <w:r w:rsidR="00012651">
        <w:t xml:space="preserve">: </w:t>
      </w:r>
      <w:r w:rsidR="006E3A29">
        <w:t>Number of p</w:t>
      </w:r>
      <w:r w:rsidR="00012651" w:rsidRPr="00083225">
        <w:t>atients receiving biologics for severe CPP by drug</w:t>
      </w:r>
      <w:bookmarkEnd w:id="99"/>
      <w:bookmarkEnd w:id="100"/>
    </w:p>
    <w:p w14:paraId="1D69EDFD" w14:textId="77777777" w:rsidR="00012651" w:rsidRPr="00013DA8" w:rsidRDefault="00012651" w:rsidP="00012651">
      <w:pPr>
        <w:pStyle w:val="Figurecaption"/>
      </w:pPr>
      <w:r w:rsidRPr="00013DA8">
        <w:t xml:space="preserve">Source: </w:t>
      </w:r>
      <w:r w:rsidRPr="00F32C5D">
        <w:t>DHS Supplied prescriptions database</w:t>
      </w:r>
      <w:r>
        <w:t xml:space="preserve"> (date of supply)</w:t>
      </w:r>
      <w:r w:rsidRPr="00F32C5D">
        <w:t xml:space="preserve">, extracted May 2017 </w:t>
      </w:r>
      <w:r>
        <w:br/>
        <w:t xml:space="preserve">Note: Secukinumab was listed on the PBS on 1 September 2015. </w:t>
      </w:r>
    </w:p>
    <w:p w14:paraId="03DBB9D6" w14:textId="77777777" w:rsidR="00012651" w:rsidRDefault="00012651" w:rsidP="00356F55">
      <w:pPr>
        <w:pStyle w:val="Figurecaption"/>
        <w:spacing w:after="120"/>
      </w:pPr>
      <w:r>
        <w:t>CPP = chronic plaque psoriasis</w:t>
      </w:r>
    </w:p>
    <w:p w14:paraId="1F74FFB1" w14:textId="7748C42E" w:rsidR="00012651" w:rsidRDefault="00012651" w:rsidP="00012651">
      <w:r>
        <w:t xml:space="preserve">In line with the </w:t>
      </w:r>
      <w:r w:rsidR="00631814" w:rsidRPr="00631814">
        <w:t>number of patients being treated</w:t>
      </w:r>
      <w:r w:rsidRPr="00631814">
        <w:t>;</w:t>
      </w:r>
      <w:r>
        <w:t xml:space="preserve"> </w:t>
      </w:r>
      <w:r w:rsidRPr="00900940">
        <w:t>prescription numbers show</w:t>
      </w:r>
      <w:r>
        <w:t xml:space="preserve"> </w:t>
      </w:r>
      <w:r w:rsidR="00E32D68">
        <w:t xml:space="preserve">an </w:t>
      </w:r>
      <w:r w:rsidRPr="0064745B">
        <w:t>increase</w:t>
      </w:r>
      <w:r w:rsidR="00E32D68">
        <w:t xml:space="preserve"> since 2013. S</w:t>
      </w:r>
      <w:r w:rsidRPr="0064745B">
        <w:t xml:space="preserve">ecukinumab </w:t>
      </w:r>
      <w:r w:rsidR="00E32D68">
        <w:t xml:space="preserve">has had a rapid increase since </w:t>
      </w:r>
      <w:r w:rsidR="00BC1A54">
        <w:t xml:space="preserve">its </w:t>
      </w:r>
      <w:r>
        <w:t>PBS-list</w:t>
      </w:r>
      <w:r w:rsidR="00E32D68">
        <w:t>ing</w:t>
      </w:r>
      <w:r>
        <w:t xml:space="preserve"> in</w:t>
      </w:r>
      <w:r w:rsidRPr="0064745B">
        <w:t xml:space="preserve"> September 2015</w:t>
      </w:r>
      <w:r w:rsidR="00E32D68">
        <w:t xml:space="preserve">, with </w:t>
      </w:r>
      <w:r w:rsidR="00E32D68" w:rsidRPr="0064745B">
        <w:t>ustekinuma</w:t>
      </w:r>
      <w:r w:rsidR="00E32D68">
        <w:t>b showing slightly less of an increase (</w:t>
      </w:r>
      <w:r w:rsidR="00B2653C">
        <w:t>Figure ES.</w:t>
      </w:r>
      <w:r w:rsidR="00B2653C">
        <w:rPr>
          <w:noProof/>
        </w:rPr>
        <w:t>6</w:t>
      </w:r>
      <w:r w:rsidR="00E32D68">
        <w:t xml:space="preserve">). </w:t>
      </w:r>
    </w:p>
    <w:p w14:paraId="6681DE93" w14:textId="77777777" w:rsidR="00012651" w:rsidRDefault="00012651" w:rsidP="00012651">
      <w:pPr>
        <w:keepNext/>
        <w:spacing w:after="60"/>
      </w:pPr>
      <w:r>
        <w:rPr>
          <w:noProof/>
        </w:rPr>
        <w:lastRenderedPageBreak/>
        <w:drawing>
          <wp:inline distT="0" distB="0" distL="0" distR="0" wp14:anchorId="3F4058C5" wp14:editId="229A42A7">
            <wp:extent cx="5648325" cy="3609340"/>
            <wp:effectExtent l="0" t="0" r="9525" b="0"/>
            <wp:docPr id="37" name="Picture 37" title="Biologic prescriptions for severe CPP, 2013-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8325" cy="3609340"/>
                    </a:xfrm>
                    <a:prstGeom prst="rect">
                      <a:avLst/>
                    </a:prstGeom>
                    <a:noFill/>
                  </pic:spPr>
                </pic:pic>
              </a:graphicData>
            </a:graphic>
          </wp:inline>
        </w:drawing>
      </w:r>
    </w:p>
    <w:p w14:paraId="1F448CDD" w14:textId="77777777" w:rsidR="00012651" w:rsidRPr="007F61E0" w:rsidRDefault="00A75F73" w:rsidP="00012651">
      <w:pPr>
        <w:pStyle w:val="MDFiguretitle"/>
      </w:pPr>
      <w:bookmarkStart w:id="101" w:name="_Ref498436667"/>
      <w:bookmarkStart w:id="102" w:name="_Toc499902350"/>
      <w:bookmarkStart w:id="103" w:name="_Toc503275020"/>
      <w:r>
        <w:t>Figure ES.</w:t>
      </w:r>
      <w:r w:rsidR="00B2653C">
        <w:rPr>
          <w:noProof/>
        </w:rPr>
        <w:t>6</w:t>
      </w:r>
      <w:bookmarkEnd w:id="101"/>
      <w:r w:rsidR="00012651">
        <w:t>:</w:t>
      </w:r>
      <w:r w:rsidR="00012651" w:rsidRPr="00741A4F">
        <w:t xml:space="preserve"> </w:t>
      </w:r>
      <w:r w:rsidR="00012651" w:rsidRPr="007F61E0">
        <w:t>Biologic prescriptions for severe CPP, 2013-2016</w:t>
      </w:r>
      <w:bookmarkEnd w:id="102"/>
      <w:bookmarkEnd w:id="103"/>
    </w:p>
    <w:p w14:paraId="23DCBD7F" w14:textId="77777777" w:rsidR="00012651" w:rsidRPr="00E32D68" w:rsidRDefault="00012651" w:rsidP="00E32D68">
      <w:pPr>
        <w:pStyle w:val="TableFooter"/>
      </w:pPr>
      <w:r w:rsidRPr="00E32D68">
        <w:t xml:space="preserve">Source: DHS Supplied prescriptions database (date of supply), extracted May 2017 </w:t>
      </w:r>
    </w:p>
    <w:p w14:paraId="665E885A" w14:textId="77777777" w:rsidR="00012651" w:rsidRPr="00E32D68" w:rsidRDefault="00012651" w:rsidP="00E32D68">
      <w:pPr>
        <w:pStyle w:val="TableFooter"/>
      </w:pPr>
      <w:r w:rsidRPr="00E32D68">
        <w:t>Note: Secukinumab was listed on the PBS on 1 September 2015.</w:t>
      </w:r>
    </w:p>
    <w:p w14:paraId="53A1CF05" w14:textId="77777777" w:rsidR="00012651" w:rsidRPr="00E32D68" w:rsidRDefault="00012651" w:rsidP="00E32D68">
      <w:pPr>
        <w:pStyle w:val="TableFooter"/>
      </w:pPr>
      <w:r w:rsidRPr="00E32D68">
        <w:t>CPP = chronic plaque psoriasis</w:t>
      </w:r>
    </w:p>
    <w:p w14:paraId="018FC2FE" w14:textId="77777777" w:rsidR="00012651" w:rsidRDefault="00012651" w:rsidP="00A77877">
      <w:r w:rsidRPr="00FE1642">
        <w:t>Across the state and territory capital cities there appeared to be a trend towards higher biologic utilisation in cities further south of the equator</w:t>
      </w:r>
      <w:r w:rsidR="00E32D68">
        <w:t xml:space="preserve"> (</w:t>
      </w:r>
      <w:r w:rsidR="00B2653C">
        <w:t>Figure ES.</w:t>
      </w:r>
      <w:r w:rsidR="00B2653C">
        <w:rPr>
          <w:noProof/>
        </w:rPr>
        <w:t>7</w:t>
      </w:r>
      <w:r w:rsidR="00E32D68">
        <w:t>)</w:t>
      </w:r>
      <w:r w:rsidRPr="00FE1642">
        <w:t>. For example, the rate of utilisation in Hobart was three times greater than Brisbane and twice the rate of Sydney. This was in line with the findings from the epidemiology estimates.</w:t>
      </w:r>
    </w:p>
    <w:p w14:paraId="03384B64" w14:textId="77777777" w:rsidR="00E32D68" w:rsidRDefault="00E32D68" w:rsidP="00E32D68">
      <w:pPr>
        <w:pStyle w:val="Tableheading-row"/>
        <w:keepNext/>
      </w:pPr>
      <w:bookmarkStart w:id="104" w:name="_Ref492986441"/>
      <w:r>
        <w:rPr>
          <w:noProof/>
        </w:rPr>
        <w:drawing>
          <wp:inline distT="0" distB="0" distL="0" distR="0" wp14:anchorId="12FBC648" wp14:editId="5FF261D1">
            <wp:extent cx="5428615" cy="2755900"/>
            <wp:effectExtent l="0" t="0" r="635" b="6350"/>
            <wp:docPr id="9" name="Picture 9" title="Utilisation of biologics in capital cities by latitu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8615" cy="2755900"/>
                    </a:xfrm>
                    <a:prstGeom prst="rect">
                      <a:avLst/>
                    </a:prstGeom>
                    <a:noFill/>
                  </pic:spPr>
                </pic:pic>
              </a:graphicData>
            </a:graphic>
          </wp:inline>
        </w:drawing>
      </w:r>
      <w:bookmarkEnd w:id="104"/>
    </w:p>
    <w:p w14:paraId="21B0E8E3" w14:textId="77777777" w:rsidR="00E32D68" w:rsidRPr="003A1A69" w:rsidRDefault="00A75F73" w:rsidP="00E32D68">
      <w:pPr>
        <w:pStyle w:val="MDFiguretitle"/>
        <w:rPr>
          <w:rStyle w:val="MDFiguretitleChar"/>
          <w:b/>
        </w:rPr>
      </w:pPr>
      <w:bookmarkStart w:id="105" w:name="_Ref499899929"/>
      <w:bookmarkStart w:id="106" w:name="_Toc499902351"/>
      <w:bookmarkStart w:id="107" w:name="_Toc503275021"/>
      <w:r>
        <w:t>Figure ES.</w:t>
      </w:r>
      <w:r w:rsidR="00B2653C">
        <w:rPr>
          <w:noProof/>
        </w:rPr>
        <w:t>7</w:t>
      </w:r>
      <w:bookmarkEnd w:id="105"/>
      <w:r w:rsidR="00E32D68">
        <w:t xml:space="preserve">: </w:t>
      </w:r>
      <w:r w:rsidR="00E32D68" w:rsidRPr="003B7D87">
        <w:rPr>
          <w:lang w:val="en-AU"/>
        </w:rPr>
        <w:t>Utilisation</w:t>
      </w:r>
      <w:r w:rsidR="00E32D68" w:rsidRPr="006D18E2">
        <w:t xml:space="preserve"> by latitude for capital cities (age-adjusted)</w:t>
      </w:r>
      <w:bookmarkEnd w:id="106"/>
      <w:bookmarkEnd w:id="107"/>
    </w:p>
    <w:p w14:paraId="1AE31C3A" w14:textId="77777777" w:rsidR="00E32D68" w:rsidRDefault="00E32D68" w:rsidP="00E32D68">
      <w:pPr>
        <w:pStyle w:val="TableFooter"/>
      </w:pPr>
      <w:r>
        <w:t xml:space="preserve">Source: </w:t>
      </w:r>
      <w:r w:rsidRPr="00F32C5D">
        <w:t>DHS Supplied prescriptions database</w:t>
      </w:r>
      <w:r>
        <w:t xml:space="preserve"> (date of supply), extracted May 2017, ABS Regional Population Growth, Australia (March 2017 release), ABS Postcode 2016 to SA4 2016 Correspondence table.</w:t>
      </w:r>
    </w:p>
    <w:p w14:paraId="15BE9A67" w14:textId="77777777" w:rsidR="00E32D68" w:rsidRPr="00606869" w:rsidRDefault="00E32D68" w:rsidP="00E32D68">
      <w:pPr>
        <w:pStyle w:val="TableFooter"/>
      </w:pPr>
      <w:r>
        <w:t>Note: The size of the circles represent the size of the greater capital city population.</w:t>
      </w:r>
    </w:p>
    <w:p w14:paraId="4C361B86" w14:textId="77777777" w:rsidR="00E32D68" w:rsidRPr="00FE1642" w:rsidRDefault="00E32D68" w:rsidP="00A77877"/>
    <w:p w14:paraId="52CACB6B" w14:textId="77777777" w:rsidR="00A85D52" w:rsidRPr="00ED4FFD" w:rsidRDefault="005E626F" w:rsidP="00A85D52">
      <w:r w:rsidRPr="00FE1642">
        <w:t xml:space="preserve">Because of the increase in the patients being treated with biologicals, the </w:t>
      </w:r>
      <w:r w:rsidR="00470C5B" w:rsidRPr="00FE1642">
        <w:t>Commonwealth expenditure has nearly doubled, from approximately $79 million in 2014 to approximately $121 million in 2016.</w:t>
      </w:r>
      <w:r w:rsidRPr="00FE1642">
        <w:t xml:space="preserve"> </w:t>
      </w:r>
      <w:r w:rsidR="00470C5B" w:rsidRPr="00FE1642">
        <w:t xml:space="preserve">Prescriptions for </w:t>
      </w:r>
      <w:r w:rsidR="00356F55" w:rsidRPr="00356F55">
        <w:t xml:space="preserve">ustekinumab </w:t>
      </w:r>
      <w:r w:rsidR="00470C5B" w:rsidRPr="00FE1642">
        <w:t>accounted for over half of tota</w:t>
      </w:r>
      <w:r w:rsidR="00356F55">
        <w:t>l expenditure and was the most</w:t>
      </w:r>
      <w:r w:rsidR="00470C5B" w:rsidRPr="00FE1642">
        <w:t xml:space="preserve"> commonly prescribed biologic between 2014 and 2016. </w:t>
      </w:r>
    </w:p>
    <w:p w14:paraId="48EAA109" w14:textId="77777777" w:rsidR="00A85D52" w:rsidRDefault="00A85D52" w:rsidP="00A85D52">
      <w:r>
        <w:t xml:space="preserve">Table </w:t>
      </w:r>
      <w:r>
        <w:rPr>
          <w:noProof/>
        </w:rPr>
        <w:t>ES</w:t>
      </w:r>
      <w:r>
        <w:t>.</w:t>
      </w:r>
      <w:r>
        <w:rPr>
          <w:noProof/>
        </w:rPr>
        <w:t>21</w:t>
      </w:r>
      <w:r>
        <w:t xml:space="preserve"> </w:t>
      </w:r>
      <w:r w:rsidRPr="002E09D3">
        <w:t>presents the total benefits paid</w:t>
      </w:r>
      <w:r>
        <w:t xml:space="preserve"> (published prices)</w:t>
      </w:r>
      <w:r w:rsidRPr="002E09D3">
        <w:t xml:space="preserve"> for biologics used for CPP per calendar year between 2013</w:t>
      </w:r>
      <w:r>
        <w:t xml:space="preserve"> and 2016. Special pricing arrangements apply for some PBS</w:t>
      </w:r>
      <w:r>
        <w:noBreakHyphen/>
        <w:t xml:space="preserve">listed biologics </w:t>
      </w:r>
      <w:r w:rsidRPr="00A85D52">
        <w:t xml:space="preserve">for psoriasis, hence the figures in the table are only indicative of trends. </w:t>
      </w:r>
      <w:r w:rsidRPr="002E09D3">
        <w:t>Total expenditure on biologics for CPP has increased substantially from $79 million in 2014, (the first full year of data)</w:t>
      </w:r>
      <w:r>
        <w:t xml:space="preserve"> to over $121 million in 2016.</w:t>
      </w:r>
    </w:p>
    <w:p w14:paraId="6C30B5F3" w14:textId="77777777" w:rsidR="00E858D2" w:rsidRDefault="00E858D2" w:rsidP="00E858D2">
      <w:pPr>
        <w:pStyle w:val="MDTabCaption"/>
      </w:pPr>
      <w:bookmarkStart w:id="108" w:name="_Toc501090281"/>
      <w:bookmarkStart w:id="109" w:name="_Toc503275011"/>
      <w:r>
        <w:t>Table ES.</w:t>
      </w:r>
      <w:r w:rsidR="00CB29D0">
        <w:rPr>
          <w:noProof/>
        </w:rPr>
        <w:t>21</w:t>
      </w:r>
      <w:r>
        <w:t xml:space="preserve">: </w:t>
      </w:r>
      <w:r w:rsidRPr="002E09D3">
        <w:t xml:space="preserve">Biologic expenditure for </w:t>
      </w:r>
      <w:r>
        <w:t>severe CPP</w:t>
      </w:r>
      <w:bookmarkEnd w:id="108"/>
      <w:bookmarkEnd w:id="109"/>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466"/>
        <w:gridCol w:w="1466"/>
        <w:gridCol w:w="1466"/>
        <w:gridCol w:w="1643"/>
      </w:tblGrid>
      <w:tr w:rsidR="00E858D2" w:rsidRPr="00245AA8" w14:paraId="1A8C66E7" w14:textId="77777777" w:rsidTr="00E858D2">
        <w:trPr>
          <w:trHeight w:val="20"/>
        </w:trPr>
        <w:tc>
          <w:tcPr>
            <w:tcW w:w="2980" w:type="dxa"/>
            <w:shd w:val="clear" w:color="auto" w:fill="BFBFBF" w:themeFill="background1" w:themeFillShade="BF"/>
            <w:vAlign w:val="center"/>
          </w:tcPr>
          <w:p w14:paraId="23C129C2" w14:textId="77777777" w:rsidR="00E858D2" w:rsidRPr="00977736" w:rsidRDefault="00E858D2" w:rsidP="00E858D2">
            <w:pPr>
              <w:pStyle w:val="TableFootnote0"/>
              <w:keepLines/>
              <w:spacing w:after="60"/>
              <w:rPr>
                <w:b/>
              </w:rPr>
            </w:pPr>
            <w:r w:rsidRPr="00977736">
              <w:rPr>
                <w:b/>
              </w:rPr>
              <w:t>Listing years</w:t>
            </w:r>
          </w:p>
        </w:tc>
        <w:tc>
          <w:tcPr>
            <w:tcW w:w="1466" w:type="dxa"/>
            <w:shd w:val="clear" w:color="auto" w:fill="BFBFBF" w:themeFill="background1" w:themeFillShade="BF"/>
            <w:vAlign w:val="bottom"/>
          </w:tcPr>
          <w:p w14:paraId="446BC254" w14:textId="77777777" w:rsidR="00E858D2" w:rsidRPr="00977736" w:rsidRDefault="00E858D2" w:rsidP="00E858D2">
            <w:pPr>
              <w:pStyle w:val="TableFootnote0"/>
              <w:keepLines/>
              <w:spacing w:after="60"/>
              <w:rPr>
                <w:b/>
                <w:vertAlign w:val="superscript"/>
              </w:rPr>
            </w:pPr>
            <w:r w:rsidRPr="00977736">
              <w:rPr>
                <w:b/>
              </w:rPr>
              <w:t>2013</w:t>
            </w:r>
            <w:r w:rsidRPr="00977736">
              <w:rPr>
                <w:b/>
                <w:vertAlign w:val="superscript"/>
              </w:rPr>
              <w:t>a</w:t>
            </w:r>
          </w:p>
        </w:tc>
        <w:tc>
          <w:tcPr>
            <w:tcW w:w="1466" w:type="dxa"/>
            <w:shd w:val="clear" w:color="auto" w:fill="BFBFBF" w:themeFill="background1" w:themeFillShade="BF"/>
            <w:vAlign w:val="bottom"/>
          </w:tcPr>
          <w:p w14:paraId="750AFBF6" w14:textId="77777777" w:rsidR="00E858D2" w:rsidRPr="00977736" w:rsidRDefault="00E858D2" w:rsidP="00E858D2">
            <w:pPr>
              <w:pStyle w:val="TableFootnote0"/>
              <w:keepLines/>
              <w:spacing w:after="60"/>
              <w:rPr>
                <w:b/>
              </w:rPr>
            </w:pPr>
            <w:r w:rsidRPr="00977736">
              <w:rPr>
                <w:b/>
              </w:rPr>
              <w:t>2014</w:t>
            </w:r>
          </w:p>
        </w:tc>
        <w:tc>
          <w:tcPr>
            <w:tcW w:w="1466" w:type="dxa"/>
            <w:shd w:val="clear" w:color="auto" w:fill="BFBFBF" w:themeFill="background1" w:themeFillShade="BF"/>
            <w:vAlign w:val="bottom"/>
          </w:tcPr>
          <w:p w14:paraId="4170F857" w14:textId="77777777" w:rsidR="00E858D2" w:rsidRPr="00977736" w:rsidRDefault="00E858D2" w:rsidP="00E858D2">
            <w:pPr>
              <w:pStyle w:val="TableFootnote0"/>
              <w:keepLines/>
              <w:spacing w:after="60"/>
              <w:rPr>
                <w:b/>
              </w:rPr>
            </w:pPr>
            <w:r w:rsidRPr="00977736">
              <w:rPr>
                <w:b/>
              </w:rPr>
              <w:t>2015</w:t>
            </w:r>
          </w:p>
        </w:tc>
        <w:tc>
          <w:tcPr>
            <w:tcW w:w="1643" w:type="dxa"/>
            <w:shd w:val="clear" w:color="auto" w:fill="BFBFBF" w:themeFill="background1" w:themeFillShade="BF"/>
            <w:vAlign w:val="bottom"/>
          </w:tcPr>
          <w:p w14:paraId="25F3F1B5" w14:textId="77777777" w:rsidR="00E858D2" w:rsidRPr="00977736" w:rsidRDefault="00E858D2" w:rsidP="00E858D2">
            <w:pPr>
              <w:pStyle w:val="TableFootnote0"/>
              <w:keepLines/>
              <w:spacing w:after="60"/>
              <w:rPr>
                <w:b/>
              </w:rPr>
            </w:pPr>
            <w:r w:rsidRPr="00977736">
              <w:rPr>
                <w:b/>
              </w:rPr>
              <w:t>2016</w:t>
            </w:r>
          </w:p>
        </w:tc>
      </w:tr>
      <w:tr w:rsidR="00E858D2" w:rsidRPr="00245AA8" w14:paraId="1E962BC2" w14:textId="77777777" w:rsidTr="00E858D2">
        <w:trPr>
          <w:trHeight w:val="20"/>
        </w:trPr>
        <w:tc>
          <w:tcPr>
            <w:tcW w:w="2980" w:type="dxa"/>
          </w:tcPr>
          <w:p w14:paraId="17545D99" w14:textId="77777777" w:rsidR="00E858D2" w:rsidRPr="00245AA8" w:rsidRDefault="00E858D2" w:rsidP="00E858D2">
            <w:pPr>
              <w:pStyle w:val="TableTextDusc"/>
              <w:keepNext/>
              <w:keepLines/>
              <w:rPr>
                <w:rFonts w:eastAsia="Times New Roman" w:cs="Times New Roman"/>
                <w:b/>
              </w:rPr>
            </w:pPr>
            <w:r>
              <w:t>Adalimumab</w:t>
            </w:r>
          </w:p>
        </w:tc>
        <w:tc>
          <w:tcPr>
            <w:tcW w:w="1466" w:type="dxa"/>
            <w:vAlign w:val="bottom"/>
          </w:tcPr>
          <w:p w14:paraId="1A977A78" w14:textId="77777777" w:rsidR="00E858D2" w:rsidRPr="00245AA8" w:rsidRDefault="00E858D2" w:rsidP="00E858D2">
            <w:pPr>
              <w:pStyle w:val="TableTextDusc"/>
              <w:keepNext/>
              <w:keepLines/>
            </w:pPr>
            <w:r w:rsidRPr="00245AA8">
              <w:t>$11,724,985</w:t>
            </w:r>
            <w:r w:rsidRPr="000B674B">
              <w:rPr>
                <w:vertAlign w:val="superscript"/>
              </w:rPr>
              <w:t>b</w:t>
            </w:r>
          </w:p>
        </w:tc>
        <w:tc>
          <w:tcPr>
            <w:tcW w:w="1466" w:type="dxa"/>
            <w:vAlign w:val="bottom"/>
          </w:tcPr>
          <w:p w14:paraId="404216CD" w14:textId="77777777" w:rsidR="00E858D2" w:rsidRPr="00245AA8" w:rsidRDefault="00E858D2" w:rsidP="00E858D2">
            <w:pPr>
              <w:pStyle w:val="TableTextDusc"/>
              <w:keepNext/>
              <w:keepLines/>
              <w:rPr>
                <w:rFonts w:eastAsia="Times New Roman" w:cs="Times New Roman"/>
              </w:rPr>
            </w:pPr>
            <w:r w:rsidRPr="00245AA8">
              <w:t>$21,961,118</w:t>
            </w:r>
            <w:r w:rsidRPr="000B674B">
              <w:rPr>
                <w:vertAlign w:val="superscript"/>
              </w:rPr>
              <w:t>b</w:t>
            </w:r>
          </w:p>
        </w:tc>
        <w:tc>
          <w:tcPr>
            <w:tcW w:w="1466" w:type="dxa"/>
            <w:vAlign w:val="bottom"/>
          </w:tcPr>
          <w:p w14:paraId="42717BB5" w14:textId="77777777" w:rsidR="00E858D2" w:rsidRPr="00245AA8" w:rsidRDefault="00E858D2" w:rsidP="00E858D2">
            <w:pPr>
              <w:pStyle w:val="TableTextDusc"/>
              <w:keepNext/>
              <w:keepLines/>
              <w:rPr>
                <w:rFonts w:eastAsia="Times New Roman" w:cs="Times New Roman"/>
              </w:rPr>
            </w:pPr>
            <w:r w:rsidRPr="00245AA8">
              <w:t>$24,103,684</w:t>
            </w:r>
            <w:r w:rsidRPr="000B674B">
              <w:rPr>
                <w:vertAlign w:val="superscript"/>
              </w:rPr>
              <w:t>b</w:t>
            </w:r>
          </w:p>
        </w:tc>
        <w:tc>
          <w:tcPr>
            <w:tcW w:w="1643" w:type="dxa"/>
            <w:vAlign w:val="bottom"/>
          </w:tcPr>
          <w:p w14:paraId="16A3A24D" w14:textId="77777777" w:rsidR="00E858D2" w:rsidRPr="00245AA8" w:rsidRDefault="00E858D2" w:rsidP="00E858D2">
            <w:pPr>
              <w:pStyle w:val="TableTextDusc"/>
              <w:keepNext/>
              <w:keepLines/>
              <w:rPr>
                <w:rFonts w:eastAsia="Times New Roman" w:cs="Times New Roman"/>
              </w:rPr>
            </w:pPr>
            <w:r w:rsidRPr="00245AA8">
              <w:t>$24,530,716</w:t>
            </w:r>
            <w:r w:rsidRPr="000B674B">
              <w:rPr>
                <w:vertAlign w:val="superscript"/>
              </w:rPr>
              <w:t>b</w:t>
            </w:r>
          </w:p>
        </w:tc>
      </w:tr>
      <w:tr w:rsidR="00E858D2" w:rsidRPr="00245AA8" w14:paraId="77B028C4" w14:textId="77777777" w:rsidTr="00E858D2">
        <w:trPr>
          <w:trHeight w:val="20"/>
        </w:trPr>
        <w:tc>
          <w:tcPr>
            <w:tcW w:w="2980" w:type="dxa"/>
          </w:tcPr>
          <w:p w14:paraId="02196568" w14:textId="77777777" w:rsidR="00E858D2" w:rsidRPr="00245AA8" w:rsidRDefault="00E858D2" w:rsidP="00E858D2">
            <w:pPr>
              <w:pStyle w:val="TableTextDusc"/>
              <w:keepNext/>
              <w:keepLines/>
              <w:rPr>
                <w:rFonts w:eastAsia="Times New Roman" w:cs="Times New Roman"/>
                <w:b/>
              </w:rPr>
            </w:pPr>
            <w:r w:rsidRPr="00245AA8">
              <w:t>Etanercept</w:t>
            </w:r>
          </w:p>
        </w:tc>
        <w:tc>
          <w:tcPr>
            <w:tcW w:w="1466" w:type="dxa"/>
            <w:vAlign w:val="bottom"/>
          </w:tcPr>
          <w:p w14:paraId="2353F58A" w14:textId="77777777" w:rsidR="00E858D2" w:rsidRPr="00245AA8" w:rsidRDefault="00E858D2" w:rsidP="00E858D2">
            <w:pPr>
              <w:pStyle w:val="TableTextDusc"/>
              <w:keepNext/>
              <w:keepLines/>
            </w:pPr>
            <w:r w:rsidRPr="00245AA8">
              <w:t>$3,408,964</w:t>
            </w:r>
            <w:r w:rsidRPr="000B674B">
              <w:rPr>
                <w:vertAlign w:val="superscript"/>
              </w:rPr>
              <w:t>b</w:t>
            </w:r>
          </w:p>
        </w:tc>
        <w:tc>
          <w:tcPr>
            <w:tcW w:w="1466" w:type="dxa"/>
            <w:vAlign w:val="bottom"/>
          </w:tcPr>
          <w:p w14:paraId="66FF6FCC" w14:textId="77777777" w:rsidR="00E858D2" w:rsidRPr="00245AA8" w:rsidRDefault="00E858D2" w:rsidP="00E858D2">
            <w:pPr>
              <w:pStyle w:val="TableTextDusc"/>
              <w:keepNext/>
              <w:keepLines/>
              <w:rPr>
                <w:rFonts w:eastAsia="Times New Roman" w:cs="Times New Roman"/>
              </w:rPr>
            </w:pPr>
            <w:r w:rsidRPr="00245AA8">
              <w:t>$4,667,700</w:t>
            </w:r>
            <w:r w:rsidRPr="000B674B">
              <w:rPr>
                <w:vertAlign w:val="superscript"/>
              </w:rPr>
              <w:t>b</w:t>
            </w:r>
          </w:p>
        </w:tc>
        <w:tc>
          <w:tcPr>
            <w:tcW w:w="1466" w:type="dxa"/>
            <w:vAlign w:val="bottom"/>
          </w:tcPr>
          <w:p w14:paraId="7070CC95" w14:textId="77777777" w:rsidR="00E858D2" w:rsidRPr="00245AA8" w:rsidRDefault="00E858D2" w:rsidP="00E858D2">
            <w:pPr>
              <w:pStyle w:val="TableTextDusc"/>
              <w:keepNext/>
              <w:keepLines/>
              <w:rPr>
                <w:rFonts w:eastAsia="Times New Roman" w:cs="Times New Roman"/>
              </w:rPr>
            </w:pPr>
            <w:r w:rsidRPr="00245AA8">
              <w:t>$5,909,870</w:t>
            </w:r>
            <w:r w:rsidRPr="000B674B">
              <w:rPr>
                <w:vertAlign w:val="superscript"/>
              </w:rPr>
              <w:t>b</w:t>
            </w:r>
          </w:p>
        </w:tc>
        <w:tc>
          <w:tcPr>
            <w:tcW w:w="1643" w:type="dxa"/>
            <w:vAlign w:val="bottom"/>
          </w:tcPr>
          <w:p w14:paraId="32656A6A" w14:textId="77777777" w:rsidR="00E858D2" w:rsidRPr="00245AA8" w:rsidRDefault="00E858D2" w:rsidP="00E858D2">
            <w:pPr>
              <w:pStyle w:val="TableTextDusc"/>
              <w:keepNext/>
              <w:keepLines/>
              <w:rPr>
                <w:rFonts w:eastAsia="Times New Roman" w:cs="Times New Roman"/>
              </w:rPr>
            </w:pPr>
            <w:r w:rsidRPr="00245AA8">
              <w:t>$6,532,959</w:t>
            </w:r>
            <w:r w:rsidRPr="000B674B">
              <w:rPr>
                <w:vertAlign w:val="superscript"/>
              </w:rPr>
              <w:t>b</w:t>
            </w:r>
          </w:p>
        </w:tc>
      </w:tr>
      <w:tr w:rsidR="00E858D2" w:rsidRPr="00245AA8" w14:paraId="74D7F130" w14:textId="77777777" w:rsidTr="00E858D2">
        <w:trPr>
          <w:trHeight w:val="20"/>
        </w:trPr>
        <w:tc>
          <w:tcPr>
            <w:tcW w:w="2980" w:type="dxa"/>
          </w:tcPr>
          <w:p w14:paraId="3C18D340" w14:textId="77777777" w:rsidR="00E858D2" w:rsidRPr="00245AA8" w:rsidRDefault="00E858D2" w:rsidP="00E858D2">
            <w:pPr>
              <w:pStyle w:val="TableTextDusc"/>
              <w:keepNext/>
              <w:keepLines/>
              <w:rPr>
                <w:rFonts w:eastAsia="Times New Roman" w:cs="Times New Roman"/>
                <w:b/>
              </w:rPr>
            </w:pPr>
            <w:r w:rsidRPr="00245AA8">
              <w:t>Infliximab</w:t>
            </w:r>
          </w:p>
        </w:tc>
        <w:tc>
          <w:tcPr>
            <w:tcW w:w="1466" w:type="dxa"/>
            <w:vAlign w:val="bottom"/>
          </w:tcPr>
          <w:p w14:paraId="1F6D1565" w14:textId="77777777" w:rsidR="00E858D2" w:rsidRPr="00245AA8" w:rsidRDefault="00E858D2" w:rsidP="00E858D2">
            <w:pPr>
              <w:pStyle w:val="TableTextDusc"/>
              <w:keepNext/>
              <w:keepLines/>
            </w:pPr>
            <w:r w:rsidRPr="00245AA8">
              <w:t>$3,698,230</w:t>
            </w:r>
          </w:p>
        </w:tc>
        <w:tc>
          <w:tcPr>
            <w:tcW w:w="1466" w:type="dxa"/>
            <w:vAlign w:val="bottom"/>
          </w:tcPr>
          <w:p w14:paraId="36DA80AF" w14:textId="77777777" w:rsidR="00E858D2" w:rsidRPr="00245AA8" w:rsidRDefault="00E858D2" w:rsidP="00E858D2">
            <w:pPr>
              <w:pStyle w:val="TableTextDusc"/>
              <w:keepNext/>
              <w:keepLines/>
              <w:rPr>
                <w:rFonts w:eastAsia="Times New Roman" w:cs="Times New Roman"/>
              </w:rPr>
            </w:pPr>
            <w:r w:rsidRPr="00245AA8">
              <w:t>$5,307,585</w:t>
            </w:r>
          </w:p>
        </w:tc>
        <w:tc>
          <w:tcPr>
            <w:tcW w:w="1466" w:type="dxa"/>
            <w:vAlign w:val="bottom"/>
          </w:tcPr>
          <w:p w14:paraId="77878DDE" w14:textId="77777777" w:rsidR="00E858D2" w:rsidRPr="00245AA8" w:rsidRDefault="00E858D2" w:rsidP="00E858D2">
            <w:pPr>
              <w:pStyle w:val="TableTextDusc"/>
              <w:keepNext/>
              <w:keepLines/>
              <w:rPr>
                <w:rFonts w:eastAsia="Times New Roman" w:cs="Times New Roman"/>
              </w:rPr>
            </w:pPr>
            <w:r w:rsidRPr="00245AA8">
              <w:t>$7,231,884</w:t>
            </w:r>
          </w:p>
        </w:tc>
        <w:tc>
          <w:tcPr>
            <w:tcW w:w="1643" w:type="dxa"/>
            <w:vAlign w:val="bottom"/>
          </w:tcPr>
          <w:p w14:paraId="265A64C0" w14:textId="77777777" w:rsidR="00E858D2" w:rsidRPr="00245AA8" w:rsidRDefault="00E858D2" w:rsidP="00E858D2">
            <w:pPr>
              <w:pStyle w:val="TableTextDusc"/>
              <w:keepNext/>
              <w:keepLines/>
              <w:rPr>
                <w:rFonts w:eastAsia="Times New Roman" w:cs="Times New Roman"/>
              </w:rPr>
            </w:pPr>
            <w:r w:rsidRPr="00245AA8">
              <w:t>$7,357,199</w:t>
            </w:r>
          </w:p>
        </w:tc>
      </w:tr>
      <w:tr w:rsidR="00E858D2" w:rsidRPr="00245AA8" w14:paraId="16F12BCA" w14:textId="77777777" w:rsidTr="00E858D2">
        <w:trPr>
          <w:trHeight w:val="20"/>
        </w:trPr>
        <w:tc>
          <w:tcPr>
            <w:tcW w:w="2980" w:type="dxa"/>
          </w:tcPr>
          <w:p w14:paraId="1B4CBDAB" w14:textId="77777777" w:rsidR="00E858D2" w:rsidRPr="00245AA8" w:rsidRDefault="00E858D2" w:rsidP="00E858D2">
            <w:pPr>
              <w:pStyle w:val="TableTextDusc"/>
              <w:keepNext/>
              <w:keepLines/>
              <w:rPr>
                <w:rFonts w:eastAsia="Times New Roman" w:cs="Times New Roman"/>
              </w:rPr>
            </w:pPr>
            <w:r w:rsidRPr="00245AA8">
              <w:rPr>
                <w:rFonts w:eastAsia="Times New Roman" w:cs="Times New Roman"/>
              </w:rPr>
              <w:t>Secukinumab</w:t>
            </w:r>
          </w:p>
        </w:tc>
        <w:tc>
          <w:tcPr>
            <w:tcW w:w="1466" w:type="dxa"/>
            <w:vAlign w:val="bottom"/>
          </w:tcPr>
          <w:p w14:paraId="6A150D14" w14:textId="77777777" w:rsidR="00E858D2" w:rsidRPr="00245AA8" w:rsidRDefault="00E858D2" w:rsidP="00E858D2">
            <w:pPr>
              <w:pStyle w:val="TableTextDusc"/>
              <w:keepNext/>
              <w:keepLines/>
            </w:pPr>
            <w:r>
              <w:t>-</w:t>
            </w:r>
          </w:p>
        </w:tc>
        <w:tc>
          <w:tcPr>
            <w:tcW w:w="1466" w:type="dxa"/>
            <w:vAlign w:val="bottom"/>
          </w:tcPr>
          <w:p w14:paraId="44A3AECD" w14:textId="77777777" w:rsidR="00E858D2" w:rsidRPr="00245AA8" w:rsidRDefault="00E858D2" w:rsidP="00E858D2">
            <w:pPr>
              <w:pStyle w:val="TableTextDusc"/>
              <w:keepNext/>
              <w:keepLines/>
              <w:rPr>
                <w:rFonts w:eastAsia="Times New Roman" w:cs="Times New Roman"/>
              </w:rPr>
            </w:pPr>
            <w:r>
              <w:t>-</w:t>
            </w:r>
          </w:p>
        </w:tc>
        <w:tc>
          <w:tcPr>
            <w:tcW w:w="1466" w:type="dxa"/>
            <w:vAlign w:val="bottom"/>
          </w:tcPr>
          <w:p w14:paraId="5675D5F3" w14:textId="77777777" w:rsidR="00E858D2" w:rsidRPr="00245AA8" w:rsidRDefault="00E858D2" w:rsidP="00E858D2">
            <w:pPr>
              <w:pStyle w:val="TableTextDusc"/>
              <w:keepNext/>
              <w:keepLines/>
              <w:rPr>
                <w:rFonts w:eastAsia="Times New Roman" w:cs="Times New Roman"/>
              </w:rPr>
            </w:pPr>
            <w:r w:rsidRPr="00245AA8">
              <w:t>$3,205,624</w:t>
            </w:r>
            <w:r w:rsidRPr="000B674B">
              <w:rPr>
                <w:vertAlign w:val="superscript"/>
              </w:rPr>
              <w:t>b</w:t>
            </w:r>
          </w:p>
        </w:tc>
        <w:tc>
          <w:tcPr>
            <w:tcW w:w="1643" w:type="dxa"/>
            <w:vAlign w:val="bottom"/>
          </w:tcPr>
          <w:p w14:paraId="019D9F33" w14:textId="77777777" w:rsidR="00E858D2" w:rsidRPr="00245AA8" w:rsidRDefault="00E858D2" w:rsidP="00E858D2">
            <w:pPr>
              <w:pStyle w:val="TableTextDusc"/>
              <w:keepNext/>
              <w:keepLines/>
              <w:rPr>
                <w:rFonts w:eastAsia="Times New Roman" w:cs="Times New Roman"/>
              </w:rPr>
            </w:pPr>
            <w:r w:rsidRPr="00245AA8">
              <w:t>$20,144,662</w:t>
            </w:r>
            <w:r w:rsidRPr="000B674B">
              <w:rPr>
                <w:vertAlign w:val="superscript"/>
              </w:rPr>
              <w:t>b</w:t>
            </w:r>
          </w:p>
        </w:tc>
      </w:tr>
      <w:tr w:rsidR="00E858D2" w:rsidRPr="00245AA8" w14:paraId="1386617C" w14:textId="77777777" w:rsidTr="00E858D2">
        <w:trPr>
          <w:trHeight w:val="60"/>
        </w:trPr>
        <w:tc>
          <w:tcPr>
            <w:tcW w:w="2980" w:type="dxa"/>
          </w:tcPr>
          <w:p w14:paraId="3D29AA11" w14:textId="77777777" w:rsidR="00E858D2" w:rsidRPr="00245AA8" w:rsidRDefault="00E858D2" w:rsidP="00E858D2">
            <w:pPr>
              <w:pStyle w:val="TableTextDusc"/>
              <w:keepNext/>
              <w:keepLines/>
              <w:rPr>
                <w:rFonts w:eastAsia="Times New Roman" w:cs="Times New Roman"/>
              </w:rPr>
            </w:pPr>
            <w:r w:rsidRPr="00245AA8">
              <w:rPr>
                <w:rFonts w:eastAsia="Times New Roman" w:cs="Times New Roman"/>
              </w:rPr>
              <w:t>Ustekinumab</w:t>
            </w:r>
          </w:p>
        </w:tc>
        <w:tc>
          <w:tcPr>
            <w:tcW w:w="1466" w:type="dxa"/>
            <w:vAlign w:val="bottom"/>
          </w:tcPr>
          <w:p w14:paraId="026E30AC" w14:textId="77777777" w:rsidR="00E858D2" w:rsidRPr="00245AA8" w:rsidRDefault="00E858D2" w:rsidP="00E858D2">
            <w:pPr>
              <w:pStyle w:val="TableTextDusc"/>
              <w:keepNext/>
              <w:keepLines/>
            </w:pPr>
            <w:r w:rsidRPr="00245AA8">
              <w:t>$19,358,908</w:t>
            </w:r>
            <w:r w:rsidRPr="000B674B">
              <w:rPr>
                <w:vertAlign w:val="superscript"/>
              </w:rPr>
              <w:t>b</w:t>
            </w:r>
          </w:p>
        </w:tc>
        <w:tc>
          <w:tcPr>
            <w:tcW w:w="1466" w:type="dxa"/>
            <w:vAlign w:val="bottom"/>
          </w:tcPr>
          <w:p w14:paraId="584DF439" w14:textId="77777777" w:rsidR="00E858D2" w:rsidRPr="00245AA8" w:rsidRDefault="00E858D2" w:rsidP="00E858D2">
            <w:pPr>
              <w:pStyle w:val="TableTextDusc"/>
              <w:keepNext/>
              <w:keepLines/>
              <w:rPr>
                <w:rFonts w:eastAsia="Times New Roman" w:cs="Times New Roman"/>
              </w:rPr>
            </w:pPr>
            <w:r w:rsidRPr="00245AA8">
              <w:t>$47,269,588</w:t>
            </w:r>
            <w:r w:rsidRPr="000B674B">
              <w:rPr>
                <w:vertAlign w:val="superscript"/>
              </w:rPr>
              <w:t>b</w:t>
            </w:r>
          </w:p>
        </w:tc>
        <w:tc>
          <w:tcPr>
            <w:tcW w:w="1466" w:type="dxa"/>
            <w:vAlign w:val="bottom"/>
          </w:tcPr>
          <w:p w14:paraId="419F2253" w14:textId="77777777" w:rsidR="00E858D2" w:rsidRPr="00245AA8" w:rsidRDefault="00E858D2" w:rsidP="00E858D2">
            <w:pPr>
              <w:pStyle w:val="TableTextDusc"/>
              <w:keepNext/>
              <w:keepLines/>
              <w:rPr>
                <w:rFonts w:eastAsia="Times New Roman" w:cs="Times New Roman"/>
              </w:rPr>
            </w:pPr>
            <w:r w:rsidRPr="00245AA8">
              <w:t>$57,396,604</w:t>
            </w:r>
            <w:r w:rsidRPr="000B674B">
              <w:rPr>
                <w:vertAlign w:val="superscript"/>
              </w:rPr>
              <w:t>b</w:t>
            </w:r>
          </w:p>
        </w:tc>
        <w:tc>
          <w:tcPr>
            <w:tcW w:w="1643" w:type="dxa"/>
            <w:vAlign w:val="bottom"/>
          </w:tcPr>
          <w:p w14:paraId="10F49F0D" w14:textId="77777777" w:rsidR="00E858D2" w:rsidRPr="00245AA8" w:rsidRDefault="00E858D2" w:rsidP="00E858D2">
            <w:pPr>
              <w:pStyle w:val="TableTextDusc"/>
              <w:keepNext/>
              <w:keepLines/>
              <w:rPr>
                <w:rFonts w:eastAsia="Times New Roman" w:cs="Times New Roman"/>
              </w:rPr>
            </w:pPr>
            <w:r w:rsidRPr="00245AA8">
              <w:t>$62,457,372</w:t>
            </w:r>
            <w:r w:rsidRPr="000B674B">
              <w:rPr>
                <w:vertAlign w:val="superscript"/>
              </w:rPr>
              <w:t>b</w:t>
            </w:r>
          </w:p>
        </w:tc>
      </w:tr>
      <w:tr w:rsidR="00E858D2" w:rsidRPr="00245AA8" w14:paraId="0F926E53" w14:textId="77777777" w:rsidTr="00E858D2">
        <w:trPr>
          <w:trHeight w:val="20"/>
        </w:trPr>
        <w:tc>
          <w:tcPr>
            <w:tcW w:w="2980" w:type="dxa"/>
          </w:tcPr>
          <w:p w14:paraId="25568886" w14:textId="77777777" w:rsidR="00E858D2" w:rsidRPr="00245AA8" w:rsidRDefault="00E858D2" w:rsidP="00E858D2">
            <w:pPr>
              <w:pStyle w:val="TableTextDusc"/>
              <w:keepNext/>
              <w:keepLines/>
              <w:rPr>
                <w:rFonts w:eastAsia="Times New Roman" w:cs="Times New Roman"/>
                <w:b/>
              </w:rPr>
            </w:pPr>
            <w:r w:rsidRPr="00245AA8">
              <w:rPr>
                <w:rFonts w:eastAsia="Times New Roman" w:cs="Times New Roman"/>
                <w:b/>
              </w:rPr>
              <w:t>Total</w:t>
            </w:r>
          </w:p>
        </w:tc>
        <w:tc>
          <w:tcPr>
            <w:tcW w:w="1466" w:type="dxa"/>
            <w:vAlign w:val="bottom"/>
          </w:tcPr>
          <w:p w14:paraId="03C0322F" w14:textId="77777777" w:rsidR="00E858D2" w:rsidRPr="00245AA8" w:rsidRDefault="00E858D2" w:rsidP="00E858D2">
            <w:pPr>
              <w:pStyle w:val="TableTextDusc"/>
              <w:keepNext/>
              <w:keepLines/>
            </w:pPr>
            <w:r w:rsidRPr="00245AA8">
              <w:rPr>
                <w:b/>
                <w:bCs/>
              </w:rPr>
              <w:t>$38,191,087</w:t>
            </w:r>
          </w:p>
        </w:tc>
        <w:tc>
          <w:tcPr>
            <w:tcW w:w="1466" w:type="dxa"/>
            <w:vAlign w:val="bottom"/>
          </w:tcPr>
          <w:p w14:paraId="7F51DCB5" w14:textId="77777777" w:rsidR="00E858D2" w:rsidRPr="00245AA8" w:rsidRDefault="00E858D2" w:rsidP="00E858D2">
            <w:pPr>
              <w:pStyle w:val="TableTextDusc"/>
              <w:keepNext/>
              <w:keepLines/>
            </w:pPr>
            <w:r w:rsidRPr="00245AA8">
              <w:rPr>
                <w:b/>
                <w:bCs/>
              </w:rPr>
              <w:t>$79,205,991</w:t>
            </w:r>
          </w:p>
        </w:tc>
        <w:tc>
          <w:tcPr>
            <w:tcW w:w="1466" w:type="dxa"/>
            <w:vAlign w:val="bottom"/>
          </w:tcPr>
          <w:p w14:paraId="028D0F55" w14:textId="77777777" w:rsidR="00E858D2" w:rsidRPr="00245AA8" w:rsidRDefault="00E858D2" w:rsidP="00E858D2">
            <w:pPr>
              <w:pStyle w:val="TableTextDusc"/>
              <w:keepNext/>
              <w:keepLines/>
            </w:pPr>
            <w:r w:rsidRPr="00245AA8">
              <w:rPr>
                <w:b/>
                <w:bCs/>
              </w:rPr>
              <w:t>$97,847,666</w:t>
            </w:r>
          </w:p>
        </w:tc>
        <w:tc>
          <w:tcPr>
            <w:tcW w:w="1643" w:type="dxa"/>
            <w:vAlign w:val="bottom"/>
          </w:tcPr>
          <w:p w14:paraId="7891E1DA" w14:textId="77777777" w:rsidR="00E858D2" w:rsidRPr="00245AA8" w:rsidRDefault="00E858D2" w:rsidP="00E858D2">
            <w:pPr>
              <w:pStyle w:val="TableTextDusc"/>
              <w:keepNext/>
              <w:keepLines/>
            </w:pPr>
            <w:r w:rsidRPr="00245AA8">
              <w:rPr>
                <w:b/>
                <w:bCs/>
              </w:rPr>
              <w:t>$121,022,908</w:t>
            </w:r>
          </w:p>
        </w:tc>
      </w:tr>
    </w:tbl>
    <w:p w14:paraId="7F9F0F96" w14:textId="77777777" w:rsidR="00E858D2" w:rsidRPr="000309A3" w:rsidRDefault="00E858D2" w:rsidP="00E858D2">
      <w:pPr>
        <w:pStyle w:val="TableFootnote0"/>
        <w:keepLines/>
        <w:spacing w:after="0"/>
      </w:pPr>
      <w:r w:rsidRPr="000309A3">
        <w:t xml:space="preserve">Source: </w:t>
      </w:r>
      <w:r w:rsidRPr="00F32C5D">
        <w:t>DHS Supplied prescriptions database</w:t>
      </w:r>
      <w:r>
        <w:t xml:space="preserve"> (date of supply)</w:t>
      </w:r>
      <w:r w:rsidRPr="00F32C5D">
        <w:t xml:space="preserve">, extracted May 2017 </w:t>
      </w:r>
    </w:p>
    <w:p w14:paraId="1425D87E" w14:textId="77777777" w:rsidR="00E858D2" w:rsidRDefault="00E858D2" w:rsidP="00E858D2">
      <w:pPr>
        <w:pStyle w:val="TableFootnote0"/>
        <w:keepLines/>
        <w:spacing w:after="0"/>
      </w:pPr>
      <w:r w:rsidRPr="00F35E2C">
        <w:rPr>
          <w:vertAlign w:val="superscript"/>
        </w:rPr>
        <w:t>a</w:t>
      </w:r>
      <w:r w:rsidRPr="000309A3">
        <w:t xml:space="preserve"> Th</w:t>
      </w:r>
      <w:r>
        <w:t>ese</w:t>
      </w:r>
      <w:r w:rsidRPr="000309A3">
        <w:t xml:space="preserve"> </w:t>
      </w:r>
      <w:r>
        <w:t>figures</w:t>
      </w:r>
      <w:r w:rsidRPr="000309A3">
        <w:t xml:space="preserve"> </w:t>
      </w:r>
      <w:r>
        <w:t>are</w:t>
      </w:r>
      <w:r w:rsidRPr="000309A3">
        <w:t xml:space="preserve"> for </w:t>
      </w:r>
      <w:r>
        <w:t>the months July to December only</w:t>
      </w:r>
    </w:p>
    <w:p w14:paraId="0AEF1BF0" w14:textId="77777777" w:rsidR="00E858D2" w:rsidRPr="000309A3" w:rsidRDefault="00E858D2" w:rsidP="00E858D2">
      <w:pPr>
        <w:pStyle w:val="TableFootnote0"/>
        <w:keepLines/>
        <w:spacing w:after="0"/>
      </w:pPr>
      <w:r w:rsidRPr="00F35E2C">
        <w:rPr>
          <w:vertAlign w:val="superscript"/>
        </w:rPr>
        <w:t>b</w:t>
      </w:r>
      <w:r>
        <w:t xml:space="preserve"> Special pricing arrangements</w:t>
      </w:r>
    </w:p>
    <w:p w14:paraId="120F8894" w14:textId="77777777" w:rsidR="00E858D2" w:rsidRDefault="00E858D2" w:rsidP="00A85D52"/>
    <w:p w14:paraId="78F746B1" w14:textId="77777777" w:rsidR="00E32D68" w:rsidRPr="00FE1642" w:rsidRDefault="00E32D68" w:rsidP="00E32D68">
      <w:pPr>
        <w:pStyle w:val="MDSubsubheding"/>
      </w:pPr>
      <w:bookmarkStart w:id="110" w:name="_Toc503274979"/>
      <w:r w:rsidRPr="00FE1642">
        <w:t>Treatment</w:t>
      </w:r>
      <w:r>
        <w:t xml:space="preserve"> length</w:t>
      </w:r>
      <w:r w:rsidRPr="00FE1642">
        <w:t xml:space="preserve"> or persistence </w:t>
      </w:r>
      <w:r>
        <w:t>for</w:t>
      </w:r>
      <w:r w:rsidRPr="00FE1642">
        <w:t xml:space="preserve"> PBS listed biologic</w:t>
      </w:r>
      <w:r>
        <w:t xml:space="preserve"> in CPP</w:t>
      </w:r>
      <w:bookmarkEnd w:id="110"/>
    </w:p>
    <w:p w14:paraId="415FE598" w14:textId="74ABEA4F" w:rsidR="005E626F" w:rsidRPr="00FE1642" w:rsidRDefault="005E626F" w:rsidP="00A77877">
      <w:pPr>
        <w:pStyle w:val="ToRText"/>
      </w:pPr>
      <w:r w:rsidRPr="00FE1642">
        <w:t>Q4.</w:t>
      </w:r>
      <w:r w:rsidRPr="00FE1642">
        <w:tab/>
        <w:t xml:space="preserve">Determine length of treatment or persistence on PBS listed biologic agents for the treatment of severe CPP. Provide an estimate of the length of treatment by drug and overall continuous length of treatment on any biologic. Present results </w:t>
      </w:r>
      <w:r w:rsidR="00C61535" w:rsidRPr="00FE1642">
        <w:t>o</w:t>
      </w:r>
      <w:r w:rsidR="00C61535">
        <w:t>f</w:t>
      </w:r>
      <w:r w:rsidR="00C61535" w:rsidRPr="00FE1642">
        <w:t xml:space="preserve"> </w:t>
      </w:r>
      <w:r w:rsidR="00BC1A54" w:rsidRPr="00FE1642">
        <w:t>patient</w:t>
      </w:r>
      <w:r w:rsidR="00BC1A54">
        <w:t>s’</w:t>
      </w:r>
      <w:r w:rsidR="00BC1A54" w:rsidRPr="00FE1642">
        <w:t xml:space="preserve"> </w:t>
      </w:r>
      <w:r w:rsidRPr="00FE1642">
        <w:t>individual length of treatment using Kaplan Meier survival techniques.</w:t>
      </w:r>
    </w:p>
    <w:p w14:paraId="16F7C446" w14:textId="77777777" w:rsidR="00E32D68" w:rsidRDefault="00E32D68" w:rsidP="00E32D68">
      <w:r>
        <w:t xml:space="preserve">Time-to-event analyses (survival analyses) were performed to understand the length of time patients spend on continuous treatment with biologics prior to discontinuing treatment or switching to a different biologic. These analyses were performed on a cohort of biologic naïve patients who had their first biologic dispensing for severe CPP between 1 July 2014 and 30 June 2015; </w:t>
      </w:r>
    </w:p>
    <w:p w14:paraId="3A3172EB" w14:textId="77777777" w:rsidR="002C1F79" w:rsidRPr="00FE1642" w:rsidRDefault="002C1F79" w:rsidP="00E32D68">
      <w:r w:rsidRPr="00FE1642">
        <w:t>Persistence rates with biologics was high:</w:t>
      </w:r>
    </w:p>
    <w:p w14:paraId="161271C6" w14:textId="77777777" w:rsidR="00E32D68" w:rsidRDefault="002C1F79" w:rsidP="000A43C2">
      <w:pPr>
        <w:pStyle w:val="ListParagraph"/>
        <w:numPr>
          <w:ilvl w:val="0"/>
          <w:numId w:val="12"/>
        </w:numPr>
      </w:pPr>
      <w:r w:rsidRPr="00FE1642">
        <w:t xml:space="preserve">83% of biologic naïve patients remained on continuous treatment with their </w:t>
      </w:r>
      <w:r w:rsidRPr="00FE1642">
        <w:rPr>
          <w:i/>
        </w:rPr>
        <w:t>first</w:t>
      </w:r>
      <w:r w:rsidRPr="00FE1642">
        <w:t xml:space="preserve"> biologic for at least 6 months</w:t>
      </w:r>
    </w:p>
    <w:p w14:paraId="5CA36895" w14:textId="77777777" w:rsidR="00E32D68" w:rsidRDefault="002C1F79" w:rsidP="000A43C2">
      <w:pPr>
        <w:pStyle w:val="ListParagraph"/>
        <w:numPr>
          <w:ilvl w:val="0"/>
          <w:numId w:val="12"/>
        </w:numPr>
      </w:pPr>
      <w:r w:rsidRPr="00FE1642">
        <w:t>80% of biologic naive patients remain</w:t>
      </w:r>
      <w:r w:rsidR="00BE4B63" w:rsidRPr="00FE1642">
        <w:t>ed</w:t>
      </w:r>
      <w:r w:rsidRPr="00FE1642">
        <w:t xml:space="preserve"> on continuous treatment with</w:t>
      </w:r>
      <w:r w:rsidR="008B7D16">
        <w:t xml:space="preserve"> any</w:t>
      </w:r>
      <w:r w:rsidRPr="00FE1642">
        <w:t xml:space="preserve"> biologic for at least 18 months</w:t>
      </w:r>
      <w:bookmarkStart w:id="111" w:name="_Ref492996687"/>
      <w:r w:rsidR="00E32D68" w:rsidRPr="00E32D68">
        <w:t xml:space="preserve"> </w:t>
      </w:r>
    </w:p>
    <w:p w14:paraId="03F00A0D" w14:textId="77777777" w:rsidR="00906554" w:rsidRDefault="00906554" w:rsidP="00881C7E">
      <w:r>
        <w:t xml:space="preserve">There were some differences between </w:t>
      </w:r>
      <w:r w:rsidR="006E3A29">
        <w:t>the prop</w:t>
      </w:r>
      <w:r w:rsidR="00165C8D">
        <w:t>o</w:t>
      </w:r>
      <w:r w:rsidR="006E3A29">
        <w:t xml:space="preserve">rtion of patients </w:t>
      </w:r>
      <w:r w:rsidR="001A5398">
        <w:t>persisting on</w:t>
      </w:r>
      <w:r w:rsidR="006E3A29">
        <w:t xml:space="preserve"> treatment with biologics </w:t>
      </w:r>
      <w:r>
        <w:t xml:space="preserve">in the PBS data (which assumes a prolonged PASI 75 response) and the PASI </w:t>
      </w:r>
      <w:r>
        <w:lastRenderedPageBreak/>
        <w:t>75 response seen in trials. Persistence</w:t>
      </w:r>
      <w:r w:rsidR="001A5398">
        <w:t xml:space="preserve"> to</w:t>
      </w:r>
      <w:r w:rsidR="006E3A29">
        <w:t xml:space="preserve"> treatment was</w:t>
      </w:r>
      <w:r>
        <w:t xml:space="preserve"> much higher for infliximab and ustekinumab in the PBS data than </w:t>
      </w:r>
      <w:r w:rsidR="006E3A29">
        <w:t xml:space="preserve">the </w:t>
      </w:r>
      <w:r>
        <w:t>response rate</w:t>
      </w:r>
      <w:r w:rsidR="001A5398">
        <w:t xml:space="preserve"> reported</w:t>
      </w:r>
      <w:r>
        <w:t xml:space="preserve"> in the clinical trials (</w:t>
      </w:r>
      <w:r w:rsidR="00CB29D0">
        <w:t>Table ES.</w:t>
      </w:r>
      <w:r w:rsidR="00CB29D0">
        <w:rPr>
          <w:noProof/>
        </w:rPr>
        <w:t>22</w:t>
      </w:r>
      <w:r>
        <w:t xml:space="preserve">). </w:t>
      </w:r>
    </w:p>
    <w:p w14:paraId="2ABE5A1C" w14:textId="77777777" w:rsidR="00E32D68" w:rsidRDefault="00A75F73" w:rsidP="00643B8E">
      <w:pPr>
        <w:pStyle w:val="MDTabCaption"/>
        <w:keepLines/>
      </w:pPr>
      <w:bookmarkStart w:id="112" w:name="_Ref499900645"/>
      <w:bookmarkStart w:id="113" w:name="_Toc503275012"/>
      <w:r>
        <w:t>Table ES.</w:t>
      </w:r>
      <w:r w:rsidR="00CB29D0">
        <w:rPr>
          <w:noProof/>
        </w:rPr>
        <w:t>22</w:t>
      </w:r>
      <w:bookmarkEnd w:id="111"/>
      <w:bookmarkEnd w:id="112"/>
      <w:r w:rsidR="00E32D68">
        <w:t>:</w:t>
      </w:r>
      <w:r w:rsidR="00E32D68" w:rsidRPr="00184080">
        <w:t xml:space="preserve"> </w:t>
      </w:r>
      <w:r w:rsidR="00881C7E">
        <w:t>Persistence</w:t>
      </w:r>
      <w:r w:rsidR="00E32D68">
        <w:t xml:space="preserve"> of biologics compared with trial PASI 75 outcomes</w:t>
      </w:r>
      <w:bookmarkEnd w:id="113"/>
    </w:p>
    <w:tbl>
      <w:tblPr>
        <w:tblStyle w:val="TableGrid72"/>
        <w:tblpPr w:leftFromText="180" w:rightFromText="180" w:vertAnchor="text" w:horzAnchor="margin" w:tblpY="43"/>
        <w:tblW w:w="4761" w:type="pct"/>
        <w:tblLook w:val="04A0" w:firstRow="1" w:lastRow="0" w:firstColumn="1" w:lastColumn="0" w:noHBand="0" w:noVBand="1"/>
        <w:tblCaption w:val="Continuation of biologics compared with trial PASI 75 outcomes"/>
      </w:tblPr>
      <w:tblGrid>
        <w:gridCol w:w="1498"/>
        <w:gridCol w:w="1614"/>
        <w:gridCol w:w="1841"/>
        <w:gridCol w:w="1841"/>
        <w:gridCol w:w="1791"/>
      </w:tblGrid>
      <w:tr w:rsidR="00643B8E" w:rsidRPr="0085778C" w14:paraId="6216BE2E" w14:textId="77777777" w:rsidTr="00643B8E">
        <w:trPr>
          <w:cantSplit/>
          <w:trHeight w:val="350"/>
          <w:tblHeader/>
        </w:trPr>
        <w:tc>
          <w:tcPr>
            <w:tcW w:w="873" w:type="pct"/>
            <w:tcBorders>
              <w:bottom w:val="single" w:sz="4" w:space="0" w:color="auto"/>
            </w:tcBorders>
            <w:shd w:val="clear" w:color="auto" w:fill="BFBFBF"/>
            <w:vAlign w:val="center"/>
          </w:tcPr>
          <w:p w14:paraId="63939F4A" w14:textId="77777777" w:rsidR="00643B8E" w:rsidRPr="00B13FFE" w:rsidRDefault="00643B8E" w:rsidP="00643B8E">
            <w:pPr>
              <w:pStyle w:val="Tableheading-row"/>
              <w:keepNext/>
              <w:keepLines/>
              <w:rPr>
                <w:rFonts w:eastAsia="Times New Roman" w:cs="Times New Roman"/>
                <w:szCs w:val="20"/>
              </w:rPr>
            </w:pPr>
            <w:r>
              <w:rPr>
                <w:szCs w:val="20"/>
              </w:rPr>
              <w:t>Biologic</w:t>
            </w:r>
          </w:p>
        </w:tc>
        <w:tc>
          <w:tcPr>
            <w:tcW w:w="940" w:type="pct"/>
            <w:tcBorders>
              <w:bottom w:val="single" w:sz="4" w:space="0" w:color="auto"/>
            </w:tcBorders>
            <w:shd w:val="clear" w:color="auto" w:fill="BFBFBF"/>
            <w:vAlign w:val="center"/>
          </w:tcPr>
          <w:p w14:paraId="3152BFC9" w14:textId="77777777" w:rsidR="00643B8E"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sidRPr="0085778C">
              <w:rPr>
                <w:rFonts w:cs="Calibri"/>
                <w:b/>
                <w:sz w:val="20"/>
                <w:szCs w:val="20"/>
              </w:rPr>
              <w:t xml:space="preserve">PBS continuation </w:t>
            </w:r>
            <w:r w:rsidRPr="0085778C">
              <w:rPr>
                <w:rFonts w:cs="Calibri"/>
                <w:b/>
                <w:sz w:val="20"/>
                <w:szCs w:val="20"/>
              </w:rPr>
              <w:br/>
              <w:t>(6 months</w:t>
            </w:r>
            <w:r>
              <w:rPr>
                <w:rFonts w:cs="Calibri"/>
                <w:b/>
                <w:sz w:val="20"/>
                <w:szCs w:val="20"/>
              </w:rPr>
              <w:t xml:space="preserve"> </w:t>
            </w:r>
          </w:p>
          <w:p w14:paraId="4E945D0F" w14:textId="77777777" w:rsidR="00643B8E" w:rsidRPr="0085778C"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Pr>
                <w:rFonts w:cs="Calibri"/>
                <w:b/>
                <w:sz w:val="20"/>
                <w:szCs w:val="20"/>
              </w:rPr>
              <w:t>≈ 24 weeks</w:t>
            </w:r>
            <w:r w:rsidRPr="0085778C">
              <w:rPr>
                <w:rFonts w:cs="Calibri"/>
                <w:b/>
                <w:sz w:val="20"/>
                <w:szCs w:val="20"/>
              </w:rPr>
              <w:t>)</w:t>
            </w:r>
          </w:p>
        </w:tc>
        <w:tc>
          <w:tcPr>
            <w:tcW w:w="1072" w:type="pct"/>
            <w:tcBorders>
              <w:bottom w:val="single" w:sz="4" w:space="0" w:color="auto"/>
            </w:tcBorders>
            <w:shd w:val="clear" w:color="auto" w:fill="BFBFBF"/>
            <w:vAlign w:val="center"/>
          </w:tcPr>
          <w:p w14:paraId="2CC2D687" w14:textId="77777777" w:rsidR="00643B8E" w:rsidRPr="0085778C"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sidRPr="0085778C">
              <w:rPr>
                <w:rFonts w:cs="Calibri"/>
                <w:b/>
                <w:sz w:val="20"/>
                <w:szCs w:val="20"/>
              </w:rPr>
              <w:t xml:space="preserve">PASI 75 response </w:t>
            </w:r>
            <w:r w:rsidRPr="0085778C">
              <w:rPr>
                <w:rFonts w:cs="Calibri"/>
                <w:b/>
                <w:sz w:val="20"/>
                <w:szCs w:val="20"/>
              </w:rPr>
              <w:br/>
              <w:t>(time)</w:t>
            </w:r>
          </w:p>
        </w:tc>
        <w:tc>
          <w:tcPr>
            <w:tcW w:w="1072" w:type="pct"/>
            <w:tcBorders>
              <w:bottom w:val="single" w:sz="4" w:space="0" w:color="auto"/>
            </w:tcBorders>
            <w:shd w:val="clear" w:color="auto" w:fill="BFBFBF"/>
            <w:vAlign w:val="center"/>
          </w:tcPr>
          <w:p w14:paraId="49ACB6DC" w14:textId="77777777" w:rsidR="00643B8E"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sidRPr="0085778C">
              <w:rPr>
                <w:rFonts w:cs="Calibri"/>
                <w:b/>
                <w:sz w:val="20"/>
                <w:szCs w:val="20"/>
              </w:rPr>
              <w:t xml:space="preserve">PBS continuation </w:t>
            </w:r>
            <w:r w:rsidRPr="0085778C">
              <w:rPr>
                <w:rFonts w:cs="Calibri"/>
                <w:b/>
                <w:sz w:val="20"/>
                <w:szCs w:val="20"/>
              </w:rPr>
              <w:br/>
              <w:t>(12 months</w:t>
            </w:r>
          </w:p>
          <w:p w14:paraId="01EFEA25" w14:textId="77777777" w:rsidR="00643B8E" w:rsidRPr="0085778C"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Pr>
                <w:rFonts w:cs="Calibri"/>
                <w:b/>
                <w:sz w:val="20"/>
                <w:szCs w:val="20"/>
              </w:rPr>
              <w:t>≈52 weeks</w:t>
            </w:r>
            <w:r w:rsidRPr="0085778C">
              <w:rPr>
                <w:rFonts w:cs="Calibri"/>
                <w:b/>
                <w:sz w:val="20"/>
                <w:szCs w:val="20"/>
              </w:rPr>
              <w:t>)</w:t>
            </w:r>
          </w:p>
        </w:tc>
        <w:tc>
          <w:tcPr>
            <w:tcW w:w="1043" w:type="pct"/>
            <w:tcBorders>
              <w:bottom w:val="single" w:sz="4" w:space="0" w:color="auto"/>
            </w:tcBorders>
            <w:shd w:val="clear" w:color="auto" w:fill="BFBFBF"/>
            <w:vAlign w:val="center"/>
          </w:tcPr>
          <w:p w14:paraId="6BF64735" w14:textId="77777777" w:rsidR="00643B8E" w:rsidRPr="0085778C" w:rsidRDefault="00643B8E" w:rsidP="00643B8E">
            <w:pPr>
              <w:keepNext/>
              <w:keepLines/>
              <w:autoSpaceDE w:val="0"/>
              <w:autoSpaceDN w:val="0"/>
              <w:adjustRightInd w:val="0"/>
              <w:spacing w:beforeLines="60" w:before="144" w:afterLines="60" w:after="144"/>
              <w:contextualSpacing/>
              <w:jc w:val="center"/>
              <w:rPr>
                <w:rFonts w:cs="Calibri"/>
                <w:b/>
                <w:sz w:val="20"/>
                <w:szCs w:val="20"/>
              </w:rPr>
            </w:pPr>
            <w:r w:rsidRPr="0085778C">
              <w:rPr>
                <w:rFonts w:cs="Calibri"/>
                <w:b/>
                <w:sz w:val="20"/>
                <w:szCs w:val="20"/>
              </w:rPr>
              <w:t>PASI 75 response (time)</w:t>
            </w:r>
          </w:p>
        </w:tc>
      </w:tr>
      <w:tr w:rsidR="00643B8E" w:rsidRPr="0085778C" w14:paraId="761FAC4C" w14:textId="77777777" w:rsidTr="00643B8E">
        <w:trPr>
          <w:cantSplit/>
          <w:trHeight w:val="350"/>
          <w:tblHeader/>
        </w:trPr>
        <w:tc>
          <w:tcPr>
            <w:tcW w:w="873" w:type="pct"/>
            <w:vAlign w:val="center"/>
          </w:tcPr>
          <w:p w14:paraId="1D8ADA48" w14:textId="77777777" w:rsidR="00643B8E" w:rsidRPr="0085778C" w:rsidRDefault="00643B8E" w:rsidP="00643B8E">
            <w:pPr>
              <w:keepNext/>
              <w:keepLines/>
              <w:shd w:val="clear" w:color="auto" w:fill="FFFFFF"/>
              <w:spacing w:before="60" w:after="60"/>
              <w:rPr>
                <w:rFonts w:cs="Arial"/>
                <w:sz w:val="20"/>
                <w:szCs w:val="20"/>
              </w:rPr>
            </w:pPr>
            <w:r w:rsidRPr="0085778C">
              <w:rPr>
                <w:rFonts w:cs="Arial"/>
                <w:sz w:val="20"/>
                <w:szCs w:val="20"/>
              </w:rPr>
              <w:t>Adalimumab</w:t>
            </w:r>
          </w:p>
        </w:tc>
        <w:tc>
          <w:tcPr>
            <w:tcW w:w="940" w:type="pct"/>
            <w:vAlign w:val="center"/>
          </w:tcPr>
          <w:p w14:paraId="72E4C163"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77%</w:t>
            </w:r>
          </w:p>
        </w:tc>
        <w:tc>
          <w:tcPr>
            <w:tcW w:w="1072" w:type="pct"/>
            <w:vAlign w:val="center"/>
          </w:tcPr>
          <w:p w14:paraId="4CDBECDF"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67%</w:t>
            </w:r>
            <w:r w:rsidRPr="0085778C">
              <w:rPr>
                <w:rFonts w:eastAsia="MS Mincho" w:cs="Calibri"/>
                <w:sz w:val="20"/>
                <w:szCs w:val="20"/>
                <w:vertAlign w:val="superscript"/>
              </w:rPr>
              <w:t xml:space="preserve"> </w:t>
            </w:r>
            <w:r>
              <w:rPr>
                <w:rFonts w:eastAsia="MS Mincho" w:cs="Calibri"/>
                <w:sz w:val="20"/>
                <w:szCs w:val="20"/>
                <w:vertAlign w:val="superscript"/>
              </w:rPr>
              <w:t>b</w:t>
            </w:r>
            <w:r w:rsidRPr="0085778C">
              <w:rPr>
                <w:rFonts w:eastAsia="MS Mincho" w:cs="Calibri"/>
                <w:sz w:val="20"/>
                <w:szCs w:val="20"/>
                <w:vertAlign w:val="superscript"/>
              </w:rPr>
              <w:t xml:space="preserve"> </w:t>
            </w:r>
            <w:r w:rsidRPr="0085778C">
              <w:rPr>
                <w:rFonts w:eastAsia="MS Mincho" w:cs="Calibri"/>
                <w:sz w:val="20"/>
                <w:szCs w:val="20"/>
              </w:rPr>
              <w:t>-70%</w:t>
            </w:r>
            <w:r>
              <w:rPr>
                <w:rFonts w:eastAsia="MS Mincho" w:cs="Calibri"/>
                <w:sz w:val="20"/>
                <w:szCs w:val="20"/>
                <w:vertAlign w:val="superscript"/>
              </w:rPr>
              <w:t>c</w:t>
            </w:r>
            <w:r w:rsidRPr="0085778C">
              <w:rPr>
                <w:rFonts w:eastAsia="MS Mincho" w:cs="Calibri"/>
                <w:sz w:val="20"/>
                <w:szCs w:val="20"/>
              </w:rPr>
              <w:t xml:space="preserve"> </w:t>
            </w:r>
            <w:r w:rsidRPr="0085778C">
              <w:rPr>
                <w:rFonts w:eastAsia="MS Mincho" w:cs="Calibri"/>
                <w:sz w:val="20"/>
                <w:szCs w:val="20"/>
                <w:vertAlign w:val="superscript"/>
              </w:rPr>
              <w:br/>
            </w:r>
            <w:r w:rsidRPr="0085778C">
              <w:rPr>
                <w:rFonts w:eastAsia="MS Mincho" w:cs="Calibri"/>
                <w:sz w:val="20"/>
                <w:szCs w:val="20"/>
              </w:rPr>
              <w:t>(24 weeks)</w:t>
            </w:r>
          </w:p>
        </w:tc>
        <w:tc>
          <w:tcPr>
            <w:tcW w:w="1072" w:type="pct"/>
            <w:vAlign w:val="center"/>
          </w:tcPr>
          <w:p w14:paraId="2C1B153C"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62%</w:t>
            </w:r>
          </w:p>
        </w:tc>
        <w:tc>
          <w:tcPr>
            <w:tcW w:w="1043" w:type="pct"/>
          </w:tcPr>
          <w:p w14:paraId="260A59B1"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 xml:space="preserve">67% </w:t>
            </w:r>
            <w:r>
              <w:rPr>
                <w:rFonts w:eastAsia="MS Mincho" w:cs="Calibri"/>
                <w:sz w:val="20"/>
                <w:szCs w:val="20"/>
                <w:vertAlign w:val="superscript"/>
              </w:rPr>
              <w:t>b</w:t>
            </w:r>
            <w:r w:rsidRPr="0085778C">
              <w:rPr>
                <w:rFonts w:eastAsia="MS Mincho" w:cs="Calibri"/>
                <w:sz w:val="20"/>
                <w:szCs w:val="20"/>
                <w:vertAlign w:val="superscript"/>
              </w:rPr>
              <w:br/>
            </w:r>
            <w:r w:rsidRPr="0085778C">
              <w:rPr>
                <w:rFonts w:eastAsia="MS Mincho" w:cs="Calibri"/>
                <w:sz w:val="20"/>
                <w:szCs w:val="20"/>
              </w:rPr>
              <w:t>(48 weeks)</w:t>
            </w:r>
          </w:p>
        </w:tc>
      </w:tr>
      <w:tr w:rsidR="00643B8E" w:rsidRPr="0085778C" w14:paraId="4EA76CDE" w14:textId="77777777" w:rsidTr="00643B8E">
        <w:trPr>
          <w:cantSplit/>
          <w:trHeight w:val="350"/>
          <w:tblHeader/>
        </w:trPr>
        <w:tc>
          <w:tcPr>
            <w:tcW w:w="873" w:type="pct"/>
            <w:vAlign w:val="center"/>
          </w:tcPr>
          <w:p w14:paraId="3821C703" w14:textId="77777777" w:rsidR="00643B8E" w:rsidRPr="0085778C" w:rsidRDefault="00643B8E" w:rsidP="00643B8E">
            <w:pPr>
              <w:keepNext/>
              <w:keepLines/>
              <w:shd w:val="clear" w:color="auto" w:fill="FFFFFF"/>
              <w:spacing w:before="60" w:after="60"/>
              <w:rPr>
                <w:rFonts w:cs="Arial"/>
                <w:sz w:val="20"/>
                <w:szCs w:val="20"/>
              </w:rPr>
            </w:pPr>
            <w:r w:rsidRPr="0085778C">
              <w:rPr>
                <w:rFonts w:cs="Arial"/>
                <w:sz w:val="20"/>
                <w:szCs w:val="20"/>
              </w:rPr>
              <w:t>Etanercept</w:t>
            </w:r>
          </w:p>
        </w:tc>
        <w:tc>
          <w:tcPr>
            <w:tcW w:w="940" w:type="pct"/>
            <w:vAlign w:val="center"/>
          </w:tcPr>
          <w:p w14:paraId="02DC8B0C" w14:textId="77777777" w:rsidR="00643B8E" w:rsidRPr="00C25CE4"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21%</w:t>
            </w:r>
            <w:r>
              <w:rPr>
                <w:rFonts w:eastAsia="MS Mincho" w:cs="Calibri"/>
                <w:sz w:val="20"/>
                <w:szCs w:val="20"/>
              </w:rPr>
              <w:t xml:space="preserve"> </w:t>
            </w:r>
            <w:r>
              <w:rPr>
                <w:rFonts w:eastAsia="MS Mincho" w:cs="Calibri"/>
                <w:sz w:val="20"/>
                <w:szCs w:val="20"/>
                <w:vertAlign w:val="superscript"/>
              </w:rPr>
              <w:t>d</w:t>
            </w:r>
          </w:p>
        </w:tc>
        <w:tc>
          <w:tcPr>
            <w:tcW w:w="1072" w:type="pct"/>
          </w:tcPr>
          <w:p w14:paraId="61CEED60"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44% - 62%</w:t>
            </w:r>
          </w:p>
          <w:p w14:paraId="5A75678C"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 xml:space="preserve">(24 weeks) </w:t>
            </w:r>
            <w:r>
              <w:rPr>
                <w:rFonts w:eastAsia="MS Mincho" w:cs="Calibri"/>
                <w:sz w:val="20"/>
                <w:szCs w:val="20"/>
                <w:vertAlign w:val="superscript"/>
              </w:rPr>
              <w:t>f</w:t>
            </w:r>
          </w:p>
        </w:tc>
        <w:tc>
          <w:tcPr>
            <w:tcW w:w="1072" w:type="pct"/>
            <w:vAlign w:val="center"/>
          </w:tcPr>
          <w:p w14:paraId="65125760"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16%</w:t>
            </w:r>
          </w:p>
        </w:tc>
        <w:tc>
          <w:tcPr>
            <w:tcW w:w="1043" w:type="pct"/>
            <w:vAlign w:val="center"/>
          </w:tcPr>
          <w:p w14:paraId="0BAEDED6"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w:t>
            </w:r>
          </w:p>
        </w:tc>
      </w:tr>
      <w:tr w:rsidR="00643B8E" w:rsidRPr="0085778C" w14:paraId="6D618732" w14:textId="77777777" w:rsidTr="00643B8E">
        <w:trPr>
          <w:cantSplit/>
          <w:trHeight w:val="350"/>
          <w:tblHeader/>
        </w:trPr>
        <w:tc>
          <w:tcPr>
            <w:tcW w:w="873" w:type="pct"/>
            <w:vAlign w:val="center"/>
          </w:tcPr>
          <w:p w14:paraId="0808522D" w14:textId="77777777" w:rsidR="00643B8E" w:rsidRPr="0085778C" w:rsidRDefault="00643B8E" w:rsidP="00643B8E">
            <w:pPr>
              <w:keepNext/>
              <w:keepLines/>
              <w:shd w:val="clear" w:color="auto" w:fill="FFFFFF"/>
              <w:spacing w:before="60" w:after="60"/>
              <w:rPr>
                <w:rFonts w:cs="Arial"/>
                <w:sz w:val="20"/>
                <w:szCs w:val="20"/>
              </w:rPr>
            </w:pPr>
            <w:r w:rsidRPr="0085778C">
              <w:rPr>
                <w:rFonts w:cs="Arial"/>
                <w:sz w:val="20"/>
                <w:szCs w:val="20"/>
              </w:rPr>
              <w:t>Infliximab</w:t>
            </w:r>
          </w:p>
        </w:tc>
        <w:tc>
          <w:tcPr>
            <w:tcW w:w="940" w:type="pct"/>
            <w:vAlign w:val="center"/>
          </w:tcPr>
          <w:p w14:paraId="42452D70"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100%</w:t>
            </w:r>
          </w:p>
        </w:tc>
        <w:tc>
          <w:tcPr>
            <w:tcW w:w="1072" w:type="pct"/>
          </w:tcPr>
          <w:p w14:paraId="72ECF827"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 xml:space="preserve">77%- 82% </w:t>
            </w:r>
            <w:r w:rsidRPr="0085778C">
              <w:rPr>
                <w:rFonts w:eastAsia="MS Mincho" w:cs="Calibri"/>
                <w:sz w:val="20"/>
                <w:szCs w:val="20"/>
              </w:rPr>
              <w:br/>
              <w:t xml:space="preserve">(24 weeks) </w:t>
            </w:r>
            <w:r>
              <w:rPr>
                <w:rFonts w:eastAsia="MS Mincho" w:cs="Calibri"/>
                <w:sz w:val="20"/>
                <w:szCs w:val="20"/>
                <w:vertAlign w:val="superscript"/>
              </w:rPr>
              <w:t>g</w:t>
            </w:r>
          </w:p>
        </w:tc>
        <w:tc>
          <w:tcPr>
            <w:tcW w:w="1072" w:type="pct"/>
            <w:vAlign w:val="center"/>
          </w:tcPr>
          <w:p w14:paraId="07F8E18A"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93%</w:t>
            </w:r>
          </w:p>
        </w:tc>
        <w:tc>
          <w:tcPr>
            <w:tcW w:w="1043" w:type="pct"/>
            <w:vAlign w:val="center"/>
          </w:tcPr>
          <w:p w14:paraId="71F117DD"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55%</w:t>
            </w:r>
          </w:p>
          <w:p w14:paraId="492D63FC"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 xml:space="preserve">(50 weeks) </w:t>
            </w:r>
            <w:r>
              <w:rPr>
                <w:rFonts w:eastAsia="MS Mincho" w:cs="Calibri"/>
                <w:sz w:val="20"/>
                <w:szCs w:val="20"/>
                <w:vertAlign w:val="superscript"/>
              </w:rPr>
              <w:t>h</w:t>
            </w:r>
          </w:p>
        </w:tc>
      </w:tr>
      <w:tr w:rsidR="00643B8E" w:rsidRPr="0085778C" w14:paraId="57532293" w14:textId="77777777" w:rsidTr="00643B8E">
        <w:trPr>
          <w:cantSplit/>
          <w:trHeight w:val="350"/>
          <w:tblHeader/>
        </w:trPr>
        <w:tc>
          <w:tcPr>
            <w:tcW w:w="873" w:type="pct"/>
            <w:vAlign w:val="center"/>
          </w:tcPr>
          <w:p w14:paraId="518C8266" w14:textId="77777777" w:rsidR="00643B8E" w:rsidRPr="0085778C" w:rsidRDefault="00643B8E" w:rsidP="00643B8E">
            <w:pPr>
              <w:keepNext/>
              <w:keepLines/>
              <w:shd w:val="clear" w:color="auto" w:fill="FFFFFF"/>
              <w:spacing w:before="60" w:after="60"/>
              <w:rPr>
                <w:rFonts w:cs="Arial"/>
                <w:sz w:val="20"/>
                <w:szCs w:val="20"/>
              </w:rPr>
            </w:pPr>
            <w:r w:rsidRPr="0085778C">
              <w:rPr>
                <w:rFonts w:cs="Arial"/>
                <w:sz w:val="20"/>
                <w:szCs w:val="20"/>
              </w:rPr>
              <w:t>Ustekinumab</w:t>
            </w:r>
          </w:p>
        </w:tc>
        <w:tc>
          <w:tcPr>
            <w:tcW w:w="940" w:type="pct"/>
            <w:vAlign w:val="center"/>
          </w:tcPr>
          <w:p w14:paraId="16735900"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97%</w:t>
            </w:r>
          </w:p>
        </w:tc>
        <w:tc>
          <w:tcPr>
            <w:tcW w:w="1072" w:type="pct"/>
          </w:tcPr>
          <w:p w14:paraId="622A1596"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 xml:space="preserve">≈80% </w:t>
            </w:r>
            <w:r>
              <w:rPr>
                <w:rFonts w:eastAsia="MS Mincho" w:cs="Calibri"/>
                <w:sz w:val="20"/>
                <w:szCs w:val="20"/>
                <w:vertAlign w:val="superscript"/>
              </w:rPr>
              <w:t>i</w:t>
            </w:r>
          </w:p>
          <w:p w14:paraId="038B0B5D"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(24 weeks)</w:t>
            </w:r>
          </w:p>
        </w:tc>
        <w:tc>
          <w:tcPr>
            <w:tcW w:w="1072" w:type="pct"/>
            <w:vAlign w:val="center"/>
          </w:tcPr>
          <w:p w14:paraId="083FA988"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88%</w:t>
            </w:r>
          </w:p>
        </w:tc>
        <w:tc>
          <w:tcPr>
            <w:tcW w:w="1043" w:type="pct"/>
            <w:vAlign w:val="center"/>
          </w:tcPr>
          <w:p w14:paraId="0D578978"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vertAlign w:val="superscript"/>
              </w:rPr>
            </w:pPr>
            <w:r w:rsidRPr="0085778C">
              <w:rPr>
                <w:rFonts w:eastAsia="MS Mincho" w:cs="Calibri"/>
                <w:sz w:val="20"/>
                <w:szCs w:val="20"/>
              </w:rPr>
              <w:t>≈70%</w:t>
            </w:r>
            <w:r w:rsidRPr="0085778C">
              <w:rPr>
                <w:rFonts w:eastAsia="MS Mincho" w:cs="Calibri"/>
                <w:sz w:val="20"/>
                <w:szCs w:val="20"/>
                <w:vertAlign w:val="superscript"/>
              </w:rPr>
              <w:t xml:space="preserve"> </w:t>
            </w:r>
            <w:r>
              <w:rPr>
                <w:rFonts w:eastAsia="MS Mincho" w:cs="Calibri"/>
                <w:sz w:val="20"/>
                <w:szCs w:val="20"/>
                <w:vertAlign w:val="superscript"/>
              </w:rPr>
              <w:t>i</w:t>
            </w:r>
          </w:p>
          <w:p w14:paraId="724189DF" w14:textId="77777777" w:rsidR="00643B8E" w:rsidRPr="0085778C" w:rsidRDefault="00643B8E" w:rsidP="00643B8E">
            <w:pPr>
              <w:keepNext/>
              <w:keepLines/>
              <w:autoSpaceDE w:val="0"/>
              <w:autoSpaceDN w:val="0"/>
              <w:adjustRightInd w:val="0"/>
              <w:spacing w:before="60" w:after="60"/>
              <w:jc w:val="center"/>
              <w:rPr>
                <w:rFonts w:eastAsia="MS Mincho" w:cs="Calibri"/>
                <w:sz w:val="20"/>
                <w:szCs w:val="20"/>
              </w:rPr>
            </w:pPr>
            <w:r w:rsidRPr="0085778C">
              <w:rPr>
                <w:rFonts w:eastAsia="MS Mincho" w:cs="Calibri"/>
                <w:sz w:val="20"/>
                <w:szCs w:val="20"/>
              </w:rPr>
              <w:t>(40 weeks)</w:t>
            </w:r>
          </w:p>
        </w:tc>
      </w:tr>
    </w:tbl>
    <w:p w14:paraId="2B625744" w14:textId="77777777" w:rsidR="00165C8D" w:rsidRPr="0085778C" w:rsidRDefault="00165C8D" w:rsidP="00165C8D">
      <w:pPr>
        <w:keepNext/>
        <w:keepLines/>
        <w:autoSpaceDE w:val="0"/>
        <w:autoSpaceDN w:val="0"/>
        <w:adjustRightInd w:val="0"/>
        <w:spacing w:after="0"/>
        <w:rPr>
          <w:rFonts w:eastAsia="Times New Roman" w:cs="Calibri"/>
          <w:color w:val="000000"/>
          <w:sz w:val="20"/>
          <w:szCs w:val="20"/>
        </w:rPr>
      </w:pPr>
      <w:r w:rsidRPr="0085778C">
        <w:rPr>
          <w:rFonts w:eastAsia="Times New Roman" w:cs="Calibri"/>
          <w:color w:val="000000"/>
          <w:sz w:val="20"/>
          <w:szCs w:val="20"/>
        </w:rPr>
        <w:t xml:space="preserve">Source: </w:t>
      </w:r>
      <w:r w:rsidRPr="008B2EB5">
        <w:rPr>
          <w:rFonts w:eastAsia="Times New Roman" w:cs="Calibri"/>
          <w:color w:val="000000"/>
          <w:sz w:val="20"/>
          <w:szCs w:val="20"/>
        </w:rPr>
        <w:t>DHS Supplied prescriptions database (date of supply), extracted May 2017</w:t>
      </w:r>
      <w:r>
        <w:rPr>
          <w:rFonts w:eastAsia="Times New Roman" w:cs="Calibri"/>
          <w:color w:val="000000"/>
          <w:sz w:val="20"/>
          <w:szCs w:val="20"/>
        </w:rPr>
        <w:t>; e</w:t>
      </w:r>
      <w:r w:rsidRPr="0085778C">
        <w:rPr>
          <w:rFonts w:eastAsia="Times New Roman" w:cs="Calibri"/>
          <w:color w:val="000000"/>
          <w:sz w:val="20"/>
          <w:szCs w:val="20"/>
        </w:rPr>
        <w:t>ffectiveness data from Term of Reference 2</w:t>
      </w:r>
      <w:r w:rsidRPr="008B2EB5">
        <w:t xml:space="preserve"> </w:t>
      </w:r>
    </w:p>
    <w:p w14:paraId="76BA9AD3" w14:textId="3C578E77" w:rsidR="00165C8D" w:rsidRPr="0085778C" w:rsidRDefault="00165C8D" w:rsidP="00165C8D">
      <w:pPr>
        <w:keepNext/>
        <w:keepLines/>
        <w:autoSpaceDE w:val="0"/>
        <w:autoSpaceDN w:val="0"/>
        <w:adjustRightInd w:val="0"/>
        <w:spacing w:after="0"/>
        <w:rPr>
          <w:rFonts w:eastAsia="Times New Roman" w:cs="Calibri"/>
          <w:color w:val="000000"/>
          <w:sz w:val="20"/>
          <w:szCs w:val="20"/>
        </w:rPr>
      </w:pPr>
      <w:r w:rsidRPr="0085778C">
        <w:rPr>
          <w:rFonts w:eastAsia="Times New Roman" w:cs="Calibri"/>
          <w:color w:val="000000"/>
          <w:sz w:val="20"/>
          <w:szCs w:val="20"/>
          <w:lang w:eastAsia="en-GB"/>
        </w:rPr>
        <w:t>Note:</w:t>
      </w:r>
      <w:r w:rsidRPr="0085778C">
        <w:rPr>
          <w:rFonts w:eastAsia="Times New Roman" w:cs="Calibri"/>
          <w:color w:val="000000"/>
          <w:sz w:val="20"/>
          <w:szCs w:val="20"/>
          <w:vertAlign w:val="superscript"/>
          <w:lang w:eastAsia="en-GB"/>
        </w:rPr>
        <w:t xml:space="preserve"> </w:t>
      </w:r>
      <w:r w:rsidRPr="0085778C">
        <w:rPr>
          <w:rFonts w:eastAsia="Times New Roman" w:cs="Calibri"/>
          <w:color w:val="000000"/>
          <w:sz w:val="20"/>
          <w:szCs w:val="20"/>
          <w:lang w:eastAsia="en-GB"/>
        </w:rPr>
        <w:t xml:space="preserve">Secukinumab was listed on the PBS schedule on 1 September 2015, which was after the 30 June 2015 cut-off for treatment initiation in this study. </w:t>
      </w:r>
      <w:r w:rsidRPr="0085778C">
        <w:rPr>
          <w:rFonts w:eastAsia="Times New Roman" w:cs="Calibri"/>
          <w:color w:val="000000"/>
          <w:sz w:val="20"/>
          <w:szCs w:val="20"/>
        </w:rPr>
        <w:br/>
        <w:t>PASI 75 = 75% reduction in the Psoriasis Area and Severity Index score</w:t>
      </w:r>
    </w:p>
    <w:p w14:paraId="6FD289A9" w14:textId="77777777" w:rsidR="00165C8D" w:rsidRDefault="00165C8D" w:rsidP="00165C8D">
      <w:pPr>
        <w:keepNext/>
        <w:keepLines/>
        <w:autoSpaceDE w:val="0"/>
        <w:autoSpaceDN w:val="0"/>
        <w:adjustRightInd w:val="0"/>
        <w:spacing w:after="0"/>
        <w:rPr>
          <w:rFonts w:eastAsia="Times New Roman" w:cs="Calibri"/>
          <w:color w:val="000000"/>
          <w:sz w:val="20"/>
          <w:szCs w:val="20"/>
        </w:rPr>
      </w:pPr>
      <w:r w:rsidRPr="0085778C">
        <w:rPr>
          <w:rFonts w:eastAsia="Times New Roman" w:cs="Calibri"/>
          <w:color w:val="000000"/>
          <w:sz w:val="20"/>
          <w:szCs w:val="20"/>
          <w:vertAlign w:val="superscript"/>
        </w:rPr>
        <w:t xml:space="preserve">a </w:t>
      </w:r>
      <w:r>
        <w:rPr>
          <w:rFonts w:eastAsia="Times New Roman" w:cs="Calibri"/>
          <w:color w:val="000000"/>
          <w:sz w:val="20"/>
          <w:szCs w:val="20"/>
        </w:rPr>
        <w:t>Proportion of patients who received a continuing authority approval for the same biologic or a different biologic</w:t>
      </w:r>
    </w:p>
    <w:p w14:paraId="7AF7FFB8" w14:textId="77777777" w:rsidR="00165C8D" w:rsidRDefault="00165C8D" w:rsidP="00165C8D">
      <w:pPr>
        <w:keepNext/>
        <w:keepLines/>
        <w:autoSpaceDE w:val="0"/>
        <w:autoSpaceDN w:val="0"/>
        <w:adjustRightInd w:val="0"/>
        <w:spacing w:after="0"/>
        <w:rPr>
          <w:rFonts w:eastAsia="Times New Roman" w:cs="Calibri"/>
          <w:color w:val="000000"/>
          <w:sz w:val="20"/>
          <w:szCs w:val="20"/>
        </w:rPr>
      </w:pPr>
      <w:r>
        <w:rPr>
          <w:rFonts w:eastAsia="Times New Roman" w:cs="Calibri"/>
          <w:color w:val="000000"/>
          <w:sz w:val="20"/>
          <w:szCs w:val="20"/>
          <w:vertAlign w:val="superscript"/>
        </w:rPr>
        <w:t>b</w:t>
      </w:r>
      <w:r w:rsidRPr="0085778C">
        <w:rPr>
          <w:rFonts w:eastAsia="Times New Roman" w:cs="Calibri"/>
          <w:color w:val="000000"/>
          <w:sz w:val="20"/>
          <w:szCs w:val="20"/>
          <w:vertAlign w:val="superscript"/>
        </w:rPr>
        <w:t xml:space="preserve"> </w:t>
      </w:r>
      <w:r>
        <w:rPr>
          <w:rFonts w:eastAsia="Times New Roman" w:cs="Calibri"/>
          <w:color w:val="000000"/>
          <w:sz w:val="20"/>
          <w:szCs w:val="20"/>
        </w:rPr>
        <w:t>Gordon (2012) Cohort D</w:t>
      </w:r>
    </w:p>
    <w:p w14:paraId="171A2245" w14:textId="77777777" w:rsidR="00165C8D" w:rsidRDefault="00165C8D" w:rsidP="00165C8D">
      <w:pPr>
        <w:keepNext/>
        <w:keepLines/>
        <w:autoSpaceDE w:val="0"/>
        <w:autoSpaceDN w:val="0"/>
        <w:adjustRightInd w:val="0"/>
        <w:spacing w:after="0"/>
        <w:rPr>
          <w:rFonts w:eastAsia="Times New Roman" w:cs="Calibri"/>
          <w:color w:val="000000"/>
          <w:sz w:val="20"/>
          <w:szCs w:val="20"/>
        </w:rPr>
      </w:pPr>
      <w:r>
        <w:rPr>
          <w:rFonts w:eastAsia="Times New Roman" w:cs="Calibri"/>
          <w:color w:val="000000"/>
          <w:sz w:val="20"/>
          <w:szCs w:val="20"/>
          <w:vertAlign w:val="superscript"/>
        </w:rPr>
        <w:t>c</w:t>
      </w:r>
      <w:r>
        <w:rPr>
          <w:rFonts w:eastAsia="Times New Roman" w:cs="Calibri"/>
          <w:color w:val="000000"/>
          <w:sz w:val="20"/>
          <w:szCs w:val="20"/>
        </w:rPr>
        <w:t xml:space="preserve"> Ashina (2010)</w:t>
      </w:r>
    </w:p>
    <w:p w14:paraId="60A15E3F" w14:textId="77777777" w:rsidR="00165C8D" w:rsidRDefault="00165C8D" w:rsidP="00165C8D">
      <w:pPr>
        <w:keepNext/>
        <w:keepLines/>
        <w:autoSpaceDE w:val="0"/>
        <w:autoSpaceDN w:val="0"/>
        <w:adjustRightInd w:val="0"/>
        <w:spacing w:after="0"/>
        <w:rPr>
          <w:rFonts w:eastAsia="Times New Roman" w:cs="Calibri"/>
          <w:color w:val="000000"/>
          <w:sz w:val="20"/>
          <w:szCs w:val="20"/>
        </w:rPr>
      </w:pPr>
      <w:r>
        <w:rPr>
          <w:rFonts w:eastAsia="Times New Roman" w:cs="Calibri"/>
          <w:color w:val="000000"/>
          <w:sz w:val="20"/>
          <w:szCs w:val="20"/>
          <w:vertAlign w:val="superscript"/>
        </w:rPr>
        <w:t xml:space="preserve">d </w:t>
      </w:r>
      <w:r>
        <w:rPr>
          <w:rFonts w:eastAsia="Times New Roman" w:cs="Calibri"/>
          <w:color w:val="000000"/>
          <w:sz w:val="20"/>
          <w:szCs w:val="20"/>
        </w:rPr>
        <w:t xml:space="preserve">Includes only adult patients </w:t>
      </w:r>
    </w:p>
    <w:p w14:paraId="29A98508" w14:textId="77777777" w:rsidR="00165C8D" w:rsidRPr="00C25CE4" w:rsidRDefault="00165C8D" w:rsidP="00165C8D">
      <w:pPr>
        <w:keepNext/>
        <w:keepLines/>
        <w:autoSpaceDE w:val="0"/>
        <w:autoSpaceDN w:val="0"/>
        <w:adjustRightInd w:val="0"/>
        <w:spacing w:after="0"/>
        <w:rPr>
          <w:rFonts w:eastAsia="Times New Roman" w:cs="Calibri"/>
          <w:color w:val="000000"/>
          <w:sz w:val="20"/>
          <w:szCs w:val="20"/>
        </w:rPr>
      </w:pPr>
      <w:r>
        <w:rPr>
          <w:rFonts w:eastAsia="Times New Roman" w:cs="Calibri"/>
          <w:color w:val="000000"/>
          <w:sz w:val="20"/>
          <w:szCs w:val="20"/>
          <w:vertAlign w:val="superscript"/>
        </w:rPr>
        <w:t xml:space="preserve">e </w:t>
      </w:r>
      <w:r w:rsidRPr="0085778C">
        <w:rPr>
          <w:rFonts w:eastAsia="Times New Roman" w:cs="Calibri"/>
          <w:color w:val="000000"/>
          <w:sz w:val="20"/>
          <w:szCs w:val="20"/>
        </w:rPr>
        <w:t>Leonardi (2003) and PRESTA trial</w:t>
      </w:r>
    </w:p>
    <w:p w14:paraId="67615E31" w14:textId="77777777" w:rsidR="00165C8D" w:rsidRPr="0085778C" w:rsidRDefault="00165C8D" w:rsidP="00165C8D">
      <w:pPr>
        <w:keepNext/>
        <w:keepLines/>
        <w:autoSpaceDE w:val="0"/>
        <w:autoSpaceDN w:val="0"/>
        <w:adjustRightInd w:val="0"/>
        <w:spacing w:after="0"/>
        <w:rPr>
          <w:rFonts w:eastAsia="Times New Roman" w:cs="Calibri"/>
          <w:color w:val="000000"/>
          <w:sz w:val="20"/>
          <w:szCs w:val="20"/>
        </w:rPr>
      </w:pPr>
      <w:r>
        <w:rPr>
          <w:rFonts w:eastAsia="Times New Roman" w:cs="Calibri"/>
          <w:color w:val="000000"/>
          <w:sz w:val="20"/>
          <w:szCs w:val="20"/>
          <w:vertAlign w:val="superscript"/>
        </w:rPr>
        <w:t>f</w:t>
      </w:r>
      <w:r w:rsidRPr="0085778C">
        <w:rPr>
          <w:rFonts w:eastAsia="Times New Roman" w:cs="Calibri"/>
          <w:color w:val="000000"/>
          <w:sz w:val="20"/>
          <w:szCs w:val="20"/>
          <w:vertAlign w:val="superscript"/>
        </w:rPr>
        <w:t xml:space="preserve"> </w:t>
      </w:r>
      <w:r w:rsidRPr="0085778C">
        <w:rPr>
          <w:rFonts w:eastAsia="Times New Roman" w:cs="Calibri"/>
          <w:color w:val="000000"/>
          <w:sz w:val="20"/>
          <w:szCs w:val="20"/>
        </w:rPr>
        <w:t>EXPRESS and RESTORE trials</w:t>
      </w:r>
      <w:r w:rsidRPr="0085778C" w:rsidDel="008B4AED">
        <w:rPr>
          <w:rFonts w:eastAsia="Times New Roman" w:cs="Calibri"/>
          <w:color w:val="000000"/>
          <w:sz w:val="20"/>
          <w:szCs w:val="20"/>
        </w:rPr>
        <w:t xml:space="preserve"> </w:t>
      </w:r>
    </w:p>
    <w:p w14:paraId="1D677949" w14:textId="77777777" w:rsidR="00165C8D" w:rsidRPr="0085778C" w:rsidRDefault="00165C8D" w:rsidP="00165C8D">
      <w:pPr>
        <w:keepNext/>
        <w:keepLines/>
        <w:autoSpaceDE w:val="0"/>
        <w:autoSpaceDN w:val="0"/>
        <w:adjustRightInd w:val="0"/>
        <w:spacing w:after="0"/>
        <w:rPr>
          <w:rFonts w:eastAsia="Times New Roman" w:cs="Calibri"/>
          <w:color w:val="000000"/>
          <w:sz w:val="20"/>
          <w:szCs w:val="20"/>
        </w:rPr>
      </w:pPr>
      <w:r>
        <w:rPr>
          <w:rFonts w:eastAsia="Times New Roman" w:cs="Calibri"/>
          <w:color w:val="000000"/>
          <w:sz w:val="20"/>
          <w:szCs w:val="20"/>
          <w:vertAlign w:val="superscript"/>
        </w:rPr>
        <w:t>g</w:t>
      </w:r>
      <w:r w:rsidRPr="0085778C">
        <w:rPr>
          <w:rFonts w:eastAsia="Times New Roman" w:cs="Calibri"/>
          <w:color w:val="000000"/>
          <w:sz w:val="20"/>
          <w:szCs w:val="20"/>
          <w:vertAlign w:val="superscript"/>
        </w:rPr>
        <w:t xml:space="preserve"> </w:t>
      </w:r>
      <w:r w:rsidRPr="0085778C">
        <w:rPr>
          <w:rFonts w:eastAsia="Times New Roman" w:cs="Calibri"/>
          <w:color w:val="000000"/>
          <w:sz w:val="20"/>
          <w:szCs w:val="20"/>
        </w:rPr>
        <w:t>Menter (2007) (5mg/kg every 8 weeks dosing)</w:t>
      </w:r>
    </w:p>
    <w:p w14:paraId="25A4A62F" w14:textId="2154B281" w:rsidR="00165C8D" w:rsidRDefault="00165C8D" w:rsidP="00165C8D">
      <w:pPr>
        <w:keepNext/>
        <w:keepLines/>
        <w:autoSpaceDE w:val="0"/>
        <w:autoSpaceDN w:val="0"/>
        <w:adjustRightInd w:val="0"/>
        <w:spacing w:after="0"/>
        <w:rPr>
          <w:rFonts w:eastAsia="Times New Roman" w:cs="Calibri"/>
          <w:color w:val="000000"/>
          <w:sz w:val="20"/>
          <w:szCs w:val="20"/>
        </w:rPr>
      </w:pPr>
      <w:r>
        <w:rPr>
          <w:rFonts w:eastAsia="Times New Roman" w:cs="Calibri"/>
          <w:color w:val="000000"/>
          <w:sz w:val="20"/>
          <w:szCs w:val="20"/>
          <w:vertAlign w:val="superscript"/>
        </w:rPr>
        <w:t>h</w:t>
      </w:r>
      <w:r w:rsidRPr="0085778C">
        <w:rPr>
          <w:rFonts w:eastAsia="Times New Roman" w:cs="Calibri"/>
          <w:color w:val="000000"/>
          <w:sz w:val="20"/>
          <w:szCs w:val="20"/>
          <w:vertAlign w:val="superscript"/>
        </w:rPr>
        <w:t xml:space="preserve"> </w:t>
      </w:r>
      <w:r w:rsidRPr="0085778C">
        <w:rPr>
          <w:rFonts w:eastAsia="Times New Roman" w:cs="Calibri"/>
          <w:color w:val="000000"/>
          <w:sz w:val="20"/>
          <w:szCs w:val="20"/>
        </w:rPr>
        <w:t>Kimball (2012)</w:t>
      </w:r>
    </w:p>
    <w:p w14:paraId="4950BEED" w14:textId="77777777" w:rsidR="00073353" w:rsidRDefault="00073353" w:rsidP="00165C8D">
      <w:pPr>
        <w:keepNext/>
        <w:keepLines/>
        <w:autoSpaceDE w:val="0"/>
        <w:autoSpaceDN w:val="0"/>
        <w:adjustRightInd w:val="0"/>
        <w:spacing w:after="0"/>
        <w:rPr>
          <w:rFonts w:eastAsia="Times New Roman" w:cs="Calibri"/>
          <w:color w:val="000000"/>
          <w:sz w:val="20"/>
          <w:szCs w:val="20"/>
        </w:rPr>
      </w:pPr>
    </w:p>
    <w:p w14:paraId="5AAEBCD8" w14:textId="77777777" w:rsidR="002C1F79" w:rsidRPr="008B2137" w:rsidRDefault="00881C7E" w:rsidP="00881C7E">
      <w:pPr>
        <w:pStyle w:val="MDSubsubheding"/>
      </w:pPr>
      <w:bookmarkStart w:id="114" w:name="_Toc503274980"/>
      <w:r>
        <w:t>Treatment breaks/holidays</w:t>
      </w:r>
      <w:bookmarkEnd w:id="114"/>
    </w:p>
    <w:p w14:paraId="7C8F9444" w14:textId="77777777" w:rsidR="002A6B78" w:rsidRPr="00FE1642" w:rsidRDefault="002A6B78" w:rsidP="00A77877">
      <w:pPr>
        <w:pStyle w:val="ToRText"/>
      </w:pPr>
      <w:r w:rsidRPr="00FE1642">
        <w:t>Q5.</w:t>
      </w:r>
      <w:r w:rsidRPr="00FE1642">
        <w:tab/>
        <w:t xml:space="preserve">Report on breaks in biologic medicine coverage that could be considered treatment holidays or discontinuation due to sustained remission of the disease. </w:t>
      </w:r>
    </w:p>
    <w:p w14:paraId="2B37E0D4" w14:textId="77777777" w:rsidR="002A6B78" w:rsidRDefault="00356F55" w:rsidP="00A77877">
      <w:r>
        <w:t>The f</w:t>
      </w:r>
      <w:r w:rsidR="00470C5B" w:rsidRPr="00FE1642">
        <w:t xml:space="preserve">requency of treatment holidays from biologic medicines </w:t>
      </w:r>
      <w:r>
        <w:t>was</w:t>
      </w:r>
      <w:r w:rsidR="00470C5B" w:rsidRPr="00FE1642">
        <w:t xml:space="preserve"> rare, with only 5% of biologic naïve patients having had treatment holidays during the </w:t>
      </w:r>
      <w:r w:rsidRPr="00FE1642">
        <w:t>18-month</w:t>
      </w:r>
      <w:r w:rsidR="00470C5B" w:rsidRPr="00FE1642">
        <w:t xml:space="preserve"> follow-up period</w:t>
      </w:r>
      <w:r>
        <w:t xml:space="preserve"> in the prescription data</w:t>
      </w:r>
      <w:r w:rsidR="00470C5B" w:rsidRPr="00FE1642">
        <w:t>.</w:t>
      </w:r>
      <w:r w:rsidR="008B2137">
        <w:rPr>
          <w:bCs/>
        </w:rPr>
        <w:t xml:space="preserve"> </w:t>
      </w:r>
      <w:r w:rsidR="002824AA" w:rsidRPr="00FE1642">
        <w:t>The PBS prescription data does not contain clinical information about the reason</w:t>
      </w:r>
      <w:r w:rsidR="00F66746" w:rsidRPr="00FE1642">
        <w:t xml:space="preserve"> a patient discontinues or recommences treatment. Therefore, i</w:t>
      </w:r>
      <w:r w:rsidR="002824AA" w:rsidRPr="00FE1642">
        <w:t>t was not possible</w:t>
      </w:r>
      <w:r>
        <w:t>, from the data,</w:t>
      </w:r>
      <w:r w:rsidR="002824AA" w:rsidRPr="00FE1642">
        <w:t xml:space="preserve"> to determine why patients had taken a treatment holiday. Treatment holidays could be due to sustained remission of CPP, drug toxicity or other reasons</w:t>
      </w:r>
      <w:r w:rsidR="00881C7E">
        <w:t>.</w:t>
      </w:r>
    </w:p>
    <w:p w14:paraId="19B8DCB1" w14:textId="77777777" w:rsidR="00881C7E" w:rsidRPr="001A3CAE" w:rsidRDefault="00881C7E" w:rsidP="00165C8D">
      <w:pPr>
        <w:pStyle w:val="MDSubsubheding"/>
      </w:pPr>
      <w:bookmarkStart w:id="115" w:name="_Toc503274981"/>
      <w:r>
        <w:lastRenderedPageBreak/>
        <w:t>Treatment switching</w:t>
      </w:r>
      <w:bookmarkEnd w:id="115"/>
    </w:p>
    <w:p w14:paraId="63F72433" w14:textId="5D380CE6" w:rsidR="002A6B78" w:rsidRPr="00FE1642" w:rsidRDefault="002A6B78" w:rsidP="00165C8D">
      <w:pPr>
        <w:pStyle w:val="ToRText"/>
        <w:keepNext/>
        <w:keepLines/>
      </w:pPr>
      <w:r w:rsidRPr="00FE1642">
        <w:t>Q6.</w:t>
      </w:r>
      <w:r w:rsidRPr="00FE1642">
        <w:tab/>
        <w:t>Examine the rate individual patients switch between biologics for the treatment of CPP</w:t>
      </w:r>
      <w:r w:rsidR="00D17B0D">
        <w:t>.</w:t>
      </w:r>
    </w:p>
    <w:p w14:paraId="1B34B7AF" w14:textId="087BA206" w:rsidR="002A6B78" w:rsidRDefault="00795D8D" w:rsidP="00165C8D">
      <w:pPr>
        <w:keepNext/>
        <w:keepLines/>
      </w:pPr>
      <w:r w:rsidRPr="00FE1642">
        <w:t xml:space="preserve">Patients who initiated biologics with adalimumab and etanercept had higher rates of switching </w:t>
      </w:r>
      <w:r w:rsidR="00356F55">
        <w:t xml:space="preserve">to other biologics </w:t>
      </w:r>
      <w:r w:rsidRPr="00FE1642">
        <w:t xml:space="preserve">and lower rates of persistence than patients who initiated biologics with infliximab and ustekinumab. Of biologic </w:t>
      </w:r>
      <w:r w:rsidR="00356F55">
        <w:t>naïve</w:t>
      </w:r>
      <w:r w:rsidRPr="00FE1642">
        <w:t xml:space="preserve"> patients who switch</w:t>
      </w:r>
      <w:r w:rsidR="00073353">
        <w:t>ed</w:t>
      </w:r>
      <w:r w:rsidRPr="00FE1642">
        <w:t xml:space="preserve"> biologics, most switch</w:t>
      </w:r>
      <w:r w:rsidR="00356F55">
        <w:t>ed</w:t>
      </w:r>
      <w:r w:rsidRPr="00FE1642">
        <w:t xml:space="preserve"> to secukinumab or ustekinumab</w:t>
      </w:r>
      <w:r w:rsidR="00881C7E">
        <w:t xml:space="preserve"> (</w:t>
      </w:r>
      <w:r w:rsidR="00CB29D0">
        <w:t>Table ES.</w:t>
      </w:r>
      <w:r w:rsidR="00CB29D0">
        <w:rPr>
          <w:noProof/>
        </w:rPr>
        <w:t>23</w:t>
      </w:r>
      <w:r w:rsidR="00881C7E">
        <w:t>)</w:t>
      </w:r>
      <w:r w:rsidRPr="00FE1642">
        <w:t>.</w:t>
      </w:r>
    </w:p>
    <w:p w14:paraId="5077716A" w14:textId="77777777" w:rsidR="00881C7E" w:rsidRDefault="00A75F73" w:rsidP="008D4D9D">
      <w:pPr>
        <w:pStyle w:val="MDTabCaption"/>
        <w:keepLines/>
      </w:pPr>
      <w:bookmarkStart w:id="116" w:name="_Ref492996192"/>
      <w:bookmarkStart w:id="117" w:name="_Toc503275013"/>
      <w:r>
        <w:t>Table ES.</w:t>
      </w:r>
      <w:r w:rsidR="00CB29D0">
        <w:rPr>
          <w:noProof/>
        </w:rPr>
        <w:t>23</w:t>
      </w:r>
      <w:bookmarkEnd w:id="116"/>
      <w:r w:rsidR="00881C7E">
        <w:t xml:space="preserve">: </w:t>
      </w:r>
      <w:r w:rsidR="00881C7E" w:rsidRPr="005A6D02">
        <w:t>Most common biologic sequenc</w:t>
      </w:r>
      <w:r w:rsidR="00881C7E">
        <w:t>es for CPP</w:t>
      </w:r>
      <w:bookmarkEnd w:id="117"/>
    </w:p>
    <w:tbl>
      <w:tblPr>
        <w:tblStyle w:val="TableGrid"/>
        <w:tblW w:w="8849" w:type="dxa"/>
        <w:tblLook w:val="04A0" w:firstRow="1" w:lastRow="0" w:firstColumn="1" w:lastColumn="0" w:noHBand="0" w:noVBand="1"/>
        <w:tblCaption w:val="Most common biologic sequences for CPP"/>
      </w:tblPr>
      <w:tblGrid>
        <w:gridCol w:w="817"/>
        <w:gridCol w:w="6597"/>
        <w:gridCol w:w="1435"/>
      </w:tblGrid>
      <w:tr w:rsidR="00881C7E" w:rsidRPr="004A41C7" w14:paraId="5956A56F" w14:textId="77777777" w:rsidTr="00123BF4">
        <w:trPr>
          <w:trHeight w:val="314"/>
          <w:tblHeader/>
        </w:trPr>
        <w:tc>
          <w:tcPr>
            <w:tcW w:w="817" w:type="dxa"/>
            <w:shd w:val="clear" w:color="auto" w:fill="BFBFBF" w:themeFill="background1" w:themeFillShade="BF"/>
          </w:tcPr>
          <w:p w14:paraId="1146DC3B" w14:textId="77777777" w:rsidR="00881C7E" w:rsidRPr="005A6D02" w:rsidRDefault="00881C7E" w:rsidP="00123BF4">
            <w:pPr>
              <w:pStyle w:val="TableTextDusc"/>
              <w:keepNext/>
              <w:keepLines/>
              <w:jc w:val="center"/>
              <w:rPr>
                <w:b/>
              </w:rPr>
            </w:pPr>
            <w:r w:rsidRPr="00C81BE1">
              <w:rPr>
                <w:b/>
              </w:rPr>
              <w:t>Rank</w:t>
            </w:r>
          </w:p>
        </w:tc>
        <w:tc>
          <w:tcPr>
            <w:tcW w:w="6597" w:type="dxa"/>
            <w:shd w:val="clear" w:color="auto" w:fill="BFBFBF" w:themeFill="background1" w:themeFillShade="BF"/>
          </w:tcPr>
          <w:p w14:paraId="667B8C69" w14:textId="77777777" w:rsidR="00881C7E" w:rsidRPr="005A6D02" w:rsidRDefault="00881C7E" w:rsidP="00123BF4">
            <w:pPr>
              <w:pStyle w:val="TableTextDusc"/>
              <w:keepNext/>
              <w:keepLines/>
              <w:rPr>
                <w:b/>
              </w:rPr>
            </w:pPr>
            <w:r w:rsidRPr="005A6D02">
              <w:rPr>
                <w:b/>
              </w:rPr>
              <w:t xml:space="preserve">Biologic Sequence </w:t>
            </w:r>
          </w:p>
        </w:tc>
        <w:tc>
          <w:tcPr>
            <w:tcW w:w="1435" w:type="dxa"/>
            <w:shd w:val="clear" w:color="auto" w:fill="BFBFBF" w:themeFill="background1" w:themeFillShade="BF"/>
          </w:tcPr>
          <w:p w14:paraId="2CC69534" w14:textId="77777777" w:rsidR="00881C7E" w:rsidRPr="00C81BE1" w:rsidRDefault="00881C7E" w:rsidP="00123BF4">
            <w:pPr>
              <w:pStyle w:val="TableTextDusc"/>
              <w:keepNext/>
              <w:keepLines/>
              <w:rPr>
                <w:b/>
              </w:rPr>
            </w:pPr>
            <w:r>
              <w:rPr>
                <w:b/>
              </w:rPr>
              <w:t>n</w:t>
            </w:r>
            <w:r w:rsidRPr="00C81BE1">
              <w:rPr>
                <w:b/>
              </w:rPr>
              <w:t xml:space="preserve"> (%)</w:t>
            </w:r>
          </w:p>
        </w:tc>
      </w:tr>
      <w:tr w:rsidR="00881C7E" w:rsidRPr="004A41C7" w14:paraId="6DD52111" w14:textId="77777777" w:rsidTr="00123BF4">
        <w:trPr>
          <w:trHeight w:val="323"/>
        </w:trPr>
        <w:tc>
          <w:tcPr>
            <w:tcW w:w="817" w:type="dxa"/>
          </w:tcPr>
          <w:p w14:paraId="6C158058" w14:textId="77777777" w:rsidR="00881C7E" w:rsidRPr="00245AA8" w:rsidRDefault="00881C7E" w:rsidP="00123BF4">
            <w:pPr>
              <w:pStyle w:val="TableTextDusc"/>
              <w:keepNext/>
              <w:keepLines/>
              <w:jc w:val="center"/>
              <w:rPr>
                <w:rFonts w:eastAsia="Times New Roman" w:cs="Times New Roman"/>
                <w:color w:val="000000"/>
              </w:rPr>
            </w:pPr>
            <w:r>
              <w:t>1</w:t>
            </w:r>
          </w:p>
        </w:tc>
        <w:tc>
          <w:tcPr>
            <w:tcW w:w="6597" w:type="dxa"/>
          </w:tcPr>
          <w:p w14:paraId="0FE994D3" w14:textId="77777777" w:rsidR="00881C7E" w:rsidRPr="00C910CB" w:rsidRDefault="00881C7E" w:rsidP="00123BF4">
            <w:pPr>
              <w:pStyle w:val="TableTextDusc"/>
              <w:keepNext/>
              <w:keepLines/>
            </w:pPr>
            <w:r w:rsidRPr="00245AA8">
              <w:rPr>
                <w:rFonts w:eastAsia="Times New Roman" w:cs="Times New Roman"/>
                <w:color w:val="000000"/>
              </w:rPr>
              <w:t>Ustekinumab</w:t>
            </w:r>
            <w:r w:rsidRPr="00794060">
              <w:t xml:space="preserve"> only</w:t>
            </w:r>
          </w:p>
        </w:tc>
        <w:tc>
          <w:tcPr>
            <w:tcW w:w="1435" w:type="dxa"/>
          </w:tcPr>
          <w:p w14:paraId="0EFF2903" w14:textId="77777777" w:rsidR="00881C7E" w:rsidRPr="00C910CB" w:rsidRDefault="00881C7E" w:rsidP="00123BF4">
            <w:pPr>
              <w:pStyle w:val="TableTextDusc"/>
              <w:keepNext/>
              <w:keepLines/>
            </w:pPr>
            <w:r w:rsidRPr="00794060">
              <w:t>378</w:t>
            </w:r>
            <w:r>
              <w:t xml:space="preserve"> (49%)</w:t>
            </w:r>
          </w:p>
        </w:tc>
      </w:tr>
      <w:tr w:rsidR="00881C7E" w:rsidRPr="004A41C7" w14:paraId="3221F3DF" w14:textId="77777777" w:rsidTr="00123BF4">
        <w:trPr>
          <w:trHeight w:val="314"/>
        </w:trPr>
        <w:tc>
          <w:tcPr>
            <w:tcW w:w="817" w:type="dxa"/>
          </w:tcPr>
          <w:p w14:paraId="2462863C" w14:textId="77777777" w:rsidR="00881C7E" w:rsidRDefault="00881C7E" w:rsidP="00123BF4">
            <w:pPr>
              <w:pStyle w:val="TableTextDusc"/>
              <w:keepNext/>
              <w:keepLines/>
              <w:jc w:val="center"/>
              <w:rPr>
                <w:color w:val="000000"/>
              </w:rPr>
            </w:pPr>
            <w:r>
              <w:t>2</w:t>
            </w:r>
          </w:p>
        </w:tc>
        <w:tc>
          <w:tcPr>
            <w:tcW w:w="6597" w:type="dxa"/>
          </w:tcPr>
          <w:p w14:paraId="72C4656A" w14:textId="77777777" w:rsidR="00881C7E" w:rsidRPr="00C910CB" w:rsidRDefault="00881C7E" w:rsidP="00123BF4">
            <w:pPr>
              <w:pStyle w:val="TableTextDusc"/>
              <w:keepNext/>
              <w:keepLines/>
            </w:pPr>
            <w:r>
              <w:rPr>
                <w:color w:val="000000"/>
              </w:rPr>
              <w:t>Adalimumab</w:t>
            </w:r>
            <w:r w:rsidRPr="00794060">
              <w:t xml:space="preserve"> only</w:t>
            </w:r>
          </w:p>
        </w:tc>
        <w:tc>
          <w:tcPr>
            <w:tcW w:w="1435" w:type="dxa"/>
          </w:tcPr>
          <w:p w14:paraId="7373877E" w14:textId="77777777" w:rsidR="00881C7E" w:rsidRPr="00C910CB" w:rsidRDefault="00881C7E" w:rsidP="00123BF4">
            <w:pPr>
              <w:pStyle w:val="TableTextDusc"/>
              <w:keepNext/>
              <w:keepLines/>
            </w:pPr>
            <w:r w:rsidRPr="00794060">
              <w:t>154</w:t>
            </w:r>
            <w:r>
              <w:t xml:space="preserve"> (20%)</w:t>
            </w:r>
          </w:p>
        </w:tc>
      </w:tr>
      <w:tr w:rsidR="00881C7E" w:rsidRPr="004A41C7" w14:paraId="25B912F4" w14:textId="77777777" w:rsidTr="00123BF4">
        <w:trPr>
          <w:trHeight w:val="323"/>
        </w:trPr>
        <w:tc>
          <w:tcPr>
            <w:tcW w:w="817" w:type="dxa"/>
          </w:tcPr>
          <w:p w14:paraId="5B9578AB" w14:textId="77777777" w:rsidR="00881C7E" w:rsidRPr="00245AA8" w:rsidRDefault="00881C7E" w:rsidP="00123BF4">
            <w:pPr>
              <w:pStyle w:val="TableTextDusc"/>
              <w:keepNext/>
              <w:keepLines/>
              <w:jc w:val="center"/>
              <w:rPr>
                <w:color w:val="000000"/>
              </w:rPr>
            </w:pPr>
            <w:r>
              <w:t>3</w:t>
            </w:r>
          </w:p>
        </w:tc>
        <w:tc>
          <w:tcPr>
            <w:tcW w:w="6597" w:type="dxa"/>
          </w:tcPr>
          <w:p w14:paraId="10431CFA" w14:textId="77777777" w:rsidR="00881C7E" w:rsidRPr="00C910CB" w:rsidRDefault="00881C7E" w:rsidP="00123BF4">
            <w:pPr>
              <w:pStyle w:val="TableTextDusc"/>
              <w:keepNext/>
              <w:keepLines/>
            </w:pPr>
            <w:r w:rsidRPr="00245AA8">
              <w:rPr>
                <w:color w:val="000000"/>
              </w:rPr>
              <w:t>Etanercept</w:t>
            </w:r>
            <w:r w:rsidRPr="00794060">
              <w:t xml:space="preserve"> only</w:t>
            </w:r>
          </w:p>
        </w:tc>
        <w:tc>
          <w:tcPr>
            <w:tcW w:w="1435" w:type="dxa"/>
          </w:tcPr>
          <w:p w14:paraId="79BB6906" w14:textId="77777777" w:rsidR="00881C7E" w:rsidRPr="00C910CB" w:rsidRDefault="00881C7E" w:rsidP="00123BF4">
            <w:pPr>
              <w:pStyle w:val="TableTextDusc"/>
              <w:keepNext/>
              <w:keepLines/>
            </w:pPr>
            <w:r w:rsidRPr="00794060">
              <w:t>65</w:t>
            </w:r>
            <w:r>
              <w:t xml:space="preserve"> (8%)</w:t>
            </w:r>
          </w:p>
        </w:tc>
      </w:tr>
      <w:tr w:rsidR="00881C7E" w:rsidRPr="004A41C7" w14:paraId="4AB0000C" w14:textId="77777777" w:rsidTr="00123BF4">
        <w:trPr>
          <w:trHeight w:val="314"/>
        </w:trPr>
        <w:tc>
          <w:tcPr>
            <w:tcW w:w="817" w:type="dxa"/>
          </w:tcPr>
          <w:p w14:paraId="4818D336" w14:textId="77777777" w:rsidR="00881C7E" w:rsidRPr="00245AA8" w:rsidRDefault="00881C7E" w:rsidP="00123BF4">
            <w:pPr>
              <w:pStyle w:val="TableTextDusc"/>
              <w:keepNext/>
              <w:keepLines/>
              <w:jc w:val="center"/>
              <w:rPr>
                <w:rFonts w:eastAsia="Times New Roman" w:cs="Times New Roman"/>
                <w:color w:val="000000"/>
              </w:rPr>
            </w:pPr>
            <w:r>
              <w:t>4</w:t>
            </w:r>
          </w:p>
        </w:tc>
        <w:tc>
          <w:tcPr>
            <w:tcW w:w="6597" w:type="dxa"/>
          </w:tcPr>
          <w:p w14:paraId="7B6B9DC6" w14:textId="77777777" w:rsidR="00881C7E" w:rsidRPr="00C910CB" w:rsidRDefault="00881C7E" w:rsidP="00123BF4">
            <w:pPr>
              <w:pStyle w:val="TableTextDusc"/>
              <w:keepNext/>
              <w:keepLines/>
            </w:pPr>
            <w:r w:rsidRPr="00245AA8">
              <w:rPr>
                <w:rFonts w:eastAsia="Times New Roman" w:cs="Times New Roman"/>
                <w:color w:val="000000"/>
              </w:rPr>
              <w:t>Ustekinumab</w:t>
            </w:r>
            <w:r w:rsidRPr="00794060">
              <w:t xml:space="preserve"> -&gt; </w:t>
            </w:r>
            <w:r w:rsidRPr="00245AA8">
              <w:rPr>
                <w:rFonts w:eastAsia="Times New Roman" w:cs="Times New Roman"/>
                <w:color w:val="000000"/>
              </w:rPr>
              <w:t>Secukinumab</w:t>
            </w:r>
          </w:p>
        </w:tc>
        <w:tc>
          <w:tcPr>
            <w:tcW w:w="1435" w:type="dxa"/>
          </w:tcPr>
          <w:p w14:paraId="6A90A8FE" w14:textId="77777777" w:rsidR="00881C7E" w:rsidRPr="00C910CB" w:rsidRDefault="00881C7E" w:rsidP="00123BF4">
            <w:pPr>
              <w:pStyle w:val="TableTextDusc"/>
              <w:keepNext/>
              <w:keepLines/>
            </w:pPr>
            <w:r w:rsidRPr="00794060">
              <w:t>53</w:t>
            </w:r>
            <w:r>
              <w:t xml:space="preserve"> (7%)</w:t>
            </w:r>
          </w:p>
        </w:tc>
      </w:tr>
      <w:tr w:rsidR="00881C7E" w:rsidRPr="004A41C7" w14:paraId="3F5F1E02" w14:textId="77777777" w:rsidTr="00123BF4">
        <w:trPr>
          <w:trHeight w:val="314"/>
        </w:trPr>
        <w:tc>
          <w:tcPr>
            <w:tcW w:w="817" w:type="dxa"/>
          </w:tcPr>
          <w:p w14:paraId="5CFEBC27" w14:textId="77777777" w:rsidR="00881C7E" w:rsidRDefault="00881C7E" w:rsidP="00123BF4">
            <w:pPr>
              <w:pStyle w:val="TableTextDusc"/>
              <w:keepNext/>
              <w:keepLines/>
              <w:jc w:val="center"/>
              <w:rPr>
                <w:color w:val="000000"/>
              </w:rPr>
            </w:pPr>
            <w:r>
              <w:t>5</w:t>
            </w:r>
          </w:p>
        </w:tc>
        <w:tc>
          <w:tcPr>
            <w:tcW w:w="6597" w:type="dxa"/>
          </w:tcPr>
          <w:p w14:paraId="3384FE4F" w14:textId="77777777" w:rsidR="00881C7E" w:rsidRPr="00C910CB" w:rsidRDefault="00881C7E" w:rsidP="00123BF4">
            <w:pPr>
              <w:pStyle w:val="TableTextDusc"/>
              <w:keepNext/>
              <w:keepLines/>
            </w:pPr>
            <w:r>
              <w:rPr>
                <w:color w:val="000000"/>
              </w:rPr>
              <w:t>Adalimumab</w:t>
            </w:r>
            <w:r w:rsidRPr="00794060">
              <w:t xml:space="preserve"> -&gt; </w:t>
            </w:r>
            <w:r w:rsidRPr="00245AA8">
              <w:rPr>
                <w:rFonts w:eastAsia="Times New Roman" w:cs="Times New Roman"/>
                <w:color w:val="000000"/>
              </w:rPr>
              <w:t>Ustekinumab</w:t>
            </w:r>
          </w:p>
        </w:tc>
        <w:tc>
          <w:tcPr>
            <w:tcW w:w="1435" w:type="dxa"/>
          </w:tcPr>
          <w:p w14:paraId="101CE3E2" w14:textId="77777777" w:rsidR="00881C7E" w:rsidRPr="00C910CB" w:rsidRDefault="00881C7E" w:rsidP="00123BF4">
            <w:pPr>
              <w:pStyle w:val="TableTextDusc"/>
              <w:keepNext/>
              <w:keepLines/>
            </w:pPr>
            <w:r w:rsidRPr="00794060">
              <w:t>42</w:t>
            </w:r>
            <w:r>
              <w:t xml:space="preserve"> (5%)</w:t>
            </w:r>
          </w:p>
        </w:tc>
      </w:tr>
      <w:tr w:rsidR="00881C7E" w:rsidRPr="004A41C7" w14:paraId="3D8E770F" w14:textId="77777777" w:rsidTr="00123BF4">
        <w:trPr>
          <w:trHeight w:val="323"/>
        </w:trPr>
        <w:tc>
          <w:tcPr>
            <w:tcW w:w="817" w:type="dxa"/>
          </w:tcPr>
          <w:p w14:paraId="3F0F0273" w14:textId="77777777" w:rsidR="00881C7E" w:rsidRDefault="00881C7E" w:rsidP="00123BF4">
            <w:pPr>
              <w:pStyle w:val="TableTextDusc"/>
              <w:keepNext/>
              <w:keepLines/>
              <w:jc w:val="center"/>
              <w:rPr>
                <w:color w:val="000000"/>
              </w:rPr>
            </w:pPr>
            <w:r>
              <w:t>6</w:t>
            </w:r>
          </w:p>
        </w:tc>
        <w:tc>
          <w:tcPr>
            <w:tcW w:w="6597" w:type="dxa"/>
          </w:tcPr>
          <w:p w14:paraId="3DDDD9CF" w14:textId="77777777" w:rsidR="00881C7E" w:rsidRPr="00C910CB" w:rsidRDefault="00881C7E" w:rsidP="00123BF4">
            <w:pPr>
              <w:pStyle w:val="TableTextDusc"/>
              <w:keepNext/>
              <w:keepLines/>
            </w:pPr>
            <w:r>
              <w:rPr>
                <w:color w:val="000000"/>
              </w:rPr>
              <w:t>Adalimumab</w:t>
            </w:r>
            <w:r w:rsidRPr="00794060">
              <w:t xml:space="preserve"> -&gt; </w:t>
            </w:r>
            <w:r w:rsidRPr="00245AA8">
              <w:rPr>
                <w:rFonts w:eastAsia="Times New Roman" w:cs="Times New Roman"/>
                <w:color w:val="000000"/>
              </w:rPr>
              <w:t>Secukinumab</w:t>
            </w:r>
          </w:p>
        </w:tc>
        <w:tc>
          <w:tcPr>
            <w:tcW w:w="1435" w:type="dxa"/>
          </w:tcPr>
          <w:p w14:paraId="02F9A07C" w14:textId="77777777" w:rsidR="00881C7E" w:rsidRPr="00C910CB" w:rsidRDefault="00881C7E" w:rsidP="00123BF4">
            <w:pPr>
              <w:pStyle w:val="TableTextDusc"/>
              <w:keepNext/>
              <w:keepLines/>
            </w:pPr>
            <w:r w:rsidRPr="00794060">
              <w:t>27</w:t>
            </w:r>
            <w:r>
              <w:t xml:space="preserve"> (3%)</w:t>
            </w:r>
          </w:p>
        </w:tc>
      </w:tr>
      <w:tr w:rsidR="00881C7E" w:rsidRPr="004A41C7" w14:paraId="55B9C030" w14:textId="77777777" w:rsidTr="00123BF4">
        <w:trPr>
          <w:trHeight w:val="323"/>
        </w:trPr>
        <w:tc>
          <w:tcPr>
            <w:tcW w:w="817" w:type="dxa"/>
          </w:tcPr>
          <w:p w14:paraId="1D7A5544" w14:textId="77777777" w:rsidR="00881C7E" w:rsidRPr="00794060" w:rsidRDefault="00881C7E" w:rsidP="00123BF4">
            <w:pPr>
              <w:pStyle w:val="TableTextDusc"/>
              <w:keepNext/>
              <w:keepLines/>
              <w:jc w:val="center"/>
            </w:pPr>
            <w:r>
              <w:t>7</w:t>
            </w:r>
          </w:p>
        </w:tc>
        <w:tc>
          <w:tcPr>
            <w:tcW w:w="6597" w:type="dxa"/>
          </w:tcPr>
          <w:p w14:paraId="7925E1E0" w14:textId="77777777" w:rsidR="00881C7E" w:rsidRPr="00C910CB" w:rsidRDefault="00881C7E" w:rsidP="00123BF4">
            <w:pPr>
              <w:pStyle w:val="TableTextDusc"/>
              <w:keepNext/>
              <w:keepLines/>
            </w:pPr>
            <w:r w:rsidRPr="00794060">
              <w:t>Any 3 biologics</w:t>
            </w:r>
          </w:p>
        </w:tc>
        <w:tc>
          <w:tcPr>
            <w:tcW w:w="1435" w:type="dxa"/>
          </w:tcPr>
          <w:p w14:paraId="3D5735DA" w14:textId="77777777" w:rsidR="00881C7E" w:rsidRPr="00C910CB" w:rsidRDefault="00881C7E" w:rsidP="00123BF4">
            <w:pPr>
              <w:pStyle w:val="TableTextDusc"/>
              <w:keepNext/>
              <w:keepLines/>
            </w:pPr>
            <w:r w:rsidRPr="00794060">
              <w:t>20</w:t>
            </w:r>
            <w:r>
              <w:t xml:space="preserve"> (3%)</w:t>
            </w:r>
          </w:p>
        </w:tc>
      </w:tr>
      <w:tr w:rsidR="00881C7E" w:rsidRPr="004A41C7" w14:paraId="744AFC43" w14:textId="77777777" w:rsidTr="00123BF4">
        <w:trPr>
          <w:trHeight w:val="323"/>
        </w:trPr>
        <w:tc>
          <w:tcPr>
            <w:tcW w:w="817" w:type="dxa"/>
          </w:tcPr>
          <w:p w14:paraId="520EE307" w14:textId="77777777" w:rsidR="00881C7E" w:rsidRPr="00245AA8" w:rsidRDefault="00881C7E" w:rsidP="00123BF4">
            <w:pPr>
              <w:pStyle w:val="TableTextDusc"/>
              <w:keepNext/>
              <w:keepLines/>
              <w:jc w:val="center"/>
              <w:rPr>
                <w:color w:val="000000"/>
              </w:rPr>
            </w:pPr>
            <w:r>
              <w:t>8</w:t>
            </w:r>
          </w:p>
        </w:tc>
        <w:tc>
          <w:tcPr>
            <w:tcW w:w="6597" w:type="dxa"/>
          </w:tcPr>
          <w:p w14:paraId="20286B79" w14:textId="77777777" w:rsidR="00881C7E" w:rsidRPr="00C910CB" w:rsidRDefault="00881C7E" w:rsidP="00123BF4">
            <w:pPr>
              <w:pStyle w:val="TableTextDusc"/>
              <w:keepNext/>
              <w:keepLines/>
            </w:pPr>
            <w:r w:rsidRPr="00245AA8">
              <w:rPr>
                <w:color w:val="000000"/>
              </w:rPr>
              <w:t>Infliximab</w:t>
            </w:r>
            <w:r w:rsidRPr="00794060">
              <w:t xml:space="preserve"> only</w:t>
            </w:r>
          </w:p>
        </w:tc>
        <w:tc>
          <w:tcPr>
            <w:tcW w:w="1435" w:type="dxa"/>
          </w:tcPr>
          <w:p w14:paraId="49AFB1F6" w14:textId="77777777" w:rsidR="00881C7E" w:rsidRPr="00C910CB" w:rsidRDefault="00881C7E" w:rsidP="00123BF4">
            <w:pPr>
              <w:pStyle w:val="TableTextDusc"/>
              <w:keepNext/>
              <w:keepLines/>
            </w:pPr>
            <w:r w:rsidRPr="00794060">
              <w:t>10</w:t>
            </w:r>
            <w:r>
              <w:t xml:space="preserve"> (1%)</w:t>
            </w:r>
          </w:p>
        </w:tc>
      </w:tr>
      <w:tr w:rsidR="00881C7E" w:rsidRPr="004A41C7" w14:paraId="1ACDC3BA" w14:textId="77777777" w:rsidTr="00123BF4">
        <w:trPr>
          <w:trHeight w:val="323"/>
        </w:trPr>
        <w:tc>
          <w:tcPr>
            <w:tcW w:w="817" w:type="dxa"/>
          </w:tcPr>
          <w:p w14:paraId="7BBC84A2" w14:textId="77777777" w:rsidR="00881C7E" w:rsidRPr="00245AA8" w:rsidRDefault="00881C7E" w:rsidP="00123BF4">
            <w:pPr>
              <w:pStyle w:val="TableTextDusc"/>
              <w:keepNext/>
              <w:keepLines/>
              <w:jc w:val="center"/>
              <w:rPr>
                <w:rFonts w:eastAsia="Times New Roman" w:cs="Times New Roman"/>
                <w:color w:val="000000"/>
              </w:rPr>
            </w:pPr>
            <w:r>
              <w:t>9</w:t>
            </w:r>
          </w:p>
        </w:tc>
        <w:tc>
          <w:tcPr>
            <w:tcW w:w="6597" w:type="dxa"/>
          </w:tcPr>
          <w:p w14:paraId="0A392315" w14:textId="77777777" w:rsidR="00881C7E" w:rsidRPr="00794060" w:rsidRDefault="00881C7E" w:rsidP="00123BF4">
            <w:pPr>
              <w:pStyle w:val="TableTextDusc"/>
              <w:keepNext/>
              <w:keepLines/>
            </w:pPr>
            <w:r w:rsidRPr="00245AA8">
              <w:rPr>
                <w:rFonts w:eastAsia="Times New Roman" w:cs="Times New Roman"/>
                <w:color w:val="000000"/>
              </w:rPr>
              <w:t>Ustekinumab</w:t>
            </w:r>
            <w:r w:rsidRPr="008823DD">
              <w:t xml:space="preserve"> -&gt; </w:t>
            </w:r>
            <w:r>
              <w:rPr>
                <w:color w:val="000000"/>
              </w:rPr>
              <w:t>Adalimumab</w:t>
            </w:r>
          </w:p>
        </w:tc>
        <w:tc>
          <w:tcPr>
            <w:tcW w:w="1435" w:type="dxa"/>
          </w:tcPr>
          <w:p w14:paraId="4D038337" w14:textId="77777777" w:rsidR="00881C7E" w:rsidRPr="00794060" w:rsidRDefault="00881C7E" w:rsidP="00123BF4">
            <w:pPr>
              <w:pStyle w:val="TableTextDusc"/>
              <w:keepNext/>
              <w:keepLines/>
            </w:pPr>
            <w:r>
              <w:t>9 (1%)</w:t>
            </w:r>
          </w:p>
        </w:tc>
      </w:tr>
      <w:tr w:rsidR="00881C7E" w:rsidRPr="004A41C7" w14:paraId="70213E2A" w14:textId="77777777" w:rsidTr="00123BF4">
        <w:trPr>
          <w:trHeight w:val="323"/>
        </w:trPr>
        <w:tc>
          <w:tcPr>
            <w:tcW w:w="817" w:type="dxa"/>
          </w:tcPr>
          <w:p w14:paraId="62DA7BE1" w14:textId="77777777" w:rsidR="00881C7E" w:rsidRPr="00245AA8" w:rsidRDefault="00881C7E" w:rsidP="00123BF4">
            <w:pPr>
              <w:pStyle w:val="TableTextDusc"/>
              <w:keepNext/>
              <w:keepLines/>
              <w:jc w:val="center"/>
              <w:rPr>
                <w:color w:val="000000"/>
              </w:rPr>
            </w:pPr>
            <w:r>
              <w:t>10</w:t>
            </w:r>
          </w:p>
        </w:tc>
        <w:tc>
          <w:tcPr>
            <w:tcW w:w="6597" w:type="dxa"/>
          </w:tcPr>
          <w:p w14:paraId="72CF4140" w14:textId="77777777" w:rsidR="00881C7E" w:rsidRPr="00794060" w:rsidRDefault="00881C7E" w:rsidP="00123BF4">
            <w:pPr>
              <w:pStyle w:val="TableTextDusc"/>
              <w:keepNext/>
              <w:keepLines/>
            </w:pPr>
            <w:r w:rsidRPr="00245AA8">
              <w:rPr>
                <w:color w:val="000000"/>
              </w:rPr>
              <w:t>Etanercept</w:t>
            </w:r>
            <w:r w:rsidRPr="008823DD">
              <w:t xml:space="preserve"> -&gt; </w:t>
            </w:r>
            <w:r w:rsidRPr="00245AA8">
              <w:rPr>
                <w:rFonts w:eastAsia="Times New Roman" w:cs="Times New Roman"/>
                <w:color w:val="000000"/>
              </w:rPr>
              <w:t>Ustekinumab</w:t>
            </w:r>
          </w:p>
        </w:tc>
        <w:tc>
          <w:tcPr>
            <w:tcW w:w="1435" w:type="dxa"/>
          </w:tcPr>
          <w:p w14:paraId="14071E47" w14:textId="77777777" w:rsidR="00881C7E" w:rsidRPr="00794060" w:rsidRDefault="00881C7E" w:rsidP="00123BF4">
            <w:pPr>
              <w:pStyle w:val="TableTextDusc"/>
              <w:keepNext/>
              <w:keepLines/>
            </w:pPr>
            <w:r>
              <w:t>5 (1%)</w:t>
            </w:r>
          </w:p>
        </w:tc>
      </w:tr>
      <w:tr w:rsidR="00881C7E" w:rsidRPr="004A41C7" w14:paraId="7A55033C" w14:textId="77777777" w:rsidTr="00123BF4">
        <w:trPr>
          <w:trHeight w:val="323"/>
        </w:trPr>
        <w:tc>
          <w:tcPr>
            <w:tcW w:w="817" w:type="dxa"/>
          </w:tcPr>
          <w:p w14:paraId="465AD030" w14:textId="77777777" w:rsidR="00881C7E" w:rsidRPr="00245AA8" w:rsidRDefault="00881C7E" w:rsidP="00123BF4">
            <w:pPr>
              <w:pStyle w:val="TableTextDusc"/>
              <w:keepNext/>
              <w:keepLines/>
              <w:jc w:val="center"/>
              <w:rPr>
                <w:color w:val="000000"/>
              </w:rPr>
            </w:pPr>
            <w:r>
              <w:t>11</w:t>
            </w:r>
          </w:p>
        </w:tc>
        <w:tc>
          <w:tcPr>
            <w:tcW w:w="6597" w:type="dxa"/>
          </w:tcPr>
          <w:p w14:paraId="24F18FE4" w14:textId="77777777" w:rsidR="00881C7E" w:rsidRPr="00C910CB" w:rsidRDefault="00881C7E" w:rsidP="00123BF4">
            <w:pPr>
              <w:pStyle w:val="TableTextDusc"/>
              <w:keepNext/>
              <w:keepLines/>
            </w:pPr>
            <w:r w:rsidRPr="00245AA8">
              <w:rPr>
                <w:color w:val="000000"/>
              </w:rPr>
              <w:t>Infliximab</w:t>
            </w:r>
            <w:r w:rsidRPr="008823DD">
              <w:t xml:space="preserve"> -&gt; </w:t>
            </w:r>
            <w:r w:rsidRPr="00245AA8">
              <w:rPr>
                <w:rFonts w:eastAsia="Times New Roman" w:cs="Times New Roman"/>
                <w:color w:val="000000"/>
              </w:rPr>
              <w:t>Ustekinumab</w:t>
            </w:r>
          </w:p>
        </w:tc>
        <w:tc>
          <w:tcPr>
            <w:tcW w:w="1435" w:type="dxa"/>
          </w:tcPr>
          <w:p w14:paraId="6229D81F" w14:textId="77777777" w:rsidR="00881C7E" w:rsidRPr="00C910CB" w:rsidRDefault="00881C7E" w:rsidP="00123BF4">
            <w:pPr>
              <w:pStyle w:val="TableTextDusc"/>
              <w:keepNext/>
              <w:keepLines/>
            </w:pPr>
            <w:r>
              <w:t>5 (1%)</w:t>
            </w:r>
          </w:p>
        </w:tc>
      </w:tr>
      <w:tr w:rsidR="00881C7E" w:rsidRPr="004A41C7" w14:paraId="4125CAB4" w14:textId="77777777" w:rsidTr="00123BF4">
        <w:trPr>
          <w:trHeight w:val="323"/>
        </w:trPr>
        <w:tc>
          <w:tcPr>
            <w:tcW w:w="817" w:type="dxa"/>
          </w:tcPr>
          <w:p w14:paraId="2A6A1D2B" w14:textId="77777777" w:rsidR="00881C7E" w:rsidRPr="00794060" w:rsidRDefault="00881C7E" w:rsidP="00123BF4">
            <w:pPr>
              <w:pStyle w:val="TableTextDusc"/>
              <w:keepNext/>
              <w:keepLines/>
              <w:jc w:val="center"/>
            </w:pPr>
            <w:r>
              <w:t>12</w:t>
            </w:r>
          </w:p>
        </w:tc>
        <w:tc>
          <w:tcPr>
            <w:tcW w:w="6597" w:type="dxa"/>
          </w:tcPr>
          <w:p w14:paraId="43EDC493" w14:textId="77777777" w:rsidR="00881C7E" w:rsidRPr="00C910CB" w:rsidRDefault="00881C7E" w:rsidP="00123BF4">
            <w:pPr>
              <w:pStyle w:val="TableTextDusc"/>
              <w:keepNext/>
              <w:keepLines/>
            </w:pPr>
            <w:r w:rsidRPr="00794060">
              <w:t>Any 4 or more biologics</w:t>
            </w:r>
          </w:p>
        </w:tc>
        <w:tc>
          <w:tcPr>
            <w:tcW w:w="1435" w:type="dxa"/>
          </w:tcPr>
          <w:p w14:paraId="139B1FF6" w14:textId="77777777" w:rsidR="00881C7E" w:rsidRPr="00581746" w:rsidRDefault="00881C7E" w:rsidP="00123BF4">
            <w:pPr>
              <w:pStyle w:val="TableTextDusc"/>
              <w:keepNext/>
              <w:keepLines/>
              <w:rPr>
                <w:vertAlign w:val="superscript"/>
              </w:rPr>
            </w:pPr>
            <w:r>
              <w:t>&lt;5</w:t>
            </w:r>
            <w:r>
              <w:rPr>
                <w:vertAlign w:val="superscript"/>
              </w:rPr>
              <w:t>1</w:t>
            </w:r>
          </w:p>
        </w:tc>
      </w:tr>
    </w:tbl>
    <w:p w14:paraId="61DE26EB" w14:textId="77777777" w:rsidR="00881C7E" w:rsidRPr="0092606C" w:rsidRDefault="00881C7E" w:rsidP="00881C7E">
      <w:pPr>
        <w:pStyle w:val="TableFooter"/>
      </w:pPr>
      <w:r w:rsidRPr="0092606C">
        <w:t xml:space="preserve">Source: </w:t>
      </w:r>
      <w:r w:rsidRPr="00F32C5D">
        <w:t>DHS Supplied prescriptions database</w:t>
      </w:r>
      <w:r>
        <w:t xml:space="preserve"> (date of supply)</w:t>
      </w:r>
      <w:r w:rsidRPr="00F32C5D">
        <w:t xml:space="preserve">, extracted May 2017 </w:t>
      </w:r>
    </w:p>
    <w:p w14:paraId="2287E2CF" w14:textId="77777777" w:rsidR="00881C7E" w:rsidRDefault="00881C7E" w:rsidP="00881C7E">
      <w:pPr>
        <w:pStyle w:val="TableFooter"/>
      </w:pPr>
      <w:r>
        <w:t>Note: Values in the table do not add to 100%</w:t>
      </w:r>
    </w:p>
    <w:p w14:paraId="5214E615" w14:textId="77777777" w:rsidR="00881C7E" w:rsidRPr="005A6D02" w:rsidRDefault="00881C7E" w:rsidP="00881C7E">
      <w:pPr>
        <w:pStyle w:val="TableFooter"/>
        <w:rPr>
          <w:lang w:eastAsia="en-GB"/>
        </w:rPr>
      </w:pPr>
      <w:r w:rsidRPr="0020119A">
        <w:rPr>
          <w:vertAlign w:val="superscript"/>
          <w:lang w:eastAsia="en-GB"/>
        </w:rPr>
        <w:t>1</w:t>
      </w:r>
      <w:r w:rsidRPr="005A6D02">
        <w:rPr>
          <w:lang w:eastAsia="en-GB"/>
        </w:rPr>
        <w:t xml:space="preserve"> Patient numbers lower than five were suppressed to protect patient privacy</w:t>
      </w:r>
    </w:p>
    <w:p w14:paraId="06CB8707" w14:textId="77777777" w:rsidR="00881C7E" w:rsidRPr="00FE1642" w:rsidRDefault="00881C7E" w:rsidP="00881C7E">
      <w:pPr>
        <w:pStyle w:val="MDSubsubheding"/>
      </w:pPr>
      <w:bookmarkStart w:id="118" w:name="_Toc503274982"/>
      <w:r>
        <w:t xml:space="preserve">Consistence of current utilisation </w:t>
      </w:r>
      <w:r w:rsidRPr="00881C7E">
        <w:t>with clinical guidelines and PBS restrictions</w:t>
      </w:r>
      <w:bookmarkEnd w:id="118"/>
    </w:p>
    <w:p w14:paraId="4907D163" w14:textId="77777777" w:rsidR="002A6B78" w:rsidRPr="00FE1642" w:rsidRDefault="002A6B78" w:rsidP="00A77877">
      <w:pPr>
        <w:pStyle w:val="ToRText"/>
      </w:pPr>
      <w:r w:rsidRPr="00FE1642">
        <w:t>Q7.</w:t>
      </w:r>
      <w:r w:rsidRPr="00FE1642">
        <w:tab/>
        <w:t>Examine the prior use of non‐biologic medicines before switching to biologics.</w:t>
      </w:r>
    </w:p>
    <w:p w14:paraId="4BF8A57F" w14:textId="0A7FC737" w:rsidR="002A6B78" w:rsidRPr="006E05AF" w:rsidRDefault="004D3651" w:rsidP="00A77877">
      <w:r>
        <w:t>Analyses</w:t>
      </w:r>
      <w:r w:rsidR="006E05AF" w:rsidRPr="006E05AF">
        <w:t xml:space="preserve"> of </w:t>
      </w:r>
      <w:r>
        <w:t xml:space="preserve">medicine/phototherapy </w:t>
      </w:r>
      <w:r w:rsidR="006E05AF" w:rsidRPr="006E05AF">
        <w:t xml:space="preserve">utilisation prior </w:t>
      </w:r>
      <w:r>
        <w:t xml:space="preserve">to commencing biologic </w:t>
      </w:r>
      <w:r w:rsidR="006E05AF" w:rsidRPr="006E05AF">
        <w:t>therapies</w:t>
      </w:r>
      <w:r>
        <w:t xml:space="preserve"> was not conducted. It is not possible to determine from PBS and MBS data </w:t>
      </w:r>
      <w:r w:rsidR="00356F55">
        <w:t>whether</w:t>
      </w:r>
      <w:r>
        <w:t xml:space="preserve"> patients were contraindicated to or failed these therapies. </w:t>
      </w:r>
    </w:p>
    <w:p w14:paraId="1CF1CD82" w14:textId="630A47EB" w:rsidR="002A6B78" w:rsidRPr="00FE1642" w:rsidRDefault="002A6B78" w:rsidP="00A77877">
      <w:pPr>
        <w:pStyle w:val="ToRText"/>
      </w:pPr>
      <w:r w:rsidRPr="00FE1642">
        <w:t>Q8.</w:t>
      </w:r>
      <w:r w:rsidRPr="00FE1642">
        <w:tab/>
        <w:t>Consider to what extent current utilisation of PBS listed biologics is consistent with clinical guidelines and PBS restrictions</w:t>
      </w:r>
      <w:r w:rsidR="00073353">
        <w:t>.</w:t>
      </w:r>
    </w:p>
    <w:p w14:paraId="0365BBF0" w14:textId="0DA6C0E9" w:rsidR="000A43C2" w:rsidRPr="000A43C2" w:rsidRDefault="00795D8D" w:rsidP="000A43C2">
      <w:r w:rsidRPr="00FE1642">
        <w:t xml:space="preserve">The extent to which current utilisation of biologics was consistent with the clinical guidelines and PBS restrictions could not be fully assessed with the available data. </w:t>
      </w:r>
      <w:r w:rsidR="008B7D16">
        <w:t>Continued use</w:t>
      </w:r>
      <w:r w:rsidR="000A43C2" w:rsidRPr="000A43C2">
        <w:t xml:space="preserve"> was broadly consistent with treatment guidelines that recommend continu</w:t>
      </w:r>
      <w:r w:rsidR="008B7D16">
        <w:t>ous</w:t>
      </w:r>
      <w:r w:rsidR="000A43C2" w:rsidRPr="000A43C2">
        <w:t xml:space="preserve"> treatment if an adequate response is achieved. However, </w:t>
      </w:r>
      <w:r w:rsidR="000A43C2">
        <w:t>persistence</w:t>
      </w:r>
      <w:r w:rsidR="000A43C2" w:rsidRPr="000A43C2">
        <w:t xml:space="preserve"> with ustekinumab and infliximab in the PBS data was much higher than the proportion of patients who achieved a PASI 75 response in the clinical studies at both 6 and 12 months</w:t>
      </w:r>
      <w:r w:rsidR="000A43C2">
        <w:t xml:space="preserve"> (</w:t>
      </w:r>
      <w:r w:rsidR="00CB29D0">
        <w:t>Table ES.</w:t>
      </w:r>
      <w:r w:rsidR="00CB29D0">
        <w:rPr>
          <w:noProof/>
        </w:rPr>
        <w:t>22</w:t>
      </w:r>
      <w:r w:rsidR="000A43C2">
        <w:t>). Thes</w:t>
      </w:r>
      <w:r w:rsidR="000A43C2" w:rsidRPr="000A43C2">
        <w:t xml:space="preserve">e results suggest that </w:t>
      </w:r>
      <w:r w:rsidR="008B7D16">
        <w:t>p</w:t>
      </w:r>
      <w:r w:rsidR="000A43C2">
        <w:t xml:space="preserve">atients may be using biologics beyond the PASI 75 response which would be outside </w:t>
      </w:r>
      <w:r w:rsidR="000A43C2">
        <w:lastRenderedPageBreak/>
        <w:t xml:space="preserve">the suggested continuation restriction. Also, if this is the case, </w:t>
      </w:r>
      <w:r w:rsidR="000A43C2" w:rsidRPr="000A43C2">
        <w:t>the cost</w:t>
      </w:r>
      <w:r w:rsidR="008C0122">
        <w:t>-</w:t>
      </w:r>
      <w:r w:rsidR="000A43C2" w:rsidRPr="000A43C2">
        <w:t xml:space="preserve">effectiveness estimates used by </w:t>
      </w:r>
      <w:r w:rsidR="008C0122">
        <w:t xml:space="preserve">the </w:t>
      </w:r>
      <w:r w:rsidR="000A43C2" w:rsidRPr="000A43C2">
        <w:t>PBAC for the decision</w:t>
      </w:r>
      <w:r w:rsidR="008D56A8">
        <w:t xml:space="preserve"> </w:t>
      </w:r>
      <w:r w:rsidR="000A43C2">
        <w:t xml:space="preserve">making </w:t>
      </w:r>
      <w:r w:rsidR="000A43C2" w:rsidRPr="000A43C2">
        <w:t>on listing of these drugs</w:t>
      </w:r>
      <w:r w:rsidR="000A43C2">
        <w:t xml:space="preserve"> would have been overestimated</w:t>
      </w:r>
      <w:r w:rsidR="000A43C2" w:rsidRPr="000A43C2">
        <w:t xml:space="preserve">. </w:t>
      </w:r>
    </w:p>
    <w:p w14:paraId="70E79324" w14:textId="77777777" w:rsidR="002A6B78" w:rsidRDefault="00795D8D" w:rsidP="00A77877">
      <w:r w:rsidRPr="00FE1642">
        <w:t xml:space="preserve">The majority of patients appeared to use biologics </w:t>
      </w:r>
      <w:r w:rsidR="00356F55">
        <w:t>persistently</w:t>
      </w:r>
      <w:r w:rsidRPr="00FE1642">
        <w:t>. A very small number of patients used more than three biologics. However, this may not be outside the PBS restriction because patients are able to trial more than three biologics as long as they do not fail treatment with more than three biologics in a treatment cycle.</w:t>
      </w:r>
    </w:p>
    <w:p w14:paraId="7F04CBAD" w14:textId="77777777" w:rsidR="00356F55" w:rsidRDefault="00356F55" w:rsidP="00356F55">
      <w:pPr>
        <w:pStyle w:val="MDSubsubheding"/>
      </w:pPr>
      <w:bookmarkStart w:id="119" w:name="_Toc503274983"/>
      <w:r>
        <w:t>Conclusion</w:t>
      </w:r>
      <w:bookmarkEnd w:id="119"/>
    </w:p>
    <w:p w14:paraId="7606B8EF" w14:textId="23E2B5E1" w:rsidR="00356F55" w:rsidRDefault="00FD0D17" w:rsidP="00356F55">
      <w:r>
        <w:t>Prevalence data for CPP and PsA are limited in Australia and the estimates from available data were wide</w:t>
      </w:r>
      <w:r w:rsidR="008D56A8">
        <w:t xml:space="preserve"> </w:t>
      </w:r>
      <w:r>
        <w:t xml:space="preserve">ranging suggesting there is considerable uncertainty of the true population with CPP and PsA. The review of prevalence data and the prescription utilisation data suggest that the prevalence of CPP is affected by latitude and a population estimate based on local observational studies could over or underestimate (depending on the location of the study) the prevalence of CPP. </w:t>
      </w:r>
    </w:p>
    <w:p w14:paraId="7AF1AA39" w14:textId="77777777" w:rsidR="007E2DFC" w:rsidRDefault="00FD0D17" w:rsidP="00356F55">
      <w:r>
        <w:t>Prescription utilisation</w:t>
      </w:r>
      <w:r w:rsidRPr="000A43C2">
        <w:t xml:space="preserve"> was broadly consistent with treatment guideline</w:t>
      </w:r>
      <w:r>
        <w:t xml:space="preserve">s and PBS restrictions; however, </w:t>
      </w:r>
      <w:r w:rsidR="00150DD1">
        <w:t>the length that patients remain</w:t>
      </w:r>
      <w:r w:rsidR="006253E3">
        <w:t>ed</w:t>
      </w:r>
      <w:r w:rsidR="00150DD1">
        <w:t xml:space="preserve"> on treatment was higher than would have been expected, based on the efficacy (PASI 75 response) seen in the clinical trials.</w:t>
      </w:r>
    </w:p>
    <w:p w14:paraId="241C4139" w14:textId="77777777" w:rsidR="007E2DFC" w:rsidRDefault="007E2DFC" w:rsidP="007E2DFC">
      <w:pPr>
        <w:pStyle w:val="MDSubsubheding"/>
      </w:pPr>
      <w:bookmarkStart w:id="120" w:name="_Toc503274984"/>
      <w:r>
        <w:t>Stakeholder views (Public consultation and stakeholder forum)</w:t>
      </w:r>
      <w:bookmarkEnd w:id="120"/>
      <w:r>
        <w:t xml:space="preserve"> </w:t>
      </w:r>
    </w:p>
    <w:p w14:paraId="6AFEEC90" w14:textId="4B684132" w:rsidR="007E2DFC" w:rsidRPr="00520FE4" w:rsidRDefault="007E2DFC" w:rsidP="006B390B">
      <w:pPr>
        <w:pStyle w:val="ListParagraph"/>
        <w:numPr>
          <w:ilvl w:val="0"/>
          <w:numId w:val="38"/>
        </w:numPr>
        <w:spacing w:line="276" w:lineRule="auto"/>
        <w:ind w:left="357" w:hanging="357"/>
      </w:pPr>
      <w:r w:rsidRPr="00520FE4">
        <w:t xml:space="preserve">Stakeholders generally felt that biologics are not being over-utilised. Instead, there is likely to be a pool of people who have disease severe enough to treat, but who have not accessed biologics yet for a variety of reasons including </w:t>
      </w:r>
      <w:r w:rsidR="008C0122">
        <w:t xml:space="preserve">lack of </w:t>
      </w:r>
      <w:r w:rsidRPr="00520FE4">
        <w:t>awareness</w:t>
      </w:r>
      <w:r w:rsidR="008C0122">
        <w:t xml:space="preserve"> or</w:t>
      </w:r>
      <w:r w:rsidR="008C0122" w:rsidRPr="00520FE4">
        <w:t xml:space="preserve"> </w:t>
      </w:r>
      <w:r w:rsidRPr="00520FE4">
        <w:t>access to dermatologists</w:t>
      </w:r>
      <w:r w:rsidR="008C0122">
        <w:t>,</w:t>
      </w:r>
      <w:r w:rsidRPr="00520FE4">
        <w:t xml:space="preserve"> and issues with prior therapies. </w:t>
      </w:r>
    </w:p>
    <w:p w14:paraId="50C64DBE" w14:textId="77777777" w:rsidR="007E2DFC" w:rsidRPr="00520FE4" w:rsidRDefault="007E2DFC" w:rsidP="006B390B">
      <w:pPr>
        <w:pStyle w:val="ListParagraph"/>
        <w:numPr>
          <w:ilvl w:val="0"/>
          <w:numId w:val="38"/>
        </w:numPr>
        <w:spacing w:line="259" w:lineRule="auto"/>
        <w:ind w:left="357" w:hanging="357"/>
      </w:pPr>
      <w:r w:rsidRPr="00520FE4">
        <w:t>Patients using biologics in Australia may have had psoriasis for longer without treatment than those in clinical trial populations and, in effect, have worse psoriasis on commencement. This may influence continuation rates.</w:t>
      </w:r>
    </w:p>
    <w:p w14:paraId="62A14E8F" w14:textId="528DC986" w:rsidR="007E2DFC" w:rsidRPr="00520FE4" w:rsidRDefault="007E2DFC" w:rsidP="006B390B">
      <w:pPr>
        <w:pStyle w:val="ListParagraph"/>
        <w:numPr>
          <w:ilvl w:val="0"/>
          <w:numId w:val="38"/>
        </w:numPr>
        <w:spacing w:line="276" w:lineRule="auto"/>
        <w:ind w:left="357" w:hanging="357"/>
      </w:pPr>
      <w:r w:rsidRPr="00520FE4">
        <w:t>Time to diagnosis could influence uptake rates, utilisation and outcomes. Patients who are difficult to diagnos</w:t>
      </w:r>
      <w:r w:rsidR="00CD3AD2">
        <w:t>e</w:t>
      </w:r>
      <w:r w:rsidRPr="00520FE4">
        <w:t xml:space="preserve"> may end up with a late diagnosis and a treatment course </w:t>
      </w:r>
      <w:r w:rsidR="008C0122" w:rsidRPr="00520FE4">
        <w:t>depend</w:t>
      </w:r>
      <w:r w:rsidR="008C0122">
        <w:t>e</w:t>
      </w:r>
      <w:r w:rsidR="008C0122" w:rsidRPr="00520FE4">
        <w:t xml:space="preserve">nt </w:t>
      </w:r>
      <w:r w:rsidRPr="00520FE4">
        <w:t xml:space="preserve">on comorbidities. Those with an early diagnosis may have a higher number of treatments over their disease course and improved management of comorbidities. </w:t>
      </w:r>
    </w:p>
    <w:p w14:paraId="614FAA4D" w14:textId="77777777" w:rsidR="007E2DFC" w:rsidRPr="00520FE4" w:rsidRDefault="007E2DFC" w:rsidP="006B390B">
      <w:pPr>
        <w:pStyle w:val="ListParagraph"/>
        <w:numPr>
          <w:ilvl w:val="0"/>
          <w:numId w:val="39"/>
        </w:numPr>
        <w:spacing w:line="259" w:lineRule="auto"/>
        <w:ind w:left="357" w:hanging="357"/>
      </w:pPr>
      <w:r w:rsidRPr="00520FE4">
        <w:t xml:space="preserve">Uptake was slow when biologics were first available, with prescribers initially hesitant to use them. Additionally, it takes a long time for patients to become eligible for biologics. </w:t>
      </w:r>
    </w:p>
    <w:p w14:paraId="48452A75" w14:textId="2478F7CB" w:rsidR="007E2DFC" w:rsidRPr="00D828FB" w:rsidRDefault="007E2DFC" w:rsidP="006B390B">
      <w:pPr>
        <w:pStyle w:val="ListParagraph"/>
        <w:numPr>
          <w:ilvl w:val="0"/>
          <w:numId w:val="39"/>
        </w:numPr>
        <w:spacing w:line="259" w:lineRule="auto"/>
        <w:ind w:left="357" w:hanging="357"/>
      </w:pPr>
      <w:r w:rsidRPr="00D828FB">
        <w:t xml:space="preserve">There were conflicting views from stakeholders as to whether the retention rate of biologics is higher on the PBS than was predicted in studies. </w:t>
      </w:r>
    </w:p>
    <w:p w14:paraId="207AA638" w14:textId="77777777" w:rsidR="007E2DFC" w:rsidRPr="00520FE4" w:rsidRDefault="007E2DFC" w:rsidP="006B390B">
      <w:pPr>
        <w:pStyle w:val="ListParagraph"/>
        <w:numPr>
          <w:ilvl w:val="0"/>
          <w:numId w:val="39"/>
        </w:numPr>
        <w:spacing w:line="259" w:lineRule="auto"/>
        <w:ind w:left="357" w:hanging="357"/>
      </w:pPr>
      <w:r w:rsidRPr="00520FE4">
        <w:t>The real-life treatment goal is to maintain the treatment effect and to optimise patient outcomes.</w:t>
      </w:r>
    </w:p>
    <w:p w14:paraId="1C477269" w14:textId="77777777" w:rsidR="007E2DFC" w:rsidRPr="00520FE4" w:rsidRDefault="007E2DFC" w:rsidP="006B390B">
      <w:pPr>
        <w:pStyle w:val="ListParagraph"/>
        <w:numPr>
          <w:ilvl w:val="0"/>
          <w:numId w:val="39"/>
        </w:numPr>
        <w:spacing w:line="259" w:lineRule="auto"/>
        <w:ind w:left="357" w:hanging="357"/>
      </w:pPr>
      <w:r w:rsidRPr="00520FE4">
        <w:t>Some stakeholders considered that general practitioners are not well equipped to treat severe CPP, only prescribing topical therapy until the patient is referred to a dermatologist.</w:t>
      </w:r>
    </w:p>
    <w:p w14:paraId="7BFCE53B" w14:textId="77777777" w:rsidR="00FD0D17" w:rsidRDefault="00150DD1" w:rsidP="00356F55">
      <w:r>
        <w:t xml:space="preserve"> </w:t>
      </w:r>
    </w:p>
    <w:p w14:paraId="2FF30664" w14:textId="77777777" w:rsidR="009E0A88" w:rsidRPr="00FE1642" w:rsidRDefault="009E0A88" w:rsidP="009E0A88">
      <w:pPr>
        <w:pStyle w:val="MDSubheading"/>
      </w:pPr>
      <w:bookmarkStart w:id="121" w:name="_Toc503274985"/>
      <w:r w:rsidRPr="00165C8D">
        <w:lastRenderedPageBreak/>
        <w:t>ToR 4:</w:t>
      </w:r>
      <w:r w:rsidR="00851F04" w:rsidRPr="00165C8D">
        <w:t xml:space="preserve"> Subject to the findings from Terms of Reference 1, 2 and 3, review the cost-effectiveness of biologics for severe chronic plaque psoriasis.</w:t>
      </w:r>
      <w:bookmarkEnd w:id="121"/>
    </w:p>
    <w:p w14:paraId="1948EAD8" w14:textId="77777777" w:rsidR="00262BCC" w:rsidRPr="00FE1642" w:rsidRDefault="00262BCC" w:rsidP="00262BCC">
      <w:pPr>
        <w:pStyle w:val="ToRText"/>
      </w:pPr>
      <w:r>
        <w:t>Q1</w:t>
      </w:r>
      <w:r w:rsidRPr="00FE1642">
        <w:t>.</w:t>
      </w:r>
      <w:r w:rsidRPr="00FE1642">
        <w:tab/>
      </w:r>
      <w:r w:rsidRPr="009E0A88">
        <w:t xml:space="preserve">Summarise issues highlighted in ToR 1 to ToR 3 of the report that </w:t>
      </w:r>
      <w:r>
        <w:t>could impact the</w:t>
      </w:r>
      <w:r w:rsidRPr="009E0A88">
        <w:t xml:space="preserve"> cost</w:t>
      </w:r>
      <w:r w:rsidR="00941EE2">
        <w:t>-</w:t>
      </w:r>
      <w:r w:rsidRPr="009E0A88">
        <w:t>effectiveness</w:t>
      </w:r>
      <w:r>
        <w:t xml:space="preserve"> of biologics for CPP.</w:t>
      </w:r>
      <w:r w:rsidRPr="009E0A88">
        <w:t xml:space="preserve"> </w:t>
      </w:r>
    </w:p>
    <w:p w14:paraId="1D662302" w14:textId="77777777" w:rsidR="00082F8F" w:rsidRDefault="00082F8F" w:rsidP="00082F8F">
      <w:r>
        <w:t>From the</w:t>
      </w:r>
      <w:r w:rsidR="00477ECC">
        <w:t xml:space="preserve"> findings for TOR 1-3,</w:t>
      </w:r>
      <w:r>
        <w:t xml:space="preserve"> there </w:t>
      </w:r>
      <w:r w:rsidR="00262BCC">
        <w:t>a</w:t>
      </w:r>
      <w:r>
        <w:t>re a number of possible modifications to the</w:t>
      </w:r>
      <w:r w:rsidR="00262BCC">
        <w:t xml:space="preserve"> PBS</w:t>
      </w:r>
      <w:r>
        <w:t xml:space="preserve"> restriction</w:t>
      </w:r>
      <w:r w:rsidR="00262BCC">
        <w:t>s for biologics that</w:t>
      </w:r>
      <w:r>
        <w:t xml:space="preserve"> need to be explored. These include:</w:t>
      </w:r>
    </w:p>
    <w:p w14:paraId="7259C297" w14:textId="4FC6DF9E" w:rsidR="00082F8F" w:rsidRDefault="00082F8F" w:rsidP="00082F8F">
      <w:pPr>
        <w:pStyle w:val="ListParagraph"/>
        <w:numPr>
          <w:ilvl w:val="0"/>
          <w:numId w:val="29"/>
        </w:numPr>
      </w:pPr>
      <w:r>
        <w:t>Reducing the number of prior trea</w:t>
      </w:r>
      <w:r w:rsidR="00A23653">
        <w:t>tments, from three to two, that</w:t>
      </w:r>
      <w:r>
        <w:t xml:space="preserve"> </w:t>
      </w:r>
      <w:r w:rsidR="00262BCC">
        <w:t xml:space="preserve">are </w:t>
      </w:r>
      <w:r>
        <w:t>to</w:t>
      </w:r>
      <w:r w:rsidR="00262BCC">
        <w:t xml:space="preserve"> be</w:t>
      </w:r>
      <w:r>
        <w:t xml:space="preserve"> trialled  before allow</w:t>
      </w:r>
      <w:r w:rsidR="00262BCC">
        <w:t>ing treatment to</w:t>
      </w:r>
      <w:r>
        <w:t xml:space="preserve"> progress to a biologic; and </w:t>
      </w:r>
    </w:p>
    <w:p w14:paraId="788B03E7" w14:textId="77777777" w:rsidR="00082F8F" w:rsidRDefault="00082F8F" w:rsidP="00082F8F">
      <w:pPr>
        <w:pStyle w:val="ListParagraph"/>
        <w:numPr>
          <w:ilvl w:val="0"/>
          <w:numId w:val="29"/>
        </w:numPr>
      </w:pPr>
      <w:r>
        <w:t>Increasing the population</w:t>
      </w:r>
      <w:r w:rsidR="00262BCC">
        <w:t xml:space="preserve"> with severe CPP (PASI &gt;15)</w:t>
      </w:r>
      <w:r>
        <w:t xml:space="preserve"> to include;</w:t>
      </w:r>
    </w:p>
    <w:p w14:paraId="0821A83D" w14:textId="77777777" w:rsidR="00082F8F" w:rsidRDefault="00082F8F" w:rsidP="00082F8F">
      <w:pPr>
        <w:pStyle w:val="ListParagraph"/>
        <w:numPr>
          <w:ilvl w:val="1"/>
          <w:numId w:val="29"/>
        </w:numPr>
      </w:pPr>
      <w:r>
        <w:t>Patients with a PASI &gt;10 and a DLQI &gt;10, and</w:t>
      </w:r>
    </w:p>
    <w:p w14:paraId="0E3FCE42" w14:textId="77777777" w:rsidR="00082F8F" w:rsidRDefault="00082F8F" w:rsidP="00082F8F">
      <w:pPr>
        <w:pStyle w:val="ListParagraph"/>
        <w:numPr>
          <w:ilvl w:val="1"/>
          <w:numId w:val="29"/>
        </w:numPr>
      </w:pPr>
      <w:r>
        <w:t>Patients with CPP that have genital involvement.</w:t>
      </w:r>
    </w:p>
    <w:p w14:paraId="40D85FE4" w14:textId="5C55F8CD" w:rsidR="009E0A88" w:rsidRDefault="00082F8F" w:rsidP="009E0A88">
      <w:r>
        <w:t>There were some differences between the long term clinical efficacy data and the PBS prescription continuation data. Patients in the PBS prescription data were continuing treatment for longer than would have been expected based on the data provided to the PBAC during submissions</w:t>
      </w:r>
      <w:r w:rsidR="00477ECC">
        <w:t xml:space="preserve"> (</w:t>
      </w:r>
      <w:r w:rsidR="00CB29D0">
        <w:t>Table ES.</w:t>
      </w:r>
      <w:r w:rsidR="00CB29D0">
        <w:rPr>
          <w:noProof/>
        </w:rPr>
        <w:t>22</w:t>
      </w:r>
      <w:r w:rsidR="00477ECC">
        <w:t xml:space="preserve">). </w:t>
      </w:r>
      <w:r>
        <w:t xml:space="preserve">In general, most submissions accounted for a reduction in </w:t>
      </w:r>
      <w:r w:rsidR="00851F04">
        <w:t xml:space="preserve">clinical </w:t>
      </w:r>
      <w:r>
        <w:t xml:space="preserve">response over time that would have led to discontinuation of treatment and an appropriate reduction in costs in the model. However, in practice, patients are continuing for longer than seen in the </w:t>
      </w:r>
      <w:r w:rsidR="00533BC4">
        <w:t>cost-utility analysis (</w:t>
      </w:r>
      <w:r>
        <w:t>CUA</w:t>
      </w:r>
      <w:r w:rsidR="00533BC4">
        <w:t>)</w:t>
      </w:r>
      <w:r>
        <w:t xml:space="preserve"> models, leading to higher costs without an understanding of how this long term treatment is affecting patient response and toxicity, and in turn</w:t>
      </w:r>
      <w:r w:rsidR="00533BC4">
        <w:t>,</w:t>
      </w:r>
      <w:r>
        <w:t xml:space="preserve"> the cost</w:t>
      </w:r>
      <w:r w:rsidR="00533BC4">
        <w:t>-</w:t>
      </w:r>
      <w:r>
        <w:t xml:space="preserve">effectiveness of the biologic.  </w:t>
      </w:r>
      <w:r w:rsidR="000716A1">
        <w:t>In addition,</w:t>
      </w:r>
      <w:r>
        <w:t xml:space="preserve"> no prior models considered treatment switching</w:t>
      </w:r>
      <w:r w:rsidR="000716A1">
        <w:t>. Under</w:t>
      </w:r>
      <w:r w:rsidR="00E5678F">
        <w:t xml:space="preserve"> </w:t>
      </w:r>
      <w:r>
        <w:t>the current PBS setting</w:t>
      </w:r>
      <w:r w:rsidR="00533BC4">
        <w:t>,</w:t>
      </w:r>
      <w:r>
        <w:t xml:space="preserve"> a patient with severe CPP is able to use three biologics prior to be</w:t>
      </w:r>
      <w:r w:rsidR="00851F04">
        <w:t>ing</w:t>
      </w:r>
      <w:r>
        <w:t xml:space="preserve"> considered to have exhausted treatment options. </w:t>
      </w:r>
    </w:p>
    <w:p w14:paraId="47E38438" w14:textId="77777777" w:rsidR="00477ECC" w:rsidRDefault="00477ECC" w:rsidP="009E0A88"/>
    <w:p w14:paraId="7E5442BD" w14:textId="70FFB2EE" w:rsidR="00262BCC" w:rsidRPr="00FE1642" w:rsidRDefault="00262BCC" w:rsidP="00262BCC">
      <w:pPr>
        <w:pStyle w:val="ToRText"/>
      </w:pPr>
      <w:r>
        <w:t>Q2</w:t>
      </w:r>
      <w:r w:rsidRPr="00FE1642">
        <w:t>.</w:t>
      </w:r>
      <w:r w:rsidRPr="00FE1642">
        <w:tab/>
      </w:r>
      <w:r w:rsidRPr="009E0A88">
        <w:t>Summarise previous cost</w:t>
      </w:r>
      <w:r w:rsidR="00941EE2">
        <w:t>-</w:t>
      </w:r>
      <w:r w:rsidRPr="009E0A88">
        <w:t xml:space="preserve">effectiveness </w:t>
      </w:r>
      <w:r w:rsidR="00533BC4" w:rsidRPr="009E0A88">
        <w:t>ana</w:t>
      </w:r>
      <w:r w:rsidR="00533BC4">
        <w:t xml:space="preserve">lyses </w:t>
      </w:r>
      <w:r>
        <w:t>for CCP seen by the PBAC.</w:t>
      </w:r>
    </w:p>
    <w:p w14:paraId="01914A2B" w14:textId="1C804D8C" w:rsidR="00082F8F" w:rsidRDefault="00082F8F" w:rsidP="00082F8F">
      <w:r w:rsidRPr="007B1B63">
        <w:t xml:space="preserve">A review </w:t>
      </w:r>
      <w:r>
        <w:t xml:space="preserve">of previously submitted and evaluated cost effectiveness </w:t>
      </w:r>
      <w:r w:rsidR="00533BC4">
        <w:t xml:space="preserve">analyses </w:t>
      </w:r>
      <w:r>
        <w:t>for the treatment of severe CPP with biologics was</w:t>
      </w:r>
      <w:r w:rsidRPr="007B1B63">
        <w:t xml:space="preserve"> undertaken</w:t>
      </w:r>
      <w:r>
        <w:t xml:space="preserve">. </w:t>
      </w:r>
      <w:r w:rsidRPr="009E0A88">
        <w:t xml:space="preserve">The review identified eleven </w:t>
      </w:r>
      <w:r>
        <w:t xml:space="preserve">submissions/resubmissions that used </w:t>
      </w:r>
      <w:r w:rsidRPr="009E0A88">
        <w:t>cost-effective</w:t>
      </w:r>
      <w:r>
        <w:t>ness</w:t>
      </w:r>
      <w:r w:rsidRPr="009E0A88">
        <w:t xml:space="preserve"> </w:t>
      </w:r>
      <w:r>
        <w:t>analysis</w:t>
      </w:r>
      <w:r w:rsidRPr="009E0A88">
        <w:t xml:space="preserve"> for the treatment of CPP with biologics that were presented to the PBAC. Models evaluated the following biologics: efalizumab,</w:t>
      </w:r>
      <w:r>
        <w:t xml:space="preserve"> etanercept,</w:t>
      </w:r>
      <w:r w:rsidRPr="009E0A88">
        <w:t xml:space="preserve"> infliximab, ustekinumab</w:t>
      </w:r>
      <w:r>
        <w:t>, and adalimumab</w:t>
      </w:r>
      <w:r w:rsidRPr="009E0A88">
        <w:t>.</w:t>
      </w:r>
    </w:p>
    <w:p w14:paraId="3DD710B0" w14:textId="05CD3CBE" w:rsidR="00082F8F" w:rsidRDefault="00082F8F" w:rsidP="00082F8F">
      <w:r>
        <w:t>Only one submission</w:t>
      </w:r>
      <w:r w:rsidRPr="009E0A88">
        <w:t xml:space="preserve"> </w:t>
      </w:r>
      <w:r>
        <w:t xml:space="preserve">(adalimumab 2013) </w:t>
      </w:r>
      <w:r w:rsidRPr="009E0A88">
        <w:t xml:space="preserve">evaluated the cost-effectiveness for patients with </w:t>
      </w:r>
      <w:r>
        <w:t>moderate</w:t>
      </w:r>
      <w:r w:rsidRPr="009E0A88">
        <w:t xml:space="preserve"> CPP</w:t>
      </w:r>
      <w:r>
        <w:t xml:space="preserve">, all others were in patients with severe CPP. Only one submission was for </w:t>
      </w:r>
      <w:r w:rsidR="00165C8D">
        <w:t>children (e</w:t>
      </w:r>
      <w:r>
        <w:t>tanercept</w:t>
      </w:r>
      <w:r w:rsidR="00165C8D">
        <w:t xml:space="preserve"> 2012</w:t>
      </w:r>
      <w:r>
        <w:t>) and this submission was based on a cost per responder analysis</w:t>
      </w:r>
      <w:r w:rsidR="00533BC4">
        <w:t>,</w:t>
      </w:r>
      <w:r>
        <w:t xml:space="preserve"> not a cost</w:t>
      </w:r>
      <w:r w:rsidR="00533BC4">
        <w:t>-</w:t>
      </w:r>
      <w:r>
        <w:t xml:space="preserve">utility analysis. </w:t>
      </w:r>
      <w:r w:rsidRPr="009E0A88">
        <w:t>Seven models were identified from the submissions that used cost</w:t>
      </w:r>
      <w:r w:rsidR="00533BC4">
        <w:t>-</w:t>
      </w:r>
      <w:r w:rsidRPr="009E0A88">
        <w:t xml:space="preserve">utility analysis in </w:t>
      </w:r>
      <w:r>
        <w:t xml:space="preserve">adults with </w:t>
      </w:r>
      <w:r w:rsidRPr="009E0A88">
        <w:t>severe CPP</w:t>
      </w:r>
      <w:r>
        <w:t xml:space="preserve"> (some resubmissions used similar models with only minor changes and were considered as one model in the review)</w:t>
      </w:r>
      <w:r w:rsidRPr="003905C0">
        <w:t xml:space="preserve"> (</w:t>
      </w:r>
      <w:r w:rsidR="00CB29D0" w:rsidRPr="00CB29D0">
        <w:rPr>
          <w:rFonts w:eastAsiaTheme="minorEastAsia" w:cs="Calibri"/>
          <w:szCs w:val="24"/>
          <w:lang w:val="en-US" w:eastAsia="en-US"/>
        </w:rPr>
        <w:t>Table ES.</w:t>
      </w:r>
      <w:r w:rsidR="00CB29D0" w:rsidRPr="00CB29D0">
        <w:rPr>
          <w:rFonts w:eastAsiaTheme="minorEastAsia" w:cs="Calibri"/>
          <w:noProof/>
          <w:szCs w:val="24"/>
          <w:lang w:val="en-US" w:eastAsia="en-US"/>
        </w:rPr>
        <w:t>24</w:t>
      </w:r>
      <w:r w:rsidRPr="003905C0">
        <w:t>)</w:t>
      </w:r>
      <w:r>
        <w:t xml:space="preserve">. </w:t>
      </w:r>
    </w:p>
    <w:p w14:paraId="7EA80B33" w14:textId="77777777" w:rsidR="00082F8F" w:rsidRPr="00C92BCA" w:rsidRDefault="00082F8F" w:rsidP="008D4D9D">
      <w:pPr>
        <w:pStyle w:val="MDTabCaption"/>
        <w:keepLines/>
      </w:pPr>
      <w:bookmarkStart w:id="122" w:name="_Ref501014035"/>
      <w:bookmarkStart w:id="123" w:name="_Toc503275014"/>
      <w:r w:rsidRPr="00C92BCA">
        <w:lastRenderedPageBreak/>
        <w:t>Table ES.</w:t>
      </w:r>
      <w:r w:rsidR="00CB29D0">
        <w:rPr>
          <w:noProof/>
        </w:rPr>
        <w:t>24</w:t>
      </w:r>
      <w:bookmarkEnd w:id="122"/>
      <w:r w:rsidRPr="00C92BCA">
        <w:t>: Comparison of CUA models for biologics presented to the PBAC</w:t>
      </w:r>
      <w:bookmarkEnd w:id="123"/>
    </w:p>
    <w:tbl>
      <w:tblPr>
        <w:tblStyle w:val="TableGrid"/>
        <w:tblW w:w="9365" w:type="dxa"/>
        <w:tblLayout w:type="fixed"/>
        <w:tblLook w:val="04A0" w:firstRow="1" w:lastRow="0" w:firstColumn="1" w:lastColumn="0" w:noHBand="0" w:noVBand="1"/>
        <w:tblCaption w:val="Table ES.19: Comparison of CUA models for biologics presented to the PBAC"/>
        <w:tblDescription w:val="Table ES.19: Comparison of CUA models for biologics presented to the PBAC"/>
      </w:tblPr>
      <w:tblGrid>
        <w:gridCol w:w="1413"/>
        <w:gridCol w:w="963"/>
        <w:gridCol w:w="29"/>
        <w:gridCol w:w="992"/>
        <w:gridCol w:w="1276"/>
        <w:gridCol w:w="1134"/>
        <w:gridCol w:w="3558"/>
      </w:tblGrid>
      <w:tr w:rsidR="00082F8F" w:rsidRPr="009E0A88" w14:paraId="7E94BA47" w14:textId="77777777" w:rsidTr="00104A6D">
        <w:trPr>
          <w:trHeight w:val="300"/>
          <w:tblHeader/>
        </w:trPr>
        <w:tc>
          <w:tcPr>
            <w:tcW w:w="1413" w:type="dxa"/>
            <w:shd w:val="clear" w:color="auto" w:fill="A6A6A6" w:themeFill="background1" w:themeFillShade="A6"/>
            <w:noWrap/>
            <w:hideMark/>
          </w:tcPr>
          <w:p w14:paraId="0FC291FA" w14:textId="77777777" w:rsidR="00082F8F" w:rsidRPr="009E0A88" w:rsidRDefault="00082F8F" w:rsidP="00104A6D">
            <w:pPr>
              <w:keepNext/>
              <w:keepLines/>
              <w:jc w:val="both"/>
              <w:rPr>
                <w:b/>
              </w:rPr>
            </w:pPr>
            <w:r w:rsidRPr="009E0A88">
              <w:rPr>
                <w:b/>
              </w:rPr>
              <w:t xml:space="preserve">Component </w:t>
            </w:r>
          </w:p>
        </w:tc>
        <w:tc>
          <w:tcPr>
            <w:tcW w:w="992" w:type="dxa"/>
            <w:gridSpan w:val="2"/>
            <w:shd w:val="clear" w:color="auto" w:fill="A6A6A6" w:themeFill="background1" w:themeFillShade="A6"/>
            <w:noWrap/>
            <w:hideMark/>
          </w:tcPr>
          <w:p w14:paraId="3666CD68" w14:textId="77777777" w:rsidR="00082F8F" w:rsidRPr="009E0A88" w:rsidRDefault="00082F8F" w:rsidP="00104A6D">
            <w:pPr>
              <w:keepNext/>
              <w:keepLines/>
              <w:jc w:val="both"/>
              <w:rPr>
                <w:b/>
              </w:rPr>
            </w:pPr>
            <w:r w:rsidRPr="009E0A88">
              <w:rPr>
                <w:b/>
              </w:rPr>
              <w:t xml:space="preserve">Type of analysis </w:t>
            </w:r>
          </w:p>
        </w:tc>
        <w:tc>
          <w:tcPr>
            <w:tcW w:w="992" w:type="dxa"/>
            <w:shd w:val="clear" w:color="auto" w:fill="A6A6A6" w:themeFill="background1" w:themeFillShade="A6"/>
            <w:noWrap/>
            <w:hideMark/>
          </w:tcPr>
          <w:p w14:paraId="20E2E15B" w14:textId="77777777" w:rsidR="00082F8F" w:rsidRPr="009E0A88" w:rsidRDefault="00082F8F" w:rsidP="00104A6D">
            <w:pPr>
              <w:keepNext/>
              <w:keepLines/>
              <w:jc w:val="both"/>
              <w:rPr>
                <w:b/>
              </w:rPr>
            </w:pPr>
            <w:r w:rsidRPr="009E0A88">
              <w:rPr>
                <w:b/>
              </w:rPr>
              <w:t>Population</w:t>
            </w:r>
          </w:p>
        </w:tc>
        <w:tc>
          <w:tcPr>
            <w:tcW w:w="1276" w:type="dxa"/>
            <w:shd w:val="clear" w:color="auto" w:fill="A6A6A6" w:themeFill="background1" w:themeFillShade="A6"/>
            <w:noWrap/>
            <w:hideMark/>
          </w:tcPr>
          <w:p w14:paraId="3AEC19FB" w14:textId="77777777" w:rsidR="00082F8F" w:rsidRPr="009E0A88" w:rsidRDefault="00082F8F" w:rsidP="00104A6D">
            <w:pPr>
              <w:keepNext/>
              <w:keepLines/>
              <w:jc w:val="both"/>
              <w:rPr>
                <w:b/>
              </w:rPr>
            </w:pPr>
            <w:r>
              <w:rPr>
                <w:b/>
              </w:rPr>
              <w:t>Comparator</w:t>
            </w:r>
          </w:p>
        </w:tc>
        <w:tc>
          <w:tcPr>
            <w:tcW w:w="1134" w:type="dxa"/>
            <w:shd w:val="clear" w:color="auto" w:fill="A6A6A6" w:themeFill="background1" w:themeFillShade="A6"/>
            <w:noWrap/>
            <w:hideMark/>
          </w:tcPr>
          <w:p w14:paraId="0EAD7553" w14:textId="77777777" w:rsidR="00082F8F" w:rsidRPr="009E0A88" w:rsidRDefault="00082F8F" w:rsidP="00104A6D">
            <w:pPr>
              <w:keepNext/>
              <w:keepLines/>
              <w:jc w:val="both"/>
              <w:rPr>
                <w:b/>
              </w:rPr>
            </w:pPr>
            <w:r w:rsidRPr="009E0A88">
              <w:rPr>
                <w:b/>
              </w:rPr>
              <w:t>Time horizon</w:t>
            </w:r>
          </w:p>
        </w:tc>
        <w:tc>
          <w:tcPr>
            <w:tcW w:w="3558" w:type="dxa"/>
            <w:shd w:val="clear" w:color="auto" w:fill="A6A6A6" w:themeFill="background1" w:themeFillShade="A6"/>
            <w:noWrap/>
            <w:hideMark/>
          </w:tcPr>
          <w:p w14:paraId="2F7A9B0A" w14:textId="77777777" w:rsidR="00082F8F" w:rsidRPr="009E0A88" w:rsidRDefault="00082F8F" w:rsidP="00104A6D">
            <w:pPr>
              <w:keepNext/>
              <w:keepLines/>
              <w:jc w:val="both"/>
              <w:rPr>
                <w:b/>
              </w:rPr>
            </w:pPr>
            <w:r w:rsidRPr="009E0A88">
              <w:rPr>
                <w:b/>
              </w:rPr>
              <w:t>Cost per QALY</w:t>
            </w:r>
          </w:p>
          <w:p w14:paraId="0D9A96B8" w14:textId="77777777" w:rsidR="00082F8F" w:rsidRPr="009E0A88" w:rsidRDefault="00082F8F" w:rsidP="00104A6D">
            <w:pPr>
              <w:keepNext/>
              <w:keepLines/>
              <w:jc w:val="both"/>
              <w:rPr>
                <w:b/>
              </w:rPr>
            </w:pPr>
            <w:r w:rsidRPr="009E0A88">
              <w:rPr>
                <w:b/>
              </w:rPr>
              <w:t>PBAC outcome</w:t>
            </w:r>
          </w:p>
        </w:tc>
      </w:tr>
      <w:tr w:rsidR="00082F8F" w:rsidRPr="009E0A88" w14:paraId="13CB7C55" w14:textId="77777777" w:rsidTr="00CB29D0">
        <w:trPr>
          <w:trHeight w:val="300"/>
        </w:trPr>
        <w:tc>
          <w:tcPr>
            <w:tcW w:w="1413" w:type="dxa"/>
            <w:noWrap/>
            <w:hideMark/>
          </w:tcPr>
          <w:p w14:paraId="2ABB20CB" w14:textId="77777777" w:rsidR="00082F8F" w:rsidRPr="000454A2" w:rsidRDefault="00082F8F" w:rsidP="00104A6D">
            <w:pPr>
              <w:keepNext/>
              <w:keepLines/>
              <w:jc w:val="both"/>
            </w:pPr>
            <w:r w:rsidRPr="000454A2">
              <w:t>Efalizumab 2005</w:t>
            </w:r>
          </w:p>
        </w:tc>
        <w:tc>
          <w:tcPr>
            <w:tcW w:w="963" w:type="dxa"/>
            <w:noWrap/>
            <w:hideMark/>
          </w:tcPr>
          <w:p w14:paraId="67E5CDE8" w14:textId="77777777" w:rsidR="00082F8F" w:rsidRPr="000454A2" w:rsidRDefault="00082F8F" w:rsidP="00104A6D">
            <w:pPr>
              <w:keepNext/>
              <w:keepLines/>
              <w:jc w:val="both"/>
            </w:pPr>
            <w:r w:rsidRPr="000454A2">
              <w:t>Cost-utility analysis</w:t>
            </w:r>
          </w:p>
        </w:tc>
        <w:tc>
          <w:tcPr>
            <w:tcW w:w="1021" w:type="dxa"/>
            <w:gridSpan w:val="2"/>
            <w:noWrap/>
            <w:hideMark/>
          </w:tcPr>
          <w:p w14:paraId="76192607" w14:textId="77777777" w:rsidR="00082F8F" w:rsidRPr="000454A2" w:rsidRDefault="00082F8F" w:rsidP="00104A6D">
            <w:pPr>
              <w:keepNext/>
              <w:keepLines/>
              <w:jc w:val="both"/>
            </w:pPr>
            <w:r w:rsidRPr="000454A2">
              <w:t>Adults sCPP</w:t>
            </w:r>
          </w:p>
        </w:tc>
        <w:tc>
          <w:tcPr>
            <w:tcW w:w="1276" w:type="dxa"/>
            <w:noWrap/>
            <w:hideMark/>
          </w:tcPr>
          <w:p w14:paraId="3DD4D833" w14:textId="77777777" w:rsidR="00082F8F" w:rsidRPr="000454A2" w:rsidRDefault="00082F8F" w:rsidP="00104A6D">
            <w:pPr>
              <w:keepNext/>
              <w:keepLines/>
              <w:jc w:val="both"/>
            </w:pPr>
            <w:r w:rsidRPr="000454A2">
              <w:rPr>
                <w:lang w:val="en-US"/>
              </w:rPr>
              <w:t>Placebo</w:t>
            </w:r>
          </w:p>
        </w:tc>
        <w:tc>
          <w:tcPr>
            <w:tcW w:w="1134" w:type="dxa"/>
            <w:noWrap/>
            <w:hideMark/>
          </w:tcPr>
          <w:p w14:paraId="2976E788" w14:textId="77777777" w:rsidR="00082F8F" w:rsidRPr="00486E7E" w:rsidRDefault="00486E7E" w:rsidP="00104A6D">
            <w:pPr>
              <w:keepNext/>
              <w:keepLines/>
              <w:jc w:val="both"/>
              <w:rPr>
                <w:highlight w:val="black"/>
              </w:rPr>
            </w:pPr>
            <w:r>
              <w:rPr>
                <w:noProof/>
                <w:color w:val="000000"/>
                <w:highlight w:val="black"/>
                <w:lang w:val="en-US"/>
              </w:rPr>
              <w:t>'' '''''''''''</w:t>
            </w:r>
          </w:p>
        </w:tc>
        <w:tc>
          <w:tcPr>
            <w:tcW w:w="3558" w:type="dxa"/>
            <w:noWrap/>
          </w:tcPr>
          <w:p w14:paraId="519D1F6D" w14:textId="2D9FEFA9" w:rsidR="00082F8F" w:rsidRPr="000454A2" w:rsidRDefault="00082F8F" w:rsidP="00104A6D">
            <w:pPr>
              <w:keepNext/>
              <w:keepLines/>
              <w:rPr>
                <w:lang w:val="en-US"/>
              </w:rPr>
            </w:pPr>
            <w:r w:rsidRPr="000454A2">
              <w:rPr>
                <w:lang w:val="en-US"/>
              </w:rPr>
              <w:t>Recommended on a cost</w:t>
            </w:r>
            <w:r w:rsidR="00533BC4">
              <w:rPr>
                <w:lang w:val="en-US"/>
              </w:rPr>
              <w:t>-</w:t>
            </w:r>
            <w:r w:rsidRPr="000454A2">
              <w:rPr>
                <w:lang w:val="en-US"/>
              </w:rPr>
              <w:t>effectiveness basis to placebo within the range of $45,000 - $75,000/QALY gain</w:t>
            </w:r>
          </w:p>
        </w:tc>
      </w:tr>
      <w:tr w:rsidR="00082F8F" w:rsidRPr="009E0A88" w14:paraId="50FA9A14" w14:textId="77777777" w:rsidTr="00CB29D0">
        <w:trPr>
          <w:trHeight w:val="300"/>
        </w:trPr>
        <w:tc>
          <w:tcPr>
            <w:tcW w:w="1413" w:type="dxa"/>
            <w:noWrap/>
          </w:tcPr>
          <w:p w14:paraId="006D734B" w14:textId="77777777" w:rsidR="00082F8F" w:rsidRPr="009E0A88" w:rsidRDefault="00082F8F" w:rsidP="00104A6D">
            <w:pPr>
              <w:keepNext/>
              <w:keepLines/>
              <w:jc w:val="both"/>
            </w:pPr>
            <w:r w:rsidRPr="009E0A88">
              <w:t>Etanercept 2006</w:t>
            </w:r>
          </w:p>
        </w:tc>
        <w:tc>
          <w:tcPr>
            <w:tcW w:w="963" w:type="dxa"/>
            <w:noWrap/>
          </w:tcPr>
          <w:p w14:paraId="01ECB062" w14:textId="77777777" w:rsidR="00082F8F" w:rsidRPr="009E0A88" w:rsidRDefault="00082F8F" w:rsidP="00104A6D">
            <w:pPr>
              <w:keepNext/>
              <w:keepLines/>
              <w:jc w:val="both"/>
            </w:pPr>
            <w:r w:rsidRPr="009E0A88">
              <w:t>Cost-utility analysis</w:t>
            </w:r>
          </w:p>
        </w:tc>
        <w:tc>
          <w:tcPr>
            <w:tcW w:w="1021" w:type="dxa"/>
            <w:gridSpan w:val="2"/>
            <w:noWrap/>
          </w:tcPr>
          <w:p w14:paraId="7037528D" w14:textId="77777777" w:rsidR="00082F8F" w:rsidRPr="009E0A88" w:rsidRDefault="00082F8F" w:rsidP="00104A6D">
            <w:pPr>
              <w:keepNext/>
              <w:keepLines/>
              <w:jc w:val="both"/>
            </w:pPr>
            <w:r w:rsidRPr="009E0A88">
              <w:t>Adults sCPP</w:t>
            </w:r>
          </w:p>
        </w:tc>
        <w:tc>
          <w:tcPr>
            <w:tcW w:w="1276" w:type="dxa"/>
            <w:noWrap/>
          </w:tcPr>
          <w:p w14:paraId="1566E458" w14:textId="77777777" w:rsidR="00082F8F" w:rsidRPr="009E0A88" w:rsidRDefault="00082F8F" w:rsidP="00104A6D">
            <w:pPr>
              <w:keepNext/>
              <w:keepLines/>
              <w:jc w:val="both"/>
              <w:rPr>
                <w:lang w:val="en-US"/>
              </w:rPr>
            </w:pPr>
            <w:r w:rsidRPr="009E0A88">
              <w:rPr>
                <w:lang w:val="en-US"/>
              </w:rPr>
              <w:t>Placebo</w:t>
            </w:r>
          </w:p>
        </w:tc>
        <w:tc>
          <w:tcPr>
            <w:tcW w:w="1134" w:type="dxa"/>
            <w:noWrap/>
          </w:tcPr>
          <w:p w14:paraId="2752CB87" w14:textId="77777777" w:rsidR="00082F8F" w:rsidRPr="000454A2" w:rsidRDefault="00082F8F" w:rsidP="00104A6D">
            <w:pPr>
              <w:keepNext/>
              <w:keepLines/>
              <w:jc w:val="both"/>
              <w:rPr>
                <w:highlight w:val="yellow"/>
                <w:lang w:val="en-US"/>
              </w:rPr>
            </w:pPr>
            <w:r w:rsidRPr="00F950C3">
              <w:rPr>
                <w:lang w:val="en-US"/>
              </w:rPr>
              <w:t>10 years</w:t>
            </w:r>
          </w:p>
        </w:tc>
        <w:tc>
          <w:tcPr>
            <w:tcW w:w="3558" w:type="dxa"/>
            <w:noWrap/>
          </w:tcPr>
          <w:p w14:paraId="2E56BF6E" w14:textId="6BB9F2ED" w:rsidR="00082F8F" w:rsidRPr="009E0A88" w:rsidRDefault="00082F8F" w:rsidP="00104A6D">
            <w:pPr>
              <w:keepNext/>
              <w:keepLines/>
            </w:pPr>
            <w:r>
              <w:t>Rejected based on cost</w:t>
            </w:r>
            <w:r w:rsidR="00533BC4">
              <w:t>-</w:t>
            </w:r>
            <w:r>
              <w:t xml:space="preserve">effectiveness to placebo but </w:t>
            </w:r>
            <w:r w:rsidR="00F950C3">
              <w:t xml:space="preserve">recommended </w:t>
            </w:r>
            <w:r w:rsidRPr="000454A2">
              <w:t>on a cost-minimi</w:t>
            </w:r>
            <w:r>
              <w:t>sation basis with efalizumab</w:t>
            </w:r>
          </w:p>
        </w:tc>
      </w:tr>
      <w:tr w:rsidR="00082F8F" w:rsidRPr="009E0A88" w14:paraId="503410A4" w14:textId="77777777" w:rsidTr="00CB29D0">
        <w:trPr>
          <w:trHeight w:val="300"/>
        </w:trPr>
        <w:tc>
          <w:tcPr>
            <w:tcW w:w="1413" w:type="dxa"/>
            <w:noWrap/>
            <w:hideMark/>
          </w:tcPr>
          <w:p w14:paraId="38F5D72B" w14:textId="77777777" w:rsidR="00082F8F" w:rsidRPr="009E0A88" w:rsidRDefault="00082F8F" w:rsidP="00104A6D">
            <w:pPr>
              <w:keepNext/>
              <w:keepLines/>
              <w:jc w:val="both"/>
            </w:pPr>
            <w:r w:rsidRPr="009E0A88">
              <w:t>Infliximab 2006</w:t>
            </w:r>
          </w:p>
        </w:tc>
        <w:tc>
          <w:tcPr>
            <w:tcW w:w="963" w:type="dxa"/>
            <w:noWrap/>
            <w:hideMark/>
          </w:tcPr>
          <w:p w14:paraId="4A4C67A9" w14:textId="77777777" w:rsidR="00082F8F" w:rsidRPr="009E0A88" w:rsidRDefault="00082F8F" w:rsidP="00104A6D">
            <w:pPr>
              <w:keepNext/>
              <w:keepLines/>
              <w:jc w:val="both"/>
            </w:pPr>
            <w:r w:rsidRPr="009E0A88">
              <w:t>Cost-utility analysis</w:t>
            </w:r>
          </w:p>
        </w:tc>
        <w:tc>
          <w:tcPr>
            <w:tcW w:w="1021" w:type="dxa"/>
            <w:gridSpan w:val="2"/>
            <w:noWrap/>
            <w:hideMark/>
          </w:tcPr>
          <w:p w14:paraId="70318C78" w14:textId="77777777" w:rsidR="00082F8F" w:rsidRPr="009E0A88" w:rsidRDefault="00082F8F" w:rsidP="00104A6D">
            <w:pPr>
              <w:keepNext/>
              <w:keepLines/>
              <w:jc w:val="both"/>
            </w:pPr>
            <w:r w:rsidRPr="009E0A88">
              <w:t>Adults sCPP</w:t>
            </w:r>
          </w:p>
        </w:tc>
        <w:tc>
          <w:tcPr>
            <w:tcW w:w="1276" w:type="dxa"/>
            <w:noWrap/>
            <w:hideMark/>
          </w:tcPr>
          <w:p w14:paraId="37E6BBC6" w14:textId="77777777" w:rsidR="00082F8F" w:rsidRPr="009E0A88" w:rsidRDefault="00082F8F" w:rsidP="00104A6D">
            <w:pPr>
              <w:keepNext/>
              <w:keepLines/>
              <w:jc w:val="both"/>
            </w:pPr>
            <w:r w:rsidRPr="009E0A88">
              <w:t>Efalizumab</w:t>
            </w:r>
          </w:p>
        </w:tc>
        <w:tc>
          <w:tcPr>
            <w:tcW w:w="1134" w:type="dxa"/>
            <w:noWrap/>
            <w:hideMark/>
          </w:tcPr>
          <w:p w14:paraId="29BE6F3A" w14:textId="77777777" w:rsidR="00082F8F" w:rsidRPr="009E0A88" w:rsidRDefault="00082F8F" w:rsidP="00104A6D">
            <w:pPr>
              <w:keepNext/>
              <w:keepLines/>
              <w:jc w:val="both"/>
            </w:pPr>
            <w:r w:rsidRPr="009E0A88">
              <w:t>254 weeks (4.9 years)</w:t>
            </w:r>
          </w:p>
        </w:tc>
        <w:tc>
          <w:tcPr>
            <w:tcW w:w="3558" w:type="dxa"/>
            <w:noWrap/>
          </w:tcPr>
          <w:p w14:paraId="09BDC4D0" w14:textId="77777777" w:rsidR="00082F8F" w:rsidRPr="009E0A88" w:rsidRDefault="00082F8F" w:rsidP="00104A6D">
            <w:pPr>
              <w:keepNext/>
              <w:keepLines/>
            </w:pPr>
            <w:r>
              <w:t>Rejected the submission’s claim of cost-effectiveness over efalizumab on the grounds of a high incremental cost-effectiveness ratio</w:t>
            </w:r>
          </w:p>
        </w:tc>
      </w:tr>
      <w:tr w:rsidR="00082F8F" w:rsidRPr="009E0A88" w14:paraId="43C10D0E" w14:textId="77777777" w:rsidTr="00CB29D0">
        <w:trPr>
          <w:trHeight w:val="300"/>
        </w:trPr>
        <w:tc>
          <w:tcPr>
            <w:tcW w:w="1413" w:type="dxa"/>
            <w:noWrap/>
            <w:hideMark/>
          </w:tcPr>
          <w:p w14:paraId="786F3C71" w14:textId="77777777" w:rsidR="00082F8F" w:rsidRPr="00486E7E" w:rsidRDefault="00486E7E" w:rsidP="00104A6D">
            <w:pPr>
              <w:keepNext/>
              <w:keepLines/>
              <w:jc w:val="both"/>
              <w:rPr>
                <w:highlight w:val="black"/>
              </w:rPr>
            </w:pPr>
            <w:r>
              <w:rPr>
                <w:noProof/>
                <w:color w:val="000000"/>
                <w:highlight w:val="black"/>
              </w:rPr>
              <w:t>''''''''''''''''''' ''''''''''</w:t>
            </w:r>
          </w:p>
        </w:tc>
        <w:tc>
          <w:tcPr>
            <w:tcW w:w="963" w:type="dxa"/>
            <w:noWrap/>
            <w:hideMark/>
          </w:tcPr>
          <w:p w14:paraId="5E6EA539" w14:textId="77777777" w:rsidR="00082F8F" w:rsidRPr="00486E7E" w:rsidRDefault="00486E7E" w:rsidP="00104A6D">
            <w:pPr>
              <w:keepNext/>
              <w:keepLines/>
              <w:jc w:val="both"/>
              <w:rPr>
                <w:highlight w:val="black"/>
              </w:rPr>
            </w:pPr>
            <w:r>
              <w:rPr>
                <w:noProof/>
                <w:color w:val="000000"/>
                <w:highlight w:val="black"/>
              </w:rPr>
              <w:t>'''''''''''''''''' '''''''''''''''</w:t>
            </w:r>
          </w:p>
        </w:tc>
        <w:tc>
          <w:tcPr>
            <w:tcW w:w="1021" w:type="dxa"/>
            <w:gridSpan w:val="2"/>
            <w:noWrap/>
            <w:hideMark/>
          </w:tcPr>
          <w:p w14:paraId="55C56461" w14:textId="77777777" w:rsidR="00082F8F" w:rsidRPr="00486E7E" w:rsidRDefault="00486E7E" w:rsidP="00104A6D">
            <w:pPr>
              <w:keepNext/>
              <w:keepLines/>
              <w:jc w:val="both"/>
              <w:rPr>
                <w:highlight w:val="black"/>
              </w:rPr>
            </w:pPr>
            <w:r>
              <w:rPr>
                <w:noProof/>
                <w:color w:val="000000"/>
                <w:highlight w:val="black"/>
              </w:rPr>
              <w:t>''''''''''' ''''''''''</w:t>
            </w:r>
          </w:p>
        </w:tc>
        <w:tc>
          <w:tcPr>
            <w:tcW w:w="1276" w:type="dxa"/>
            <w:noWrap/>
            <w:hideMark/>
          </w:tcPr>
          <w:p w14:paraId="10A8D3EE" w14:textId="77777777" w:rsidR="00082F8F" w:rsidRPr="00486E7E" w:rsidRDefault="00486E7E" w:rsidP="00104A6D">
            <w:pPr>
              <w:keepNext/>
              <w:keepLines/>
              <w:jc w:val="both"/>
              <w:rPr>
                <w:highlight w:val="black"/>
              </w:rPr>
            </w:pPr>
            <w:r>
              <w:rPr>
                <w:noProof/>
                <w:color w:val="000000"/>
                <w:highlight w:val="black"/>
              </w:rPr>
              <w:t>'''''''''''''''''''''</w:t>
            </w:r>
          </w:p>
        </w:tc>
        <w:tc>
          <w:tcPr>
            <w:tcW w:w="1134" w:type="dxa"/>
            <w:noWrap/>
            <w:hideMark/>
          </w:tcPr>
          <w:p w14:paraId="37D6FA26" w14:textId="77777777" w:rsidR="00082F8F" w:rsidRPr="00486E7E" w:rsidRDefault="00486E7E" w:rsidP="00104A6D">
            <w:pPr>
              <w:keepNext/>
              <w:keepLines/>
              <w:jc w:val="both"/>
              <w:rPr>
                <w:highlight w:val="black"/>
              </w:rPr>
            </w:pPr>
            <w:r>
              <w:rPr>
                <w:noProof/>
                <w:color w:val="000000"/>
                <w:highlight w:val="black"/>
              </w:rPr>
              <w:t>'''''''' ''''''''''' ''''''' ''''''''''''</w:t>
            </w:r>
          </w:p>
        </w:tc>
        <w:tc>
          <w:tcPr>
            <w:tcW w:w="3558" w:type="dxa"/>
            <w:noWrap/>
          </w:tcPr>
          <w:p w14:paraId="4D474F7B" w14:textId="77777777" w:rsidR="00082F8F" w:rsidRPr="00486E7E" w:rsidRDefault="00486E7E" w:rsidP="00104A6D">
            <w:pPr>
              <w:keepNext/>
              <w:keepLines/>
              <w:rPr>
                <w:highlight w:val="black"/>
              </w:rPr>
            </w:pPr>
            <w:r>
              <w:rPr>
                <w:noProof/>
                <w:color w:val="000000"/>
                <w:highlight w:val="black"/>
              </w:rPr>
              <w:t>''''''''''''''''''''''''' '''''''''' ''''' '''''''''''''''''''' ''''''' '''''''''''''''''''''''''' '''''''''''''''''' ''''''''' ''''''''''''''''''' ''''' '''''''''''''''''''''' '''''''''''' ''''''' ''''''''''' '''' ''''''''''''''' '' ''''''''''''''''''''''''''''' ''''''''</w:t>
            </w:r>
          </w:p>
        </w:tc>
      </w:tr>
      <w:tr w:rsidR="00082F8F" w:rsidRPr="005F6D51" w14:paraId="4BB7397B" w14:textId="77777777" w:rsidTr="00CB29D0">
        <w:trPr>
          <w:trHeight w:val="300"/>
        </w:trPr>
        <w:tc>
          <w:tcPr>
            <w:tcW w:w="1413" w:type="dxa"/>
            <w:noWrap/>
            <w:hideMark/>
          </w:tcPr>
          <w:p w14:paraId="601EB716" w14:textId="77777777" w:rsidR="00082F8F" w:rsidRPr="005F6D51" w:rsidRDefault="00082F8F" w:rsidP="00104A6D">
            <w:pPr>
              <w:keepNext/>
              <w:keepLines/>
              <w:jc w:val="both"/>
            </w:pPr>
            <w:r w:rsidRPr="005F6D51">
              <w:t>Ustekinumab 2009</w:t>
            </w:r>
          </w:p>
        </w:tc>
        <w:tc>
          <w:tcPr>
            <w:tcW w:w="963" w:type="dxa"/>
            <w:noWrap/>
            <w:hideMark/>
          </w:tcPr>
          <w:p w14:paraId="1562C181" w14:textId="77777777" w:rsidR="00082F8F" w:rsidRPr="005F6D51" w:rsidRDefault="00082F8F" w:rsidP="00104A6D">
            <w:pPr>
              <w:keepNext/>
              <w:keepLines/>
              <w:jc w:val="both"/>
            </w:pPr>
            <w:r w:rsidRPr="005F6D51">
              <w:t>Cost-utility analysis</w:t>
            </w:r>
          </w:p>
        </w:tc>
        <w:tc>
          <w:tcPr>
            <w:tcW w:w="1021" w:type="dxa"/>
            <w:gridSpan w:val="2"/>
            <w:noWrap/>
            <w:hideMark/>
          </w:tcPr>
          <w:p w14:paraId="08A624AB" w14:textId="77777777" w:rsidR="00082F8F" w:rsidRPr="005F6D51" w:rsidRDefault="00082F8F" w:rsidP="00104A6D">
            <w:pPr>
              <w:keepNext/>
              <w:keepLines/>
              <w:jc w:val="both"/>
            </w:pPr>
            <w:r w:rsidRPr="005F6D51">
              <w:t>Adults sCPP</w:t>
            </w:r>
          </w:p>
        </w:tc>
        <w:tc>
          <w:tcPr>
            <w:tcW w:w="1276" w:type="dxa"/>
            <w:noWrap/>
            <w:hideMark/>
          </w:tcPr>
          <w:p w14:paraId="68D96D70" w14:textId="77777777" w:rsidR="00082F8F" w:rsidRPr="005F6D51" w:rsidRDefault="00082F8F" w:rsidP="00104A6D">
            <w:pPr>
              <w:keepNext/>
              <w:keepLines/>
            </w:pPr>
            <w:r w:rsidRPr="005F6D51">
              <w:t>Infliximab or etanercept</w:t>
            </w:r>
          </w:p>
        </w:tc>
        <w:tc>
          <w:tcPr>
            <w:tcW w:w="1134" w:type="dxa"/>
            <w:noWrap/>
            <w:hideMark/>
          </w:tcPr>
          <w:p w14:paraId="7848602A" w14:textId="77777777" w:rsidR="00082F8F" w:rsidRPr="005F6D51" w:rsidRDefault="00082F8F" w:rsidP="00104A6D">
            <w:pPr>
              <w:keepNext/>
              <w:keepLines/>
              <w:jc w:val="both"/>
            </w:pPr>
            <w:r w:rsidRPr="005F6D51">
              <w:t>5 years</w:t>
            </w:r>
          </w:p>
        </w:tc>
        <w:tc>
          <w:tcPr>
            <w:tcW w:w="3558" w:type="dxa"/>
            <w:noWrap/>
          </w:tcPr>
          <w:p w14:paraId="0B9E1C7A" w14:textId="77777777" w:rsidR="00082F8F" w:rsidRPr="005F6D51" w:rsidRDefault="00082F8F" w:rsidP="00104A6D">
            <w:pPr>
              <w:keepNext/>
              <w:keepLines/>
            </w:pPr>
            <w:r w:rsidRPr="005F6D51">
              <w:t>Recommended based on acceptable cost-effectiveness compared with etanercept</w:t>
            </w:r>
            <w:r>
              <w:t xml:space="preserve"> within the range of $15,000 - $4</w:t>
            </w:r>
            <w:r w:rsidRPr="005F6D51">
              <w:t>5,000/QALY gain</w:t>
            </w:r>
          </w:p>
        </w:tc>
      </w:tr>
      <w:tr w:rsidR="00082F8F" w:rsidRPr="00E12B3B" w14:paraId="59B1CEFE" w14:textId="77777777" w:rsidTr="00CB29D0">
        <w:trPr>
          <w:trHeight w:val="300"/>
        </w:trPr>
        <w:tc>
          <w:tcPr>
            <w:tcW w:w="1413" w:type="dxa"/>
            <w:noWrap/>
            <w:hideMark/>
          </w:tcPr>
          <w:p w14:paraId="4F24F042" w14:textId="77777777" w:rsidR="00082F8F" w:rsidRPr="00E12B3B" w:rsidRDefault="00082F8F" w:rsidP="00104A6D">
            <w:pPr>
              <w:keepNext/>
              <w:keepLines/>
              <w:jc w:val="both"/>
            </w:pPr>
            <w:r w:rsidRPr="00E12B3B">
              <w:t>Adalimumab 2009</w:t>
            </w:r>
          </w:p>
        </w:tc>
        <w:tc>
          <w:tcPr>
            <w:tcW w:w="963" w:type="dxa"/>
            <w:noWrap/>
            <w:hideMark/>
          </w:tcPr>
          <w:p w14:paraId="5722063E" w14:textId="77777777" w:rsidR="00082F8F" w:rsidRPr="00E12B3B" w:rsidRDefault="00082F8F" w:rsidP="00104A6D">
            <w:pPr>
              <w:keepNext/>
              <w:keepLines/>
              <w:jc w:val="both"/>
            </w:pPr>
            <w:r w:rsidRPr="00E12B3B">
              <w:t>Cost-utility analysis</w:t>
            </w:r>
          </w:p>
        </w:tc>
        <w:tc>
          <w:tcPr>
            <w:tcW w:w="1021" w:type="dxa"/>
            <w:gridSpan w:val="2"/>
            <w:noWrap/>
            <w:hideMark/>
          </w:tcPr>
          <w:p w14:paraId="4F565270" w14:textId="77777777" w:rsidR="00082F8F" w:rsidRPr="00E12B3B" w:rsidRDefault="00082F8F" w:rsidP="00104A6D">
            <w:pPr>
              <w:keepNext/>
              <w:keepLines/>
              <w:jc w:val="both"/>
            </w:pPr>
            <w:r w:rsidRPr="00E12B3B">
              <w:t>Adults sCPP</w:t>
            </w:r>
          </w:p>
        </w:tc>
        <w:tc>
          <w:tcPr>
            <w:tcW w:w="1276" w:type="dxa"/>
            <w:noWrap/>
            <w:hideMark/>
          </w:tcPr>
          <w:p w14:paraId="3DA56B54" w14:textId="77777777" w:rsidR="00082F8F" w:rsidRPr="00E12B3B" w:rsidRDefault="00082F8F" w:rsidP="00104A6D">
            <w:pPr>
              <w:keepNext/>
              <w:keepLines/>
              <w:jc w:val="both"/>
            </w:pPr>
            <w:r>
              <w:t>E</w:t>
            </w:r>
            <w:r w:rsidRPr="00E12B3B">
              <w:t xml:space="preserve">falizumab, </w:t>
            </w:r>
            <w:r>
              <w:t xml:space="preserve">and </w:t>
            </w:r>
            <w:r w:rsidRPr="00E12B3B">
              <w:t xml:space="preserve">infliximab </w:t>
            </w:r>
          </w:p>
        </w:tc>
        <w:tc>
          <w:tcPr>
            <w:tcW w:w="1134" w:type="dxa"/>
            <w:noWrap/>
            <w:hideMark/>
          </w:tcPr>
          <w:p w14:paraId="0E134ACA" w14:textId="77777777" w:rsidR="00082F8F" w:rsidRPr="00E12B3B" w:rsidRDefault="00082F8F" w:rsidP="00104A6D">
            <w:pPr>
              <w:keepNext/>
              <w:keepLines/>
              <w:jc w:val="both"/>
            </w:pPr>
            <w:r w:rsidRPr="00E12B3B">
              <w:t>5 years</w:t>
            </w:r>
          </w:p>
        </w:tc>
        <w:tc>
          <w:tcPr>
            <w:tcW w:w="3558" w:type="dxa"/>
            <w:noWrap/>
          </w:tcPr>
          <w:p w14:paraId="1528CF9F" w14:textId="57A9686B" w:rsidR="00082F8F" w:rsidRPr="00E12B3B" w:rsidRDefault="00082F8F" w:rsidP="00104A6D">
            <w:pPr>
              <w:keepNext/>
              <w:keepLines/>
            </w:pPr>
            <w:r>
              <w:t>Rejected based on cost</w:t>
            </w:r>
            <w:r w:rsidR="00533BC4">
              <w:t>-</w:t>
            </w:r>
            <w:r>
              <w:t>effectiveness but r</w:t>
            </w:r>
            <w:r w:rsidRPr="00E12B3B">
              <w:t>ecommended on a cost-minimisation basis with efalizumab or etanercept</w:t>
            </w:r>
          </w:p>
        </w:tc>
      </w:tr>
      <w:tr w:rsidR="00082F8F" w:rsidRPr="009E0A88" w14:paraId="2CBFB350" w14:textId="77777777" w:rsidTr="00CB29D0">
        <w:trPr>
          <w:trHeight w:val="300"/>
        </w:trPr>
        <w:tc>
          <w:tcPr>
            <w:tcW w:w="1413" w:type="dxa"/>
            <w:noWrap/>
            <w:hideMark/>
          </w:tcPr>
          <w:p w14:paraId="155EC403" w14:textId="77777777" w:rsidR="00082F8F" w:rsidRPr="009E0A88" w:rsidRDefault="00082F8F" w:rsidP="00104A6D">
            <w:pPr>
              <w:keepNext/>
              <w:keepLines/>
              <w:jc w:val="both"/>
            </w:pPr>
            <w:r w:rsidRPr="009E0A88">
              <w:t>Adalimumab 2013</w:t>
            </w:r>
          </w:p>
        </w:tc>
        <w:tc>
          <w:tcPr>
            <w:tcW w:w="963" w:type="dxa"/>
            <w:noWrap/>
            <w:hideMark/>
          </w:tcPr>
          <w:p w14:paraId="6F92637B" w14:textId="77777777" w:rsidR="00082F8F" w:rsidRPr="009E0A88" w:rsidRDefault="00082F8F" w:rsidP="00104A6D">
            <w:pPr>
              <w:keepNext/>
              <w:keepLines/>
              <w:jc w:val="both"/>
            </w:pPr>
            <w:r w:rsidRPr="009E0A88">
              <w:t>Cost-utility analysis</w:t>
            </w:r>
          </w:p>
        </w:tc>
        <w:tc>
          <w:tcPr>
            <w:tcW w:w="1021" w:type="dxa"/>
            <w:gridSpan w:val="2"/>
            <w:noWrap/>
            <w:hideMark/>
          </w:tcPr>
          <w:p w14:paraId="5DFF4EF5" w14:textId="1917ABE9" w:rsidR="00082F8F" w:rsidRPr="009E0A88" w:rsidRDefault="00082F8F" w:rsidP="00104A6D">
            <w:pPr>
              <w:keepNext/>
              <w:keepLines/>
              <w:jc w:val="both"/>
            </w:pPr>
            <w:r w:rsidRPr="009E0A88">
              <w:t xml:space="preserve">Adults </w:t>
            </w:r>
            <w:r w:rsidR="000716A1">
              <w:t>m</w:t>
            </w:r>
            <w:r w:rsidRPr="009E0A88">
              <w:t>CPP</w:t>
            </w:r>
          </w:p>
        </w:tc>
        <w:tc>
          <w:tcPr>
            <w:tcW w:w="1276" w:type="dxa"/>
            <w:noWrap/>
            <w:hideMark/>
          </w:tcPr>
          <w:p w14:paraId="2684EECA" w14:textId="77777777" w:rsidR="00082F8F" w:rsidRPr="009E0A88" w:rsidRDefault="00082F8F" w:rsidP="00104A6D">
            <w:pPr>
              <w:keepNext/>
              <w:keepLines/>
              <w:jc w:val="both"/>
            </w:pPr>
            <w:r w:rsidRPr="009E0A88">
              <w:t>Placebo or standard care</w:t>
            </w:r>
          </w:p>
        </w:tc>
        <w:tc>
          <w:tcPr>
            <w:tcW w:w="1134" w:type="dxa"/>
            <w:noWrap/>
            <w:hideMark/>
          </w:tcPr>
          <w:p w14:paraId="54C9706E" w14:textId="77777777" w:rsidR="00082F8F" w:rsidRPr="009E0A88" w:rsidRDefault="00082F8F" w:rsidP="00104A6D">
            <w:pPr>
              <w:keepNext/>
              <w:keepLines/>
              <w:jc w:val="both"/>
            </w:pPr>
            <w:r w:rsidRPr="009E0A88">
              <w:t>10 years</w:t>
            </w:r>
          </w:p>
        </w:tc>
        <w:tc>
          <w:tcPr>
            <w:tcW w:w="3558" w:type="dxa"/>
            <w:noWrap/>
          </w:tcPr>
          <w:p w14:paraId="4EEB1CE1" w14:textId="77777777" w:rsidR="00082F8F" w:rsidRPr="009E0A88" w:rsidRDefault="00082F8F" w:rsidP="00104A6D">
            <w:pPr>
              <w:keepNext/>
              <w:keepLines/>
              <w:jc w:val="both"/>
            </w:pPr>
            <w:r>
              <w:t>Rejected the submission’s claim of cost-effectiveness over standard care on the grounds of a high incremental cost-effectiveness ratio</w:t>
            </w:r>
          </w:p>
        </w:tc>
      </w:tr>
    </w:tbl>
    <w:p w14:paraId="514EDA28" w14:textId="41C8C466" w:rsidR="00082F8F" w:rsidRDefault="00082F8F" w:rsidP="00082F8F">
      <w:pPr>
        <w:pStyle w:val="Footnotes"/>
        <w:keepNext/>
        <w:keepLines/>
      </w:pPr>
      <w:r w:rsidRPr="009E0A88">
        <w:t>ALOS = average length of stay; BSA = body surface area; CsA = cyclosporin; DLQI = dermatology life quality index; GP = general practitioner; IV = intravenous;</w:t>
      </w:r>
      <w:r w:rsidR="000716A1">
        <w:t xml:space="preserve"> mCPP = moderate chronic plaque psoriasis;</w:t>
      </w:r>
      <w:r w:rsidRPr="009E0A88">
        <w:t xml:space="preserve"> PASI = psoriasis area severity index; PUVA = psoralen and ultraviolet A photochemotherapy; QALY = quality</w:t>
      </w:r>
      <w:r w:rsidR="00533BC4">
        <w:t>-</w:t>
      </w:r>
      <w:r w:rsidRPr="009E0A88">
        <w:t>adjusted life</w:t>
      </w:r>
      <w:r w:rsidR="00533BC4">
        <w:t>-</w:t>
      </w:r>
      <w:r w:rsidRPr="009E0A88">
        <w:t>year; SC = subcutaneous</w:t>
      </w:r>
      <w:r w:rsidR="000716A1">
        <w:t>; sCPP = severe chronic plaque psoriasis</w:t>
      </w:r>
    </w:p>
    <w:p w14:paraId="5913FF0E" w14:textId="19C2C8DE" w:rsidR="00082F8F" w:rsidRDefault="00082F8F" w:rsidP="00082F8F">
      <w:r w:rsidRPr="009E0A88">
        <w:t xml:space="preserve">All seven </w:t>
      </w:r>
      <w:r w:rsidR="00533BC4">
        <w:t xml:space="preserve">models </w:t>
      </w:r>
      <w:r w:rsidRPr="009E0A88">
        <w:t>used a Markov modelling approach with time horizons between two and 10 years (four of the seven used five years) and treatment cycles between 12 and 24 weeks. Models generally used 12 weeks as the time to first response assessment and then determined continuation (response) at 24-week cycles thereafter.</w:t>
      </w:r>
    </w:p>
    <w:p w14:paraId="6F2CA3B6" w14:textId="170B0DA7" w:rsidR="00082F8F" w:rsidRDefault="00082F8F" w:rsidP="00082F8F">
      <w:r>
        <w:t>In all but three submissions, the nominated comparator was another PBS listed biologic. These comparators were accepted by the PBAC. In the other three submissions</w:t>
      </w:r>
      <w:r w:rsidR="00E33364">
        <w:t>,</w:t>
      </w:r>
      <w:r>
        <w:t xml:space="preserve"> placebo was the nominated comparator</w:t>
      </w:r>
      <w:r w:rsidR="00E33364">
        <w:t>; e</w:t>
      </w:r>
      <w:r>
        <w:t>falizumab 2005</w:t>
      </w:r>
      <w:r w:rsidR="00E33364">
        <w:t>, because it</w:t>
      </w:r>
      <w:r>
        <w:t xml:space="preserve"> had no other listed biologic to act as a comparator</w:t>
      </w:r>
      <w:r w:rsidR="00E33364">
        <w:t>;</w:t>
      </w:r>
      <w:r>
        <w:t xml:space="preserve"> etanercept</w:t>
      </w:r>
      <w:r w:rsidR="00E33364">
        <w:t>, which was</w:t>
      </w:r>
      <w:r>
        <w:t xml:space="preserve"> argued to be a </w:t>
      </w:r>
      <w:r w:rsidR="00E33364">
        <w:t>last-</w:t>
      </w:r>
      <w:r>
        <w:t>line therapy with no biologic comparator</w:t>
      </w:r>
      <w:r w:rsidR="00E33364">
        <w:t xml:space="preserve">; </w:t>
      </w:r>
      <w:r>
        <w:t>and adalimumab 2013</w:t>
      </w:r>
      <w:r w:rsidR="00E33364">
        <w:t>, because it</w:t>
      </w:r>
      <w:r>
        <w:t xml:space="preserve"> had no listed biologic for moderate CPP to compare to. In the etanercept</w:t>
      </w:r>
      <w:r w:rsidR="00941EE2">
        <w:t xml:space="preserve"> 2006</w:t>
      </w:r>
      <w:r>
        <w:t xml:space="preserve"> submission, the PBAC suggested that placebo was superseded with the recent listing of efalizumab. In the other two submissions </w:t>
      </w:r>
      <w:r w:rsidR="008D0682">
        <w:t xml:space="preserve">(efalizumab 2005 and adalimumab 2013), </w:t>
      </w:r>
      <w:r>
        <w:t>the PBAC accepted placebo as the appropriate comparator.</w:t>
      </w:r>
    </w:p>
    <w:p w14:paraId="1E915EFA" w14:textId="1E178727" w:rsidR="00082F8F" w:rsidRDefault="00082F8F" w:rsidP="00082F8F">
      <w:r>
        <w:t>A</w:t>
      </w:r>
      <w:r w:rsidRPr="004B6621">
        <w:t>ll models used PASI improvement from baseline as the primary outcome measure.</w:t>
      </w:r>
      <w:r>
        <w:t xml:space="preserve"> Efalizumab 2005 submission defined a response to biologic treatment as a PASI 50 (50% improvement in PASI score from baseline). This was the basis for rejection of the efalizumab 2005 submission</w:t>
      </w:r>
      <w:r w:rsidR="000716A1">
        <w:t>.</w:t>
      </w:r>
      <w:r>
        <w:t xml:space="preserve"> </w:t>
      </w:r>
      <w:r w:rsidR="000716A1">
        <w:t>T</w:t>
      </w:r>
      <w:r>
        <w:t xml:space="preserve">he resubmission responded by using a 75% improvement in PASI score from baseline (PASI 75) as the definition for response in the model. Thereafter all models considered PASI 75 as the definition of treatment response. </w:t>
      </w:r>
    </w:p>
    <w:p w14:paraId="49F558FD" w14:textId="77777777" w:rsidR="00082F8F" w:rsidRPr="00486E7E" w:rsidRDefault="00486E7E" w:rsidP="00082F8F">
      <w:pPr>
        <w:rPr>
          <w:highlight w:val="black"/>
        </w:rPr>
      </w:pPr>
      <w:r>
        <w:rPr>
          <w:noProof/>
          <w:color w:val="000000"/>
          <w:highlight w:val="black"/>
        </w:rPr>
        <w:lastRenderedPageBreak/>
        <w:t>'''''''''' '''''''' ''''''' ''''''''''''''''''' ''''''''' ''''''' ''''''''''''''''''' '''''''''''''' ''''' ''''''''' ''''''''''''''' '''''''''''''''' '''''''''' '''''''''''' ''''''''''''' '''''' ''''''''''''''''''''' ''''''''' ''''''' '''''''''''''''''''''''''''''' '''''''' '''''''''''''''''''''' '''''''''''' ''''''''''' '''''''''''' '''''''''' ''''''''''''''''' '''' ''''''''' ''''''''''' '''' '''''' '''''''''''''''''''' '''''''''' ''''''''''' ''''''''''''''' '''''''''' ''''''''''''''''' '''''''''' ''''' '''''' ''''''''''''''' '''''''' '''''''''' '''''''' '''''''' ''''''''''''''''''''''''''''''' '''''''''''''''''''''''''' ''''''''' ''''''''''''''''''' ''''''' '''''''''''''' '''' '''''' ''''''''''''''''''' ''''''''' '''''''''''' '''''''''''' ''''''''''' '''''''''' '''''''''''''''' '''''' '''''''''' '''''''''''''''''''' '''''''''''''''''''''''''''' ''''''''''''''''''' ''''''' '''''''''''''''''''''''''' ''''''' ''''''''' ''''''''''' '''' '''''''''''''''''''' ''' ''''''''''''''''''' ''''''''''''' ''''''''''' '''''''''''''''''''' ''''''''' ''''''' ''''''''''''' '''' '''''''''''''' '''' ''''''''''''''''''' '''''' '''''''''''''' ''''''''''''''' '''' '''''' '''''''''''' ''''''''''' '''''''''''''''' ''''''''' '''''''''''' ''''''''''' '''''''''''''''''''''' ''''''''''' '''''''''' '''''''''''' '''''' ''''''''''''''''' '''''''''''''' '''''''''''' '''''' '''''' ''''' '''''''''''''''' ''''''''''''''''''''''''''' '''''''''''' ''''''''' '''''''''' '''''''''''''' '''''''''''''''''' ''''''''''''''''''''''''' ''''''''' ''''''' '''''''''''''''''''' '''''''''''''' ''''''''''''''''' '''''''''''''''' ''''''' '''''''''''''''''''''''' ''''''''''''' ''''''''' ''''' '''''''''' ''''' '''''''' '''''''''''' ''''' '''' ''''''''' '''' ''''''''' '''''''''''' ''''''''''''' ''''''''''' '''''''''''''''''''''''' ''''' '''''' ''''''''''''' '''''''''''''''' '''' '''''' ''''''''''''' ''''''''''''''' '''' ''''''''' ''''''''''''' ''''''''' '''''' ''''''''''''''''' ''' '''''''''' '''''''''''' '''' ''''''''''''''''''' '''' '''''' ''''''''''''''''</w:t>
      </w:r>
    </w:p>
    <w:p w14:paraId="6463B647" w14:textId="77777777" w:rsidR="00082F8F" w:rsidRDefault="00082F8F" w:rsidP="00082F8F">
      <w:r>
        <w:t xml:space="preserve">Few studies had response data available from studies beyond 12 to 24 weeks and therefore required various techniques to provide transition probabilities beyond the 24-week period leading to considerable uncertainty in the models. Four of the seven models assumed that a proportion of patients would discontinue treatment with the two infliximab models assigning a discontinuation rate at each assessment time point, whereas the two models using placebo as a comparator assumed a 20% discontinuation rate per year for the drug arm only. </w:t>
      </w:r>
    </w:p>
    <w:p w14:paraId="6054AFDC" w14:textId="77777777" w:rsidR="00082F8F" w:rsidRDefault="00082F8F" w:rsidP="00082F8F">
      <w:r>
        <w:t>Costs included in each of the models was not exhaustive with the majority of the models applying costs of drugs, drug administration costs (four of six models), monitoring costs (three of six models), and hospital costs (five of six models).</w:t>
      </w:r>
    </w:p>
    <w:p w14:paraId="2BEB849B" w14:textId="77777777" w:rsidR="007E2DFC" w:rsidRDefault="007E2DFC" w:rsidP="00082F8F">
      <w:pPr>
        <w:pStyle w:val="MDSubsubheding"/>
      </w:pPr>
      <w:bookmarkStart w:id="124" w:name="_Toc503274986"/>
      <w:r>
        <w:t>Stakeholder views (Public consultation and stakeholder forum)</w:t>
      </w:r>
      <w:bookmarkEnd w:id="124"/>
      <w:r>
        <w:t xml:space="preserve"> </w:t>
      </w:r>
    </w:p>
    <w:p w14:paraId="054B078D" w14:textId="77777777" w:rsidR="007E2DFC" w:rsidRPr="00520FE4" w:rsidRDefault="007E2DFC" w:rsidP="007E2DFC">
      <w:pPr>
        <w:spacing w:after="160" w:line="259" w:lineRule="auto"/>
      </w:pPr>
      <w:r w:rsidRPr="00520FE4">
        <w:t>A number of stakeholders provided rationale in support of the cost</w:t>
      </w:r>
      <w:r w:rsidRPr="00520FE4">
        <w:noBreakHyphen/>
        <w:t xml:space="preserve">effectiveness of various biologics in the use of CPP. </w:t>
      </w:r>
    </w:p>
    <w:p w14:paraId="2A6D6C83" w14:textId="77777777" w:rsidR="008A4CC3" w:rsidRDefault="008A4CC3">
      <w:pPr>
        <w:spacing w:line="276" w:lineRule="auto"/>
        <w:rPr>
          <w:rFonts w:eastAsiaTheme="majorEastAsia" w:cstheme="majorBidi"/>
          <w:b/>
          <w:bCs/>
          <w:color w:val="548DD4" w:themeColor="text2" w:themeTint="99"/>
          <w:sz w:val="40"/>
          <w:szCs w:val="40"/>
        </w:rPr>
      </w:pPr>
      <w:r>
        <w:br w:type="page"/>
      </w:r>
    </w:p>
    <w:p w14:paraId="42E8B196" w14:textId="77777777" w:rsidR="007E2DFC" w:rsidRPr="007E2DFC" w:rsidRDefault="008A4CC3" w:rsidP="008A4CC3">
      <w:pPr>
        <w:pStyle w:val="Heading1"/>
      </w:pPr>
      <w:bookmarkStart w:id="125" w:name="_Toc503274987"/>
      <w:r>
        <w:lastRenderedPageBreak/>
        <w:t>Review Options</w:t>
      </w:r>
      <w:bookmarkEnd w:id="125"/>
    </w:p>
    <w:p w14:paraId="73F192B8" w14:textId="07A8A196" w:rsidR="008A4CC3" w:rsidRPr="003D56A7" w:rsidRDefault="008A4CC3" w:rsidP="00C344E7">
      <w:r w:rsidRPr="003D56A7">
        <w:t>The Reference Group</w:t>
      </w:r>
      <w:r w:rsidR="001142CF">
        <w:t xml:space="preserve"> has </w:t>
      </w:r>
      <w:r w:rsidR="001142CF" w:rsidRPr="003D56A7">
        <w:t>considered</w:t>
      </w:r>
      <w:r w:rsidR="00295B7D">
        <w:t xml:space="preserve"> the evidence review and stakeholder input</w:t>
      </w:r>
      <w:r w:rsidR="00E33364">
        <w:t>,</w:t>
      </w:r>
      <w:r w:rsidR="00295B7D">
        <w:t xml:space="preserve"> and propose</w:t>
      </w:r>
      <w:r w:rsidR="001142CF">
        <w:t>s</w:t>
      </w:r>
      <w:r w:rsidR="00295B7D">
        <w:t xml:space="preserve"> the following options for </w:t>
      </w:r>
      <w:r w:rsidR="00E33364">
        <w:t xml:space="preserve">the </w:t>
      </w:r>
      <w:r w:rsidR="00295B7D">
        <w:t>PBAC to consider.</w:t>
      </w:r>
      <w:r w:rsidRPr="003D56A7">
        <w:t xml:space="preserve"> </w:t>
      </w:r>
      <w:r w:rsidR="00295B7D">
        <w:t xml:space="preserve">DUSC and ESC will also provide advice on the following review options. </w:t>
      </w:r>
    </w:p>
    <w:p w14:paraId="159684C6" w14:textId="77777777" w:rsidR="008A4CC3" w:rsidRPr="003D56A7" w:rsidRDefault="008A4CC3" w:rsidP="00C344E7">
      <w:r w:rsidRPr="003D56A7">
        <w:t>The Reference Group noted that any alteration to the restrictions surrounding the PBS listing of biologics for medicines would need to consider the cost-effectiveness of these medicines.</w:t>
      </w:r>
    </w:p>
    <w:p w14:paraId="4A705102" w14:textId="77777777" w:rsidR="008A4CC3" w:rsidRPr="003D56A7" w:rsidRDefault="008A4CC3" w:rsidP="00C344E7">
      <w:pPr>
        <w:rPr>
          <w:b/>
          <w:i/>
          <w:szCs w:val="24"/>
        </w:rPr>
      </w:pPr>
      <w:r w:rsidRPr="003D56A7">
        <w:rPr>
          <w:b/>
          <w:i/>
          <w:szCs w:val="24"/>
        </w:rPr>
        <w:t>Option 1: Alter the PBS restrictions so that patients only need to have failed two of the four prior treatments (phototherapy, methotrexate, cyclosporine, acitretin).</w:t>
      </w:r>
    </w:p>
    <w:p w14:paraId="51E09297" w14:textId="77777777" w:rsidR="008A4CC3" w:rsidRPr="003D56A7" w:rsidRDefault="008A4CC3" w:rsidP="00C344E7">
      <w:pPr>
        <w:rPr>
          <w:szCs w:val="24"/>
          <w:u w:val="single"/>
        </w:rPr>
      </w:pPr>
      <w:r w:rsidRPr="003D56A7">
        <w:rPr>
          <w:szCs w:val="24"/>
          <w:u w:val="single"/>
        </w:rPr>
        <w:t>Current restriction</w:t>
      </w:r>
    </w:p>
    <w:p w14:paraId="2F649508" w14:textId="77777777" w:rsidR="008A4CC3" w:rsidRPr="003D56A7" w:rsidRDefault="008A4CC3" w:rsidP="00C344E7">
      <w:pPr>
        <w:rPr>
          <w:rFonts w:eastAsia="Calibri"/>
        </w:rPr>
      </w:pPr>
      <w:r w:rsidRPr="003D56A7">
        <w:rPr>
          <w:rFonts w:eastAsia="Calibri"/>
        </w:rPr>
        <w:t xml:space="preserve">The PBS restrictions require patients to have failed to achieve an adequate response to, or be contraindicated or intolerant to, at least three of </w:t>
      </w:r>
      <w:r w:rsidR="001142CF" w:rsidRPr="003D56A7">
        <w:rPr>
          <w:rFonts w:eastAsia="Calibri"/>
        </w:rPr>
        <w:t>the following</w:t>
      </w:r>
      <w:r w:rsidRPr="003D56A7">
        <w:rPr>
          <w:rFonts w:eastAsia="Calibri"/>
        </w:rPr>
        <w:t xml:space="preserve"> four treatments: phototherapy; methotrexate; cyclosporin; acitretin. </w:t>
      </w:r>
    </w:p>
    <w:p w14:paraId="40B61625" w14:textId="77777777" w:rsidR="008A4CC3" w:rsidRPr="003D56A7" w:rsidRDefault="008A4CC3" w:rsidP="00C344E7">
      <w:pPr>
        <w:rPr>
          <w:szCs w:val="24"/>
        </w:rPr>
      </w:pPr>
      <w:r w:rsidRPr="003D56A7">
        <w:rPr>
          <w:szCs w:val="24"/>
          <w:u w:val="single"/>
        </w:rPr>
        <w:t>Rationale</w:t>
      </w:r>
      <w:r>
        <w:rPr>
          <w:szCs w:val="24"/>
          <w:u w:val="single"/>
        </w:rPr>
        <w:t xml:space="preserve"> for option</w:t>
      </w:r>
    </w:p>
    <w:p w14:paraId="247C52CC" w14:textId="77777777" w:rsidR="008A4CC3" w:rsidRPr="003D56A7" w:rsidRDefault="008A4CC3" w:rsidP="00C344E7">
      <w:pPr>
        <w:pStyle w:val="ListParagraph"/>
        <w:numPr>
          <w:ilvl w:val="0"/>
          <w:numId w:val="40"/>
        </w:numPr>
        <w:ind w:left="426" w:hanging="426"/>
        <w:rPr>
          <w:szCs w:val="24"/>
        </w:rPr>
      </w:pPr>
      <w:r w:rsidRPr="003D56A7">
        <w:rPr>
          <w:szCs w:val="24"/>
        </w:rPr>
        <w:t>The PBS requirement to fail prior therapies is challenging for patients and clinicians, with many patients suffering significant side-effects from methotrexate, cyclosporin and acitretin.</w:t>
      </w:r>
    </w:p>
    <w:p w14:paraId="50812F47" w14:textId="6B4BB6BB" w:rsidR="008A4CC3" w:rsidRPr="003D56A7" w:rsidRDefault="008A4CC3" w:rsidP="00C344E7">
      <w:pPr>
        <w:pStyle w:val="ListParagraph"/>
        <w:numPr>
          <w:ilvl w:val="0"/>
          <w:numId w:val="40"/>
        </w:numPr>
        <w:ind w:left="426" w:hanging="426"/>
        <w:rPr>
          <w:szCs w:val="24"/>
        </w:rPr>
      </w:pPr>
      <w:r w:rsidRPr="003D56A7">
        <w:rPr>
          <w:szCs w:val="24"/>
        </w:rPr>
        <w:t>There may be clinical reasons that don’t match the toxicity criteria</w:t>
      </w:r>
      <w:r w:rsidR="0044469B">
        <w:rPr>
          <w:szCs w:val="24"/>
        </w:rPr>
        <w:t xml:space="preserve"> used by </w:t>
      </w:r>
      <w:r w:rsidR="009A4C0C">
        <w:rPr>
          <w:szCs w:val="24"/>
        </w:rPr>
        <w:t>the Department of Human Services in assessing contraindications to</w:t>
      </w:r>
      <w:r w:rsidRPr="003D56A7">
        <w:rPr>
          <w:szCs w:val="24"/>
        </w:rPr>
        <w:t xml:space="preserve"> prescrib</w:t>
      </w:r>
      <w:r w:rsidR="009D0372">
        <w:rPr>
          <w:szCs w:val="24"/>
        </w:rPr>
        <w:t>ing</w:t>
      </w:r>
      <w:r w:rsidRPr="003D56A7">
        <w:rPr>
          <w:szCs w:val="24"/>
        </w:rPr>
        <w:t xml:space="preserve"> acitretin, methotrexate or cyclosporin.</w:t>
      </w:r>
    </w:p>
    <w:p w14:paraId="06FFA877" w14:textId="77777777" w:rsidR="008A4CC3" w:rsidRPr="003D56A7" w:rsidRDefault="008A4CC3" w:rsidP="00C344E7">
      <w:pPr>
        <w:pStyle w:val="ListParagraph"/>
        <w:numPr>
          <w:ilvl w:val="0"/>
          <w:numId w:val="40"/>
        </w:numPr>
        <w:ind w:left="426" w:hanging="426"/>
        <w:rPr>
          <w:szCs w:val="24"/>
        </w:rPr>
      </w:pPr>
      <w:r w:rsidRPr="003D56A7">
        <w:rPr>
          <w:szCs w:val="24"/>
        </w:rPr>
        <w:t>This option is in alignment with the Australasian College of Dermatologists (ACD) Consensus Statement for the treatment of CPP.</w:t>
      </w:r>
    </w:p>
    <w:p w14:paraId="18EE7F67" w14:textId="77777777" w:rsidR="008A4CC3" w:rsidRPr="003D56A7" w:rsidRDefault="008A4CC3" w:rsidP="00C344E7">
      <w:pPr>
        <w:pStyle w:val="ListParagraph"/>
        <w:numPr>
          <w:ilvl w:val="0"/>
          <w:numId w:val="40"/>
        </w:numPr>
        <w:ind w:left="426" w:hanging="426"/>
        <w:rPr>
          <w:szCs w:val="24"/>
        </w:rPr>
      </w:pPr>
      <w:r w:rsidRPr="003D56A7">
        <w:rPr>
          <w:szCs w:val="24"/>
        </w:rPr>
        <w:t xml:space="preserve">This option </w:t>
      </w:r>
      <w:r>
        <w:rPr>
          <w:szCs w:val="24"/>
        </w:rPr>
        <w:t>may</w:t>
      </w:r>
      <w:r w:rsidRPr="003D56A7">
        <w:rPr>
          <w:szCs w:val="24"/>
        </w:rPr>
        <w:t xml:space="preserve"> increase access to PBS-listed biologics for psoriasis, thereby impacting the cost-effectiveness that was originally assessed by the PBAC.</w:t>
      </w:r>
    </w:p>
    <w:p w14:paraId="109A3F4E" w14:textId="77777777" w:rsidR="008A4CC3" w:rsidRPr="003D56A7" w:rsidRDefault="008A4CC3" w:rsidP="00C344E7">
      <w:pPr>
        <w:pStyle w:val="Style1"/>
        <w:spacing w:after="200" w:line="240" w:lineRule="auto"/>
        <w:ind w:left="360"/>
        <w:rPr>
          <w:rFonts w:asciiTheme="minorHAnsi" w:hAnsiTheme="minorHAnsi"/>
          <w:sz w:val="24"/>
          <w:szCs w:val="24"/>
        </w:rPr>
      </w:pPr>
    </w:p>
    <w:p w14:paraId="087B3F3F" w14:textId="77777777" w:rsidR="008A4CC3" w:rsidRPr="003D56A7" w:rsidRDefault="008A4CC3" w:rsidP="00C344E7">
      <w:pPr>
        <w:rPr>
          <w:szCs w:val="24"/>
        </w:rPr>
      </w:pPr>
    </w:p>
    <w:p w14:paraId="7B36184B" w14:textId="77777777" w:rsidR="008A4CC3" w:rsidRPr="00FF2B8D" w:rsidRDefault="008A4CC3" w:rsidP="00C344E7">
      <w:pPr>
        <w:keepNext/>
        <w:keepLines/>
        <w:rPr>
          <w:b/>
          <w:i/>
          <w:szCs w:val="24"/>
        </w:rPr>
      </w:pPr>
      <w:r w:rsidRPr="00FF2B8D">
        <w:rPr>
          <w:b/>
          <w:i/>
          <w:szCs w:val="24"/>
        </w:rPr>
        <w:lastRenderedPageBreak/>
        <w:t>Option 2: Alter the PBS restrictions to enable patients with a baseline PASI &gt;10 to access PBS</w:t>
      </w:r>
      <w:r w:rsidRPr="00FF2B8D">
        <w:rPr>
          <w:b/>
          <w:i/>
          <w:szCs w:val="24"/>
        </w:rPr>
        <w:noBreakHyphen/>
        <w:t xml:space="preserve">listed biologics for CPP if their Dermatology Life Quality Index (DLQI) is &gt; 10. </w:t>
      </w:r>
    </w:p>
    <w:p w14:paraId="654EEF3A" w14:textId="77777777" w:rsidR="008A4CC3" w:rsidRPr="00FF2B8D" w:rsidRDefault="008A4CC3" w:rsidP="006B390B">
      <w:pPr>
        <w:keepNext/>
        <w:keepLines/>
        <w:spacing w:after="0"/>
        <w:rPr>
          <w:szCs w:val="24"/>
          <w:u w:val="single"/>
        </w:rPr>
      </w:pPr>
      <w:r w:rsidRPr="00FF2B8D">
        <w:rPr>
          <w:szCs w:val="24"/>
          <w:u w:val="single"/>
        </w:rPr>
        <w:t>Current restriction</w:t>
      </w:r>
    </w:p>
    <w:p w14:paraId="203C792F" w14:textId="77777777" w:rsidR="008A4CC3" w:rsidRPr="00FF2B8D" w:rsidRDefault="008A4CC3" w:rsidP="00C344E7">
      <w:pPr>
        <w:pStyle w:val="Style1"/>
        <w:keepNext/>
        <w:keepLines/>
        <w:spacing w:after="200" w:line="240" w:lineRule="auto"/>
        <w:rPr>
          <w:rFonts w:asciiTheme="minorHAnsi" w:hAnsiTheme="minorHAnsi" w:cs="Times New Roman"/>
          <w:b/>
          <w:bCs/>
          <w:sz w:val="24"/>
          <w:szCs w:val="24"/>
        </w:rPr>
      </w:pPr>
      <w:r w:rsidRPr="00FF2B8D">
        <w:rPr>
          <w:rFonts w:asciiTheme="minorHAnsi" w:hAnsiTheme="minorHAnsi"/>
          <w:sz w:val="24"/>
          <w:szCs w:val="24"/>
        </w:rPr>
        <w:t>The current PBS restrictions require adult patients to have severe CPP of the:</w:t>
      </w:r>
    </w:p>
    <w:p w14:paraId="4B01D63E" w14:textId="77777777" w:rsidR="008A4CC3" w:rsidRPr="00D02741"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Cs/>
          <w:sz w:val="24"/>
          <w:szCs w:val="24"/>
        </w:rPr>
      </w:pPr>
      <w:r w:rsidRPr="00D02741">
        <w:rPr>
          <w:rFonts w:asciiTheme="minorHAnsi" w:hAnsiTheme="minorHAnsi" w:cs="Times New Roman"/>
          <w:bCs/>
          <w:sz w:val="24"/>
          <w:szCs w:val="24"/>
        </w:rPr>
        <w:t>whole body (baseline PASI &gt; 15) OR</w:t>
      </w:r>
    </w:p>
    <w:p w14:paraId="2084DE05" w14:textId="77777777" w:rsidR="008A4CC3" w:rsidRPr="00FF2B8D"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
          <w:bCs/>
          <w:sz w:val="24"/>
          <w:szCs w:val="24"/>
        </w:rPr>
      </w:pPr>
      <w:r w:rsidRPr="00D02741">
        <w:rPr>
          <w:rFonts w:asciiTheme="minorHAnsi" w:hAnsiTheme="minorHAnsi" w:cs="Times New Roman"/>
          <w:bCs/>
          <w:sz w:val="24"/>
          <w:szCs w:val="24"/>
        </w:rPr>
        <w:t>face, a</w:t>
      </w:r>
      <w:r w:rsidRPr="00FF2B8D">
        <w:rPr>
          <w:rFonts w:asciiTheme="minorHAnsi" w:hAnsiTheme="minorHAnsi"/>
          <w:sz w:val="24"/>
          <w:szCs w:val="24"/>
        </w:rPr>
        <w:t xml:space="preserve"> palm of the hand or the sole of a foot (2 of 3 PASI symptom sub-scores rated as severe or very severe or 30% or more of the area is affected).</w:t>
      </w:r>
    </w:p>
    <w:p w14:paraId="244622F6" w14:textId="77777777" w:rsidR="008A4CC3" w:rsidRPr="00FF2B8D" w:rsidRDefault="008A4CC3" w:rsidP="006B390B">
      <w:pPr>
        <w:keepNext/>
        <w:keepLines/>
        <w:spacing w:after="0"/>
        <w:rPr>
          <w:szCs w:val="24"/>
        </w:rPr>
      </w:pPr>
      <w:r w:rsidRPr="00FF2B8D">
        <w:rPr>
          <w:szCs w:val="24"/>
          <w:u w:val="single"/>
        </w:rPr>
        <w:t>Rationale for option</w:t>
      </w:r>
    </w:p>
    <w:p w14:paraId="31B7F33C" w14:textId="77777777" w:rsidR="008A4CC3" w:rsidRPr="00FF2B8D"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
          <w:bCs/>
          <w:sz w:val="24"/>
          <w:szCs w:val="24"/>
        </w:rPr>
      </w:pPr>
      <w:r w:rsidRPr="00FF2B8D">
        <w:rPr>
          <w:rFonts w:asciiTheme="minorHAnsi" w:hAnsiTheme="minorHAnsi" w:cs="Times New Roman"/>
          <w:bCs/>
          <w:sz w:val="24"/>
          <w:szCs w:val="24"/>
        </w:rPr>
        <w:t>The current PBS restrictions do not consider quality of life impacts in regard to accessing biologics for CPP.</w:t>
      </w:r>
    </w:p>
    <w:p w14:paraId="78FB23A7" w14:textId="77777777" w:rsidR="008A4CC3" w:rsidRPr="00B5249D"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
          <w:bCs/>
          <w:sz w:val="24"/>
          <w:szCs w:val="24"/>
        </w:rPr>
      </w:pPr>
      <w:r w:rsidRPr="00FF2B8D">
        <w:rPr>
          <w:rFonts w:asciiTheme="minorHAnsi" w:hAnsiTheme="minorHAnsi" w:cs="Times New Roman"/>
          <w:bCs/>
          <w:sz w:val="24"/>
          <w:szCs w:val="24"/>
        </w:rPr>
        <w:t xml:space="preserve">Stakeholders considered that CPP has a significant impact on patients’ mental health </w:t>
      </w:r>
      <w:r w:rsidRPr="00B5249D">
        <w:rPr>
          <w:rFonts w:asciiTheme="minorHAnsi" w:hAnsiTheme="minorHAnsi" w:cs="Times New Roman"/>
          <w:bCs/>
          <w:sz w:val="24"/>
          <w:szCs w:val="24"/>
        </w:rPr>
        <w:t xml:space="preserve">and wellbeing, social interactions, work opportunities, productivity and self-confidence. Consideration of a quality of life measure, such as the </w:t>
      </w:r>
      <w:r w:rsidRPr="00B5249D">
        <w:rPr>
          <w:rFonts w:asciiTheme="minorHAnsi" w:hAnsiTheme="minorHAnsi" w:cs="Times New Roman"/>
          <w:sz w:val="24"/>
          <w:szCs w:val="24"/>
        </w:rPr>
        <w:t>DLQI,</w:t>
      </w:r>
      <w:r w:rsidRPr="00B5249D">
        <w:rPr>
          <w:rFonts w:asciiTheme="minorHAnsi" w:hAnsiTheme="minorHAnsi" w:cs="Times New Roman"/>
          <w:bCs/>
          <w:sz w:val="24"/>
          <w:szCs w:val="24"/>
        </w:rPr>
        <w:t xml:space="preserve"> was considered to be important for both initial and continuing access to biologics for CPP.</w:t>
      </w:r>
    </w:p>
    <w:p w14:paraId="5593BC39" w14:textId="77777777" w:rsidR="008A4CC3" w:rsidRPr="00B5249D" w:rsidRDefault="008A4CC3" w:rsidP="006B390B">
      <w:pPr>
        <w:pStyle w:val="Style1"/>
        <w:keepNext/>
        <w:keepLines/>
        <w:numPr>
          <w:ilvl w:val="0"/>
          <w:numId w:val="26"/>
        </w:numPr>
        <w:spacing w:after="200" w:line="240" w:lineRule="auto"/>
        <w:ind w:left="357" w:hanging="357"/>
        <w:contextualSpacing/>
        <w:rPr>
          <w:rFonts w:asciiTheme="minorHAnsi" w:hAnsiTheme="minorHAnsi" w:cs="Times New Roman"/>
          <w:b/>
          <w:bCs/>
          <w:sz w:val="24"/>
          <w:szCs w:val="24"/>
        </w:rPr>
      </w:pPr>
      <w:r w:rsidRPr="00B5249D">
        <w:rPr>
          <w:rFonts w:asciiTheme="minorHAnsi" w:hAnsiTheme="minorHAnsi" w:cs="Times New Roman"/>
          <w:bCs/>
          <w:sz w:val="24"/>
          <w:szCs w:val="24"/>
        </w:rPr>
        <w:t xml:space="preserve">This option would be in alignment with the </w:t>
      </w:r>
      <w:r w:rsidRPr="00B5249D">
        <w:rPr>
          <w:rFonts w:asciiTheme="minorHAnsi" w:hAnsiTheme="minorHAnsi" w:cs="Times New Roman"/>
          <w:sz w:val="24"/>
          <w:szCs w:val="24"/>
        </w:rPr>
        <w:t xml:space="preserve">Australasian College of Dermatologists’ </w:t>
      </w:r>
      <w:r w:rsidRPr="00B5249D">
        <w:rPr>
          <w:rFonts w:asciiTheme="minorHAnsi" w:hAnsiTheme="minorHAnsi" w:cs="Times New Roman"/>
          <w:bCs/>
          <w:sz w:val="24"/>
          <w:szCs w:val="24"/>
        </w:rPr>
        <w:t>Consensus</w:t>
      </w:r>
      <w:r w:rsidRPr="00B5249D">
        <w:rPr>
          <w:rFonts w:asciiTheme="minorHAnsi" w:hAnsiTheme="minorHAnsi" w:cs="Times New Roman"/>
          <w:sz w:val="24"/>
          <w:szCs w:val="24"/>
        </w:rPr>
        <w:t xml:space="preserve"> Statement for the treatment of CPP.</w:t>
      </w:r>
    </w:p>
    <w:p w14:paraId="1FA8A89B" w14:textId="77777777" w:rsidR="008A4CC3" w:rsidRPr="00B5249D" w:rsidRDefault="008A4CC3" w:rsidP="00B5249D">
      <w:pPr>
        <w:pStyle w:val="Style1"/>
        <w:keepNext/>
        <w:keepLines/>
        <w:numPr>
          <w:ilvl w:val="0"/>
          <w:numId w:val="26"/>
        </w:numPr>
        <w:spacing w:after="200" w:line="240" w:lineRule="auto"/>
        <w:ind w:left="357" w:hanging="357"/>
        <w:contextualSpacing/>
        <w:rPr>
          <w:rFonts w:asciiTheme="minorHAnsi" w:hAnsiTheme="minorHAnsi"/>
          <w:sz w:val="24"/>
          <w:szCs w:val="24"/>
        </w:rPr>
      </w:pPr>
      <w:r w:rsidRPr="00B5249D">
        <w:rPr>
          <w:rFonts w:asciiTheme="minorHAnsi" w:hAnsiTheme="minorHAnsi"/>
          <w:sz w:val="24"/>
          <w:szCs w:val="24"/>
        </w:rPr>
        <w:t xml:space="preserve">This </w:t>
      </w:r>
      <w:r w:rsidRPr="00B5249D">
        <w:rPr>
          <w:rFonts w:asciiTheme="minorHAnsi" w:hAnsiTheme="minorHAnsi" w:cs="Times New Roman"/>
          <w:bCs/>
          <w:sz w:val="24"/>
          <w:szCs w:val="24"/>
        </w:rPr>
        <w:t>option</w:t>
      </w:r>
      <w:r w:rsidRPr="00B5249D">
        <w:rPr>
          <w:rFonts w:asciiTheme="minorHAnsi" w:hAnsiTheme="minorHAnsi"/>
          <w:sz w:val="24"/>
          <w:szCs w:val="24"/>
        </w:rPr>
        <w:t xml:space="preserve"> would increase </w:t>
      </w:r>
      <w:r w:rsidR="00295B7D" w:rsidRPr="00B5249D">
        <w:rPr>
          <w:rFonts w:asciiTheme="minorHAnsi" w:hAnsiTheme="minorHAnsi"/>
          <w:sz w:val="24"/>
          <w:szCs w:val="24"/>
        </w:rPr>
        <w:t>the numb</w:t>
      </w:r>
      <w:r w:rsidR="00681E74" w:rsidRPr="00B5249D">
        <w:rPr>
          <w:rFonts w:asciiTheme="minorHAnsi" w:hAnsiTheme="minorHAnsi"/>
          <w:sz w:val="24"/>
          <w:szCs w:val="24"/>
        </w:rPr>
        <w:t>e</w:t>
      </w:r>
      <w:r w:rsidR="00295B7D" w:rsidRPr="00B5249D">
        <w:rPr>
          <w:rFonts w:asciiTheme="minorHAnsi" w:hAnsiTheme="minorHAnsi"/>
          <w:sz w:val="24"/>
          <w:szCs w:val="24"/>
        </w:rPr>
        <w:t>r of people eligible for</w:t>
      </w:r>
      <w:r w:rsidRPr="00B5249D">
        <w:rPr>
          <w:rFonts w:asciiTheme="minorHAnsi" w:hAnsiTheme="minorHAnsi"/>
          <w:sz w:val="24"/>
          <w:szCs w:val="24"/>
        </w:rPr>
        <w:t xml:space="preserve"> PBS-listed biologics for psoriasis, thereby impacting the cost-effectiveness that was originally assessed by the PBAC</w:t>
      </w:r>
      <w:r w:rsidR="00295B7D" w:rsidRPr="00B5249D">
        <w:rPr>
          <w:rFonts w:asciiTheme="minorHAnsi" w:hAnsiTheme="minorHAnsi"/>
          <w:sz w:val="24"/>
          <w:szCs w:val="24"/>
        </w:rPr>
        <w:t xml:space="preserve"> and the total cost to the PBS</w:t>
      </w:r>
      <w:r w:rsidRPr="00B5249D">
        <w:rPr>
          <w:rFonts w:asciiTheme="minorHAnsi" w:hAnsiTheme="minorHAnsi"/>
          <w:sz w:val="24"/>
          <w:szCs w:val="24"/>
        </w:rPr>
        <w:t>.</w:t>
      </w:r>
    </w:p>
    <w:p w14:paraId="24590A3E" w14:textId="77777777" w:rsidR="008A4CC3" w:rsidRPr="00B5249D" w:rsidRDefault="008A4CC3" w:rsidP="00C344E7">
      <w:pPr>
        <w:pStyle w:val="Style1"/>
        <w:spacing w:after="200" w:line="240" w:lineRule="auto"/>
        <w:ind w:left="360"/>
        <w:rPr>
          <w:rFonts w:asciiTheme="minorHAnsi" w:hAnsiTheme="minorHAnsi" w:cs="Times New Roman"/>
          <w:b/>
          <w:bCs/>
          <w:sz w:val="24"/>
          <w:szCs w:val="24"/>
          <w:highlight w:val="yellow"/>
        </w:rPr>
      </w:pPr>
    </w:p>
    <w:p w14:paraId="06EAAE64" w14:textId="77777777" w:rsidR="008A4CC3" w:rsidRPr="00FF2B8D" w:rsidRDefault="008A4CC3" w:rsidP="00C344E7">
      <w:pPr>
        <w:pStyle w:val="Style1"/>
        <w:keepNext/>
        <w:keepLines/>
        <w:spacing w:after="200" w:line="240" w:lineRule="auto"/>
        <w:rPr>
          <w:rFonts w:asciiTheme="minorHAnsi" w:hAnsiTheme="minorHAnsi" w:cs="Times New Roman"/>
          <w:b/>
          <w:bCs/>
          <w:sz w:val="24"/>
          <w:szCs w:val="24"/>
        </w:rPr>
      </w:pPr>
      <w:r w:rsidRPr="00FF2B8D">
        <w:rPr>
          <w:rFonts w:asciiTheme="minorHAnsi" w:hAnsiTheme="minorHAnsi" w:cs="Times New Roman"/>
          <w:b/>
          <w:i/>
          <w:sz w:val="24"/>
          <w:szCs w:val="24"/>
        </w:rPr>
        <w:lastRenderedPageBreak/>
        <w:t xml:space="preserve">Option 3: Alter the PBS restrictions </w:t>
      </w:r>
      <w:r w:rsidRPr="00FF2B8D">
        <w:rPr>
          <w:rFonts w:asciiTheme="minorHAnsi" w:eastAsia="Times New Roman" w:hAnsiTheme="minorHAnsi" w:cs="Times New Roman"/>
          <w:b/>
          <w:i/>
          <w:sz w:val="24"/>
          <w:szCs w:val="24"/>
        </w:rPr>
        <w:t>to enable patients with CPP involvement of the genitals to access PBS</w:t>
      </w:r>
      <w:r w:rsidRPr="00FF2B8D">
        <w:rPr>
          <w:rFonts w:asciiTheme="minorHAnsi" w:eastAsia="Times New Roman" w:hAnsiTheme="minorHAnsi" w:cs="Times New Roman"/>
          <w:b/>
          <w:i/>
          <w:sz w:val="24"/>
          <w:szCs w:val="24"/>
        </w:rPr>
        <w:noBreakHyphen/>
        <w:t>listed biologics.</w:t>
      </w:r>
    </w:p>
    <w:p w14:paraId="7430D8D7" w14:textId="77777777" w:rsidR="008A4CC3" w:rsidRPr="00AD7F9A" w:rsidRDefault="008A4CC3" w:rsidP="006B390B">
      <w:pPr>
        <w:keepNext/>
        <w:keepLines/>
        <w:spacing w:after="0"/>
        <w:rPr>
          <w:szCs w:val="24"/>
          <w:u w:val="single"/>
        </w:rPr>
      </w:pPr>
      <w:r w:rsidRPr="00AD7F9A">
        <w:rPr>
          <w:szCs w:val="24"/>
          <w:u w:val="single"/>
        </w:rPr>
        <w:t>Current restriction</w:t>
      </w:r>
    </w:p>
    <w:p w14:paraId="10FB97E2" w14:textId="77777777" w:rsidR="008A4CC3" w:rsidRPr="00FF2B8D" w:rsidRDefault="008A4CC3" w:rsidP="00C344E7">
      <w:pPr>
        <w:pStyle w:val="Style1"/>
        <w:keepNext/>
        <w:keepLines/>
        <w:spacing w:after="200" w:line="240" w:lineRule="auto"/>
        <w:rPr>
          <w:rFonts w:asciiTheme="minorHAnsi" w:hAnsiTheme="minorHAnsi" w:cs="Times New Roman"/>
          <w:b/>
          <w:bCs/>
          <w:sz w:val="24"/>
          <w:szCs w:val="24"/>
        </w:rPr>
      </w:pPr>
      <w:r w:rsidRPr="00FF2B8D">
        <w:rPr>
          <w:rFonts w:asciiTheme="minorHAnsi" w:hAnsiTheme="minorHAnsi"/>
          <w:sz w:val="24"/>
          <w:szCs w:val="24"/>
        </w:rPr>
        <w:t xml:space="preserve">The </w:t>
      </w:r>
      <w:r>
        <w:rPr>
          <w:rFonts w:asciiTheme="minorHAnsi" w:hAnsiTheme="minorHAnsi"/>
          <w:sz w:val="24"/>
          <w:szCs w:val="24"/>
        </w:rPr>
        <w:t xml:space="preserve">current </w:t>
      </w:r>
      <w:r w:rsidRPr="00FF2B8D">
        <w:rPr>
          <w:rFonts w:asciiTheme="minorHAnsi" w:hAnsiTheme="minorHAnsi"/>
          <w:sz w:val="24"/>
          <w:szCs w:val="24"/>
        </w:rPr>
        <w:t>PBS restrictions require adult patients to have severe CPP of the:</w:t>
      </w:r>
    </w:p>
    <w:p w14:paraId="1EFE829C" w14:textId="77777777" w:rsidR="008A4CC3" w:rsidRPr="00D02741" w:rsidRDefault="008A4CC3" w:rsidP="0000233F">
      <w:pPr>
        <w:pStyle w:val="Style1"/>
        <w:keepNext/>
        <w:keepLines/>
        <w:numPr>
          <w:ilvl w:val="0"/>
          <w:numId w:val="26"/>
        </w:numPr>
        <w:spacing w:after="0" w:line="240" w:lineRule="auto"/>
        <w:ind w:left="357" w:hanging="357"/>
        <w:rPr>
          <w:rFonts w:asciiTheme="minorHAnsi" w:hAnsiTheme="minorHAnsi" w:cs="Times New Roman"/>
          <w:sz w:val="24"/>
          <w:szCs w:val="24"/>
        </w:rPr>
      </w:pPr>
      <w:r w:rsidRPr="00D02741">
        <w:rPr>
          <w:rFonts w:asciiTheme="minorHAnsi" w:hAnsiTheme="minorHAnsi" w:cs="Times New Roman"/>
          <w:sz w:val="24"/>
          <w:szCs w:val="24"/>
        </w:rPr>
        <w:t>whole body (baseline PASI &gt; 15) OR</w:t>
      </w:r>
    </w:p>
    <w:p w14:paraId="24E5556B" w14:textId="77777777" w:rsidR="008A4CC3" w:rsidRPr="00FF2B8D" w:rsidRDefault="008A4CC3" w:rsidP="00C344E7">
      <w:pPr>
        <w:pStyle w:val="Style1"/>
        <w:keepNext/>
        <w:keepLines/>
        <w:numPr>
          <w:ilvl w:val="0"/>
          <w:numId w:val="26"/>
        </w:numPr>
        <w:spacing w:after="200" w:line="240" w:lineRule="auto"/>
        <w:rPr>
          <w:rFonts w:asciiTheme="minorHAnsi" w:hAnsiTheme="minorHAnsi" w:cs="Times New Roman"/>
          <w:b/>
          <w:bCs/>
          <w:sz w:val="24"/>
          <w:szCs w:val="24"/>
        </w:rPr>
      </w:pPr>
      <w:r w:rsidRPr="00D02741">
        <w:rPr>
          <w:rFonts w:asciiTheme="minorHAnsi" w:hAnsiTheme="minorHAnsi" w:cs="Times New Roman"/>
          <w:sz w:val="24"/>
          <w:szCs w:val="24"/>
        </w:rPr>
        <w:t>face</w:t>
      </w:r>
      <w:r w:rsidRPr="00FF2B8D">
        <w:rPr>
          <w:rFonts w:asciiTheme="minorHAnsi" w:hAnsiTheme="minorHAnsi"/>
          <w:sz w:val="24"/>
          <w:szCs w:val="24"/>
        </w:rPr>
        <w:t>, a palm of the hand or the sole of a foot (2 of 3 PASI symptom sub-scores rated as severe or very severe or 30% or more of the area is affected).</w:t>
      </w:r>
    </w:p>
    <w:p w14:paraId="0D0AACEF" w14:textId="77777777" w:rsidR="008A4CC3" w:rsidRPr="00FF2B8D" w:rsidRDefault="008A4CC3" w:rsidP="00C344E7">
      <w:pPr>
        <w:pStyle w:val="Style1"/>
        <w:keepNext/>
        <w:keepLines/>
        <w:spacing w:after="200" w:line="240" w:lineRule="auto"/>
        <w:rPr>
          <w:rFonts w:asciiTheme="minorHAnsi" w:hAnsiTheme="minorHAnsi"/>
          <w:sz w:val="24"/>
          <w:szCs w:val="24"/>
        </w:rPr>
      </w:pPr>
      <w:r w:rsidRPr="00FF2B8D">
        <w:rPr>
          <w:rFonts w:asciiTheme="minorHAnsi" w:hAnsiTheme="minorHAnsi"/>
          <w:sz w:val="24"/>
          <w:szCs w:val="24"/>
        </w:rPr>
        <w:t xml:space="preserve">This option proposes to </w:t>
      </w:r>
      <w:r>
        <w:rPr>
          <w:rFonts w:asciiTheme="minorHAnsi" w:hAnsiTheme="minorHAnsi"/>
          <w:sz w:val="24"/>
          <w:szCs w:val="24"/>
        </w:rPr>
        <w:t>include genitalia in the restriction as per the following</w:t>
      </w:r>
      <w:r w:rsidRPr="00FF2B8D">
        <w:rPr>
          <w:rFonts w:asciiTheme="minorHAnsi" w:hAnsiTheme="minorHAnsi"/>
          <w:sz w:val="24"/>
          <w:szCs w:val="24"/>
        </w:rPr>
        <w:t>:</w:t>
      </w:r>
    </w:p>
    <w:p w14:paraId="6D99161A" w14:textId="77777777" w:rsidR="008A4CC3" w:rsidRPr="00D02741" w:rsidRDefault="008A4CC3" w:rsidP="0000233F">
      <w:pPr>
        <w:pStyle w:val="Style1"/>
        <w:keepNext/>
        <w:keepLines/>
        <w:numPr>
          <w:ilvl w:val="0"/>
          <w:numId w:val="26"/>
        </w:numPr>
        <w:spacing w:after="0" w:line="240" w:lineRule="auto"/>
        <w:ind w:left="357" w:hanging="357"/>
        <w:rPr>
          <w:rFonts w:asciiTheme="minorHAnsi" w:hAnsiTheme="minorHAnsi"/>
          <w:sz w:val="24"/>
          <w:szCs w:val="24"/>
        </w:rPr>
      </w:pPr>
      <w:r w:rsidRPr="00FF2B8D">
        <w:rPr>
          <w:rFonts w:asciiTheme="minorHAnsi" w:hAnsiTheme="minorHAnsi"/>
          <w:sz w:val="24"/>
          <w:szCs w:val="24"/>
        </w:rPr>
        <w:t>whole body (baseline PASI &gt; 15) OR</w:t>
      </w:r>
    </w:p>
    <w:p w14:paraId="24F1D603" w14:textId="77777777" w:rsidR="008A4CC3" w:rsidRPr="00FF2B8D" w:rsidRDefault="008A4CC3" w:rsidP="00C344E7">
      <w:pPr>
        <w:pStyle w:val="Style1"/>
        <w:keepNext/>
        <w:keepLines/>
        <w:numPr>
          <w:ilvl w:val="0"/>
          <w:numId w:val="26"/>
        </w:numPr>
        <w:spacing w:after="200" w:line="240" w:lineRule="auto"/>
        <w:rPr>
          <w:rFonts w:asciiTheme="minorHAnsi" w:hAnsiTheme="minorHAnsi" w:cs="Times New Roman"/>
          <w:b/>
          <w:bCs/>
          <w:sz w:val="24"/>
          <w:szCs w:val="24"/>
        </w:rPr>
      </w:pPr>
      <w:r w:rsidRPr="00FF2B8D">
        <w:rPr>
          <w:rFonts w:asciiTheme="minorHAnsi" w:hAnsiTheme="minorHAnsi"/>
          <w:sz w:val="24"/>
          <w:szCs w:val="24"/>
        </w:rPr>
        <w:t>face,</w:t>
      </w:r>
      <w:r>
        <w:rPr>
          <w:rFonts w:asciiTheme="minorHAnsi" w:hAnsiTheme="minorHAnsi"/>
          <w:sz w:val="24"/>
          <w:szCs w:val="24"/>
        </w:rPr>
        <w:t xml:space="preserve"> </w:t>
      </w:r>
      <w:r w:rsidRPr="0028397E">
        <w:rPr>
          <w:rFonts w:asciiTheme="minorHAnsi" w:hAnsiTheme="minorHAnsi"/>
          <w:sz w:val="24"/>
          <w:szCs w:val="24"/>
          <w:u w:val="single"/>
        </w:rPr>
        <w:t>genitalia</w:t>
      </w:r>
      <w:r>
        <w:rPr>
          <w:rFonts w:asciiTheme="minorHAnsi" w:hAnsiTheme="minorHAnsi"/>
          <w:sz w:val="24"/>
          <w:szCs w:val="24"/>
        </w:rPr>
        <w:t>,</w:t>
      </w:r>
      <w:r w:rsidRPr="00FF2B8D">
        <w:rPr>
          <w:rFonts w:asciiTheme="minorHAnsi" w:hAnsiTheme="minorHAnsi"/>
          <w:sz w:val="24"/>
          <w:szCs w:val="24"/>
        </w:rPr>
        <w:t xml:space="preserve"> a palm of the hand or the sole of a foot (2 of 3 PASI symptom sub-scores rated as severe or very severe or 30% or more of the area is affected).</w:t>
      </w:r>
    </w:p>
    <w:p w14:paraId="6CAC0096" w14:textId="77777777" w:rsidR="008A4CC3" w:rsidRPr="00AD7F9A" w:rsidRDefault="008A4CC3" w:rsidP="006B390B">
      <w:pPr>
        <w:keepNext/>
        <w:keepLines/>
        <w:spacing w:after="0"/>
        <w:rPr>
          <w:szCs w:val="24"/>
        </w:rPr>
      </w:pPr>
      <w:r w:rsidRPr="00AD7F9A">
        <w:rPr>
          <w:szCs w:val="24"/>
          <w:u w:val="single"/>
        </w:rPr>
        <w:t>Rationale for option</w:t>
      </w:r>
    </w:p>
    <w:p w14:paraId="1D9F6FFB" w14:textId="77777777" w:rsidR="008A4CC3" w:rsidRPr="00FF2B8D" w:rsidRDefault="008A4CC3" w:rsidP="006B390B">
      <w:pPr>
        <w:pStyle w:val="Style1"/>
        <w:keepNext/>
        <w:keepLines/>
        <w:numPr>
          <w:ilvl w:val="0"/>
          <w:numId w:val="26"/>
        </w:numPr>
        <w:spacing w:after="200" w:line="240" w:lineRule="auto"/>
        <w:ind w:hanging="357"/>
        <w:contextualSpacing/>
        <w:rPr>
          <w:rFonts w:asciiTheme="minorHAnsi" w:hAnsiTheme="minorHAnsi" w:cs="Times New Roman"/>
          <w:bCs/>
          <w:sz w:val="24"/>
          <w:szCs w:val="24"/>
        </w:rPr>
      </w:pPr>
      <w:r w:rsidRPr="00FF2B8D">
        <w:rPr>
          <w:rFonts w:asciiTheme="minorHAnsi" w:hAnsiTheme="minorHAnsi" w:cs="Times New Roman"/>
          <w:bCs/>
          <w:sz w:val="24"/>
          <w:szCs w:val="24"/>
        </w:rPr>
        <w:t>Stakeholders</w:t>
      </w:r>
      <w:r w:rsidR="00295B7D">
        <w:rPr>
          <w:rFonts w:asciiTheme="minorHAnsi" w:hAnsiTheme="minorHAnsi" w:cs="Times New Roman"/>
          <w:bCs/>
          <w:sz w:val="24"/>
          <w:szCs w:val="24"/>
        </w:rPr>
        <w:t xml:space="preserve"> and the reference group</w:t>
      </w:r>
      <w:r w:rsidRPr="00FF2B8D">
        <w:rPr>
          <w:rFonts w:asciiTheme="minorHAnsi" w:hAnsiTheme="minorHAnsi" w:cs="Times New Roman"/>
          <w:bCs/>
          <w:sz w:val="24"/>
          <w:szCs w:val="24"/>
        </w:rPr>
        <w:t xml:space="preserve"> have advised that involvement of genitalia has a significant impact on patients’ quality of life and should be considered part of the</w:t>
      </w:r>
      <w:r w:rsidR="00681E74">
        <w:rPr>
          <w:rFonts w:asciiTheme="minorHAnsi" w:hAnsiTheme="minorHAnsi" w:cs="Times New Roman"/>
          <w:bCs/>
          <w:sz w:val="24"/>
          <w:szCs w:val="24"/>
        </w:rPr>
        <w:t xml:space="preserve"> eligibility criteria in the PBS restriction for biologics in psoriasis. </w:t>
      </w:r>
    </w:p>
    <w:p w14:paraId="0897C2D5" w14:textId="77777777" w:rsidR="008A4CC3" w:rsidRDefault="008A4CC3" w:rsidP="006B390B">
      <w:pPr>
        <w:pStyle w:val="Style1"/>
        <w:keepNext/>
        <w:keepLines/>
        <w:numPr>
          <w:ilvl w:val="0"/>
          <w:numId w:val="26"/>
        </w:numPr>
        <w:spacing w:after="200" w:line="240" w:lineRule="auto"/>
        <w:ind w:hanging="357"/>
        <w:contextualSpacing/>
        <w:rPr>
          <w:rFonts w:asciiTheme="minorHAnsi" w:hAnsiTheme="minorHAnsi" w:cs="Times New Roman"/>
          <w:bCs/>
          <w:sz w:val="24"/>
          <w:szCs w:val="24"/>
        </w:rPr>
      </w:pPr>
      <w:r w:rsidRPr="00FF2B8D">
        <w:rPr>
          <w:rFonts w:asciiTheme="minorHAnsi" w:hAnsiTheme="minorHAnsi" w:cs="Times New Roman"/>
          <w:bCs/>
          <w:sz w:val="24"/>
          <w:szCs w:val="24"/>
        </w:rPr>
        <w:t xml:space="preserve">The Australasian College of Dermatologists Consensus Statement for the treatment of CPP </w:t>
      </w:r>
      <w:r>
        <w:rPr>
          <w:rFonts w:asciiTheme="minorHAnsi" w:hAnsiTheme="minorHAnsi" w:cs="Times New Roman"/>
          <w:bCs/>
          <w:sz w:val="24"/>
          <w:szCs w:val="24"/>
        </w:rPr>
        <w:t xml:space="preserve">includes genitals as one of the features that </w:t>
      </w:r>
      <w:r w:rsidRPr="00FF2B8D">
        <w:rPr>
          <w:rFonts w:asciiTheme="minorHAnsi" w:hAnsiTheme="minorHAnsi" w:cs="Times New Roman"/>
          <w:bCs/>
          <w:sz w:val="24"/>
          <w:szCs w:val="24"/>
        </w:rPr>
        <w:t>may significantly impair quality of life and alter the classification of mild/moderate disease to severe disease, thus indicating the possible need for phototherapy and/or systemic treatment</w:t>
      </w:r>
      <w:r>
        <w:rPr>
          <w:rFonts w:asciiTheme="minorHAnsi" w:hAnsiTheme="minorHAnsi" w:cs="Times New Roman"/>
          <w:bCs/>
          <w:sz w:val="24"/>
          <w:szCs w:val="24"/>
        </w:rPr>
        <w:t>. The full list of features included in the Consensus Statement is:</w:t>
      </w:r>
    </w:p>
    <w:p w14:paraId="411A2644" w14:textId="77777777" w:rsidR="008A4CC3" w:rsidRPr="00C344E7" w:rsidRDefault="008A4CC3" w:rsidP="006B390B">
      <w:pPr>
        <w:pStyle w:val="ListParagraph"/>
        <w:numPr>
          <w:ilvl w:val="1"/>
          <w:numId w:val="29"/>
        </w:numPr>
        <w:ind w:hanging="357"/>
      </w:pPr>
      <w:r w:rsidRPr="00C344E7">
        <w:t xml:space="preserve">involvement of visible areas </w:t>
      </w:r>
    </w:p>
    <w:p w14:paraId="233AE415" w14:textId="77777777" w:rsidR="008A4CC3" w:rsidRPr="00C344E7" w:rsidRDefault="008A4CC3" w:rsidP="006B390B">
      <w:pPr>
        <w:pStyle w:val="ListParagraph"/>
        <w:numPr>
          <w:ilvl w:val="1"/>
          <w:numId w:val="29"/>
        </w:numPr>
        <w:ind w:hanging="357"/>
      </w:pPr>
      <w:r w:rsidRPr="00C344E7">
        <w:t xml:space="preserve">involvement of major parts of the scalp </w:t>
      </w:r>
    </w:p>
    <w:p w14:paraId="254CCA41" w14:textId="77777777" w:rsidR="008A4CC3" w:rsidRPr="00C344E7" w:rsidRDefault="008A4CC3" w:rsidP="006B390B">
      <w:pPr>
        <w:pStyle w:val="ListParagraph"/>
        <w:numPr>
          <w:ilvl w:val="1"/>
          <w:numId w:val="29"/>
        </w:numPr>
        <w:ind w:hanging="357"/>
      </w:pPr>
      <w:r w:rsidRPr="00C344E7">
        <w:t xml:space="preserve">involvement of genitals </w:t>
      </w:r>
    </w:p>
    <w:p w14:paraId="0DF7E42D" w14:textId="77777777" w:rsidR="008A4CC3" w:rsidRPr="00C344E7" w:rsidRDefault="008A4CC3" w:rsidP="006B390B">
      <w:pPr>
        <w:pStyle w:val="ListParagraph"/>
        <w:numPr>
          <w:ilvl w:val="1"/>
          <w:numId w:val="29"/>
        </w:numPr>
        <w:ind w:hanging="357"/>
      </w:pPr>
      <w:r w:rsidRPr="00C344E7">
        <w:t xml:space="preserve">involvement of palms and/or soles </w:t>
      </w:r>
    </w:p>
    <w:p w14:paraId="79F94D8A" w14:textId="77777777" w:rsidR="008A4CC3" w:rsidRPr="00C344E7" w:rsidRDefault="008A4CC3" w:rsidP="006B390B">
      <w:pPr>
        <w:pStyle w:val="ListParagraph"/>
        <w:numPr>
          <w:ilvl w:val="1"/>
          <w:numId w:val="29"/>
        </w:numPr>
        <w:ind w:hanging="357"/>
      </w:pPr>
      <w:r w:rsidRPr="00C344E7">
        <w:t xml:space="preserve">onycholysis or onychodystrophy of at least two fingernails </w:t>
      </w:r>
    </w:p>
    <w:p w14:paraId="6C209400" w14:textId="77777777" w:rsidR="008A4CC3" w:rsidRPr="00C344E7" w:rsidRDefault="008A4CC3" w:rsidP="006B390B">
      <w:pPr>
        <w:pStyle w:val="ListParagraph"/>
        <w:numPr>
          <w:ilvl w:val="1"/>
          <w:numId w:val="29"/>
        </w:numPr>
        <w:ind w:hanging="357"/>
      </w:pPr>
      <w:r w:rsidRPr="00C344E7">
        <w:t xml:space="preserve">pruritus leading to excoriation. </w:t>
      </w:r>
    </w:p>
    <w:p w14:paraId="38DAC15B" w14:textId="77777777" w:rsidR="008A4CC3" w:rsidRPr="00FF2B8D" w:rsidRDefault="008A4CC3" w:rsidP="006B390B">
      <w:pPr>
        <w:pStyle w:val="ListParagraph"/>
        <w:keepNext/>
        <w:keepLines/>
        <w:numPr>
          <w:ilvl w:val="0"/>
          <w:numId w:val="41"/>
        </w:numPr>
        <w:ind w:hanging="357"/>
        <w:rPr>
          <w:szCs w:val="24"/>
        </w:rPr>
      </w:pPr>
      <w:r w:rsidRPr="00FF2B8D">
        <w:rPr>
          <w:szCs w:val="24"/>
        </w:rPr>
        <w:t>This option would increase</w:t>
      </w:r>
      <w:r w:rsidR="00681E74">
        <w:rPr>
          <w:szCs w:val="24"/>
        </w:rPr>
        <w:t xml:space="preserve"> the number of people eligible to</w:t>
      </w:r>
      <w:r w:rsidRPr="00FF2B8D">
        <w:rPr>
          <w:szCs w:val="24"/>
        </w:rPr>
        <w:t xml:space="preserve"> access PBS-listed biologics for psoriasis, thereby impacting the cost-effectiveness that was originally assessed by the PBAC</w:t>
      </w:r>
      <w:r w:rsidR="00681E74">
        <w:rPr>
          <w:szCs w:val="24"/>
        </w:rPr>
        <w:t xml:space="preserve"> and total cost to the PBS</w:t>
      </w:r>
      <w:r w:rsidRPr="00FF2B8D">
        <w:rPr>
          <w:szCs w:val="24"/>
        </w:rPr>
        <w:t>.</w:t>
      </w:r>
    </w:p>
    <w:p w14:paraId="3B38958D" w14:textId="77777777" w:rsidR="009D7690" w:rsidRDefault="009D7690">
      <w:pPr>
        <w:spacing w:line="276" w:lineRule="auto"/>
        <w:rPr>
          <w:rFonts w:eastAsiaTheme="majorEastAsia" w:cstheme="majorBidi"/>
          <w:b/>
          <w:bCs/>
          <w:i/>
          <w:sz w:val="28"/>
          <w:szCs w:val="28"/>
        </w:rPr>
      </w:pPr>
      <w:bookmarkStart w:id="126" w:name="_Toc503274988"/>
      <w:r>
        <w:br w:type="page"/>
      </w:r>
    </w:p>
    <w:p w14:paraId="04CE25BB" w14:textId="77777777" w:rsidR="00DD254B" w:rsidRPr="00DD254B" w:rsidRDefault="009E0A88" w:rsidP="00DD254B">
      <w:pPr>
        <w:pStyle w:val="MDSubsubheding"/>
      </w:pPr>
      <w:r>
        <w:lastRenderedPageBreak/>
        <w:t>Options for cost effectiveness analysis</w:t>
      </w:r>
      <w:bookmarkEnd w:id="126"/>
    </w:p>
    <w:p w14:paraId="738A32CC" w14:textId="52AE0976" w:rsidR="008F506E" w:rsidRPr="001142CF" w:rsidRDefault="006504DF" w:rsidP="008F506E">
      <w:pPr>
        <w:spacing w:after="0"/>
        <w:rPr>
          <w:b/>
        </w:rPr>
      </w:pPr>
      <w:r w:rsidRPr="001142CF">
        <w:rPr>
          <w:rFonts w:cs="Times New Roman"/>
          <w:b/>
          <w:i/>
          <w:szCs w:val="24"/>
          <w:lang w:eastAsia="en-US"/>
        </w:rPr>
        <w:t xml:space="preserve">Option 4: </w:t>
      </w:r>
      <w:r w:rsidR="001142CF">
        <w:rPr>
          <w:rFonts w:cs="Times New Roman"/>
          <w:b/>
          <w:i/>
          <w:szCs w:val="24"/>
          <w:lang w:eastAsia="en-US"/>
        </w:rPr>
        <w:t>Based on the</w:t>
      </w:r>
      <w:r w:rsidR="00B10347" w:rsidRPr="001142CF">
        <w:rPr>
          <w:rFonts w:cs="Times New Roman"/>
          <w:b/>
          <w:i/>
          <w:szCs w:val="24"/>
          <w:lang w:eastAsia="en-US"/>
        </w:rPr>
        <w:t xml:space="preserve"> findings</w:t>
      </w:r>
      <w:r w:rsidR="00681E74" w:rsidRPr="001142CF">
        <w:rPr>
          <w:rFonts w:cs="Times New Roman"/>
          <w:b/>
          <w:i/>
          <w:szCs w:val="24"/>
          <w:lang w:eastAsia="en-US"/>
        </w:rPr>
        <w:t xml:space="preserve"> from TOR 1-3, and proposed changes to the eligibility criteria for biologics to treat CPP, review the cost</w:t>
      </w:r>
      <w:r w:rsidR="0093620F">
        <w:rPr>
          <w:rFonts w:cs="Times New Roman"/>
          <w:b/>
          <w:i/>
          <w:szCs w:val="24"/>
          <w:lang w:eastAsia="en-US"/>
        </w:rPr>
        <w:t>-</w:t>
      </w:r>
      <w:r w:rsidR="00681E74" w:rsidRPr="001142CF">
        <w:rPr>
          <w:rFonts w:cs="Times New Roman"/>
          <w:b/>
          <w:i/>
          <w:szCs w:val="24"/>
          <w:lang w:eastAsia="en-US"/>
        </w:rPr>
        <w:t>effectiveness of biologics in the treatment of CPP</w:t>
      </w:r>
      <w:r w:rsidR="001142CF">
        <w:rPr>
          <w:rFonts w:cs="Times New Roman"/>
          <w:b/>
          <w:i/>
          <w:szCs w:val="24"/>
          <w:lang w:eastAsia="en-US"/>
        </w:rPr>
        <w:t>.</w:t>
      </w:r>
      <w:r w:rsidR="00B10347" w:rsidRPr="001142CF">
        <w:rPr>
          <w:b/>
        </w:rPr>
        <w:t xml:space="preserve"> </w:t>
      </w:r>
    </w:p>
    <w:p w14:paraId="17CBC156" w14:textId="77777777" w:rsidR="008F506E" w:rsidRDefault="001142CF" w:rsidP="008F506E">
      <w:pPr>
        <w:spacing w:after="0"/>
      </w:pPr>
      <w:r>
        <w:t>Option 4</w:t>
      </w:r>
      <w:r w:rsidR="00B10347">
        <w:t xml:space="preserve">a) </w:t>
      </w:r>
      <w:r w:rsidR="00CB29D0">
        <w:t xml:space="preserve">review the cost-effectiveness </w:t>
      </w:r>
      <w:r w:rsidR="002D4283">
        <w:t xml:space="preserve">in all </w:t>
      </w:r>
      <w:r w:rsidR="00B10347" w:rsidRPr="00B10347">
        <w:t xml:space="preserve">PBS listed biologics </w:t>
      </w:r>
      <w:r w:rsidR="002D4283">
        <w:t>according to</w:t>
      </w:r>
      <w:r w:rsidR="00B10347" w:rsidRPr="00B10347">
        <w:t xml:space="preserve"> the current </w:t>
      </w:r>
      <w:r w:rsidR="00681E74">
        <w:t xml:space="preserve">PBS </w:t>
      </w:r>
      <w:r w:rsidR="00B10347" w:rsidRPr="00B10347">
        <w:t>restriction</w:t>
      </w:r>
      <w:r w:rsidR="00681E74">
        <w:t xml:space="preserve"> </w:t>
      </w:r>
      <w:r w:rsidR="002D4283">
        <w:t>and</w:t>
      </w:r>
      <w:r w:rsidR="00681E74">
        <w:t xml:space="preserve"> actual</w:t>
      </w:r>
      <w:r w:rsidR="002D4283">
        <w:t xml:space="preserve"> PBS</w:t>
      </w:r>
      <w:r w:rsidR="00681E74">
        <w:t xml:space="preserve"> utilisation</w:t>
      </w:r>
      <w:r w:rsidR="002D4283">
        <w:t xml:space="preserve"> and </w:t>
      </w:r>
      <w:r w:rsidR="006504DF">
        <w:t xml:space="preserve">recent </w:t>
      </w:r>
      <w:r w:rsidR="002D4283">
        <w:t>clinical evidence</w:t>
      </w:r>
      <w:r w:rsidR="008F506E">
        <w:t>,</w:t>
      </w:r>
      <w:r w:rsidR="00B10347">
        <w:t xml:space="preserve"> and </w:t>
      </w:r>
    </w:p>
    <w:p w14:paraId="7EC4B237" w14:textId="79ADD280" w:rsidR="001F23B4" w:rsidRDefault="001142CF" w:rsidP="00C84F8B">
      <w:r>
        <w:t>Option 4</w:t>
      </w:r>
      <w:r w:rsidR="00B10347">
        <w:t xml:space="preserve">b) </w:t>
      </w:r>
      <w:r w:rsidR="00CB29D0">
        <w:t xml:space="preserve">review the cost-effectiveness </w:t>
      </w:r>
      <w:r w:rsidR="00433F98">
        <w:t>o</w:t>
      </w:r>
      <w:r w:rsidR="00CB29D0">
        <w:t xml:space="preserve">f </w:t>
      </w:r>
      <w:r w:rsidR="00B10347">
        <w:t>expanding the restriction to include</w:t>
      </w:r>
      <w:r w:rsidR="00CB29D0">
        <w:t>:</w:t>
      </w:r>
      <w:r w:rsidR="00B10347">
        <w:t xml:space="preserve"> r</w:t>
      </w:r>
      <w:r w:rsidR="001F23B4" w:rsidRPr="00867B4B">
        <w:t>educing</w:t>
      </w:r>
      <w:r w:rsidR="001F23B4">
        <w:t xml:space="preserve"> the number of prior treatments</w:t>
      </w:r>
      <w:r w:rsidR="001F23B4" w:rsidRPr="00867B4B">
        <w:t xml:space="preserve"> </w:t>
      </w:r>
      <w:r w:rsidR="001F23B4">
        <w:t>(</w:t>
      </w:r>
      <w:r w:rsidR="001F23B4" w:rsidRPr="00867B4B">
        <w:t>from t</w:t>
      </w:r>
      <w:r w:rsidR="00B6378A">
        <w:t>h</w:t>
      </w:r>
      <w:r w:rsidR="001F23B4" w:rsidRPr="00867B4B">
        <w:t>ree to two</w:t>
      </w:r>
      <w:r w:rsidR="00CB29D0">
        <w:t>);</w:t>
      </w:r>
      <w:r w:rsidR="00B10347">
        <w:t xml:space="preserve"> i</w:t>
      </w:r>
      <w:r w:rsidR="001F23B4">
        <w:t>ncreasing the population to include patients with a PASI &gt;10</w:t>
      </w:r>
      <w:r w:rsidR="00B6378A">
        <w:t xml:space="preserve"> and a DLQI&gt;10</w:t>
      </w:r>
      <w:r w:rsidR="00CB29D0">
        <w:t>;</w:t>
      </w:r>
      <w:r w:rsidR="001F23B4">
        <w:t xml:space="preserve"> and</w:t>
      </w:r>
      <w:r w:rsidR="00B10347">
        <w:t xml:space="preserve"> i</w:t>
      </w:r>
      <w:r w:rsidR="001F23B4">
        <w:t>ncreasing the population to include patients with CPP that have genital involvement</w:t>
      </w:r>
      <w:r w:rsidR="002D4283">
        <w:t xml:space="preserve"> or other specific circumstances as recommended by </w:t>
      </w:r>
      <w:r w:rsidR="0093620F">
        <w:t xml:space="preserve">the </w:t>
      </w:r>
      <w:r w:rsidR="002D4283">
        <w:t>PBAC</w:t>
      </w:r>
      <w:r w:rsidR="00B10347">
        <w:t>.</w:t>
      </w:r>
    </w:p>
    <w:p w14:paraId="5AF5EE1A" w14:textId="77777777" w:rsidR="00DD254B" w:rsidRPr="00DD254B" w:rsidRDefault="00DD254B" w:rsidP="00C84F8B">
      <w:pPr>
        <w:spacing w:after="0"/>
        <w:rPr>
          <w:u w:val="single"/>
        </w:rPr>
      </w:pPr>
      <w:r w:rsidRPr="00DD254B">
        <w:rPr>
          <w:u w:val="single"/>
        </w:rPr>
        <w:t xml:space="preserve">Clarification of Option </w:t>
      </w:r>
      <w:r w:rsidR="001142CF">
        <w:rPr>
          <w:u w:val="single"/>
        </w:rPr>
        <w:t>4</w:t>
      </w:r>
      <w:r w:rsidRPr="00DD254B">
        <w:rPr>
          <w:u w:val="single"/>
        </w:rPr>
        <w:t>a</w:t>
      </w:r>
    </w:p>
    <w:p w14:paraId="27BC3AAE" w14:textId="1C716227" w:rsidR="00B10347" w:rsidRDefault="00B10347" w:rsidP="00B10347">
      <w:r>
        <w:t>It is proposed that a cost</w:t>
      </w:r>
      <w:r w:rsidR="0083566D">
        <w:t>-</w:t>
      </w:r>
      <w:r>
        <w:t>utility model</w:t>
      </w:r>
      <w:r w:rsidR="002D4283">
        <w:t xml:space="preserve"> (</w:t>
      </w:r>
      <w:r w:rsidR="004446DD">
        <w:t>analysis</w:t>
      </w:r>
      <w:r w:rsidR="002D4283">
        <w:t>)</w:t>
      </w:r>
      <w:r>
        <w:t xml:space="preserve"> using data obtained from ToR 1, 2 and 3 should be conducted. The model should account for current Australian practices and consider discontinuation and switching. The aims of the model would be to:</w:t>
      </w:r>
    </w:p>
    <w:p w14:paraId="7B23F9E0" w14:textId="77777777" w:rsidR="00B10347" w:rsidRDefault="00B10347" w:rsidP="00B10347">
      <w:pPr>
        <w:pStyle w:val="ListParagraph"/>
        <w:numPr>
          <w:ilvl w:val="0"/>
          <w:numId w:val="31"/>
        </w:numPr>
      </w:pPr>
      <w:r>
        <w:t>Assess the cost-effectiveness of biologicals under the current PBS restrictions</w:t>
      </w:r>
      <w:r w:rsidR="001142CF">
        <w:t>.</w:t>
      </w:r>
    </w:p>
    <w:p w14:paraId="2E361052" w14:textId="28DE3706" w:rsidR="00B10347" w:rsidRDefault="00B10347" w:rsidP="00B10347">
      <w:pPr>
        <w:pStyle w:val="ListParagraph"/>
        <w:numPr>
          <w:ilvl w:val="0"/>
          <w:numId w:val="31"/>
        </w:numPr>
      </w:pPr>
      <w:r>
        <w:t>Assess the impact of continuation rates on cost-effectiveness, including trial-based rates, PBS prescription data rates,</w:t>
      </w:r>
      <w:r w:rsidR="002D4283">
        <w:t xml:space="preserve"> and more recent evidence on</w:t>
      </w:r>
      <w:r w:rsidR="004446DD">
        <w:t xml:space="preserve"> the relative </w:t>
      </w:r>
      <w:r w:rsidR="002D4283">
        <w:t>efficacy and safety</w:t>
      </w:r>
      <w:r w:rsidR="004446DD">
        <w:t xml:space="preserve"> of biologic</w:t>
      </w:r>
      <w:r w:rsidR="00433F98">
        <w:t>s</w:t>
      </w:r>
      <w:r w:rsidR="004446DD">
        <w:t xml:space="preserve"> for CPP</w:t>
      </w:r>
      <w:r w:rsidR="001142CF">
        <w:t>.</w:t>
      </w:r>
    </w:p>
    <w:p w14:paraId="6B1CDCB3" w14:textId="77777777" w:rsidR="00DB4CC0" w:rsidRDefault="00DB4CC0" w:rsidP="00DB4CC0">
      <w:pPr>
        <w:pStyle w:val="ListParagraph"/>
        <w:numPr>
          <w:ilvl w:val="0"/>
          <w:numId w:val="31"/>
        </w:numPr>
      </w:pPr>
      <w:r>
        <w:t>Assess the cost-effectiveness of current usage through the model.</w:t>
      </w:r>
    </w:p>
    <w:p w14:paraId="4D4BA0BC" w14:textId="77777777" w:rsidR="00CD1057" w:rsidRPr="00CD1057" w:rsidRDefault="00CD1057" w:rsidP="00082F8F">
      <w:pPr>
        <w:keepNext/>
        <w:keepLines/>
        <w:spacing w:after="0"/>
        <w:rPr>
          <w:u w:val="single"/>
        </w:rPr>
      </w:pPr>
      <w:r w:rsidRPr="00DD254B">
        <w:rPr>
          <w:u w:val="single"/>
        </w:rPr>
        <w:t xml:space="preserve">Clarification of Option </w:t>
      </w:r>
      <w:r w:rsidR="001142CF">
        <w:rPr>
          <w:u w:val="single"/>
        </w:rPr>
        <w:t>4</w:t>
      </w:r>
      <w:r>
        <w:rPr>
          <w:u w:val="single"/>
        </w:rPr>
        <w:t>b</w:t>
      </w:r>
    </w:p>
    <w:p w14:paraId="696220BD" w14:textId="77777777" w:rsidR="008F506E" w:rsidRDefault="008F506E" w:rsidP="00C84F8B">
      <w:pPr>
        <w:keepNext/>
        <w:keepLines/>
      </w:pPr>
      <w:r w:rsidRPr="0086325D">
        <w:t xml:space="preserve">If a broader restriction is </w:t>
      </w:r>
      <w:r w:rsidR="002D4283">
        <w:t xml:space="preserve">recommended </w:t>
      </w:r>
      <w:r w:rsidRPr="0086325D">
        <w:t xml:space="preserve">to include milder disease, less prior therapies and/or specific body areas, the above model could be modified to incorporate the broader </w:t>
      </w:r>
      <w:r w:rsidR="002D4283">
        <w:t xml:space="preserve">population and associated disease </w:t>
      </w:r>
      <w:r w:rsidRPr="0086325D">
        <w:t>response rates. The transition probabilities from the above model and the utilities associated with response would need to be adjusted to consider the varying efficacy for these specific subgroup</w:t>
      </w:r>
      <w:r w:rsidR="002D4283">
        <w:t>s</w:t>
      </w:r>
      <w:r w:rsidRPr="0086325D">
        <w:t xml:space="preserve">. However, there are a number of issues with developing a </w:t>
      </w:r>
      <w:r w:rsidR="002D4283">
        <w:t xml:space="preserve">model to assess </w:t>
      </w:r>
      <w:r w:rsidR="001142CF" w:rsidRPr="0086325D">
        <w:t>cost-effectiveness</w:t>
      </w:r>
      <w:r w:rsidRPr="0086325D">
        <w:t xml:space="preserve"> for these specific sub-groups and a number of avenues need to be explored.</w:t>
      </w:r>
    </w:p>
    <w:p w14:paraId="748EE7B2" w14:textId="44CF2A24" w:rsidR="008F506E" w:rsidRDefault="008F506E" w:rsidP="008F506E">
      <w:pPr>
        <w:pStyle w:val="MDsubHead3"/>
      </w:pPr>
      <w:r>
        <w:t>Modified cost</w:t>
      </w:r>
      <w:r w:rsidR="0083566D">
        <w:t>-</w:t>
      </w:r>
      <w:r>
        <w:t>utility model</w:t>
      </w:r>
    </w:p>
    <w:p w14:paraId="295B8D3A" w14:textId="4A266E2E" w:rsidR="008F506E" w:rsidRDefault="008F506E" w:rsidP="008F506E">
      <w:r>
        <w:t>It may be appropriate to further expand the above cost</w:t>
      </w:r>
      <w:r w:rsidR="002D4283">
        <w:t>-</w:t>
      </w:r>
      <w:r>
        <w:t>effectiveness model to incorporate th</w:t>
      </w:r>
      <w:r w:rsidR="006504DF">
        <w:t>e</w:t>
      </w:r>
      <w:r>
        <w:t xml:space="preserve"> milder disease population, or to specifically focus on the PASI 10 to 15 sub category. However, clinical effectiveness data </w:t>
      </w:r>
      <w:r w:rsidR="002D4283">
        <w:t xml:space="preserve">for this sub-group is required to </w:t>
      </w:r>
      <w:r>
        <w:t>model</w:t>
      </w:r>
      <w:r w:rsidR="006504DF">
        <w:t xml:space="preserve"> the cost-effective value in this population</w:t>
      </w:r>
      <w:r w:rsidR="001142CF">
        <w:t>.</w:t>
      </w:r>
      <w:r w:rsidR="002D4283">
        <w:t xml:space="preserve"> Currently there is </w:t>
      </w:r>
      <w:r w:rsidR="004446DD">
        <w:t xml:space="preserve">limited </w:t>
      </w:r>
      <w:r w:rsidR="002D4283">
        <w:t>data</w:t>
      </w:r>
      <w:r w:rsidR="004446DD">
        <w:t xml:space="preserve"> available</w:t>
      </w:r>
      <w:r w:rsidR="002D4283">
        <w:t xml:space="preserve"> from one trial presented in the adalimumab submission for this s</w:t>
      </w:r>
      <w:r w:rsidR="004446DD">
        <w:t>u</w:t>
      </w:r>
      <w:r w:rsidR="002D4283">
        <w:t>b-group.  I</w:t>
      </w:r>
      <w:r>
        <w:t>t may be possible to liaise with pharmaceutical companies to obtain sub</w:t>
      </w:r>
      <w:r w:rsidR="004446DD">
        <w:t>-</w:t>
      </w:r>
      <w:r>
        <w:t>group analys</w:t>
      </w:r>
      <w:r w:rsidR="004446DD">
        <w:t>e</w:t>
      </w:r>
      <w:r>
        <w:t>s of the larger trials to focus on the population with PASI</w:t>
      </w:r>
      <w:r w:rsidR="004446DD">
        <w:t xml:space="preserve"> &gt;10 and</w:t>
      </w:r>
      <w:r>
        <w:t xml:space="preserve"> &lt;15.  However, it should be </w:t>
      </w:r>
      <w:r w:rsidR="004446DD">
        <w:t>noted</w:t>
      </w:r>
      <w:r>
        <w:t xml:space="preserve"> that the majority of trials were conducted in populations &gt;12 and not &gt;10. This could limit the pool of populations in the sub</w:t>
      </w:r>
      <w:r w:rsidR="004446DD">
        <w:t>-</w:t>
      </w:r>
      <w:r>
        <w:t>group analysis and also undermine the estimate of clinical effectiveness in the PASI &gt;10 but &lt; 12 sub population.</w:t>
      </w:r>
    </w:p>
    <w:p w14:paraId="3845C3C3" w14:textId="77777777" w:rsidR="008F506E" w:rsidRDefault="008F506E" w:rsidP="008F506E">
      <w:pPr>
        <w:pStyle w:val="MDsubHead3"/>
      </w:pPr>
      <w:r>
        <w:t>I</w:t>
      </w:r>
      <w:r w:rsidRPr="008B0B27">
        <w:t>ndustry submission</w:t>
      </w:r>
      <w:r>
        <w:t>s</w:t>
      </w:r>
      <w:r w:rsidRPr="008B0B27">
        <w:t xml:space="preserve">  </w:t>
      </w:r>
    </w:p>
    <w:p w14:paraId="6773D393" w14:textId="3269E78C" w:rsidR="008F506E" w:rsidRDefault="00F1157C" w:rsidP="001142CF">
      <w:r>
        <w:t>Alternatively, i</w:t>
      </w:r>
      <w:r w:rsidR="008F506E">
        <w:t>t may be</w:t>
      </w:r>
      <w:r>
        <w:t xml:space="preserve"> more</w:t>
      </w:r>
      <w:r w:rsidR="008F506E">
        <w:t xml:space="preserve"> appropriate to request the </w:t>
      </w:r>
      <w:r>
        <w:t xml:space="preserve">relevant </w:t>
      </w:r>
      <w:r w:rsidR="001142CF">
        <w:t>sponsor</w:t>
      </w:r>
      <w:r w:rsidR="008F506E">
        <w:t xml:space="preserve"> companies</w:t>
      </w:r>
      <w:r w:rsidR="00C60303">
        <w:t xml:space="preserve"> </w:t>
      </w:r>
      <w:r w:rsidR="001142CF">
        <w:t xml:space="preserve">to </w:t>
      </w:r>
      <w:r w:rsidR="00C60303">
        <w:t xml:space="preserve">provide submissions to PBAC </w:t>
      </w:r>
      <w:r w:rsidR="008F506E">
        <w:t>that focus on the</w:t>
      </w:r>
      <w:r>
        <w:t xml:space="preserve"> cost-effectiveness </w:t>
      </w:r>
      <w:r w:rsidR="00C60303">
        <w:t xml:space="preserve">of biologics in </w:t>
      </w:r>
      <w:r>
        <w:t xml:space="preserve">CPP populations with </w:t>
      </w:r>
      <w:r w:rsidR="00C60303">
        <w:t>a</w:t>
      </w:r>
      <w:r w:rsidR="008F506E">
        <w:t xml:space="preserve"> PASI </w:t>
      </w:r>
      <w:r w:rsidR="00C60303">
        <w:t xml:space="preserve">range of </w:t>
      </w:r>
      <w:r w:rsidR="008F506E">
        <w:t>10 to 15</w:t>
      </w:r>
      <w:r w:rsidR="00C60303">
        <w:t xml:space="preserve"> and DLQI &gt;10</w:t>
      </w:r>
      <w:r w:rsidR="00574616">
        <w:t>. A</w:t>
      </w:r>
      <w:r w:rsidR="008F506E">
        <w:t xml:space="preserve"> similar </w:t>
      </w:r>
      <w:r>
        <w:t>submission f</w:t>
      </w:r>
      <w:r w:rsidR="00574616">
        <w:t xml:space="preserve">rom the </w:t>
      </w:r>
      <w:r w:rsidR="00574616">
        <w:lastRenderedPageBreak/>
        <w:t>sponsor of</w:t>
      </w:r>
      <w:r w:rsidR="008F506E">
        <w:t xml:space="preserve"> </w:t>
      </w:r>
      <w:r w:rsidR="004446DD">
        <w:t>a</w:t>
      </w:r>
      <w:r w:rsidR="008F506E">
        <w:t xml:space="preserve">dalimumab </w:t>
      </w:r>
      <w:r w:rsidR="00574616">
        <w:t xml:space="preserve">was made to PBAC </w:t>
      </w:r>
      <w:r w:rsidR="008F506E">
        <w:t>in March 2013</w:t>
      </w:r>
      <w:r w:rsidR="004446DD">
        <w:t>.</w:t>
      </w:r>
      <w:r w:rsidR="006504DF">
        <w:t xml:space="preserve"> </w:t>
      </w:r>
      <w:r w:rsidR="004446DD">
        <w:t xml:space="preserve">For further information on this submission and PBAC consideration, refer to </w:t>
      </w:r>
      <w:r w:rsidR="001142CF">
        <w:t xml:space="preserve">Section 4 - </w:t>
      </w:r>
      <w:r w:rsidR="004446DD">
        <w:t>T</w:t>
      </w:r>
      <w:r w:rsidR="007C1E92">
        <w:t>o</w:t>
      </w:r>
      <w:r w:rsidR="004446DD">
        <w:t>R4.</w:t>
      </w:r>
    </w:p>
    <w:p w14:paraId="61889008" w14:textId="77777777" w:rsidR="006504DF" w:rsidRPr="00FE1642" w:rsidRDefault="006504DF" w:rsidP="00C60303">
      <w:pPr>
        <w:sectPr w:rsidR="006504DF" w:rsidRPr="00FE1642" w:rsidSect="006356D2">
          <w:pgSz w:w="11906" w:h="16838"/>
          <w:pgMar w:top="1440" w:right="1440" w:bottom="1440" w:left="1440" w:header="708" w:footer="708" w:gutter="0"/>
          <w:cols w:space="708"/>
          <w:titlePg/>
          <w:docGrid w:linePitch="360"/>
        </w:sectPr>
      </w:pPr>
      <w:r>
        <w:t xml:space="preserve"> </w:t>
      </w:r>
    </w:p>
    <w:p w14:paraId="4F0A76BF" w14:textId="77777777" w:rsidR="00923556" w:rsidRPr="00FE1642" w:rsidRDefault="00923556" w:rsidP="00A77877">
      <w:pPr>
        <w:pStyle w:val="Heading1"/>
      </w:pPr>
      <w:bookmarkStart w:id="127" w:name="_Toc503274989"/>
      <w:r w:rsidRPr="00FE1642">
        <w:lastRenderedPageBreak/>
        <w:t>References</w:t>
      </w:r>
      <w:bookmarkEnd w:id="127"/>
    </w:p>
    <w:p w14:paraId="5F7A502E" w14:textId="77777777" w:rsidR="00F608CD" w:rsidRPr="00F608CD" w:rsidRDefault="00F608CD" w:rsidP="00F608CD">
      <w:pPr>
        <w:pStyle w:val="EndNoteBibliography"/>
        <w:spacing w:after="0"/>
      </w:pPr>
      <w:bookmarkStart w:id="128" w:name="_ENREF_1"/>
      <w:r w:rsidRPr="00F608CD">
        <w:t>1.</w:t>
      </w:r>
      <w:r w:rsidRPr="00F608CD">
        <w:tab/>
        <w:t xml:space="preserve">Australian College of Dermatologists. A-Z of skin: psoriasis 2017 2017 [Available from: </w:t>
      </w:r>
      <w:r w:rsidRPr="00486E7E">
        <w:t>http://www.dermcoll.edu.au/atoz/psoriasis/</w:t>
      </w:r>
      <w:r w:rsidRPr="00F608CD">
        <w:t>.</w:t>
      </w:r>
      <w:bookmarkEnd w:id="128"/>
    </w:p>
    <w:p w14:paraId="7262E9E5" w14:textId="77777777" w:rsidR="00F608CD" w:rsidRPr="00F608CD" w:rsidRDefault="00F608CD" w:rsidP="00F608CD">
      <w:pPr>
        <w:pStyle w:val="EndNoteBibliography"/>
        <w:spacing w:after="0"/>
      </w:pPr>
      <w:bookmarkStart w:id="129" w:name="_ENREF_2"/>
      <w:r w:rsidRPr="00F608CD">
        <w:t>2.</w:t>
      </w:r>
      <w:r w:rsidRPr="00F608CD">
        <w:tab/>
        <w:t xml:space="preserve">DermNet New Zealand. Topics: plaque psoriasis [Available from: </w:t>
      </w:r>
      <w:r w:rsidRPr="00486E7E">
        <w:t>http://www.dermnetnz.org/topics/plaque-psoriasis</w:t>
      </w:r>
      <w:r w:rsidRPr="00F608CD">
        <w:t xml:space="preserve"> </w:t>
      </w:r>
      <w:bookmarkEnd w:id="129"/>
    </w:p>
    <w:p w14:paraId="57B3F9B0" w14:textId="77777777" w:rsidR="00F608CD" w:rsidRPr="00F608CD" w:rsidRDefault="00F608CD" w:rsidP="00F608CD">
      <w:pPr>
        <w:pStyle w:val="EndNoteBibliography"/>
        <w:spacing w:after="0"/>
      </w:pPr>
      <w:bookmarkStart w:id="130" w:name="_ENREF_3"/>
      <w:r w:rsidRPr="00F608CD">
        <w:t>3.</w:t>
      </w:r>
      <w:r w:rsidRPr="00F608CD">
        <w:tab/>
        <w:t>Baker C, Mack A, Cooper A, Fischer G, Shumack S, Sidhu S, et al. Treatment goals for moderate to severe psoriasis: an Australian consensus.[Erratum appears in Australas J Dermatol. 2014 Feb;55(1):94 Note: Soyer, Peter [corrected to Soyer, H Peter]]. Australasian Journal of Dermatology.54(2):148-54.</w:t>
      </w:r>
      <w:bookmarkEnd w:id="130"/>
    </w:p>
    <w:p w14:paraId="2E7ECCC0" w14:textId="77777777" w:rsidR="00F608CD" w:rsidRPr="00F608CD" w:rsidRDefault="00F608CD" w:rsidP="00F608CD">
      <w:pPr>
        <w:pStyle w:val="EndNoteBibliography"/>
        <w:spacing w:after="0"/>
      </w:pPr>
      <w:bookmarkStart w:id="131" w:name="_ENREF_4"/>
      <w:r w:rsidRPr="00F608CD">
        <w:t>4.</w:t>
      </w:r>
      <w:r w:rsidRPr="00F608CD">
        <w:tab/>
        <w:t>Mrowietz U, Kragballe K, Reich K, Spuls P, Griffiths CEM, Nast A, et al. Definition of treatment goals for moderate to severe psoriasis: a European consensus. Archives of Dermatological Research. 2011;303(1):1-10.</w:t>
      </w:r>
      <w:bookmarkEnd w:id="131"/>
    </w:p>
    <w:p w14:paraId="5181A63C" w14:textId="77777777" w:rsidR="00F608CD" w:rsidRPr="00F608CD" w:rsidRDefault="00F608CD" w:rsidP="00F608CD">
      <w:pPr>
        <w:pStyle w:val="EndNoteBibliography"/>
        <w:spacing w:after="0"/>
      </w:pPr>
      <w:bookmarkStart w:id="132" w:name="_ENREF_5"/>
      <w:r w:rsidRPr="00F608CD">
        <w:t>5.</w:t>
      </w:r>
      <w:r w:rsidRPr="00F608CD">
        <w:tab/>
        <w:t xml:space="preserve">The Australasian College of Dermatologists. Treatment goals for psoriasis: The Australian Psoriasis Treatment Goals Project </w:t>
      </w:r>
      <w:r w:rsidRPr="00486E7E">
        <w:t>https://www.dermcoll.edu.au/wp-content/uploads/ACD-Consensus-Statement-Treatment-goals-for-psoriasis-March-2017.pdf2017</w:t>
      </w:r>
      <w:r w:rsidRPr="00F608CD">
        <w:t xml:space="preserve"> [</w:t>
      </w:r>
      <w:bookmarkEnd w:id="132"/>
    </w:p>
    <w:p w14:paraId="75D32662" w14:textId="77777777" w:rsidR="00F608CD" w:rsidRPr="00F608CD" w:rsidRDefault="00F608CD" w:rsidP="00F608CD">
      <w:pPr>
        <w:pStyle w:val="EndNoteBibliography"/>
        <w:spacing w:after="0"/>
      </w:pPr>
      <w:bookmarkStart w:id="133" w:name="_ENREF_6"/>
      <w:r w:rsidRPr="00F608CD">
        <w:t>6.</w:t>
      </w:r>
      <w:r w:rsidRPr="00F608CD">
        <w:tab/>
        <w:t>Canadian Psoriasis Guidelines Addendum Committee. 2016 Addendum to the Canadian Guidelines for the Management of Plaque Psoriasis 2009. Journal of Cutaneous Medicine and Surgery. 2016;20(5):375-431.</w:t>
      </w:r>
      <w:bookmarkEnd w:id="133"/>
    </w:p>
    <w:p w14:paraId="40746E98" w14:textId="77777777" w:rsidR="00F608CD" w:rsidRPr="00F608CD" w:rsidRDefault="00F608CD" w:rsidP="00F608CD">
      <w:pPr>
        <w:pStyle w:val="EndNoteBibliography"/>
        <w:spacing w:after="0"/>
      </w:pPr>
      <w:bookmarkStart w:id="134" w:name="_ENREF_7"/>
      <w:r w:rsidRPr="00F608CD">
        <w:t>7.</w:t>
      </w:r>
      <w:r w:rsidRPr="00F608CD">
        <w:tab/>
        <w:t>Hsu S, Papp KA, Lebwohl MG, Bagel J, Blauvelt A, Duffin KC, et al. Consensus guidelines for the management of plaque psoriasis. Arch Dermatol. 2012;148(1):95-102.</w:t>
      </w:r>
      <w:bookmarkEnd w:id="134"/>
    </w:p>
    <w:p w14:paraId="4DC393C3" w14:textId="77777777" w:rsidR="00F608CD" w:rsidRPr="00F608CD" w:rsidRDefault="00F608CD" w:rsidP="00F608CD">
      <w:pPr>
        <w:pStyle w:val="EndNoteBibliography"/>
        <w:spacing w:after="0"/>
      </w:pPr>
      <w:bookmarkStart w:id="135" w:name="_ENREF_8"/>
      <w:r w:rsidRPr="00F608CD">
        <w:t>8.</w:t>
      </w:r>
      <w:r w:rsidRPr="00F608CD">
        <w:tab/>
        <w:t>Nast A, Gisondi P, Ormerod AD, Saiag P, Smith C, Spuls PI, et al. European S3-Guidelines on the systemic treatment of psoriasis vulgaris--Update 2015--Short version--EDF in cooperation with EADV and IPC. Journal of the European Academy of Dermatology &amp; Venereology. 2015;29(12):2277-94.</w:t>
      </w:r>
      <w:bookmarkEnd w:id="135"/>
    </w:p>
    <w:p w14:paraId="630871CF" w14:textId="77777777" w:rsidR="00F608CD" w:rsidRPr="00F608CD" w:rsidRDefault="00F608CD" w:rsidP="00F608CD">
      <w:pPr>
        <w:pStyle w:val="EndNoteBibliography"/>
        <w:spacing w:after="0"/>
      </w:pPr>
      <w:bookmarkStart w:id="136" w:name="_ENREF_9"/>
      <w:r w:rsidRPr="00F608CD">
        <w:t>9.</w:t>
      </w:r>
      <w:r w:rsidRPr="00F608CD">
        <w:tab/>
        <w:t>Nast A, Jacobs A, Rosumeck S, Werner RN. Methods Report: European S3-Guidelines on the systemic treatment of psoriasis vulgaris--update 2015--EDF in cooperation with EADV and IPC. Journal of the European Academy of Dermatology &amp; Venereology. 2015;29(12):e1-22.</w:t>
      </w:r>
      <w:bookmarkEnd w:id="136"/>
    </w:p>
    <w:p w14:paraId="56030776" w14:textId="77777777" w:rsidR="00F608CD" w:rsidRPr="00F608CD" w:rsidRDefault="00F608CD" w:rsidP="00F608CD">
      <w:pPr>
        <w:pStyle w:val="EndNoteBibliography"/>
        <w:spacing w:after="0"/>
      </w:pPr>
      <w:bookmarkStart w:id="137" w:name="_ENREF_10"/>
      <w:r w:rsidRPr="00F608CD">
        <w:t>10.</w:t>
      </w:r>
      <w:r w:rsidRPr="00F608CD">
        <w:tab/>
        <w:t>National Institute for Health and Care Excellence. Psoriasis, Evidence Update November 2014. A summary of selected new evidence relevant to NICE clinical guideline 153 ‘The assessment and management of psoriasis’ (2012). 2014.</w:t>
      </w:r>
      <w:bookmarkEnd w:id="137"/>
    </w:p>
    <w:p w14:paraId="4D421DF9" w14:textId="77777777" w:rsidR="00F608CD" w:rsidRPr="00F608CD" w:rsidRDefault="00F608CD" w:rsidP="00F608CD">
      <w:pPr>
        <w:pStyle w:val="EndNoteBibliography"/>
        <w:spacing w:after="0"/>
      </w:pPr>
      <w:bookmarkStart w:id="138" w:name="_ENREF_11"/>
      <w:r w:rsidRPr="00F608CD">
        <w:t>11.</w:t>
      </w:r>
      <w:r w:rsidRPr="00F608CD">
        <w:tab/>
        <w:t>National Institute for Health and Clinical Excellence. Psoriasis: assessment and management. 2012;Clinical Guidance 153.</w:t>
      </w:r>
      <w:bookmarkEnd w:id="138"/>
    </w:p>
    <w:p w14:paraId="7C84A6B4" w14:textId="77777777" w:rsidR="00F608CD" w:rsidRPr="00F608CD" w:rsidRDefault="00F608CD" w:rsidP="00F608CD">
      <w:pPr>
        <w:pStyle w:val="EndNoteBibliography"/>
        <w:spacing w:after="0"/>
      </w:pPr>
      <w:bookmarkStart w:id="139" w:name="_ENREF_12"/>
      <w:r w:rsidRPr="00F608CD">
        <w:t>12.</w:t>
      </w:r>
      <w:r w:rsidRPr="00F608CD">
        <w:tab/>
        <w:t>National Institute for Health and Care Excellence. Etanercept and efalizumab for the treatment of adults with psoriasis. 2006.</w:t>
      </w:r>
      <w:bookmarkEnd w:id="139"/>
    </w:p>
    <w:p w14:paraId="07FC5203" w14:textId="77777777" w:rsidR="00F608CD" w:rsidRPr="00F608CD" w:rsidRDefault="00F608CD" w:rsidP="00F608CD">
      <w:pPr>
        <w:pStyle w:val="EndNoteBibliography"/>
        <w:spacing w:after="0"/>
      </w:pPr>
      <w:bookmarkStart w:id="140" w:name="_ENREF_13"/>
      <w:r w:rsidRPr="00F608CD">
        <w:t>13.</w:t>
      </w:r>
      <w:r w:rsidRPr="00F608CD">
        <w:tab/>
        <w:t>National Institute for Health and Care Excellence. Infliximab for the treatment of adults with psoriasis. 2008.</w:t>
      </w:r>
      <w:bookmarkEnd w:id="140"/>
    </w:p>
    <w:p w14:paraId="75E2F210" w14:textId="77777777" w:rsidR="00F608CD" w:rsidRPr="00F608CD" w:rsidRDefault="00F608CD" w:rsidP="00F608CD">
      <w:pPr>
        <w:pStyle w:val="EndNoteBibliography"/>
        <w:spacing w:after="0"/>
      </w:pPr>
      <w:bookmarkStart w:id="141" w:name="_ENREF_14"/>
      <w:r w:rsidRPr="00F608CD">
        <w:t>14.</w:t>
      </w:r>
      <w:r w:rsidRPr="00F608CD">
        <w:tab/>
        <w:t>National Institute for Health and Care Excellence. Ustekinumab for the treatment of adults with moderate to severe psoriasis (TA180). 2009.</w:t>
      </w:r>
      <w:bookmarkEnd w:id="141"/>
    </w:p>
    <w:p w14:paraId="1E6D39C3" w14:textId="77777777" w:rsidR="00F608CD" w:rsidRPr="00F608CD" w:rsidRDefault="00F608CD" w:rsidP="00F608CD">
      <w:pPr>
        <w:pStyle w:val="EndNoteBibliography"/>
        <w:spacing w:after="0"/>
      </w:pPr>
      <w:bookmarkStart w:id="142" w:name="_ENREF_15"/>
      <w:r w:rsidRPr="00F608CD">
        <w:t>15.</w:t>
      </w:r>
      <w:r w:rsidRPr="00F608CD">
        <w:tab/>
        <w:t>National Institute for Health and Care Excellence. Secukinumab for treating moderate to severe plaque psoriasis. 2015.</w:t>
      </w:r>
      <w:bookmarkEnd w:id="142"/>
    </w:p>
    <w:p w14:paraId="5F4DC1AF" w14:textId="77777777" w:rsidR="00F608CD" w:rsidRPr="00F608CD" w:rsidRDefault="00F608CD" w:rsidP="00F608CD">
      <w:pPr>
        <w:pStyle w:val="EndNoteBibliography"/>
        <w:spacing w:after="0"/>
      </w:pPr>
      <w:bookmarkStart w:id="143" w:name="_ENREF_16"/>
      <w:r w:rsidRPr="00F608CD">
        <w:t>16.</w:t>
      </w:r>
      <w:r w:rsidRPr="00F608CD">
        <w:tab/>
        <w:t>National Institute for Health and Care Excellence. Ixekizumab for treating moderate to severe plaque psoriasis (TA442). 2017.</w:t>
      </w:r>
      <w:bookmarkEnd w:id="143"/>
    </w:p>
    <w:p w14:paraId="450C3A3B" w14:textId="77777777" w:rsidR="00F608CD" w:rsidRPr="00F608CD" w:rsidRDefault="00F608CD" w:rsidP="00F608CD">
      <w:pPr>
        <w:pStyle w:val="EndNoteBibliography"/>
        <w:spacing w:after="0"/>
      </w:pPr>
      <w:bookmarkStart w:id="144" w:name="_ENREF_17"/>
      <w:r w:rsidRPr="00F608CD">
        <w:t>17.</w:t>
      </w:r>
      <w:r w:rsidRPr="00F608CD">
        <w:tab/>
        <w:t>National Institute for Health and Clinical Excellence. Adalimumab for the treatment of adults with psoriasis. 2008.</w:t>
      </w:r>
      <w:bookmarkEnd w:id="144"/>
    </w:p>
    <w:p w14:paraId="0122B33E" w14:textId="77777777" w:rsidR="00F608CD" w:rsidRPr="00F608CD" w:rsidRDefault="00F608CD" w:rsidP="00F608CD">
      <w:pPr>
        <w:pStyle w:val="EndNoteBibliography"/>
        <w:spacing w:after="0"/>
      </w:pPr>
      <w:bookmarkStart w:id="145" w:name="_ENREF_18"/>
      <w:r w:rsidRPr="00F608CD">
        <w:lastRenderedPageBreak/>
        <w:t>18.</w:t>
      </w:r>
      <w:r w:rsidRPr="00F608CD">
        <w:tab/>
        <w:t>Menter A, Gottlieb A, Feldman SR, Van Voorhees AS, Leonardi CL, Gordon KB, et al. Guidelines of care for the management of psoriasis and psoriatic arthritis: Section 1. Overview of psoriasis and guidelines of care for the treatment of psoriasis with biologics. Journal of the American Academy of Dermatology. 2008;58(5):826-50.</w:t>
      </w:r>
      <w:bookmarkEnd w:id="145"/>
    </w:p>
    <w:p w14:paraId="2B4301C7" w14:textId="77777777" w:rsidR="00F608CD" w:rsidRPr="00F608CD" w:rsidRDefault="00F608CD" w:rsidP="00F608CD">
      <w:pPr>
        <w:pStyle w:val="EndNoteBibliography"/>
        <w:spacing w:after="0"/>
      </w:pPr>
      <w:bookmarkStart w:id="146" w:name="_ENREF_19"/>
      <w:r w:rsidRPr="00F608CD">
        <w:t>19.</w:t>
      </w:r>
      <w:r w:rsidRPr="00F608CD">
        <w:tab/>
        <w:t>Smith CH, Anstey AV, Barker JN, Burden AD, Chalmers RJ, Chandler DA, et al. British Association of Dermatologists' guidelines for biologic interventions for psoriasis 2009. Br J Dermatol. 2009;161(5):987-1019.</w:t>
      </w:r>
      <w:bookmarkEnd w:id="146"/>
    </w:p>
    <w:p w14:paraId="44A8083C" w14:textId="77777777" w:rsidR="00F608CD" w:rsidRPr="00F608CD" w:rsidRDefault="00F608CD" w:rsidP="00F608CD">
      <w:pPr>
        <w:pStyle w:val="EndNoteBibliography"/>
        <w:spacing w:after="0"/>
      </w:pPr>
      <w:bookmarkStart w:id="147" w:name="_ENREF_20"/>
      <w:r w:rsidRPr="00F608CD">
        <w:t>20.</w:t>
      </w:r>
      <w:r w:rsidRPr="00F608CD">
        <w:tab/>
        <w:t>Armstrong AW, Siegel MP, Bagel J, Boh EE, Buell M, Cooper KD, et al. From the Medical Board of the National Psoriasis Foundation: Treatment targets for plaque psoriasis. Journal of the American Academy of Dermatology. 2017;76(2):290-8.</w:t>
      </w:r>
      <w:bookmarkEnd w:id="147"/>
    </w:p>
    <w:p w14:paraId="7D50BC13" w14:textId="77777777" w:rsidR="00F608CD" w:rsidRPr="00F608CD" w:rsidRDefault="00F608CD" w:rsidP="00F608CD">
      <w:pPr>
        <w:pStyle w:val="EndNoteBibliography"/>
        <w:spacing w:after="0"/>
      </w:pPr>
      <w:bookmarkStart w:id="148" w:name="_ENREF_21"/>
      <w:r w:rsidRPr="00F608CD">
        <w:t>21.</w:t>
      </w:r>
      <w:r w:rsidRPr="00F608CD">
        <w:tab/>
        <w:t>Mrowietz U, de Jong EM, Kragballe K, Langley R, Nast A, Puig L, et al. A consensus report on appropriate treatment optimization and transitioning in the management of moderate-to-severe plaque psoriasis. Journal of the European Academy of Dermatology &amp; Venereology. 2014;28(4):438-53.</w:t>
      </w:r>
      <w:bookmarkEnd w:id="148"/>
    </w:p>
    <w:p w14:paraId="1D4C17FF" w14:textId="77777777" w:rsidR="00F608CD" w:rsidRPr="00F608CD" w:rsidRDefault="00F608CD" w:rsidP="00F608CD">
      <w:pPr>
        <w:pStyle w:val="EndNoteBibliography"/>
        <w:spacing w:after="0"/>
      </w:pPr>
      <w:bookmarkStart w:id="149" w:name="_ENREF_22"/>
      <w:r w:rsidRPr="00F608CD">
        <w:t>22.</w:t>
      </w:r>
      <w:r w:rsidRPr="00F608CD">
        <w:tab/>
        <w:t>Canadian Psoriasis Guidelines Committee. Canadian Guidelines for the Management of Plaque Psoriasis. 2009.</w:t>
      </w:r>
      <w:bookmarkEnd w:id="149"/>
    </w:p>
    <w:p w14:paraId="0B41451E" w14:textId="77777777" w:rsidR="00F608CD" w:rsidRPr="00F608CD" w:rsidRDefault="00F608CD" w:rsidP="00F608CD">
      <w:pPr>
        <w:pStyle w:val="EndNoteBibliography"/>
        <w:spacing w:after="0"/>
      </w:pPr>
      <w:bookmarkStart w:id="150" w:name="_ENREF_23"/>
      <w:r w:rsidRPr="00F608CD">
        <w:t>23.</w:t>
      </w:r>
      <w:r w:rsidRPr="00F608CD">
        <w:tab/>
        <w:t xml:space="preserve">Abikhair M, Goh M, Chong A, Kelly R, Saunders H, Foley P, et al. The off-label use of infliximab in dermatology: A review of 22 cases. Australasian journal of dermatology [Internet]. 2015; 56:[2 p.]. Available from: </w:t>
      </w:r>
      <w:r w:rsidRPr="00486E7E">
        <w:t>http://onlinelibrary.wiley.com/o/cochrane/clcentral/articles/656/CN-01134656/frame.html</w:t>
      </w:r>
      <w:r w:rsidRPr="00F608CD">
        <w:t>.</w:t>
      </w:r>
      <w:bookmarkEnd w:id="150"/>
    </w:p>
    <w:p w14:paraId="62053B35" w14:textId="77777777" w:rsidR="00F608CD" w:rsidRPr="00F608CD" w:rsidRDefault="00F608CD" w:rsidP="00F608CD">
      <w:pPr>
        <w:pStyle w:val="EndNoteBibliography"/>
        <w:spacing w:after="0"/>
      </w:pPr>
      <w:bookmarkStart w:id="151" w:name="_ENREF_24"/>
      <w:r w:rsidRPr="00F608CD">
        <w:t>24.</w:t>
      </w:r>
      <w:r w:rsidRPr="00F608CD">
        <w:tab/>
        <w:t>American Academy of Dermatology Work G, Menter A, Korman NJ, Elmets CA, Feldman SR, Gelfand JM, et al. Guidelines of care for the management of psoriasis and psoriatic arthritis: section 6. Guidelines of care for the treatment of psoriasis and psoriatic arthritis: case-based presentations and evidence-based conclusions. Journal of the American Academy of Dermatology. 2011;65(1):137-74.</w:t>
      </w:r>
      <w:bookmarkEnd w:id="151"/>
    </w:p>
    <w:p w14:paraId="7DBD39A4" w14:textId="77777777" w:rsidR="00F608CD" w:rsidRPr="00F608CD" w:rsidRDefault="00F608CD" w:rsidP="00F608CD">
      <w:pPr>
        <w:pStyle w:val="EndNoteBibliography"/>
        <w:spacing w:after="0"/>
      </w:pPr>
      <w:bookmarkStart w:id="152" w:name="_ENREF_25"/>
      <w:r w:rsidRPr="00F608CD">
        <w:t>25.</w:t>
      </w:r>
      <w:r w:rsidRPr="00F608CD">
        <w:tab/>
        <w:t>Spuls PI, Lecluse LLA, Poulsen M-LNF, Bos JD, Stern RS, Nijsten T. How Good Are Clinical Severity and Outcome Measures for Psoriasis?: Quantitative Evaluation in a Systematic Review. Journal of Investigative Dermatology. 2010;130(4):933-43.</w:t>
      </w:r>
      <w:bookmarkEnd w:id="152"/>
    </w:p>
    <w:p w14:paraId="5F593D2A" w14:textId="77777777" w:rsidR="00F608CD" w:rsidRPr="00F608CD" w:rsidRDefault="00F608CD" w:rsidP="00F608CD">
      <w:pPr>
        <w:pStyle w:val="EndNoteBibliography"/>
        <w:spacing w:after="0"/>
      </w:pPr>
      <w:bookmarkStart w:id="153" w:name="_ENREF_26"/>
      <w:r w:rsidRPr="00F608CD">
        <w:t>26.</w:t>
      </w:r>
      <w:r w:rsidRPr="00F608CD">
        <w:tab/>
        <w:t>Robinson A, Kardos M, Kimball AB. Physician Global Assessment (PGA) and Psoriasis Area and Severity Index (PASI): why do both? A systematic analysis of randomized controlled trials of biologic agents for moderate to severe plaque psoriasis. Journal of the American Academy of Dermatology.66(3):369-75.</w:t>
      </w:r>
      <w:bookmarkEnd w:id="153"/>
    </w:p>
    <w:p w14:paraId="7D8C665F" w14:textId="77777777" w:rsidR="00F608CD" w:rsidRPr="00F608CD" w:rsidRDefault="00F608CD" w:rsidP="00F608CD">
      <w:pPr>
        <w:pStyle w:val="EndNoteBibliography"/>
        <w:spacing w:after="0"/>
      </w:pPr>
      <w:bookmarkStart w:id="154" w:name="_ENREF_27"/>
      <w:r w:rsidRPr="00F608CD">
        <w:t>27.</w:t>
      </w:r>
      <w:r w:rsidRPr="00F608CD">
        <w:tab/>
        <w:t>Puzenat E, Bronsard V, Prey S, Gourraud PA, Aractingi S, Bagot M, et al. What are the best outcome measures for assessing plaque psoriasis severity? A systematic review of the literature. Journal of the European Academy of Dermatology and Venereology. 2010;24:10-6.</w:t>
      </w:r>
      <w:bookmarkEnd w:id="154"/>
    </w:p>
    <w:p w14:paraId="0E403CDB" w14:textId="77777777" w:rsidR="00F608CD" w:rsidRPr="00F608CD" w:rsidRDefault="00F608CD" w:rsidP="00F608CD">
      <w:pPr>
        <w:pStyle w:val="EndNoteBibliography"/>
        <w:spacing w:after="0"/>
      </w:pPr>
      <w:bookmarkStart w:id="155" w:name="_ENREF_28"/>
      <w:r w:rsidRPr="00F608CD">
        <w:t>28.</w:t>
      </w:r>
      <w:r w:rsidRPr="00F608CD">
        <w:tab/>
        <w:t>Twiss J, Meads DM, Preston EP, Crawford SR, McKenna SP. Can we rely on the Dermatology Life Quality Index as a measure of the impact of psoriasis or atopic dermatitis? Journal of Investigative Dermatology.132(1):76-84.</w:t>
      </w:r>
      <w:bookmarkEnd w:id="155"/>
    </w:p>
    <w:p w14:paraId="516B583A" w14:textId="77777777" w:rsidR="00F608CD" w:rsidRPr="00F608CD" w:rsidRDefault="00F608CD" w:rsidP="00F608CD">
      <w:pPr>
        <w:pStyle w:val="EndNoteBibliography"/>
        <w:spacing w:after="0"/>
      </w:pPr>
      <w:bookmarkStart w:id="156" w:name="_ENREF_29"/>
      <w:r w:rsidRPr="00F608CD">
        <w:t>29.</w:t>
      </w:r>
      <w:r w:rsidRPr="00F608CD">
        <w:tab/>
        <w:t>Nijsten T. Dermatology life quality index: time to move forward. Journal of Investigative Dermatology.132(1):11-3.</w:t>
      </w:r>
      <w:bookmarkEnd w:id="156"/>
    </w:p>
    <w:p w14:paraId="1E248B87" w14:textId="77777777" w:rsidR="00F608CD" w:rsidRPr="00F608CD" w:rsidRDefault="00F608CD" w:rsidP="00F608CD">
      <w:pPr>
        <w:pStyle w:val="EndNoteBibliography"/>
        <w:spacing w:after="0"/>
      </w:pPr>
      <w:bookmarkStart w:id="157" w:name="_ENREF_30"/>
      <w:r w:rsidRPr="00F608CD">
        <w:t>30.</w:t>
      </w:r>
      <w:r w:rsidRPr="00F608CD">
        <w:tab/>
        <w:t>Fernandez-Penas P, Jones-Caballero M, Espallardo O, Garcia-Diez A. Comparison of Skindex-29, Dermatology Life Quality Index, Psoriasis Disability Index and Medical Outcome Study Short Form 36 in patients with mild to severe psoriasis. Br J Dermatol.166(4):884-7.</w:t>
      </w:r>
      <w:bookmarkEnd w:id="157"/>
    </w:p>
    <w:p w14:paraId="7B098771" w14:textId="77777777" w:rsidR="00F608CD" w:rsidRPr="00F608CD" w:rsidRDefault="00F608CD" w:rsidP="00F608CD">
      <w:pPr>
        <w:pStyle w:val="EndNoteBibliography"/>
        <w:spacing w:after="0"/>
      </w:pPr>
      <w:bookmarkStart w:id="158" w:name="_ENREF_31"/>
      <w:r w:rsidRPr="00F608CD">
        <w:t>31.</w:t>
      </w:r>
      <w:r w:rsidRPr="00F608CD">
        <w:tab/>
        <w:t>Chaptini C, Quinn S, Marshman G. Durable dermatology life quality index improvements in patients on biologics associated with psoriasis areas and severity index: a longitudinal study. Australasian Journal of Dermatology.57(3):e72-5.</w:t>
      </w:r>
      <w:bookmarkEnd w:id="158"/>
    </w:p>
    <w:p w14:paraId="379DEC3E" w14:textId="77777777" w:rsidR="00F608CD" w:rsidRPr="00F608CD" w:rsidRDefault="00F608CD" w:rsidP="00F608CD">
      <w:pPr>
        <w:pStyle w:val="EndNoteBibliography"/>
        <w:spacing w:after="0"/>
      </w:pPr>
      <w:bookmarkStart w:id="159" w:name="_ENREF_32"/>
      <w:r w:rsidRPr="00F608CD">
        <w:lastRenderedPageBreak/>
        <w:t>32.</w:t>
      </w:r>
      <w:r w:rsidRPr="00F608CD">
        <w:tab/>
        <w:t>Heredi E, Rencz F, Balogh O, Gulacsi L, Herszenyi K, Hollo P, et al. Exploring the relationship between EQ-5D, DLQI and PASI, and mapping EQ-5D utilities: a cross-sectional study in psoriasis from Hungary. European Journal of Health Economics.15 Suppl 1:S111-9.</w:t>
      </w:r>
      <w:bookmarkEnd w:id="159"/>
    </w:p>
    <w:p w14:paraId="407CD978" w14:textId="77777777" w:rsidR="00F608CD" w:rsidRPr="00F608CD" w:rsidRDefault="00F608CD" w:rsidP="00F608CD">
      <w:pPr>
        <w:pStyle w:val="EndNoteBibliography"/>
        <w:spacing w:after="0"/>
      </w:pPr>
      <w:bookmarkStart w:id="160" w:name="_ENREF_33"/>
      <w:r w:rsidRPr="00F608CD">
        <w:t>33.</w:t>
      </w:r>
      <w:r w:rsidRPr="00F608CD">
        <w:tab/>
        <w:t>Mattei PL, Corey KC, Kimball AB. Psoriasis Area Severity Index (PASI) and the Dermatology Life Quality Index (DLQI): the correlation between disease severity and psychological burden in patients treated with biological therapies. Journal of the European Academy of Dermatology &amp; Venereology.28(3):333-7.</w:t>
      </w:r>
      <w:bookmarkEnd w:id="160"/>
    </w:p>
    <w:p w14:paraId="10AFAD5C" w14:textId="77777777" w:rsidR="00F608CD" w:rsidRPr="00F608CD" w:rsidRDefault="00F608CD" w:rsidP="00F608CD">
      <w:pPr>
        <w:pStyle w:val="EndNoteBibliography"/>
      </w:pPr>
      <w:bookmarkStart w:id="161" w:name="_ENREF_34"/>
      <w:r w:rsidRPr="00F608CD">
        <w:t>34.</w:t>
      </w:r>
      <w:r w:rsidRPr="00F608CD">
        <w:tab/>
        <w:t>Ali FM, Cueva AC, Vyas J, Atwan AA, Salek MS, Finlay AY, et al. A systematic review of the use of quality-of-life instruments in randomized controlled trials for psoriasis. Br J Dermatol. 2017;176(3):577-93.</w:t>
      </w:r>
      <w:bookmarkEnd w:id="161"/>
    </w:p>
    <w:p w14:paraId="3E9A50F4" w14:textId="77777777" w:rsidR="00350990" w:rsidRDefault="00350990" w:rsidP="00A77877"/>
    <w:p w14:paraId="412072C3" w14:textId="77777777" w:rsidR="00350990" w:rsidRDefault="00350990" w:rsidP="00A77877">
      <w:r>
        <w:br w:type="page"/>
      </w:r>
    </w:p>
    <w:p w14:paraId="14DF7FAE" w14:textId="77777777" w:rsidR="00E274D0" w:rsidRPr="007E795E" w:rsidRDefault="00E274D0" w:rsidP="00E274D0">
      <w:pPr>
        <w:pStyle w:val="Heading1"/>
      </w:pPr>
      <w:bookmarkStart w:id="162" w:name="_Toc499817495"/>
      <w:bookmarkStart w:id="163" w:name="_Toc503274990"/>
      <w:r w:rsidRPr="00A41970">
        <w:lastRenderedPageBreak/>
        <w:t xml:space="preserve">Appendix </w:t>
      </w:r>
      <w:r w:rsidR="00FE028B">
        <w:t>A</w:t>
      </w:r>
      <w:r w:rsidRPr="00A41970">
        <w:t xml:space="preserve"> – </w:t>
      </w:r>
      <w:r>
        <w:rPr>
          <w:rFonts w:ascii="Calibri" w:eastAsia="Times New Roman" w:hAnsi="Calibri" w:cs="Times New Roman"/>
          <w:color w:val="548DD4"/>
        </w:rPr>
        <w:t>Glossary of terms</w:t>
      </w:r>
      <w:bookmarkEnd w:id="162"/>
      <w:bookmarkEnd w:id="163"/>
    </w:p>
    <w:tbl>
      <w:tblPr>
        <w:tblStyle w:val="TableGrid3"/>
        <w:tblW w:w="0" w:type="auto"/>
        <w:tblLook w:val="01E0" w:firstRow="1" w:lastRow="1" w:firstColumn="1" w:lastColumn="1" w:noHBand="0" w:noVBand="0"/>
        <w:tblCaption w:val="Glossary of terms"/>
        <w:tblDescription w:val="Glossary of terms&#10;Term and Explanation&#10;"/>
      </w:tblPr>
      <w:tblGrid>
        <w:gridCol w:w="1872"/>
        <w:gridCol w:w="6768"/>
      </w:tblGrid>
      <w:tr w:rsidR="00E274D0" w:rsidRPr="00603DAF" w14:paraId="4749231C" w14:textId="77777777" w:rsidTr="00AD2D9E">
        <w:trPr>
          <w:trHeight w:val="411"/>
          <w:tblHeader/>
        </w:trPr>
        <w:tc>
          <w:tcPr>
            <w:tcW w:w="1872" w:type="dxa"/>
            <w:shd w:val="clear" w:color="auto" w:fill="A6A6A6" w:themeFill="background1" w:themeFillShade="A6"/>
            <w:hideMark/>
          </w:tcPr>
          <w:p w14:paraId="5D31EBB5" w14:textId="77777777" w:rsidR="00E274D0" w:rsidRPr="00AD2D9E" w:rsidRDefault="00E274D0" w:rsidP="00217C3D">
            <w:pPr>
              <w:autoSpaceDE w:val="0"/>
              <w:autoSpaceDN w:val="0"/>
              <w:adjustRightInd w:val="0"/>
              <w:spacing w:before="60" w:after="60"/>
              <w:rPr>
                <w:rFonts w:eastAsia="MS Mincho"/>
                <w:b/>
              </w:rPr>
            </w:pPr>
            <w:r w:rsidRPr="00AD2D9E">
              <w:rPr>
                <w:rFonts w:eastAsia="MS Mincho"/>
                <w:b/>
              </w:rPr>
              <w:t>Term</w:t>
            </w:r>
          </w:p>
        </w:tc>
        <w:tc>
          <w:tcPr>
            <w:tcW w:w="6768" w:type="dxa"/>
            <w:shd w:val="clear" w:color="auto" w:fill="A6A6A6" w:themeFill="background1" w:themeFillShade="A6"/>
            <w:hideMark/>
          </w:tcPr>
          <w:p w14:paraId="5F2C731E" w14:textId="77777777" w:rsidR="00E274D0" w:rsidRPr="00AD2D9E" w:rsidRDefault="00E274D0" w:rsidP="00217C3D">
            <w:pPr>
              <w:autoSpaceDE w:val="0"/>
              <w:autoSpaceDN w:val="0"/>
              <w:adjustRightInd w:val="0"/>
              <w:spacing w:before="60" w:after="60"/>
              <w:rPr>
                <w:rFonts w:eastAsia="MS Mincho"/>
                <w:b/>
              </w:rPr>
            </w:pPr>
            <w:r w:rsidRPr="00AD2D9E">
              <w:rPr>
                <w:rFonts w:eastAsia="MS Mincho"/>
                <w:b/>
              </w:rPr>
              <w:t>Explanation</w:t>
            </w:r>
          </w:p>
        </w:tc>
      </w:tr>
      <w:tr w:rsidR="00E274D0" w:rsidRPr="00603DAF" w14:paraId="74979B6A" w14:textId="77777777" w:rsidTr="00AD2D9E">
        <w:trPr>
          <w:trHeight w:val="170"/>
        </w:trPr>
        <w:tc>
          <w:tcPr>
            <w:tcW w:w="1872" w:type="dxa"/>
          </w:tcPr>
          <w:p w14:paraId="5BD4C183"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Adverse event</w:t>
            </w:r>
          </w:p>
        </w:tc>
        <w:tc>
          <w:tcPr>
            <w:tcW w:w="6768" w:type="dxa"/>
          </w:tcPr>
          <w:p w14:paraId="0C109E5A"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A side effect or an unintended and sometimes harmful occurrence caused by a medicine or medical treatment. A serious adverse event is one that requires hospitalisation, causes disability or permanent damage, requires intervention to prevent disability or permanent damage, is life-threatening, causes death, results in a birth defect, or causes another serious medical event. </w:t>
            </w:r>
          </w:p>
        </w:tc>
      </w:tr>
      <w:tr w:rsidR="00E274D0" w:rsidRPr="00603DAF" w14:paraId="479778BA" w14:textId="77777777" w:rsidTr="00AD2D9E">
        <w:trPr>
          <w:trHeight w:val="170"/>
        </w:trPr>
        <w:tc>
          <w:tcPr>
            <w:tcW w:w="1872" w:type="dxa"/>
          </w:tcPr>
          <w:p w14:paraId="77321E9A"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AGREE </w:t>
            </w:r>
          </w:p>
        </w:tc>
        <w:tc>
          <w:tcPr>
            <w:tcW w:w="6768" w:type="dxa"/>
          </w:tcPr>
          <w:p w14:paraId="58CCE5C4"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The Appraisal of Guidelines for Research and Evaluation instrument is a tool used to assess the quality of clinical guidances. Only guidances assessed as having an overall quality of four or above (on a scale of one to seven) were included.</w:t>
            </w:r>
          </w:p>
        </w:tc>
      </w:tr>
      <w:tr w:rsidR="00E274D0" w:rsidRPr="00603DAF" w14:paraId="78794D8E" w14:textId="77777777" w:rsidTr="00AD2D9E">
        <w:trPr>
          <w:trHeight w:val="170"/>
        </w:trPr>
        <w:tc>
          <w:tcPr>
            <w:tcW w:w="1872" w:type="dxa"/>
          </w:tcPr>
          <w:p w14:paraId="18FF6053"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Ankylosing spondylitis</w:t>
            </w:r>
          </w:p>
        </w:tc>
        <w:tc>
          <w:tcPr>
            <w:tcW w:w="6768" w:type="dxa"/>
          </w:tcPr>
          <w:p w14:paraId="181F0115"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A type of arthritis that causes long term inflammation of the joints in the spine. Ankylosing spondylitis can be treated with some biologic medicines. </w:t>
            </w:r>
          </w:p>
        </w:tc>
      </w:tr>
      <w:tr w:rsidR="00E274D0" w:rsidRPr="00603DAF" w14:paraId="47625177" w14:textId="77777777" w:rsidTr="00AD2D9E">
        <w:trPr>
          <w:trHeight w:val="170"/>
        </w:trPr>
        <w:tc>
          <w:tcPr>
            <w:tcW w:w="1872" w:type="dxa"/>
          </w:tcPr>
          <w:p w14:paraId="60A13300"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Biologic medicine or biopharmaceutical</w:t>
            </w:r>
          </w:p>
        </w:tc>
        <w:tc>
          <w:tcPr>
            <w:tcW w:w="6768" w:type="dxa"/>
          </w:tcPr>
          <w:p w14:paraId="232E6EED"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Medicines produced from biological sources. Most of the biologic medicines used to treat psoriasis are monoclonal antibodies, which are identical proteins usually made in special cell cultures. </w:t>
            </w:r>
          </w:p>
        </w:tc>
      </w:tr>
      <w:tr w:rsidR="00E274D0" w:rsidRPr="00603DAF" w14:paraId="0EA6089A" w14:textId="77777777" w:rsidTr="00AD2D9E">
        <w:trPr>
          <w:trHeight w:val="170"/>
        </w:trPr>
        <w:tc>
          <w:tcPr>
            <w:tcW w:w="1872" w:type="dxa"/>
          </w:tcPr>
          <w:p w14:paraId="21DC1421"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Biosimilar</w:t>
            </w:r>
          </w:p>
        </w:tc>
        <w:tc>
          <w:tcPr>
            <w:tcW w:w="6768" w:type="dxa"/>
          </w:tcPr>
          <w:p w14:paraId="12FCFDEC"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A biosimilar medicine is a biologic medicine that is highly similar to a ‘reference biological medicine’. They are checked for safety and to confirm they provide the same health outcomes as the reference biological medicine. Some biosimilars are ‘substitutable’, which means pharmacists can substitute between brands in consultation with the patient but without needing to refer back to the doctor.</w:t>
            </w:r>
          </w:p>
        </w:tc>
      </w:tr>
      <w:tr w:rsidR="00E274D0" w:rsidRPr="00603DAF" w14:paraId="06A37597" w14:textId="77777777" w:rsidTr="00AD2D9E">
        <w:trPr>
          <w:trHeight w:val="170"/>
        </w:trPr>
        <w:tc>
          <w:tcPr>
            <w:tcW w:w="1872" w:type="dxa"/>
          </w:tcPr>
          <w:p w14:paraId="12A4A276"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Blinded study / trial</w:t>
            </w:r>
          </w:p>
        </w:tc>
        <w:tc>
          <w:tcPr>
            <w:tcW w:w="6768" w:type="dxa"/>
          </w:tcPr>
          <w:p w14:paraId="50F94A47"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Is where the information about the medicine or placebo given in a medical study is not given to the study participant (or patient), treating clinicians or the data analyst who reports the results. This reduces the chance that one treatment is more favourably considered than the other (see risk of bias). </w:t>
            </w:r>
          </w:p>
        </w:tc>
      </w:tr>
      <w:tr w:rsidR="00E274D0" w:rsidRPr="00603DAF" w14:paraId="4AF2752D" w14:textId="77777777" w:rsidTr="00AD2D9E">
        <w:trPr>
          <w:trHeight w:val="170"/>
        </w:trPr>
        <w:tc>
          <w:tcPr>
            <w:tcW w:w="1872" w:type="dxa"/>
          </w:tcPr>
          <w:p w14:paraId="47E2D5A1"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CASPAR criteria</w:t>
            </w:r>
          </w:p>
        </w:tc>
        <w:tc>
          <w:tcPr>
            <w:tcW w:w="6768" w:type="dxa"/>
          </w:tcPr>
          <w:p w14:paraId="642A6F08"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Classification Criteria for Psoriatic Arthritis are the current standard diagnostic criteria for psoriatic arthritis. </w:t>
            </w:r>
          </w:p>
        </w:tc>
      </w:tr>
      <w:tr w:rsidR="00E274D0" w:rsidRPr="00603DAF" w14:paraId="3564EC53" w14:textId="77777777" w:rsidTr="00AD2D9E">
        <w:trPr>
          <w:trHeight w:val="170"/>
        </w:trPr>
        <w:tc>
          <w:tcPr>
            <w:tcW w:w="1872" w:type="dxa"/>
          </w:tcPr>
          <w:p w14:paraId="52860F12"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Chronic plaque psoriasis</w:t>
            </w:r>
          </w:p>
        </w:tc>
        <w:tc>
          <w:tcPr>
            <w:tcW w:w="6768" w:type="dxa"/>
          </w:tcPr>
          <w:p w14:paraId="7BFD0991"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Plaque psoriasis is the most common type of psoriasis. It causes raised red patches (plaques) with silver or white scales. It is usually an ongoing (chronic) condition. </w:t>
            </w:r>
          </w:p>
        </w:tc>
      </w:tr>
      <w:tr w:rsidR="00E274D0" w:rsidRPr="00603DAF" w14:paraId="3B401201" w14:textId="77777777" w:rsidTr="00AD2D9E">
        <w:trPr>
          <w:trHeight w:val="170"/>
        </w:trPr>
        <w:tc>
          <w:tcPr>
            <w:tcW w:w="1872" w:type="dxa"/>
            <w:hideMark/>
          </w:tcPr>
          <w:p w14:paraId="7BCAEE50"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DLQI</w:t>
            </w:r>
          </w:p>
        </w:tc>
        <w:tc>
          <w:tcPr>
            <w:tcW w:w="6768" w:type="dxa"/>
            <w:hideMark/>
          </w:tcPr>
          <w:p w14:paraId="33255BD0"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Dermatology Life Quality Index is a validated questionnaire used to measure quality of life of people with skin conditions. The Children’s Dermatology Life Quality Index (CDLQI) is a version of the DLQI developed for children. </w:t>
            </w:r>
          </w:p>
        </w:tc>
      </w:tr>
      <w:tr w:rsidR="00E274D0" w:rsidRPr="00603DAF" w14:paraId="49B91320" w14:textId="77777777" w:rsidTr="00AD2D9E">
        <w:trPr>
          <w:trHeight w:val="170"/>
        </w:trPr>
        <w:tc>
          <w:tcPr>
            <w:tcW w:w="1872" w:type="dxa"/>
          </w:tcPr>
          <w:p w14:paraId="23FF893B"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Epidemiological studies / estimates</w:t>
            </w:r>
          </w:p>
        </w:tc>
        <w:tc>
          <w:tcPr>
            <w:tcW w:w="6768" w:type="dxa"/>
          </w:tcPr>
          <w:p w14:paraId="1D40603F" w14:textId="23E4A926"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Epidemiological studies </w:t>
            </w:r>
            <w:r w:rsidR="00AB70F3">
              <w:rPr>
                <w:rFonts w:eastAsia="MS Mincho"/>
                <w:color w:val="000000"/>
              </w:rPr>
              <w:t>are</w:t>
            </w:r>
            <w:r w:rsidRPr="00AD2D9E">
              <w:rPr>
                <w:rFonts w:eastAsia="MS Mincho"/>
                <w:color w:val="000000"/>
              </w:rPr>
              <w:t xml:space="preserve"> studies that look</w:t>
            </w:r>
            <w:r w:rsidR="00AB70F3">
              <w:rPr>
                <w:rFonts w:eastAsia="MS Mincho"/>
                <w:color w:val="000000"/>
              </w:rPr>
              <w:t xml:space="preserve"> at</w:t>
            </w:r>
            <w:r w:rsidRPr="00AD2D9E">
              <w:rPr>
                <w:rFonts w:eastAsia="MS Mincho"/>
                <w:color w:val="000000"/>
              </w:rPr>
              <w:t xml:space="preserve"> the patterns and causes of conditions. Epidemiological estimates in this report are estimates of the number of patients with psoriasis and patterns of psoriasis from epidemiological studies. </w:t>
            </w:r>
          </w:p>
        </w:tc>
      </w:tr>
      <w:tr w:rsidR="00E274D0" w:rsidRPr="00603DAF" w14:paraId="5093B15C" w14:textId="77777777" w:rsidTr="00AD2D9E">
        <w:trPr>
          <w:trHeight w:val="170"/>
        </w:trPr>
        <w:tc>
          <w:tcPr>
            <w:tcW w:w="1872" w:type="dxa"/>
          </w:tcPr>
          <w:p w14:paraId="5C1F7BFA"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GRADE </w:t>
            </w:r>
          </w:p>
        </w:tc>
        <w:tc>
          <w:tcPr>
            <w:tcW w:w="6768" w:type="dxa"/>
          </w:tcPr>
          <w:p w14:paraId="3EE41F5B"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Grading of Recommendations Assessment, Development, and Evaluation is a systematic way of judging scientific studies and recommendations. </w:t>
            </w:r>
          </w:p>
        </w:tc>
      </w:tr>
      <w:tr w:rsidR="00E274D0" w:rsidRPr="00603DAF" w14:paraId="49B8E3C1" w14:textId="77777777" w:rsidTr="00AD2D9E">
        <w:trPr>
          <w:trHeight w:val="170"/>
        </w:trPr>
        <w:tc>
          <w:tcPr>
            <w:tcW w:w="1872" w:type="dxa"/>
          </w:tcPr>
          <w:p w14:paraId="4D080551"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Incidence</w:t>
            </w:r>
          </w:p>
        </w:tc>
        <w:tc>
          <w:tcPr>
            <w:tcW w:w="6768" w:type="dxa"/>
          </w:tcPr>
          <w:p w14:paraId="47C0C7AC"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incidence of a medical condition is the number of people who developed that condition over a particular point in time. </w:t>
            </w:r>
          </w:p>
        </w:tc>
      </w:tr>
      <w:tr w:rsidR="00E274D0" w:rsidRPr="00603DAF" w14:paraId="4AF007BE" w14:textId="77777777" w:rsidTr="00AD2D9E">
        <w:trPr>
          <w:trHeight w:val="170"/>
        </w:trPr>
        <w:tc>
          <w:tcPr>
            <w:tcW w:w="1872" w:type="dxa"/>
          </w:tcPr>
          <w:p w14:paraId="55064DE3"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rPr>
              <w:t>Minimal clinically important difference</w:t>
            </w:r>
          </w:p>
        </w:tc>
        <w:tc>
          <w:tcPr>
            <w:tcW w:w="6768" w:type="dxa"/>
          </w:tcPr>
          <w:p w14:paraId="6DE6D115"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The minimal clinically important difference is the smallest difference in a score that patients consider meaningful. </w:t>
            </w:r>
          </w:p>
        </w:tc>
      </w:tr>
      <w:tr w:rsidR="00E274D0" w:rsidRPr="00603DAF" w14:paraId="634B0DCA" w14:textId="77777777" w:rsidTr="00AD2D9E">
        <w:trPr>
          <w:trHeight w:val="170"/>
        </w:trPr>
        <w:tc>
          <w:tcPr>
            <w:tcW w:w="1872" w:type="dxa"/>
          </w:tcPr>
          <w:p w14:paraId="7565DA43"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Network meta</w:t>
            </w:r>
            <w:r w:rsidRPr="00AD2D9E">
              <w:rPr>
                <w:rFonts w:eastAsia="MS Mincho"/>
              </w:rPr>
              <w:noBreakHyphen/>
              <w:t>analysis</w:t>
            </w:r>
          </w:p>
        </w:tc>
        <w:tc>
          <w:tcPr>
            <w:tcW w:w="6768" w:type="dxa"/>
          </w:tcPr>
          <w:p w14:paraId="5F733F2A" w14:textId="29937681"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statistical method of bringing together the results of many studies of different treatments for a particular condition. This technique gives results </w:t>
            </w:r>
            <w:r w:rsidR="00AB70F3">
              <w:rPr>
                <w:rFonts w:eastAsia="MS Mincho"/>
              </w:rPr>
              <w:t xml:space="preserve">that </w:t>
            </w:r>
            <w:r w:rsidRPr="00AD2D9E">
              <w:rPr>
                <w:rFonts w:eastAsia="MS Mincho"/>
              </w:rPr>
              <w:t xml:space="preserve">allows </w:t>
            </w:r>
            <w:r w:rsidRPr="00AD2D9E">
              <w:rPr>
                <w:rFonts w:eastAsia="MS Mincho"/>
              </w:rPr>
              <w:lastRenderedPageBreak/>
              <w:t xml:space="preserve">each treatment to be compared to each of the other treatments included in the analysis. </w:t>
            </w:r>
          </w:p>
        </w:tc>
      </w:tr>
      <w:tr w:rsidR="00E274D0" w:rsidRPr="00603DAF" w14:paraId="383ABB80" w14:textId="77777777" w:rsidTr="00AD2D9E">
        <w:trPr>
          <w:trHeight w:val="170"/>
        </w:trPr>
        <w:tc>
          <w:tcPr>
            <w:tcW w:w="1872" w:type="dxa"/>
          </w:tcPr>
          <w:p w14:paraId="515CEEED"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lastRenderedPageBreak/>
              <w:t>Psoriasis Area and Severity Index</w:t>
            </w:r>
          </w:p>
        </w:tc>
        <w:tc>
          <w:tcPr>
            <w:tcW w:w="6768" w:type="dxa"/>
          </w:tcPr>
          <w:p w14:paraId="7546CD31" w14:textId="54E108F3"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The Psoriasis Area and Severity Index </w:t>
            </w:r>
            <w:r w:rsidR="00AB70F3">
              <w:rPr>
                <w:rFonts w:eastAsia="MS Mincho"/>
                <w:color w:val="000000"/>
              </w:rPr>
              <w:t xml:space="preserve">is </w:t>
            </w:r>
            <w:r w:rsidRPr="00AD2D9E">
              <w:rPr>
                <w:rFonts w:eastAsia="MS Mincho"/>
                <w:color w:val="000000"/>
              </w:rPr>
              <w:t xml:space="preserve">a way of measuring how severe a patient’s psoriasis is based on the area of the body affected by psoriasis, the level of redness, the thickness and level of scaling. </w:t>
            </w:r>
          </w:p>
        </w:tc>
      </w:tr>
      <w:tr w:rsidR="00E274D0" w:rsidRPr="00603DAF" w14:paraId="7FE12E6C" w14:textId="77777777" w:rsidTr="00AD2D9E">
        <w:trPr>
          <w:trHeight w:val="170"/>
        </w:trPr>
        <w:tc>
          <w:tcPr>
            <w:tcW w:w="1872" w:type="dxa"/>
          </w:tcPr>
          <w:p w14:paraId="4037EA27"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PASI 75</w:t>
            </w:r>
          </w:p>
        </w:tc>
        <w:tc>
          <w:tcPr>
            <w:tcW w:w="6768" w:type="dxa"/>
          </w:tcPr>
          <w:p w14:paraId="3C1EAD0A"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A 75% or greater reduction in PASI score</w:t>
            </w:r>
          </w:p>
        </w:tc>
      </w:tr>
      <w:tr w:rsidR="00E274D0" w:rsidRPr="00603DAF" w14:paraId="58A3D516" w14:textId="77777777" w:rsidTr="00AD2D9E">
        <w:trPr>
          <w:trHeight w:val="170"/>
        </w:trPr>
        <w:tc>
          <w:tcPr>
            <w:tcW w:w="1872" w:type="dxa"/>
          </w:tcPr>
          <w:p w14:paraId="7CBEE49C"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Persistence</w:t>
            </w:r>
          </w:p>
        </w:tc>
        <w:tc>
          <w:tcPr>
            <w:tcW w:w="6768" w:type="dxa"/>
          </w:tcPr>
          <w:p w14:paraId="42552CC8"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In this report, treatment persistence is how long patients continue treatment without a break. </w:t>
            </w:r>
          </w:p>
        </w:tc>
      </w:tr>
      <w:tr w:rsidR="00E274D0" w:rsidRPr="00603DAF" w14:paraId="539C0DEC" w14:textId="77777777" w:rsidTr="00AD2D9E">
        <w:trPr>
          <w:trHeight w:val="170"/>
        </w:trPr>
        <w:tc>
          <w:tcPr>
            <w:tcW w:w="1872" w:type="dxa"/>
          </w:tcPr>
          <w:p w14:paraId="2032A46E"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lang w:val="en-GB"/>
              </w:rPr>
              <w:t>Physician's Global Assessment</w:t>
            </w:r>
          </w:p>
        </w:tc>
        <w:tc>
          <w:tcPr>
            <w:tcW w:w="6768" w:type="dxa"/>
          </w:tcPr>
          <w:p w14:paraId="51DAD7F7"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lang w:val="en-GB"/>
              </w:rPr>
              <w:t xml:space="preserve">An assessment of all psoriatic lesions based on redness, scale and thickness. There are many variations on how this assessment is done. </w:t>
            </w:r>
          </w:p>
        </w:tc>
      </w:tr>
      <w:tr w:rsidR="00E274D0" w:rsidRPr="00603DAF" w14:paraId="36B6703E" w14:textId="77777777" w:rsidTr="00AD2D9E">
        <w:trPr>
          <w:trHeight w:val="170"/>
        </w:trPr>
        <w:tc>
          <w:tcPr>
            <w:tcW w:w="1872" w:type="dxa"/>
          </w:tcPr>
          <w:p w14:paraId="24CF05DB"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Prevalence</w:t>
            </w:r>
          </w:p>
        </w:tc>
        <w:tc>
          <w:tcPr>
            <w:tcW w:w="6768" w:type="dxa"/>
          </w:tcPr>
          <w:p w14:paraId="35206459"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The prevalence of a medical condition is the total number of patients with that condition</w:t>
            </w:r>
          </w:p>
        </w:tc>
      </w:tr>
      <w:tr w:rsidR="00E274D0" w:rsidRPr="00603DAF" w14:paraId="11F8DA87" w14:textId="77777777" w:rsidTr="00AD2D9E">
        <w:trPr>
          <w:trHeight w:val="170"/>
        </w:trPr>
        <w:tc>
          <w:tcPr>
            <w:tcW w:w="1872" w:type="dxa"/>
            <w:hideMark/>
          </w:tcPr>
          <w:p w14:paraId="0FFCC00F"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Psoriatic arthritis</w:t>
            </w:r>
          </w:p>
        </w:tc>
        <w:tc>
          <w:tcPr>
            <w:tcW w:w="6768" w:type="dxa"/>
            <w:hideMark/>
          </w:tcPr>
          <w:p w14:paraId="6E60C880" w14:textId="1639CEA1"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A type of inflammatory arthritis that occurs in people affected by psoriasis. It usually occurs after patients develop psoriasis of the skin. Psoriatic arthritis is more likely </w:t>
            </w:r>
            <w:r w:rsidR="00AB70F3">
              <w:rPr>
                <w:rFonts w:eastAsia="MS Mincho"/>
                <w:color w:val="000000"/>
              </w:rPr>
              <w:t xml:space="preserve">to </w:t>
            </w:r>
            <w:r w:rsidRPr="00AD2D9E">
              <w:rPr>
                <w:rFonts w:eastAsia="MS Mincho"/>
                <w:color w:val="000000"/>
              </w:rPr>
              <w:t xml:space="preserve">affect the joints at the ends of the fingers and the lower back than other types of arthritis. </w:t>
            </w:r>
          </w:p>
        </w:tc>
      </w:tr>
      <w:tr w:rsidR="00E274D0" w:rsidRPr="00603DAF" w14:paraId="02E2DB3E" w14:textId="77777777" w:rsidTr="00AD2D9E">
        <w:trPr>
          <w:trHeight w:val="170"/>
        </w:trPr>
        <w:tc>
          <w:tcPr>
            <w:tcW w:w="1872" w:type="dxa"/>
          </w:tcPr>
          <w:p w14:paraId="12E4229F"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 xml:space="preserve">PUVA </w:t>
            </w:r>
          </w:p>
        </w:tc>
        <w:tc>
          <w:tcPr>
            <w:tcW w:w="6768" w:type="dxa"/>
          </w:tcPr>
          <w:p w14:paraId="5510DC5E" w14:textId="43378510"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Psoralen and ultraviolet A phototherapy. This involves using psoralens, which make the skin more sensitive to ultraviolet light</w:t>
            </w:r>
            <w:r w:rsidR="00875A9B">
              <w:rPr>
                <w:rFonts w:eastAsia="MS Mincho"/>
                <w:color w:val="000000"/>
              </w:rPr>
              <w:t>,</w:t>
            </w:r>
            <w:r w:rsidRPr="00AD2D9E">
              <w:rPr>
                <w:rFonts w:eastAsia="MS Mincho"/>
                <w:color w:val="000000"/>
              </w:rPr>
              <w:t xml:space="preserve"> then applying ultraviolet light to treat psoriasis and other conditions. </w:t>
            </w:r>
          </w:p>
        </w:tc>
      </w:tr>
      <w:tr w:rsidR="00E274D0" w:rsidRPr="00603DAF" w14:paraId="2D052485" w14:textId="77777777" w:rsidTr="00AD2D9E">
        <w:trPr>
          <w:trHeight w:val="170"/>
        </w:trPr>
        <w:tc>
          <w:tcPr>
            <w:tcW w:w="1872" w:type="dxa"/>
          </w:tcPr>
          <w:p w14:paraId="54018BE0"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Quality of life</w:t>
            </w:r>
          </w:p>
        </w:tc>
        <w:tc>
          <w:tcPr>
            <w:tcW w:w="6768" w:type="dxa"/>
          </w:tcPr>
          <w:p w14:paraId="5A5FEC9D"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 xml:space="preserve">An evaluation of positive and negative aspects of life. In this report, quality of life refers mostly to health-related quality of life which is related to physical, mental, emotional, and social functioning. It can be measured in many ways. For example, the Dermatology Life Quality Index is a questionnaire that is specific to measure quality of life in patients with skin conditions. </w:t>
            </w:r>
          </w:p>
        </w:tc>
      </w:tr>
      <w:tr w:rsidR="00E274D0" w:rsidRPr="00603DAF" w14:paraId="52DDC0A8" w14:textId="77777777" w:rsidTr="00AD2D9E">
        <w:trPr>
          <w:trHeight w:val="170"/>
        </w:trPr>
        <w:tc>
          <w:tcPr>
            <w:tcW w:w="1872" w:type="dxa"/>
          </w:tcPr>
          <w:p w14:paraId="3956C1DB"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Randomised controlled trial</w:t>
            </w:r>
          </w:p>
        </w:tc>
        <w:tc>
          <w:tcPr>
            <w:tcW w:w="6768" w:type="dxa"/>
          </w:tcPr>
          <w:p w14:paraId="5057C999"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type of scientific study where participants are randomly allocated to the experiment group or a placebo or standard treatment group. Randomised controlled trials are considered to be the best type of clinical trial to compare the effectiveness of medical treatments because random allocation reduces bias (see risk of bias) and there is a very similar group (placebo or standard care group) to compare the results. </w:t>
            </w:r>
          </w:p>
        </w:tc>
      </w:tr>
      <w:tr w:rsidR="00E274D0" w:rsidRPr="00603DAF" w14:paraId="436D69E0" w14:textId="77777777" w:rsidTr="00AD2D9E">
        <w:trPr>
          <w:trHeight w:val="170"/>
        </w:trPr>
        <w:tc>
          <w:tcPr>
            <w:tcW w:w="1872" w:type="dxa"/>
          </w:tcPr>
          <w:p w14:paraId="2034D136"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Rheumatoid arthritis</w:t>
            </w:r>
          </w:p>
        </w:tc>
        <w:tc>
          <w:tcPr>
            <w:tcW w:w="6768" w:type="dxa"/>
          </w:tcPr>
          <w:p w14:paraId="254AD8D7"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type of inflammatory arthritis that mostly affects the joints in the wrist and fingers. </w:t>
            </w:r>
          </w:p>
        </w:tc>
      </w:tr>
      <w:tr w:rsidR="00E274D0" w:rsidRPr="00603DAF" w14:paraId="41F5E68B" w14:textId="77777777" w:rsidTr="00AD2D9E">
        <w:trPr>
          <w:trHeight w:val="170"/>
        </w:trPr>
        <w:tc>
          <w:tcPr>
            <w:tcW w:w="1872" w:type="dxa"/>
          </w:tcPr>
          <w:p w14:paraId="578391F0" w14:textId="77777777" w:rsidR="00E274D0" w:rsidRPr="00AD2D9E" w:rsidRDefault="00E274D0" w:rsidP="00217C3D">
            <w:pPr>
              <w:autoSpaceDE w:val="0"/>
              <w:autoSpaceDN w:val="0"/>
              <w:adjustRightInd w:val="0"/>
              <w:spacing w:before="60" w:after="60"/>
              <w:rPr>
                <w:rFonts w:eastAsia="MS Mincho"/>
                <w:color w:val="000000"/>
              </w:rPr>
            </w:pPr>
            <w:r w:rsidRPr="00AD2D9E">
              <w:rPr>
                <w:rFonts w:eastAsia="MS Mincho"/>
                <w:color w:val="000000"/>
              </w:rPr>
              <w:t>Risk of bias</w:t>
            </w:r>
          </w:p>
        </w:tc>
        <w:tc>
          <w:tcPr>
            <w:tcW w:w="6768" w:type="dxa"/>
          </w:tcPr>
          <w:p w14:paraId="6D827CAD" w14:textId="36A132C4" w:rsidR="00E274D0" w:rsidRPr="00AD2D9E" w:rsidRDefault="00E274D0" w:rsidP="00217C3D">
            <w:pPr>
              <w:autoSpaceDE w:val="0"/>
              <w:autoSpaceDN w:val="0"/>
              <w:adjustRightInd w:val="0"/>
              <w:spacing w:before="60" w:after="60"/>
              <w:rPr>
                <w:rFonts w:eastAsia="MS Mincho"/>
              </w:rPr>
            </w:pPr>
            <w:r w:rsidRPr="00AD2D9E">
              <w:rPr>
                <w:rFonts w:eastAsia="MS Mincho"/>
              </w:rPr>
              <w:t>The risk of bias in a scientific study is the chance that an interference has happened that might make the study results differ substantially from the truth. This may be due</w:t>
            </w:r>
            <w:r w:rsidR="00AB70F3">
              <w:rPr>
                <w:rFonts w:eastAsia="MS Mincho"/>
              </w:rPr>
              <w:t xml:space="preserve"> to</w:t>
            </w:r>
            <w:r w:rsidRPr="00AD2D9E">
              <w:rPr>
                <w:rFonts w:eastAsia="MS Mincho"/>
              </w:rPr>
              <w:t xml:space="preserve"> factors like sicker patients leaving the trial early, a newer medicine being assessed more favourably or patients with more severe psoriasis being more involved in studies of psoriasis. The risk of bias of the clinical trials was assessed using the Cochrane Collaboration’s ‘Risk of bias tool’. A risk of bias tool for prevalence studies was used to assess studies that estimated the number of people with psoriasis, the severity and location of psoriasis, and the number of people with psoriatic arthritis. </w:t>
            </w:r>
          </w:p>
        </w:tc>
      </w:tr>
      <w:tr w:rsidR="00E274D0" w:rsidRPr="00603DAF" w14:paraId="7DA2DEC4" w14:textId="77777777" w:rsidTr="00AD2D9E">
        <w:trPr>
          <w:trHeight w:val="170"/>
        </w:trPr>
        <w:tc>
          <w:tcPr>
            <w:tcW w:w="1872" w:type="dxa"/>
          </w:tcPr>
          <w:p w14:paraId="119A3957" w14:textId="77777777" w:rsidR="00E274D0" w:rsidRPr="00AD2D9E" w:rsidRDefault="00E274D0" w:rsidP="00217C3D">
            <w:pPr>
              <w:autoSpaceDE w:val="0"/>
              <w:autoSpaceDN w:val="0"/>
              <w:adjustRightInd w:val="0"/>
              <w:spacing w:before="60" w:after="60"/>
              <w:rPr>
                <w:rFonts w:eastAsia="MS Mincho"/>
              </w:rPr>
            </w:pPr>
            <w:r w:rsidRPr="00AD2D9E">
              <w:rPr>
                <w:rFonts w:eastAsia="MS Mincho"/>
                <w:color w:val="000000"/>
              </w:rPr>
              <w:t>Standard coverage days</w:t>
            </w:r>
          </w:p>
        </w:tc>
        <w:tc>
          <w:tcPr>
            <w:tcW w:w="6768" w:type="dxa"/>
          </w:tcPr>
          <w:p w14:paraId="64968616"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The number of days of treatment provided by a prescription. In this report, the time taken for half of PBS patients to have a repeat prescription dispensed (median) was the standard coverage days for the biologic. </w:t>
            </w:r>
          </w:p>
        </w:tc>
      </w:tr>
      <w:tr w:rsidR="00E274D0" w:rsidRPr="00603DAF" w14:paraId="75EE8470" w14:textId="77777777" w:rsidTr="00AD2D9E">
        <w:trPr>
          <w:trHeight w:val="170"/>
        </w:trPr>
        <w:tc>
          <w:tcPr>
            <w:tcW w:w="1872" w:type="dxa"/>
          </w:tcPr>
          <w:p w14:paraId="6C49112B"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Systematic review</w:t>
            </w:r>
          </w:p>
        </w:tc>
        <w:tc>
          <w:tcPr>
            <w:tcW w:w="6768" w:type="dxa"/>
          </w:tcPr>
          <w:p w14:paraId="4A248426"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structured way to gather and analyse research papers. </w:t>
            </w:r>
          </w:p>
        </w:tc>
      </w:tr>
      <w:tr w:rsidR="00E274D0" w:rsidRPr="00603DAF" w14:paraId="3BA76E8B" w14:textId="77777777" w:rsidTr="00AD2D9E">
        <w:trPr>
          <w:trHeight w:val="170"/>
        </w:trPr>
        <w:tc>
          <w:tcPr>
            <w:tcW w:w="1872" w:type="dxa"/>
          </w:tcPr>
          <w:p w14:paraId="5A5BA656"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lastRenderedPageBreak/>
              <w:t>Treatment holiday or drug holiday</w:t>
            </w:r>
          </w:p>
        </w:tc>
        <w:tc>
          <w:tcPr>
            <w:tcW w:w="6768" w:type="dxa"/>
          </w:tcPr>
          <w:p w14:paraId="09090F95"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A break from medical treatment for a period of time. In this report, treatment holidays were where patients stopped using biologic prescriptions and restarted treatment. </w:t>
            </w:r>
          </w:p>
        </w:tc>
      </w:tr>
      <w:tr w:rsidR="00E274D0" w:rsidRPr="00603DAF" w14:paraId="16FE47FC" w14:textId="77777777" w:rsidTr="00AD2D9E">
        <w:trPr>
          <w:trHeight w:val="170"/>
        </w:trPr>
        <w:tc>
          <w:tcPr>
            <w:tcW w:w="1872" w:type="dxa"/>
          </w:tcPr>
          <w:p w14:paraId="214892CE"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Utilisation or drug utilisation</w:t>
            </w:r>
          </w:p>
        </w:tc>
        <w:tc>
          <w:tcPr>
            <w:tcW w:w="6768" w:type="dxa"/>
          </w:tcPr>
          <w:p w14:paraId="7834A72C" w14:textId="77777777" w:rsidR="00E274D0" w:rsidRPr="00AD2D9E" w:rsidRDefault="00E274D0" w:rsidP="00217C3D">
            <w:pPr>
              <w:autoSpaceDE w:val="0"/>
              <w:autoSpaceDN w:val="0"/>
              <w:adjustRightInd w:val="0"/>
              <w:spacing w:before="60" w:after="60"/>
              <w:rPr>
                <w:rFonts w:eastAsia="MS Mincho"/>
              </w:rPr>
            </w:pPr>
            <w:r w:rsidRPr="00AD2D9E">
              <w:rPr>
                <w:rFonts w:eastAsia="MS Mincho"/>
              </w:rPr>
              <w:t xml:space="preserve">The pattern of medicine use. In this report, patterns of biologic medicine use for CPP was examined using prescription dispensing data. </w:t>
            </w:r>
          </w:p>
        </w:tc>
      </w:tr>
    </w:tbl>
    <w:p w14:paraId="341C51E9" w14:textId="77777777" w:rsidR="00E274D0" w:rsidRDefault="00E274D0" w:rsidP="00E274D0"/>
    <w:p w14:paraId="3D7F166F" w14:textId="77777777" w:rsidR="00E274D0" w:rsidRPr="00556072" w:rsidRDefault="00E274D0" w:rsidP="00E274D0"/>
    <w:p w14:paraId="4F8C8268" w14:textId="77777777" w:rsidR="000A43C2" w:rsidRPr="000A43C2" w:rsidRDefault="000A43C2" w:rsidP="000A43C2"/>
    <w:sectPr w:rsidR="000A43C2" w:rsidRPr="000A43C2" w:rsidSect="002F3862">
      <w:headerReference w:type="even" r:id="rId20"/>
      <w:headerReference w:type="default" r:id="rId21"/>
      <w:foot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506CC" w14:textId="77777777" w:rsidR="00E67E83" w:rsidRDefault="00E67E83" w:rsidP="00A77877">
      <w:r>
        <w:separator/>
      </w:r>
    </w:p>
    <w:p w14:paraId="2A928EB6" w14:textId="77777777" w:rsidR="00E67E83" w:rsidRDefault="00E67E83" w:rsidP="00A77877"/>
    <w:p w14:paraId="5379A459" w14:textId="77777777" w:rsidR="00E67E83" w:rsidRDefault="00E67E83" w:rsidP="00A77877"/>
  </w:endnote>
  <w:endnote w:type="continuationSeparator" w:id="0">
    <w:p w14:paraId="0BE216EF" w14:textId="77777777" w:rsidR="00E67E83" w:rsidRDefault="00E67E83" w:rsidP="00A77877">
      <w:r>
        <w:continuationSeparator/>
      </w:r>
    </w:p>
    <w:p w14:paraId="7B9691E2" w14:textId="77777777" w:rsidR="00E67E83" w:rsidRDefault="00E67E83" w:rsidP="00A77877"/>
    <w:p w14:paraId="5A677ABE" w14:textId="77777777" w:rsidR="00E67E83" w:rsidRDefault="00E67E83" w:rsidP="00A77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Baskerville">
    <w:charset w:val="00"/>
    <w:family w:val="auto"/>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189F" w14:textId="77777777" w:rsidR="006B6B22" w:rsidRDefault="006B6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316070"/>
      <w:docPartObj>
        <w:docPartGallery w:val="Page Numbers (Bottom of Page)"/>
        <w:docPartUnique/>
      </w:docPartObj>
    </w:sdtPr>
    <w:sdtEndPr>
      <w:rPr>
        <w:noProof/>
      </w:rPr>
    </w:sdtEndPr>
    <w:sdtContent>
      <w:p w14:paraId="7887A68A" w14:textId="09464A0D" w:rsidR="00E67E83" w:rsidRPr="00212FCE" w:rsidRDefault="00E67E83" w:rsidP="00A77877">
        <w:pPr>
          <w:pStyle w:val="Footer"/>
        </w:pPr>
        <w:r w:rsidRPr="00212FCE">
          <w:fldChar w:fldCharType="begin"/>
        </w:r>
        <w:r w:rsidRPr="00212FCE">
          <w:instrText xml:space="preserve"> PAGE   \* MERGEFORMAT </w:instrText>
        </w:r>
        <w:r w:rsidRPr="00212FCE">
          <w:fldChar w:fldCharType="separate"/>
        </w:r>
        <w:r w:rsidR="006B6B22">
          <w:rPr>
            <w:noProof/>
          </w:rPr>
          <w:t>4</w:t>
        </w:r>
        <w:r w:rsidRPr="00212FCE">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223488"/>
      <w:docPartObj>
        <w:docPartGallery w:val="Page Numbers (Bottom of Page)"/>
        <w:docPartUnique/>
      </w:docPartObj>
    </w:sdtPr>
    <w:sdtEndPr>
      <w:rPr>
        <w:noProof/>
      </w:rPr>
    </w:sdtEndPr>
    <w:sdtContent>
      <w:p w14:paraId="794C3D04" w14:textId="61D185ED" w:rsidR="00E67E83" w:rsidRDefault="00E67E83">
        <w:pPr>
          <w:pStyle w:val="Footer"/>
        </w:pPr>
        <w:r>
          <w:fldChar w:fldCharType="begin"/>
        </w:r>
        <w:r>
          <w:instrText xml:space="preserve"> PAGE   \* MERGEFORMAT </w:instrText>
        </w:r>
        <w:r>
          <w:fldChar w:fldCharType="separate"/>
        </w:r>
        <w:r w:rsidR="006B6B22">
          <w:rPr>
            <w:noProof/>
          </w:rPr>
          <w:t>1</w:t>
        </w:r>
        <w:r>
          <w:rPr>
            <w:noProof/>
          </w:rPr>
          <w:fldChar w:fldCharType="end"/>
        </w:r>
      </w:p>
    </w:sdtContent>
  </w:sdt>
  <w:p w14:paraId="5DBC6EB9" w14:textId="77777777" w:rsidR="00E67E83" w:rsidRDefault="00E67E83" w:rsidP="00A778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45619"/>
      <w:docPartObj>
        <w:docPartGallery w:val="Page Numbers (Bottom of Page)"/>
        <w:docPartUnique/>
      </w:docPartObj>
    </w:sdtPr>
    <w:sdtEndPr>
      <w:rPr>
        <w:noProof/>
      </w:rPr>
    </w:sdtEndPr>
    <w:sdtContent>
      <w:p w14:paraId="0D40306D" w14:textId="571B5D0A" w:rsidR="00E67E83" w:rsidRDefault="00E67E83" w:rsidP="00F42E93">
        <w:pPr>
          <w:pStyle w:val="Footer"/>
        </w:pPr>
        <w:r>
          <w:fldChar w:fldCharType="begin"/>
        </w:r>
        <w:r>
          <w:instrText xml:space="preserve"> PAGE   \* MERGEFORMAT </w:instrText>
        </w:r>
        <w:r>
          <w:fldChar w:fldCharType="separate"/>
        </w:r>
        <w:r w:rsidR="006B6B22">
          <w:rPr>
            <w:noProof/>
          </w:rPr>
          <w:t>56</w:t>
        </w:r>
        <w:r>
          <w:rPr>
            <w:noProof/>
          </w:rPr>
          <w:fldChar w:fldCharType="end"/>
        </w:r>
      </w:p>
    </w:sdtContent>
  </w:sdt>
  <w:p w14:paraId="728E8236" w14:textId="77777777" w:rsidR="00E67E83" w:rsidRDefault="00E67E83" w:rsidP="00A778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98CE0" w14:textId="77777777" w:rsidR="00E67E83" w:rsidRDefault="00E67E83" w:rsidP="00A77877">
      <w:r>
        <w:separator/>
      </w:r>
    </w:p>
    <w:p w14:paraId="306E402C" w14:textId="77777777" w:rsidR="00E67E83" w:rsidRDefault="00E67E83" w:rsidP="00A77877"/>
    <w:p w14:paraId="10A0A6D0" w14:textId="77777777" w:rsidR="00E67E83" w:rsidRDefault="00E67E83" w:rsidP="00A77877"/>
  </w:footnote>
  <w:footnote w:type="continuationSeparator" w:id="0">
    <w:p w14:paraId="0047249E" w14:textId="77777777" w:rsidR="00E67E83" w:rsidRDefault="00E67E83" w:rsidP="00A77877">
      <w:r>
        <w:continuationSeparator/>
      </w:r>
    </w:p>
    <w:p w14:paraId="44547F11" w14:textId="77777777" w:rsidR="00E67E83" w:rsidRDefault="00E67E83" w:rsidP="00A77877"/>
    <w:p w14:paraId="789B7575" w14:textId="77777777" w:rsidR="00E67E83" w:rsidRDefault="00E67E83" w:rsidP="00A778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28EB" w14:textId="77777777" w:rsidR="006B6B22" w:rsidRDefault="006B6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0927" w14:textId="77777777" w:rsidR="006B6B22" w:rsidRDefault="006B6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47FEE" w14:textId="77777777" w:rsidR="006B6B22" w:rsidRDefault="006B6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1FAB" w14:textId="77777777" w:rsidR="00E67E83" w:rsidRDefault="00E67E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56E1B" w14:textId="77777777" w:rsidR="00E67E83" w:rsidRDefault="00E67E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1A74" w14:textId="77777777" w:rsidR="00E67E83" w:rsidRDefault="00E67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250"/>
    <w:multiLevelType w:val="hybridMultilevel"/>
    <w:tmpl w:val="37540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5E5976"/>
    <w:multiLevelType w:val="hybridMultilevel"/>
    <w:tmpl w:val="8806B3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5C39E7"/>
    <w:multiLevelType w:val="hybridMultilevel"/>
    <w:tmpl w:val="15327F28"/>
    <w:lvl w:ilvl="0" w:tplc="0C090001">
      <w:start w:val="1"/>
      <w:numFmt w:val="bullet"/>
      <w:lvlText w:val=""/>
      <w:lvlJc w:val="left"/>
      <w:pPr>
        <w:ind w:left="360" w:hanging="360"/>
      </w:pPr>
      <w:rPr>
        <w:rFonts w:ascii="Symbol" w:hAnsi="Symbol" w:hint="default"/>
      </w:rPr>
    </w:lvl>
    <w:lvl w:ilvl="1" w:tplc="6056252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080729"/>
    <w:multiLevelType w:val="hybridMultilevel"/>
    <w:tmpl w:val="DD0A8D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95737A"/>
    <w:multiLevelType w:val="multilevel"/>
    <w:tmpl w:val="C6BC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B5D0F"/>
    <w:multiLevelType w:val="hybridMultilevel"/>
    <w:tmpl w:val="A574F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2080289"/>
    <w:multiLevelType w:val="hybridMultilevel"/>
    <w:tmpl w:val="F07E9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F4536D"/>
    <w:multiLevelType w:val="hybridMultilevel"/>
    <w:tmpl w:val="6F521200"/>
    <w:lvl w:ilvl="0" w:tplc="FB78C55A">
      <w:start w:val="1"/>
      <w:numFmt w:val="bullet"/>
      <w:pStyle w:val="BulletLast"/>
      <w:lvlText w:val=""/>
      <w:lvlJc w:val="left"/>
      <w:pPr>
        <w:ind w:left="36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4129F"/>
    <w:multiLevelType w:val="hybridMultilevel"/>
    <w:tmpl w:val="40C67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E54C7A"/>
    <w:multiLevelType w:val="hybridMultilevel"/>
    <w:tmpl w:val="E1E0D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097DD8"/>
    <w:multiLevelType w:val="hybridMultilevel"/>
    <w:tmpl w:val="37DA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628F5"/>
    <w:multiLevelType w:val="hybridMultilevel"/>
    <w:tmpl w:val="DC3EC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453606"/>
    <w:multiLevelType w:val="hybridMultilevel"/>
    <w:tmpl w:val="85A0A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120223"/>
    <w:multiLevelType w:val="hybridMultilevel"/>
    <w:tmpl w:val="386E2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45D3088"/>
    <w:multiLevelType w:val="hybridMultilevel"/>
    <w:tmpl w:val="16948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C07B39"/>
    <w:multiLevelType w:val="hybridMultilevel"/>
    <w:tmpl w:val="12A0D0C6"/>
    <w:lvl w:ilvl="0" w:tplc="0C090001">
      <w:start w:val="1"/>
      <w:numFmt w:val="bullet"/>
      <w:lvlText w:val=""/>
      <w:lvlJc w:val="left"/>
      <w:pPr>
        <w:ind w:left="720" w:hanging="360"/>
      </w:pPr>
      <w:rPr>
        <w:rFonts w:ascii="Symbol" w:hAnsi="Symbo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88457C0"/>
    <w:multiLevelType w:val="hybridMultilevel"/>
    <w:tmpl w:val="D754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50946"/>
    <w:multiLevelType w:val="hybridMultilevel"/>
    <w:tmpl w:val="FFAE50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ED07B66"/>
    <w:multiLevelType w:val="hybridMultilevel"/>
    <w:tmpl w:val="AC64F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EF63C3"/>
    <w:multiLevelType w:val="hybridMultilevel"/>
    <w:tmpl w:val="FE466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4A571B"/>
    <w:multiLevelType w:val="hybridMultilevel"/>
    <w:tmpl w:val="6C1CEC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B5C93"/>
    <w:multiLevelType w:val="hybridMultilevel"/>
    <w:tmpl w:val="8610916E"/>
    <w:lvl w:ilvl="0" w:tplc="0C090001">
      <w:start w:val="1"/>
      <w:numFmt w:val="bullet"/>
      <w:lvlText w:val=""/>
      <w:lvlJc w:val="left"/>
      <w:pPr>
        <w:ind w:left="720" w:hanging="360"/>
      </w:pPr>
      <w:rPr>
        <w:rFonts w:ascii="Symbol" w:hAnsi="Symbol" w:hint="default"/>
      </w:rPr>
    </w:lvl>
    <w:lvl w:ilvl="1" w:tplc="DDCEB8C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C351A1"/>
    <w:multiLevelType w:val="hybridMultilevel"/>
    <w:tmpl w:val="9798199E"/>
    <w:lvl w:ilvl="0" w:tplc="0C090001">
      <w:start w:val="1"/>
      <w:numFmt w:val="bullet"/>
      <w:lvlText w:val=""/>
      <w:lvlJc w:val="left"/>
      <w:pPr>
        <w:ind w:left="720"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6B38F5"/>
    <w:multiLevelType w:val="hybridMultilevel"/>
    <w:tmpl w:val="877E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F53954"/>
    <w:multiLevelType w:val="hybridMultilevel"/>
    <w:tmpl w:val="E62495B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AF7F90"/>
    <w:multiLevelType w:val="hybridMultilevel"/>
    <w:tmpl w:val="45EAAE6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9655B4"/>
    <w:multiLevelType w:val="hybridMultilevel"/>
    <w:tmpl w:val="5F4A2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890A85"/>
    <w:multiLevelType w:val="hybridMultilevel"/>
    <w:tmpl w:val="A3489A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4" w15:restartNumberingAfterBreak="0">
    <w:nsid w:val="74DD115B"/>
    <w:multiLevelType w:val="hybridMultilevel"/>
    <w:tmpl w:val="2C7E2E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56C7301"/>
    <w:multiLevelType w:val="hybridMultilevel"/>
    <w:tmpl w:val="8E802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BD0F2A"/>
    <w:multiLevelType w:val="hybridMultilevel"/>
    <w:tmpl w:val="BBF2D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697339"/>
    <w:multiLevelType w:val="hybridMultilevel"/>
    <w:tmpl w:val="71705AE4"/>
    <w:lvl w:ilvl="0" w:tplc="0C090001">
      <w:start w:val="1"/>
      <w:numFmt w:val="bullet"/>
      <w:lvlText w:val=""/>
      <w:lvlJc w:val="left"/>
      <w:pPr>
        <w:ind w:left="720" w:hanging="360"/>
      </w:pPr>
      <w:rPr>
        <w:rFonts w:ascii="Symbol" w:hAnsi="Symbol" w:hint="default"/>
      </w:rPr>
    </w:lvl>
    <w:lvl w:ilvl="1" w:tplc="6056252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5"/>
  </w:num>
  <w:num w:numId="4">
    <w:abstractNumId w:val="7"/>
  </w:num>
  <w:num w:numId="5">
    <w:abstractNumId w:val="20"/>
  </w:num>
  <w:num w:numId="6">
    <w:abstractNumId w:val="6"/>
  </w:num>
  <w:num w:numId="7">
    <w:abstractNumId w:val="26"/>
  </w:num>
  <w:num w:numId="8">
    <w:abstractNumId w:val="18"/>
  </w:num>
  <w:num w:numId="9">
    <w:abstractNumId w:val="9"/>
  </w:num>
  <w:num w:numId="10">
    <w:abstractNumId w:val="4"/>
  </w:num>
  <w:num w:numId="11">
    <w:abstractNumId w:val="14"/>
  </w:num>
  <w:num w:numId="12">
    <w:abstractNumId w:val="35"/>
  </w:num>
  <w:num w:numId="13">
    <w:abstractNumId w:val="29"/>
  </w:num>
  <w:num w:numId="14">
    <w:abstractNumId w:val="36"/>
  </w:num>
  <w:num w:numId="15">
    <w:abstractNumId w:val="15"/>
  </w:num>
  <w:num w:numId="16">
    <w:abstractNumId w:val="32"/>
  </w:num>
  <w:num w:numId="17">
    <w:abstractNumId w:val="28"/>
  </w:num>
  <w:num w:numId="18">
    <w:abstractNumId w:val="10"/>
  </w:num>
  <w:num w:numId="19">
    <w:abstractNumId w:val="0"/>
  </w:num>
  <w:num w:numId="20">
    <w:abstractNumId w:val="17"/>
  </w:num>
  <w:num w:numId="21">
    <w:abstractNumId w:val="19"/>
  </w:num>
  <w:num w:numId="22">
    <w:abstractNumId w:val="13"/>
  </w:num>
  <w:num w:numId="23">
    <w:abstractNumId w:val="23"/>
  </w:num>
  <w:num w:numId="24">
    <w:abstractNumId w:val="16"/>
  </w:num>
  <w:num w:numId="25">
    <w:abstractNumId w:val="27"/>
  </w:num>
  <w:num w:numId="26">
    <w:abstractNumId w:val="22"/>
  </w:num>
  <w:num w:numId="27">
    <w:abstractNumId w:val="24"/>
  </w:num>
  <w:num w:numId="28">
    <w:abstractNumId w:val="33"/>
  </w:num>
  <w:num w:numId="29">
    <w:abstractNumId w:val="1"/>
  </w:num>
  <w:num w:numId="30">
    <w:abstractNumId w:val="30"/>
  </w:num>
  <w:num w:numId="31">
    <w:abstractNumId w:val="8"/>
  </w:num>
  <w:num w:numId="32">
    <w:abstractNumId w:val="12"/>
  </w:num>
  <w:num w:numId="33">
    <w:abstractNumId w:val="11"/>
  </w:num>
  <w:num w:numId="34">
    <w:abstractNumId w:val="9"/>
  </w:num>
  <w:num w:numId="35">
    <w:abstractNumId w:val="9"/>
  </w:num>
  <w:num w:numId="36">
    <w:abstractNumId w:val="9"/>
  </w:num>
  <w:num w:numId="37">
    <w:abstractNumId w:val="9"/>
  </w:num>
  <w:num w:numId="38">
    <w:abstractNumId w:val="21"/>
  </w:num>
  <w:num w:numId="39">
    <w:abstractNumId w:val="34"/>
  </w:num>
  <w:num w:numId="40">
    <w:abstractNumId w:val="37"/>
  </w:num>
  <w:num w:numId="41">
    <w:abstractNumId w:val="3"/>
  </w:num>
  <w:num w:numId="42">
    <w:abstractNumId w:val="5"/>
  </w:num>
  <w:num w:numId="43">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3NDAzMrQ0MTIwMTVW0lEKTi0uzszPAykwrAUAwdHD3i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szattv0zdvrheapxdpap58rz20pxt90xwz&quot;&gt;Report&lt;record-ids&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244&lt;/item&gt;&lt;item&gt;245&lt;/item&gt;&lt;item&gt;246&lt;/item&gt;&lt;item&gt;249&lt;/item&gt;&lt;/record-ids&gt;&lt;/item&gt;&lt;/Libraries&gt;"/>
  </w:docVars>
  <w:rsids>
    <w:rsidRoot w:val="008D0D0C"/>
    <w:rsid w:val="00000E81"/>
    <w:rsid w:val="0000233F"/>
    <w:rsid w:val="0000568D"/>
    <w:rsid w:val="000059E2"/>
    <w:rsid w:val="00005CD4"/>
    <w:rsid w:val="000064E0"/>
    <w:rsid w:val="000105D3"/>
    <w:rsid w:val="000122DB"/>
    <w:rsid w:val="00012651"/>
    <w:rsid w:val="0001388A"/>
    <w:rsid w:val="00015414"/>
    <w:rsid w:val="0001631C"/>
    <w:rsid w:val="0002154C"/>
    <w:rsid w:val="0002201F"/>
    <w:rsid w:val="000223C1"/>
    <w:rsid w:val="000223D2"/>
    <w:rsid w:val="00022ED8"/>
    <w:rsid w:val="000230A6"/>
    <w:rsid w:val="000235A6"/>
    <w:rsid w:val="000265EC"/>
    <w:rsid w:val="000273CD"/>
    <w:rsid w:val="000276EC"/>
    <w:rsid w:val="00027CA6"/>
    <w:rsid w:val="00027E8D"/>
    <w:rsid w:val="00027F22"/>
    <w:rsid w:val="00030D5A"/>
    <w:rsid w:val="0003141C"/>
    <w:rsid w:val="00031935"/>
    <w:rsid w:val="00031F5D"/>
    <w:rsid w:val="000328B5"/>
    <w:rsid w:val="00033B67"/>
    <w:rsid w:val="00034B71"/>
    <w:rsid w:val="000358F7"/>
    <w:rsid w:val="000366AD"/>
    <w:rsid w:val="00041577"/>
    <w:rsid w:val="00041E94"/>
    <w:rsid w:val="0004288C"/>
    <w:rsid w:val="00044561"/>
    <w:rsid w:val="000454A2"/>
    <w:rsid w:val="00045726"/>
    <w:rsid w:val="00045E05"/>
    <w:rsid w:val="0004624B"/>
    <w:rsid w:val="00046E01"/>
    <w:rsid w:val="000506CB"/>
    <w:rsid w:val="0005072C"/>
    <w:rsid w:val="000523FD"/>
    <w:rsid w:val="00054219"/>
    <w:rsid w:val="00055439"/>
    <w:rsid w:val="00057CC1"/>
    <w:rsid w:val="000603FB"/>
    <w:rsid w:val="0006497A"/>
    <w:rsid w:val="0006501B"/>
    <w:rsid w:val="00065764"/>
    <w:rsid w:val="00065C00"/>
    <w:rsid w:val="00067C30"/>
    <w:rsid w:val="0007148C"/>
    <w:rsid w:val="000716A1"/>
    <w:rsid w:val="00071984"/>
    <w:rsid w:val="00071F2B"/>
    <w:rsid w:val="00072409"/>
    <w:rsid w:val="00073353"/>
    <w:rsid w:val="00073BF6"/>
    <w:rsid w:val="00075189"/>
    <w:rsid w:val="000755B3"/>
    <w:rsid w:val="0007635D"/>
    <w:rsid w:val="00080BEA"/>
    <w:rsid w:val="00081DCB"/>
    <w:rsid w:val="00082A22"/>
    <w:rsid w:val="00082F8F"/>
    <w:rsid w:val="00083616"/>
    <w:rsid w:val="000869D0"/>
    <w:rsid w:val="00087D22"/>
    <w:rsid w:val="00090524"/>
    <w:rsid w:val="00091BAF"/>
    <w:rsid w:val="00091FDD"/>
    <w:rsid w:val="000935DE"/>
    <w:rsid w:val="000944DB"/>
    <w:rsid w:val="00094B05"/>
    <w:rsid w:val="00094B19"/>
    <w:rsid w:val="00094F48"/>
    <w:rsid w:val="00095EFB"/>
    <w:rsid w:val="0009621D"/>
    <w:rsid w:val="000963F0"/>
    <w:rsid w:val="00096511"/>
    <w:rsid w:val="000A0BC6"/>
    <w:rsid w:val="000A14D8"/>
    <w:rsid w:val="000A1734"/>
    <w:rsid w:val="000A2E84"/>
    <w:rsid w:val="000A43C2"/>
    <w:rsid w:val="000A4B4F"/>
    <w:rsid w:val="000A4BF1"/>
    <w:rsid w:val="000A4FA9"/>
    <w:rsid w:val="000A5656"/>
    <w:rsid w:val="000A5AD0"/>
    <w:rsid w:val="000A7005"/>
    <w:rsid w:val="000A7064"/>
    <w:rsid w:val="000A74CF"/>
    <w:rsid w:val="000B08B7"/>
    <w:rsid w:val="000B1445"/>
    <w:rsid w:val="000B1785"/>
    <w:rsid w:val="000B320D"/>
    <w:rsid w:val="000B3355"/>
    <w:rsid w:val="000B397E"/>
    <w:rsid w:val="000B4D83"/>
    <w:rsid w:val="000B59A9"/>
    <w:rsid w:val="000B612B"/>
    <w:rsid w:val="000B6876"/>
    <w:rsid w:val="000C0B54"/>
    <w:rsid w:val="000C2807"/>
    <w:rsid w:val="000C2E58"/>
    <w:rsid w:val="000C3409"/>
    <w:rsid w:val="000C5294"/>
    <w:rsid w:val="000C7B1E"/>
    <w:rsid w:val="000D21FC"/>
    <w:rsid w:val="000D568E"/>
    <w:rsid w:val="000D6085"/>
    <w:rsid w:val="000D750E"/>
    <w:rsid w:val="000E2AB4"/>
    <w:rsid w:val="000E3AFF"/>
    <w:rsid w:val="000E524B"/>
    <w:rsid w:val="000E5495"/>
    <w:rsid w:val="000E642B"/>
    <w:rsid w:val="000F1D60"/>
    <w:rsid w:val="000F2556"/>
    <w:rsid w:val="000F3BC0"/>
    <w:rsid w:val="000F72BC"/>
    <w:rsid w:val="001021C8"/>
    <w:rsid w:val="001031FF"/>
    <w:rsid w:val="00104A6D"/>
    <w:rsid w:val="00105D06"/>
    <w:rsid w:val="001101C2"/>
    <w:rsid w:val="00110BAF"/>
    <w:rsid w:val="00110C23"/>
    <w:rsid w:val="00113BBC"/>
    <w:rsid w:val="001142CF"/>
    <w:rsid w:val="001145D2"/>
    <w:rsid w:val="00115A41"/>
    <w:rsid w:val="001161F9"/>
    <w:rsid w:val="00117B58"/>
    <w:rsid w:val="00121B1D"/>
    <w:rsid w:val="00121BD5"/>
    <w:rsid w:val="00122FC6"/>
    <w:rsid w:val="0012304D"/>
    <w:rsid w:val="001234CB"/>
    <w:rsid w:val="00123BF4"/>
    <w:rsid w:val="001259DE"/>
    <w:rsid w:val="001268FF"/>
    <w:rsid w:val="001278F8"/>
    <w:rsid w:val="00131A64"/>
    <w:rsid w:val="00131C7E"/>
    <w:rsid w:val="00133745"/>
    <w:rsid w:val="00134680"/>
    <w:rsid w:val="00134E08"/>
    <w:rsid w:val="001351AC"/>
    <w:rsid w:val="001379D4"/>
    <w:rsid w:val="00137D8F"/>
    <w:rsid w:val="0014080B"/>
    <w:rsid w:val="00140A2B"/>
    <w:rsid w:val="0014316A"/>
    <w:rsid w:val="00143204"/>
    <w:rsid w:val="001443F2"/>
    <w:rsid w:val="00145F88"/>
    <w:rsid w:val="00147F07"/>
    <w:rsid w:val="00150633"/>
    <w:rsid w:val="00150DD1"/>
    <w:rsid w:val="00152166"/>
    <w:rsid w:val="00152289"/>
    <w:rsid w:val="00152390"/>
    <w:rsid w:val="00152D47"/>
    <w:rsid w:val="00153744"/>
    <w:rsid w:val="00153E2A"/>
    <w:rsid w:val="00155A47"/>
    <w:rsid w:val="001571D9"/>
    <w:rsid w:val="00157DCB"/>
    <w:rsid w:val="0016128B"/>
    <w:rsid w:val="00163E29"/>
    <w:rsid w:val="00163F63"/>
    <w:rsid w:val="00165056"/>
    <w:rsid w:val="0016544B"/>
    <w:rsid w:val="00165C8D"/>
    <w:rsid w:val="00165D31"/>
    <w:rsid w:val="00165EF0"/>
    <w:rsid w:val="0016740F"/>
    <w:rsid w:val="00170585"/>
    <w:rsid w:val="00172E4C"/>
    <w:rsid w:val="001735E0"/>
    <w:rsid w:val="00177619"/>
    <w:rsid w:val="001809AC"/>
    <w:rsid w:val="00183170"/>
    <w:rsid w:val="00183A07"/>
    <w:rsid w:val="00184491"/>
    <w:rsid w:val="0018489E"/>
    <w:rsid w:val="001869BF"/>
    <w:rsid w:val="00186F85"/>
    <w:rsid w:val="001875B5"/>
    <w:rsid w:val="00187AB4"/>
    <w:rsid w:val="001939EA"/>
    <w:rsid w:val="00193CE6"/>
    <w:rsid w:val="00196629"/>
    <w:rsid w:val="00197098"/>
    <w:rsid w:val="001A1AD7"/>
    <w:rsid w:val="001A1E58"/>
    <w:rsid w:val="001A2F37"/>
    <w:rsid w:val="001A35B9"/>
    <w:rsid w:val="001A384F"/>
    <w:rsid w:val="001A3CAE"/>
    <w:rsid w:val="001A491F"/>
    <w:rsid w:val="001A4F17"/>
    <w:rsid w:val="001A5398"/>
    <w:rsid w:val="001A63CD"/>
    <w:rsid w:val="001A7729"/>
    <w:rsid w:val="001B1577"/>
    <w:rsid w:val="001B1A81"/>
    <w:rsid w:val="001B2868"/>
    <w:rsid w:val="001B381E"/>
    <w:rsid w:val="001B3EE3"/>
    <w:rsid w:val="001B48DC"/>
    <w:rsid w:val="001B698A"/>
    <w:rsid w:val="001C0980"/>
    <w:rsid w:val="001C1C3E"/>
    <w:rsid w:val="001C35C9"/>
    <w:rsid w:val="001C4051"/>
    <w:rsid w:val="001C4EE1"/>
    <w:rsid w:val="001C6C64"/>
    <w:rsid w:val="001C74EB"/>
    <w:rsid w:val="001D0E78"/>
    <w:rsid w:val="001D255D"/>
    <w:rsid w:val="001D2DF0"/>
    <w:rsid w:val="001D320C"/>
    <w:rsid w:val="001D3573"/>
    <w:rsid w:val="001D5AF3"/>
    <w:rsid w:val="001D64F7"/>
    <w:rsid w:val="001D687C"/>
    <w:rsid w:val="001E04F1"/>
    <w:rsid w:val="001E19BF"/>
    <w:rsid w:val="001E35BC"/>
    <w:rsid w:val="001E4A4C"/>
    <w:rsid w:val="001E5510"/>
    <w:rsid w:val="001E63E5"/>
    <w:rsid w:val="001E7750"/>
    <w:rsid w:val="001E7D7B"/>
    <w:rsid w:val="001F1CD5"/>
    <w:rsid w:val="001F23B4"/>
    <w:rsid w:val="001F27B0"/>
    <w:rsid w:val="001F326A"/>
    <w:rsid w:val="001F33EF"/>
    <w:rsid w:val="001F39F6"/>
    <w:rsid w:val="001F4AD4"/>
    <w:rsid w:val="001F4BBA"/>
    <w:rsid w:val="001F62B5"/>
    <w:rsid w:val="001F63ED"/>
    <w:rsid w:val="001F750F"/>
    <w:rsid w:val="002001E6"/>
    <w:rsid w:val="002012C2"/>
    <w:rsid w:val="00203BFB"/>
    <w:rsid w:val="00203DAB"/>
    <w:rsid w:val="00204D93"/>
    <w:rsid w:val="00205C1C"/>
    <w:rsid w:val="0021091E"/>
    <w:rsid w:val="00211130"/>
    <w:rsid w:val="002128D6"/>
    <w:rsid w:val="00212FCE"/>
    <w:rsid w:val="00213139"/>
    <w:rsid w:val="00213F09"/>
    <w:rsid w:val="00214BCF"/>
    <w:rsid w:val="00216527"/>
    <w:rsid w:val="00217C3D"/>
    <w:rsid w:val="00220104"/>
    <w:rsid w:val="00224688"/>
    <w:rsid w:val="00224A73"/>
    <w:rsid w:val="002256C3"/>
    <w:rsid w:val="00227620"/>
    <w:rsid w:val="002305BA"/>
    <w:rsid w:val="00230B8A"/>
    <w:rsid w:val="002317FC"/>
    <w:rsid w:val="00231C65"/>
    <w:rsid w:val="00232251"/>
    <w:rsid w:val="002327D9"/>
    <w:rsid w:val="002337AB"/>
    <w:rsid w:val="0023483F"/>
    <w:rsid w:val="00235E0A"/>
    <w:rsid w:val="00236763"/>
    <w:rsid w:val="002415C6"/>
    <w:rsid w:val="00241B75"/>
    <w:rsid w:val="00242062"/>
    <w:rsid w:val="002428A6"/>
    <w:rsid w:val="00243AD5"/>
    <w:rsid w:val="00243F48"/>
    <w:rsid w:val="00243FA1"/>
    <w:rsid w:val="00243FBF"/>
    <w:rsid w:val="00246CDF"/>
    <w:rsid w:val="00247F11"/>
    <w:rsid w:val="002500A6"/>
    <w:rsid w:val="00251678"/>
    <w:rsid w:val="00253ABB"/>
    <w:rsid w:val="0025608C"/>
    <w:rsid w:val="00257D4E"/>
    <w:rsid w:val="00261A56"/>
    <w:rsid w:val="00261A7D"/>
    <w:rsid w:val="002629CB"/>
    <w:rsid w:val="00262BCC"/>
    <w:rsid w:val="00263FE1"/>
    <w:rsid w:val="0026530E"/>
    <w:rsid w:val="00265C2E"/>
    <w:rsid w:val="00266E02"/>
    <w:rsid w:val="00267C57"/>
    <w:rsid w:val="00270470"/>
    <w:rsid w:val="00270D86"/>
    <w:rsid w:val="002717D1"/>
    <w:rsid w:val="00271DE2"/>
    <w:rsid w:val="00272185"/>
    <w:rsid w:val="00272D19"/>
    <w:rsid w:val="002738EF"/>
    <w:rsid w:val="00275FBC"/>
    <w:rsid w:val="002760FA"/>
    <w:rsid w:val="0027610E"/>
    <w:rsid w:val="00277BAE"/>
    <w:rsid w:val="0028010B"/>
    <w:rsid w:val="002824AA"/>
    <w:rsid w:val="00283857"/>
    <w:rsid w:val="00284512"/>
    <w:rsid w:val="00285854"/>
    <w:rsid w:val="00285C95"/>
    <w:rsid w:val="002868EB"/>
    <w:rsid w:val="00287013"/>
    <w:rsid w:val="002873B8"/>
    <w:rsid w:val="002878E7"/>
    <w:rsid w:val="00287BED"/>
    <w:rsid w:val="00291605"/>
    <w:rsid w:val="00291DFF"/>
    <w:rsid w:val="00293E81"/>
    <w:rsid w:val="00294174"/>
    <w:rsid w:val="002941E4"/>
    <w:rsid w:val="00295B7D"/>
    <w:rsid w:val="002971B9"/>
    <w:rsid w:val="00297B37"/>
    <w:rsid w:val="002A0772"/>
    <w:rsid w:val="002A07AF"/>
    <w:rsid w:val="002A0833"/>
    <w:rsid w:val="002A25CD"/>
    <w:rsid w:val="002A27F1"/>
    <w:rsid w:val="002A470A"/>
    <w:rsid w:val="002A49C0"/>
    <w:rsid w:val="002A6B78"/>
    <w:rsid w:val="002A7E2D"/>
    <w:rsid w:val="002B1CA8"/>
    <w:rsid w:val="002B2080"/>
    <w:rsid w:val="002B299E"/>
    <w:rsid w:val="002B2C1A"/>
    <w:rsid w:val="002B2F80"/>
    <w:rsid w:val="002B3E04"/>
    <w:rsid w:val="002B453F"/>
    <w:rsid w:val="002B4E50"/>
    <w:rsid w:val="002B621A"/>
    <w:rsid w:val="002B649F"/>
    <w:rsid w:val="002B6569"/>
    <w:rsid w:val="002C082C"/>
    <w:rsid w:val="002C1299"/>
    <w:rsid w:val="002C1F79"/>
    <w:rsid w:val="002C27E0"/>
    <w:rsid w:val="002C3109"/>
    <w:rsid w:val="002C4D7E"/>
    <w:rsid w:val="002C7876"/>
    <w:rsid w:val="002C7ABB"/>
    <w:rsid w:val="002D2CBD"/>
    <w:rsid w:val="002D3EA5"/>
    <w:rsid w:val="002D4283"/>
    <w:rsid w:val="002D48E6"/>
    <w:rsid w:val="002D4C49"/>
    <w:rsid w:val="002D5645"/>
    <w:rsid w:val="002D7187"/>
    <w:rsid w:val="002E1D76"/>
    <w:rsid w:val="002E28EC"/>
    <w:rsid w:val="002E3D7E"/>
    <w:rsid w:val="002E41E6"/>
    <w:rsid w:val="002E47C6"/>
    <w:rsid w:val="002E4935"/>
    <w:rsid w:val="002E57C2"/>
    <w:rsid w:val="002E61EB"/>
    <w:rsid w:val="002F13BF"/>
    <w:rsid w:val="002F19C2"/>
    <w:rsid w:val="002F1CBE"/>
    <w:rsid w:val="002F3862"/>
    <w:rsid w:val="002F3DA1"/>
    <w:rsid w:val="002F40FE"/>
    <w:rsid w:val="002F7DDA"/>
    <w:rsid w:val="003013BC"/>
    <w:rsid w:val="00301A17"/>
    <w:rsid w:val="00302DF8"/>
    <w:rsid w:val="0030305C"/>
    <w:rsid w:val="00304DFF"/>
    <w:rsid w:val="00304F8D"/>
    <w:rsid w:val="003060AD"/>
    <w:rsid w:val="0030695F"/>
    <w:rsid w:val="003072C9"/>
    <w:rsid w:val="0030771F"/>
    <w:rsid w:val="00310196"/>
    <w:rsid w:val="00311566"/>
    <w:rsid w:val="00313FD6"/>
    <w:rsid w:val="003146F2"/>
    <w:rsid w:val="00314958"/>
    <w:rsid w:val="00315E37"/>
    <w:rsid w:val="00316A02"/>
    <w:rsid w:val="00317D31"/>
    <w:rsid w:val="003218AB"/>
    <w:rsid w:val="00323A47"/>
    <w:rsid w:val="00323A92"/>
    <w:rsid w:val="0032418B"/>
    <w:rsid w:val="003244A1"/>
    <w:rsid w:val="00324EEC"/>
    <w:rsid w:val="00325490"/>
    <w:rsid w:val="00325CA6"/>
    <w:rsid w:val="00327CAD"/>
    <w:rsid w:val="00327DB0"/>
    <w:rsid w:val="00330D1C"/>
    <w:rsid w:val="0033250D"/>
    <w:rsid w:val="003326B2"/>
    <w:rsid w:val="003340FB"/>
    <w:rsid w:val="0033511B"/>
    <w:rsid w:val="00340B90"/>
    <w:rsid w:val="00343A91"/>
    <w:rsid w:val="00343DBD"/>
    <w:rsid w:val="00343E8B"/>
    <w:rsid w:val="003445DF"/>
    <w:rsid w:val="00344C9B"/>
    <w:rsid w:val="00346BA3"/>
    <w:rsid w:val="00346DC8"/>
    <w:rsid w:val="00350990"/>
    <w:rsid w:val="00351A3C"/>
    <w:rsid w:val="00351C05"/>
    <w:rsid w:val="00352D4A"/>
    <w:rsid w:val="00353B9F"/>
    <w:rsid w:val="003544D6"/>
    <w:rsid w:val="00354AEA"/>
    <w:rsid w:val="00355E49"/>
    <w:rsid w:val="00356F55"/>
    <w:rsid w:val="003600D5"/>
    <w:rsid w:val="00360774"/>
    <w:rsid w:val="00361602"/>
    <w:rsid w:val="00361C0B"/>
    <w:rsid w:val="00364192"/>
    <w:rsid w:val="00365072"/>
    <w:rsid w:val="003656BB"/>
    <w:rsid w:val="00366226"/>
    <w:rsid w:val="0036779C"/>
    <w:rsid w:val="003711D4"/>
    <w:rsid w:val="003714D0"/>
    <w:rsid w:val="00373FE0"/>
    <w:rsid w:val="0037685D"/>
    <w:rsid w:val="00376C8B"/>
    <w:rsid w:val="00376FDE"/>
    <w:rsid w:val="0037787F"/>
    <w:rsid w:val="00377CA1"/>
    <w:rsid w:val="00380FE0"/>
    <w:rsid w:val="00382266"/>
    <w:rsid w:val="00383388"/>
    <w:rsid w:val="00386E0E"/>
    <w:rsid w:val="003905C0"/>
    <w:rsid w:val="00393D24"/>
    <w:rsid w:val="00394233"/>
    <w:rsid w:val="00396365"/>
    <w:rsid w:val="003A1768"/>
    <w:rsid w:val="003B11B2"/>
    <w:rsid w:val="003B15E2"/>
    <w:rsid w:val="003B2C19"/>
    <w:rsid w:val="003B4C11"/>
    <w:rsid w:val="003B69D9"/>
    <w:rsid w:val="003B773A"/>
    <w:rsid w:val="003B7D87"/>
    <w:rsid w:val="003C2D08"/>
    <w:rsid w:val="003C329C"/>
    <w:rsid w:val="003C4AFD"/>
    <w:rsid w:val="003C4B35"/>
    <w:rsid w:val="003C54DB"/>
    <w:rsid w:val="003D0BBD"/>
    <w:rsid w:val="003D1F1C"/>
    <w:rsid w:val="003D2261"/>
    <w:rsid w:val="003D4B4D"/>
    <w:rsid w:val="003E2602"/>
    <w:rsid w:val="003E338B"/>
    <w:rsid w:val="003E3641"/>
    <w:rsid w:val="003E46B3"/>
    <w:rsid w:val="003E6E50"/>
    <w:rsid w:val="003E716F"/>
    <w:rsid w:val="003F0123"/>
    <w:rsid w:val="003F2EB2"/>
    <w:rsid w:val="003F49EF"/>
    <w:rsid w:val="003F74EE"/>
    <w:rsid w:val="0040091F"/>
    <w:rsid w:val="00402B39"/>
    <w:rsid w:val="00402EDF"/>
    <w:rsid w:val="00406B68"/>
    <w:rsid w:val="004079FE"/>
    <w:rsid w:val="004112F3"/>
    <w:rsid w:val="004130C4"/>
    <w:rsid w:val="0041360B"/>
    <w:rsid w:val="0041405D"/>
    <w:rsid w:val="00414537"/>
    <w:rsid w:val="00414DBB"/>
    <w:rsid w:val="00417E4C"/>
    <w:rsid w:val="00421BA6"/>
    <w:rsid w:val="00422086"/>
    <w:rsid w:val="00423A6F"/>
    <w:rsid w:val="004249B8"/>
    <w:rsid w:val="00427FF4"/>
    <w:rsid w:val="0043006E"/>
    <w:rsid w:val="00430AA7"/>
    <w:rsid w:val="0043146C"/>
    <w:rsid w:val="00433F98"/>
    <w:rsid w:val="0043400B"/>
    <w:rsid w:val="00434DA6"/>
    <w:rsid w:val="00435C7C"/>
    <w:rsid w:val="00436FE7"/>
    <w:rsid w:val="004409AA"/>
    <w:rsid w:val="00441F01"/>
    <w:rsid w:val="00442CB3"/>
    <w:rsid w:val="00443645"/>
    <w:rsid w:val="0044469B"/>
    <w:rsid w:val="004446DD"/>
    <w:rsid w:val="00444DF2"/>
    <w:rsid w:val="00446E80"/>
    <w:rsid w:val="00447443"/>
    <w:rsid w:val="00447A78"/>
    <w:rsid w:val="00450E54"/>
    <w:rsid w:val="00451306"/>
    <w:rsid w:val="00451F0E"/>
    <w:rsid w:val="004526CB"/>
    <w:rsid w:val="00454E5A"/>
    <w:rsid w:val="00455F4A"/>
    <w:rsid w:val="00457E7E"/>
    <w:rsid w:val="00461BC4"/>
    <w:rsid w:val="00463760"/>
    <w:rsid w:val="004640B5"/>
    <w:rsid w:val="0046458B"/>
    <w:rsid w:val="00464857"/>
    <w:rsid w:val="004652A1"/>
    <w:rsid w:val="00466C51"/>
    <w:rsid w:val="00467AE7"/>
    <w:rsid w:val="004703C0"/>
    <w:rsid w:val="00470C5B"/>
    <w:rsid w:val="00470DD3"/>
    <w:rsid w:val="004733E1"/>
    <w:rsid w:val="0047342A"/>
    <w:rsid w:val="0047458A"/>
    <w:rsid w:val="00475058"/>
    <w:rsid w:val="004755F1"/>
    <w:rsid w:val="00475FAF"/>
    <w:rsid w:val="0047606B"/>
    <w:rsid w:val="00476E22"/>
    <w:rsid w:val="00477C4F"/>
    <w:rsid w:val="00477ECC"/>
    <w:rsid w:val="00480124"/>
    <w:rsid w:val="00480450"/>
    <w:rsid w:val="00485A1B"/>
    <w:rsid w:val="00486E7E"/>
    <w:rsid w:val="0048707C"/>
    <w:rsid w:val="0048720C"/>
    <w:rsid w:val="004878EA"/>
    <w:rsid w:val="00490FBE"/>
    <w:rsid w:val="0049125A"/>
    <w:rsid w:val="0049591C"/>
    <w:rsid w:val="00496BE4"/>
    <w:rsid w:val="004A0228"/>
    <w:rsid w:val="004A141D"/>
    <w:rsid w:val="004A2446"/>
    <w:rsid w:val="004A27D0"/>
    <w:rsid w:val="004A3239"/>
    <w:rsid w:val="004A36FF"/>
    <w:rsid w:val="004A374B"/>
    <w:rsid w:val="004A42B5"/>
    <w:rsid w:val="004A46B5"/>
    <w:rsid w:val="004A4A37"/>
    <w:rsid w:val="004A4D62"/>
    <w:rsid w:val="004A7A02"/>
    <w:rsid w:val="004B11B2"/>
    <w:rsid w:val="004B35EB"/>
    <w:rsid w:val="004B43EC"/>
    <w:rsid w:val="004B4E2E"/>
    <w:rsid w:val="004B5553"/>
    <w:rsid w:val="004B6621"/>
    <w:rsid w:val="004B6997"/>
    <w:rsid w:val="004B6F8E"/>
    <w:rsid w:val="004C0069"/>
    <w:rsid w:val="004C215E"/>
    <w:rsid w:val="004C28F7"/>
    <w:rsid w:val="004C2C8F"/>
    <w:rsid w:val="004C3737"/>
    <w:rsid w:val="004C3F6A"/>
    <w:rsid w:val="004C5556"/>
    <w:rsid w:val="004C7FEF"/>
    <w:rsid w:val="004D11B7"/>
    <w:rsid w:val="004D1978"/>
    <w:rsid w:val="004D3651"/>
    <w:rsid w:val="004D4765"/>
    <w:rsid w:val="004D4EF8"/>
    <w:rsid w:val="004D548D"/>
    <w:rsid w:val="004D5E71"/>
    <w:rsid w:val="004D61D9"/>
    <w:rsid w:val="004D6B71"/>
    <w:rsid w:val="004E064D"/>
    <w:rsid w:val="004E1B15"/>
    <w:rsid w:val="004E2E82"/>
    <w:rsid w:val="004E33B9"/>
    <w:rsid w:val="004E5F65"/>
    <w:rsid w:val="004E6FB0"/>
    <w:rsid w:val="004F2DFA"/>
    <w:rsid w:val="004F48FB"/>
    <w:rsid w:val="004F4DAC"/>
    <w:rsid w:val="004F5DAB"/>
    <w:rsid w:val="004F6747"/>
    <w:rsid w:val="004F7393"/>
    <w:rsid w:val="00500D74"/>
    <w:rsid w:val="00500FC1"/>
    <w:rsid w:val="00501D43"/>
    <w:rsid w:val="00502329"/>
    <w:rsid w:val="00502DD7"/>
    <w:rsid w:val="00504042"/>
    <w:rsid w:val="005113A5"/>
    <w:rsid w:val="00512841"/>
    <w:rsid w:val="00512DDB"/>
    <w:rsid w:val="00512FB7"/>
    <w:rsid w:val="00513518"/>
    <w:rsid w:val="00513966"/>
    <w:rsid w:val="00514529"/>
    <w:rsid w:val="0051596E"/>
    <w:rsid w:val="00516017"/>
    <w:rsid w:val="00516142"/>
    <w:rsid w:val="00516647"/>
    <w:rsid w:val="00516893"/>
    <w:rsid w:val="00516F59"/>
    <w:rsid w:val="00521A74"/>
    <w:rsid w:val="00522337"/>
    <w:rsid w:val="00522795"/>
    <w:rsid w:val="00524169"/>
    <w:rsid w:val="00524821"/>
    <w:rsid w:val="00525C0D"/>
    <w:rsid w:val="00530052"/>
    <w:rsid w:val="00530735"/>
    <w:rsid w:val="00530EE8"/>
    <w:rsid w:val="00531892"/>
    <w:rsid w:val="00533501"/>
    <w:rsid w:val="00533BC4"/>
    <w:rsid w:val="00534537"/>
    <w:rsid w:val="00534A78"/>
    <w:rsid w:val="00536057"/>
    <w:rsid w:val="00536BAA"/>
    <w:rsid w:val="005370E4"/>
    <w:rsid w:val="00540A51"/>
    <w:rsid w:val="00540D49"/>
    <w:rsid w:val="005413D8"/>
    <w:rsid w:val="00542003"/>
    <w:rsid w:val="00543DA7"/>
    <w:rsid w:val="00544FEB"/>
    <w:rsid w:val="0054650B"/>
    <w:rsid w:val="00550D93"/>
    <w:rsid w:val="005513B7"/>
    <w:rsid w:val="00552D07"/>
    <w:rsid w:val="005538AB"/>
    <w:rsid w:val="00553ED8"/>
    <w:rsid w:val="00554736"/>
    <w:rsid w:val="005552B7"/>
    <w:rsid w:val="00556E9A"/>
    <w:rsid w:val="005616D3"/>
    <w:rsid w:val="005626A2"/>
    <w:rsid w:val="005629ED"/>
    <w:rsid w:val="00565915"/>
    <w:rsid w:val="00566544"/>
    <w:rsid w:val="005670D9"/>
    <w:rsid w:val="00567E71"/>
    <w:rsid w:val="00567FF4"/>
    <w:rsid w:val="00570836"/>
    <w:rsid w:val="00570E82"/>
    <w:rsid w:val="0057184A"/>
    <w:rsid w:val="005718EB"/>
    <w:rsid w:val="0057325D"/>
    <w:rsid w:val="005735CE"/>
    <w:rsid w:val="005743AF"/>
    <w:rsid w:val="005743E3"/>
    <w:rsid w:val="00574616"/>
    <w:rsid w:val="00582341"/>
    <w:rsid w:val="00583CEA"/>
    <w:rsid w:val="0058420A"/>
    <w:rsid w:val="0058687C"/>
    <w:rsid w:val="0059122B"/>
    <w:rsid w:val="00592BA4"/>
    <w:rsid w:val="00594BE2"/>
    <w:rsid w:val="0059639B"/>
    <w:rsid w:val="00596630"/>
    <w:rsid w:val="005A1799"/>
    <w:rsid w:val="005A179F"/>
    <w:rsid w:val="005A2F14"/>
    <w:rsid w:val="005A3035"/>
    <w:rsid w:val="005A4EE4"/>
    <w:rsid w:val="005A708C"/>
    <w:rsid w:val="005A7BB7"/>
    <w:rsid w:val="005B122A"/>
    <w:rsid w:val="005B1FB7"/>
    <w:rsid w:val="005B2EA3"/>
    <w:rsid w:val="005B3C03"/>
    <w:rsid w:val="005B7347"/>
    <w:rsid w:val="005C0A8C"/>
    <w:rsid w:val="005C55C2"/>
    <w:rsid w:val="005C76B2"/>
    <w:rsid w:val="005D008B"/>
    <w:rsid w:val="005D22B6"/>
    <w:rsid w:val="005D3592"/>
    <w:rsid w:val="005D5F56"/>
    <w:rsid w:val="005D5FF0"/>
    <w:rsid w:val="005D6165"/>
    <w:rsid w:val="005E0C7B"/>
    <w:rsid w:val="005E2478"/>
    <w:rsid w:val="005E27BC"/>
    <w:rsid w:val="005E46D4"/>
    <w:rsid w:val="005E4BE5"/>
    <w:rsid w:val="005E5658"/>
    <w:rsid w:val="005E626F"/>
    <w:rsid w:val="005E661E"/>
    <w:rsid w:val="005E7771"/>
    <w:rsid w:val="005F0672"/>
    <w:rsid w:val="005F16EA"/>
    <w:rsid w:val="005F4471"/>
    <w:rsid w:val="005F6D51"/>
    <w:rsid w:val="005F7E69"/>
    <w:rsid w:val="00601F48"/>
    <w:rsid w:val="006025F0"/>
    <w:rsid w:val="00602B52"/>
    <w:rsid w:val="00602D43"/>
    <w:rsid w:val="00602FE0"/>
    <w:rsid w:val="00603F20"/>
    <w:rsid w:val="006049D3"/>
    <w:rsid w:val="00605787"/>
    <w:rsid w:val="00610233"/>
    <w:rsid w:val="00610555"/>
    <w:rsid w:val="006127CC"/>
    <w:rsid w:val="00613AE4"/>
    <w:rsid w:val="00613C16"/>
    <w:rsid w:val="00614D7D"/>
    <w:rsid w:val="00614DF8"/>
    <w:rsid w:val="00615320"/>
    <w:rsid w:val="006218F0"/>
    <w:rsid w:val="006228E6"/>
    <w:rsid w:val="00624C49"/>
    <w:rsid w:val="006250FB"/>
    <w:rsid w:val="006253E3"/>
    <w:rsid w:val="006253FA"/>
    <w:rsid w:val="006263CD"/>
    <w:rsid w:val="0062662F"/>
    <w:rsid w:val="00631602"/>
    <w:rsid w:val="00631814"/>
    <w:rsid w:val="006338F1"/>
    <w:rsid w:val="00633BEC"/>
    <w:rsid w:val="00633C6D"/>
    <w:rsid w:val="00634F2D"/>
    <w:rsid w:val="006356D2"/>
    <w:rsid w:val="0063760E"/>
    <w:rsid w:val="00637ED7"/>
    <w:rsid w:val="00643B2A"/>
    <w:rsid w:val="00643B8E"/>
    <w:rsid w:val="00644FE8"/>
    <w:rsid w:val="006451D2"/>
    <w:rsid w:val="0064535D"/>
    <w:rsid w:val="006456CD"/>
    <w:rsid w:val="00646884"/>
    <w:rsid w:val="00646E12"/>
    <w:rsid w:val="006504DF"/>
    <w:rsid w:val="006505A7"/>
    <w:rsid w:val="00651E2E"/>
    <w:rsid w:val="006521F6"/>
    <w:rsid w:val="006531FE"/>
    <w:rsid w:val="00653AF4"/>
    <w:rsid w:val="00654D25"/>
    <w:rsid w:val="00654F2F"/>
    <w:rsid w:val="006571DB"/>
    <w:rsid w:val="00657AD1"/>
    <w:rsid w:val="0066141C"/>
    <w:rsid w:val="006614B8"/>
    <w:rsid w:val="006632BE"/>
    <w:rsid w:val="00664B01"/>
    <w:rsid w:val="006651FC"/>
    <w:rsid w:val="00667C30"/>
    <w:rsid w:val="006731E3"/>
    <w:rsid w:val="006749D7"/>
    <w:rsid w:val="006750D0"/>
    <w:rsid w:val="00675614"/>
    <w:rsid w:val="006764CD"/>
    <w:rsid w:val="006778C1"/>
    <w:rsid w:val="00677E52"/>
    <w:rsid w:val="00681E74"/>
    <w:rsid w:val="00682AEB"/>
    <w:rsid w:val="0068307C"/>
    <w:rsid w:val="006836E2"/>
    <w:rsid w:val="006856E8"/>
    <w:rsid w:val="00693062"/>
    <w:rsid w:val="00693929"/>
    <w:rsid w:val="00695CA8"/>
    <w:rsid w:val="00697213"/>
    <w:rsid w:val="00697D76"/>
    <w:rsid w:val="006A1E3E"/>
    <w:rsid w:val="006A351B"/>
    <w:rsid w:val="006A44B7"/>
    <w:rsid w:val="006A4973"/>
    <w:rsid w:val="006A7BA6"/>
    <w:rsid w:val="006A7FF3"/>
    <w:rsid w:val="006B04FE"/>
    <w:rsid w:val="006B0F37"/>
    <w:rsid w:val="006B32B9"/>
    <w:rsid w:val="006B390B"/>
    <w:rsid w:val="006B3B35"/>
    <w:rsid w:val="006B4531"/>
    <w:rsid w:val="006B59AF"/>
    <w:rsid w:val="006B67E2"/>
    <w:rsid w:val="006B6B22"/>
    <w:rsid w:val="006B6C2B"/>
    <w:rsid w:val="006C14D5"/>
    <w:rsid w:val="006C480E"/>
    <w:rsid w:val="006C5BB9"/>
    <w:rsid w:val="006C66D1"/>
    <w:rsid w:val="006C7EC2"/>
    <w:rsid w:val="006D0740"/>
    <w:rsid w:val="006D0DD7"/>
    <w:rsid w:val="006D1006"/>
    <w:rsid w:val="006D1402"/>
    <w:rsid w:val="006D1E73"/>
    <w:rsid w:val="006D200B"/>
    <w:rsid w:val="006D4837"/>
    <w:rsid w:val="006D6E84"/>
    <w:rsid w:val="006E05AF"/>
    <w:rsid w:val="006E0C88"/>
    <w:rsid w:val="006E1646"/>
    <w:rsid w:val="006E16D9"/>
    <w:rsid w:val="006E3A29"/>
    <w:rsid w:val="006E4B79"/>
    <w:rsid w:val="006E5079"/>
    <w:rsid w:val="006E5E5B"/>
    <w:rsid w:val="006E6626"/>
    <w:rsid w:val="006E6F1B"/>
    <w:rsid w:val="006F01BA"/>
    <w:rsid w:val="006F115F"/>
    <w:rsid w:val="006F2F6A"/>
    <w:rsid w:val="006F74BB"/>
    <w:rsid w:val="007026C5"/>
    <w:rsid w:val="00703ED1"/>
    <w:rsid w:val="007042EC"/>
    <w:rsid w:val="007048F9"/>
    <w:rsid w:val="0070495F"/>
    <w:rsid w:val="00705FAF"/>
    <w:rsid w:val="007069EE"/>
    <w:rsid w:val="00710DD3"/>
    <w:rsid w:val="0071128F"/>
    <w:rsid w:val="0071163E"/>
    <w:rsid w:val="00713895"/>
    <w:rsid w:val="007141EB"/>
    <w:rsid w:val="00714DEB"/>
    <w:rsid w:val="00720F68"/>
    <w:rsid w:val="007210D1"/>
    <w:rsid w:val="00721C7A"/>
    <w:rsid w:val="007238B8"/>
    <w:rsid w:val="0072460E"/>
    <w:rsid w:val="0072506F"/>
    <w:rsid w:val="007279EF"/>
    <w:rsid w:val="00727D0D"/>
    <w:rsid w:val="00727F87"/>
    <w:rsid w:val="007304DD"/>
    <w:rsid w:val="007339E1"/>
    <w:rsid w:val="0073538D"/>
    <w:rsid w:val="00737C4B"/>
    <w:rsid w:val="00741407"/>
    <w:rsid w:val="0074192E"/>
    <w:rsid w:val="00745461"/>
    <w:rsid w:val="00745C4F"/>
    <w:rsid w:val="0074603A"/>
    <w:rsid w:val="007470CB"/>
    <w:rsid w:val="0075069C"/>
    <w:rsid w:val="00750CF5"/>
    <w:rsid w:val="00750CFE"/>
    <w:rsid w:val="00751E0E"/>
    <w:rsid w:val="00756CF0"/>
    <w:rsid w:val="00756DAD"/>
    <w:rsid w:val="00761486"/>
    <w:rsid w:val="00761522"/>
    <w:rsid w:val="00761639"/>
    <w:rsid w:val="0076179A"/>
    <w:rsid w:val="007624B1"/>
    <w:rsid w:val="00763CE3"/>
    <w:rsid w:val="00763D40"/>
    <w:rsid w:val="00766AC8"/>
    <w:rsid w:val="00766BD8"/>
    <w:rsid w:val="00766E47"/>
    <w:rsid w:val="00770AA8"/>
    <w:rsid w:val="007731BE"/>
    <w:rsid w:val="00774D4F"/>
    <w:rsid w:val="00776CFE"/>
    <w:rsid w:val="00777386"/>
    <w:rsid w:val="00780583"/>
    <w:rsid w:val="00782661"/>
    <w:rsid w:val="00782D15"/>
    <w:rsid w:val="00783172"/>
    <w:rsid w:val="00783BF7"/>
    <w:rsid w:val="00784291"/>
    <w:rsid w:val="00786A01"/>
    <w:rsid w:val="00787723"/>
    <w:rsid w:val="00787960"/>
    <w:rsid w:val="007907AF"/>
    <w:rsid w:val="00790FD4"/>
    <w:rsid w:val="00791CED"/>
    <w:rsid w:val="00793D4E"/>
    <w:rsid w:val="00794D79"/>
    <w:rsid w:val="00795D8D"/>
    <w:rsid w:val="00796197"/>
    <w:rsid w:val="007A163A"/>
    <w:rsid w:val="007A38D4"/>
    <w:rsid w:val="007B2AA4"/>
    <w:rsid w:val="007B4746"/>
    <w:rsid w:val="007B4F23"/>
    <w:rsid w:val="007B54FD"/>
    <w:rsid w:val="007B7EE5"/>
    <w:rsid w:val="007C1E92"/>
    <w:rsid w:val="007C209D"/>
    <w:rsid w:val="007C2D17"/>
    <w:rsid w:val="007C3257"/>
    <w:rsid w:val="007C3363"/>
    <w:rsid w:val="007C5F8B"/>
    <w:rsid w:val="007C6664"/>
    <w:rsid w:val="007C6C91"/>
    <w:rsid w:val="007D170B"/>
    <w:rsid w:val="007D1934"/>
    <w:rsid w:val="007D30C5"/>
    <w:rsid w:val="007D4961"/>
    <w:rsid w:val="007D4AC4"/>
    <w:rsid w:val="007D6E70"/>
    <w:rsid w:val="007D7B36"/>
    <w:rsid w:val="007D7CA7"/>
    <w:rsid w:val="007E04EC"/>
    <w:rsid w:val="007E0732"/>
    <w:rsid w:val="007E1C8A"/>
    <w:rsid w:val="007E2DFC"/>
    <w:rsid w:val="007E5840"/>
    <w:rsid w:val="007E5938"/>
    <w:rsid w:val="007E63DF"/>
    <w:rsid w:val="007E7937"/>
    <w:rsid w:val="007F2C49"/>
    <w:rsid w:val="007F2CE4"/>
    <w:rsid w:val="007F4E20"/>
    <w:rsid w:val="007F5423"/>
    <w:rsid w:val="007F6ACD"/>
    <w:rsid w:val="007F73C7"/>
    <w:rsid w:val="00800984"/>
    <w:rsid w:val="008014D2"/>
    <w:rsid w:val="008039B7"/>
    <w:rsid w:val="00804405"/>
    <w:rsid w:val="00806DA1"/>
    <w:rsid w:val="00807AB5"/>
    <w:rsid w:val="008101C8"/>
    <w:rsid w:val="00811484"/>
    <w:rsid w:val="0081166E"/>
    <w:rsid w:val="00812A99"/>
    <w:rsid w:val="00813452"/>
    <w:rsid w:val="00815B96"/>
    <w:rsid w:val="008166C2"/>
    <w:rsid w:val="00817892"/>
    <w:rsid w:val="00817899"/>
    <w:rsid w:val="00820063"/>
    <w:rsid w:val="008204BC"/>
    <w:rsid w:val="00822099"/>
    <w:rsid w:val="008239A6"/>
    <w:rsid w:val="00825845"/>
    <w:rsid w:val="00825D96"/>
    <w:rsid w:val="0083256E"/>
    <w:rsid w:val="0083566D"/>
    <w:rsid w:val="00836F4E"/>
    <w:rsid w:val="008370B4"/>
    <w:rsid w:val="0083794D"/>
    <w:rsid w:val="008421D5"/>
    <w:rsid w:val="00843965"/>
    <w:rsid w:val="00850A5B"/>
    <w:rsid w:val="00851105"/>
    <w:rsid w:val="00851F04"/>
    <w:rsid w:val="00852208"/>
    <w:rsid w:val="00852488"/>
    <w:rsid w:val="008567AC"/>
    <w:rsid w:val="00862248"/>
    <w:rsid w:val="0086324F"/>
    <w:rsid w:val="00864DBF"/>
    <w:rsid w:val="00865713"/>
    <w:rsid w:val="008663C1"/>
    <w:rsid w:val="00867B4B"/>
    <w:rsid w:val="00870C6F"/>
    <w:rsid w:val="008715B5"/>
    <w:rsid w:val="0087339D"/>
    <w:rsid w:val="0087438E"/>
    <w:rsid w:val="00875A9B"/>
    <w:rsid w:val="00876B6E"/>
    <w:rsid w:val="008804D4"/>
    <w:rsid w:val="00881C7E"/>
    <w:rsid w:val="00882A61"/>
    <w:rsid w:val="00892191"/>
    <w:rsid w:val="00892EB8"/>
    <w:rsid w:val="00894F2A"/>
    <w:rsid w:val="008967A2"/>
    <w:rsid w:val="00897B47"/>
    <w:rsid w:val="008A0533"/>
    <w:rsid w:val="008A2781"/>
    <w:rsid w:val="008A4CC3"/>
    <w:rsid w:val="008A51B4"/>
    <w:rsid w:val="008A6F9C"/>
    <w:rsid w:val="008A7FFE"/>
    <w:rsid w:val="008B05FC"/>
    <w:rsid w:val="008B0C33"/>
    <w:rsid w:val="008B2137"/>
    <w:rsid w:val="008B2702"/>
    <w:rsid w:val="008B4058"/>
    <w:rsid w:val="008B4061"/>
    <w:rsid w:val="008B5A16"/>
    <w:rsid w:val="008B687F"/>
    <w:rsid w:val="008B7D16"/>
    <w:rsid w:val="008B7DBF"/>
    <w:rsid w:val="008C0122"/>
    <w:rsid w:val="008C0597"/>
    <w:rsid w:val="008C18C0"/>
    <w:rsid w:val="008C20D1"/>
    <w:rsid w:val="008C2D37"/>
    <w:rsid w:val="008C5503"/>
    <w:rsid w:val="008D0682"/>
    <w:rsid w:val="008D0D0C"/>
    <w:rsid w:val="008D3A74"/>
    <w:rsid w:val="008D4D9D"/>
    <w:rsid w:val="008D56A8"/>
    <w:rsid w:val="008D5BD1"/>
    <w:rsid w:val="008D5E09"/>
    <w:rsid w:val="008D64DD"/>
    <w:rsid w:val="008E0677"/>
    <w:rsid w:val="008E2196"/>
    <w:rsid w:val="008E5939"/>
    <w:rsid w:val="008E5952"/>
    <w:rsid w:val="008E7ED3"/>
    <w:rsid w:val="008F364F"/>
    <w:rsid w:val="008F3886"/>
    <w:rsid w:val="008F506E"/>
    <w:rsid w:val="008F5D2C"/>
    <w:rsid w:val="0090072F"/>
    <w:rsid w:val="00900BA5"/>
    <w:rsid w:val="009020A4"/>
    <w:rsid w:val="00902CB7"/>
    <w:rsid w:val="00902FF4"/>
    <w:rsid w:val="00903B03"/>
    <w:rsid w:val="00904208"/>
    <w:rsid w:val="00904D22"/>
    <w:rsid w:val="00904FDA"/>
    <w:rsid w:val="00905CE9"/>
    <w:rsid w:val="00906554"/>
    <w:rsid w:val="00906A22"/>
    <w:rsid w:val="00911EC6"/>
    <w:rsid w:val="009124A3"/>
    <w:rsid w:val="00914776"/>
    <w:rsid w:val="009152D4"/>
    <w:rsid w:val="00917C06"/>
    <w:rsid w:val="00921A20"/>
    <w:rsid w:val="0092287C"/>
    <w:rsid w:val="00922FA9"/>
    <w:rsid w:val="00923556"/>
    <w:rsid w:val="0092417E"/>
    <w:rsid w:val="00924307"/>
    <w:rsid w:val="00925FEC"/>
    <w:rsid w:val="00927C5B"/>
    <w:rsid w:val="00930C4A"/>
    <w:rsid w:val="00931B5A"/>
    <w:rsid w:val="00931F14"/>
    <w:rsid w:val="00932CB4"/>
    <w:rsid w:val="00933218"/>
    <w:rsid w:val="0093379B"/>
    <w:rsid w:val="00933BCB"/>
    <w:rsid w:val="0093620F"/>
    <w:rsid w:val="00940373"/>
    <w:rsid w:val="00940AA8"/>
    <w:rsid w:val="00941EE2"/>
    <w:rsid w:val="00943F49"/>
    <w:rsid w:val="00944DAB"/>
    <w:rsid w:val="00946BEA"/>
    <w:rsid w:val="009479DC"/>
    <w:rsid w:val="00950B3E"/>
    <w:rsid w:val="00950F99"/>
    <w:rsid w:val="00951466"/>
    <w:rsid w:val="009522D7"/>
    <w:rsid w:val="009549E5"/>
    <w:rsid w:val="0095566B"/>
    <w:rsid w:val="00957EDC"/>
    <w:rsid w:val="009621F1"/>
    <w:rsid w:val="00963B62"/>
    <w:rsid w:val="009650E0"/>
    <w:rsid w:val="00965260"/>
    <w:rsid w:val="00966CD3"/>
    <w:rsid w:val="00967644"/>
    <w:rsid w:val="00967674"/>
    <w:rsid w:val="0097023A"/>
    <w:rsid w:val="00970E95"/>
    <w:rsid w:val="0097161D"/>
    <w:rsid w:val="00971BFC"/>
    <w:rsid w:val="00972FFA"/>
    <w:rsid w:val="0098022D"/>
    <w:rsid w:val="0098064D"/>
    <w:rsid w:val="00980710"/>
    <w:rsid w:val="00980775"/>
    <w:rsid w:val="00981C16"/>
    <w:rsid w:val="00983F56"/>
    <w:rsid w:val="00984028"/>
    <w:rsid w:val="009840CB"/>
    <w:rsid w:val="00984AB6"/>
    <w:rsid w:val="00985439"/>
    <w:rsid w:val="00986399"/>
    <w:rsid w:val="00986BE2"/>
    <w:rsid w:val="00987D6D"/>
    <w:rsid w:val="00987D7D"/>
    <w:rsid w:val="009915C5"/>
    <w:rsid w:val="00991918"/>
    <w:rsid w:val="00991BC1"/>
    <w:rsid w:val="009920DF"/>
    <w:rsid w:val="00993B55"/>
    <w:rsid w:val="00995627"/>
    <w:rsid w:val="009977A6"/>
    <w:rsid w:val="00997F3E"/>
    <w:rsid w:val="009A0599"/>
    <w:rsid w:val="009A1E28"/>
    <w:rsid w:val="009A1FDE"/>
    <w:rsid w:val="009A2210"/>
    <w:rsid w:val="009A2D56"/>
    <w:rsid w:val="009A439E"/>
    <w:rsid w:val="009A4C0C"/>
    <w:rsid w:val="009A52BE"/>
    <w:rsid w:val="009A595F"/>
    <w:rsid w:val="009A5E20"/>
    <w:rsid w:val="009A7307"/>
    <w:rsid w:val="009B206D"/>
    <w:rsid w:val="009B27AC"/>
    <w:rsid w:val="009B2D65"/>
    <w:rsid w:val="009B2F8C"/>
    <w:rsid w:val="009B346E"/>
    <w:rsid w:val="009B404A"/>
    <w:rsid w:val="009B56EE"/>
    <w:rsid w:val="009B58B2"/>
    <w:rsid w:val="009C002E"/>
    <w:rsid w:val="009C06A2"/>
    <w:rsid w:val="009C392A"/>
    <w:rsid w:val="009C7563"/>
    <w:rsid w:val="009C77C1"/>
    <w:rsid w:val="009C7E9D"/>
    <w:rsid w:val="009D0372"/>
    <w:rsid w:val="009D0B97"/>
    <w:rsid w:val="009D2908"/>
    <w:rsid w:val="009D69FF"/>
    <w:rsid w:val="009D6BFE"/>
    <w:rsid w:val="009D7690"/>
    <w:rsid w:val="009E0923"/>
    <w:rsid w:val="009E0A88"/>
    <w:rsid w:val="009E202F"/>
    <w:rsid w:val="009E2F0F"/>
    <w:rsid w:val="009E36C4"/>
    <w:rsid w:val="009E3EBD"/>
    <w:rsid w:val="009E413A"/>
    <w:rsid w:val="009E44E8"/>
    <w:rsid w:val="009E4833"/>
    <w:rsid w:val="009E4AD9"/>
    <w:rsid w:val="009E543A"/>
    <w:rsid w:val="009E5BC9"/>
    <w:rsid w:val="009E61C2"/>
    <w:rsid w:val="009E6459"/>
    <w:rsid w:val="009E7818"/>
    <w:rsid w:val="009F38F3"/>
    <w:rsid w:val="009F459F"/>
    <w:rsid w:val="009F701B"/>
    <w:rsid w:val="00A01918"/>
    <w:rsid w:val="00A03A49"/>
    <w:rsid w:val="00A04A60"/>
    <w:rsid w:val="00A04FA0"/>
    <w:rsid w:val="00A05AEE"/>
    <w:rsid w:val="00A1231E"/>
    <w:rsid w:val="00A1339D"/>
    <w:rsid w:val="00A15C57"/>
    <w:rsid w:val="00A20F3A"/>
    <w:rsid w:val="00A22B8D"/>
    <w:rsid w:val="00A23653"/>
    <w:rsid w:val="00A24754"/>
    <w:rsid w:val="00A24CD3"/>
    <w:rsid w:val="00A25A93"/>
    <w:rsid w:val="00A3085A"/>
    <w:rsid w:val="00A31B33"/>
    <w:rsid w:val="00A32555"/>
    <w:rsid w:val="00A3327B"/>
    <w:rsid w:val="00A35925"/>
    <w:rsid w:val="00A35B1A"/>
    <w:rsid w:val="00A40021"/>
    <w:rsid w:val="00A4187B"/>
    <w:rsid w:val="00A41970"/>
    <w:rsid w:val="00A43797"/>
    <w:rsid w:val="00A43C34"/>
    <w:rsid w:val="00A507AE"/>
    <w:rsid w:val="00A50EFF"/>
    <w:rsid w:val="00A520CD"/>
    <w:rsid w:val="00A523E3"/>
    <w:rsid w:val="00A53D2E"/>
    <w:rsid w:val="00A56281"/>
    <w:rsid w:val="00A601FC"/>
    <w:rsid w:val="00A6202F"/>
    <w:rsid w:val="00A63A95"/>
    <w:rsid w:val="00A65365"/>
    <w:rsid w:val="00A66C9D"/>
    <w:rsid w:val="00A7144F"/>
    <w:rsid w:val="00A72F8D"/>
    <w:rsid w:val="00A73033"/>
    <w:rsid w:val="00A7323A"/>
    <w:rsid w:val="00A73804"/>
    <w:rsid w:val="00A73C6F"/>
    <w:rsid w:val="00A75F73"/>
    <w:rsid w:val="00A77450"/>
    <w:rsid w:val="00A77877"/>
    <w:rsid w:val="00A8016D"/>
    <w:rsid w:val="00A80560"/>
    <w:rsid w:val="00A80ACF"/>
    <w:rsid w:val="00A837B8"/>
    <w:rsid w:val="00A83EC5"/>
    <w:rsid w:val="00A85D52"/>
    <w:rsid w:val="00A86053"/>
    <w:rsid w:val="00A861FE"/>
    <w:rsid w:val="00A86E3F"/>
    <w:rsid w:val="00A90D85"/>
    <w:rsid w:val="00A91AF5"/>
    <w:rsid w:val="00A928C9"/>
    <w:rsid w:val="00A92F9E"/>
    <w:rsid w:val="00A930EC"/>
    <w:rsid w:val="00A94BB8"/>
    <w:rsid w:val="00A959D5"/>
    <w:rsid w:val="00A95E28"/>
    <w:rsid w:val="00A961BF"/>
    <w:rsid w:val="00A97D8D"/>
    <w:rsid w:val="00AA3488"/>
    <w:rsid w:val="00AA4EDC"/>
    <w:rsid w:val="00AA5086"/>
    <w:rsid w:val="00AA61D7"/>
    <w:rsid w:val="00AA7A1C"/>
    <w:rsid w:val="00AB0E5F"/>
    <w:rsid w:val="00AB2499"/>
    <w:rsid w:val="00AB25E0"/>
    <w:rsid w:val="00AB620D"/>
    <w:rsid w:val="00AB70F3"/>
    <w:rsid w:val="00AB766A"/>
    <w:rsid w:val="00AB785A"/>
    <w:rsid w:val="00AC15E3"/>
    <w:rsid w:val="00AC205D"/>
    <w:rsid w:val="00AC3BE3"/>
    <w:rsid w:val="00AC44AE"/>
    <w:rsid w:val="00AC4A52"/>
    <w:rsid w:val="00AD0BF8"/>
    <w:rsid w:val="00AD0CC4"/>
    <w:rsid w:val="00AD0F78"/>
    <w:rsid w:val="00AD187B"/>
    <w:rsid w:val="00AD1E80"/>
    <w:rsid w:val="00AD2D9E"/>
    <w:rsid w:val="00AD328E"/>
    <w:rsid w:val="00AD3C30"/>
    <w:rsid w:val="00AD6E28"/>
    <w:rsid w:val="00AD7B43"/>
    <w:rsid w:val="00AE0045"/>
    <w:rsid w:val="00AE025C"/>
    <w:rsid w:val="00AE0EF3"/>
    <w:rsid w:val="00AE1036"/>
    <w:rsid w:val="00AE4E0C"/>
    <w:rsid w:val="00AE5728"/>
    <w:rsid w:val="00AE5E84"/>
    <w:rsid w:val="00AE6E77"/>
    <w:rsid w:val="00AE72B7"/>
    <w:rsid w:val="00AE7563"/>
    <w:rsid w:val="00AE7D00"/>
    <w:rsid w:val="00AF0471"/>
    <w:rsid w:val="00AF13DB"/>
    <w:rsid w:val="00AF2DF6"/>
    <w:rsid w:val="00AF2F4B"/>
    <w:rsid w:val="00AF4E18"/>
    <w:rsid w:val="00AF5FFC"/>
    <w:rsid w:val="00AF6714"/>
    <w:rsid w:val="00B01A20"/>
    <w:rsid w:val="00B031BD"/>
    <w:rsid w:val="00B03487"/>
    <w:rsid w:val="00B050AB"/>
    <w:rsid w:val="00B05650"/>
    <w:rsid w:val="00B05FE8"/>
    <w:rsid w:val="00B06F17"/>
    <w:rsid w:val="00B06F97"/>
    <w:rsid w:val="00B10347"/>
    <w:rsid w:val="00B115A2"/>
    <w:rsid w:val="00B12CCC"/>
    <w:rsid w:val="00B13F28"/>
    <w:rsid w:val="00B14CBF"/>
    <w:rsid w:val="00B1528E"/>
    <w:rsid w:val="00B1590A"/>
    <w:rsid w:val="00B15E45"/>
    <w:rsid w:val="00B2035E"/>
    <w:rsid w:val="00B20628"/>
    <w:rsid w:val="00B20722"/>
    <w:rsid w:val="00B20752"/>
    <w:rsid w:val="00B224F3"/>
    <w:rsid w:val="00B22759"/>
    <w:rsid w:val="00B22FB6"/>
    <w:rsid w:val="00B236CB"/>
    <w:rsid w:val="00B23B2F"/>
    <w:rsid w:val="00B24C18"/>
    <w:rsid w:val="00B2653C"/>
    <w:rsid w:val="00B306D6"/>
    <w:rsid w:val="00B33812"/>
    <w:rsid w:val="00B3464C"/>
    <w:rsid w:val="00B359C5"/>
    <w:rsid w:val="00B36D30"/>
    <w:rsid w:val="00B409CF"/>
    <w:rsid w:val="00B40EFC"/>
    <w:rsid w:val="00B41268"/>
    <w:rsid w:val="00B42F00"/>
    <w:rsid w:val="00B432D8"/>
    <w:rsid w:val="00B454DD"/>
    <w:rsid w:val="00B46D8F"/>
    <w:rsid w:val="00B474EA"/>
    <w:rsid w:val="00B47A53"/>
    <w:rsid w:val="00B51625"/>
    <w:rsid w:val="00B517A6"/>
    <w:rsid w:val="00B5249D"/>
    <w:rsid w:val="00B52BE6"/>
    <w:rsid w:val="00B55BBD"/>
    <w:rsid w:val="00B56A16"/>
    <w:rsid w:val="00B600BA"/>
    <w:rsid w:val="00B6014A"/>
    <w:rsid w:val="00B601F5"/>
    <w:rsid w:val="00B6064E"/>
    <w:rsid w:val="00B61A69"/>
    <w:rsid w:val="00B6378A"/>
    <w:rsid w:val="00B63B31"/>
    <w:rsid w:val="00B65026"/>
    <w:rsid w:val="00B66891"/>
    <w:rsid w:val="00B67975"/>
    <w:rsid w:val="00B70458"/>
    <w:rsid w:val="00B7096A"/>
    <w:rsid w:val="00B71AE0"/>
    <w:rsid w:val="00B7205D"/>
    <w:rsid w:val="00B720F9"/>
    <w:rsid w:val="00B72A70"/>
    <w:rsid w:val="00B72C7B"/>
    <w:rsid w:val="00B7378C"/>
    <w:rsid w:val="00B7653F"/>
    <w:rsid w:val="00B7655C"/>
    <w:rsid w:val="00B7672C"/>
    <w:rsid w:val="00B80172"/>
    <w:rsid w:val="00B82831"/>
    <w:rsid w:val="00B82B2A"/>
    <w:rsid w:val="00B8308F"/>
    <w:rsid w:val="00B8309D"/>
    <w:rsid w:val="00B85A1C"/>
    <w:rsid w:val="00B86E2A"/>
    <w:rsid w:val="00B87CB9"/>
    <w:rsid w:val="00B90361"/>
    <w:rsid w:val="00B930C9"/>
    <w:rsid w:val="00B95164"/>
    <w:rsid w:val="00B96E4E"/>
    <w:rsid w:val="00BA2A85"/>
    <w:rsid w:val="00BA54EE"/>
    <w:rsid w:val="00BB08E4"/>
    <w:rsid w:val="00BB1BFF"/>
    <w:rsid w:val="00BB2461"/>
    <w:rsid w:val="00BB617F"/>
    <w:rsid w:val="00BB7B7F"/>
    <w:rsid w:val="00BC1A54"/>
    <w:rsid w:val="00BC2CE9"/>
    <w:rsid w:val="00BC36B3"/>
    <w:rsid w:val="00BC6607"/>
    <w:rsid w:val="00BD035F"/>
    <w:rsid w:val="00BD0702"/>
    <w:rsid w:val="00BD24BF"/>
    <w:rsid w:val="00BD67FA"/>
    <w:rsid w:val="00BD7DE4"/>
    <w:rsid w:val="00BE0AFE"/>
    <w:rsid w:val="00BE110B"/>
    <w:rsid w:val="00BE1A98"/>
    <w:rsid w:val="00BE1E5B"/>
    <w:rsid w:val="00BE346F"/>
    <w:rsid w:val="00BE4B63"/>
    <w:rsid w:val="00BE56D3"/>
    <w:rsid w:val="00BE6BBA"/>
    <w:rsid w:val="00BE6E19"/>
    <w:rsid w:val="00BF061C"/>
    <w:rsid w:val="00BF26C1"/>
    <w:rsid w:val="00BF2E3D"/>
    <w:rsid w:val="00BF423F"/>
    <w:rsid w:val="00BF521D"/>
    <w:rsid w:val="00BF5A8B"/>
    <w:rsid w:val="00C0136B"/>
    <w:rsid w:val="00C02806"/>
    <w:rsid w:val="00C02A2A"/>
    <w:rsid w:val="00C075E2"/>
    <w:rsid w:val="00C1009F"/>
    <w:rsid w:val="00C101BF"/>
    <w:rsid w:val="00C11F3B"/>
    <w:rsid w:val="00C1451B"/>
    <w:rsid w:val="00C149B6"/>
    <w:rsid w:val="00C154C0"/>
    <w:rsid w:val="00C176D8"/>
    <w:rsid w:val="00C20810"/>
    <w:rsid w:val="00C212D4"/>
    <w:rsid w:val="00C21E8F"/>
    <w:rsid w:val="00C21EEB"/>
    <w:rsid w:val="00C22237"/>
    <w:rsid w:val="00C22CDB"/>
    <w:rsid w:val="00C2346E"/>
    <w:rsid w:val="00C243D2"/>
    <w:rsid w:val="00C24C6B"/>
    <w:rsid w:val="00C25AD7"/>
    <w:rsid w:val="00C25EA7"/>
    <w:rsid w:val="00C30CB1"/>
    <w:rsid w:val="00C316EB"/>
    <w:rsid w:val="00C323FE"/>
    <w:rsid w:val="00C32759"/>
    <w:rsid w:val="00C344E7"/>
    <w:rsid w:val="00C34BB5"/>
    <w:rsid w:val="00C34CDD"/>
    <w:rsid w:val="00C35089"/>
    <w:rsid w:val="00C355D1"/>
    <w:rsid w:val="00C35A09"/>
    <w:rsid w:val="00C36C49"/>
    <w:rsid w:val="00C376CC"/>
    <w:rsid w:val="00C37868"/>
    <w:rsid w:val="00C43F41"/>
    <w:rsid w:val="00C4672E"/>
    <w:rsid w:val="00C513A0"/>
    <w:rsid w:val="00C51B56"/>
    <w:rsid w:val="00C51DC9"/>
    <w:rsid w:val="00C5246F"/>
    <w:rsid w:val="00C52843"/>
    <w:rsid w:val="00C52A1B"/>
    <w:rsid w:val="00C52D5D"/>
    <w:rsid w:val="00C564FA"/>
    <w:rsid w:val="00C56FC2"/>
    <w:rsid w:val="00C60303"/>
    <w:rsid w:val="00C605C9"/>
    <w:rsid w:val="00C61535"/>
    <w:rsid w:val="00C61BD5"/>
    <w:rsid w:val="00C625C0"/>
    <w:rsid w:val="00C63CAA"/>
    <w:rsid w:val="00C70468"/>
    <w:rsid w:val="00C71EB3"/>
    <w:rsid w:val="00C73E61"/>
    <w:rsid w:val="00C7642B"/>
    <w:rsid w:val="00C812F7"/>
    <w:rsid w:val="00C8182C"/>
    <w:rsid w:val="00C82ABC"/>
    <w:rsid w:val="00C82CD7"/>
    <w:rsid w:val="00C8345F"/>
    <w:rsid w:val="00C83CD0"/>
    <w:rsid w:val="00C83EE8"/>
    <w:rsid w:val="00C843CB"/>
    <w:rsid w:val="00C84F8B"/>
    <w:rsid w:val="00C85263"/>
    <w:rsid w:val="00C8633D"/>
    <w:rsid w:val="00C87130"/>
    <w:rsid w:val="00C87315"/>
    <w:rsid w:val="00C90EEA"/>
    <w:rsid w:val="00C917E8"/>
    <w:rsid w:val="00C9273D"/>
    <w:rsid w:val="00C928C1"/>
    <w:rsid w:val="00C92BCA"/>
    <w:rsid w:val="00C95EC9"/>
    <w:rsid w:val="00CA0187"/>
    <w:rsid w:val="00CA07AE"/>
    <w:rsid w:val="00CA142D"/>
    <w:rsid w:val="00CA165A"/>
    <w:rsid w:val="00CA2E2A"/>
    <w:rsid w:val="00CA46D8"/>
    <w:rsid w:val="00CA4FB3"/>
    <w:rsid w:val="00CA5350"/>
    <w:rsid w:val="00CA6275"/>
    <w:rsid w:val="00CB13F3"/>
    <w:rsid w:val="00CB21D2"/>
    <w:rsid w:val="00CB29D0"/>
    <w:rsid w:val="00CB3E2B"/>
    <w:rsid w:val="00CB4607"/>
    <w:rsid w:val="00CB523C"/>
    <w:rsid w:val="00CB5F8F"/>
    <w:rsid w:val="00CB6352"/>
    <w:rsid w:val="00CB66A1"/>
    <w:rsid w:val="00CB6861"/>
    <w:rsid w:val="00CB6DDD"/>
    <w:rsid w:val="00CC1191"/>
    <w:rsid w:val="00CC1DEE"/>
    <w:rsid w:val="00CC2777"/>
    <w:rsid w:val="00CC2978"/>
    <w:rsid w:val="00CC4194"/>
    <w:rsid w:val="00CC4D4B"/>
    <w:rsid w:val="00CC4ED4"/>
    <w:rsid w:val="00CC569D"/>
    <w:rsid w:val="00CC56C8"/>
    <w:rsid w:val="00CC58FA"/>
    <w:rsid w:val="00CC6167"/>
    <w:rsid w:val="00CC6CE9"/>
    <w:rsid w:val="00CC7D2E"/>
    <w:rsid w:val="00CD0DAF"/>
    <w:rsid w:val="00CD1057"/>
    <w:rsid w:val="00CD1C39"/>
    <w:rsid w:val="00CD335B"/>
    <w:rsid w:val="00CD35CE"/>
    <w:rsid w:val="00CD3AD2"/>
    <w:rsid w:val="00CD42C3"/>
    <w:rsid w:val="00CD4763"/>
    <w:rsid w:val="00CD5AE4"/>
    <w:rsid w:val="00CD5E32"/>
    <w:rsid w:val="00CD62F9"/>
    <w:rsid w:val="00CD6B55"/>
    <w:rsid w:val="00CD6DEA"/>
    <w:rsid w:val="00CD7278"/>
    <w:rsid w:val="00CE1578"/>
    <w:rsid w:val="00CE1AF8"/>
    <w:rsid w:val="00CE2C4B"/>
    <w:rsid w:val="00CE36C5"/>
    <w:rsid w:val="00CE36D9"/>
    <w:rsid w:val="00CE4BFC"/>
    <w:rsid w:val="00CE4D20"/>
    <w:rsid w:val="00CE4EDA"/>
    <w:rsid w:val="00CF12B3"/>
    <w:rsid w:val="00CF1593"/>
    <w:rsid w:val="00CF259C"/>
    <w:rsid w:val="00CF37E8"/>
    <w:rsid w:val="00CF495D"/>
    <w:rsid w:val="00CF4A32"/>
    <w:rsid w:val="00CF4D5C"/>
    <w:rsid w:val="00CF5980"/>
    <w:rsid w:val="00D00AAD"/>
    <w:rsid w:val="00D00DFF"/>
    <w:rsid w:val="00D01832"/>
    <w:rsid w:val="00D02026"/>
    <w:rsid w:val="00D0274E"/>
    <w:rsid w:val="00D03F54"/>
    <w:rsid w:val="00D03F65"/>
    <w:rsid w:val="00D05066"/>
    <w:rsid w:val="00D051C5"/>
    <w:rsid w:val="00D05469"/>
    <w:rsid w:val="00D05817"/>
    <w:rsid w:val="00D06B99"/>
    <w:rsid w:val="00D0737C"/>
    <w:rsid w:val="00D10412"/>
    <w:rsid w:val="00D10573"/>
    <w:rsid w:val="00D135DD"/>
    <w:rsid w:val="00D13DE4"/>
    <w:rsid w:val="00D146BD"/>
    <w:rsid w:val="00D14BC8"/>
    <w:rsid w:val="00D14FDD"/>
    <w:rsid w:val="00D15EB5"/>
    <w:rsid w:val="00D17B0D"/>
    <w:rsid w:val="00D209B4"/>
    <w:rsid w:val="00D20C22"/>
    <w:rsid w:val="00D2344A"/>
    <w:rsid w:val="00D2461A"/>
    <w:rsid w:val="00D24C21"/>
    <w:rsid w:val="00D27F3A"/>
    <w:rsid w:val="00D31792"/>
    <w:rsid w:val="00D3254D"/>
    <w:rsid w:val="00D32A7C"/>
    <w:rsid w:val="00D34163"/>
    <w:rsid w:val="00D35678"/>
    <w:rsid w:val="00D35D87"/>
    <w:rsid w:val="00D35E40"/>
    <w:rsid w:val="00D35E60"/>
    <w:rsid w:val="00D35EC1"/>
    <w:rsid w:val="00D361A3"/>
    <w:rsid w:val="00D36360"/>
    <w:rsid w:val="00D41B75"/>
    <w:rsid w:val="00D41BC9"/>
    <w:rsid w:val="00D42777"/>
    <w:rsid w:val="00D42ADA"/>
    <w:rsid w:val="00D4407C"/>
    <w:rsid w:val="00D46A1F"/>
    <w:rsid w:val="00D502E8"/>
    <w:rsid w:val="00D50564"/>
    <w:rsid w:val="00D507D6"/>
    <w:rsid w:val="00D509E7"/>
    <w:rsid w:val="00D50D4F"/>
    <w:rsid w:val="00D5482D"/>
    <w:rsid w:val="00D54E31"/>
    <w:rsid w:val="00D566F0"/>
    <w:rsid w:val="00D56831"/>
    <w:rsid w:val="00D6047F"/>
    <w:rsid w:val="00D60513"/>
    <w:rsid w:val="00D61117"/>
    <w:rsid w:val="00D61DF2"/>
    <w:rsid w:val="00D623C2"/>
    <w:rsid w:val="00D62887"/>
    <w:rsid w:val="00D6348C"/>
    <w:rsid w:val="00D63758"/>
    <w:rsid w:val="00D63A5E"/>
    <w:rsid w:val="00D640DC"/>
    <w:rsid w:val="00D64639"/>
    <w:rsid w:val="00D64E57"/>
    <w:rsid w:val="00D65931"/>
    <w:rsid w:val="00D661C8"/>
    <w:rsid w:val="00D67843"/>
    <w:rsid w:val="00D71D12"/>
    <w:rsid w:val="00D72F71"/>
    <w:rsid w:val="00D7307D"/>
    <w:rsid w:val="00D73E11"/>
    <w:rsid w:val="00D76663"/>
    <w:rsid w:val="00D77156"/>
    <w:rsid w:val="00D8109B"/>
    <w:rsid w:val="00D810E0"/>
    <w:rsid w:val="00D81199"/>
    <w:rsid w:val="00D816C0"/>
    <w:rsid w:val="00D828FB"/>
    <w:rsid w:val="00D831B7"/>
    <w:rsid w:val="00D8361B"/>
    <w:rsid w:val="00D85214"/>
    <w:rsid w:val="00D854A2"/>
    <w:rsid w:val="00D85949"/>
    <w:rsid w:val="00D8694D"/>
    <w:rsid w:val="00D86D1A"/>
    <w:rsid w:val="00D90396"/>
    <w:rsid w:val="00D94DE8"/>
    <w:rsid w:val="00D96B97"/>
    <w:rsid w:val="00D96D26"/>
    <w:rsid w:val="00D973DB"/>
    <w:rsid w:val="00DA151A"/>
    <w:rsid w:val="00DA1B19"/>
    <w:rsid w:val="00DA5D18"/>
    <w:rsid w:val="00DA5F52"/>
    <w:rsid w:val="00DA695A"/>
    <w:rsid w:val="00DA6BC3"/>
    <w:rsid w:val="00DA6DDC"/>
    <w:rsid w:val="00DA71E4"/>
    <w:rsid w:val="00DA764C"/>
    <w:rsid w:val="00DB013B"/>
    <w:rsid w:val="00DB2BB6"/>
    <w:rsid w:val="00DB3E79"/>
    <w:rsid w:val="00DB4B2B"/>
    <w:rsid w:val="00DB4CC0"/>
    <w:rsid w:val="00DB7261"/>
    <w:rsid w:val="00DC1289"/>
    <w:rsid w:val="00DC1A25"/>
    <w:rsid w:val="00DC42CD"/>
    <w:rsid w:val="00DC49E6"/>
    <w:rsid w:val="00DC75BD"/>
    <w:rsid w:val="00DD187C"/>
    <w:rsid w:val="00DD1D83"/>
    <w:rsid w:val="00DD254B"/>
    <w:rsid w:val="00DD2C33"/>
    <w:rsid w:val="00DD35EC"/>
    <w:rsid w:val="00DD714F"/>
    <w:rsid w:val="00DD762D"/>
    <w:rsid w:val="00DE0BC8"/>
    <w:rsid w:val="00DE1AC8"/>
    <w:rsid w:val="00DE3777"/>
    <w:rsid w:val="00DE539F"/>
    <w:rsid w:val="00DE5A7D"/>
    <w:rsid w:val="00DE5D23"/>
    <w:rsid w:val="00DE7A92"/>
    <w:rsid w:val="00DF01DE"/>
    <w:rsid w:val="00DF108A"/>
    <w:rsid w:val="00DF41E8"/>
    <w:rsid w:val="00DF4F1C"/>
    <w:rsid w:val="00DF525A"/>
    <w:rsid w:val="00DF5356"/>
    <w:rsid w:val="00DF594B"/>
    <w:rsid w:val="00DF6812"/>
    <w:rsid w:val="00DF696A"/>
    <w:rsid w:val="00E00FAA"/>
    <w:rsid w:val="00E01DDB"/>
    <w:rsid w:val="00E042B5"/>
    <w:rsid w:val="00E05033"/>
    <w:rsid w:val="00E0592A"/>
    <w:rsid w:val="00E065C3"/>
    <w:rsid w:val="00E0729C"/>
    <w:rsid w:val="00E10828"/>
    <w:rsid w:val="00E10B04"/>
    <w:rsid w:val="00E10B3E"/>
    <w:rsid w:val="00E11F4E"/>
    <w:rsid w:val="00E120B4"/>
    <w:rsid w:val="00E12B3B"/>
    <w:rsid w:val="00E13F56"/>
    <w:rsid w:val="00E14ABF"/>
    <w:rsid w:val="00E14DD7"/>
    <w:rsid w:val="00E153B7"/>
    <w:rsid w:val="00E1556A"/>
    <w:rsid w:val="00E163DD"/>
    <w:rsid w:val="00E227B1"/>
    <w:rsid w:val="00E274D0"/>
    <w:rsid w:val="00E277BE"/>
    <w:rsid w:val="00E27EEE"/>
    <w:rsid w:val="00E30DDB"/>
    <w:rsid w:val="00E315CC"/>
    <w:rsid w:val="00E32265"/>
    <w:rsid w:val="00E32D68"/>
    <w:rsid w:val="00E33364"/>
    <w:rsid w:val="00E3406E"/>
    <w:rsid w:val="00E3430C"/>
    <w:rsid w:val="00E34345"/>
    <w:rsid w:val="00E3503A"/>
    <w:rsid w:val="00E356E8"/>
    <w:rsid w:val="00E35976"/>
    <w:rsid w:val="00E35CF1"/>
    <w:rsid w:val="00E35D7A"/>
    <w:rsid w:val="00E36E8D"/>
    <w:rsid w:val="00E41269"/>
    <w:rsid w:val="00E4187D"/>
    <w:rsid w:val="00E42770"/>
    <w:rsid w:val="00E43870"/>
    <w:rsid w:val="00E442AB"/>
    <w:rsid w:val="00E46BAB"/>
    <w:rsid w:val="00E46C7A"/>
    <w:rsid w:val="00E47B35"/>
    <w:rsid w:val="00E50B53"/>
    <w:rsid w:val="00E5176A"/>
    <w:rsid w:val="00E51A3B"/>
    <w:rsid w:val="00E5254C"/>
    <w:rsid w:val="00E525A8"/>
    <w:rsid w:val="00E537C1"/>
    <w:rsid w:val="00E55678"/>
    <w:rsid w:val="00E5678F"/>
    <w:rsid w:val="00E567F9"/>
    <w:rsid w:val="00E572BC"/>
    <w:rsid w:val="00E60221"/>
    <w:rsid w:val="00E605F1"/>
    <w:rsid w:val="00E6193B"/>
    <w:rsid w:val="00E61A31"/>
    <w:rsid w:val="00E61C3D"/>
    <w:rsid w:val="00E6495C"/>
    <w:rsid w:val="00E65DB5"/>
    <w:rsid w:val="00E67E83"/>
    <w:rsid w:val="00E702F8"/>
    <w:rsid w:val="00E7072A"/>
    <w:rsid w:val="00E70B9F"/>
    <w:rsid w:val="00E72068"/>
    <w:rsid w:val="00E735EC"/>
    <w:rsid w:val="00E73A4C"/>
    <w:rsid w:val="00E73B57"/>
    <w:rsid w:val="00E73D0F"/>
    <w:rsid w:val="00E74843"/>
    <w:rsid w:val="00E750BB"/>
    <w:rsid w:val="00E76C2C"/>
    <w:rsid w:val="00E8168D"/>
    <w:rsid w:val="00E816BC"/>
    <w:rsid w:val="00E858D2"/>
    <w:rsid w:val="00E85C53"/>
    <w:rsid w:val="00E85F3C"/>
    <w:rsid w:val="00E86A20"/>
    <w:rsid w:val="00E92AD5"/>
    <w:rsid w:val="00E95CE8"/>
    <w:rsid w:val="00E96EE0"/>
    <w:rsid w:val="00EA1649"/>
    <w:rsid w:val="00EA1828"/>
    <w:rsid w:val="00EA23E9"/>
    <w:rsid w:val="00EA37D5"/>
    <w:rsid w:val="00EA6F53"/>
    <w:rsid w:val="00EA73E0"/>
    <w:rsid w:val="00EB0B0F"/>
    <w:rsid w:val="00EB1037"/>
    <w:rsid w:val="00EB15F0"/>
    <w:rsid w:val="00EB2E6F"/>
    <w:rsid w:val="00EB3551"/>
    <w:rsid w:val="00EB6F55"/>
    <w:rsid w:val="00EB71D4"/>
    <w:rsid w:val="00EB7429"/>
    <w:rsid w:val="00EB7F81"/>
    <w:rsid w:val="00EC0F1A"/>
    <w:rsid w:val="00EC1701"/>
    <w:rsid w:val="00EC3A7A"/>
    <w:rsid w:val="00EC3FB1"/>
    <w:rsid w:val="00EC4DC0"/>
    <w:rsid w:val="00EC64E0"/>
    <w:rsid w:val="00EC7A2F"/>
    <w:rsid w:val="00ED0974"/>
    <w:rsid w:val="00ED21A3"/>
    <w:rsid w:val="00ED2320"/>
    <w:rsid w:val="00ED25C7"/>
    <w:rsid w:val="00ED3729"/>
    <w:rsid w:val="00ED5300"/>
    <w:rsid w:val="00ED5A71"/>
    <w:rsid w:val="00ED625D"/>
    <w:rsid w:val="00ED6978"/>
    <w:rsid w:val="00ED7569"/>
    <w:rsid w:val="00ED7DD3"/>
    <w:rsid w:val="00EE04DC"/>
    <w:rsid w:val="00EE0BFA"/>
    <w:rsid w:val="00EE2504"/>
    <w:rsid w:val="00EE3910"/>
    <w:rsid w:val="00EE3F8A"/>
    <w:rsid w:val="00EE43FE"/>
    <w:rsid w:val="00EE4CBC"/>
    <w:rsid w:val="00EE5041"/>
    <w:rsid w:val="00EE5784"/>
    <w:rsid w:val="00EE59D4"/>
    <w:rsid w:val="00EF0202"/>
    <w:rsid w:val="00EF0F8D"/>
    <w:rsid w:val="00EF3871"/>
    <w:rsid w:val="00EF3F72"/>
    <w:rsid w:val="00EF4B5D"/>
    <w:rsid w:val="00EF639B"/>
    <w:rsid w:val="00EF7177"/>
    <w:rsid w:val="00F0435A"/>
    <w:rsid w:val="00F0497E"/>
    <w:rsid w:val="00F0541B"/>
    <w:rsid w:val="00F10BC1"/>
    <w:rsid w:val="00F1157C"/>
    <w:rsid w:val="00F11B5C"/>
    <w:rsid w:val="00F12C84"/>
    <w:rsid w:val="00F15099"/>
    <w:rsid w:val="00F161EF"/>
    <w:rsid w:val="00F163D2"/>
    <w:rsid w:val="00F16959"/>
    <w:rsid w:val="00F16C67"/>
    <w:rsid w:val="00F210FB"/>
    <w:rsid w:val="00F2180B"/>
    <w:rsid w:val="00F2219C"/>
    <w:rsid w:val="00F26BA2"/>
    <w:rsid w:val="00F26CE5"/>
    <w:rsid w:val="00F30045"/>
    <w:rsid w:val="00F30A1A"/>
    <w:rsid w:val="00F30C0A"/>
    <w:rsid w:val="00F325B1"/>
    <w:rsid w:val="00F33341"/>
    <w:rsid w:val="00F339C0"/>
    <w:rsid w:val="00F33D31"/>
    <w:rsid w:val="00F3545E"/>
    <w:rsid w:val="00F359C7"/>
    <w:rsid w:val="00F36564"/>
    <w:rsid w:val="00F3687A"/>
    <w:rsid w:val="00F3751B"/>
    <w:rsid w:val="00F40C4A"/>
    <w:rsid w:val="00F40F41"/>
    <w:rsid w:val="00F42008"/>
    <w:rsid w:val="00F42484"/>
    <w:rsid w:val="00F42E93"/>
    <w:rsid w:val="00F45FF1"/>
    <w:rsid w:val="00F47137"/>
    <w:rsid w:val="00F537A3"/>
    <w:rsid w:val="00F53CC2"/>
    <w:rsid w:val="00F551E5"/>
    <w:rsid w:val="00F559DB"/>
    <w:rsid w:val="00F57406"/>
    <w:rsid w:val="00F60239"/>
    <w:rsid w:val="00F608CD"/>
    <w:rsid w:val="00F6164D"/>
    <w:rsid w:val="00F61B46"/>
    <w:rsid w:val="00F62952"/>
    <w:rsid w:val="00F648BC"/>
    <w:rsid w:val="00F64FD1"/>
    <w:rsid w:val="00F65834"/>
    <w:rsid w:val="00F66746"/>
    <w:rsid w:val="00F66D12"/>
    <w:rsid w:val="00F67DB0"/>
    <w:rsid w:val="00F70139"/>
    <w:rsid w:val="00F70509"/>
    <w:rsid w:val="00F707AF"/>
    <w:rsid w:val="00F72F9A"/>
    <w:rsid w:val="00F73F7C"/>
    <w:rsid w:val="00F74769"/>
    <w:rsid w:val="00F75B24"/>
    <w:rsid w:val="00F76347"/>
    <w:rsid w:val="00F8009B"/>
    <w:rsid w:val="00F80E94"/>
    <w:rsid w:val="00F82A75"/>
    <w:rsid w:val="00F8384D"/>
    <w:rsid w:val="00F848A7"/>
    <w:rsid w:val="00F86F94"/>
    <w:rsid w:val="00F87261"/>
    <w:rsid w:val="00F87329"/>
    <w:rsid w:val="00F87510"/>
    <w:rsid w:val="00F91E26"/>
    <w:rsid w:val="00F92516"/>
    <w:rsid w:val="00F939EA"/>
    <w:rsid w:val="00F950C3"/>
    <w:rsid w:val="00F950CA"/>
    <w:rsid w:val="00F960CC"/>
    <w:rsid w:val="00FA3ECC"/>
    <w:rsid w:val="00FA4535"/>
    <w:rsid w:val="00FA542F"/>
    <w:rsid w:val="00FA56B2"/>
    <w:rsid w:val="00FA6F70"/>
    <w:rsid w:val="00FB02F0"/>
    <w:rsid w:val="00FB0BCB"/>
    <w:rsid w:val="00FB1EFA"/>
    <w:rsid w:val="00FB4B72"/>
    <w:rsid w:val="00FB58FB"/>
    <w:rsid w:val="00FB780D"/>
    <w:rsid w:val="00FB7C5F"/>
    <w:rsid w:val="00FB7D62"/>
    <w:rsid w:val="00FC37EA"/>
    <w:rsid w:val="00FC614B"/>
    <w:rsid w:val="00FC6EEC"/>
    <w:rsid w:val="00FD0D17"/>
    <w:rsid w:val="00FD24E7"/>
    <w:rsid w:val="00FD3078"/>
    <w:rsid w:val="00FD5D5C"/>
    <w:rsid w:val="00FD6033"/>
    <w:rsid w:val="00FE028B"/>
    <w:rsid w:val="00FE03DC"/>
    <w:rsid w:val="00FE056C"/>
    <w:rsid w:val="00FE1642"/>
    <w:rsid w:val="00FE3BDE"/>
    <w:rsid w:val="00FE53C4"/>
    <w:rsid w:val="00FE5CB7"/>
    <w:rsid w:val="00FF1604"/>
    <w:rsid w:val="00FF1B56"/>
    <w:rsid w:val="00FF1BA1"/>
    <w:rsid w:val="00FF32A4"/>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63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D_Normal"/>
    <w:qFormat/>
    <w:rsid w:val="00A77877"/>
    <w:pPr>
      <w:spacing w:line="240" w:lineRule="auto"/>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nhideWhenUsed/>
    <w:rsid w:val="00FF593A"/>
    <w:rPr>
      <w:sz w:val="16"/>
      <w:szCs w:val="16"/>
    </w:rPr>
  </w:style>
  <w:style w:type="paragraph" w:styleId="CommentText">
    <w:name w:val="annotation text"/>
    <w:basedOn w:val="Normal"/>
    <w:link w:val="CommentTextChar"/>
    <w:unhideWhenUsed/>
    <w:rsid w:val="00FF593A"/>
    <w:rPr>
      <w:sz w:val="20"/>
      <w:szCs w:val="20"/>
    </w:rPr>
  </w:style>
  <w:style w:type="character" w:customStyle="1" w:styleId="CommentTextChar">
    <w:name w:val="Comment Text Char"/>
    <w:basedOn w:val="DefaultParagraphFont"/>
    <w:link w:val="CommentText"/>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131A64"/>
    <w:pPr>
      <w:tabs>
        <w:tab w:val="center" w:pos="4513"/>
        <w:tab w:val="right" w:pos="9026"/>
      </w:tabs>
      <w:spacing w:after="0"/>
    </w:pPr>
  </w:style>
  <w:style w:type="character" w:customStyle="1" w:styleId="HeaderChar">
    <w:name w:val="Header Char"/>
    <w:basedOn w:val="DefaultParagraphFont"/>
    <w:link w:val="Header"/>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uiPriority w:val="1"/>
    <w:rsid w:val="000869D0"/>
    <w:pPr>
      <w:shd w:val="clear" w:color="auto" w:fill="FFFFFF" w:themeFill="background1"/>
      <w:spacing w:before="60" w:after="60"/>
    </w:pPr>
    <w:rPr>
      <w:rFonts w:eastAsia="Times New Roman" w:cs="Arial"/>
      <w:sz w:val="20"/>
      <w:szCs w:val="20"/>
    </w:rPr>
  </w:style>
  <w:style w:type="character" w:customStyle="1" w:styleId="TableTextChar">
    <w:name w:val="Table Text Char"/>
    <w:basedOn w:val="DefaultParagraphFont"/>
    <w:link w:val="TableText"/>
    <w:uiPriority w:val="1"/>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9"/>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7"/>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8"/>
      </w:numPr>
    </w:pPr>
  </w:style>
  <w:style w:type="paragraph" w:customStyle="1" w:styleId="MDFiguretitle">
    <w:name w:val="MD_Figure title"/>
    <w:basedOn w:val="Normal"/>
    <w:next w:val="Normal"/>
    <w:link w:val="MDFiguretitleChar"/>
    <w:qFormat/>
    <w:rsid w:val="00376C8B"/>
    <w:pPr>
      <w:spacing w:before="60" w:after="60"/>
      <w:contextualSpacing/>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ind w:left="1134" w:hanging="283"/>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rsid w:val="00071F2B"/>
    <w:pPr>
      <w:keepNext/>
      <w:spacing w:after="60"/>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paragraph" w:customStyle="1" w:styleId="06Tabletextspacebefore">
    <w:name w:val="06 Table text space before"/>
    <w:qFormat/>
    <w:rsid w:val="00FE1642"/>
    <w:pPr>
      <w:spacing w:before="80" w:after="0" w:line="240" w:lineRule="auto"/>
      <w:ind w:left="57" w:right="57"/>
    </w:pPr>
    <w:rPr>
      <w:rFonts w:ascii="Arial Narrow" w:eastAsia="Calibri" w:hAnsi="Arial Narrow" w:cs="Times New Roman"/>
      <w:sz w:val="18"/>
      <w:szCs w:val="24"/>
      <w:lang w:eastAsia="en-US"/>
    </w:rPr>
  </w:style>
  <w:style w:type="paragraph" w:customStyle="1" w:styleId="05Tabletext">
    <w:name w:val="05 Table text"/>
    <w:next w:val="06Tabletextspacebefore"/>
    <w:qFormat/>
    <w:rsid w:val="00FE1642"/>
    <w:pPr>
      <w:spacing w:before="20" w:after="0" w:line="240" w:lineRule="auto"/>
      <w:ind w:left="57" w:right="57"/>
    </w:pPr>
    <w:rPr>
      <w:rFonts w:ascii="Arial Narrow" w:eastAsia="Calibri" w:hAnsi="Arial Narrow" w:cs="Times New Roman"/>
      <w:sz w:val="18"/>
      <w:szCs w:val="24"/>
      <w:lang w:eastAsia="en-US"/>
    </w:rPr>
  </w:style>
  <w:style w:type="paragraph" w:customStyle="1" w:styleId="01TableHEADINGleftaligned">
    <w:name w:val="01 Table HEADING left aligned"/>
    <w:basedOn w:val="BodyText"/>
    <w:qFormat/>
    <w:rsid w:val="00FE1642"/>
    <w:pPr>
      <w:keepNext/>
      <w:spacing w:before="60" w:after="0"/>
      <w:ind w:left="57" w:right="57"/>
    </w:pPr>
    <w:rPr>
      <w:rFonts w:ascii="Arial Narrow" w:eastAsia="Calibri" w:hAnsi="Arial Narrow" w:cs="Times New Roman"/>
      <w:b/>
      <w:sz w:val="18"/>
      <w:szCs w:val="24"/>
      <w:lang w:eastAsia="en-US"/>
    </w:rPr>
  </w:style>
  <w:style w:type="table" w:customStyle="1" w:styleId="TableGridLight1">
    <w:name w:val="Table Grid Light1"/>
    <w:basedOn w:val="TableNormal"/>
    <w:uiPriority w:val="40"/>
    <w:rsid w:val="002A7E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link w:val="Style1Char"/>
    <w:qFormat/>
    <w:rsid w:val="000A43C2"/>
    <w:pPr>
      <w:spacing w:after="160" w:line="259" w:lineRule="auto"/>
    </w:pPr>
    <w:rPr>
      <w:rFonts w:ascii="Times New Roman" w:hAnsi="Times New Roman" w:cstheme="minorBidi"/>
      <w:sz w:val="22"/>
      <w:lang w:eastAsia="en-US"/>
    </w:rPr>
  </w:style>
  <w:style w:type="character" w:customStyle="1" w:styleId="Style1Char">
    <w:name w:val="Style1 Char"/>
    <w:basedOn w:val="DefaultParagraphFont"/>
    <w:link w:val="Style1"/>
    <w:rsid w:val="000A43C2"/>
    <w:rPr>
      <w:sz w:val="22"/>
      <w:lang w:eastAsia="en-US"/>
    </w:rPr>
  </w:style>
  <w:style w:type="paragraph" w:styleId="TableofFigures">
    <w:name w:val="table of figures"/>
    <w:basedOn w:val="Normal"/>
    <w:next w:val="Normal"/>
    <w:uiPriority w:val="99"/>
    <w:unhideWhenUsed/>
    <w:rsid w:val="00A75F73"/>
    <w:pPr>
      <w:spacing w:after="0"/>
    </w:pPr>
  </w:style>
  <w:style w:type="paragraph" w:customStyle="1" w:styleId="Heading4b">
    <w:name w:val="Heading 4b"/>
    <w:basedOn w:val="Heading4"/>
    <w:link w:val="Heading4bChar"/>
    <w:qFormat/>
    <w:rsid w:val="008F506E"/>
    <w:pPr>
      <w:spacing w:before="40"/>
    </w:pPr>
    <w:rPr>
      <w:rFonts w:asciiTheme="minorHAnsi" w:hAnsiTheme="minorHAnsi"/>
      <w:bCs w:val="0"/>
      <w:i w:val="0"/>
      <w:lang w:eastAsia="en-US"/>
    </w:rPr>
  </w:style>
  <w:style w:type="character" w:customStyle="1" w:styleId="Heading4bChar">
    <w:name w:val="Heading 4b Char"/>
    <w:basedOn w:val="Heading4Char"/>
    <w:link w:val="Heading4b"/>
    <w:rsid w:val="008F506E"/>
    <w:rPr>
      <w:rFonts w:asciiTheme="minorHAnsi" w:eastAsiaTheme="majorEastAsia" w:hAnsiTheme="minorHAnsi" w:cstheme="majorBidi"/>
      <w:b/>
      <w:bCs w:val="0"/>
      <w:i w:val="0"/>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03363">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28545059">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07241107">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53964929">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18699</Words>
  <Characters>106586</Characters>
  <Application>Microsoft Office Word</Application>
  <DocSecurity>0</DocSecurity>
  <Lines>888</Lines>
  <Paragraphs>250</Paragraphs>
  <ScaleCrop>false</ScaleCrop>
  <Company/>
  <LinksUpToDate>false</LinksUpToDate>
  <CharactersWithSpaces>125035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2020-12-15T01:24:00Z</dcterms:created>
  <dcterms:modified xsi:type="dcterms:W3CDTF">2020-12-15T01:25:00Z</dcterms:modified>
</cp:coreProperties>
</file>