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56" w:rsidRPr="001869BF" w:rsidRDefault="005D5F56" w:rsidP="00062AE4">
      <w:pPr>
        <w:spacing w:after="240"/>
        <w:jc w:val="center"/>
        <w:rPr>
          <w:b/>
          <w:sz w:val="52"/>
          <w:szCs w:val="52"/>
        </w:rPr>
      </w:pPr>
      <w:bookmarkStart w:id="0" w:name="_GoBack"/>
      <w:bookmarkEnd w:id="0"/>
      <w:r w:rsidRPr="001869BF">
        <w:rPr>
          <w:b/>
          <w:sz w:val="52"/>
          <w:szCs w:val="52"/>
        </w:rPr>
        <w:t>Pharmaceutical Benefits Scheme</w:t>
      </w:r>
    </w:p>
    <w:p w:rsidR="005D5F56" w:rsidRPr="001869BF" w:rsidRDefault="005D5F56" w:rsidP="005D5F56">
      <w:pPr>
        <w:spacing w:before="480" w:after="240"/>
        <w:jc w:val="center"/>
        <w:rPr>
          <w:b/>
          <w:sz w:val="40"/>
          <w:szCs w:val="40"/>
        </w:rPr>
      </w:pPr>
      <w:r w:rsidRPr="001869BF">
        <w:rPr>
          <w:b/>
          <w:sz w:val="40"/>
          <w:szCs w:val="40"/>
        </w:rPr>
        <w:t>Post-market Review</w:t>
      </w:r>
    </w:p>
    <w:p w:rsidR="005D5F56" w:rsidRPr="001869BF" w:rsidRDefault="005D5F56" w:rsidP="005D5F56">
      <w:pPr>
        <w:spacing w:before="240"/>
        <w:jc w:val="center"/>
        <w:rPr>
          <w:b/>
          <w:color w:val="365F91" w:themeColor="accent1" w:themeShade="BF"/>
          <w:sz w:val="32"/>
          <w:szCs w:val="32"/>
        </w:rPr>
      </w:pPr>
      <w:r>
        <w:rPr>
          <w:b/>
          <w:color w:val="365F91" w:themeColor="accent1" w:themeShade="BF"/>
          <w:sz w:val="32"/>
          <w:szCs w:val="32"/>
        </w:rPr>
        <w:t>The use of biologics in the treatment of severe chronic plaque psoriasis</w:t>
      </w:r>
    </w:p>
    <w:p w:rsidR="005D5F56" w:rsidRDefault="005D5F56" w:rsidP="005D5F56">
      <w:pPr>
        <w:spacing w:before="240"/>
        <w:jc w:val="center"/>
        <w:rPr>
          <w:b/>
          <w:i/>
          <w:color w:val="365F91" w:themeColor="accent1" w:themeShade="BF"/>
          <w:sz w:val="28"/>
          <w:szCs w:val="28"/>
        </w:rPr>
      </w:pPr>
      <w:bookmarkStart w:id="1" w:name="_Toc341175223"/>
      <w:bookmarkStart w:id="2" w:name="_Toc341180114"/>
      <w:bookmarkStart w:id="3" w:name="_Toc341718010"/>
      <w:bookmarkStart w:id="4" w:name="_Toc341946998"/>
      <w:bookmarkStart w:id="5" w:name="_Toc341964940"/>
      <w:bookmarkStart w:id="6" w:name="_Toc342478568"/>
      <w:bookmarkStart w:id="7" w:name="_Toc342558104"/>
      <w:bookmarkStart w:id="8" w:name="_Toc351967067"/>
      <w:bookmarkStart w:id="9" w:name="_Toc359831559"/>
      <w:bookmarkStart w:id="10" w:name="_Toc359914389"/>
      <w:bookmarkStart w:id="11" w:name="_Toc360710900"/>
      <w:bookmarkStart w:id="12" w:name="_Toc368383244"/>
      <w:bookmarkStart w:id="13" w:name="_Toc371521186"/>
      <w:r w:rsidRPr="001869BF">
        <w:rPr>
          <w:b/>
          <w:i/>
          <w:color w:val="365F91" w:themeColor="accent1" w:themeShade="BF"/>
          <w:sz w:val="28"/>
          <w:szCs w:val="28"/>
        </w:rPr>
        <w:t xml:space="preserve">Report to </w:t>
      </w:r>
      <w:bookmarkEnd w:id="1"/>
      <w:bookmarkEnd w:id="2"/>
      <w:bookmarkEnd w:id="3"/>
      <w:bookmarkEnd w:id="4"/>
      <w:bookmarkEnd w:id="5"/>
      <w:bookmarkEnd w:id="6"/>
      <w:bookmarkEnd w:id="7"/>
      <w:bookmarkEnd w:id="8"/>
      <w:bookmarkEnd w:id="9"/>
      <w:bookmarkEnd w:id="10"/>
      <w:bookmarkEnd w:id="11"/>
      <w:bookmarkEnd w:id="12"/>
      <w:bookmarkEnd w:id="13"/>
      <w:r w:rsidRPr="001869BF">
        <w:rPr>
          <w:b/>
          <w:i/>
          <w:color w:val="365F91" w:themeColor="accent1" w:themeShade="BF"/>
          <w:sz w:val="28"/>
          <w:szCs w:val="28"/>
        </w:rPr>
        <w:t>PBAC</w:t>
      </w:r>
    </w:p>
    <w:p w:rsidR="005D5F56" w:rsidRPr="004B11B2" w:rsidRDefault="00A670FC" w:rsidP="00062AE4">
      <w:pPr>
        <w:spacing w:before="240"/>
        <w:jc w:val="center"/>
        <w:rPr>
          <w:rFonts w:asciiTheme="majorHAnsi" w:hAnsiTheme="majorHAnsi"/>
        </w:rPr>
      </w:pPr>
      <w:r>
        <w:rPr>
          <w:b/>
          <w:i/>
          <w:color w:val="365F91" w:themeColor="accent1" w:themeShade="BF"/>
          <w:sz w:val="28"/>
          <w:szCs w:val="28"/>
        </w:rPr>
        <w:t>Background</w:t>
      </w:r>
    </w:p>
    <w:p w:rsidR="00062AE4" w:rsidRDefault="00116B89" w:rsidP="00061D2D">
      <w:pPr>
        <w:spacing w:before="240"/>
        <w:jc w:val="center"/>
        <w:rPr>
          <w:b/>
          <w:i/>
          <w:color w:val="365F91" w:themeColor="accent1" w:themeShade="BF"/>
          <w:sz w:val="28"/>
          <w:szCs w:val="28"/>
        </w:rPr>
        <w:sectPr w:rsidR="00062AE4" w:rsidSect="00062AE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09" w:gutter="0"/>
          <w:cols w:space="708"/>
          <w:vAlign w:val="center"/>
          <w:docGrid w:linePitch="360"/>
        </w:sectPr>
      </w:pPr>
      <w:r>
        <w:rPr>
          <w:b/>
          <w:i/>
          <w:color w:val="365F91" w:themeColor="accent1" w:themeShade="BF"/>
          <w:sz w:val="28"/>
          <w:szCs w:val="28"/>
        </w:rPr>
        <w:t>DRAFT</w:t>
      </w:r>
      <w:r w:rsidR="00062AE4">
        <w:rPr>
          <w:b/>
          <w:i/>
          <w:color w:val="365F91" w:themeColor="accent1" w:themeShade="BF"/>
          <w:sz w:val="28"/>
          <w:szCs w:val="28"/>
        </w:rPr>
        <w:t xml:space="preserve"> </w:t>
      </w:r>
      <w:r w:rsidR="005D5F56" w:rsidRPr="001869BF">
        <w:rPr>
          <w:b/>
          <w:i/>
          <w:color w:val="365F91" w:themeColor="accent1" w:themeShade="BF"/>
          <w:sz w:val="28"/>
          <w:szCs w:val="28"/>
        </w:rPr>
        <w:t>REPORT</w:t>
      </w:r>
      <w:r w:rsidR="00ED21A3">
        <w:rPr>
          <w:b/>
          <w:i/>
          <w:color w:val="365F91" w:themeColor="accent1" w:themeShade="BF"/>
          <w:sz w:val="28"/>
          <w:szCs w:val="28"/>
        </w:rPr>
        <w:t xml:space="preserve"> </w:t>
      </w:r>
    </w:p>
    <w:sdt>
      <w:sdtPr>
        <w:rPr>
          <w:rFonts w:eastAsiaTheme="minorHAnsi" w:cstheme="minorHAnsi"/>
          <w:b w:val="0"/>
          <w:bCs w:val="0"/>
          <w:color w:val="auto"/>
          <w:sz w:val="24"/>
          <w:szCs w:val="22"/>
          <w:lang w:val="en-GB" w:eastAsia="en-AU"/>
        </w:rPr>
        <w:id w:val="-1971425903"/>
        <w:docPartObj>
          <w:docPartGallery w:val="Table of Contents"/>
          <w:docPartUnique/>
        </w:docPartObj>
      </w:sdtPr>
      <w:sdtEndPr>
        <w:rPr>
          <w:noProof/>
        </w:rPr>
      </w:sdtEndPr>
      <w:sdtContent>
        <w:p w:rsidR="000C5044" w:rsidRDefault="000C5044">
          <w:pPr>
            <w:pStyle w:val="TOCHeading"/>
          </w:pPr>
          <w:r>
            <w:t>Contents</w:t>
          </w:r>
        </w:p>
        <w:p w:rsidR="00100B2C" w:rsidRDefault="00100B2C">
          <w:pPr>
            <w:pStyle w:val="TOC1"/>
            <w:tabs>
              <w:tab w:val="right" w:leader="dot" w:pos="9350"/>
            </w:tabs>
            <w:rPr>
              <w:rFonts w:eastAsiaTheme="minorEastAsia" w:cstheme="minorBidi"/>
              <w:noProof/>
              <w:sz w:val="22"/>
              <w:lang w:val="en-AU"/>
            </w:rPr>
          </w:pPr>
          <w:r w:rsidRPr="00077DE2">
            <w:rPr>
              <w:noProof/>
            </w:rPr>
            <w:t>List of Tables</w:t>
          </w:r>
          <w:r>
            <w:rPr>
              <w:noProof/>
              <w:webHidden/>
            </w:rPr>
            <w:tab/>
            <w:t>3</w:t>
          </w:r>
        </w:p>
        <w:p w:rsidR="00100B2C" w:rsidRDefault="00100B2C">
          <w:pPr>
            <w:pStyle w:val="TOC1"/>
            <w:tabs>
              <w:tab w:val="right" w:leader="dot" w:pos="9350"/>
            </w:tabs>
            <w:rPr>
              <w:rFonts w:eastAsiaTheme="minorEastAsia" w:cstheme="minorBidi"/>
              <w:noProof/>
              <w:sz w:val="22"/>
              <w:lang w:val="en-AU"/>
            </w:rPr>
          </w:pPr>
          <w:r w:rsidRPr="00077DE2">
            <w:rPr>
              <w:noProof/>
            </w:rPr>
            <w:t>List of Figures</w:t>
          </w:r>
          <w:r>
            <w:rPr>
              <w:noProof/>
              <w:webHidden/>
            </w:rPr>
            <w:tab/>
            <w:t>3</w:t>
          </w:r>
        </w:p>
        <w:p w:rsidR="00100B2C" w:rsidRDefault="00100B2C">
          <w:pPr>
            <w:pStyle w:val="TOC1"/>
            <w:tabs>
              <w:tab w:val="right" w:leader="dot" w:pos="9350"/>
            </w:tabs>
            <w:rPr>
              <w:rFonts w:eastAsiaTheme="minorEastAsia" w:cstheme="minorBidi"/>
              <w:noProof/>
              <w:sz w:val="22"/>
              <w:lang w:val="en-AU"/>
            </w:rPr>
          </w:pPr>
          <w:r w:rsidRPr="00077DE2">
            <w:rPr>
              <w:noProof/>
              <w:lang w:val="en-AU"/>
            </w:rPr>
            <w:t>Abbreviations</w:t>
          </w:r>
          <w:r>
            <w:rPr>
              <w:noProof/>
              <w:webHidden/>
            </w:rPr>
            <w:tab/>
            <w:t>3</w:t>
          </w:r>
        </w:p>
        <w:p w:rsidR="00100B2C" w:rsidRDefault="00100B2C">
          <w:pPr>
            <w:pStyle w:val="TOC1"/>
            <w:tabs>
              <w:tab w:val="right" w:leader="dot" w:pos="9350"/>
            </w:tabs>
            <w:rPr>
              <w:rFonts w:eastAsiaTheme="minorEastAsia" w:cstheme="minorBidi"/>
              <w:noProof/>
              <w:sz w:val="22"/>
              <w:lang w:val="en-AU"/>
            </w:rPr>
          </w:pPr>
          <w:r w:rsidRPr="00077DE2">
            <w:rPr>
              <w:noProof/>
            </w:rPr>
            <w:t>Acknowledgements</w:t>
          </w:r>
          <w:r>
            <w:rPr>
              <w:noProof/>
              <w:webHidden/>
            </w:rPr>
            <w:tab/>
            <w:t>4</w:t>
          </w:r>
        </w:p>
        <w:p w:rsidR="00100B2C" w:rsidRDefault="00100B2C">
          <w:pPr>
            <w:pStyle w:val="TOC1"/>
            <w:tabs>
              <w:tab w:val="right" w:leader="dot" w:pos="9350"/>
            </w:tabs>
            <w:rPr>
              <w:rFonts w:eastAsiaTheme="minorEastAsia" w:cstheme="minorBidi"/>
              <w:noProof/>
              <w:sz w:val="22"/>
              <w:lang w:val="en-AU"/>
            </w:rPr>
          </w:pPr>
          <w:r w:rsidRPr="00077DE2">
            <w:rPr>
              <w:noProof/>
            </w:rPr>
            <w:t>Report Structure</w:t>
          </w:r>
          <w:r>
            <w:rPr>
              <w:noProof/>
              <w:webHidden/>
            </w:rPr>
            <w:tab/>
            <w:t>4</w:t>
          </w:r>
        </w:p>
        <w:p w:rsidR="00100B2C" w:rsidRDefault="00100B2C">
          <w:pPr>
            <w:pStyle w:val="TOC1"/>
            <w:tabs>
              <w:tab w:val="right" w:leader="dot" w:pos="9350"/>
            </w:tabs>
            <w:rPr>
              <w:rFonts w:eastAsiaTheme="minorEastAsia" w:cstheme="minorBidi"/>
              <w:noProof/>
              <w:sz w:val="22"/>
              <w:lang w:val="en-AU"/>
            </w:rPr>
          </w:pPr>
          <w:r w:rsidRPr="00077DE2">
            <w:rPr>
              <w:noProof/>
            </w:rPr>
            <w:t>Background</w:t>
          </w:r>
          <w:r>
            <w:rPr>
              <w:noProof/>
              <w:webHidden/>
            </w:rPr>
            <w:tab/>
            <w:t>6</w:t>
          </w:r>
        </w:p>
        <w:p w:rsidR="00100B2C" w:rsidRDefault="00100B2C">
          <w:pPr>
            <w:pStyle w:val="TOC2"/>
            <w:tabs>
              <w:tab w:val="right" w:leader="dot" w:pos="9350"/>
            </w:tabs>
            <w:rPr>
              <w:rFonts w:eastAsiaTheme="minorEastAsia" w:cstheme="minorBidi"/>
              <w:noProof/>
              <w:sz w:val="22"/>
              <w:lang w:val="en-AU"/>
            </w:rPr>
          </w:pPr>
          <w:r w:rsidRPr="00077DE2">
            <w:rPr>
              <w:noProof/>
            </w:rPr>
            <w:t>B.1 Post-market monitoring</w:t>
          </w:r>
          <w:r>
            <w:rPr>
              <w:noProof/>
              <w:webHidden/>
            </w:rPr>
            <w:tab/>
            <w:t>6</w:t>
          </w:r>
        </w:p>
        <w:p w:rsidR="00100B2C" w:rsidRDefault="00100B2C">
          <w:pPr>
            <w:pStyle w:val="TOC2"/>
            <w:tabs>
              <w:tab w:val="right" w:leader="dot" w:pos="9350"/>
            </w:tabs>
            <w:rPr>
              <w:rFonts w:eastAsiaTheme="minorEastAsia" w:cstheme="minorBidi"/>
              <w:noProof/>
              <w:sz w:val="22"/>
              <w:lang w:val="en-AU"/>
            </w:rPr>
          </w:pPr>
          <w:r w:rsidRPr="00077DE2">
            <w:rPr>
              <w:noProof/>
            </w:rPr>
            <w:t>B.2 Context of the Review</w:t>
          </w:r>
          <w:r>
            <w:rPr>
              <w:noProof/>
              <w:webHidden/>
            </w:rPr>
            <w:tab/>
            <w:t>6</w:t>
          </w:r>
        </w:p>
        <w:p w:rsidR="00100B2C" w:rsidRDefault="00100B2C">
          <w:pPr>
            <w:pStyle w:val="TOC2"/>
            <w:tabs>
              <w:tab w:val="right" w:leader="dot" w:pos="9350"/>
            </w:tabs>
            <w:rPr>
              <w:rFonts w:eastAsiaTheme="minorEastAsia" w:cstheme="minorBidi"/>
              <w:noProof/>
              <w:sz w:val="22"/>
              <w:lang w:val="en-AU"/>
            </w:rPr>
          </w:pPr>
          <w:r w:rsidRPr="00077DE2">
            <w:rPr>
              <w:noProof/>
            </w:rPr>
            <w:t>B.3 Review Process</w:t>
          </w:r>
          <w:r>
            <w:rPr>
              <w:noProof/>
              <w:webHidden/>
            </w:rPr>
            <w:tab/>
            <w:t>7</w:t>
          </w:r>
        </w:p>
        <w:p w:rsidR="00100B2C" w:rsidRDefault="00100B2C">
          <w:pPr>
            <w:pStyle w:val="TOC3"/>
            <w:tabs>
              <w:tab w:val="left" w:pos="1320"/>
              <w:tab w:val="right" w:leader="dot" w:pos="9350"/>
            </w:tabs>
            <w:rPr>
              <w:rFonts w:eastAsiaTheme="minorEastAsia" w:cstheme="minorBidi"/>
              <w:noProof/>
              <w:sz w:val="22"/>
              <w:lang w:val="en-AU"/>
            </w:rPr>
          </w:pPr>
          <w:r w:rsidRPr="00077DE2">
            <w:rPr>
              <w:noProof/>
            </w:rPr>
            <w:t xml:space="preserve">B.3.1 </w:t>
          </w:r>
          <w:r>
            <w:rPr>
              <w:rFonts w:eastAsiaTheme="minorEastAsia" w:cstheme="minorBidi"/>
              <w:noProof/>
              <w:sz w:val="22"/>
              <w:lang w:val="en-AU"/>
            </w:rPr>
            <w:tab/>
          </w:r>
          <w:r w:rsidRPr="00077DE2">
            <w:rPr>
              <w:noProof/>
            </w:rPr>
            <w:t>Purpose of the Review</w:t>
          </w:r>
          <w:r>
            <w:rPr>
              <w:noProof/>
              <w:webHidden/>
            </w:rPr>
            <w:tab/>
            <w:t>7</w:t>
          </w:r>
        </w:p>
        <w:p w:rsidR="00100B2C" w:rsidRDefault="00100B2C">
          <w:pPr>
            <w:pStyle w:val="TOC3"/>
            <w:tabs>
              <w:tab w:val="left" w:pos="1320"/>
              <w:tab w:val="right" w:leader="dot" w:pos="9350"/>
            </w:tabs>
            <w:rPr>
              <w:rFonts w:eastAsiaTheme="minorEastAsia" w:cstheme="minorBidi"/>
              <w:noProof/>
              <w:sz w:val="22"/>
              <w:lang w:val="en-AU"/>
            </w:rPr>
          </w:pPr>
          <w:r w:rsidRPr="00077DE2">
            <w:rPr>
              <w:noProof/>
            </w:rPr>
            <w:t>B.3.2</w:t>
          </w:r>
          <w:r>
            <w:rPr>
              <w:rFonts w:eastAsiaTheme="minorEastAsia" w:cstheme="minorBidi"/>
              <w:noProof/>
              <w:sz w:val="22"/>
              <w:lang w:val="en-AU"/>
            </w:rPr>
            <w:tab/>
          </w:r>
          <w:r w:rsidRPr="00077DE2">
            <w:rPr>
              <w:noProof/>
            </w:rPr>
            <w:t>Review Reference Group</w:t>
          </w:r>
          <w:r>
            <w:rPr>
              <w:noProof/>
              <w:webHidden/>
            </w:rPr>
            <w:tab/>
            <w:t>7</w:t>
          </w:r>
        </w:p>
        <w:p w:rsidR="00100B2C" w:rsidRDefault="00100B2C">
          <w:pPr>
            <w:pStyle w:val="TOC3"/>
            <w:tabs>
              <w:tab w:val="left" w:pos="1320"/>
              <w:tab w:val="right" w:leader="dot" w:pos="9350"/>
            </w:tabs>
            <w:rPr>
              <w:rFonts w:eastAsiaTheme="minorEastAsia" w:cstheme="minorBidi"/>
              <w:noProof/>
              <w:sz w:val="22"/>
              <w:lang w:val="en-AU"/>
            </w:rPr>
          </w:pPr>
          <w:r w:rsidRPr="00077DE2">
            <w:rPr>
              <w:noProof/>
            </w:rPr>
            <w:t xml:space="preserve">B.3.3 </w:t>
          </w:r>
          <w:r>
            <w:rPr>
              <w:rFonts w:eastAsiaTheme="minorEastAsia" w:cstheme="minorBidi"/>
              <w:noProof/>
              <w:sz w:val="22"/>
              <w:lang w:val="en-AU"/>
            </w:rPr>
            <w:tab/>
          </w:r>
          <w:r w:rsidRPr="00077DE2">
            <w:rPr>
              <w:noProof/>
            </w:rPr>
            <w:t>Review Terms of Reference</w:t>
          </w:r>
          <w:r>
            <w:rPr>
              <w:noProof/>
              <w:webHidden/>
            </w:rPr>
            <w:tab/>
            <w:t>8</w:t>
          </w:r>
        </w:p>
        <w:p w:rsidR="00100B2C" w:rsidRDefault="00100B2C">
          <w:pPr>
            <w:pStyle w:val="TOC3"/>
            <w:tabs>
              <w:tab w:val="left" w:pos="1320"/>
              <w:tab w:val="right" w:leader="dot" w:pos="9350"/>
            </w:tabs>
            <w:rPr>
              <w:rFonts w:eastAsiaTheme="minorEastAsia" w:cstheme="minorBidi"/>
              <w:noProof/>
              <w:sz w:val="22"/>
              <w:lang w:val="en-AU"/>
            </w:rPr>
          </w:pPr>
          <w:r w:rsidRPr="00077DE2">
            <w:rPr>
              <w:noProof/>
            </w:rPr>
            <w:t>B.3.4</w:t>
          </w:r>
          <w:r>
            <w:rPr>
              <w:rFonts w:eastAsiaTheme="minorEastAsia" w:cstheme="minorBidi"/>
              <w:noProof/>
              <w:sz w:val="22"/>
              <w:lang w:val="en-AU"/>
            </w:rPr>
            <w:tab/>
          </w:r>
          <w:r w:rsidRPr="00077DE2">
            <w:rPr>
              <w:noProof/>
            </w:rPr>
            <w:t>Public submissions</w:t>
          </w:r>
          <w:r>
            <w:rPr>
              <w:noProof/>
              <w:webHidden/>
            </w:rPr>
            <w:tab/>
            <w:t>10</w:t>
          </w:r>
        </w:p>
        <w:p w:rsidR="00100B2C" w:rsidRDefault="00100B2C">
          <w:pPr>
            <w:pStyle w:val="TOC3"/>
            <w:tabs>
              <w:tab w:val="left" w:pos="1320"/>
              <w:tab w:val="right" w:leader="dot" w:pos="9350"/>
            </w:tabs>
            <w:rPr>
              <w:rFonts w:eastAsiaTheme="minorEastAsia" w:cstheme="minorBidi"/>
              <w:noProof/>
              <w:sz w:val="22"/>
              <w:lang w:val="en-AU"/>
            </w:rPr>
          </w:pPr>
          <w:r w:rsidRPr="00077DE2">
            <w:rPr>
              <w:noProof/>
            </w:rPr>
            <w:t>B.3.5</w:t>
          </w:r>
          <w:r>
            <w:rPr>
              <w:rFonts w:eastAsiaTheme="minorEastAsia" w:cstheme="minorBidi"/>
              <w:noProof/>
              <w:sz w:val="22"/>
              <w:lang w:val="en-AU"/>
            </w:rPr>
            <w:tab/>
          </w:r>
          <w:r w:rsidRPr="00077DE2">
            <w:rPr>
              <w:noProof/>
            </w:rPr>
            <w:t>Stakeholder Forum</w:t>
          </w:r>
          <w:r>
            <w:rPr>
              <w:noProof/>
              <w:webHidden/>
            </w:rPr>
            <w:tab/>
            <w:t>10</w:t>
          </w:r>
        </w:p>
        <w:p w:rsidR="00100B2C" w:rsidRDefault="00100B2C">
          <w:pPr>
            <w:pStyle w:val="TOC2"/>
            <w:tabs>
              <w:tab w:val="right" w:leader="dot" w:pos="9350"/>
            </w:tabs>
            <w:rPr>
              <w:rFonts w:eastAsiaTheme="minorEastAsia" w:cstheme="minorBidi"/>
              <w:noProof/>
              <w:sz w:val="22"/>
              <w:lang w:val="en-AU"/>
            </w:rPr>
          </w:pPr>
          <w:r w:rsidRPr="00077DE2">
            <w:rPr>
              <w:noProof/>
            </w:rPr>
            <w:t>B.4 Biologics in the treatment of severe chronic plaque psoriasis</w:t>
          </w:r>
          <w:r>
            <w:rPr>
              <w:noProof/>
              <w:webHidden/>
            </w:rPr>
            <w:tab/>
            <w:t>11</w:t>
          </w:r>
        </w:p>
        <w:p w:rsidR="00100B2C" w:rsidRDefault="00100B2C">
          <w:pPr>
            <w:pStyle w:val="TOC3"/>
            <w:tabs>
              <w:tab w:val="right" w:leader="dot" w:pos="9350"/>
            </w:tabs>
            <w:rPr>
              <w:rFonts w:eastAsiaTheme="minorEastAsia" w:cstheme="minorBidi"/>
              <w:noProof/>
              <w:sz w:val="22"/>
              <w:lang w:val="en-AU"/>
            </w:rPr>
          </w:pPr>
          <w:r w:rsidRPr="00077DE2">
            <w:rPr>
              <w:noProof/>
            </w:rPr>
            <w:t>B.4.1 Description of the condition</w:t>
          </w:r>
          <w:r>
            <w:rPr>
              <w:noProof/>
              <w:webHidden/>
            </w:rPr>
            <w:tab/>
            <w:t>11</w:t>
          </w:r>
        </w:p>
        <w:p w:rsidR="00100B2C" w:rsidRDefault="00100B2C">
          <w:pPr>
            <w:pStyle w:val="TOC3"/>
            <w:tabs>
              <w:tab w:val="right" w:leader="dot" w:pos="9350"/>
            </w:tabs>
            <w:rPr>
              <w:rFonts w:eastAsiaTheme="minorEastAsia" w:cstheme="minorBidi"/>
              <w:noProof/>
              <w:sz w:val="22"/>
              <w:lang w:val="en-AU"/>
            </w:rPr>
          </w:pPr>
          <w:r w:rsidRPr="00077DE2">
            <w:rPr>
              <w:noProof/>
            </w:rPr>
            <w:t>B.4.2 Description of the intervention</w:t>
          </w:r>
          <w:r>
            <w:rPr>
              <w:noProof/>
              <w:webHidden/>
            </w:rPr>
            <w:tab/>
            <w:t>11</w:t>
          </w:r>
        </w:p>
        <w:p w:rsidR="00100B2C" w:rsidRDefault="00100B2C">
          <w:pPr>
            <w:pStyle w:val="TOC3"/>
            <w:tabs>
              <w:tab w:val="right" w:leader="dot" w:pos="9350"/>
            </w:tabs>
            <w:rPr>
              <w:rFonts w:eastAsiaTheme="minorEastAsia" w:cstheme="minorBidi"/>
              <w:noProof/>
              <w:sz w:val="22"/>
              <w:lang w:val="en-AU"/>
            </w:rPr>
          </w:pPr>
          <w:r w:rsidRPr="00077DE2">
            <w:rPr>
              <w:noProof/>
            </w:rPr>
            <w:t>B.4.3 How the intervention might work</w:t>
          </w:r>
          <w:r>
            <w:rPr>
              <w:noProof/>
              <w:webHidden/>
            </w:rPr>
            <w:tab/>
            <w:t>13</w:t>
          </w:r>
        </w:p>
        <w:p w:rsidR="00100B2C" w:rsidRDefault="00100B2C">
          <w:pPr>
            <w:pStyle w:val="TOC3"/>
            <w:tabs>
              <w:tab w:val="right" w:leader="dot" w:pos="9350"/>
            </w:tabs>
            <w:rPr>
              <w:rFonts w:eastAsiaTheme="minorEastAsia" w:cstheme="minorBidi"/>
              <w:noProof/>
              <w:sz w:val="22"/>
              <w:lang w:val="en-AU"/>
            </w:rPr>
          </w:pPr>
          <w:r w:rsidRPr="00077DE2">
            <w:rPr>
              <w:noProof/>
            </w:rPr>
            <w:t>B.4.4 PBS listing history</w:t>
          </w:r>
          <w:r>
            <w:rPr>
              <w:noProof/>
              <w:webHidden/>
            </w:rPr>
            <w:tab/>
            <w:t>13</w:t>
          </w:r>
        </w:p>
        <w:p w:rsidR="00100B2C" w:rsidRDefault="00100B2C">
          <w:pPr>
            <w:pStyle w:val="TOC3"/>
            <w:tabs>
              <w:tab w:val="right" w:leader="dot" w:pos="9350"/>
            </w:tabs>
            <w:rPr>
              <w:rFonts w:eastAsiaTheme="minorEastAsia" w:cstheme="minorBidi"/>
              <w:noProof/>
              <w:sz w:val="22"/>
              <w:lang w:val="en-AU"/>
            </w:rPr>
          </w:pPr>
          <w:r w:rsidRPr="00077DE2">
            <w:rPr>
              <w:noProof/>
            </w:rPr>
            <w:t>B.4.5 PBS prescribing restrictions</w:t>
          </w:r>
          <w:r>
            <w:rPr>
              <w:noProof/>
              <w:webHidden/>
            </w:rPr>
            <w:tab/>
            <w:t>16</w:t>
          </w:r>
        </w:p>
        <w:p w:rsidR="00100B2C" w:rsidRDefault="00100B2C">
          <w:pPr>
            <w:pStyle w:val="TOC1"/>
            <w:tabs>
              <w:tab w:val="right" w:leader="dot" w:pos="9350"/>
            </w:tabs>
            <w:rPr>
              <w:rFonts w:eastAsiaTheme="minorEastAsia" w:cstheme="minorBidi"/>
              <w:noProof/>
              <w:sz w:val="22"/>
              <w:lang w:val="en-AU"/>
            </w:rPr>
          </w:pPr>
          <w:r w:rsidRPr="00077DE2">
            <w:rPr>
              <w:noProof/>
            </w:rPr>
            <w:t>References</w:t>
          </w:r>
          <w:r>
            <w:rPr>
              <w:noProof/>
              <w:webHidden/>
            </w:rPr>
            <w:tab/>
            <w:t>19</w:t>
          </w:r>
        </w:p>
        <w:p w:rsidR="00100B2C" w:rsidRDefault="00100B2C">
          <w:pPr>
            <w:pStyle w:val="TOC1"/>
            <w:tabs>
              <w:tab w:val="right" w:leader="dot" w:pos="9350"/>
            </w:tabs>
            <w:rPr>
              <w:rFonts w:eastAsiaTheme="minorEastAsia" w:cstheme="minorBidi"/>
              <w:noProof/>
              <w:sz w:val="22"/>
              <w:lang w:val="en-AU"/>
            </w:rPr>
          </w:pPr>
          <w:r w:rsidRPr="00077DE2">
            <w:rPr>
              <w:noProof/>
            </w:rPr>
            <w:t>Appendix A – Reference Group Members</w:t>
          </w:r>
          <w:r>
            <w:rPr>
              <w:noProof/>
              <w:webHidden/>
            </w:rPr>
            <w:tab/>
            <w:t>20</w:t>
          </w:r>
        </w:p>
        <w:p w:rsidR="00100B2C" w:rsidRDefault="00100B2C">
          <w:pPr>
            <w:pStyle w:val="TOC1"/>
            <w:tabs>
              <w:tab w:val="right" w:leader="dot" w:pos="9350"/>
            </w:tabs>
            <w:rPr>
              <w:rFonts w:eastAsiaTheme="minorEastAsia" w:cstheme="minorBidi"/>
              <w:noProof/>
              <w:sz w:val="22"/>
              <w:lang w:val="en-AU"/>
            </w:rPr>
          </w:pPr>
          <w:r w:rsidRPr="00077DE2">
            <w:rPr>
              <w:noProof/>
            </w:rPr>
            <w:t xml:space="preserve">Appendix B – </w:t>
          </w:r>
          <w:r w:rsidRPr="00077DE2">
            <w:rPr>
              <w:rFonts w:ascii="Calibri" w:eastAsia="Times New Roman" w:hAnsi="Calibri" w:cs="Times New Roman"/>
              <w:noProof/>
            </w:rPr>
            <w:t>Glossary of terms</w:t>
          </w:r>
          <w:r>
            <w:rPr>
              <w:noProof/>
              <w:webHidden/>
            </w:rPr>
            <w:tab/>
            <w:t>21</w:t>
          </w:r>
        </w:p>
        <w:p w:rsidR="000C5044" w:rsidRDefault="00F5235F"/>
      </w:sdtContent>
    </w:sdt>
    <w:p w:rsidR="000C5044" w:rsidRDefault="000C5044">
      <w:pPr>
        <w:spacing w:line="276" w:lineRule="auto"/>
        <w:jc w:val="left"/>
        <w:rPr>
          <w:rFonts w:eastAsiaTheme="majorEastAsia" w:cstheme="majorBidi"/>
          <w:b/>
          <w:bCs/>
          <w:color w:val="548DD4" w:themeColor="text2" w:themeTint="99"/>
          <w:sz w:val="40"/>
          <w:szCs w:val="40"/>
        </w:rPr>
      </w:pPr>
      <w:r>
        <w:br w:type="page"/>
      </w:r>
    </w:p>
    <w:p w:rsidR="004E15E7" w:rsidRDefault="004E15E7" w:rsidP="004E15E7">
      <w:pPr>
        <w:pStyle w:val="Heading1"/>
      </w:pPr>
      <w:bookmarkStart w:id="14" w:name="_Toc503771646"/>
      <w:r>
        <w:lastRenderedPageBreak/>
        <w:t>List of Tables</w:t>
      </w:r>
      <w:bookmarkEnd w:id="14"/>
    </w:p>
    <w:p w:rsidR="00100B2C" w:rsidRDefault="00100B2C">
      <w:pPr>
        <w:pStyle w:val="TableofFigures"/>
        <w:tabs>
          <w:tab w:val="right" w:leader="dot" w:pos="9350"/>
        </w:tabs>
        <w:rPr>
          <w:rFonts w:eastAsiaTheme="minorEastAsia" w:cstheme="minorBidi"/>
          <w:noProof/>
          <w:sz w:val="22"/>
          <w:lang w:val="en-AU"/>
        </w:rPr>
      </w:pPr>
      <w:r>
        <w:rPr>
          <w:noProof/>
        </w:rPr>
        <w:t>Table B.1: Biological medicines listed on the PBS for chronic plaque psoriasis</w:t>
      </w:r>
      <w:r>
        <w:rPr>
          <w:noProof/>
        </w:rPr>
        <w:tab/>
        <w:t>12</w:t>
      </w:r>
    </w:p>
    <w:p w:rsidR="00100B2C" w:rsidRDefault="00100B2C">
      <w:pPr>
        <w:pStyle w:val="TableofFigures"/>
        <w:tabs>
          <w:tab w:val="right" w:leader="dot" w:pos="9350"/>
        </w:tabs>
        <w:rPr>
          <w:rFonts w:eastAsiaTheme="minorEastAsia" w:cstheme="minorBidi"/>
          <w:noProof/>
          <w:sz w:val="22"/>
          <w:lang w:val="en-AU"/>
        </w:rPr>
      </w:pPr>
      <w:r>
        <w:rPr>
          <w:noProof/>
        </w:rPr>
        <w:t>Table B.2: Biological medicines listed on the PBS for chronic plaque psoriasis</w:t>
      </w:r>
      <w:r>
        <w:rPr>
          <w:noProof/>
        </w:rPr>
        <w:tab/>
        <w:t>15</w:t>
      </w:r>
    </w:p>
    <w:p w:rsidR="004E15E7" w:rsidRPr="004E15E7" w:rsidRDefault="004E15E7" w:rsidP="004E15E7">
      <w:pPr>
        <w:pStyle w:val="Heading1"/>
      </w:pPr>
      <w:bookmarkStart w:id="15" w:name="_Toc503771647"/>
      <w:r>
        <w:t>List of F</w:t>
      </w:r>
      <w:r w:rsidRPr="00A54385">
        <w:t>igures</w:t>
      </w:r>
      <w:bookmarkEnd w:id="15"/>
    </w:p>
    <w:p w:rsidR="00100B2C" w:rsidRDefault="00100B2C">
      <w:pPr>
        <w:pStyle w:val="TableofFigures"/>
        <w:tabs>
          <w:tab w:val="right" w:leader="dot" w:pos="9350"/>
        </w:tabs>
        <w:rPr>
          <w:rFonts w:eastAsiaTheme="minorEastAsia" w:cstheme="minorBidi"/>
          <w:noProof/>
          <w:sz w:val="22"/>
          <w:lang w:val="en-AU"/>
        </w:rPr>
      </w:pPr>
      <w:r>
        <w:rPr>
          <w:noProof/>
        </w:rPr>
        <w:t>Figure B.1: Timeline for PBAC recommendations and listings of medicines on the PBS</w:t>
      </w:r>
      <w:r>
        <w:rPr>
          <w:noProof/>
        </w:rPr>
        <w:tab/>
        <w:t>14</w:t>
      </w:r>
    </w:p>
    <w:p w:rsidR="00126D93" w:rsidRDefault="00126D93" w:rsidP="00190D7E">
      <w:pPr>
        <w:pStyle w:val="TableofFigures"/>
        <w:tabs>
          <w:tab w:val="right" w:leader="dot" w:pos="9350"/>
        </w:tabs>
      </w:pPr>
    </w:p>
    <w:p w:rsidR="00126D93" w:rsidRDefault="00126D93" w:rsidP="00126D93">
      <w:pPr>
        <w:pStyle w:val="Heading1"/>
        <w:rPr>
          <w:lang w:val="en-AU"/>
        </w:rPr>
      </w:pPr>
      <w:bookmarkStart w:id="16" w:name="_Toc493757052"/>
      <w:bookmarkStart w:id="17" w:name="_Toc481076737"/>
      <w:bookmarkStart w:id="18" w:name="_Toc499844012"/>
      <w:bookmarkStart w:id="19" w:name="_Toc503771648"/>
      <w:r>
        <w:rPr>
          <w:lang w:val="en-AU"/>
        </w:rPr>
        <w:t>Abbreviations</w:t>
      </w:r>
      <w:bookmarkEnd w:id="16"/>
      <w:bookmarkEnd w:id="17"/>
      <w:bookmarkEnd w:id="18"/>
      <w:bookmarkEnd w:id="19"/>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bbreviations"/>
        <w:tblDescription w:val="Abbreviations"/>
      </w:tblPr>
      <w:tblGrid>
        <w:gridCol w:w="1980"/>
        <w:gridCol w:w="6660"/>
      </w:tblGrid>
      <w:tr w:rsidR="00126D93" w:rsidTr="001C3988">
        <w:trPr>
          <w:trHeight w:val="411"/>
          <w:tblHeader/>
        </w:trPr>
        <w:tc>
          <w:tcPr>
            <w:tcW w:w="1980" w:type="dxa"/>
            <w:shd w:val="clear" w:color="auto" w:fill="A6A6A6" w:themeFill="background1" w:themeFillShade="A6"/>
            <w:hideMark/>
          </w:tcPr>
          <w:p w:rsidR="00126D93" w:rsidRPr="003E2D36" w:rsidRDefault="00126D93" w:rsidP="00AD4F93">
            <w:pPr>
              <w:pStyle w:val="TableTextDusc"/>
              <w:rPr>
                <w:b/>
              </w:rPr>
            </w:pPr>
            <w:r w:rsidRPr="003E2D36">
              <w:rPr>
                <w:b/>
              </w:rPr>
              <w:t>Abbreviation</w:t>
            </w:r>
          </w:p>
        </w:tc>
        <w:tc>
          <w:tcPr>
            <w:tcW w:w="6660" w:type="dxa"/>
            <w:shd w:val="clear" w:color="auto" w:fill="A6A6A6" w:themeFill="background1" w:themeFillShade="A6"/>
            <w:hideMark/>
          </w:tcPr>
          <w:p w:rsidR="00126D93" w:rsidRPr="003E2D36" w:rsidRDefault="00126D93" w:rsidP="00AD4F93">
            <w:pPr>
              <w:pStyle w:val="TableTextDusc"/>
              <w:rPr>
                <w:b/>
              </w:rPr>
            </w:pPr>
            <w:r w:rsidRPr="003E2D36">
              <w:rPr>
                <w:b/>
              </w:rPr>
              <w:t xml:space="preserve">Full Name / Wording </w:t>
            </w:r>
          </w:p>
        </w:tc>
      </w:tr>
      <w:tr w:rsidR="00126D93" w:rsidRPr="00AD2424" w:rsidTr="001C3988">
        <w:trPr>
          <w:trHeight w:val="170"/>
        </w:trPr>
        <w:tc>
          <w:tcPr>
            <w:tcW w:w="1980" w:type="dxa"/>
          </w:tcPr>
          <w:p w:rsidR="00126D93" w:rsidRPr="00AD2424" w:rsidRDefault="00126D93" w:rsidP="00AD4F93">
            <w:pPr>
              <w:pStyle w:val="TableTextDusc"/>
            </w:pPr>
            <w:r w:rsidRPr="00AD2424">
              <w:t xml:space="preserve">CPP </w:t>
            </w:r>
          </w:p>
        </w:tc>
        <w:tc>
          <w:tcPr>
            <w:tcW w:w="6660" w:type="dxa"/>
          </w:tcPr>
          <w:p w:rsidR="00126D93" w:rsidRPr="00AD2424" w:rsidRDefault="00126D93" w:rsidP="00AD4F93">
            <w:pPr>
              <w:pStyle w:val="TableTextDusc"/>
            </w:pPr>
            <w:r w:rsidRPr="00AD2424">
              <w:t>chronic plaque psoriasis</w:t>
            </w:r>
          </w:p>
        </w:tc>
      </w:tr>
      <w:tr w:rsidR="00126D93" w:rsidRPr="00AD2424" w:rsidTr="001C3988">
        <w:trPr>
          <w:trHeight w:val="170"/>
        </w:trPr>
        <w:tc>
          <w:tcPr>
            <w:tcW w:w="1980" w:type="dxa"/>
          </w:tcPr>
          <w:p w:rsidR="00126D93" w:rsidRPr="00AD2424" w:rsidRDefault="00126D93" w:rsidP="00AD4F93">
            <w:pPr>
              <w:pStyle w:val="TableTextDusc"/>
            </w:pPr>
            <w:r w:rsidRPr="00AD2424">
              <w:t xml:space="preserve">DLQI </w:t>
            </w:r>
          </w:p>
        </w:tc>
        <w:tc>
          <w:tcPr>
            <w:tcW w:w="6660" w:type="dxa"/>
          </w:tcPr>
          <w:p w:rsidR="00126D93" w:rsidRPr="00AD2424" w:rsidRDefault="00126D93" w:rsidP="00AD4F93">
            <w:pPr>
              <w:pStyle w:val="TableTextDusc"/>
            </w:pPr>
            <w:r w:rsidRPr="00AD2424">
              <w:t>Dermatology Life Quality Index</w:t>
            </w:r>
          </w:p>
        </w:tc>
      </w:tr>
      <w:tr w:rsidR="00126D93" w:rsidRPr="00AD2424" w:rsidTr="001C3988">
        <w:trPr>
          <w:trHeight w:val="170"/>
        </w:trPr>
        <w:tc>
          <w:tcPr>
            <w:tcW w:w="1980" w:type="dxa"/>
          </w:tcPr>
          <w:p w:rsidR="00126D93" w:rsidRPr="00AD2424" w:rsidRDefault="00126D93" w:rsidP="00AD4F93">
            <w:pPr>
              <w:pStyle w:val="TableTextDusc"/>
            </w:pPr>
            <w:r>
              <w:rPr>
                <w:rFonts w:cs="Arial"/>
              </w:rPr>
              <w:t>D</w:t>
            </w:r>
            <w:r w:rsidRPr="00F02050">
              <w:rPr>
                <w:rFonts w:cs="Arial"/>
              </w:rPr>
              <w:t>USC</w:t>
            </w:r>
          </w:p>
        </w:tc>
        <w:tc>
          <w:tcPr>
            <w:tcW w:w="6660" w:type="dxa"/>
          </w:tcPr>
          <w:p w:rsidR="00126D93" w:rsidRPr="00AD2424" w:rsidRDefault="00126D93" w:rsidP="00AD4F93">
            <w:pPr>
              <w:pStyle w:val="TableTextDusc"/>
            </w:pPr>
            <w:r w:rsidRPr="00126D93">
              <w:t>Drugs Utilisation Sub-Committee</w:t>
            </w:r>
          </w:p>
        </w:tc>
      </w:tr>
      <w:tr w:rsidR="00126D93" w:rsidRPr="00AD2424" w:rsidTr="001C3988">
        <w:trPr>
          <w:trHeight w:val="170"/>
        </w:trPr>
        <w:tc>
          <w:tcPr>
            <w:tcW w:w="1980" w:type="dxa"/>
          </w:tcPr>
          <w:p w:rsidR="00126D93" w:rsidRPr="00AD2424" w:rsidRDefault="00126D93" w:rsidP="00AD4F93">
            <w:pPr>
              <w:pStyle w:val="TableTextDusc"/>
            </w:pPr>
            <w:r w:rsidRPr="00AD2424">
              <w:t xml:space="preserve">PASI </w:t>
            </w:r>
          </w:p>
        </w:tc>
        <w:tc>
          <w:tcPr>
            <w:tcW w:w="6660" w:type="dxa"/>
          </w:tcPr>
          <w:p w:rsidR="00126D93" w:rsidRPr="00AD2424" w:rsidRDefault="00126D93" w:rsidP="00AD4F93">
            <w:pPr>
              <w:pStyle w:val="TableTextDusc"/>
            </w:pPr>
            <w:r w:rsidRPr="00AD2424">
              <w:t>Psoriasis Area and Severity Index</w:t>
            </w:r>
          </w:p>
        </w:tc>
      </w:tr>
      <w:tr w:rsidR="00126D93" w:rsidRPr="00AD2424" w:rsidTr="001C3988">
        <w:trPr>
          <w:trHeight w:val="170"/>
        </w:trPr>
        <w:tc>
          <w:tcPr>
            <w:tcW w:w="1980" w:type="dxa"/>
          </w:tcPr>
          <w:p w:rsidR="00126D93" w:rsidRPr="00AD2424" w:rsidRDefault="00126D93" w:rsidP="00AD4F93">
            <w:pPr>
              <w:pStyle w:val="TableTextDusc"/>
            </w:pPr>
            <w:r w:rsidRPr="00AD2424">
              <w:t xml:space="preserve">PBAC </w:t>
            </w:r>
          </w:p>
        </w:tc>
        <w:tc>
          <w:tcPr>
            <w:tcW w:w="6660" w:type="dxa"/>
          </w:tcPr>
          <w:p w:rsidR="00126D93" w:rsidRPr="00AD2424" w:rsidRDefault="00126D93" w:rsidP="00AD4F93">
            <w:pPr>
              <w:pStyle w:val="TableTextDusc"/>
            </w:pPr>
            <w:r w:rsidRPr="00AD2424">
              <w:t>Pharmaceutical Benefits Advisory Committee</w:t>
            </w:r>
          </w:p>
        </w:tc>
      </w:tr>
      <w:tr w:rsidR="00126D93" w:rsidRPr="00AD2424" w:rsidTr="001C3988">
        <w:trPr>
          <w:trHeight w:val="170"/>
        </w:trPr>
        <w:tc>
          <w:tcPr>
            <w:tcW w:w="1980" w:type="dxa"/>
          </w:tcPr>
          <w:p w:rsidR="00126D93" w:rsidRPr="00AD2424" w:rsidRDefault="00126D93" w:rsidP="00AD4F93">
            <w:pPr>
              <w:pStyle w:val="TableTextDusc"/>
            </w:pPr>
            <w:r w:rsidRPr="00AD2424">
              <w:t>PBS</w:t>
            </w:r>
          </w:p>
        </w:tc>
        <w:tc>
          <w:tcPr>
            <w:tcW w:w="6660" w:type="dxa"/>
          </w:tcPr>
          <w:p w:rsidR="00126D93" w:rsidRPr="00AD2424" w:rsidRDefault="00126D93" w:rsidP="006E5032">
            <w:pPr>
              <w:pStyle w:val="TableTextDusc"/>
            </w:pPr>
            <w:r w:rsidRPr="00AD2424">
              <w:t>Pharmaceutical</w:t>
            </w:r>
            <w:r>
              <w:t xml:space="preserve"> B</w:t>
            </w:r>
            <w:r w:rsidRPr="00AD2424">
              <w:t xml:space="preserve">enefits </w:t>
            </w:r>
            <w:r>
              <w:t>S</w:t>
            </w:r>
            <w:r w:rsidRPr="00AD2424">
              <w:t>cheme</w:t>
            </w:r>
          </w:p>
        </w:tc>
      </w:tr>
      <w:tr w:rsidR="00126D93" w:rsidRPr="00AD2424" w:rsidTr="001C3988">
        <w:trPr>
          <w:trHeight w:val="170"/>
        </w:trPr>
        <w:tc>
          <w:tcPr>
            <w:tcW w:w="1980" w:type="dxa"/>
          </w:tcPr>
          <w:p w:rsidR="00126D93" w:rsidRPr="00AD2424" w:rsidRDefault="00126D93" w:rsidP="00126D93">
            <w:pPr>
              <w:pStyle w:val="TableTextDusc"/>
            </w:pPr>
            <w:r>
              <w:t>PMR</w:t>
            </w:r>
          </w:p>
        </w:tc>
        <w:tc>
          <w:tcPr>
            <w:tcW w:w="6660" w:type="dxa"/>
          </w:tcPr>
          <w:p w:rsidR="00126D93" w:rsidRPr="00AD2424" w:rsidRDefault="00126D93" w:rsidP="00126D93">
            <w:pPr>
              <w:pStyle w:val="TableTextDusc"/>
            </w:pPr>
            <w:r w:rsidRPr="00126D93">
              <w:t>Post-Market Review</w:t>
            </w:r>
          </w:p>
        </w:tc>
      </w:tr>
      <w:tr w:rsidR="00126D93" w:rsidRPr="00AD2424" w:rsidTr="001C3988">
        <w:trPr>
          <w:trHeight w:val="170"/>
        </w:trPr>
        <w:tc>
          <w:tcPr>
            <w:tcW w:w="1980" w:type="dxa"/>
          </w:tcPr>
          <w:p w:rsidR="00126D93" w:rsidRPr="00AD2424" w:rsidRDefault="00126D93" w:rsidP="00126D93">
            <w:pPr>
              <w:pStyle w:val="TableTextDusc"/>
            </w:pPr>
            <w:r w:rsidRPr="00126D93">
              <w:t>RACGP</w:t>
            </w:r>
            <w:r w:rsidRPr="00AD2424">
              <w:t xml:space="preserve"> </w:t>
            </w:r>
          </w:p>
        </w:tc>
        <w:tc>
          <w:tcPr>
            <w:tcW w:w="6660" w:type="dxa"/>
          </w:tcPr>
          <w:p w:rsidR="00126D93" w:rsidRPr="00AD2424" w:rsidRDefault="00126D93" w:rsidP="00126D93">
            <w:pPr>
              <w:pStyle w:val="TableTextDusc"/>
            </w:pPr>
            <w:r w:rsidRPr="00126D93">
              <w:t>Royal Australian College of General Practitioners</w:t>
            </w:r>
          </w:p>
        </w:tc>
      </w:tr>
      <w:tr w:rsidR="00126D93" w:rsidRPr="00AD2424" w:rsidTr="001C3988">
        <w:trPr>
          <w:trHeight w:val="170"/>
        </w:trPr>
        <w:tc>
          <w:tcPr>
            <w:tcW w:w="1980" w:type="dxa"/>
          </w:tcPr>
          <w:p w:rsidR="00126D93" w:rsidRPr="00126D93" w:rsidRDefault="00126D93" w:rsidP="00126D93">
            <w:pPr>
              <w:pStyle w:val="TableTextDusc"/>
            </w:pPr>
            <w:r>
              <w:t>RG</w:t>
            </w:r>
          </w:p>
        </w:tc>
        <w:tc>
          <w:tcPr>
            <w:tcW w:w="6660" w:type="dxa"/>
          </w:tcPr>
          <w:p w:rsidR="00126D93" w:rsidRPr="00126D93" w:rsidRDefault="00126D93" w:rsidP="00126D93">
            <w:pPr>
              <w:pStyle w:val="TableTextDusc"/>
            </w:pPr>
            <w:r>
              <w:t>Review Group</w:t>
            </w:r>
          </w:p>
        </w:tc>
      </w:tr>
      <w:tr w:rsidR="00126D93" w:rsidRPr="00AD2424" w:rsidTr="001C3988">
        <w:trPr>
          <w:trHeight w:val="170"/>
        </w:trPr>
        <w:tc>
          <w:tcPr>
            <w:tcW w:w="1980" w:type="dxa"/>
          </w:tcPr>
          <w:p w:rsidR="00126D93" w:rsidRPr="00AD2424" w:rsidRDefault="00126D93" w:rsidP="00F2605A">
            <w:pPr>
              <w:pStyle w:val="TableTextDusc"/>
            </w:pPr>
            <w:r w:rsidRPr="00AD2424">
              <w:t>T</w:t>
            </w:r>
            <w:r w:rsidR="00F2605A">
              <w:t>o</w:t>
            </w:r>
            <w:r w:rsidRPr="00AD2424">
              <w:t xml:space="preserve">R </w:t>
            </w:r>
          </w:p>
        </w:tc>
        <w:tc>
          <w:tcPr>
            <w:tcW w:w="6660" w:type="dxa"/>
          </w:tcPr>
          <w:p w:rsidR="00126D93" w:rsidRPr="00AD2424" w:rsidRDefault="00126D93" w:rsidP="00126D93">
            <w:pPr>
              <w:pStyle w:val="TableTextDusc"/>
            </w:pPr>
            <w:r w:rsidRPr="00AD2424">
              <w:t>term of reference</w:t>
            </w:r>
          </w:p>
        </w:tc>
      </w:tr>
    </w:tbl>
    <w:p w:rsidR="00126D93" w:rsidRDefault="00126D93" w:rsidP="00126D93">
      <w:pPr>
        <w:rPr>
          <w:lang w:val="en-AU"/>
        </w:rPr>
      </w:pPr>
    </w:p>
    <w:p w:rsidR="00126D93" w:rsidRDefault="00126D93" w:rsidP="00E7072A"/>
    <w:p w:rsidR="00126D93" w:rsidRPr="004B11B2" w:rsidRDefault="00236763" w:rsidP="00E7072A">
      <w:pPr>
        <w:rPr>
          <w:rFonts w:eastAsiaTheme="majorEastAsia" w:cstheme="majorBidi"/>
          <w:color w:val="365F91" w:themeColor="accent1" w:themeShade="BF"/>
          <w:sz w:val="28"/>
          <w:szCs w:val="28"/>
        </w:rPr>
      </w:pPr>
      <w:r w:rsidRPr="004B11B2">
        <w:br w:type="page"/>
      </w:r>
    </w:p>
    <w:p w:rsidR="00446E80" w:rsidRDefault="00446E80" w:rsidP="00E7072A">
      <w:pPr>
        <w:pStyle w:val="Heading1"/>
        <w:sectPr w:rsidR="00446E80" w:rsidSect="00062AE4">
          <w:pgSz w:w="12240" w:h="15840" w:code="1"/>
          <w:pgMar w:top="1440" w:right="1440" w:bottom="1440" w:left="1440" w:header="709" w:footer="709" w:gutter="0"/>
          <w:cols w:space="708"/>
          <w:vAlign w:val="center"/>
          <w:docGrid w:linePitch="360"/>
        </w:sectPr>
      </w:pPr>
    </w:p>
    <w:p w:rsidR="002A6B78" w:rsidRPr="004B11B2" w:rsidRDefault="002A6B78" w:rsidP="00E7072A">
      <w:pPr>
        <w:rPr>
          <w:rFonts w:eastAsiaTheme="majorEastAsia" w:cstheme="majorBidi"/>
          <w:color w:val="4F81BD" w:themeColor="accent1"/>
          <w:sz w:val="26"/>
          <w:szCs w:val="26"/>
        </w:rPr>
      </w:pPr>
    </w:p>
    <w:p w:rsidR="004E15E7" w:rsidRDefault="004E15E7" w:rsidP="004E15E7">
      <w:pPr>
        <w:pStyle w:val="Heading1"/>
      </w:pPr>
      <w:bookmarkStart w:id="20" w:name="_Toc503771649"/>
      <w:r w:rsidRPr="004E15E7">
        <w:t>Acknowledgements</w:t>
      </w:r>
      <w:bookmarkEnd w:id="20"/>
    </w:p>
    <w:p w:rsidR="004E15E7" w:rsidRDefault="004E15E7" w:rsidP="004E15E7">
      <w:pPr>
        <w:pStyle w:val="BodyText"/>
      </w:pPr>
      <w:r>
        <w:t>The following organisations and staff have been involved in the preparation of this report:</w:t>
      </w:r>
    </w:p>
    <w:p w:rsidR="004E15E7" w:rsidRDefault="004E15E7" w:rsidP="004E15E7">
      <w:pPr>
        <w:pStyle w:val="BodyText"/>
        <w:rPr>
          <w:b/>
        </w:rPr>
      </w:pPr>
      <w:r>
        <w:rPr>
          <w:b/>
        </w:rPr>
        <w:t>Centre for Applied Health Economics:</w:t>
      </w:r>
    </w:p>
    <w:p w:rsidR="004E15E7" w:rsidRDefault="004E15E7" w:rsidP="004E15E7">
      <w:pPr>
        <w:pStyle w:val="BodyText"/>
      </w:pPr>
      <w:proofErr w:type="spellStart"/>
      <w:r>
        <w:t>Dr.</w:t>
      </w:r>
      <w:proofErr w:type="spellEnd"/>
      <w:r>
        <w:t xml:space="preserve"> Martin Downes</w:t>
      </w:r>
    </w:p>
    <w:p w:rsidR="004E15E7" w:rsidRDefault="004E15E7" w:rsidP="004E15E7">
      <w:pPr>
        <w:pStyle w:val="BodyText"/>
      </w:pPr>
      <w:r>
        <w:t xml:space="preserve">Ms Emilie </w:t>
      </w:r>
      <w:proofErr w:type="spellStart"/>
      <w:r>
        <w:t>Bettington</w:t>
      </w:r>
      <w:proofErr w:type="spellEnd"/>
    </w:p>
    <w:p w:rsidR="004E15E7" w:rsidRDefault="004E15E7" w:rsidP="004E15E7">
      <w:pPr>
        <w:pStyle w:val="BodyText"/>
      </w:pPr>
      <w:r>
        <w:t>Ms Maria Donohue</w:t>
      </w:r>
    </w:p>
    <w:p w:rsidR="004E15E7" w:rsidRDefault="004E15E7" w:rsidP="004E15E7">
      <w:pPr>
        <w:pStyle w:val="BodyText"/>
      </w:pPr>
      <w:r>
        <w:t>Mr Brent Hodgkinson</w:t>
      </w:r>
    </w:p>
    <w:p w:rsidR="004E15E7" w:rsidRDefault="004E15E7" w:rsidP="004E15E7">
      <w:pPr>
        <w:pStyle w:val="BodyText"/>
      </w:pPr>
      <w:r>
        <w:t>Ms Dinusha Vithanachchi</w:t>
      </w:r>
    </w:p>
    <w:p w:rsidR="004E15E7" w:rsidRDefault="004E15E7" w:rsidP="004E15E7">
      <w:pPr>
        <w:pStyle w:val="BodyText"/>
      </w:pPr>
      <w:r>
        <w:t>Ms Anna Crothers</w:t>
      </w:r>
    </w:p>
    <w:p w:rsidR="004E15E7" w:rsidRDefault="004E15E7" w:rsidP="004E15E7">
      <w:pPr>
        <w:pStyle w:val="BodyText"/>
        <w:rPr>
          <w:b/>
        </w:rPr>
      </w:pPr>
      <w:r w:rsidRPr="00D4275C">
        <w:rPr>
          <w:b/>
        </w:rPr>
        <w:t>Expert Reference Group</w:t>
      </w:r>
      <w:r>
        <w:rPr>
          <w:b/>
        </w:rPr>
        <w:t>:</w:t>
      </w:r>
    </w:p>
    <w:p w:rsidR="004E15E7" w:rsidRDefault="004E15E7" w:rsidP="004E15E7">
      <w:pPr>
        <w:pStyle w:val="BodyText"/>
        <w:spacing w:before="120"/>
      </w:pPr>
      <w:r>
        <w:t xml:space="preserve">Membership listed in </w:t>
      </w:r>
      <w:r w:rsidR="00100B2C" w:rsidRPr="00A41970">
        <w:t xml:space="preserve">Appendix </w:t>
      </w:r>
      <w:proofErr w:type="gramStart"/>
      <w:r w:rsidR="00100B2C">
        <w:t>A</w:t>
      </w:r>
      <w:proofErr w:type="gramEnd"/>
      <w:r w:rsidR="00100B2C" w:rsidRPr="00A41970">
        <w:t xml:space="preserve"> – Reference Group Members</w:t>
      </w:r>
    </w:p>
    <w:p w:rsidR="00B14CBF" w:rsidRPr="0083256E" w:rsidRDefault="00B14CBF" w:rsidP="00E7072A">
      <w:pPr>
        <w:pStyle w:val="Heading1"/>
      </w:pPr>
      <w:bookmarkStart w:id="21" w:name="_Toc503771650"/>
      <w:r w:rsidRPr="0083256E">
        <w:t>Report</w:t>
      </w:r>
      <w:r w:rsidR="00CD4763" w:rsidRPr="0083256E">
        <w:t xml:space="preserve"> Structure</w:t>
      </w:r>
      <w:bookmarkEnd w:id="21"/>
    </w:p>
    <w:p w:rsidR="00B7672C" w:rsidRDefault="00B7672C" w:rsidP="00CA06AF">
      <w:pPr>
        <w:jc w:val="left"/>
      </w:pPr>
      <w:r w:rsidRPr="00E35976">
        <w:t xml:space="preserve">This Report is presented in </w:t>
      </w:r>
      <w:r w:rsidR="007339E1">
        <w:t xml:space="preserve">several </w:t>
      </w:r>
      <w:r w:rsidRPr="00E35976">
        <w:t>par</w:t>
      </w:r>
      <w:r w:rsidR="00FF519C" w:rsidRPr="00E35976">
        <w:t>t</w:t>
      </w:r>
      <w:r w:rsidR="007339E1">
        <w:t>s</w:t>
      </w:r>
      <w:r w:rsidR="00FF519C" w:rsidRPr="00E35976">
        <w:t xml:space="preserve">, as briefly outlined below. </w:t>
      </w:r>
      <w:r w:rsidRPr="00E35976">
        <w:t xml:space="preserve">The Report has been structured in this way to address the Terms of Reference </w:t>
      </w:r>
      <w:r w:rsidR="0081714C">
        <w:t xml:space="preserve">(ToR) </w:t>
      </w:r>
      <w:r w:rsidRPr="00E35976">
        <w:t>of the Review.</w:t>
      </w:r>
    </w:p>
    <w:p w:rsidR="00D73E11" w:rsidRPr="00524169" w:rsidRDefault="00D73E11" w:rsidP="00CA06AF">
      <w:pPr>
        <w:jc w:val="left"/>
        <w:rPr>
          <w:b/>
        </w:rPr>
      </w:pPr>
      <w:r w:rsidRPr="00524169">
        <w:rPr>
          <w:b/>
        </w:rPr>
        <w:t>Background</w:t>
      </w:r>
    </w:p>
    <w:p w:rsidR="00B7672C" w:rsidRPr="00E35976" w:rsidRDefault="000265EC" w:rsidP="00CA06AF">
      <w:pPr>
        <w:jc w:val="left"/>
      </w:pPr>
      <w:proofErr w:type="gramStart"/>
      <w:r w:rsidRPr="00E35976">
        <w:t>Provides the context for the Review</w:t>
      </w:r>
      <w:r w:rsidR="005113A5" w:rsidRPr="00E35976">
        <w:t>,</w:t>
      </w:r>
      <w:r w:rsidRPr="00E35976">
        <w:t xml:space="preserve"> </w:t>
      </w:r>
      <w:r w:rsidR="0081714C">
        <w:t>a brief description of chronic plaque psoriasis (CPP)</w:t>
      </w:r>
      <w:r w:rsidR="004D16E7">
        <w:t>;</w:t>
      </w:r>
      <w:r w:rsidR="0081714C">
        <w:t xml:space="preserve"> the listing history for PBS-listed biologics for psoriasis</w:t>
      </w:r>
      <w:r w:rsidR="004D16E7">
        <w:t>;</w:t>
      </w:r>
      <w:r w:rsidR="0081714C">
        <w:t xml:space="preserve"> and the research questions supporting the Review’s </w:t>
      </w:r>
      <w:proofErr w:type="spellStart"/>
      <w:r w:rsidR="0081714C">
        <w:t>ToRs</w:t>
      </w:r>
      <w:proofErr w:type="spellEnd"/>
      <w:r w:rsidR="0081714C">
        <w:t>.</w:t>
      </w:r>
      <w:proofErr w:type="gramEnd"/>
      <w:r w:rsidR="0081714C">
        <w:t xml:space="preserve"> </w:t>
      </w:r>
      <w:r w:rsidR="00931B5A">
        <w:t xml:space="preserve"> </w:t>
      </w:r>
    </w:p>
    <w:p w:rsidR="00817892" w:rsidRPr="00E35976" w:rsidRDefault="00904208" w:rsidP="00CA06AF">
      <w:pPr>
        <w:jc w:val="left"/>
      </w:pPr>
      <w:r w:rsidRPr="00E35976">
        <w:rPr>
          <w:b/>
        </w:rPr>
        <w:t xml:space="preserve">Section </w:t>
      </w:r>
      <w:r w:rsidR="00D73E11">
        <w:rPr>
          <w:b/>
        </w:rPr>
        <w:t>1</w:t>
      </w:r>
      <w:r w:rsidR="00817892" w:rsidRPr="00E35976">
        <w:rPr>
          <w:b/>
        </w:rPr>
        <w:t xml:space="preserve"> – </w:t>
      </w:r>
      <w:r w:rsidR="00D35EC1" w:rsidRPr="00E35976">
        <w:rPr>
          <w:b/>
        </w:rPr>
        <w:t>ToR 1:</w:t>
      </w:r>
      <w:r w:rsidR="00D35EC1" w:rsidRPr="00E35976">
        <w:t xml:space="preserve"> </w:t>
      </w:r>
      <w:r w:rsidR="0081714C">
        <w:t>R</w:t>
      </w:r>
      <w:r w:rsidR="00470C5B" w:rsidRPr="00470C5B">
        <w:t>eview</w:t>
      </w:r>
      <w:r w:rsidR="0081714C">
        <w:t>s</w:t>
      </w:r>
      <w:r w:rsidR="00470C5B" w:rsidRPr="00470C5B">
        <w:t xml:space="preserve"> </w:t>
      </w:r>
      <w:r w:rsidR="00470C5B">
        <w:t xml:space="preserve">of </w:t>
      </w:r>
      <w:r w:rsidR="00470C5B" w:rsidRPr="00470C5B">
        <w:t>current clinical guidelines for the treatment of severe CPP and compare</w:t>
      </w:r>
      <w:r w:rsidR="0081714C">
        <w:t>s them</w:t>
      </w:r>
      <w:r w:rsidR="00470C5B" w:rsidRPr="00470C5B">
        <w:t xml:space="preserve"> to the PBS restrictions for use of biologics in this indication from previous sponsor submissions.</w:t>
      </w:r>
    </w:p>
    <w:p w:rsidR="003E716F" w:rsidRPr="00E35976" w:rsidRDefault="00904208" w:rsidP="00CA06AF">
      <w:pPr>
        <w:jc w:val="left"/>
      </w:pPr>
      <w:r w:rsidRPr="009C06A2">
        <w:rPr>
          <w:b/>
        </w:rPr>
        <w:t xml:space="preserve">Section </w:t>
      </w:r>
      <w:r w:rsidR="00D73E11" w:rsidRPr="009C06A2">
        <w:rPr>
          <w:b/>
        </w:rPr>
        <w:t>2</w:t>
      </w:r>
      <w:r w:rsidR="00B7672C" w:rsidRPr="009C06A2">
        <w:rPr>
          <w:b/>
        </w:rPr>
        <w:t xml:space="preserve"> –</w:t>
      </w:r>
      <w:r w:rsidR="003E716F" w:rsidRPr="00E35976">
        <w:t xml:space="preserve"> </w:t>
      </w:r>
      <w:r w:rsidR="00D35EC1" w:rsidRPr="009C06A2">
        <w:rPr>
          <w:b/>
        </w:rPr>
        <w:t>ToR</w:t>
      </w:r>
      <w:r w:rsidR="00D35EC1" w:rsidRPr="00E35976">
        <w:t xml:space="preserve"> 2: </w:t>
      </w:r>
      <w:r w:rsidR="0081714C">
        <w:t>R</w:t>
      </w:r>
      <w:r w:rsidR="009C06A2" w:rsidRPr="009C06A2">
        <w:t>eview</w:t>
      </w:r>
      <w:r w:rsidR="0081714C">
        <w:t>s</w:t>
      </w:r>
      <w:r w:rsidR="009C06A2" w:rsidRPr="009C06A2">
        <w:t xml:space="preserve"> and evaluat</w:t>
      </w:r>
      <w:r w:rsidR="0081714C">
        <w:t>es</w:t>
      </w:r>
      <w:r w:rsidR="009C06A2" w:rsidRPr="009C06A2">
        <w:t xml:space="preserve"> recent clinical evidence on the efficacy and safety of biologics used in the treatment of severe CPP and compare</w:t>
      </w:r>
      <w:r w:rsidR="009C06A2">
        <w:t>s</w:t>
      </w:r>
      <w:r w:rsidR="009C06A2" w:rsidRPr="009C06A2">
        <w:t xml:space="preserve"> the evidence considered by </w:t>
      </w:r>
      <w:r w:rsidR="0081714C">
        <w:t>the Pharmaceutical Benefits Advisory Committee (</w:t>
      </w:r>
      <w:r w:rsidR="009C06A2" w:rsidRPr="009C06A2">
        <w:t>PBAC</w:t>
      </w:r>
      <w:r w:rsidR="0081714C">
        <w:t>)</w:t>
      </w:r>
      <w:r w:rsidR="009C06A2" w:rsidRPr="009C06A2">
        <w:t xml:space="preserve"> in precious sponsor submissions</w:t>
      </w:r>
      <w:r w:rsidR="009C06A2">
        <w:t xml:space="preserve"> to the available evidence in the review.</w:t>
      </w:r>
    </w:p>
    <w:p w:rsidR="003E716F" w:rsidRDefault="00904208" w:rsidP="00CA06AF">
      <w:pPr>
        <w:jc w:val="left"/>
      </w:pPr>
      <w:r w:rsidRPr="00E35976">
        <w:rPr>
          <w:b/>
        </w:rPr>
        <w:t xml:space="preserve">Section </w:t>
      </w:r>
      <w:r w:rsidR="00D73E11">
        <w:rPr>
          <w:b/>
        </w:rPr>
        <w:t>3</w:t>
      </w:r>
      <w:r w:rsidR="003E716F" w:rsidRPr="00E35976">
        <w:rPr>
          <w:b/>
        </w:rPr>
        <w:t xml:space="preserve"> – </w:t>
      </w:r>
      <w:r w:rsidR="00D35EC1" w:rsidRPr="00E35976">
        <w:rPr>
          <w:b/>
        </w:rPr>
        <w:t>ToR 3:</w:t>
      </w:r>
      <w:r w:rsidR="00D35EC1" w:rsidRPr="00E35976">
        <w:t xml:space="preserve"> </w:t>
      </w:r>
      <w:r w:rsidR="0081714C">
        <w:t>R</w:t>
      </w:r>
      <w:r w:rsidR="00470C5B" w:rsidRPr="00470C5B">
        <w:t>eview</w:t>
      </w:r>
      <w:r w:rsidR="0081714C">
        <w:t>s</w:t>
      </w:r>
      <w:r w:rsidR="00470C5B" w:rsidRPr="00470C5B">
        <w:t xml:space="preserve"> the utilisation of PBS biologics for the treatment of CPP and compare</w:t>
      </w:r>
      <w:r w:rsidR="0081714C">
        <w:t>s</w:t>
      </w:r>
      <w:r w:rsidR="00470C5B" w:rsidRPr="00470C5B">
        <w:t xml:space="preserve"> the patient response in practice to those observed in the clinical trial evidence considered by the PBAC</w:t>
      </w:r>
      <w:r w:rsidR="0081714C">
        <w:t>.</w:t>
      </w:r>
    </w:p>
    <w:p w:rsidR="0081714C" w:rsidRPr="00E35976" w:rsidRDefault="0081714C" w:rsidP="00CA06AF">
      <w:pPr>
        <w:jc w:val="left"/>
      </w:pPr>
      <w:r w:rsidRPr="00A51DD4">
        <w:rPr>
          <w:b/>
        </w:rPr>
        <w:t>Section</w:t>
      </w:r>
      <w:r w:rsidRPr="00E577FD">
        <w:rPr>
          <w:bCs/>
        </w:rPr>
        <w:t xml:space="preserve"> </w:t>
      </w:r>
      <w:r w:rsidRPr="00A51DD4">
        <w:rPr>
          <w:b/>
          <w:bCs/>
        </w:rPr>
        <w:t>4 – ToR 4</w:t>
      </w:r>
      <w:r w:rsidRPr="00A51DD4">
        <w:rPr>
          <w:bCs/>
        </w:rPr>
        <w:t>:</w:t>
      </w:r>
      <w:r w:rsidRPr="00E577FD">
        <w:rPr>
          <w:b/>
          <w:bCs/>
        </w:rPr>
        <w:t xml:space="preserve"> </w:t>
      </w:r>
      <w:r w:rsidRPr="00824F97">
        <w:rPr>
          <w:bCs/>
        </w:rPr>
        <w:t xml:space="preserve">Summarises the evidence considered in ToR 1-3 and presents options for the PBAC to consider </w:t>
      </w:r>
      <w:r w:rsidRPr="00A51DD4">
        <w:rPr>
          <w:bCs/>
        </w:rPr>
        <w:t>when determining if a cost-effectiveness review is required.</w:t>
      </w:r>
    </w:p>
    <w:p w:rsidR="007F4E20" w:rsidRPr="002A470A" w:rsidRDefault="00B8308F" w:rsidP="00E7072A">
      <w:pPr>
        <w:pStyle w:val="Heading1"/>
        <w:rPr>
          <w:color w:val="365F91" w:themeColor="accent1" w:themeShade="BF"/>
        </w:rPr>
      </w:pPr>
      <w:r w:rsidRPr="004B11B2">
        <w:br w:type="page"/>
      </w:r>
      <w:r w:rsidR="00D73E11" w:rsidRPr="002A470A">
        <w:lastRenderedPageBreak/>
        <w:t xml:space="preserve"> </w:t>
      </w:r>
      <w:r w:rsidR="00892EB8" w:rsidRPr="002A470A">
        <w:br/>
      </w:r>
      <w:bookmarkStart w:id="22" w:name="_Toc503771651"/>
      <w:r w:rsidR="008D0D0C" w:rsidRPr="002A470A">
        <w:t>Background</w:t>
      </w:r>
      <w:bookmarkEnd w:id="22"/>
    </w:p>
    <w:p w:rsidR="00892EB8" w:rsidRPr="00EB2E6F" w:rsidRDefault="00820063" w:rsidP="00EB2E6F">
      <w:pPr>
        <w:pStyle w:val="MDSubheading"/>
      </w:pPr>
      <w:bookmarkStart w:id="23" w:name="_Toc503771652"/>
      <w:r w:rsidRPr="00EB2E6F">
        <w:t>B.1</w:t>
      </w:r>
      <w:r w:rsidR="00D73E11" w:rsidRPr="00EB2E6F">
        <w:t xml:space="preserve"> </w:t>
      </w:r>
      <w:r w:rsidR="00CA0187">
        <w:t>Post-market monitoring</w:t>
      </w:r>
      <w:bookmarkEnd w:id="23"/>
    </w:p>
    <w:p w:rsidR="00983F56" w:rsidRPr="00D94DE8" w:rsidRDefault="00786A01" w:rsidP="00BE6E4F">
      <w:pPr>
        <w:jc w:val="left"/>
      </w:pPr>
      <w:r w:rsidRPr="00D94DE8">
        <w:t>The Post-M</w:t>
      </w:r>
      <w:r w:rsidR="00983F56" w:rsidRPr="00D94DE8">
        <w:t xml:space="preserve">arket Review </w:t>
      </w:r>
      <w:r w:rsidRPr="00D94DE8">
        <w:t xml:space="preserve">(PMR) </w:t>
      </w:r>
      <w:r w:rsidR="00931F14">
        <w:t>program</w:t>
      </w:r>
      <w:r w:rsidR="00477C4F" w:rsidRPr="00D94DE8">
        <w:t xml:space="preserve"> is</w:t>
      </w:r>
      <w:r w:rsidR="00983F56" w:rsidRPr="00D94DE8">
        <w:t xml:space="preserve"> a systematic approach to monitoring medicines subsidised by the PBS</w:t>
      </w:r>
      <w:r w:rsidR="00FF519C" w:rsidRPr="00D94DE8">
        <w:t>.</w:t>
      </w:r>
      <w:r w:rsidR="00BE346F" w:rsidRPr="00D94DE8">
        <w:t xml:space="preserve"> </w:t>
      </w:r>
      <w:r w:rsidRPr="00D94DE8">
        <w:t>PMR</w:t>
      </w:r>
      <w:r w:rsidR="00983F56" w:rsidRPr="00D94DE8">
        <w:t xml:space="preserve">s were initiated under the 2011-12 Budget measure </w:t>
      </w:r>
      <w:r w:rsidR="009A0599" w:rsidRPr="00D94DE8">
        <w:t>‘</w:t>
      </w:r>
      <w:r w:rsidR="00983F56" w:rsidRPr="00D94DE8">
        <w:t>Improving sustainability of the PBS through enhanced post-market surveillance</w:t>
      </w:r>
      <w:r w:rsidR="009A0599" w:rsidRPr="00D94DE8">
        <w:t>’</w:t>
      </w:r>
      <w:r w:rsidR="00983F56" w:rsidRPr="00D94DE8">
        <w:t>.</w:t>
      </w:r>
    </w:p>
    <w:p w:rsidR="00983F56" w:rsidRPr="00D94DE8" w:rsidRDefault="00786A01" w:rsidP="00BE6E4F">
      <w:pPr>
        <w:jc w:val="left"/>
      </w:pPr>
      <w:r w:rsidRPr="00D94DE8">
        <w:t>PMR</w:t>
      </w:r>
      <w:r w:rsidR="00983F56" w:rsidRPr="00D94DE8">
        <w:t>s are established under the quality use of medicines objective of the National Medicines Policy framework; promoting the safe and effective use of medicines, with the aim to improve health outcomes for all Australians.</w:t>
      </w:r>
    </w:p>
    <w:p w:rsidR="00983F56" w:rsidRPr="00D94DE8" w:rsidRDefault="00983F56" w:rsidP="00BE6E4F">
      <w:pPr>
        <w:jc w:val="left"/>
      </w:pPr>
      <w:r w:rsidRPr="00D94DE8">
        <w:t xml:space="preserve">The </w:t>
      </w:r>
      <w:r w:rsidR="00786A01" w:rsidRPr="00D94DE8">
        <w:t>PMR</w:t>
      </w:r>
      <w:r w:rsidRPr="00D94DE8">
        <w:t xml:space="preserve"> </w:t>
      </w:r>
      <w:r w:rsidR="00931F14">
        <w:t>program</w:t>
      </w:r>
      <w:r w:rsidRPr="00D94DE8">
        <w:t xml:space="preserve"> contributes to the following:</w:t>
      </w:r>
    </w:p>
    <w:p w:rsidR="00983F56" w:rsidRPr="00D94DE8" w:rsidRDefault="00983F56" w:rsidP="001105D7">
      <w:pPr>
        <w:pStyle w:val="ListParagraph"/>
        <w:numPr>
          <w:ilvl w:val="0"/>
          <w:numId w:val="4"/>
        </w:numPr>
        <w:jc w:val="left"/>
      </w:pPr>
      <w:r w:rsidRPr="00D94DE8">
        <w:t xml:space="preserve">Improved patient safety through better understanding of adverse events and medicine-related harms, including hospitalisations; </w:t>
      </w:r>
    </w:p>
    <w:p w:rsidR="00983F56" w:rsidRPr="00D94DE8" w:rsidRDefault="00983F56" w:rsidP="001105D7">
      <w:pPr>
        <w:pStyle w:val="ListParagraph"/>
        <w:numPr>
          <w:ilvl w:val="0"/>
          <w:numId w:val="4"/>
        </w:numPr>
        <w:jc w:val="left"/>
      </w:pPr>
      <w:r w:rsidRPr="00D94DE8">
        <w:t xml:space="preserve">A more sustainable Pharmaceutical Benefits Scheme (PBS) through better targeting of medicines, and avoidance of preventable wastage, or inappropriate prescribing; </w:t>
      </w:r>
    </w:p>
    <w:p w:rsidR="00983F56" w:rsidRPr="00D94DE8" w:rsidRDefault="00983F56" w:rsidP="001105D7">
      <w:pPr>
        <w:pStyle w:val="ListParagraph"/>
        <w:numPr>
          <w:ilvl w:val="0"/>
          <w:numId w:val="4"/>
        </w:numPr>
        <w:jc w:val="left"/>
      </w:pPr>
      <w:r w:rsidRPr="00D94DE8">
        <w:t>A better knowledge</w:t>
      </w:r>
      <w:r w:rsidR="006521F6" w:rsidRPr="00D94DE8">
        <w:t xml:space="preserve"> </w:t>
      </w:r>
      <w:r w:rsidRPr="00D94DE8">
        <w:t xml:space="preserve">base to understand medicines utilisation, to validate the intended clinical benefit which will inform medicines evaluation processes; and </w:t>
      </w:r>
    </w:p>
    <w:p w:rsidR="00983F56" w:rsidRPr="00D94DE8" w:rsidRDefault="00983F56" w:rsidP="001105D7">
      <w:pPr>
        <w:pStyle w:val="ListParagraph"/>
        <w:numPr>
          <w:ilvl w:val="0"/>
          <w:numId w:val="4"/>
        </w:numPr>
        <w:jc w:val="left"/>
      </w:pPr>
      <w:r w:rsidRPr="00D94DE8">
        <w:t>A strengthened approach to medicine pricing management, including through better management of clinical and economic uncertainty.</w:t>
      </w:r>
    </w:p>
    <w:p w:rsidR="00983F56" w:rsidRDefault="00983F56" w:rsidP="00BE6E4F">
      <w:pPr>
        <w:jc w:val="left"/>
      </w:pPr>
      <w:r w:rsidRPr="00D94DE8">
        <w:t>Post-market reviews can be initiated when concerns related to the quality use of a medicine, cost-effectiveness, clinical effectiveness, higher than predicted utilisation and/or international differences are raised</w:t>
      </w:r>
      <w:r w:rsidR="00FF519C" w:rsidRPr="00D94DE8">
        <w:t>.</w:t>
      </w:r>
      <w:r w:rsidR="00BE346F" w:rsidRPr="00D94DE8">
        <w:t xml:space="preserve"> </w:t>
      </w:r>
      <w:r w:rsidRPr="00D94DE8">
        <w:t>A full post-market revi</w:t>
      </w:r>
      <w:r w:rsidR="0086324F" w:rsidRPr="00D94DE8">
        <w:t xml:space="preserve">ew will only proceed following </w:t>
      </w:r>
      <w:r w:rsidRPr="00D94DE8">
        <w:t xml:space="preserve">PBAC agreement </w:t>
      </w:r>
      <w:r w:rsidR="009A0599" w:rsidRPr="00D94DE8">
        <w:t xml:space="preserve">and </w:t>
      </w:r>
      <w:r w:rsidRPr="00D94DE8">
        <w:t>Ministerial approval</w:t>
      </w:r>
      <w:r w:rsidR="00FF519C" w:rsidRPr="00D94DE8">
        <w:t>.</w:t>
      </w:r>
      <w:r w:rsidR="00BE346F" w:rsidRPr="00D94DE8">
        <w:t xml:space="preserve"> </w:t>
      </w:r>
    </w:p>
    <w:p w:rsidR="00983F56" w:rsidRPr="00D94DE8" w:rsidRDefault="00820063" w:rsidP="00FA56B2">
      <w:pPr>
        <w:pStyle w:val="MDSubheading"/>
      </w:pPr>
      <w:bookmarkStart w:id="24" w:name="_Toc380492198"/>
      <w:bookmarkStart w:id="25" w:name="_Toc388453106"/>
      <w:bookmarkStart w:id="26" w:name="_Toc503771653"/>
      <w:r>
        <w:t>B.</w:t>
      </w:r>
      <w:r w:rsidR="006C14D5">
        <w:t xml:space="preserve">2 </w:t>
      </w:r>
      <w:bookmarkEnd w:id="24"/>
      <w:bookmarkEnd w:id="25"/>
      <w:r w:rsidR="00CA0187">
        <w:t>Context of the Review</w:t>
      </w:r>
      <w:bookmarkEnd w:id="26"/>
    </w:p>
    <w:p w:rsidR="006338F1" w:rsidRPr="00077DE2" w:rsidRDefault="00077DE2" w:rsidP="006338F1">
      <w:pPr>
        <w:jc w:val="left"/>
        <w:rPr>
          <w:highlight w:val="black"/>
        </w:rPr>
      </w:pPr>
      <w:bookmarkStart w:id="27" w:name="_Toc380492200"/>
      <w:r>
        <w:rPr>
          <w:rFonts w:eastAsia="MS Mincho" w:cs="Arial"/>
          <w:noProof/>
          <w:color w:val="000000"/>
          <w:highlight w:val="black"/>
        </w:rPr>
        <w:t>''''' '''''' ''''''' ''''''''' '''''''''''''''' ''''''' '''''''''' '''''''''''''''' '''''''''''''''''''''''''''''' ''''''''' '''''' ''''''''' '''''''' ''''''''''''' '''''''''''''''''''''' ''''''' ''''''' ''''''''''''''''''''''''''' ''''''''''''''''''''' ''''''''''''''''''' '''' ''''''' '''''' ''''''''''''''''''''' ''''' ''''''''''''''''''''' ''''''''' ''''' '''''''''' '''''''''  ''''''' ''''''''''' ''''''''' ''''''' ''''''''''''''''''''''''''''' '''''''' '''''''''''''''''''' ''' ''''''''''''''''''' '''' '''''' '''''''''''''''' '''' ''''''''' ''''''''''''''''' ''''''''''''' '''''''''''''''''''' '''' '''''''''''''' '''''''''''''''''' '''''''' '''''''' ''''''''''''''' '''''''''' ''''''''''' ''''''''''' ''''''''''''''''' '''' '''''''' ''''''''''''''''' '''''''''''''''' ''''' '''''''''''''''''''''' ''''''''''''''''''''' ''''''' '''''''''''''''''''''''''''' ''''' '''''''''''''''''''''' '''''''' '''''''''''''' ''''''''''' ''''''''''' ''''' '' ''''''''''''''''''' '''''''''''' ''''''' ''''''''''' ''''''''''''''''''' ''''''' ''''''''''''''' ''''''''' ''''''''''''' ''''' '''''''''''''''' ''''' ''''''''''' '''''' '''''''''''''' '''' '''''' ''''''''''''''''''' '''''' '''''' ''''''''''''''''''' '''''' '''''''' ''''''' ''''''''''' '''''''' ''''''' ''''''''''''''''' ''''''''''''''''''''''''' ''''''''''' ''''''''' ''''' '''''' '''''''' ''''''''''''''''' '''''''' ''''''''''' ''''''''''''''''''''''''''' '''''''' ''''''' ''''''''' ''''''''''''''''''''' ''''''''''''''''''''''''''''' '''''''''''' ''''''''''''''''' '''''' '''''''''''''''''''' ''''' ''''''' '''''''''''''''' ''''' '''''''''</w:t>
      </w:r>
    </w:p>
    <w:p w:rsidR="00525C0D" w:rsidRPr="00525C0D" w:rsidRDefault="00525C0D" w:rsidP="00525C0D">
      <w:pPr>
        <w:jc w:val="left"/>
        <w:rPr>
          <w:rFonts w:eastAsia="MS Mincho" w:cs="Arial"/>
        </w:rPr>
      </w:pPr>
      <w:r w:rsidRPr="00525C0D">
        <w:rPr>
          <w:rFonts w:eastAsia="MS Mincho" w:cs="Arial"/>
        </w:rPr>
        <w:t xml:space="preserve">In March 2013, the PBAC considered a submission seeking an extension of the adalimumab restriction to include moderate CPP.  While the submission sought  listing for patients with PASI or DLQI &gt;10 in patients who have failed to respond to at least two non-biologic </w:t>
      </w:r>
      <w:r w:rsidRPr="00525C0D">
        <w:rPr>
          <w:rFonts w:eastAsia="MS Mincho" w:cs="Arial"/>
        </w:rPr>
        <w:lastRenderedPageBreak/>
        <w:t xml:space="preserve">therapies , the Pre-Sub-Committee Response amended the restriction so that the only difference from the previous restriction was the change from PASI of &gt; 15 to &gt;10. </w:t>
      </w:r>
    </w:p>
    <w:p w:rsidR="004A7A02" w:rsidRDefault="00525C0D" w:rsidP="001105D7">
      <w:pPr>
        <w:pStyle w:val="ListParagraph"/>
        <w:numPr>
          <w:ilvl w:val="0"/>
          <w:numId w:val="10"/>
        </w:numPr>
        <w:spacing w:before="100" w:beforeAutospacing="1" w:after="100" w:afterAutospacing="1"/>
        <w:jc w:val="left"/>
        <w:rPr>
          <w:rFonts w:cs="Arial"/>
        </w:rPr>
      </w:pPr>
      <w:r w:rsidRPr="00525C0D">
        <w:rPr>
          <w:rFonts w:cs="Arial"/>
        </w:rPr>
        <w:t>The PBAC rejected the submission on the basis of highl</w:t>
      </w:r>
      <w:r w:rsidR="004A7A02">
        <w:rPr>
          <w:rFonts w:cs="Arial"/>
        </w:rPr>
        <w:t>y uncertain cost-effectiveness.</w:t>
      </w:r>
    </w:p>
    <w:p w:rsidR="004A7A02" w:rsidRDefault="00525C0D" w:rsidP="001105D7">
      <w:pPr>
        <w:pStyle w:val="ListParagraph"/>
        <w:numPr>
          <w:ilvl w:val="0"/>
          <w:numId w:val="10"/>
        </w:numPr>
        <w:spacing w:before="100" w:beforeAutospacing="1" w:after="100" w:afterAutospacing="1"/>
        <w:jc w:val="left"/>
        <w:rPr>
          <w:rFonts w:cs="Arial"/>
        </w:rPr>
      </w:pPr>
      <w:r w:rsidRPr="004A7A02">
        <w:rPr>
          <w:rFonts w:cs="Arial"/>
        </w:rPr>
        <w:t xml:space="preserve">The PBAC was concerned about the use of monoclonal antibodies in larger patient populations to treat milder forms of disease. </w:t>
      </w:r>
    </w:p>
    <w:p w:rsidR="00525C0D" w:rsidRPr="004A7A02" w:rsidRDefault="00525C0D" w:rsidP="001105D7">
      <w:pPr>
        <w:pStyle w:val="ListParagraph"/>
        <w:numPr>
          <w:ilvl w:val="0"/>
          <w:numId w:val="10"/>
        </w:numPr>
        <w:spacing w:before="100" w:beforeAutospacing="1" w:after="100" w:afterAutospacing="1"/>
        <w:jc w:val="left"/>
        <w:rPr>
          <w:rFonts w:cs="Arial"/>
        </w:rPr>
      </w:pPr>
      <w:r w:rsidRPr="004A7A02">
        <w:rPr>
          <w:rFonts w:cs="Arial"/>
        </w:rPr>
        <w:t>The PBAC considered that there was a risk that adalimumab would be used in a proportion</w:t>
      </w:r>
      <w:r w:rsidRPr="000A163C">
        <w:t xml:space="preserve"> of patients with mild disease (i.e. PASI &lt; 10)</w:t>
      </w:r>
      <w:r>
        <w:t>.</w:t>
      </w:r>
    </w:p>
    <w:p w:rsidR="008039B7" w:rsidRDefault="008039B7" w:rsidP="006338F1">
      <w:pPr>
        <w:spacing w:before="100" w:beforeAutospacing="1" w:after="100" w:afterAutospacing="1"/>
        <w:jc w:val="left"/>
        <w:rPr>
          <w:rFonts w:cs="Arial"/>
        </w:rPr>
      </w:pPr>
      <w:r>
        <w:rPr>
          <w:rFonts w:cs="Arial"/>
        </w:rPr>
        <w:t>In</w:t>
      </w:r>
      <w:r w:rsidRPr="00F02050">
        <w:rPr>
          <w:rFonts w:cs="Arial"/>
        </w:rPr>
        <w:t xml:space="preserve"> </w:t>
      </w:r>
      <w:r>
        <w:rPr>
          <w:rFonts w:cs="Arial"/>
        </w:rPr>
        <w:t>June 2014, the D</w:t>
      </w:r>
      <w:r w:rsidRPr="00F02050">
        <w:rPr>
          <w:rFonts w:cs="Arial"/>
        </w:rPr>
        <w:t xml:space="preserve">USC </w:t>
      </w:r>
      <w:r>
        <w:rPr>
          <w:rFonts w:cs="Arial"/>
        </w:rPr>
        <w:t>utilisation</w:t>
      </w:r>
      <w:r w:rsidR="006338F1">
        <w:rPr>
          <w:rFonts w:cs="Arial"/>
        </w:rPr>
        <w:t xml:space="preserve"> review</w:t>
      </w:r>
      <w:r w:rsidRPr="00F02050">
        <w:rPr>
          <w:rFonts w:cs="Arial"/>
        </w:rPr>
        <w:t xml:space="preserve"> of </w:t>
      </w:r>
      <w:r>
        <w:rPr>
          <w:rFonts w:cs="Arial"/>
        </w:rPr>
        <w:t>PBS-listed biologics</w:t>
      </w:r>
      <w:r w:rsidRPr="00F02050">
        <w:rPr>
          <w:rFonts w:cs="Arial"/>
        </w:rPr>
        <w:t xml:space="preserve"> for </w:t>
      </w:r>
      <w:r>
        <w:rPr>
          <w:rFonts w:cs="Arial"/>
        </w:rPr>
        <w:t>CPP and found that:</w:t>
      </w:r>
    </w:p>
    <w:p w:rsidR="008039B7" w:rsidRDefault="008039B7" w:rsidP="001105D7">
      <w:pPr>
        <w:pStyle w:val="ListParagraph"/>
        <w:numPr>
          <w:ilvl w:val="0"/>
          <w:numId w:val="10"/>
        </w:numPr>
        <w:spacing w:before="100" w:beforeAutospacing="1" w:after="100" w:afterAutospacing="1"/>
        <w:jc w:val="left"/>
        <w:rPr>
          <w:rFonts w:cs="Arial"/>
        </w:rPr>
      </w:pPr>
      <w:r w:rsidRPr="008039B7">
        <w:rPr>
          <w:rFonts w:cs="Arial"/>
        </w:rPr>
        <w:t>the number of prescriptions dispensed had increased progressively between 2006 and 2013</w:t>
      </w:r>
    </w:p>
    <w:p w:rsidR="008039B7" w:rsidRDefault="008039B7" w:rsidP="001105D7">
      <w:pPr>
        <w:pStyle w:val="ListParagraph"/>
        <w:numPr>
          <w:ilvl w:val="0"/>
          <w:numId w:val="10"/>
        </w:numPr>
        <w:spacing w:before="100" w:beforeAutospacing="1" w:after="100" w:afterAutospacing="1"/>
        <w:jc w:val="left"/>
        <w:rPr>
          <w:rFonts w:cs="Arial"/>
        </w:rPr>
      </w:pPr>
      <w:r>
        <w:rPr>
          <w:rFonts w:cs="Arial"/>
        </w:rPr>
        <w:t>approximately 500 new patients started treatment each year since 2006</w:t>
      </w:r>
    </w:p>
    <w:p w:rsidR="008039B7" w:rsidRDefault="008039B7" w:rsidP="001105D7">
      <w:pPr>
        <w:pStyle w:val="ListParagraph"/>
        <w:numPr>
          <w:ilvl w:val="0"/>
          <w:numId w:val="10"/>
        </w:numPr>
        <w:spacing w:before="100" w:beforeAutospacing="1" w:after="100" w:afterAutospacing="1"/>
        <w:jc w:val="left"/>
        <w:rPr>
          <w:rFonts w:cs="Arial"/>
        </w:rPr>
      </w:pPr>
      <w:r>
        <w:rPr>
          <w:rFonts w:cs="Arial"/>
        </w:rPr>
        <w:t xml:space="preserve">close to 3,500 patients received an Authority </w:t>
      </w:r>
      <w:r w:rsidR="00897B47">
        <w:rPr>
          <w:rFonts w:cs="Arial"/>
        </w:rPr>
        <w:t>a</w:t>
      </w:r>
      <w:r>
        <w:rPr>
          <w:rFonts w:cs="Arial"/>
        </w:rPr>
        <w:t>pproval for a biological for psoriasis in 2013</w:t>
      </w:r>
    </w:p>
    <w:p w:rsidR="008039B7" w:rsidRDefault="008039B7" w:rsidP="001105D7">
      <w:pPr>
        <w:pStyle w:val="ListParagraph"/>
        <w:numPr>
          <w:ilvl w:val="0"/>
          <w:numId w:val="10"/>
        </w:numPr>
        <w:spacing w:before="100" w:beforeAutospacing="1" w:after="100" w:afterAutospacing="1"/>
        <w:jc w:val="left"/>
        <w:rPr>
          <w:rFonts w:cs="Arial"/>
        </w:rPr>
      </w:pPr>
      <w:r w:rsidRPr="008039B7">
        <w:rPr>
          <w:rFonts w:cs="Arial"/>
        </w:rPr>
        <w:t>treatment continuation was high, with 86% of patients receiving a fourth Authority approval for a biologic</w:t>
      </w:r>
      <w:r>
        <w:rPr>
          <w:rFonts w:cs="Arial"/>
        </w:rPr>
        <w:t>al</w:t>
      </w:r>
    </w:p>
    <w:p w:rsidR="008039B7" w:rsidRPr="008039B7" w:rsidRDefault="008039B7" w:rsidP="001105D7">
      <w:pPr>
        <w:pStyle w:val="ListParagraph"/>
        <w:numPr>
          <w:ilvl w:val="0"/>
          <w:numId w:val="10"/>
        </w:numPr>
        <w:spacing w:before="100" w:beforeAutospacing="1" w:after="100" w:afterAutospacing="1"/>
        <w:jc w:val="left"/>
        <w:rPr>
          <w:rFonts w:cs="Arial"/>
        </w:rPr>
      </w:pPr>
      <w:proofErr w:type="spellStart"/>
      <w:proofErr w:type="gramStart"/>
      <w:r>
        <w:rPr>
          <w:rFonts w:cs="Arial"/>
        </w:rPr>
        <w:t>u</w:t>
      </w:r>
      <w:r w:rsidRPr="008039B7">
        <w:rPr>
          <w:rFonts w:cs="Arial"/>
        </w:rPr>
        <w:t>sterkinumab</w:t>
      </w:r>
      <w:proofErr w:type="spellEnd"/>
      <w:proofErr w:type="gramEnd"/>
      <w:r w:rsidRPr="008039B7">
        <w:rPr>
          <w:rFonts w:cs="Arial"/>
        </w:rPr>
        <w:t xml:space="preserve"> was the most commonly used biologic, followed by adalimumab.</w:t>
      </w:r>
    </w:p>
    <w:p w:rsidR="00CA0187" w:rsidRDefault="00CA0187" w:rsidP="006338F1">
      <w:pPr>
        <w:spacing w:before="100" w:beforeAutospacing="1" w:after="100" w:afterAutospacing="1"/>
        <w:jc w:val="left"/>
        <w:rPr>
          <w:rFonts w:cs="Arial"/>
        </w:rPr>
      </w:pPr>
      <w:r w:rsidRPr="00C20823">
        <w:rPr>
          <w:rFonts w:cs="Arial"/>
        </w:rPr>
        <w:t xml:space="preserve">In March 2015, the PBAC in considering the submission for secukinumab for severe </w:t>
      </w:r>
      <w:r w:rsidR="004B2B86">
        <w:rPr>
          <w:rFonts w:cs="Arial"/>
        </w:rPr>
        <w:t>CPP</w:t>
      </w:r>
      <w:r w:rsidRPr="00C20823">
        <w:rPr>
          <w:rFonts w:cs="Arial"/>
        </w:rPr>
        <w:t xml:space="preserve"> noted that etanercept was the </w:t>
      </w:r>
      <w:r>
        <w:rPr>
          <w:rFonts w:cs="Arial"/>
        </w:rPr>
        <w:t xml:space="preserve">main </w:t>
      </w:r>
      <w:r w:rsidRPr="00C20823">
        <w:rPr>
          <w:rFonts w:cs="Arial"/>
        </w:rPr>
        <w:t xml:space="preserve">comparator </w:t>
      </w:r>
      <w:r>
        <w:rPr>
          <w:rFonts w:cs="Arial"/>
        </w:rPr>
        <w:t xml:space="preserve">for the PBS-listed biologics for </w:t>
      </w:r>
      <w:r w:rsidRPr="00C20823">
        <w:rPr>
          <w:rFonts w:cs="Arial"/>
        </w:rPr>
        <w:t>psoriasis</w:t>
      </w:r>
      <w:r>
        <w:rPr>
          <w:rFonts w:cs="Arial"/>
        </w:rPr>
        <w:t xml:space="preserve">, including ustekinumab. </w:t>
      </w:r>
      <w:r w:rsidRPr="00C20823">
        <w:rPr>
          <w:rFonts w:cs="Arial"/>
        </w:rPr>
        <w:t xml:space="preserve"> </w:t>
      </w:r>
      <w:r>
        <w:rPr>
          <w:rFonts w:cs="Arial"/>
        </w:rPr>
        <w:t>T</w:t>
      </w:r>
      <w:r w:rsidRPr="00C20823">
        <w:rPr>
          <w:rFonts w:cs="Arial"/>
        </w:rPr>
        <w:t>here is emerging evidence o</w:t>
      </w:r>
      <w:r>
        <w:rPr>
          <w:rFonts w:cs="Arial"/>
        </w:rPr>
        <w:t>f variations in response to TNF</w:t>
      </w:r>
      <w:r>
        <w:rPr>
          <w:rFonts w:cs="Arial"/>
        </w:rPr>
        <w:noBreakHyphen/>
      </w:r>
      <w:r w:rsidRPr="00C20823">
        <w:rPr>
          <w:rFonts w:cs="Arial"/>
        </w:rPr>
        <w:t xml:space="preserve">alfa inhibitors in psoriasis, with etanercept </w:t>
      </w:r>
      <w:r>
        <w:rPr>
          <w:rFonts w:cs="Arial"/>
        </w:rPr>
        <w:t>appearing to be less effective</w:t>
      </w:r>
      <w:r w:rsidRPr="00C20823">
        <w:rPr>
          <w:rFonts w:cs="Arial"/>
        </w:rPr>
        <w:t xml:space="preserve"> than other agents.</w:t>
      </w:r>
      <w:r>
        <w:rPr>
          <w:rFonts w:cs="Arial"/>
        </w:rPr>
        <w:t xml:space="preserve"> </w:t>
      </w:r>
      <w:r w:rsidRPr="00C20823">
        <w:rPr>
          <w:rFonts w:cs="Arial"/>
        </w:rPr>
        <w:t xml:space="preserve">The PBAC recommended to the Minister that a </w:t>
      </w:r>
      <w:r w:rsidR="006338F1">
        <w:rPr>
          <w:rFonts w:cs="Arial"/>
        </w:rPr>
        <w:t>post-market</w:t>
      </w:r>
      <w:r w:rsidRPr="00C20823">
        <w:rPr>
          <w:rFonts w:cs="Arial"/>
        </w:rPr>
        <w:t xml:space="preserve"> review of the </w:t>
      </w:r>
      <w:r>
        <w:rPr>
          <w:rFonts w:cs="Arial"/>
        </w:rPr>
        <w:t>biologicals</w:t>
      </w:r>
      <w:r w:rsidRPr="00C20823">
        <w:rPr>
          <w:rFonts w:cs="Arial"/>
        </w:rPr>
        <w:t xml:space="preserve"> for </w:t>
      </w:r>
      <w:r>
        <w:rPr>
          <w:rFonts w:cs="Arial"/>
        </w:rPr>
        <w:t xml:space="preserve">chronic plaque </w:t>
      </w:r>
      <w:r w:rsidRPr="00C20823">
        <w:rPr>
          <w:rFonts w:cs="Arial"/>
        </w:rPr>
        <w:t>psoriasis be undertaken</w:t>
      </w:r>
      <w:r>
        <w:rPr>
          <w:rFonts w:cs="Arial"/>
        </w:rPr>
        <w:t>.</w:t>
      </w:r>
    </w:p>
    <w:p w:rsidR="00CA0187" w:rsidRDefault="00A86E3F" w:rsidP="00A86E3F">
      <w:pPr>
        <w:pStyle w:val="MDSubheading"/>
      </w:pPr>
      <w:bookmarkStart w:id="28" w:name="_Toc503771654"/>
      <w:r>
        <w:t>B.3 Review Process</w:t>
      </w:r>
      <w:bookmarkEnd w:id="28"/>
    </w:p>
    <w:p w:rsidR="00703ED1" w:rsidRDefault="00703ED1" w:rsidP="00062AE4">
      <w:pPr>
        <w:pStyle w:val="MDSubsubheding"/>
      </w:pPr>
      <w:bookmarkStart w:id="29" w:name="_Toc486514192"/>
      <w:bookmarkStart w:id="30" w:name="_Toc503771655"/>
      <w:r>
        <w:t xml:space="preserve">B.3.1 </w:t>
      </w:r>
      <w:r w:rsidR="00CA06AF">
        <w:tab/>
      </w:r>
      <w:r>
        <w:t>Purpose of the Review</w:t>
      </w:r>
      <w:bookmarkEnd w:id="29"/>
      <w:bookmarkEnd w:id="30"/>
    </w:p>
    <w:p w:rsidR="00703ED1" w:rsidRDefault="00703ED1" w:rsidP="00703ED1">
      <w:pPr>
        <w:jc w:val="left"/>
      </w:pPr>
      <w:r w:rsidRPr="00CF5980">
        <w:t>Th</w:t>
      </w:r>
      <w:r w:rsidR="00337EF6">
        <w:t>e R</w:t>
      </w:r>
      <w:r w:rsidRPr="00CF5980">
        <w:t>eview has the overall aim of continuing safe and cost-effective access to biologic medicines used in the treatment of severe CPP.</w:t>
      </w:r>
      <w:r>
        <w:t xml:space="preserve"> </w:t>
      </w:r>
    </w:p>
    <w:p w:rsidR="00983F56" w:rsidRDefault="006C14D5" w:rsidP="00EB2E6F">
      <w:pPr>
        <w:pStyle w:val="MDSubsubheding"/>
      </w:pPr>
      <w:bookmarkStart w:id="31" w:name="_Toc503771656"/>
      <w:r>
        <w:t>B.</w:t>
      </w:r>
      <w:r w:rsidR="00434DA6">
        <w:t>3.2</w:t>
      </w:r>
      <w:r w:rsidR="00983F56" w:rsidRPr="00D94DE8">
        <w:tab/>
        <w:t xml:space="preserve">Review </w:t>
      </w:r>
      <w:bookmarkEnd w:id="27"/>
      <w:r>
        <w:t>Reference Group</w:t>
      </w:r>
      <w:bookmarkEnd w:id="31"/>
    </w:p>
    <w:p w:rsidR="006C14D5" w:rsidRDefault="006C14D5" w:rsidP="00CA06AF">
      <w:pPr>
        <w:jc w:val="left"/>
      </w:pPr>
      <w:r w:rsidRPr="00F048A0">
        <w:t xml:space="preserve">A Reference Group </w:t>
      </w:r>
      <w:r>
        <w:t xml:space="preserve">is formed </w:t>
      </w:r>
      <w:r w:rsidRPr="00F048A0">
        <w:t xml:space="preserve">to assist in the review of the evidence and information for each of the </w:t>
      </w:r>
      <w:r w:rsidR="00337EF6">
        <w:t>R</w:t>
      </w:r>
      <w:r w:rsidRPr="00F048A0">
        <w:t>eview’s terms of reference, and to ensure that the perspectives of stakeholders are considered in its preparation of the final report to the PBAC. The Reference Group may provide the PBAC with options to address key findings. Members of the Reference Group are appointed as either individuals or organisatio</w:t>
      </w:r>
      <w:r>
        <w:t>nal representatives. Representation includes</w:t>
      </w:r>
      <w:r w:rsidRPr="00F048A0">
        <w:t xml:space="preserve"> clinical experts, </w:t>
      </w:r>
      <w:r>
        <w:t xml:space="preserve">health economists </w:t>
      </w:r>
      <w:r w:rsidRPr="00F048A0">
        <w:t>and representatives of relevant health professional and consumer organisations.</w:t>
      </w:r>
      <w:r>
        <w:t xml:space="preserve"> The Reference group for the Review was appointed on</w:t>
      </w:r>
      <w:r w:rsidR="00434DA6">
        <w:t xml:space="preserve"> 3 February 2017</w:t>
      </w:r>
      <w:r>
        <w:t xml:space="preserve">. </w:t>
      </w:r>
      <w:r w:rsidRPr="00B67417">
        <w:t xml:space="preserve">A full list of Reference Group members </w:t>
      </w:r>
      <w:r w:rsidR="009C06A2">
        <w:t>is</w:t>
      </w:r>
      <w:r>
        <w:t xml:space="preserve"> provided in the final report published on the PBS website</w:t>
      </w:r>
      <w:r w:rsidRPr="00B67417">
        <w:t xml:space="preserve"> at </w:t>
      </w:r>
      <w:r w:rsidR="00100B2C" w:rsidRPr="00A41970">
        <w:t xml:space="preserve">Appendix </w:t>
      </w:r>
      <w:r w:rsidR="00100B2C">
        <w:t>A</w:t>
      </w:r>
      <w:r w:rsidR="00100B2C" w:rsidRPr="00A41970">
        <w:t xml:space="preserve"> – Reference Group Members</w:t>
      </w:r>
      <w:r w:rsidRPr="00447443">
        <w:t>.</w:t>
      </w:r>
      <w:r w:rsidRPr="00AE72B7">
        <w:t xml:space="preserve"> </w:t>
      </w:r>
    </w:p>
    <w:p w:rsidR="00F26CE5" w:rsidRDefault="00F26CE5" w:rsidP="00F26CE5">
      <w:pPr>
        <w:pStyle w:val="MDSubsubheding"/>
      </w:pPr>
      <w:bookmarkStart w:id="32" w:name="_Toc503771657"/>
      <w:r>
        <w:lastRenderedPageBreak/>
        <w:t>B.3.3</w:t>
      </w:r>
      <w:r w:rsidR="00CA06AF">
        <w:t xml:space="preserve"> </w:t>
      </w:r>
      <w:r w:rsidR="00CA06AF">
        <w:tab/>
      </w:r>
      <w:r>
        <w:t>Review Terms of Reference</w:t>
      </w:r>
      <w:bookmarkEnd w:id="32"/>
    </w:p>
    <w:p w:rsidR="00F26CE5" w:rsidRPr="00183170" w:rsidRDefault="00F26CE5" w:rsidP="00062AE4">
      <w:r w:rsidRPr="00183170">
        <w:t xml:space="preserve">The </w:t>
      </w:r>
      <w:r w:rsidR="00337EF6">
        <w:t>R</w:t>
      </w:r>
      <w:r w:rsidR="00327CAD">
        <w:t xml:space="preserve">eview’s </w:t>
      </w:r>
      <w:r w:rsidRPr="00183170">
        <w:t xml:space="preserve">draft Terms of Reference (ToR) were open to public consultation from 2 May 2016 to 18 May 2016. </w:t>
      </w:r>
      <w:r w:rsidR="00183170" w:rsidRPr="00183170">
        <w:t>Three submissions were received through this consultation process</w:t>
      </w:r>
      <w:r w:rsidRPr="00183170">
        <w:t xml:space="preserve">: </w:t>
      </w:r>
      <w:r w:rsidR="00183170" w:rsidRPr="00183170">
        <w:t>two</w:t>
      </w:r>
      <w:r w:rsidRPr="00183170">
        <w:t xml:space="preserve"> from </w:t>
      </w:r>
      <w:r w:rsidR="00B601F5">
        <w:t>pharmaceutical companies</w:t>
      </w:r>
      <w:r w:rsidR="00183170" w:rsidRPr="00183170">
        <w:t xml:space="preserve"> and one from a</w:t>
      </w:r>
      <w:r w:rsidRPr="00183170">
        <w:t xml:space="preserve"> health professional peak bod</w:t>
      </w:r>
      <w:r w:rsidR="00183170" w:rsidRPr="00183170">
        <w:t>y</w:t>
      </w:r>
      <w:r w:rsidRPr="00183170">
        <w:t xml:space="preserve">. </w:t>
      </w:r>
      <w:proofErr w:type="gramStart"/>
      <w:r w:rsidRPr="00183170">
        <w:t xml:space="preserve">Except where requested otherwise, public comments were published on the </w:t>
      </w:r>
      <w:r w:rsidR="00D33703" w:rsidRPr="00077DE2">
        <w:t>Re</w:t>
      </w:r>
      <w:r w:rsidRPr="00077DE2">
        <w:t>view</w:t>
      </w:r>
      <w:r w:rsidR="00183170" w:rsidRPr="00077DE2">
        <w:t>’s</w:t>
      </w:r>
      <w:r w:rsidRPr="00183170">
        <w:t xml:space="preserve"> website.</w:t>
      </w:r>
      <w:proofErr w:type="gramEnd"/>
      <w:r w:rsidRPr="00183170">
        <w:t xml:space="preserve"> </w:t>
      </w:r>
    </w:p>
    <w:p w:rsidR="00F26CE5" w:rsidRDefault="00F26CE5" w:rsidP="00327CAD">
      <w:pPr>
        <w:pStyle w:val="BodyText"/>
      </w:pPr>
      <w:r w:rsidRPr="00327CAD">
        <w:t xml:space="preserve">The PBAC considered the draft ToR and comments from stakeholders in </w:t>
      </w:r>
      <w:r w:rsidR="00183170" w:rsidRPr="00327CAD">
        <w:t>August 2016</w:t>
      </w:r>
      <w:r w:rsidRPr="00327CAD">
        <w:t xml:space="preserve">. In </w:t>
      </w:r>
      <w:r w:rsidR="00327CAD" w:rsidRPr="00327CAD">
        <w:t>November</w:t>
      </w:r>
      <w:r w:rsidRPr="00327CAD">
        <w:t xml:space="preserve"> 2016, the Minister for Health approved the final ToR. Research questions relating to the ToR were developed to guide the technical review, and were discus</w:t>
      </w:r>
      <w:r w:rsidR="00327CAD" w:rsidRPr="00327CAD">
        <w:t xml:space="preserve">sed and further refined by the </w:t>
      </w:r>
      <w:r w:rsidRPr="00327CAD">
        <w:t xml:space="preserve">RG at their first meeting on </w:t>
      </w:r>
      <w:r w:rsidR="00327CAD" w:rsidRPr="00327CAD">
        <w:t>1</w:t>
      </w:r>
      <w:r w:rsidRPr="00327CAD">
        <w:t xml:space="preserve">8 </w:t>
      </w:r>
      <w:r w:rsidR="00327CAD" w:rsidRPr="00327CAD">
        <w:t>May</w:t>
      </w:r>
      <w:r w:rsidRPr="00327CAD">
        <w:t xml:space="preserve"> 201</w:t>
      </w:r>
      <w:r w:rsidR="00327CAD" w:rsidRPr="00327CAD">
        <w:t>7</w:t>
      </w:r>
      <w:r w:rsidRPr="00327CAD">
        <w:t>. The final ToR and resea</w:t>
      </w:r>
      <w:r w:rsidR="00327CAD" w:rsidRPr="00327CAD">
        <w:t xml:space="preserve">rch questions, approved by the </w:t>
      </w:r>
      <w:r w:rsidRPr="00327CAD">
        <w:t>RG Chair, are listed below.</w:t>
      </w:r>
    </w:p>
    <w:p w:rsidR="00955F0B" w:rsidRDefault="00955F0B" w:rsidP="00955F0B">
      <w:pPr>
        <w:pStyle w:val="MDsubHead3"/>
      </w:pPr>
      <w:r>
        <w:t>Terms of reference 1</w:t>
      </w:r>
    </w:p>
    <w:p w:rsidR="00096511" w:rsidRPr="00096511" w:rsidRDefault="00096511" w:rsidP="00955F0B">
      <w:r>
        <w:t>ToR</w:t>
      </w:r>
      <w:r w:rsidRPr="00096511">
        <w:t xml:space="preserve"> 1: Review current clinical guidelines for the treatment of severe CPP and compare to the PBS restrictions for use of biologics in this indication.</w:t>
      </w:r>
    </w:p>
    <w:p w:rsidR="00096511" w:rsidRPr="00096511" w:rsidRDefault="00096511" w:rsidP="000A7064">
      <w:pPr>
        <w:pStyle w:val="BodyText"/>
        <w:spacing w:after="0"/>
        <w:ind w:left="720"/>
      </w:pPr>
      <w:r w:rsidRPr="00096511">
        <w:t>Q1. Examine whether the PBS restrictions are consistent with the clinical guidelines recommended in Australia for the treatment of severe CPP. Include consideration of the following:</w:t>
      </w:r>
    </w:p>
    <w:p w:rsidR="00096511" w:rsidRPr="00096511" w:rsidRDefault="00096511" w:rsidP="001105D7">
      <w:pPr>
        <w:pStyle w:val="BodyText"/>
        <w:numPr>
          <w:ilvl w:val="0"/>
          <w:numId w:val="11"/>
        </w:numPr>
        <w:spacing w:after="0"/>
      </w:pPr>
      <w:r w:rsidRPr="00096511">
        <w:t>Do the PBS restrictions reflect the clinical treatment algorithms recommended in</w:t>
      </w:r>
      <w:r w:rsidR="001C3988">
        <w:t xml:space="preserve"> </w:t>
      </w:r>
      <w:r w:rsidRPr="00096511">
        <w:t>Australian or other relevant international clinical guidelines?</w:t>
      </w:r>
    </w:p>
    <w:p w:rsidR="00096511" w:rsidRPr="00096511" w:rsidRDefault="00096511" w:rsidP="001105D7">
      <w:pPr>
        <w:pStyle w:val="BodyText"/>
        <w:numPr>
          <w:ilvl w:val="0"/>
          <w:numId w:val="11"/>
        </w:numPr>
        <w:spacing w:after="0"/>
      </w:pPr>
      <w:r w:rsidRPr="00096511">
        <w:t>Are the discontinuation criteria in the PBS restrictions consistent with those recommended in Australian or other relevant international clinical guidelines?</w:t>
      </w:r>
    </w:p>
    <w:p w:rsidR="00096511" w:rsidRPr="00096511" w:rsidRDefault="00096511" w:rsidP="001105D7">
      <w:pPr>
        <w:pStyle w:val="BodyText"/>
        <w:numPr>
          <w:ilvl w:val="0"/>
          <w:numId w:val="11"/>
        </w:numPr>
        <w:spacing w:after="0"/>
      </w:pPr>
      <w:r w:rsidRPr="00096511">
        <w:t>Are the recommendations for switching between biologic agents described in Australian or other relevant clinical guidelines? If so</w:t>
      </w:r>
      <w:r w:rsidR="000A7064">
        <w:t>,</w:t>
      </w:r>
      <w:r w:rsidRPr="00096511">
        <w:t xml:space="preserve"> are these recommendations consistent with PBS restrictions? </w:t>
      </w:r>
    </w:p>
    <w:p w:rsidR="00096511" w:rsidRPr="00096511" w:rsidRDefault="00096511" w:rsidP="001105D7">
      <w:pPr>
        <w:pStyle w:val="BodyText"/>
        <w:numPr>
          <w:ilvl w:val="0"/>
          <w:numId w:val="11"/>
        </w:numPr>
        <w:spacing w:after="0"/>
      </w:pPr>
      <w:r w:rsidRPr="00096511">
        <w:t xml:space="preserve">Examine the criteria in </w:t>
      </w:r>
      <w:r w:rsidR="000A7064">
        <w:t xml:space="preserve">the </w:t>
      </w:r>
      <w:r w:rsidRPr="00096511">
        <w:t>PBS restrictions for treating patients with biologics who have: pre-existing disease (e.g. viral infection); recent vaccination; or who are pregnant. Are these criteria consistent with Australian and other relevant international clinical guidelines?</w:t>
      </w:r>
    </w:p>
    <w:p w:rsidR="00096511" w:rsidRDefault="00096511" w:rsidP="00062AE4">
      <w:pPr>
        <w:pStyle w:val="BodyText"/>
        <w:spacing w:after="0"/>
        <w:ind w:left="720"/>
      </w:pPr>
      <w:r w:rsidRPr="00096511">
        <w:t xml:space="preserve">Q2. Review the most commonly recommended clinical assessment measures used to evaluate the severity of CPP or </w:t>
      </w:r>
      <w:r w:rsidR="00062AE4">
        <w:t>stages for disease progression.</w:t>
      </w:r>
    </w:p>
    <w:p w:rsidR="00955F0B" w:rsidRDefault="00955F0B" w:rsidP="00955F0B">
      <w:pPr>
        <w:pStyle w:val="MDsubHead3"/>
      </w:pPr>
      <w:r>
        <w:t>Terms of reference 2</w:t>
      </w:r>
    </w:p>
    <w:p w:rsidR="00096511" w:rsidRPr="004640B5" w:rsidRDefault="00BD0702" w:rsidP="00955F0B">
      <w:r>
        <w:t>ToR</w:t>
      </w:r>
      <w:r w:rsidR="00096511" w:rsidRPr="004640B5">
        <w:t xml:space="preserve"> 2: </w:t>
      </w:r>
      <w:r w:rsidR="00096511" w:rsidRPr="00955F0B">
        <w:t>Review and evaluate recent clinical evidence on the efficacy and safety of biologics used in the treatment of severe CPP and compare to the evidence considered by PBAC in previous sponsor submissions.</w:t>
      </w:r>
    </w:p>
    <w:p w:rsidR="00096511" w:rsidRPr="004640B5" w:rsidRDefault="00096511" w:rsidP="004640B5">
      <w:pPr>
        <w:pStyle w:val="BodyText"/>
        <w:spacing w:after="0"/>
        <w:ind w:left="720"/>
      </w:pPr>
      <w:r w:rsidRPr="004640B5">
        <w:t>Q1. Undertake a systematic literature review to identify any new randomised trials or large observational studies (cross-section, cohort, case-control or longitudinal) that compare the efficacy and safety of the PBS listed biologics for severe CPP.</w:t>
      </w:r>
    </w:p>
    <w:p w:rsidR="00096511" w:rsidRPr="004640B5" w:rsidRDefault="00096511" w:rsidP="00533501">
      <w:pPr>
        <w:pStyle w:val="BodyText"/>
        <w:spacing w:after="0"/>
        <w:ind w:left="720"/>
      </w:pPr>
      <w:r w:rsidRPr="004640B5">
        <w:t>This systematic review will focus on:</w:t>
      </w:r>
    </w:p>
    <w:p w:rsidR="00096511" w:rsidRPr="004640B5" w:rsidRDefault="00096511" w:rsidP="001105D7">
      <w:pPr>
        <w:pStyle w:val="BodyText"/>
        <w:numPr>
          <w:ilvl w:val="0"/>
          <w:numId w:val="12"/>
        </w:numPr>
        <w:spacing w:after="0"/>
      </w:pPr>
      <w:r w:rsidRPr="004640B5">
        <w:t>comparing efficacy and safety of all PBS li</w:t>
      </w:r>
      <w:r w:rsidR="000A7064">
        <w:t>sted biologic for CPP and meta-</w:t>
      </w:r>
      <w:r w:rsidRPr="004640B5">
        <w:t xml:space="preserve">analysis of results where appropriate </w:t>
      </w:r>
    </w:p>
    <w:p w:rsidR="00096511" w:rsidRPr="004640B5" w:rsidRDefault="00096511" w:rsidP="001105D7">
      <w:pPr>
        <w:pStyle w:val="BodyText"/>
        <w:numPr>
          <w:ilvl w:val="0"/>
          <w:numId w:val="12"/>
        </w:numPr>
        <w:spacing w:after="0"/>
      </w:pPr>
      <w:r w:rsidRPr="004640B5">
        <w:lastRenderedPageBreak/>
        <w:t>comparing new evidence with that already considered by PBAC for each class of medicines</w:t>
      </w:r>
    </w:p>
    <w:p w:rsidR="00096511" w:rsidRPr="004640B5" w:rsidRDefault="00096511" w:rsidP="001105D7">
      <w:pPr>
        <w:pStyle w:val="BodyText"/>
        <w:numPr>
          <w:ilvl w:val="0"/>
          <w:numId w:val="12"/>
        </w:numPr>
        <w:spacing w:after="0"/>
      </w:pPr>
      <w:r w:rsidRPr="004640B5">
        <w:t>comparing evidence on the efficacy and safe</w:t>
      </w:r>
      <w:r w:rsidR="000A7064">
        <w:t>ty of biologics for CPP in mild</w:t>
      </w:r>
      <w:r w:rsidR="000A7064">
        <w:noBreakHyphen/>
      </w:r>
      <w:r w:rsidRPr="004640B5">
        <w:t>moderate disease versus severe disease</w:t>
      </w:r>
    </w:p>
    <w:p w:rsidR="00096511" w:rsidRPr="004640B5" w:rsidRDefault="00096511" w:rsidP="001105D7">
      <w:pPr>
        <w:pStyle w:val="BodyText"/>
        <w:numPr>
          <w:ilvl w:val="0"/>
          <w:numId w:val="12"/>
        </w:numPr>
        <w:spacing w:after="0"/>
      </w:pPr>
      <w:r w:rsidRPr="004640B5">
        <w:t>consider</w:t>
      </w:r>
      <w:r w:rsidR="00533501">
        <w:t>ing</w:t>
      </w:r>
      <w:r w:rsidRPr="004640B5">
        <w:t xml:space="preserve"> any evidence on the effectiveness of biologics for CPP on other comorbidities such as psoriatic arthritis</w:t>
      </w:r>
    </w:p>
    <w:p w:rsidR="00096511" w:rsidRPr="004640B5" w:rsidRDefault="00096511" w:rsidP="001105D7">
      <w:pPr>
        <w:pStyle w:val="BodyText"/>
        <w:numPr>
          <w:ilvl w:val="0"/>
          <w:numId w:val="12"/>
        </w:numPr>
        <w:spacing w:after="0"/>
      </w:pPr>
      <w:r w:rsidRPr="004640B5">
        <w:t>consider</w:t>
      </w:r>
      <w:r w:rsidR="00533501">
        <w:t>ing</w:t>
      </w:r>
      <w:r w:rsidRPr="004640B5">
        <w:t xml:space="preserve"> evidence on comparative effectiveness of classes of biologic agents in populations with hand/face/feet psoriasis</w:t>
      </w:r>
    </w:p>
    <w:p w:rsidR="00096511" w:rsidRPr="004640B5" w:rsidRDefault="00096511" w:rsidP="001105D7">
      <w:pPr>
        <w:pStyle w:val="BodyText"/>
        <w:numPr>
          <w:ilvl w:val="0"/>
          <w:numId w:val="12"/>
        </w:numPr>
        <w:spacing w:after="0"/>
      </w:pPr>
      <w:r w:rsidRPr="004640B5">
        <w:t>identify</w:t>
      </w:r>
      <w:r w:rsidR="00533501">
        <w:t>ing</w:t>
      </w:r>
      <w:r w:rsidRPr="004640B5">
        <w:t xml:space="preserve"> and d</w:t>
      </w:r>
      <w:r w:rsidR="00C35A09">
        <w:t>escribing</w:t>
      </w:r>
      <w:r w:rsidRPr="004640B5">
        <w:t xml:space="preserve"> any recent findings concerning safety associated with longer term use of biologics</w:t>
      </w:r>
    </w:p>
    <w:p w:rsidR="00096511" w:rsidRPr="004640B5" w:rsidRDefault="00096511" w:rsidP="001105D7">
      <w:pPr>
        <w:pStyle w:val="BodyText"/>
        <w:numPr>
          <w:ilvl w:val="0"/>
          <w:numId w:val="12"/>
        </w:numPr>
        <w:spacing w:after="0"/>
      </w:pPr>
      <w:r w:rsidRPr="004640B5">
        <w:t>i</w:t>
      </w:r>
      <w:r w:rsidR="00533501">
        <w:t>ncluding</w:t>
      </w:r>
      <w:r w:rsidRPr="004640B5">
        <w:t xml:space="preserve"> a quality assessment and description of the limitations of included trials or observational studies</w:t>
      </w:r>
    </w:p>
    <w:p w:rsidR="00955F0B" w:rsidRDefault="00533501" w:rsidP="00955F0B">
      <w:pPr>
        <w:pStyle w:val="BodyText"/>
        <w:numPr>
          <w:ilvl w:val="0"/>
          <w:numId w:val="12"/>
        </w:numPr>
        <w:spacing w:after="0"/>
      </w:pPr>
      <w:proofErr w:type="gramStart"/>
      <w:r>
        <w:t>including</w:t>
      </w:r>
      <w:proofErr w:type="gramEnd"/>
      <w:r w:rsidR="00096511" w:rsidRPr="004640B5">
        <w:t xml:space="preserve"> studies measuring outcomes previously accepted by PBAC, and any other relevant clinical outcomes reported in more recent studies.</w:t>
      </w:r>
    </w:p>
    <w:p w:rsidR="00955F0B" w:rsidRDefault="00955F0B" w:rsidP="00955F0B">
      <w:pPr>
        <w:pStyle w:val="MDsubHead3"/>
      </w:pPr>
      <w:r>
        <w:t>Terms of reference 3</w:t>
      </w:r>
    </w:p>
    <w:p w:rsidR="00096511" w:rsidRPr="00BD0702" w:rsidRDefault="00955F0B" w:rsidP="00BD0702">
      <w:pPr>
        <w:pStyle w:val="BodyText"/>
      </w:pPr>
      <w:r w:rsidRPr="00955F0B">
        <w:t xml:space="preserve">ToR 3: Review the utilisation of PBS biologics for the treatment of CPP and compare the patient response in practice to those observed in the clinical trial evidence considered by the PBAC. </w:t>
      </w:r>
      <w:r w:rsidR="00096511" w:rsidRPr="00BD0702">
        <w:t>Compare the efficacy in practice among the listed biologics in terms of time on treatment and discontinuations from treatment.</w:t>
      </w:r>
    </w:p>
    <w:p w:rsidR="00096511" w:rsidRPr="00BD0702" w:rsidRDefault="00096511" w:rsidP="00BD0702">
      <w:pPr>
        <w:pStyle w:val="BodyText"/>
        <w:spacing w:after="0"/>
        <w:ind w:left="720"/>
      </w:pPr>
      <w:r w:rsidRPr="00BD0702">
        <w:t>Q1. Summarise the most recent estimates of incidence and prevalence of severe CPP in Australia or other similar populations.</w:t>
      </w:r>
    </w:p>
    <w:p w:rsidR="00096511" w:rsidRPr="00BD0702" w:rsidRDefault="00096511" w:rsidP="00BD0702">
      <w:pPr>
        <w:pStyle w:val="BodyText"/>
        <w:spacing w:after="0"/>
        <w:ind w:left="720"/>
      </w:pPr>
      <w:r w:rsidRPr="00BD0702">
        <w:t>Q2. Provide any estimates published on the prevalence of patients with psoriatic arthritis within the patient population with CPP.</w:t>
      </w:r>
    </w:p>
    <w:p w:rsidR="00096511" w:rsidRPr="00BD0702" w:rsidRDefault="00096511" w:rsidP="00BD0702">
      <w:pPr>
        <w:pStyle w:val="BodyText"/>
        <w:spacing w:after="0"/>
        <w:ind w:left="720"/>
      </w:pPr>
      <w:r w:rsidRPr="00BD0702">
        <w:t>Q3. Describe the overall utilisation in terms of prescriptions dispensed and government benefits paid for PBS listed biologics to treat severe CPP using unit record level PBS data.</w:t>
      </w:r>
    </w:p>
    <w:p w:rsidR="00096511" w:rsidRPr="00BD0702" w:rsidRDefault="00096511" w:rsidP="00BD0702">
      <w:pPr>
        <w:pStyle w:val="BodyText"/>
        <w:spacing w:after="0"/>
        <w:ind w:left="720"/>
      </w:pPr>
      <w:r w:rsidRPr="00BD0702">
        <w:t>Q4. Determine length of treatment or persistence on PBS listed biologic agents for the treatment of severe CPP. Provide an estimate of the length of treatment by drug and overall continuous length of treatment on any biologics. Present results on patient’s individual length of treatment using Kaplan Meier survival techniques.</w:t>
      </w:r>
    </w:p>
    <w:p w:rsidR="00096511" w:rsidRPr="00BD0702" w:rsidRDefault="00096511" w:rsidP="00BD0702">
      <w:pPr>
        <w:pStyle w:val="BodyText"/>
        <w:spacing w:after="0"/>
        <w:ind w:left="720"/>
      </w:pPr>
      <w:r w:rsidRPr="00BD0702">
        <w:t>Q5. Report on breaks in biologic medicine coverage that could be considered treatment holidays or discontinuation due to sustained remission of the disease.</w:t>
      </w:r>
      <w:r w:rsidR="001C3988">
        <w:t xml:space="preserve"> </w:t>
      </w:r>
    </w:p>
    <w:p w:rsidR="00096511" w:rsidRDefault="00096511" w:rsidP="00BD0702">
      <w:pPr>
        <w:pStyle w:val="BodyText"/>
        <w:spacing w:after="0"/>
        <w:ind w:left="720"/>
      </w:pPr>
      <w:r w:rsidRPr="00BD0702">
        <w:t>Q6. Examine the rate individual patient’s switch between biologics for the treatment of CPP</w:t>
      </w:r>
      <w:r w:rsidR="00C35A09">
        <w:t>.</w:t>
      </w:r>
      <w:r w:rsidRPr="00BD0702">
        <w:t xml:space="preserve"> </w:t>
      </w:r>
    </w:p>
    <w:p w:rsidR="00096511" w:rsidRPr="00BD0702" w:rsidRDefault="00096511" w:rsidP="00BD0702">
      <w:pPr>
        <w:pStyle w:val="BodyText"/>
        <w:spacing w:after="0"/>
        <w:ind w:left="720"/>
      </w:pPr>
      <w:r w:rsidRPr="00BD0702">
        <w:t>Q7. Examine the prior use of non-biologic medicines before switching to biologics.</w:t>
      </w:r>
    </w:p>
    <w:p w:rsidR="00096511" w:rsidRPr="00BD0702" w:rsidRDefault="00096511" w:rsidP="0007394D">
      <w:pPr>
        <w:pStyle w:val="BodyText"/>
        <w:spacing w:after="120"/>
        <w:ind w:left="720"/>
      </w:pPr>
      <w:r w:rsidRPr="00BD0702">
        <w:t>Q8. Consider to what extent current utilisation of PBS listed biologics is consistent with clinical guidelines and PBS restrictions</w:t>
      </w:r>
      <w:r w:rsidR="00BD0702">
        <w:t>.</w:t>
      </w:r>
    </w:p>
    <w:p w:rsidR="004F555B" w:rsidRDefault="004F555B" w:rsidP="0089133A">
      <w:pPr>
        <w:pStyle w:val="MDsubHead3"/>
      </w:pPr>
      <w:r>
        <w:lastRenderedPageBreak/>
        <w:t>Term of Reference 4</w:t>
      </w:r>
    </w:p>
    <w:p w:rsidR="0007394D" w:rsidRDefault="00BD0702" w:rsidP="0089133A">
      <w:pPr>
        <w:pStyle w:val="BodyText"/>
        <w:keepNext/>
        <w:keepLines/>
      </w:pPr>
      <w:r>
        <w:t>ToR</w:t>
      </w:r>
      <w:r w:rsidRPr="004640B5">
        <w:t xml:space="preserve"> </w:t>
      </w:r>
      <w:r w:rsidR="00C35A09">
        <w:t>4</w:t>
      </w:r>
      <w:r w:rsidR="004F555B">
        <w:t xml:space="preserve"> (this technical report): </w:t>
      </w:r>
      <w:r w:rsidR="0007394D">
        <w:t>Term of Reference 4: Subject to the findings from Terms of Reference 1, 2 and 3, review the cost-effectiveness of biologics for severe CPP.</w:t>
      </w:r>
    </w:p>
    <w:p w:rsidR="0007394D" w:rsidRDefault="0007394D" w:rsidP="0089133A">
      <w:pPr>
        <w:pStyle w:val="BodyText"/>
        <w:keepNext/>
        <w:keepLines/>
        <w:spacing w:after="0"/>
        <w:ind w:firstLine="720"/>
      </w:pPr>
      <w:r>
        <w:t>Q1. Summarise previous cost effectiveness analysis for CCP seen by the PBAC.</w:t>
      </w:r>
    </w:p>
    <w:p w:rsidR="0007394D" w:rsidRDefault="0007394D" w:rsidP="0089133A">
      <w:pPr>
        <w:pStyle w:val="BodyText"/>
        <w:keepNext/>
        <w:keepLines/>
        <w:spacing w:after="0"/>
        <w:ind w:left="720"/>
      </w:pPr>
      <w:r>
        <w:t>Q2. Summarise issues highlighted in ToR 1 to ToR 3 of the report that would need to be addressed using cost effectiveness analysis.</w:t>
      </w:r>
    </w:p>
    <w:p w:rsidR="0007394D" w:rsidRDefault="0007394D" w:rsidP="0089133A">
      <w:pPr>
        <w:pStyle w:val="BodyText"/>
        <w:keepNext/>
        <w:keepLines/>
        <w:spacing w:after="0"/>
        <w:ind w:firstLine="720"/>
      </w:pPr>
      <w:r>
        <w:t>Q3. Develop options for cost-effectiveness to be re-established in:</w:t>
      </w:r>
    </w:p>
    <w:p w:rsidR="0007394D" w:rsidRDefault="0007394D" w:rsidP="0089133A">
      <w:pPr>
        <w:pStyle w:val="BodyText"/>
        <w:keepNext/>
        <w:keepLines/>
        <w:spacing w:after="0"/>
        <w:ind w:left="720" w:firstLine="720"/>
      </w:pPr>
      <w:r>
        <w:t xml:space="preserve">a) </w:t>
      </w:r>
      <w:proofErr w:type="gramStart"/>
      <w:r>
        <w:t>the</w:t>
      </w:r>
      <w:proofErr w:type="gramEnd"/>
      <w:r>
        <w:t xml:space="preserve"> population currently accessing PBS biologics for CPP and</w:t>
      </w:r>
    </w:p>
    <w:p w:rsidR="0007394D" w:rsidRDefault="0007394D" w:rsidP="0089133A">
      <w:pPr>
        <w:pStyle w:val="BodyText"/>
        <w:keepNext/>
        <w:keepLines/>
        <w:ind w:left="720" w:firstLine="720"/>
      </w:pPr>
      <w:r>
        <w:t xml:space="preserve">b) </w:t>
      </w:r>
      <w:proofErr w:type="gramStart"/>
      <w:r>
        <w:t>the</w:t>
      </w:r>
      <w:proofErr w:type="gramEnd"/>
      <w:r>
        <w:t xml:space="preserve"> broader population identified by the reference group.</w:t>
      </w:r>
    </w:p>
    <w:p w:rsidR="004F555B" w:rsidRDefault="004F555B" w:rsidP="0089133A">
      <w:pPr>
        <w:pStyle w:val="BodyText"/>
        <w:keepNext/>
        <w:keepLines/>
      </w:pPr>
      <w:r w:rsidRPr="004F555B">
        <w:t>ToR 4</w:t>
      </w:r>
      <w:r>
        <w:t xml:space="preserve"> (possible future report)</w:t>
      </w:r>
      <w:r w:rsidRPr="004F555B">
        <w:t>: Subject to the findings from Terms of Reference 1, 2</w:t>
      </w:r>
      <w:r>
        <w:t>,</w:t>
      </w:r>
      <w:r w:rsidRPr="004F555B">
        <w:t xml:space="preserve"> 3,</w:t>
      </w:r>
      <w:r>
        <w:t xml:space="preserve"> and 4 of this technical report</w:t>
      </w:r>
      <w:r w:rsidRPr="004F555B">
        <w:t xml:space="preserve"> review the cost-effectiveness of biologics for severe chronic plaque psoriasis. </w:t>
      </w:r>
    </w:p>
    <w:p w:rsidR="006505FB" w:rsidRDefault="006505FB" w:rsidP="006505FB">
      <w:pPr>
        <w:pStyle w:val="BodyText"/>
      </w:pPr>
      <w:r>
        <w:t>The Department of Health commissioned Griffith University to undertake the research and analysis required to address the ToR</w:t>
      </w:r>
      <w:r w:rsidR="00D67960">
        <w:t xml:space="preserve"> </w:t>
      </w:r>
      <w:r w:rsidR="00337EF6">
        <w:t>with guidance from the R</w:t>
      </w:r>
      <w:r>
        <w:t>eview’s Reference Group.</w:t>
      </w:r>
    </w:p>
    <w:p w:rsidR="001B3EE3" w:rsidRDefault="00CA06AF" w:rsidP="00BD24BF">
      <w:pPr>
        <w:pStyle w:val="MDSubsubheding"/>
      </w:pPr>
      <w:bookmarkStart w:id="33" w:name="_Toc486514195"/>
      <w:bookmarkStart w:id="34" w:name="_Toc503771658"/>
      <w:r>
        <w:t>B.3.4</w:t>
      </w:r>
      <w:r>
        <w:tab/>
      </w:r>
      <w:r w:rsidR="001B3EE3">
        <w:t>Public submissions</w:t>
      </w:r>
      <w:bookmarkEnd w:id="33"/>
      <w:bookmarkEnd w:id="34"/>
    </w:p>
    <w:p w:rsidR="005D5FF0" w:rsidRDefault="005D5FF0" w:rsidP="005D5FF0">
      <w:pPr>
        <w:pStyle w:val="BodyText"/>
      </w:pPr>
      <w:r>
        <w:t xml:space="preserve">Public submissions to the </w:t>
      </w:r>
      <w:r w:rsidR="00337EF6">
        <w:t>R</w:t>
      </w:r>
      <w:r>
        <w:t xml:space="preserve">eview were open </w:t>
      </w:r>
      <w:r w:rsidR="00BD24BF">
        <w:t xml:space="preserve">from </w:t>
      </w:r>
      <w:r w:rsidR="00BD24BF" w:rsidRPr="00D72F71">
        <w:t>4 January 2017 to 15 February 2017</w:t>
      </w:r>
      <w:r>
        <w:t>. This process provided stakeholders with an opportunity to identify relevant issues, eviden</w:t>
      </w:r>
      <w:r w:rsidR="00BD24BF">
        <w:t xml:space="preserve">ce or data that may inform the </w:t>
      </w:r>
      <w:r w:rsidR="00337EF6">
        <w:t>R</w:t>
      </w:r>
      <w:r>
        <w:t xml:space="preserve">eview. Submissions were </w:t>
      </w:r>
      <w:r w:rsidRPr="00BD24BF">
        <w:t xml:space="preserve">received from </w:t>
      </w:r>
      <w:r w:rsidR="00BD24BF">
        <w:t>one individual, one peak body and four pharmaceutical companies</w:t>
      </w:r>
      <w:r>
        <w:t xml:space="preserve">. </w:t>
      </w:r>
      <w:proofErr w:type="gramStart"/>
      <w:r>
        <w:t>Except where requested otherwise, public submissions were published on the</w:t>
      </w:r>
      <w:r w:rsidR="00337EF6">
        <w:t xml:space="preserve"> R</w:t>
      </w:r>
      <w:r w:rsidR="00BD24BF">
        <w:t>eview’s website</w:t>
      </w:r>
      <w:r>
        <w:t>.</w:t>
      </w:r>
      <w:proofErr w:type="gramEnd"/>
      <w:r w:rsidR="00D26B78">
        <w:t xml:space="preserve"> </w:t>
      </w:r>
    </w:p>
    <w:p w:rsidR="00D26B78" w:rsidRDefault="002A2CC2" w:rsidP="005D5FF0">
      <w:pPr>
        <w:pStyle w:val="BodyText"/>
      </w:pPr>
      <w:r>
        <w:t>T</w:t>
      </w:r>
      <w:r w:rsidR="00D26B78">
        <w:t xml:space="preserve">he content of the public submissions </w:t>
      </w:r>
      <w:r>
        <w:t>was</w:t>
      </w:r>
      <w:r w:rsidR="00D26B78">
        <w:t xml:space="preserve"> considered in the development of the report and incorporated into the review where appropriate. Overall the clinical evidence provided in the public submissions was similar to those identified in the reviews of the literature included in the terms of reference.</w:t>
      </w:r>
    </w:p>
    <w:p w:rsidR="00393D24" w:rsidRDefault="00CA06AF" w:rsidP="00393D24">
      <w:pPr>
        <w:pStyle w:val="MDSubsubheding"/>
      </w:pPr>
      <w:bookmarkStart w:id="35" w:name="_Toc503771659"/>
      <w:r>
        <w:t>B.3.5</w:t>
      </w:r>
      <w:r>
        <w:tab/>
      </w:r>
      <w:r w:rsidR="00393D24">
        <w:t>Stakeholder Forum</w:t>
      </w:r>
      <w:bookmarkEnd w:id="35"/>
    </w:p>
    <w:p w:rsidR="00393D24" w:rsidRDefault="00393D24" w:rsidP="00393D24">
      <w:pPr>
        <w:pStyle w:val="BodyText"/>
      </w:pPr>
      <w:r>
        <w:t xml:space="preserve">A Stakeholder Forum for the </w:t>
      </w:r>
      <w:r w:rsidR="00337EF6">
        <w:t>R</w:t>
      </w:r>
      <w:r>
        <w:t xml:space="preserve">eview was held </w:t>
      </w:r>
      <w:r w:rsidR="00D26B78" w:rsidRPr="00D26B78">
        <w:t xml:space="preserve">by the Department of Health </w:t>
      </w:r>
      <w:r>
        <w:t xml:space="preserve">in Melbourne, on 20 October 2017.  </w:t>
      </w:r>
      <w:r w:rsidRPr="003703EF">
        <w:t>Prior to the meeting, attendees were provided with a background discussion paper th</w:t>
      </w:r>
      <w:r>
        <w:t xml:space="preserve">at included information on the </w:t>
      </w:r>
      <w:r w:rsidR="00337EF6">
        <w:t>R</w:t>
      </w:r>
      <w:r w:rsidRPr="003703EF">
        <w:t>eview</w:t>
      </w:r>
      <w:r>
        <w:t>’s</w:t>
      </w:r>
      <w:r w:rsidRPr="003703EF">
        <w:t xml:space="preserve"> </w:t>
      </w:r>
      <w:r>
        <w:t>ToR</w:t>
      </w:r>
      <w:r w:rsidRPr="003703EF">
        <w:t>, and identified key issues and questions for the Forum.</w:t>
      </w:r>
      <w:r w:rsidR="00D26B78" w:rsidRPr="00D26B78">
        <w:t xml:space="preserve"> A brief summary of the clinical evidence and </w:t>
      </w:r>
      <w:r w:rsidR="00D26B78">
        <w:t>psoriasis</w:t>
      </w:r>
      <w:r w:rsidR="00D26B78" w:rsidRPr="00D26B78">
        <w:t xml:space="preserve"> medicines utilisation was presented at this Forum. Focus questions were posed at the Forum to prompt discussion and there was also an opportunity for open discussion not related to the focus questions.  The </w:t>
      </w:r>
      <w:r w:rsidR="004C37F2">
        <w:t xml:space="preserve">discussion from the </w:t>
      </w:r>
      <w:r w:rsidR="004C37F2" w:rsidRPr="00D26B78">
        <w:t xml:space="preserve">Stakeholder Forum </w:t>
      </w:r>
      <w:r w:rsidR="004C37F2">
        <w:t xml:space="preserve">is </w:t>
      </w:r>
      <w:r w:rsidR="004C37F2" w:rsidRPr="00D26B78">
        <w:t>summarised in the ToR key findings</w:t>
      </w:r>
      <w:r w:rsidR="004C37F2">
        <w:t xml:space="preserve">. A full version of the </w:t>
      </w:r>
      <w:r w:rsidR="004C37F2" w:rsidRPr="00D26B78">
        <w:t xml:space="preserve">Stakeholder Forum </w:t>
      </w:r>
      <w:r w:rsidR="00D26B78" w:rsidRPr="00D26B78">
        <w:t xml:space="preserve">Summary is </w:t>
      </w:r>
      <w:r w:rsidR="004C37F2">
        <w:t xml:space="preserve">available on the </w:t>
      </w:r>
      <w:r w:rsidR="004C37F2" w:rsidRPr="00077DE2">
        <w:t>Review’s website</w:t>
      </w:r>
      <w:r w:rsidR="004C37F2">
        <w:t>.</w:t>
      </w:r>
      <w:r w:rsidR="00D26B78" w:rsidRPr="00D26B78">
        <w:t xml:space="preserve"> </w:t>
      </w:r>
      <w:r w:rsidRPr="003703EF">
        <w:t xml:space="preserve"> </w:t>
      </w:r>
    </w:p>
    <w:p w:rsidR="00983F56" w:rsidRDefault="00820063" w:rsidP="00EB2E6F">
      <w:pPr>
        <w:pStyle w:val="MDSubheading"/>
      </w:pPr>
      <w:bookmarkStart w:id="36" w:name="_Toc503771660"/>
      <w:r>
        <w:lastRenderedPageBreak/>
        <w:t>B</w:t>
      </w:r>
      <w:r w:rsidR="00117B58">
        <w:t>.</w:t>
      </w:r>
      <w:r w:rsidR="00A86E3F">
        <w:t>4</w:t>
      </w:r>
      <w:r w:rsidR="00117B58">
        <w:t xml:space="preserve"> </w:t>
      </w:r>
      <w:r w:rsidR="00393D24">
        <w:t>B</w:t>
      </w:r>
      <w:r w:rsidR="00447443" w:rsidRPr="00447443">
        <w:t>iologics in the treatment of severe chronic plaque psoriasis</w:t>
      </w:r>
      <w:bookmarkEnd w:id="36"/>
      <w:r w:rsidR="00633C6D">
        <w:t xml:space="preserve"> </w:t>
      </w:r>
    </w:p>
    <w:p w:rsidR="00447443" w:rsidRPr="00F85AD9" w:rsidRDefault="00447443" w:rsidP="00EB2E6F">
      <w:pPr>
        <w:pStyle w:val="MDSubsubheding"/>
      </w:pPr>
      <w:bookmarkStart w:id="37" w:name="_Toc482785519"/>
      <w:bookmarkStart w:id="38" w:name="_Toc503771661"/>
      <w:r>
        <w:t>B.</w:t>
      </w:r>
      <w:r w:rsidR="00393D24">
        <w:t>4</w:t>
      </w:r>
      <w:r>
        <w:t xml:space="preserve">.1 </w:t>
      </w:r>
      <w:r w:rsidRPr="00F85AD9">
        <w:t>Description of the condition</w:t>
      </w:r>
      <w:bookmarkEnd w:id="37"/>
      <w:bookmarkEnd w:id="38"/>
      <w:r w:rsidRPr="00F85AD9">
        <w:t xml:space="preserve">  </w:t>
      </w:r>
    </w:p>
    <w:p w:rsidR="0049730F" w:rsidRDefault="00955F0B" w:rsidP="0049730F">
      <w:pPr>
        <w:pStyle w:val="MDsubHead3"/>
      </w:pPr>
      <w:r>
        <w:t>Chronic Plaque Psoriasis</w:t>
      </w:r>
    </w:p>
    <w:p w:rsidR="00447443" w:rsidRPr="00447443" w:rsidRDefault="00447443" w:rsidP="0049730F">
      <w:r w:rsidRPr="00447443">
        <w:t>Psoriasis is a life-long skin condition, commonly characterised by red, scaly areas and patches. The cause is unknown; however evidence suggests that it is a disorder of the immune system</w:t>
      </w:r>
      <w:proofErr w:type="gramStart"/>
      <w:r w:rsidRPr="00447443">
        <w:t>.</w:t>
      </w:r>
      <w:r w:rsidR="00AF2E42">
        <w:rPr>
          <w:noProof/>
        </w:rPr>
        <w:t>(</w:t>
      </w:r>
      <w:proofErr w:type="gramEnd"/>
      <w:r w:rsidR="00AF2E42">
        <w:rPr>
          <w:noProof/>
        </w:rPr>
        <w:t>1)</w:t>
      </w:r>
      <w:r w:rsidRPr="00447443">
        <w:t xml:space="preserve"> It is more common in people who have a relative with psoriasis and affects approximately 2% of people worldwide.</w:t>
      </w:r>
      <w:r w:rsidR="00AF2E42">
        <w:rPr>
          <w:noProof/>
        </w:rPr>
        <w:t>(1, 2)</w:t>
      </w:r>
    </w:p>
    <w:p w:rsidR="00447443" w:rsidRPr="00447443" w:rsidRDefault="00447443" w:rsidP="00CA06AF">
      <w:pPr>
        <w:jc w:val="left"/>
      </w:pPr>
      <w:r w:rsidRPr="00447443">
        <w:t>Plaque psoriasis occurs in 90% of psoriasis sufferers and has characteristic thick, sharply edged (</w:t>
      </w:r>
      <w:proofErr w:type="spellStart"/>
      <w:r w:rsidRPr="00447443">
        <w:t>marginated</w:t>
      </w:r>
      <w:proofErr w:type="spellEnd"/>
      <w:r w:rsidRPr="00447443">
        <w:t>), red scaly lesions, most commonly on the elbows, knees, lower back and scalp.</w:t>
      </w:r>
      <w:r w:rsidR="00AF2E42">
        <w:rPr>
          <w:noProof/>
        </w:rPr>
        <w:t>(1)</w:t>
      </w:r>
      <w:r w:rsidRPr="00447443">
        <w:t xml:space="preserve"> Psoriasis can also affect the nails and joints and can impact on the emotional and social wellbeing of the affected person.</w:t>
      </w:r>
      <w:r w:rsidR="00AF2E42">
        <w:rPr>
          <w:noProof/>
        </w:rPr>
        <w:t>(1)</w:t>
      </w:r>
      <w:r w:rsidRPr="00447443">
        <w:t xml:space="preserve"> Chronic plaque psoriasis is persistent psoriasis that can be improved with treatment, but is difficult to clear completely.</w:t>
      </w:r>
      <w:r w:rsidR="00AF2E42">
        <w:rPr>
          <w:noProof/>
        </w:rPr>
        <w:t>(2)</w:t>
      </w:r>
      <w:r w:rsidRPr="00447443">
        <w:t xml:space="preserve"> It is characterised by large plaques that may join together to form large areas, and can be localised (e.g. elbows and knees) or generalised (e.g. scalp, trunk and limbs).</w:t>
      </w:r>
      <w:r w:rsidR="00AF2E42">
        <w:rPr>
          <w:noProof/>
        </w:rPr>
        <w:t>(2)</w:t>
      </w:r>
    </w:p>
    <w:p w:rsidR="00447443" w:rsidRDefault="00447443" w:rsidP="00EB2E6F">
      <w:pPr>
        <w:pStyle w:val="MDSubsubheding"/>
      </w:pPr>
      <w:bookmarkStart w:id="39" w:name="_Toc482785520"/>
      <w:bookmarkStart w:id="40" w:name="_Toc503771662"/>
      <w:r>
        <w:t>B.</w:t>
      </w:r>
      <w:r w:rsidR="00393D24">
        <w:t>4</w:t>
      </w:r>
      <w:r>
        <w:t xml:space="preserve">.2 </w:t>
      </w:r>
      <w:r w:rsidRPr="00AB6525">
        <w:t>Description of the intervention</w:t>
      </w:r>
      <w:bookmarkEnd w:id="39"/>
      <w:bookmarkEnd w:id="40"/>
      <w:r w:rsidRPr="00AB6525">
        <w:t xml:space="preserve">  </w:t>
      </w:r>
    </w:p>
    <w:p w:rsidR="00447443" w:rsidRPr="00447443" w:rsidRDefault="00447443" w:rsidP="00CA06AF">
      <w:pPr>
        <w:jc w:val="left"/>
      </w:pPr>
      <w:r w:rsidRPr="00447443">
        <w:t>Biologics (biologic therapies, biologic response modifiers</w:t>
      </w:r>
      <w:r w:rsidR="00CC6AE7">
        <w:t>,</w:t>
      </w:r>
      <w:r w:rsidR="00CC6AE7" w:rsidRPr="00CC6AE7">
        <w:t xml:space="preserve"> biopharmaceutical</w:t>
      </w:r>
      <w:r w:rsidRPr="00447443">
        <w:t>) are drugs derived from living material</w:t>
      </w:r>
      <w:r w:rsidR="00CC6AE7">
        <w:t xml:space="preserve"> (either extracted or semi-synthesised)</w:t>
      </w:r>
      <w:r w:rsidRPr="00447443">
        <w:t>, which interfere with the immune system to treat and prevent immune-mediated inflammatory disorders</w:t>
      </w:r>
      <w:proofErr w:type="gramStart"/>
      <w:r w:rsidRPr="00447443">
        <w:t>.</w:t>
      </w:r>
      <w:r w:rsidR="00AF2E42">
        <w:rPr>
          <w:noProof/>
        </w:rPr>
        <w:t>(</w:t>
      </w:r>
      <w:proofErr w:type="gramEnd"/>
      <w:r w:rsidR="00AF2E42">
        <w:rPr>
          <w:noProof/>
        </w:rPr>
        <w:t>2)</w:t>
      </w:r>
      <w:r w:rsidRPr="00447443">
        <w:t xml:space="preserve"> </w:t>
      </w:r>
    </w:p>
    <w:p w:rsidR="00447443" w:rsidRDefault="00447443" w:rsidP="00CA06AF">
      <w:pPr>
        <w:jc w:val="left"/>
      </w:pPr>
      <w:r w:rsidRPr="00447443">
        <w:t>This systematic literature review will focus on all biologics used in the treatment of severe chronic plaque psoriasis</w:t>
      </w:r>
      <w:r w:rsidR="00CC6AE7">
        <w:t xml:space="preserve"> that are listed on the PBS</w:t>
      </w:r>
      <w:r w:rsidRPr="00447443">
        <w:t>.</w:t>
      </w:r>
      <w:r w:rsidR="00391C96">
        <w:t xml:space="preserve"> </w:t>
      </w:r>
      <w:r w:rsidR="0035360F">
        <w:t xml:space="preserve">The biologics listed on the PBS are presented in </w:t>
      </w:r>
      <w:r w:rsidR="00100B2C">
        <w:t>Table B.</w:t>
      </w:r>
      <w:r w:rsidR="00100B2C">
        <w:rPr>
          <w:noProof/>
        </w:rPr>
        <w:t>1</w:t>
      </w:r>
      <w:r w:rsidR="0035360F">
        <w:t xml:space="preserve"> along with their item numbers, and route and frequency of administration.</w:t>
      </w:r>
    </w:p>
    <w:p w:rsidR="004E15E7" w:rsidRDefault="004E15E7" w:rsidP="00570D00">
      <w:pPr>
        <w:pStyle w:val="MDTabCaption"/>
        <w:keepLines/>
      </w:pPr>
      <w:bookmarkStart w:id="41" w:name="_Ref499883285"/>
      <w:bookmarkStart w:id="42" w:name="_Toc503771669"/>
      <w:bookmarkStart w:id="43" w:name="_Toc482785521"/>
      <w:r>
        <w:lastRenderedPageBreak/>
        <w:t>Table B.</w:t>
      </w:r>
      <w:r w:rsidR="00100B2C">
        <w:rPr>
          <w:noProof/>
        </w:rPr>
        <w:t>1</w:t>
      </w:r>
      <w:bookmarkEnd w:id="41"/>
      <w:r w:rsidR="00374460">
        <w:t xml:space="preserve">: </w:t>
      </w:r>
      <w:r>
        <w:t>Biological medicines listed on the PBS for chronic plaque psoriasis</w:t>
      </w:r>
      <w:bookmarkEnd w:id="42"/>
    </w:p>
    <w:tbl>
      <w:tblPr>
        <w:tblStyle w:val="TableGridLight2"/>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B.1"/>
        <w:tblDescription w:val="Biologic medicines listed on the PBS, including Active ingredient Brand name &amp; strength Company PBS item "/>
      </w:tblPr>
      <w:tblGrid>
        <w:gridCol w:w="1525"/>
        <w:gridCol w:w="1813"/>
        <w:gridCol w:w="2583"/>
        <w:gridCol w:w="2938"/>
      </w:tblGrid>
      <w:tr w:rsidR="00A06926" w:rsidRPr="002A4E9F" w:rsidTr="00BC7D00">
        <w:trPr>
          <w:tblHeader/>
        </w:trPr>
        <w:tc>
          <w:tcPr>
            <w:tcW w:w="861" w:type="pct"/>
            <w:shd w:val="clear" w:color="auto" w:fill="A6A6A6" w:themeFill="background1" w:themeFillShade="A6"/>
            <w:hideMark/>
          </w:tcPr>
          <w:p w:rsidR="00A06926" w:rsidRPr="002A4E9F"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Active ingredient</w:t>
            </w:r>
          </w:p>
        </w:tc>
        <w:tc>
          <w:tcPr>
            <w:tcW w:w="1023" w:type="pct"/>
            <w:shd w:val="clear" w:color="auto" w:fill="A6A6A6" w:themeFill="background1" w:themeFillShade="A6"/>
            <w:hideMark/>
          </w:tcPr>
          <w:p w:rsidR="00A06926" w:rsidRPr="002A4E9F"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Brand name &amp; strength</w:t>
            </w:r>
          </w:p>
        </w:tc>
        <w:tc>
          <w:tcPr>
            <w:tcW w:w="1458" w:type="pct"/>
            <w:shd w:val="clear" w:color="auto" w:fill="A6A6A6" w:themeFill="background1" w:themeFillShade="A6"/>
          </w:tcPr>
          <w:p w:rsidR="00A06926"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Company/</w:t>
            </w:r>
          </w:p>
          <w:p w:rsidR="00A06926" w:rsidRPr="002A4E9F" w:rsidRDefault="00A06926" w:rsidP="00BC7D00">
            <w:pPr>
              <w:pStyle w:val="02TableHEADINGcentred"/>
              <w:keepLines/>
              <w:jc w:val="left"/>
              <w:rPr>
                <w:rFonts w:asciiTheme="minorHAnsi" w:hAnsiTheme="minorHAnsi"/>
                <w:sz w:val="20"/>
                <w:szCs w:val="20"/>
              </w:rPr>
            </w:pPr>
            <w:r>
              <w:rPr>
                <w:rFonts w:asciiTheme="minorHAnsi" w:hAnsiTheme="minorHAnsi"/>
                <w:sz w:val="20"/>
                <w:szCs w:val="20"/>
              </w:rPr>
              <w:t>PBS Item number</w:t>
            </w:r>
          </w:p>
        </w:tc>
        <w:tc>
          <w:tcPr>
            <w:tcW w:w="1658" w:type="pct"/>
            <w:shd w:val="clear" w:color="auto" w:fill="A6A6A6" w:themeFill="background1" w:themeFillShade="A6"/>
            <w:hideMark/>
          </w:tcPr>
          <w:p w:rsidR="00A06926" w:rsidRPr="002A4E9F" w:rsidRDefault="00A06926" w:rsidP="00BC7D00">
            <w:pPr>
              <w:pStyle w:val="02TableHEADINGcentred"/>
              <w:keepLines/>
              <w:jc w:val="left"/>
              <w:rPr>
                <w:rFonts w:asciiTheme="minorHAnsi" w:hAnsiTheme="minorHAnsi"/>
                <w:sz w:val="20"/>
                <w:szCs w:val="20"/>
              </w:rPr>
            </w:pPr>
            <w:r w:rsidRPr="002A4E9F">
              <w:rPr>
                <w:rFonts w:asciiTheme="minorHAnsi" w:hAnsiTheme="minorHAnsi"/>
                <w:sz w:val="20"/>
                <w:szCs w:val="20"/>
              </w:rPr>
              <w:t>Administration</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Efalizumab</w:t>
            </w:r>
          </w:p>
        </w:tc>
        <w:tc>
          <w:tcPr>
            <w:tcW w:w="1023" w:type="pct"/>
            <w:hideMark/>
          </w:tcPr>
          <w:p w:rsidR="00A06926" w:rsidRPr="002A4E9F"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Raptiva</w:t>
            </w:r>
            <w:proofErr w:type="spellEnd"/>
            <w:r w:rsidRPr="002A4E9F">
              <w:rPr>
                <w:rFonts w:asciiTheme="minorHAnsi" w:hAnsiTheme="minorHAnsi"/>
                <w:sz w:val="20"/>
                <w:szCs w:val="20"/>
              </w:rPr>
              <w:t>®, 125mg</w:t>
            </w:r>
          </w:p>
        </w:tc>
        <w:tc>
          <w:tcPr>
            <w:tcW w:w="14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Serono</w:t>
            </w:r>
          </w:p>
        </w:tc>
        <w:tc>
          <w:tcPr>
            <w:tcW w:w="1658"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powder for injection</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Etanercept</w:t>
            </w:r>
          </w:p>
        </w:tc>
        <w:tc>
          <w:tcPr>
            <w:tcW w:w="1023" w:type="pct"/>
            <w:hideMark/>
          </w:tcPr>
          <w:p w:rsidR="00A06926" w:rsidRDefault="00A06926" w:rsidP="00BC7D00">
            <w:pPr>
              <w:pStyle w:val="05Tabletext"/>
              <w:keepNext/>
              <w:keepLines/>
              <w:spacing w:before="0"/>
              <w:ind w:left="0" w:right="0"/>
              <w:rPr>
                <w:rFonts w:asciiTheme="minorHAnsi" w:hAnsiTheme="minorHAnsi"/>
                <w:sz w:val="20"/>
                <w:szCs w:val="20"/>
              </w:rPr>
            </w:pPr>
            <w:r w:rsidRPr="002A4E9F">
              <w:rPr>
                <w:rFonts w:asciiTheme="minorHAnsi" w:hAnsiTheme="minorHAnsi"/>
                <w:sz w:val="20"/>
                <w:szCs w:val="20"/>
              </w:rPr>
              <w:t>Enbrel®</w:t>
            </w:r>
          </w:p>
          <w:p w:rsidR="00A06926" w:rsidRDefault="00A06926" w:rsidP="00BC7D00">
            <w:pPr>
              <w:pStyle w:val="05Tabletext"/>
              <w:keepNext/>
              <w:keepLines/>
              <w:spacing w:before="0"/>
              <w:ind w:left="0" w:right="0"/>
              <w:rPr>
                <w:rFonts w:asciiTheme="minorHAnsi" w:hAnsiTheme="minorHAnsi"/>
                <w:sz w:val="20"/>
                <w:szCs w:val="20"/>
              </w:rPr>
            </w:pPr>
            <w:r w:rsidRPr="002A4E9F">
              <w:rPr>
                <w:rFonts w:asciiTheme="minorHAnsi" w:hAnsiTheme="minorHAnsi"/>
                <w:sz w:val="20"/>
                <w:szCs w:val="20"/>
              </w:rPr>
              <w:t>25mg</w:t>
            </w:r>
            <w:r>
              <w:rPr>
                <w:rFonts w:asciiTheme="minorHAnsi" w:hAnsiTheme="minorHAnsi"/>
                <w:sz w:val="20"/>
                <w:szCs w:val="20"/>
              </w:rPr>
              <w:t>/ml, and</w:t>
            </w:r>
            <w:r w:rsidRPr="002A4E9F">
              <w:rPr>
                <w:rFonts w:asciiTheme="minorHAnsi" w:hAnsiTheme="minorHAnsi"/>
                <w:sz w:val="20"/>
                <w:szCs w:val="20"/>
              </w:rPr>
              <w:t xml:space="preserve"> </w:t>
            </w:r>
          </w:p>
          <w:p w:rsidR="00A06926" w:rsidRPr="00452F24" w:rsidRDefault="00A06926" w:rsidP="00BC7D00">
            <w:r w:rsidRPr="002A4E9F">
              <w:rPr>
                <w:sz w:val="20"/>
                <w:szCs w:val="20"/>
              </w:rPr>
              <w:t>50mg</w:t>
            </w:r>
            <w:r>
              <w:rPr>
                <w:sz w:val="20"/>
                <w:szCs w:val="20"/>
              </w:rPr>
              <w:t>/ml</w:t>
            </w:r>
          </w:p>
          <w:p w:rsidR="00A06926" w:rsidRPr="002A4E9F" w:rsidRDefault="00A06926" w:rsidP="00BC7D00">
            <w:pPr>
              <w:keepNext/>
              <w:keepLines/>
              <w:jc w:val="left"/>
              <w:rPr>
                <w:sz w:val="20"/>
                <w:szCs w:val="20"/>
                <w:lang w:val="en-AU" w:eastAsia="en-US"/>
              </w:rPr>
            </w:pPr>
          </w:p>
          <w:p w:rsidR="00A06926" w:rsidRDefault="00A06926" w:rsidP="00BC7D00">
            <w:pPr>
              <w:keepNext/>
              <w:keepLines/>
              <w:jc w:val="left"/>
              <w:rPr>
                <w:sz w:val="20"/>
                <w:szCs w:val="20"/>
                <w:lang w:val="en-AU" w:eastAsia="en-US"/>
              </w:rPr>
            </w:pPr>
          </w:p>
          <w:p w:rsidR="00A06926" w:rsidRPr="002A4E9F" w:rsidRDefault="00A06926" w:rsidP="00BC7D00">
            <w:pPr>
              <w:keepNext/>
              <w:keepLines/>
              <w:jc w:val="left"/>
              <w:rPr>
                <w:sz w:val="20"/>
                <w:szCs w:val="20"/>
                <w:lang w:val="en-AU" w:eastAsia="en-US"/>
              </w:rPr>
            </w:pPr>
          </w:p>
          <w:p w:rsidR="00A06926" w:rsidRPr="002A4E9F" w:rsidRDefault="00A06926" w:rsidP="00BC7D00">
            <w:pPr>
              <w:keepNext/>
              <w:keepLines/>
              <w:jc w:val="left"/>
              <w:rPr>
                <w:sz w:val="20"/>
                <w:szCs w:val="20"/>
              </w:rPr>
            </w:pPr>
            <w:r w:rsidRPr="002A4E9F">
              <w:rPr>
                <w:sz w:val="20"/>
                <w:szCs w:val="20"/>
                <w:lang w:val="en-AU" w:eastAsia="en-US"/>
              </w:rPr>
              <w:t>Brenzys</w:t>
            </w:r>
            <w:r w:rsidRPr="002A4E9F">
              <w:rPr>
                <w:sz w:val="20"/>
                <w:szCs w:val="20"/>
              </w:rPr>
              <w:t>®</w:t>
            </w:r>
          </w:p>
          <w:p w:rsidR="00A06926" w:rsidRPr="002A4E9F" w:rsidRDefault="00A06926" w:rsidP="00BC7D00">
            <w:pPr>
              <w:pStyle w:val="05Tabletext"/>
              <w:keepNext/>
              <w:keepLines/>
              <w:spacing w:before="0"/>
              <w:ind w:left="0" w:right="0"/>
              <w:rPr>
                <w:sz w:val="20"/>
                <w:szCs w:val="20"/>
              </w:rPr>
            </w:pPr>
            <w:r w:rsidRPr="002A4E9F">
              <w:rPr>
                <w:rFonts w:asciiTheme="minorHAnsi" w:hAnsiTheme="minorHAnsi"/>
                <w:sz w:val="20"/>
                <w:szCs w:val="20"/>
              </w:rPr>
              <w:t>50mg</w:t>
            </w:r>
            <w:r>
              <w:rPr>
                <w:rFonts w:asciiTheme="minorHAnsi" w:hAnsiTheme="minorHAnsi"/>
                <w:sz w:val="20"/>
                <w:szCs w:val="20"/>
              </w:rPr>
              <w:t>/ml</w:t>
            </w:r>
          </w:p>
        </w:tc>
        <w:tc>
          <w:tcPr>
            <w:tcW w:w="1458" w:type="pct"/>
          </w:tcPr>
          <w:p w:rsidR="00A06926" w:rsidRPr="002A4E9F" w:rsidRDefault="00A06926" w:rsidP="00BC7D00">
            <w:pPr>
              <w:pStyle w:val="05Tabletext"/>
              <w:keepNext/>
              <w:keepLines/>
              <w:spacing w:before="0"/>
              <w:ind w:left="0" w:right="0"/>
              <w:rPr>
                <w:rFonts w:asciiTheme="minorHAnsi" w:hAnsiTheme="minorHAnsi"/>
                <w:sz w:val="20"/>
                <w:szCs w:val="20"/>
              </w:rPr>
            </w:pPr>
            <w:r w:rsidRPr="002A4E9F">
              <w:rPr>
                <w:rFonts w:asciiTheme="minorHAnsi" w:hAnsiTheme="minorHAnsi"/>
                <w:sz w:val="20"/>
                <w:szCs w:val="20"/>
              </w:rPr>
              <w:t>Pfizer (1954W; 1963H; 1964J; 9037P; 9091L; 9429G; 9431J; 9461Y; 9462B; 11223Q; 11224R; 11225T)</w:t>
            </w:r>
          </w:p>
          <w:p w:rsidR="00A06926" w:rsidRPr="002A4E9F" w:rsidRDefault="00A06926" w:rsidP="00BC7D00">
            <w:pPr>
              <w:pStyle w:val="05Tabletext"/>
              <w:keepNext/>
              <w:keepLines/>
              <w:spacing w:before="0"/>
              <w:ind w:left="0" w:right="0"/>
              <w:rPr>
                <w:rFonts w:asciiTheme="minorHAnsi" w:hAnsiTheme="minorHAnsi"/>
                <w:sz w:val="20"/>
                <w:szCs w:val="20"/>
              </w:rPr>
            </w:pPr>
          </w:p>
          <w:p w:rsidR="00A06926" w:rsidRPr="002A4E9F" w:rsidRDefault="00A06926" w:rsidP="00BC7D00">
            <w:pPr>
              <w:pStyle w:val="05Tabletext"/>
              <w:keepNext/>
              <w:keepLines/>
              <w:spacing w:before="0"/>
              <w:ind w:left="0" w:right="0"/>
              <w:rPr>
                <w:sz w:val="20"/>
                <w:szCs w:val="20"/>
              </w:rPr>
            </w:pPr>
            <w:r w:rsidRPr="002A4E9F">
              <w:rPr>
                <w:rFonts w:asciiTheme="minorHAnsi" w:hAnsiTheme="minorHAnsi"/>
                <w:sz w:val="20"/>
                <w:szCs w:val="20"/>
              </w:rPr>
              <w:t>Merck, Sharp and Dohme (11221N; 11222P; 9461Y; 9462B; 9091L; 9431J)</w:t>
            </w:r>
          </w:p>
        </w:tc>
        <w:tc>
          <w:tcPr>
            <w:tcW w:w="1658"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weekly</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Infliximab</w:t>
            </w:r>
          </w:p>
        </w:tc>
        <w:tc>
          <w:tcPr>
            <w:tcW w:w="1023" w:type="pct"/>
          </w:tcPr>
          <w:p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Remicade</w:t>
            </w:r>
            <w:proofErr w:type="spellEnd"/>
            <w:r w:rsidRPr="002A4E9F">
              <w:rPr>
                <w:rFonts w:asciiTheme="minorHAnsi" w:hAnsiTheme="minorHAnsi"/>
                <w:sz w:val="20"/>
                <w:szCs w:val="20"/>
              </w:rPr>
              <w:t xml:space="preserve">®, </w:t>
            </w:r>
          </w:p>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100 mg</w:t>
            </w:r>
            <w:r>
              <w:rPr>
                <w:rFonts w:asciiTheme="minorHAnsi" w:hAnsiTheme="minorHAnsi"/>
                <w:sz w:val="20"/>
                <w:szCs w:val="20"/>
              </w:rPr>
              <w:t>/vial</w:t>
            </w:r>
          </w:p>
          <w:p w:rsidR="00A06926" w:rsidRPr="002A4E9F" w:rsidRDefault="00A06926" w:rsidP="00BC7D00">
            <w:pPr>
              <w:rPr>
                <w:sz w:val="20"/>
                <w:szCs w:val="20"/>
                <w:lang w:val="en-AU" w:eastAsia="en-US"/>
              </w:rPr>
            </w:pPr>
          </w:p>
          <w:p w:rsidR="00A06926" w:rsidRDefault="00A06926" w:rsidP="00BC7D00">
            <w:pPr>
              <w:keepNext/>
              <w:keepLines/>
              <w:jc w:val="left"/>
              <w:rPr>
                <w:sz w:val="20"/>
                <w:szCs w:val="20"/>
              </w:rPr>
            </w:pPr>
            <w:r w:rsidRPr="002A4E9F">
              <w:rPr>
                <w:sz w:val="20"/>
                <w:szCs w:val="20"/>
                <w:lang w:val="en-AU" w:eastAsia="en-US"/>
              </w:rPr>
              <w:t>Inflectra</w:t>
            </w:r>
            <w:r w:rsidRPr="002A4E9F">
              <w:rPr>
                <w:sz w:val="20"/>
                <w:szCs w:val="20"/>
              </w:rPr>
              <w:t>®</w:t>
            </w:r>
          </w:p>
          <w:p w:rsidR="00A06926"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100 mg</w:t>
            </w:r>
            <w:r>
              <w:rPr>
                <w:rFonts w:asciiTheme="minorHAnsi" w:hAnsiTheme="minorHAnsi"/>
                <w:sz w:val="20"/>
                <w:szCs w:val="20"/>
              </w:rPr>
              <w:t>/vial</w:t>
            </w:r>
          </w:p>
          <w:p w:rsidR="00A06926" w:rsidRPr="00452F24" w:rsidRDefault="00A06926" w:rsidP="00BC7D00"/>
          <w:p w:rsidR="00A06926" w:rsidRDefault="00A06926" w:rsidP="00BC7D00">
            <w:pPr>
              <w:keepNext/>
              <w:keepLines/>
              <w:jc w:val="left"/>
              <w:rPr>
                <w:sz w:val="20"/>
                <w:szCs w:val="20"/>
              </w:rPr>
            </w:pPr>
            <w:proofErr w:type="spellStart"/>
            <w:r w:rsidRPr="002A4E9F">
              <w:rPr>
                <w:sz w:val="20"/>
                <w:szCs w:val="20"/>
                <w:lang w:val="en-AU" w:eastAsia="en-US"/>
              </w:rPr>
              <w:t>Renflexis</w:t>
            </w:r>
            <w:proofErr w:type="spellEnd"/>
            <w:r w:rsidRPr="002A4E9F">
              <w:rPr>
                <w:sz w:val="20"/>
                <w:szCs w:val="20"/>
              </w:rPr>
              <w:t>®</w:t>
            </w:r>
          </w:p>
          <w:p w:rsidR="00A06926" w:rsidRPr="00403200" w:rsidRDefault="00A06926" w:rsidP="00BC7D00">
            <w:pPr>
              <w:pStyle w:val="05Tabletext"/>
              <w:keepNext/>
              <w:keepLines/>
              <w:ind w:left="0" w:right="0"/>
              <w:rPr>
                <w:sz w:val="20"/>
                <w:szCs w:val="20"/>
              </w:rPr>
            </w:pPr>
            <w:r w:rsidRPr="002A4E9F">
              <w:rPr>
                <w:rFonts w:asciiTheme="minorHAnsi" w:hAnsiTheme="minorHAnsi"/>
                <w:sz w:val="20"/>
                <w:szCs w:val="20"/>
              </w:rPr>
              <w:t>100 mg</w:t>
            </w:r>
            <w:r>
              <w:rPr>
                <w:rFonts w:asciiTheme="minorHAnsi" w:hAnsiTheme="minorHAnsi"/>
                <w:sz w:val="20"/>
                <w:szCs w:val="20"/>
              </w:rPr>
              <w:t>/vial</w:t>
            </w:r>
          </w:p>
        </w:tc>
        <w:tc>
          <w:tcPr>
            <w:tcW w:w="14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 Janssen-Cilag (5758C; 9617E)</w:t>
            </w:r>
          </w:p>
          <w:p w:rsidR="00A06926" w:rsidRPr="002A4E9F" w:rsidRDefault="00A06926" w:rsidP="00BC7D00">
            <w:pPr>
              <w:rPr>
                <w:sz w:val="20"/>
                <w:szCs w:val="20"/>
                <w:lang w:val="en-AU" w:eastAsia="en-US"/>
              </w:rPr>
            </w:pPr>
          </w:p>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Pfizer (5758C; 9617E)</w:t>
            </w:r>
          </w:p>
          <w:p w:rsidR="00A06926" w:rsidRPr="002A4E9F" w:rsidRDefault="00A06926" w:rsidP="00BC7D00">
            <w:pPr>
              <w:pStyle w:val="05Tabletext"/>
              <w:keepNext/>
              <w:keepLines/>
              <w:ind w:left="0" w:right="0"/>
              <w:rPr>
                <w:rFonts w:asciiTheme="minorHAnsi" w:hAnsiTheme="minorHAnsi"/>
                <w:sz w:val="20"/>
                <w:szCs w:val="20"/>
              </w:rPr>
            </w:pPr>
          </w:p>
          <w:p w:rsidR="00A06926" w:rsidRDefault="00A06926" w:rsidP="00BC7D00">
            <w:pPr>
              <w:pStyle w:val="05Tabletext"/>
              <w:keepNext/>
              <w:keepLines/>
              <w:ind w:left="0" w:right="0"/>
              <w:rPr>
                <w:rFonts w:asciiTheme="minorHAnsi" w:hAnsiTheme="minorHAnsi"/>
                <w:sz w:val="20"/>
                <w:szCs w:val="20"/>
              </w:rPr>
            </w:pPr>
          </w:p>
          <w:p w:rsidR="00A06926" w:rsidRPr="002A4E9F" w:rsidRDefault="00A06926" w:rsidP="00BC7D00">
            <w:pPr>
              <w:pStyle w:val="05Tabletext"/>
              <w:keepNext/>
              <w:keepLines/>
              <w:ind w:left="0" w:right="0"/>
              <w:rPr>
                <w:sz w:val="20"/>
                <w:szCs w:val="20"/>
              </w:rPr>
            </w:pPr>
            <w:r w:rsidRPr="002A4E9F">
              <w:rPr>
                <w:rFonts w:asciiTheme="minorHAnsi" w:hAnsiTheme="minorHAnsi"/>
                <w:sz w:val="20"/>
                <w:szCs w:val="20"/>
              </w:rPr>
              <w:t>Merck, Sharp and Dohme (5758C; 9617E</w:t>
            </w:r>
            <w:r w:rsidRPr="002A4E9F">
              <w:rPr>
                <w:sz w:val="20"/>
                <w:szCs w:val="20"/>
              </w:rPr>
              <w:t>)</w:t>
            </w:r>
          </w:p>
        </w:tc>
        <w:tc>
          <w:tcPr>
            <w:tcW w:w="16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Intravenous infusion over a 2-hour period followed by additional doses at 2 and 6 weeks after the first infusion, then every 8 weeks thereafter.  </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Adalimumab</w:t>
            </w:r>
          </w:p>
        </w:tc>
        <w:tc>
          <w:tcPr>
            <w:tcW w:w="1023" w:type="pct"/>
          </w:tcPr>
          <w:p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Humira</w:t>
            </w:r>
            <w:proofErr w:type="spellEnd"/>
            <w:r w:rsidRPr="002A4E9F">
              <w:rPr>
                <w:rFonts w:asciiTheme="minorHAnsi" w:hAnsiTheme="minorHAnsi"/>
                <w:sz w:val="20"/>
                <w:szCs w:val="20"/>
              </w:rPr>
              <w:t>®</w:t>
            </w:r>
          </w:p>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40mg/0.8mL </w:t>
            </w:r>
          </w:p>
        </w:tc>
        <w:tc>
          <w:tcPr>
            <w:tcW w:w="14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AbbVie (9425C; 9426D; 9427E; 9428F)</w:t>
            </w:r>
          </w:p>
        </w:tc>
        <w:tc>
          <w:tcPr>
            <w:tcW w:w="16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(Weeks 0 and 1 and then every 2 weeks)</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Ustekinumab</w:t>
            </w:r>
          </w:p>
        </w:tc>
        <w:tc>
          <w:tcPr>
            <w:tcW w:w="1023" w:type="pct"/>
          </w:tcPr>
          <w:p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Stelara</w:t>
            </w:r>
            <w:proofErr w:type="spellEnd"/>
            <w:r w:rsidRPr="002A4E9F">
              <w:rPr>
                <w:rFonts w:asciiTheme="minorHAnsi" w:hAnsiTheme="minorHAnsi"/>
                <w:sz w:val="20"/>
                <w:szCs w:val="20"/>
              </w:rPr>
              <w:t>®</w:t>
            </w:r>
          </w:p>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45mg/0.5mL</w:t>
            </w:r>
          </w:p>
        </w:tc>
        <w:tc>
          <w:tcPr>
            <w:tcW w:w="14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Janssen-Cilag (9304Q; 9305R)</w:t>
            </w:r>
          </w:p>
        </w:tc>
        <w:tc>
          <w:tcPr>
            <w:tcW w:w="16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(Weeks 0 and 4 and then every 12 weeks)</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Secukinumab</w:t>
            </w:r>
          </w:p>
        </w:tc>
        <w:tc>
          <w:tcPr>
            <w:tcW w:w="1023" w:type="pct"/>
          </w:tcPr>
          <w:p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Cosentyx</w:t>
            </w:r>
            <w:proofErr w:type="spellEnd"/>
            <w:r w:rsidRPr="002A4E9F">
              <w:rPr>
                <w:rFonts w:asciiTheme="minorHAnsi" w:hAnsiTheme="minorHAnsi"/>
                <w:sz w:val="20"/>
                <w:szCs w:val="20"/>
              </w:rPr>
              <w:t>®</w:t>
            </w:r>
          </w:p>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150mg/mL </w:t>
            </w:r>
          </w:p>
        </w:tc>
        <w:tc>
          <w:tcPr>
            <w:tcW w:w="14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Novartis Pharmaceuticals (10425Q; 10494H; 10910F)</w:t>
            </w:r>
          </w:p>
        </w:tc>
        <w:tc>
          <w:tcPr>
            <w:tcW w:w="16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every week to Week 4, then every four weeks thereafter.</w:t>
            </w:r>
          </w:p>
        </w:tc>
      </w:tr>
      <w:tr w:rsidR="00A06926" w:rsidRPr="002A4E9F" w:rsidTr="00BC7D00">
        <w:tc>
          <w:tcPr>
            <w:tcW w:w="861" w:type="pct"/>
            <w:hideMark/>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Ixekizumab</w:t>
            </w:r>
          </w:p>
        </w:tc>
        <w:tc>
          <w:tcPr>
            <w:tcW w:w="1023" w:type="pct"/>
          </w:tcPr>
          <w:p w:rsidR="00A06926" w:rsidRDefault="00A06926" w:rsidP="00BC7D00">
            <w:pPr>
              <w:pStyle w:val="05Tabletext"/>
              <w:keepNext/>
              <w:keepLines/>
              <w:ind w:left="0" w:right="0"/>
              <w:rPr>
                <w:rFonts w:asciiTheme="minorHAnsi" w:hAnsiTheme="minorHAnsi"/>
                <w:sz w:val="20"/>
                <w:szCs w:val="20"/>
              </w:rPr>
            </w:pPr>
            <w:proofErr w:type="spellStart"/>
            <w:r w:rsidRPr="002A4E9F">
              <w:rPr>
                <w:rFonts w:asciiTheme="minorHAnsi" w:hAnsiTheme="minorHAnsi"/>
                <w:sz w:val="20"/>
                <w:szCs w:val="20"/>
              </w:rPr>
              <w:t>Taltz</w:t>
            </w:r>
            <w:proofErr w:type="spellEnd"/>
            <w:r w:rsidRPr="002A4E9F">
              <w:rPr>
                <w:rFonts w:asciiTheme="minorHAnsi" w:hAnsiTheme="minorHAnsi"/>
                <w:sz w:val="20"/>
                <w:szCs w:val="20"/>
              </w:rPr>
              <w:t>®</w:t>
            </w:r>
          </w:p>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 xml:space="preserve">80mg/mL </w:t>
            </w:r>
          </w:p>
        </w:tc>
        <w:tc>
          <w:tcPr>
            <w:tcW w:w="14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Eli Lilly (11032P; 11033Q)</w:t>
            </w:r>
          </w:p>
        </w:tc>
        <w:tc>
          <w:tcPr>
            <w:tcW w:w="1658" w:type="pct"/>
          </w:tcPr>
          <w:p w:rsidR="00A06926" w:rsidRPr="002A4E9F" w:rsidRDefault="00A06926" w:rsidP="00BC7D00">
            <w:pPr>
              <w:pStyle w:val="05Tabletext"/>
              <w:keepNext/>
              <w:keepLines/>
              <w:ind w:left="0" w:right="0"/>
              <w:rPr>
                <w:rFonts w:asciiTheme="minorHAnsi" w:hAnsiTheme="minorHAnsi"/>
                <w:sz w:val="20"/>
                <w:szCs w:val="20"/>
              </w:rPr>
            </w:pPr>
            <w:r w:rsidRPr="002A4E9F">
              <w:rPr>
                <w:rFonts w:asciiTheme="minorHAnsi" w:hAnsiTheme="minorHAnsi"/>
                <w:sz w:val="20"/>
                <w:szCs w:val="20"/>
              </w:rPr>
              <w:t>Subcutaneous injection every two weeks to Week 12, then every four weeks thereafter.</w:t>
            </w:r>
          </w:p>
        </w:tc>
      </w:tr>
    </w:tbl>
    <w:p w:rsidR="00A06926" w:rsidRDefault="00A06926" w:rsidP="004E15E7">
      <w:pPr>
        <w:jc w:val="left"/>
        <w:rPr>
          <w:lang w:val="en-US" w:eastAsia="en-US"/>
        </w:rPr>
      </w:pPr>
    </w:p>
    <w:p w:rsidR="004E15E7" w:rsidRPr="0007394D" w:rsidRDefault="004E15E7" w:rsidP="004E15E7">
      <w:pPr>
        <w:jc w:val="left"/>
      </w:pPr>
      <w:r w:rsidRPr="00A67B36">
        <w:rPr>
          <w:lang w:val="en"/>
        </w:rPr>
        <w:t xml:space="preserve">Adalimumab is a recombinant human immunoglobulin (IgG1) monoclonal antibody, which binds to human </w:t>
      </w:r>
      <w:proofErr w:type="spellStart"/>
      <w:r w:rsidRPr="00A67B36">
        <w:rPr>
          <w:lang w:val="en"/>
        </w:rPr>
        <w:t>tumour</w:t>
      </w:r>
      <w:proofErr w:type="spellEnd"/>
      <w:r w:rsidRPr="00A67B36">
        <w:rPr>
          <w:lang w:val="en"/>
        </w:rPr>
        <w:t xml:space="preserve"> necrosis factor </w:t>
      </w:r>
      <w:r>
        <w:t>(</w:t>
      </w:r>
      <w:r w:rsidRPr="00A67B36">
        <w:t>TNF antagonist</w:t>
      </w:r>
      <w:r>
        <w:t>)</w:t>
      </w:r>
      <w:r w:rsidRPr="00A67B36">
        <w:t xml:space="preserve"> </w:t>
      </w:r>
      <w:r w:rsidRPr="00A67B36">
        <w:rPr>
          <w:lang w:val="en"/>
        </w:rPr>
        <w:t>in psoriasis plaques, reducing the inflammatory response.</w:t>
      </w:r>
      <w:r>
        <w:rPr>
          <w:lang w:val="en"/>
        </w:rPr>
        <w:t xml:space="preserve"> </w:t>
      </w:r>
    </w:p>
    <w:p w:rsidR="004E15E7" w:rsidRDefault="004E15E7" w:rsidP="004E15E7">
      <w:pPr>
        <w:jc w:val="left"/>
      </w:pPr>
      <w:r>
        <w:rPr>
          <w:lang w:val="en"/>
        </w:rPr>
        <w:t>Efalizumab is a m</w:t>
      </w:r>
      <w:r w:rsidRPr="00A67B36">
        <w:rPr>
          <w:lang w:val="en"/>
        </w:rPr>
        <w:t>onoclonal antibody, which</w:t>
      </w:r>
      <w:r>
        <w:rPr>
          <w:lang w:val="en"/>
        </w:rPr>
        <w:t xml:space="preserve"> binds to the </w:t>
      </w:r>
      <w:r w:rsidRPr="00A67B36">
        <w:rPr>
          <w:lang w:val="en"/>
        </w:rPr>
        <w:t>CD11a</w:t>
      </w:r>
      <w:r>
        <w:rPr>
          <w:lang w:val="en"/>
        </w:rPr>
        <w:t xml:space="preserve"> subunit of </w:t>
      </w:r>
      <w:r w:rsidRPr="00A67B36">
        <w:rPr>
          <w:lang w:val="en"/>
        </w:rPr>
        <w:t>lymphocyte function-associated antigen 1</w:t>
      </w:r>
      <w:r>
        <w:rPr>
          <w:lang w:val="en"/>
        </w:rPr>
        <w:t xml:space="preserve"> and acts as an </w:t>
      </w:r>
      <w:r w:rsidRPr="00A67B36">
        <w:rPr>
          <w:lang w:val="en"/>
        </w:rPr>
        <w:t>immunosuppressant</w:t>
      </w:r>
      <w:r>
        <w:rPr>
          <w:lang w:val="en"/>
        </w:rPr>
        <w:t xml:space="preserve"> by inhibiting lymphocyte activation and cell migration out of blood vessels into tissues. Efalizumab was associated with fatal brain infections and was withdrawn from the market in 2009.</w:t>
      </w:r>
      <w:r w:rsidRPr="00A67B36">
        <w:t xml:space="preserve"> </w:t>
      </w:r>
    </w:p>
    <w:p w:rsidR="004E15E7" w:rsidRDefault="004E15E7" w:rsidP="004E15E7">
      <w:pPr>
        <w:jc w:val="left"/>
      </w:pPr>
      <w:r w:rsidRPr="00A67B36">
        <w:t xml:space="preserve">Etanercept is a human tumour necrosis factor receptor p75 Fc fusion protein </w:t>
      </w:r>
      <w:r>
        <w:t>(</w:t>
      </w:r>
      <w:r w:rsidRPr="00A67B36">
        <w:t>TNF antagonist</w:t>
      </w:r>
      <w:r>
        <w:t>).</w:t>
      </w:r>
      <w:r w:rsidRPr="00A67B36">
        <w:t xml:space="preserve">  </w:t>
      </w:r>
    </w:p>
    <w:p w:rsidR="004E15E7" w:rsidRDefault="004E15E7" w:rsidP="004E15E7">
      <w:pPr>
        <w:jc w:val="left"/>
      </w:pPr>
      <w:r>
        <w:t>Infliximab is a chimeric human-murine monoclonal antibody that binds to human tumour necrosis factor-alpha (</w:t>
      </w:r>
      <w:r w:rsidRPr="00E51027">
        <w:t>TNF antagonist</w:t>
      </w:r>
      <w:r>
        <w:t>).</w:t>
      </w:r>
      <w:r w:rsidRPr="00391C96">
        <w:t xml:space="preserve"> </w:t>
      </w:r>
    </w:p>
    <w:p w:rsidR="004E15E7" w:rsidRDefault="004E15E7" w:rsidP="004E15E7">
      <w:pPr>
        <w:jc w:val="left"/>
      </w:pPr>
      <w:r w:rsidRPr="00356839">
        <w:t xml:space="preserve">Ixekizumab targets the interleukin cytokine </w:t>
      </w:r>
      <w:r>
        <w:t xml:space="preserve">17 </w:t>
      </w:r>
      <w:r w:rsidRPr="00356839">
        <w:t>(IL-17)</w:t>
      </w:r>
      <w:r>
        <w:t xml:space="preserve"> </w:t>
      </w:r>
      <w:proofErr w:type="gramStart"/>
      <w:r w:rsidRPr="00356839">
        <w:t>pathway</w:t>
      </w:r>
      <w:proofErr w:type="gramEnd"/>
      <w:r>
        <w:t xml:space="preserve"> which is a</w:t>
      </w:r>
      <w:r w:rsidRPr="00303CD4">
        <w:t xml:space="preserve"> pro-inflammatory cytokine</w:t>
      </w:r>
      <w:r>
        <w:t xml:space="preserve"> with an affinity to </w:t>
      </w:r>
      <w:r w:rsidRPr="00CC6AE7">
        <w:t>the homodimer IL-17A and the heterodimer IL-17A/F</w:t>
      </w:r>
      <w:r w:rsidRPr="00356839">
        <w:t>.</w:t>
      </w:r>
      <w:r w:rsidRPr="00391C96">
        <w:rPr>
          <w:b/>
        </w:rPr>
        <w:t xml:space="preserve"> </w:t>
      </w:r>
    </w:p>
    <w:p w:rsidR="004E15E7" w:rsidRDefault="004E15E7" w:rsidP="004E15E7">
      <w:pPr>
        <w:jc w:val="left"/>
      </w:pPr>
      <w:r w:rsidRPr="00356839">
        <w:lastRenderedPageBreak/>
        <w:t xml:space="preserve">Ustekinumab </w:t>
      </w:r>
      <w:r w:rsidRPr="00FC2E14">
        <w:t xml:space="preserve">is a human IgG1 monoclonal antibody </w:t>
      </w:r>
      <w:r>
        <w:t xml:space="preserve">that </w:t>
      </w:r>
      <w:r w:rsidRPr="00356839">
        <w:t>blocks interleukin IL-12 and IL-23</w:t>
      </w:r>
      <w:r>
        <w:t xml:space="preserve"> by</w:t>
      </w:r>
      <w:r w:rsidRPr="00356839">
        <w:t xml:space="preserve"> bind</w:t>
      </w:r>
      <w:r>
        <w:t>ing</w:t>
      </w:r>
      <w:r w:rsidRPr="00356839">
        <w:t xml:space="preserve"> to the p-40 subunit of both interleukin</w:t>
      </w:r>
      <w:r>
        <w:t>s.</w:t>
      </w:r>
      <w:r w:rsidRPr="00CC6AE7">
        <w:t xml:space="preserve"> </w:t>
      </w:r>
    </w:p>
    <w:p w:rsidR="004E15E7" w:rsidRDefault="004E15E7" w:rsidP="004E15E7">
      <w:pPr>
        <w:jc w:val="left"/>
      </w:pPr>
      <w:r>
        <w:t>Secukinumab is a fully human IgG1 antibody that selectively binds to and neutralises the pro-inflammatory cytokine</w:t>
      </w:r>
      <w:r w:rsidRPr="00CC6AE7">
        <w:t xml:space="preserve"> protein </w:t>
      </w:r>
      <w:r>
        <w:t xml:space="preserve">interleukin 17A. </w:t>
      </w:r>
    </w:p>
    <w:p w:rsidR="00447443" w:rsidRDefault="00447443" w:rsidP="00EB2E6F">
      <w:pPr>
        <w:pStyle w:val="MDSubsubheding"/>
      </w:pPr>
      <w:bookmarkStart w:id="44" w:name="_Toc503771663"/>
      <w:r>
        <w:t>B.</w:t>
      </w:r>
      <w:r w:rsidR="00393D24">
        <w:t>4</w:t>
      </w:r>
      <w:r>
        <w:t xml:space="preserve">.3 </w:t>
      </w:r>
      <w:proofErr w:type="gramStart"/>
      <w:r w:rsidRPr="00AB6525">
        <w:t>How</w:t>
      </w:r>
      <w:proofErr w:type="gramEnd"/>
      <w:r w:rsidRPr="00AB6525">
        <w:t xml:space="preserve"> the intervention might work</w:t>
      </w:r>
      <w:bookmarkEnd w:id="43"/>
      <w:bookmarkEnd w:id="44"/>
      <w:r w:rsidRPr="00AB6525">
        <w:t xml:space="preserve">  </w:t>
      </w:r>
    </w:p>
    <w:p w:rsidR="00117B58" w:rsidRPr="00117B58" w:rsidRDefault="00447443" w:rsidP="00CA06AF">
      <w:pPr>
        <w:jc w:val="left"/>
      </w:pPr>
      <w:r w:rsidRPr="00447443">
        <w:t>In psoriasis it is thought that an abnormally large number of T cells trigger the release of cytokines, resulting in inflammation, redness, itching and flaky skin patches.</w:t>
      </w:r>
      <w:r w:rsidR="00AF2E42">
        <w:rPr>
          <w:noProof/>
        </w:rPr>
        <w:t>(2)</w:t>
      </w:r>
      <w:r w:rsidRPr="00447443">
        <w:t xml:space="preserve"> Biologic agents interfere with specific components of the autoimmune response.</w:t>
      </w:r>
      <w:r w:rsidR="00AF2E42">
        <w:rPr>
          <w:noProof/>
        </w:rPr>
        <w:t>(2)</w:t>
      </w:r>
      <w:r w:rsidRPr="00447443">
        <w:t xml:space="preserve"> They are selective agents which are designed to target only the chemicals (molecules) involved in causing psoriasis. </w:t>
      </w:r>
      <w:proofErr w:type="gramStart"/>
      <w:r w:rsidRPr="00447443">
        <w:t>For example, etanercept, infliximab and adalimumab are tumour necrosis factor-alpha (TNFα) blockers, which is the primary cytokine involved in psoriasis.</w:t>
      </w:r>
      <w:proofErr w:type="gramEnd"/>
      <w:r w:rsidRPr="00447443">
        <w:t xml:space="preserve">  Ustekinumab targets interleukin-12 (IL-12) and IL-23; secukinumab </w:t>
      </w:r>
      <w:r w:rsidR="00BC7D00">
        <w:t xml:space="preserve">and ixekizumab </w:t>
      </w:r>
      <w:r w:rsidRPr="00447443">
        <w:t>target IL</w:t>
      </w:r>
      <w:r w:rsidR="00EC34C4">
        <w:noBreakHyphen/>
      </w:r>
      <w:r w:rsidRPr="00447443">
        <w:t>17</w:t>
      </w:r>
      <w:proofErr w:type="gramStart"/>
      <w:r w:rsidRPr="00447443">
        <w:t>.</w:t>
      </w:r>
      <w:r w:rsidR="00AF2E42">
        <w:rPr>
          <w:noProof/>
        </w:rPr>
        <w:t>(</w:t>
      </w:r>
      <w:proofErr w:type="gramEnd"/>
      <w:r w:rsidR="00AF2E42">
        <w:rPr>
          <w:noProof/>
        </w:rPr>
        <w:t>2)</w:t>
      </w:r>
    </w:p>
    <w:p w:rsidR="006D1006" w:rsidRDefault="006D1006" w:rsidP="006D1006">
      <w:pPr>
        <w:pStyle w:val="MDSubsubheding"/>
      </w:pPr>
      <w:bookmarkStart w:id="45" w:name="_Toc503771664"/>
      <w:bookmarkStart w:id="46" w:name="_Toc481076754"/>
      <w:r>
        <w:t>B.4.4 PBS listing history</w:t>
      </w:r>
      <w:bookmarkEnd w:id="45"/>
      <w:r w:rsidRPr="00AB6525">
        <w:t xml:space="preserve">  </w:t>
      </w:r>
    </w:p>
    <w:p w:rsidR="00C71FBF" w:rsidRDefault="00396A9B" w:rsidP="006211B3">
      <w:pPr>
        <w:jc w:val="left"/>
        <w:sectPr w:rsidR="00C71FBF" w:rsidSect="00C71FBF">
          <w:headerReference w:type="even" r:id="rId15"/>
          <w:headerReference w:type="default" r:id="rId16"/>
          <w:footerReference w:type="default" r:id="rId17"/>
          <w:headerReference w:type="first" r:id="rId18"/>
          <w:pgSz w:w="11906" w:h="16838"/>
          <w:pgMar w:top="1440" w:right="1440" w:bottom="1440" w:left="1440" w:header="709" w:footer="709" w:gutter="0"/>
          <w:cols w:space="708"/>
          <w:titlePg/>
          <w:docGrid w:linePitch="360"/>
        </w:sectPr>
      </w:pPr>
      <w:bookmarkStart w:id="47" w:name="_Ref467681199"/>
      <w:bookmarkStart w:id="48" w:name="_Toc480379951"/>
      <w:bookmarkStart w:id="49" w:name="_Toc468034419"/>
      <w:r w:rsidRPr="006211B3">
        <w:t>The first requests for listin</w:t>
      </w:r>
      <w:r w:rsidR="0035360F" w:rsidRPr="006211B3">
        <w:t>g of a biologic in severe CPP were</w:t>
      </w:r>
      <w:r w:rsidRPr="006211B3">
        <w:t xml:space="preserve"> initially </w:t>
      </w:r>
      <w:proofErr w:type="spellStart"/>
      <w:r w:rsidR="0035360F" w:rsidRPr="006211B3">
        <w:t>alefacept</w:t>
      </w:r>
      <w:proofErr w:type="spellEnd"/>
      <w:r w:rsidR="0035360F" w:rsidRPr="006211B3">
        <w:t xml:space="preserve"> </w:t>
      </w:r>
      <w:r w:rsidRPr="006211B3">
        <w:t>and efalizumab</w:t>
      </w:r>
      <w:r w:rsidR="00E3612C" w:rsidRPr="006211B3">
        <w:t xml:space="preserve"> </w:t>
      </w:r>
      <w:r w:rsidR="0035360F" w:rsidRPr="006211B3">
        <w:t>in 2004</w:t>
      </w:r>
      <w:r w:rsidRPr="006211B3">
        <w:t>.</w:t>
      </w:r>
      <w:r w:rsidR="0035360F" w:rsidRPr="006211B3">
        <w:t xml:space="preserve"> Both were rejected but triggered a stakeholder meeting </w:t>
      </w:r>
      <w:r w:rsidR="00E3612C" w:rsidRPr="006211B3">
        <w:t xml:space="preserve">between the PBAC, clinicians and pharmaceutical companies </w:t>
      </w:r>
      <w:r w:rsidR="0035360F" w:rsidRPr="006211B3">
        <w:t xml:space="preserve">which </w:t>
      </w:r>
      <w:proofErr w:type="gramStart"/>
      <w:r w:rsidR="00E3612C" w:rsidRPr="006211B3">
        <w:t>was</w:t>
      </w:r>
      <w:proofErr w:type="gramEnd"/>
      <w:r w:rsidR="00E3612C" w:rsidRPr="006211B3">
        <w:t xml:space="preserve"> held in December of 2004</w:t>
      </w:r>
      <w:r w:rsidR="0035360F" w:rsidRPr="006211B3">
        <w:t>. S</w:t>
      </w:r>
      <w:r w:rsidR="00E3612C" w:rsidRPr="006211B3">
        <w:t xml:space="preserve">ubsequent requests for listing of </w:t>
      </w:r>
      <w:proofErr w:type="spellStart"/>
      <w:r w:rsidR="0035360F" w:rsidRPr="006211B3">
        <w:t>alefacept</w:t>
      </w:r>
      <w:proofErr w:type="spellEnd"/>
      <w:r w:rsidR="00E3612C" w:rsidRPr="006211B3">
        <w:t>, efalizumab and etanercept were based on the findings from this meeting</w:t>
      </w:r>
      <w:r w:rsidR="0035360F" w:rsidRPr="006211B3">
        <w:t xml:space="preserve"> </w:t>
      </w:r>
      <w:r w:rsidR="00E3612C" w:rsidRPr="006211B3">
        <w:t>(</w:t>
      </w:r>
      <w:r w:rsidR="0035360F" w:rsidRPr="006211B3">
        <w:t xml:space="preserve">PSDs for; </w:t>
      </w:r>
      <w:proofErr w:type="spellStart"/>
      <w:r w:rsidR="0035360F" w:rsidRPr="006211B3">
        <w:t>Alefacept</w:t>
      </w:r>
      <w:proofErr w:type="spellEnd"/>
      <w:r w:rsidR="0035360F" w:rsidRPr="006211B3">
        <w:t xml:space="preserve"> March 2005, Etanercept March 2005 and Efalizumab July 2005</w:t>
      </w:r>
      <w:r w:rsidR="00E3612C" w:rsidRPr="006211B3">
        <w:t xml:space="preserve">). </w:t>
      </w:r>
      <w:r w:rsidR="00652986" w:rsidRPr="006211B3">
        <w:t>Efalizumab and etanercept were the first biologics listed for CPP</w:t>
      </w:r>
      <w:r w:rsidR="00E3612C" w:rsidRPr="006211B3">
        <w:t xml:space="preserve"> in </w:t>
      </w:r>
      <w:r w:rsidR="0035360F" w:rsidRPr="006211B3">
        <w:t xml:space="preserve">November </w:t>
      </w:r>
      <w:r w:rsidR="00E3612C" w:rsidRPr="006211B3">
        <w:t xml:space="preserve">2005 and </w:t>
      </w:r>
      <w:r w:rsidR="0035360F" w:rsidRPr="006211B3">
        <w:t xml:space="preserve">March </w:t>
      </w:r>
      <w:r w:rsidR="00E3612C" w:rsidRPr="006211B3">
        <w:t>2006 respectively</w:t>
      </w:r>
      <w:r w:rsidR="00652986" w:rsidRPr="006211B3">
        <w:t xml:space="preserve">. The PBS restrictions around prior therapies and PASI thresholds are </w:t>
      </w:r>
      <w:r w:rsidR="00E3612C" w:rsidRPr="006211B3">
        <w:t xml:space="preserve">therefore </w:t>
      </w:r>
      <w:r w:rsidR="00652986" w:rsidRPr="006211B3">
        <w:t>based on those proposed for efalizumab and etanercept</w:t>
      </w:r>
      <w:r w:rsidR="0035360F" w:rsidRPr="006211B3">
        <w:t xml:space="preserve"> (which integrated the December 2004 stakeholder meeting)</w:t>
      </w:r>
      <w:r w:rsidR="00652986" w:rsidRPr="006211B3">
        <w:t>. Subsequently listed biologics for CPP were recommended on the basis that the restrictions were consistent with those already listed (dosing and the initiation periods were amended where appropriate).</w:t>
      </w:r>
      <w:r w:rsidR="003B6B7E" w:rsidRPr="006211B3">
        <w:t xml:space="preserve"> Infliximab, adalimumab and ustekinumab were listed in the following four years, with a considerable of another four years before secukinumab and ixekizumab were listed in 2015 and 2017, respectively (</w:t>
      </w:r>
      <w:r w:rsidR="00100B2C">
        <w:t xml:space="preserve">Figure </w:t>
      </w:r>
      <w:r w:rsidR="00100B2C">
        <w:rPr>
          <w:noProof/>
        </w:rPr>
        <w:t>B</w:t>
      </w:r>
      <w:r w:rsidR="00100B2C">
        <w:t>.</w:t>
      </w:r>
      <w:r w:rsidR="00100B2C">
        <w:rPr>
          <w:noProof/>
        </w:rPr>
        <w:t>1</w:t>
      </w:r>
      <w:r w:rsidR="003B6B7E" w:rsidRPr="006211B3">
        <w:t>).</w:t>
      </w:r>
    </w:p>
    <w:p w:rsidR="00652986" w:rsidRPr="006211B3" w:rsidRDefault="00652986" w:rsidP="006211B3">
      <w:pPr>
        <w:jc w:val="left"/>
      </w:pPr>
    </w:p>
    <w:p w:rsidR="00BC2E92" w:rsidRDefault="0035360F" w:rsidP="0035360F">
      <w:pPr>
        <w:pStyle w:val="MDFiguretitle"/>
      </w:pPr>
      <w:r>
        <w:rPr>
          <w:noProof/>
          <w:lang w:val="en-AU"/>
        </w:rPr>
        <w:drawing>
          <wp:inline distT="0" distB="0" distL="0" distR="0" wp14:anchorId="3AFB70D2" wp14:editId="5B2409FF">
            <wp:extent cx="8601466" cy="4762500"/>
            <wp:effectExtent l="0" t="0" r="9525" b="0"/>
            <wp:docPr id="1" name="Picture 1" descr="Timeline for PBAC recommendations and listings of medicines on the PBS&#10;Efalizumab recommended for listing in    Nov-05&#10;Etanercept recommended for listing in    Mar-06&#10;Infliximab recommended for listing in    Jul-06&#10;Adalimumab recommended for listing in    Mar-09&#10;Ustekinumab recommended for listing in    Nov-09&#10;Secukinumab recommended for listing in    Mar-15&#10;Ixekizumab recommended for listing in    Jul-16&#10;" title="Figure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line.jpg"/>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8622971" cy="4774407"/>
                    </a:xfrm>
                    <a:prstGeom prst="rect">
                      <a:avLst/>
                    </a:prstGeom>
                    <a:ln>
                      <a:noFill/>
                    </a:ln>
                    <a:extLst>
                      <a:ext uri="{53640926-AAD7-44D8-BBD7-CCE9431645EC}">
                        <a14:shadowObscured xmlns:a14="http://schemas.microsoft.com/office/drawing/2010/main"/>
                      </a:ext>
                    </a:extLst>
                  </pic:spPr>
                </pic:pic>
              </a:graphicData>
            </a:graphic>
          </wp:inline>
        </w:drawing>
      </w:r>
      <w:bookmarkStart w:id="50" w:name="_Ref497319221"/>
    </w:p>
    <w:p w:rsidR="0035360F" w:rsidRDefault="0035360F" w:rsidP="0035360F">
      <w:pPr>
        <w:pStyle w:val="MDFiguretitle"/>
      </w:pPr>
      <w:r w:rsidRPr="0035360F">
        <w:t xml:space="preserve"> </w:t>
      </w:r>
      <w:bookmarkStart w:id="51" w:name="_Toc503771671"/>
      <w:r>
        <w:t>Figure B.</w:t>
      </w:r>
      <w:r w:rsidR="00100B2C">
        <w:rPr>
          <w:noProof/>
        </w:rPr>
        <w:t>1</w:t>
      </w:r>
      <w:bookmarkEnd w:id="50"/>
      <w:r>
        <w:t>: Timeline for PBAC recommendations and listings of medicines on the PBS</w:t>
      </w:r>
      <w:bookmarkEnd w:id="51"/>
    </w:p>
    <w:p w:rsidR="00C71FBF" w:rsidRDefault="0035360F" w:rsidP="00C71FBF">
      <w:pPr>
        <w:pStyle w:val="TableFooter"/>
        <w:jc w:val="left"/>
        <w:sectPr w:rsidR="00C71FBF" w:rsidSect="00C71FBF">
          <w:pgSz w:w="16838" w:h="11906" w:orient="landscape"/>
          <w:pgMar w:top="1440" w:right="1440" w:bottom="1440" w:left="1440" w:header="709" w:footer="709" w:gutter="0"/>
          <w:cols w:space="708"/>
          <w:titlePg/>
          <w:docGrid w:linePitch="360"/>
        </w:sectPr>
      </w:pPr>
      <w:r>
        <w:t>R = recommended; L = Listed. Those below the date line are changes to existing recommended listings.</w:t>
      </w:r>
    </w:p>
    <w:p w:rsidR="0035360F" w:rsidRPr="00C506CB" w:rsidRDefault="0035360F" w:rsidP="0035360F">
      <w:pPr>
        <w:pStyle w:val="TableFooter"/>
      </w:pPr>
    </w:p>
    <w:p w:rsidR="006211B3" w:rsidRPr="00231110" w:rsidRDefault="00E3612C" w:rsidP="00100B2C">
      <w:pPr>
        <w:jc w:val="left"/>
      </w:pPr>
      <w:r w:rsidRPr="00231110">
        <w:t>Infliximab, adalimumab and ustekinumab were listed in the following four years, with a considerable of another four years before secukinumab and ixekizumab were listed in 2015 and 2017, respectively (</w:t>
      </w:r>
      <w:r w:rsidR="00100B2C">
        <w:t xml:space="preserve">Figure </w:t>
      </w:r>
      <w:r w:rsidR="00100B2C">
        <w:rPr>
          <w:noProof/>
        </w:rPr>
        <w:t>B</w:t>
      </w:r>
      <w:r w:rsidR="00100B2C">
        <w:t>.</w:t>
      </w:r>
      <w:r w:rsidR="00100B2C">
        <w:rPr>
          <w:noProof/>
        </w:rPr>
        <w:t>1</w:t>
      </w:r>
      <w:r w:rsidRPr="00231110">
        <w:t>).</w:t>
      </w:r>
    </w:p>
    <w:p w:rsidR="0035360F" w:rsidRPr="006211B3" w:rsidRDefault="00100B2C" w:rsidP="006211B3">
      <w:pPr>
        <w:jc w:val="left"/>
      </w:pPr>
      <w:r>
        <w:t>Table B.</w:t>
      </w:r>
      <w:r>
        <w:rPr>
          <w:noProof/>
        </w:rPr>
        <w:t>2</w:t>
      </w:r>
      <w:r w:rsidR="0035360F">
        <w:t xml:space="preserve"> </w:t>
      </w:r>
      <w:r w:rsidR="0035360F" w:rsidRPr="006211B3">
        <w:t>presents</w:t>
      </w:r>
      <w:r w:rsidR="0035360F">
        <w:t xml:space="preserve"> a </w:t>
      </w:r>
      <w:r w:rsidR="0035360F" w:rsidRPr="006211B3">
        <w:t>summary of the dates of recommendation and the basis of recommendation for each biologic.</w:t>
      </w:r>
    </w:p>
    <w:p w:rsidR="00771BBB" w:rsidRDefault="00771BBB" w:rsidP="00C506CB">
      <w:pPr>
        <w:pStyle w:val="MDTabCaption"/>
        <w:rPr>
          <w:rFonts w:ascii="Arial" w:hAnsi="Arial"/>
          <w:lang w:val="en-AU"/>
        </w:rPr>
      </w:pPr>
      <w:bookmarkStart w:id="52" w:name="_Ref499883758"/>
      <w:bookmarkStart w:id="53" w:name="_Toc503771670"/>
      <w:r>
        <w:t>Table B.</w:t>
      </w:r>
      <w:r w:rsidR="00100B2C">
        <w:rPr>
          <w:noProof/>
        </w:rPr>
        <w:t>2</w:t>
      </w:r>
      <w:bookmarkEnd w:id="47"/>
      <w:bookmarkEnd w:id="52"/>
      <w:r w:rsidR="00374460">
        <w:t xml:space="preserve">: </w:t>
      </w:r>
      <w:r w:rsidR="007470C6">
        <w:t>Biological</w:t>
      </w:r>
      <w:r>
        <w:t xml:space="preserve"> medicines listed on the PBS</w:t>
      </w:r>
      <w:bookmarkEnd w:id="48"/>
      <w:bookmarkEnd w:id="49"/>
      <w:r w:rsidR="007470C6">
        <w:t xml:space="preserve"> for chronic plaque psoriasis</w:t>
      </w:r>
      <w:bookmarkEnd w:id="53"/>
    </w:p>
    <w:tbl>
      <w:tblPr>
        <w:tblStyle w:val="ListTable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2"/>
        <w:tblDescription w:val="Biological medicines listed on the PBS, including Date of PBAC consideration PBS listing date PBS listing type"/>
      </w:tblPr>
      <w:tblGrid>
        <w:gridCol w:w="2263"/>
        <w:gridCol w:w="2255"/>
        <w:gridCol w:w="1305"/>
        <w:gridCol w:w="1909"/>
        <w:gridCol w:w="1510"/>
      </w:tblGrid>
      <w:tr w:rsidR="00431022" w:rsidRPr="00431022" w:rsidTr="001C39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24" w:type="pct"/>
            <w:shd w:val="clear" w:color="auto" w:fill="A6A6A6" w:themeFill="background1" w:themeFillShade="A6"/>
            <w:hideMark/>
          </w:tcPr>
          <w:p w:rsidR="00E3612C" w:rsidRPr="00431022" w:rsidRDefault="00E3612C" w:rsidP="004E15E7">
            <w:pPr>
              <w:pStyle w:val="TableTextDusc"/>
              <w:rPr>
                <w:color w:val="auto"/>
              </w:rPr>
            </w:pPr>
            <w:r w:rsidRPr="00431022">
              <w:rPr>
                <w:color w:val="auto"/>
              </w:rPr>
              <w:t>Active ingredient</w:t>
            </w:r>
          </w:p>
        </w:tc>
        <w:tc>
          <w:tcPr>
            <w:tcW w:w="1220" w:type="pct"/>
            <w:shd w:val="clear" w:color="auto" w:fill="A6A6A6" w:themeFill="background1" w:themeFillShade="A6"/>
            <w:hideMark/>
          </w:tcPr>
          <w:p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 xml:space="preserve">First Date of PBAC </w:t>
            </w:r>
            <w:r w:rsidR="006C3A1F" w:rsidRPr="00431022">
              <w:rPr>
                <w:color w:val="auto"/>
              </w:rPr>
              <w:t>recommendation</w:t>
            </w:r>
          </w:p>
        </w:tc>
        <w:tc>
          <w:tcPr>
            <w:tcW w:w="706" w:type="pct"/>
            <w:shd w:val="clear" w:color="auto" w:fill="A6A6A6" w:themeFill="background1" w:themeFillShade="A6"/>
            <w:hideMark/>
          </w:tcPr>
          <w:p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PBS listing date</w:t>
            </w:r>
          </w:p>
        </w:tc>
        <w:tc>
          <w:tcPr>
            <w:tcW w:w="1033" w:type="pct"/>
            <w:shd w:val="clear" w:color="auto" w:fill="A6A6A6" w:themeFill="background1" w:themeFillShade="A6"/>
          </w:tcPr>
          <w:p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Basis of listing</w:t>
            </w:r>
          </w:p>
        </w:tc>
        <w:tc>
          <w:tcPr>
            <w:tcW w:w="817" w:type="pct"/>
            <w:shd w:val="clear" w:color="auto" w:fill="A6A6A6" w:themeFill="background1" w:themeFillShade="A6"/>
          </w:tcPr>
          <w:p w:rsidR="00E3612C" w:rsidRPr="00431022" w:rsidRDefault="00E3612C" w:rsidP="004E15E7">
            <w:pPr>
              <w:pStyle w:val="TableTextDusc"/>
              <w:cnfStyle w:val="100000000000" w:firstRow="1" w:lastRow="0" w:firstColumn="0" w:lastColumn="0" w:oddVBand="0" w:evenVBand="0" w:oddHBand="0" w:evenHBand="0" w:firstRowFirstColumn="0" w:firstRowLastColumn="0" w:lastRowFirstColumn="0" w:lastRowLastColumn="0"/>
              <w:rPr>
                <w:color w:val="auto"/>
              </w:rPr>
            </w:pPr>
            <w:r w:rsidRPr="00431022">
              <w:rPr>
                <w:color w:val="auto"/>
              </w:rPr>
              <w:t>PBS listing type</w:t>
            </w:r>
          </w:p>
        </w:tc>
      </w:tr>
      <w:tr w:rsidR="00E3612C" w:rsidRPr="004E15E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rsidR="00E3612C" w:rsidRPr="004E15E7" w:rsidRDefault="00E3612C" w:rsidP="004E15E7">
            <w:pPr>
              <w:pStyle w:val="TableTextDusc"/>
            </w:pPr>
            <w:r w:rsidRPr="004E15E7">
              <w:t>Efalizumab</w:t>
            </w:r>
          </w:p>
        </w:tc>
        <w:tc>
          <w:tcPr>
            <w:tcW w:w="1220" w:type="pct"/>
            <w:tcBorders>
              <w:top w:val="none" w:sz="0" w:space="0" w:color="auto"/>
              <w:bottom w:val="none" w:sz="0" w:space="0" w:color="auto"/>
            </w:tcBorders>
            <w:hideMark/>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Nov-05</w:t>
            </w:r>
          </w:p>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p>
        </w:tc>
        <w:tc>
          <w:tcPr>
            <w:tcW w:w="706" w:type="pct"/>
            <w:tcBorders>
              <w:top w:val="none" w:sz="0" w:space="0" w:color="auto"/>
              <w:bottom w:val="none" w:sz="0" w:space="0" w:color="auto"/>
            </w:tcBorders>
            <w:hideMark/>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highlight w:val="yellow"/>
              </w:rPr>
            </w:pPr>
            <w:r w:rsidRPr="004E15E7">
              <w:t>delisted</w:t>
            </w:r>
          </w:p>
        </w:tc>
        <w:tc>
          <w:tcPr>
            <w:tcW w:w="1033"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 xml:space="preserve">CUA to </w:t>
            </w:r>
            <w:r w:rsidR="006C3A1F" w:rsidRPr="004E15E7">
              <w:rPr>
                <w:lang w:eastAsia="en-US"/>
              </w:rPr>
              <w:t>standard medical management</w:t>
            </w:r>
          </w:p>
        </w:tc>
        <w:tc>
          <w:tcPr>
            <w:tcW w:w="817"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 xml:space="preserve">Authority required </w:t>
            </w:r>
          </w:p>
        </w:tc>
      </w:tr>
      <w:tr w:rsidR="00E3612C" w:rsidRPr="004E15E7" w:rsidTr="00431022">
        <w:tc>
          <w:tcPr>
            <w:cnfStyle w:val="001000000000" w:firstRow="0" w:lastRow="0" w:firstColumn="1" w:lastColumn="0" w:oddVBand="0" w:evenVBand="0" w:oddHBand="0" w:evenHBand="0" w:firstRowFirstColumn="0" w:firstRowLastColumn="0" w:lastRowFirstColumn="0" w:lastRowLastColumn="0"/>
            <w:tcW w:w="1224" w:type="pct"/>
            <w:tcBorders>
              <w:right w:val="none" w:sz="0" w:space="0" w:color="auto"/>
            </w:tcBorders>
            <w:hideMark/>
          </w:tcPr>
          <w:p w:rsidR="00E3612C" w:rsidRPr="004E15E7" w:rsidRDefault="00E3612C" w:rsidP="004E15E7">
            <w:pPr>
              <w:pStyle w:val="TableTextDusc"/>
            </w:pPr>
            <w:r w:rsidRPr="004E15E7">
              <w:t>Etanercept</w:t>
            </w:r>
          </w:p>
        </w:tc>
        <w:tc>
          <w:tcPr>
            <w:tcW w:w="1220" w:type="pct"/>
            <w:hideMark/>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 xml:space="preserve">Mar-06 </w:t>
            </w:r>
          </w:p>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p>
        </w:tc>
        <w:tc>
          <w:tcPr>
            <w:tcW w:w="706" w:type="pct"/>
            <w:hideMark/>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Aug-06</w:t>
            </w:r>
          </w:p>
        </w:tc>
        <w:tc>
          <w:tcPr>
            <w:tcW w:w="1033"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Cost-minimisation to Efalizumab</w:t>
            </w:r>
          </w:p>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rPr>
                <w:lang w:eastAsia="en-US"/>
              </w:rPr>
            </w:pPr>
            <w:r w:rsidRPr="004E15E7">
              <w:rPr>
                <w:lang w:eastAsia="en-US"/>
              </w:rPr>
              <w:t xml:space="preserve">Prior submission </w:t>
            </w:r>
            <w:r w:rsidR="006C3A1F" w:rsidRPr="004E15E7">
              <w:rPr>
                <w:lang w:eastAsia="en-US"/>
              </w:rPr>
              <w:t>was</w:t>
            </w:r>
            <w:r w:rsidRPr="004E15E7">
              <w:rPr>
                <w:lang w:eastAsia="en-US"/>
              </w:rPr>
              <w:t xml:space="preserve"> CUA compared to </w:t>
            </w:r>
            <w:r w:rsidR="006C3A1F" w:rsidRPr="004E15E7">
              <w:rPr>
                <w:lang w:eastAsia="en-US"/>
              </w:rPr>
              <w:t>standard medical management</w:t>
            </w:r>
          </w:p>
        </w:tc>
        <w:tc>
          <w:tcPr>
            <w:tcW w:w="817"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Authority required</w:t>
            </w:r>
          </w:p>
        </w:tc>
      </w:tr>
      <w:tr w:rsidR="00E3612C" w:rsidRPr="004E15E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rsidR="00E3612C" w:rsidRPr="004E15E7" w:rsidRDefault="00E3612C" w:rsidP="004E15E7">
            <w:pPr>
              <w:pStyle w:val="TableTextDusc"/>
            </w:pPr>
            <w:r w:rsidRPr="004E15E7">
              <w:t>Infliximab</w:t>
            </w:r>
          </w:p>
        </w:tc>
        <w:tc>
          <w:tcPr>
            <w:tcW w:w="1220" w:type="pct"/>
            <w:tcBorders>
              <w:top w:val="none" w:sz="0" w:space="0" w:color="auto"/>
              <w:bottom w:val="none" w:sz="0" w:space="0" w:color="auto"/>
            </w:tcBorders>
            <w:hideMark/>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Jul-06</w:t>
            </w:r>
          </w:p>
        </w:tc>
        <w:tc>
          <w:tcPr>
            <w:tcW w:w="706" w:type="pct"/>
            <w:tcBorders>
              <w:top w:val="none" w:sz="0" w:space="0" w:color="auto"/>
              <w:bottom w:val="none" w:sz="0" w:space="0" w:color="auto"/>
            </w:tcBorders>
            <w:hideMark/>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rPr>
                <w:lang w:val="en-GB"/>
              </w:rPr>
              <w:t>Dec-07</w:t>
            </w:r>
          </w:p>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p>
        </w:tc>
        <w:tc>
          <w:tcPr>
            <w:tcW w:w="1033" w:type="pct"/>
            <w:tcBorders>
              <w:top w:val="none" w:sz="0" w:space="0" w:color="auto"/>
              <w:bottom w:val="none" w:sz="0" w:space="0" w:color="auto"/>
            </w:tcBorders>
          </w:tcPr>
          <w:p w:rsidR="00E3612C" w:rsidRPr="004E15E7" w:rsidRDefault="006C3A1F" w:rsidP="004E15E7">
            <w:pPr>
              <w:pStyle w:val="TableTextDusc"/>
              <w:cnfStyle w:val="000000100000" w:firstRow="0" w:lastRow="0" w:firstColumn="0" w:lastColumn="0" w:oddVBand="0" w:evenVBand="0" w:oddHBand="1" w:evenHBand="0" w:firstRowFirstColumn="0" w:firstRowLastColumn="0" w:lastRowFirstColumn="0" w:lastRowLastColumn="0"/>
            </w:pPr>
            <w:r w:rsidRPr="004E15E7">
              <w:t>C</w:t>
            </w:r>
            <w:r w:rsidR="00E3612C" w:rsidRPr="004E15E7">
              <w:t>ost-minimisation basis with efalizumab</w:t>
            </w:r>
          </w:p>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eastAsia="en-US"/>
              </w:rPr>
            </w:pPr>
            <w:r w:rsidRPr="004E15E7">
              <w:rPr>
                <w:lang w:eastAsia="en-US"/>
              </w:rPr>
              <w:t>The submission presented a CUA compared to efalizumab but PBAC suggested cost minimisation was more appropriate.</w:t>
            </w:r>
          </w:p>
        </w:tc>
        <w:tc>
          <w:tcPr>
            <w:tcW w:w="817"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val="en-GB"/>
              </w:rPr>
            </w:pPr>
            <w:r w:rsidRPr="004E15E7">
              <w:t>Authority required</w:t>
            </w:r>
          </w:p>
        </w:tc>
      </w:tr>
      <w:tr w:rsidR="00E3612C" w:rsidRPr="004E15E7" w:rsidTr="00431022">
        <w:tc>
          <w:tcPr>
            <w:cnfStyle w:val="001000000000" w:firstRow="0" w:lastRow="0" w:firstColumn="1" w:lastColumn="0" w:oddVBand="0" w:evenVBand="0" w:oddHBand="0" w:evenHBand="0" w:firstRowFirstColumn="0" w:firstRowLastColumn="0" w:lastRowFirstColumn="0" w:lastRowLastColumn="0"/>
            <w:tcW w:w="1224" w:type="pct"/>
            <w:tcBorders>
              <w:right w:val="none" w:sz="0" w:space="0" w:color="auto"/>
            </w:tcBorders>
            <w:hideMark/>
          </w:tcPr>
          <w:p w:rsidR="00E3612C" w:rsidRPr="004E15E7" w:rsidRDefault="00E3612C" w:rsidP="004E15E7">
            <w:pPr>
              <w:pStyle w:val="TableTextDusc"/>
            </w:pPr>
            <w:r w:rsidRPr="004E15E7">
              <w:t>Adalimumab</w:t>
            </w:r>
          </w:p>
        </w:tc>
        <w:tc>
          <w:tcPr>
            <w:tcW w:w="1220" w:type="pct"/>
            <w:hideMark/>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 xml:space="preserve">Mar-09 </w:t>
            </w:r>
          </w:p>
        </w:tc>
        <w:tc>
          <w:tcPr>
            <w:tcW w:w="706" w:type="pct"/>
            <w:hideMark/>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rPr>
                <w:lang w:val="en-GB"/>
              </w:rPr>
              <w:t>Jun-09</w:t>
            </w:r>
          </w:p>
        </w:tc>
        <w:tc>
          <w:tcPr>
            <w:tcW w:w="1033"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Cost-minimisation to efalizumab or etanercept</w:t>
            </w:r>
          </w:p>
        </w:tc>
        <w:tc>
          <w:tcPr>
            <w:tcW w:w="817"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rPr>
                <w:lang w:val="en-GB"/>
              </w:rPr>
            </w:pPr>
            <w:r w:rsidRPr="004E15E7">
              <w:t>Authority required</w:t>
            </w:r>
          </w:p>
        </w:tc>
      </w:tr>
      <w:tr w:rsidR="00E3612C" w:rsidRPr="004E15E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rsidR="00E3612C" w:rsidRPr="004E15E7" w:rsidRDefault="00E3612C" w:rsidP="004E15E7">
            <w:pPr>
              <w:pStyle w:val="TableTextDusc"/>
            </w:pPr>
            <w:r w:rsidRPr="004E15E7">
              <w:t>Ustekinumab</w:t>
            </w:r>
          </w:p>
        </w:tc>
        <w:tc>
          <w:tcPr>
            <w:tcW w:w="1220" w:type="pct"/>
            <w:tcBorders>
              <w:top w:val="none" w:sz="0" w:space="0" w:color="auto"/>
              <w:bottom w:val="none" w:sz="0" w:space="0" w:color="auto"/>
            </w:tcBorders>
            <w:hideMark/>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Nov-09</w:t>
            </w:r>
          </w:p>
        </w:tc>
        <w:tc>
          <w:tcPr>
            <w:tcW w:w="706"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rPr>
                <w:lang w:val="en-GB"/>
              </w:rPr>
              <w:t>Mar-10</w:t>
            </w:r>
          </w:p>
        </w:tc>
        <w:tc>
          <w:tcPr>
            <w:tcW w:w="1033"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 xml:space="preserve">CUA to etanercept </w:t>
            </w:r>
          </w:p>
        </w:tc>
        <w:tc>
          <w:tcPr>
            <w:tcW w:w="817"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val="en-GB"/>
              </w:rPr>
            </w:pPr>
            <w:r w:rsidRPr="004E15E7">
              <w:t>Authority required</w:t>
            </w:r>
          </w:p>
        </w:tc>
      </w:tr>
      <w:tr w:rsidR="00E3612C" w:rsidRPr="004E15E7" w:rsidTr="00431022">
        <w:tc>
          <w:tcPr>
            <w:cnfStyle w:val="001000000000" w:firstRow="0" w:lastRow="0" w:firstColumn="1" w:lastColumn="0" w:oddVBand="0" w:evenVBand="0" w:oddHBand="0" w:evenHBand="0" w:firstRowFirstColumn="0" w:firstRowLastColumn="0" w:lastRowFirstColumn="0" w:lastRowLastColumn="0"/>
            <w:tcW w:w="1224" w:type="pct"/>
            <w:tcBorders>
              <w:right w:val="none" w:sz="0" w:space="0" w:color="auto"/>
            </w:tcBorders>
            <w:hideMark/>
          </w:tcPr>
          <w:p w:rsidR="00E3612C" w:rsidRPr="004E15E7" w:rsidRDefault="00E3612C" w:rsidP="004E15E7">
            <w:pPr>
              <w:pStyle w:val="TableTextDusc"/>
            </w:pPr>
            <w:r w:rsidRPr="004E15E7">
              <w:t>Secukinumab</w:t>
            </w:r>
          </w:p>
        </w:tc>
        <w:tc>
          <w:tcPr>
            <w:tcW w:w="1220" w:type="pct"/>
            <w:hideMark/>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Mar-15</w:t>
            </w:r>
          </w:p>
        </w:tc>
        <w:tc>
          <w:tcPr>
            <w:tcW w:w="706"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rPr>
                <w:lang w:val="en-GB"/>
              </w:rPr>
              <w:t>Sep-15</w:t>
            </w:r>
          </w:p>
        </w:tc>
        <w:tc>
          <w:tcPr>
            <w:tcW w:w="1033"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pPr>
            <w:r w:rsidRPr="004E15E7">
              <w:t>Cost-minimisation to adalimumab</w:t>
            </w:r>
          </w:p>
        </w:tc>
        <w:tc>
          <w:tcPr>
            <w:tcW w:w="817" w:type="pct"/>
          </w:tcPr>
          <w:p w:rsidR="00E3612C" w:rsidRPr="004E15E7" w:rsidRDefault="00E3612C" w:rsidP="004E15E7">
            <w:pPr>
              <w:pStyle w:val="TableTextDusc"/>
              <w:cnfStyle w:val="000000000000" w:firstRow="0" w:lastRow="0" w:firstColumn="0" w:lastColumn="0" w:oddVBand="0" w:evenVBand="0" w:oddHBand="0" w:evenHBand="0" w:firstRowFirstColumn="0" w:firstRowLastColumn="0" w:lastRowFirstColumn="0" w:lastRowLastColumn="0"/>
              <w:rPr>
                <w:lang w:val="en-GB"/>
              </w:rPr>
            </w:pPr>
            <w:r w:rsidRPr="004E15E7">
              <w:t>Authority required</w:t>
            </w:r>
          </w:p>
        </w:tc>
      </w:tr>
      <w:tr w:rsidR="00E3612C" w:rsidRPr="004E15E7" w:rsidTr="00431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pct"/>
            <w:tcBorders>
              <w:top w:val="none" w:sz="0" w:space="0" w:color="auto"/>
              <w:bottom w:val="none" w:sz="0" w:space="0" w:color="auto"/>
              <w:right w:val="none" w:sz="0" w:space="0" w:color="auto"/>
            </w:tcBorders>
            <w:hideMark/>
          </w:tcPr>
          <w:p w:rsidR="00E3612C" w:rsidRPr="004E15E7" w:rsidRDefault="00E3612C" w:rsidP="004E15E7">
            <w:pPr>
              <w:pStyle w:val="TableTextDusc"/>
            </w:pPr>
            <w:r w:rsidRPr="004E15E7">
              <w:t>Ixekizumab</w:t>
            </w:r>
          </w:p>
        </w:tc>
        <w:tc>
          <w:tcPr>
            <w:tcW w:w="1220" w:type="pct"/>
            <w:tcBorders>
              <w:top w:val="none" w:sz="0" w:space="0" w:color="auto"/>
              <w:bottom w:val="none" w:sz="0" w:space="0" w:color="auto"/>
            </w:tcBorders>
            <w:hideMark/>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Jul-16</w:t>
            </w:r>
          </w:p>
        </w:tc>
        <w:tc>
          <w:tcPr>
            <w:tcW w:w="706"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rPr>
                <w:lang w:val="en-GB"/>
              </w:rPr>
              <w:t>Feb-17</w:t>
            </w:r>
          </w:p>
        </w:tc>
        <w:tc>
          <w:tcPr>
            <w:tcW w:w="1033"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pPr>
            <w:r w:rsidRPr="004E15E7">
              <w:t>Cost-minimisation to ustekinumab secukinumab and adalimumab</w:t>
            </w:r>
          </w:p>
        </w:tc>
        <w:tc>
          <w:tcPr>
            <w:tcW w:w="817" w:type="pct"/>
            <w:tcBorders>
              <w:top w:val="none" w:sz="0" w:space="0" w:color="auto"/>
              <w:bottom w:val="none" w:sz="0" w:space="0" w:color="auto"/>
            </w:tcBorders>
          </w:tcPr>
          <w:p w:rsidR="00E3612C" w:rsidRPr="004E15E7" w:rsidRDefault="00E3612C" w:rsidP="004E15E7">
            <w:pPr>
              <w:pStyle w:val="TableTextDusc"/>
              <w:cnfStyle w:val="000000100000" w:firstRow="0" w:lastRow="0" w:firstColumn="0" w:lastColumn="0" w:oddVBand="0" w:evenVBand="0" w:oddHBand="1" w:evenHBand="0" w:firstRowFirstColumn="0" w:firstRowLastColumn="0" w:lastRowFirstColumn="0" w:lastRowLastColumn="0"/>
              <w:rPr>
                <w:lang w:val="en-GB"/>
              </w:rPr>
            </w:pPr>
            <w:r w:rsidRPr="004E15E7">
              <w:t>Authority required</w:t>
            </w:r>
          </w:p>
        </w:tc>
      </w:tr>
    </w:tbl>
    <w:p w:rsidR="00C506CB" w:rsidRPr="001268F4" w:rsidRDefault="001268F4" w:rsidP="00EB7367">
      <w:pPr>
        <w:pStyle w:val="BodyText"/>
        <w:keepNext/>
        <w:spacing w:before="120"/>
      </w:pPr>
      <w:r>
        <w:lastRenderedPageBreak/>
        <w:t xml:space="preserve">A number of cost effectiveness based submissions were presented to the PBAC, but were rejected and a basis of cost minimisation was used for listing </w:t>
      </w:r>
      <w:r w:rsidR="00EB7367">
        <w:t xml:space="preserve">instead </w:t>
      </w:r>
      <w:r>
        <w:t>(</w:t>
      </w:r>
      <w:r w:rsidRPr="001268F4">
        <w:t>Etanercept</w:t>
      </w:r>
      <w:r>
        <w:t xml:space="preserve"> and </w:t>
      </w:r>
      <w:r w:rsidRPr="001268F4">
        <w:t>Infliximab</w:t>
      </w:r>
      <w:r>
        <w:t>)</w:t>
      </w:r>
      <w:r w:rsidR="00EB7367">
        <w:t>.</w:t>
      </w:r>
      <w:r>
        <w:t xml:space="preserve"> </w:t>
      </w:r>
      <w:r w:rsidR="00EB7367">
        <w:t>A</w:t>
      </w:r>
      <w:r>
        <w:t>dalimumab also requested an expansion of the restriction i</w:t>
      </w:r>
      <w:r w:rsidRPr="001268F4">
        <w:t>n March 2013</w:t>
      </w:r>
      <w:r>
        <w:t xml:space="preserve"> to include moderate CPP (PASI &gt;10 or DLQI &gt;10)</w:t>
      </w:r>
      <w:r w:rsidRPr="001268F4">
        <w:t>,</w:t>
      </w:r>
      <w:r>
        <w:t xml:space="preserve"> using a cost effectiveness model. T</w:t>
      </w:r>
      <w:r w:rsidRPr="001268F4">
        <w:t>he PBAC considered</w:t>
      </w:r>
      <w:r>
        <w:t xml:space="preserve"> that a PASI &gt;10 was not appropriate and the PBAC </w:t>
      </w:r>
      <w:r w:rsidRPr="001268F4">
        <w:t>rejected the submission on the basis of highly uncertain cost-effectiveness</w:t>
      </w:r>
      <w:r>
        <w:t>.</w:t>
      </w:r>
    </w:p>
    <w:p w:rsidR="006D1006" w:rsidRDefault="006D1006" w:rsidP="001268F4">
      <w:pPr>
        <w:pStyle w:val="MDSubsubheding"/>
      </w:pPr>
      <w:bookmarkStart w:id="54" w:name="_Toc480371866"/>
      <w:bookmarkStart w:id="55" w:name="_Toc486514205"/>
      <w:bookmarkStart w:id="56" w:name="_Toc503771665"/>
      <w:r>
        <w:t>B.4.5 PBS prescribing restrictions</w:t>
      </w:r>
      <w:bookmarkEnd w:id="54"/>
      <w:bookmarkEnd w:id="55"/>
      <w:bookmarkEnd w:id="56"/>
    </w:p>
    <w:p w:rsidR="001268F4" w:rsidRPr="00570D00" w:rsidRDefault="001268F4" w:rsidP="00955F0B">
      <w:pPr>
        <w:jc w:val="left"/>
      </w:pPr>
      <w:r w:rsidRPr="00570D00">
        <w:t xml:space="preserve">The PBS restriction was based on the Stakeholder meeting that was carried out in December 2004. The summary of the December 2004 Stakeholder meeting </w:t>
      </w:r>
      <w:r w:rsidR="00A06926" w:rsidRPr="00570D00">
        <w:t>concerning</w:t>
      </w:r>
      <w:r w:rsidRPr="00570D00">
        <w:t xml:space="preserve"> the restriction is outline below.</w:t>
      </w:r>
      <w:r w:rsidR="00C71FBF">
        <w:t xml:space="preserve"> </w:t>
      </w:r>
      <w:r w:rsidR="00A06926">
        <w:rPr>
          <w:i/>
        </w:rPr>
        <w:t>The following</w:t>
      </w:r>
      <w:r w:rsidR="00C71FBF" w:rsidRPr="00A06926">
        <w:rPr>
          <w:i/>
        </w:rPr>
        <w:t xml:space="preserve"> text is </w:t>
      </w:r>
      <w:r w:rsidR="00A06926">
        <w:rPr>
          <w:i/>
        </w:rPr>
        <w:t>directly from the</w:t>
      </w:r>
      <w:r w:rsidR="00C71FBF" w:rsidRPr="00A06926">
        <w:rPr>
          <w:i/>
        </w:rPr>
        <w:t xml:space="preserve"> 2004</w:t>
      </w:r>
      <w:r w:rsidR="00A06926">
        <w:rPr>
          <w:i/>
        </w:rPr>
        <w:t xml:space="preserve"> Stakeholder meeting report</w:t>
      </w:r>
      <w:r w:rsidR="00C71FBF" w:rsidRPr="00A06926">
        <w:rPr>
          <w:i/>
        </w:rPr>
        <w:t xml:space="preserve">, </w:t>
      </w:r>
      <w:r w:rsidR="00A06926" w:rsidRPr="00A06926">
        <w:rPr>
          <w:i/>
        </w:rPr>
        <w:t xml:space="preserve">and </w:t>
      </w:r>
      <w:r w:rsidR="00C71FBF" w:rsidRPr="00A06926">
        <w:rPr>
          <w:i/>
        </w:rPr>
        <w:t>the issues</w:t>
      </w:r>
      <w:r w:rsidR="00A06926" w:rsidRPr="00A06926">
        <w:rPr>
          <w:i/>
        </w:rPr>
        <w:t xml:space="preserve"> highlighted in the text have been resolved with various iterations of PBS submissions</w:t>
      </w:r>
      <w:r w:rsidR="00C71FBF" w:rsidRPr="00A06926">
        <w:rPr>
          <w:i/>
        </w:rPr>
        <w:t>.</w:t>
      </w:r>
    </w:p>
    <w:p w:rsidR="001105D7" w:rsidRPr="00077DE2" w:rsidRDefault="00077DE2" w:rsidP="00100B2C">
      <w:pPr>
        <w:pStyle w:val="MDsubHead3"/>
        <w:ind w:firstLine="360"/>
        <w:jc w:val="left"/>
        <w:rPr>
          <w:rFonts w:ascii="Times New Roman" w:hAnsi="Times New Roman" w:cs="Times New Roman"/>
          <w:highlight w:val="black"/>
          <w:lang w:val="en-AU"/>
        </w:rPr>
      </w:pPr>
      <w:r>
        <w:rPr>
          <w:noProof/>
          <w:color w:val="000000"/>
          <w:highlight w:val="black"/>
        </w:rPr>
        <w:t>'''''''''''''''''''''' ''''''''''''''''</w:t>
      </w:r>
    </w:p>
    <w:p w:rsidR="001105D7" w:rsidRPr="00077DE2" w:rsidRDefault="00077DE2" w:rsidP="00955F0B">
      <w:pPr>
        <w:ind w:left="360"/>
        <w:jc w:val="left"/>
        <w:rPr>
          <w:highlight w:val="black"/>
        </w:rPr>
      </w:pPr>
      <w:r>
        <w:rPr>
          <w:noProof/>
          <w:color w:val="000000"/>
          <w:highlight w:val="black"/>
        </w:rPr>
        <w:t xml:space="preserve">''' '''''''' ''''''''''' ''''''' ''''''' '''''''''''''''''' '''''' ''''''''''''''''''' '''''''' '''''''''''''''''''' '''''''''''' '''''''''''' '''''''''''''''''' '''' '''''''''' ''''''''''''''' ''''''''' '''''''''''' '''''''''''''' '''''''''' ''''''''''''''''''''''''''' ''''''' ''''''''''''''''''''''' '''''' '''''''' ''''''''''' '''''''''''''''''' ''''''''''''' '''''' '''''''''''''''''' '''' ''''''''''''' '''''''' '''''''''''''' '''''' '''''''' '''''''''''''''''''''''''''' '''''''' ''''''''''''' ''''' '''''''''''' '''' ''''''' '''''''''''''''''''  </w:t>
      </w:r>
    </w:p>
    <w:p w:rsidR="001105D7" w:rsidRPr="00077DE2" w:rsidRDefault="00077DE2" w:rsidP="00955F0B">
      <w:pPr>
        <w:ind w:left="360"/>
        <w:jc w:val="left"/>
        <w:rPr>
          <w:highlight w:val="black"/>
        </w:rPr>
      </w:pPr>
      <w:r>
        <w:rPr>
          <w:noProof/>
          <w:color w:val="000000"/>
          <w:highlight w:val="black"/>
        </w:rPr>
        <w:t xml:space="preserve">''''''' ''''''''''''''''''' ''''''''''' '''''''''' '''''''''''' '''' '''' '''''''''' ''''''''''''''''''' ''''''' ''''''''''''''''''''' ''''''''' ''''''''''''''' '''''''''''''''''''''''''' '''' '''''''''' '''''''''''''''' </w:t>
      </w:r>
    </w:p>
    <w:p w:rsidR="001105D7" w:rsidRPr="00077DE2" w:rsidRDefault="00077DE2" w:rsidP="001105D7">
      <w:pPr>
        <w:ind w:left="360"/>
        <w:rPr>
          <w:highlight w:val="black"/>
          <w:u w:val="single"/>
        </w:rPr>
      </w:pPr>
      <w:r>
        <w:rPr>
          <w:noProof/>
          <w:color w:val="000000"/>
          <w:highlight w:val="black"/>
        </w:rPr>
        <w:t>'''''''''''''''''''' '''' ''''''''''''''''''''</w:t>
      </w:r>
    </w:p>
    <w:p w:rsidR="001105D7" w:rsidRPr="00077DE2" w:rsidRDefault="00077DE2" w:rsidP="001105D7">
      <w:pPr>
        <w:ind w:left="360"/>
        <w:rPr>
          <w:highlight w:val="black"/>
        </w:rPr>
      </w:pPr>
      <w:r>
        <w:rPr>
          <w:noProof/>
          <w:color w:val="000000"/>
          <w:highlight w:val="black"/>
        </w:rPr>
        <w:t>''''' '''''' '''''''''''' '''' ''''''''''''''''''''''' ''''''''''''''''''''' '''''''''''''''' '''''''''' '''''''''''</w:t>
      </w:r>
    </w:p>
    <w:p w:rsidR="001105D7" w:rsidRPr="00077DE2" w:rsidRDefault="00077DE2" w:rsidP="00077DE2">
      <w:pPr>
        <w:tabs>
          <w:tab w:val="left" w:pos="717"/>
        </w:tabs>
        <w:spacing w:after="0"/>
        <w:ind w:left="717" w:hanging="360"/>
        <w:jc w:val="left"/>
        <w:rPr>
          <w:highlight w:val="black"/>
        </w:rPr>
      </w:pPr>
      <w:r>
        <w:rPr>
          <w:noProof/>
          <w:color w:val="000000"/>
          <w:highlight w:val="black"/>
        </w:rPr>
        <w:t>'''''''''''''''' '''''''''''''''' '''''''''' '''' ''''''''''''''''' ''''' ''' '''''''' ''''''''''' '''''  '''  ''''' '''' ''''''' '''''''''' '''''''''' ''''''''''''''''''' ''''' ''''''''''''''''' '''''''''''''''''' ''''''''' ''''''''' ''''''''''''''''' '''''''''''' '''''''''''''''' ''''''''''''''' '''''''''' '''''''''''' '''''''''' '''''''''''''''' '''' '''''''' '''''''''''' '''''''' ''''''''''' ''''' '''''''''''' ''''''' ''''''''''''''' ''''''''''' ''''' ''''''''''''''''''''' ''''''' '''''''''''''' '''''''''''''''''''''</w:t>
      </w:r>
    </w:p>
    <w:p w:rsidR="001105D7" w:rsidRPr="00077DE2" w:rsidRDefault="00077DE2" w:rsidP="00077DE2">
      <w:pPr>
        <w:tabs>
          <w:tab w:val="left" w:pos="717"/>
        </w:tabs>
        <w:spacing w:after="0"/>
        <w:ind w:left="717" w:hanging="360"/>
        <w:jc w:val="left"/>
        <w:rPr>
          <w:highlight w:val="black"/>
        </w:rPr>
      </w:pPr>
      <w:r>
        <w:rPr>
          <w:noProof/>
          <w:color w:val="000000"/>
          <w:highlight w:val="black"/>
        </w:rPr>
        <w:t xml:space="preserve">''''''''''''' ''''''''''''''''''' ''''''''' ''' '''''' ''''' ''' '''' '''''' ''''''''''''''''' ''''''''''''''''''''' ''''''''''''''' </w:t>
      </w:r>
    </w:p>
    <w:p w:rsidR="001105D7" w:rsidRPr="00077DE2" w:rsidRDefault="00077DE2" w:rsidP="00077DE2">
      <w:pPr>
        <w:tabs>
          <w:tab w:val="left" w:pos="1440"/>
        </w:tabs>
        <w:spacing w:after="0"/>
        <w:ind w:left="1440" w:hanging="360"/>
        <w:jc w:val="left"/>
        <w:rPr>
          <w:b/>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1105D7" w:rsidRPr="00077DE2" w:rsidRDefault="00077DE2" w:rsidP="00077DE2">
      <w:pPr>
        <w:tabs>
          <w:tab w:val="left" w:pos="1440"/>
        </w:tabs>
        <w:spacing w:after="0"/>
        <w:ind w:left="1440" w:hanging="360"/>
        <w:jc w:val="left"/>
        <w:rPr>
          <w:b/>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1105D7" w:rsidRPr="00077DE2" w:rsidRDefault="00077DE2" w:rsidP="00077DE2">
      <w:pPr>
        <w:tabs>
          <w:tab w:val="left" w:pos="1440"/>
        </w:tabs>
        <w:spacing w:after="0"/>
        <w:ind w:left="1440" w:hanging="360"/>
        <w:jc w:val="left"/>
        <w:rPr>
          <w:b/>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1105D7" w:rsidRPr="00077DE2" w:rsidRDefault="001105D7" w:rsidP="001105D7"/>
    <w:p w:rsidR="001105D7" w:rsidRPr="00077DE2" w:rsidRDefault="00077DE2" w:rsidP="00955F0B">
      <w:pPr>
        <w:ind w:left="360"/>
        <w:jc w:val="left"/>
        <w:rPr>
          <w:highlight w:val="black"/>
        </w:rPr>
      </w:pPr>
      <w:r>
        <w:rPr>
          <w:noProof/>
          <w:color w:val="000000"/>
          <w:highlight w:val="black"/>
        </w:rPr>
        <w:t>'''''''''''''' '''''''' ''''''''''''' '''''''' ''' '''''''' '''' ''''''' ''' ''''''''''''''''''''' ''''''''''' ''''' ''''''''''''' '''''''''''''''' '''''''''''''' ''''''' ''''' '''''''''''' '''''''''''' '''' '''''''''''''''''''''  '''''''''''''''' ''''''''''''''' '''''''' '''''''''''''''' '''' '''''' ''''''''''' ''''''' ''''''''' ''''''' '''''''''''''''' '''''''''''''''''''''' '''''' '''''''''''' ''''''' '''''''''''''' ''''' ''''''''''' '''''''''''''''''' ''' ''''''''' ''''''''' '''''''''' ''' '''''''''''''''''' ''''' ''' ''''''''' '''''' ''''' '''''''''''' '''''' ''''''''''''''''''  ''''''''''''''''''''''' ''''''''''''''''' '''''' '''''''''''''''' ''''''' '''''''''''''''''''''' '''''''''''''''' '''' ''''''''''' ''''''''''''''''' ''''''''''''' ''''' '''''''''''  '''''''''''' '''''''''''''''''' '''''' ''''''''''''''' ''''''''''''''''''''''</w:t>
      </w:r>
    </w:p>
    <w:p w:rsidR="001105D7" w:rsidRPr="00077DE2" w:rsidRDefault="00077DE2" w:rsidP="002C5FAC">
      <w:pPr>
        <w:keepNext/>
        <w:keepLines/>
        <w:ind w:left="357"/>
        <w:rPr>
          <w:highlight w:val="black"/>
          <w:u w:val="single"/>
        </w:rPr>
      </w:pPr>
      <w:r>
        <w:rPr>
          <w:noProof/>
          <w:color w:val="000000"/>
          <w:highlight w:val="black"/>
        </w:rPr>
        <w:lastRenderedPageBreak/>
        <w:t>''''''''''''''''''''''''' '''''''''''''''''''''</w:t>
      </w:r>
    </w:p>
    <w:p w:rsidR="001105D7" w:rsidRPr="00077DE2" w:rsidRDefault="00077DE2" w:rsidP="002C5FAC">
      <w:pPr>
        <w:keepNext/>
        <w:keepLines/>
        <w:ind w:left="357"/>
        <w:jc w:val="left"/>
        <w:rPr>
          <w:highlight w:val="black"/>
        </w:rPr>
      </w:pPr>
      <w:r>
        <w:rPr>
          <w:noProof/>
          <w:color w:val="000000"/>
          <w:highlight w:val="black"/>
        </w:rPr>
        <w:t xml:space="preserve">''' '''''''' '''''''''''''' '''''''' '''''' '''''''''''''''' ''''''''''''''''' '''''' '''''''''''' ''''' '''''''''''''''''''''' ''''' '''''''''''''''''' '''' ''''''''''''''''''''' '''''''''''''' '''''' '''''' ''''''''' '''''' ''''''''' ''''''''''' ''''''''''''''''' ''' '''''''' '''''''''''''''''' '''''''' '''''''''' ''''''''' ''''''''''''''''''''' ''''''''''''''' '''''' '''''''' '''''''''' '''''''' ''''''' ''''''''''' '''''''''' ''''''''''' ''''''''' ''''''''''' ''''' '''''''''''''''''''' '''''' '''''''''' ''''''''''' '''''''' ''''' '''''''''' ''''''' '''''' '''''''''''' '''' ''''' ''''''''''''''''''' </w:t>
      </w:r>
    </w:p>
    <w:p w:rsidR="001105D7" w:rsidRPr="00077DE2" w:rsidRDefault="00077DE2" w:rsidP="00955F0B">
      <w:pPr>
        <w:ind w:left="360"/>
        <w:jc w:val="left"/>
        <w:rPr>
          <w:highlight w:val="black"/>
        </w:rPr>
      </w:pPr>
      <w:r>
        <w:rPr>
          <w:noProof/>
          <w:color w:val="000000"/>
          <w:highlight w:val="black"/>
        </w:rPr>
        <w:t xml:space="preserve">''' '''''''' '''''''''''' '''''''' '''''''''''''''''''''' ''''''' ''' ''''''''''' ''''''''' ''''''' ''' '''''''''''''''''' '''''''''''''''''''' '''''''''''''''' ''''' ''''''''''''''' ''''''''' ''''''''''' '''' ''''''''''''''''''''''' '''' '''''''''''''''' ''''''''''' '''''' '''''''''' '''''' '''' ''''' ''''''''''''' '''''''''' '''''''''''''''''''''''''''''' '''' ''''''''''''''''''' '''''' '''''' '''''''''' '''''''''' ''''''''''''''''''' ''' ''''''''''''''''''''''''' '''' '''''' ''''''''''''' ''''''''''' ''''''''' ''' ''''' ''''''''''' '''''''''''''''''''''''''''' ''''''''''''' ''''''' ''''''''''''''' ''''''''''''''''' '''''''' '''''''''''' '''' '''''''' '''''''''' '''''''''''''''' ''''''''''''' ''''' '''' ''''''  ''' '''''''' '''''''' '''''''''''' '''''''' ''''''' ''''''''' ''''' ''''''''''''''''''''''' '''''' '''''''''''''''''' ''''''' '''''' '''''''' '''' ''''''''''''''''''''''' ''''''''' '''''' '''''''''''''''' ''''''''' '''''' ''''''''' '''''''''''''' ''''''''''''''''' '''''''''''''''''''''' '''''''''''''''''''' ''''' '''''' ''''''''  </w:t>
      </w:r>
    </w:p>
    <w:p w:rsidR="001105D7" w:rsidRPr="00077DE2" w:rsidRDefault="00077DE2" w:rsidP="00955F0B">
      <w:pPr>
        <w:ind w:left="360"/>
        <w:jc w:val="left"/>
        <w:rPr>
          <w:highlight w:val="black"/>
        </w:rPr>
      </w:pPr>
      <w:r>
        <w:rPr>
          <w:noProof/>
          <w:color w:val="000000"/>
          <w:highlight w:val="black"/>
        </w:rPr>
        <w:t>'''''''''' '''''' '''''''''''''''''' '''' ''''''''''''''''''' '''''''''''' ''''' '''''''' '''''' ''''''''''' ''''' ''''''''''''''''''''''' ''' '''''''' ''' ''''''''''''''''' ''''''' '''''''''''''' '''''''''''''''''''' ''''''''''''''''''''''' '''''''''''''' '''''''''''''''' ''''' ''''''''''' ''''' ''''''''''''''' ''' ''''''''' ''''''''''''''''''' ''''' ''' '''''''''''''''''''''' '''''''''''''''' '''' ''''''''''''''''' '''''''''''</w:t>
      </w:r>
    </w:p>
    <w:p w:rsidR="001105D7" w:rsidRPr="00077DE2" w:rsidRDefault="00077DE2" w:rsidP="001105D7">
      <w:pPr>
        <w:ind w:left="360"/>
        <w:rPr>
          <w:highlight w:val="black"/>
          <w:u w:val="single"/>
        </w:rPr>
      </w:pPr>
      <w:r>
        <w:rPr>
          <w:noProof/>
          <w:color w:val="000000"/>
          <w:highlight w:val="black"/>
        </w:rPr>
        <w:t xml:space="preserve">''''''''''''''''''''''' '''''''''''''''' ''''''''''''''''' ''''''''''''''''' </w:t>
      </w:r>
    </w:p>
    <w:p w:rsidR="001105D7" w:rsidRPr="00077DE2" w:rsidRDefault="00077DE2" w:rsidP="00955F0B">
      <w:pPr>
        <w:ind w:left="360"/>
        <w:jc w:val="left"/>
        <w:rPr>
          <w:highlight w:val="black"/>
        </w:rPr>
      </w:pPr>
      <w:r>
        <w:rPr>
          <w:noProof/>
          <w:color w:val="000000"/>
          <w:highlight w:val="black"/>
        </w:rPr>
        <w:t xml:space="preserve">'''''''''''''''''''''''''''' ''''''''''''' ''''''''' ''''''''' ''''''''''' '''''''' '''' '''''''''' ''''''''''''' '''' '''''' '''''''' '''''''''''''''''' '''''''''''''''' ''''''''' ''''''''''''''''' '''''''''''''''''''''' '''' '''''''''''' ''''''' '''''''''''''''' ''''''''''''''''''''' '''''''' ''''''''''''' '''''' ''''''''' ''''''''''''''''' ''''''' '''''''''''''''''''''''  ''''''''''''''''' ''''''' ''''''' '''''''''''''''''' '''''''''''' '''' '''''''''''''''''''''' '''''''''''''''' ''''''''' ''''''''''''''' '''''' ''' ''''''''''''' '''''''''''''' '''' '''''''''''''''''''''''' ''' ''''''' '''''''''''''''''' ''''''' ''''''''''' '''''''''''''' ''''' ''' '''''''''' '''''''''''' ''' '''''''''''' ''''''''' '''''''''''''' '''''' ''''''''''''''''''' '''''''''''' </w:t>
      </w:r>
    </w:p>
    <w:p w:rsidR="001105D7" w:rsidRPr="00077DE2" w:rsidRDefault="00077DE2" w:rsidP="001105D7">
      <w:pPr>
        <w:ind w:left="360"/>
        <w:rPr>
          <w:highlight w:val="black"/>
        </w:rPr>
      </w:pPr>
      <w:r>
        <w:rPr>
          <w:noProof/>
          <w:color w:val="000000"/>
          <w:highlight w:val="black"/>
        </w:rPr>
        <w:t>''''''''''''''''' '''''''''''''''''' '''''''''''</w:t>
      </w:r>
    </w:p>
    <w:p w:rsidR="001105D7" w:rsidRPr="00077DE2" w:rsidRDefault="00077DE2" w:rsidP="002C5FAC">
      <w:pPr>
        <w:ind w:left="357"/>
        <w:rPr>
          <w:highlight w:val="black"/>
        </w:rPr>
      </w:pPr>
      <w:r>
        <w:rPr>
          <w:noProof/>
          <w:color w:val="000000"/>
          <w:highlight w:val="black"/>
        </w:rPr>
        <w:t>''''''''''''''''''''''''''''</w:t>
      </w:r>
    </w:p>
    <w:p w:rsidR="001105D7" w:rsidRPr="00077DE2" w:rsidRDefault="00077DE2" w:rsidP="002C5FAC">
      <w:pPr>
        <w:ind w:left="357"/>
        <w:jc w:val="left"/>
        <w:rPr>
          <w:highlight w:val="black"/>
        </w:rPr>
      </w:pPr>
      <w:r>
        <w:rPr>
          <w:noProof/>
          <w:color w:val="000000"/>
          <w:highlight w:val="black"/>
        </w:rPr>
        <w:t xml:space="preserve">''' ''''''' '''''''''''' ''''''' ''''''''' '''''''''''' ''''''''' ''''' ''''''''' ''''''' ''''''''' ''''''''''''''''' '''''''''''''''' '''' '''''''' '''' '''''''''''''' '''''''''''''''''''''''''  '''''''' ''''''''''''' ''''''''' ''''''''''''''''''''' ''' '''''''''''''''''''''' '''''''''''''''' '''''''''''''' ''''''''''' ''''' ''''''''' ''''''' '''''''''''' '''''' ''''''''''' ''''''''''''''''''' '''''''''''''  </w:t>
      </w:r>
    </w:p>
    <w:p w:rsidR="001105D7" w:rsidRPr="00077DE2" w:rsidRDefault="00077DE2" w:rsidP="002C5FAC">
      <w:pPr>
        <w:ind w:left="357"/>
        <w:jc w:val="left"/>
        <w:rPr>
          <w:highlight w:val="black"/>
        </w:rPr>
      </w:pPr>
      <w:r>
        <w:rPr>
          <w:noProof/>
          <w:color w:val="000000"/>
          <w:highlight w:val="black"/>
        </w:rPr>
        <w:t xml:space="preserve">'''''''''''''''''' '''''''''''''''' '''''''''''' ''' '''''''' '''''''' ''' ''' '''''''''''''''''''''''''''' ''''' '''''''''''''''' ''''' ''''''''''''''' '''''''''''' '''''''''''' ''''''''''''''''''''''''''' ''''''' ''''''''''''''''' '''' ''''''''''''' ''''' ''''''''''''''' '''''''' ''''''''''' ''''' '''''''''''''' ''''''' '''''''''''''''''''''' '''' '''''' ''''''''''''''''''' ''''''''''''''''''''' '''' '''''''' ''''''''''''''''''''''' '''''''''''''''''' ''''''' ''''''''' '''''''''''''' ''''''' ''''''''''''' ''''' '''''' '''''''''''''' '''''''''''' ''' ''''''''''''''''''''''' '''''''''''' '''' ''''''''''' ''''''''''''''''' '''''''''' '''''''''''' ''' '''''''''''''''' </w:t>
      </w:r>
    </w:p>
    <w:p w:rsidR="001105D7" w:rsidRPr="00077DE2" w:rsidRDefault="00077DE2" w:rsidP="00F2605A">
      <w:pPr>
        <w:keepNext/>
        <w:keepLines/>
        <w:ind w:left="357"/>
        <w:rPr>
          <w:highlight w:val="black"/>
        </w:rPr>
      </w:pPr>
      <w:r>
        <w:rPr>
          <w:noProof/>
          <w:color w:val="000000"/>
          <w:highlight w:val="black"/>
        </w:rPr>
        <w:lastRenderedPageBreak/>
        <w:t xml:space="preserve">'''''''''''''''' </w:t>
      </w:r>
    </w:p>
    <w:p w:rsidR="001105D7" w:rsidRPr="00077DE2" w:rsidRDefault="00077DE2" w:rsidP="00F2605A">
      <w:pPr>
        <w:keepNext/>
        <w:keepLines/>
        <w:ind w:left="357"/>
        <w:jc w:val="left"/>
        <w:rPr>
          <w:highlight w:val="black"/>
        </w:rPr>
      </w:pPr>
      <w:r>
        <w:rPr>
          <w:noProof/>
          <w:color w:val="000000"/>
          <w:highlight w:val="black"/>
        </w:rPr>
        <w:t>''''''''''''''''' ''''''' '''''''''''''''' '''''''''''''' ''''' '''''''''' ''''''''''' ''''''''''''''''' '''''''' ''''''''' '''''''' '''''''''''''''''''' '''''''''''''''''''''' '''''''' ''''''''''''''''''''''''''''  '''''''' ''''''''' ''''' '''''''''''''''' ''''' ''''''''''''''''' '''''''''''''''' '''' '''''''''''''''''''' ''''''''''''''''''</w:t>
      </w:r>
    </w:p>
    <w:p w:rsidR="001105D7" w:rsidRPr="00077DE2" w:rsidRDefault="00077DE2" w:rsidP="002C5FAC">
      <w:pPr>
        <w:keepNext/>
        <w:keepLines/>
        <w:ind w:left="357"/>
        <w:jc w:val="left"/>
        <w:rPr>
          <w:highlight w:val="black"/>
        </w:rPr>
      </w:pPr>
      <w:r>
        <w:rPr>
          <w:noProof/>
          <w:color w:val="000000"/>
          <w:highlight w:val="black"/>
        </w:rPr>
        <w:t xml:space="preserve">'''''''' ''''' '''''''''''''''' '''''''''''''' </w:t>
      </w:r>
    </w:p>
    <w:p w:rsidR="001105D7" w:rsidRPr="00077DE2" w:rsidRDefault="00077DE2" w:rsidP="002C5FAC">
      <w:pPr>
        <w:keepNext/>
        <w:keepLines/>
        <w:ind w:left="357"/>
        <w:jc w:val="left"/>
      </w:pPr>
      <w:r>
        <w:rPr>
          <w:noProof/>
          <w:color w:val="000000"/>
          <w:highlight w:val="black"/>
        </w:rPr>
        <w:t>''''''''' '''''''''''''''' ''''''''' '''''''''''''''''' '''' '''''' ''''''' ''''''' '''''''''''' '''''''''' ''' ''''''''''''''''''</w:t>
      </w:r>
      <w:r>
        <w:rPr>
          <w:b/>
          <w:i/>
          <w:noProof/>
          <w:color w:val="000000"/>
          <w:highlight w:val="black"/>
        </w:rPr>
        <w:t xml:space="preserve"> </w:t>
      </w:r>
      <w:r>
        <w:rPr>
          <w:noProof/>
          <w:color w:val="000000"/>
          <w:highlight w:val="black"/>
        </w:rPr>
        <w:t>'''''''''' ''''''''''''''' '''' ''''''''''''''' ''''''' ''''' '''''' '''''''' ''''''''''''''''' '''''''''''''''''''' ''''''''''''' ''''''''''''''''''' '''''''''''''''''''' ''''''' '''''' '''''''''' ''''''''''' ''''''''' '''''''' '''''''''''''''' '''''''' ''''' '''''''' ''''''''' '''''''''''' ''''''''' '''''' ''''''''' ''''''''''''''''''' ''''' ''''''' ''''''''' ''' ''' '''''''''''''' ''''' ''''''' ''''''''''' '''' ''''' ''' ''''''''' '''''' ''''''''''''''' ''''''''''''''''''' ''' ''''''''' '''''''''' ''''''''''' ''''''''' ''''''' ''''''' '''''''''' ''''''''''''''''''' ''''' '''''' '''''''''' '''''''' ''''''''''''' ''''' ''''' ''''''''' '''''' ''''''''' ''''''''''''''''''''</w:t>
      </w:r>
    </w:p>
    <w:p w:rsidR="001105D7" w:rsidRPr="00077DE2" w:rsidRDefault="00077DE2" w:rsidP="00955F0B">
      <w:pPr>
        <w:ind w:left="360"/>
        <w:jc w:val="left"/>
        <w:rPr>
          <w:highlight w:val="black"/>
        </w:rPr>
      </w:pPr>
      <w:r>
        <w:rPr>
          <w:noProof/>
          <w:color w:val="000000"/>
          <w:highlight w:val="black"/>
        </w:rPr>
        <w:t xml:space="preserve">'''''''''' ''''''''''''''''' '''''''''''''' '''''''' '''''''' ''''' ''''''''''''''' '''''''''''''''' '''''''''' '''''''''' '''''''''''''''''' ''''''' ''''''''' '''''''''''''''' ''''' ''''''''''''''' ''''''''''' '''''''' ''''' '''''' '''''''''' </w:t>
      </w:r>
    </w:p>
    <w:p w:rsidR="00A06926" w:rsidRDefault="00A06926" w:rsidP="00A06926">
      <w:pPr>
        <w:pStyle w:val="MDsubHead3"/>
      </w:pPr>
      <w:r>
        <w:t>Current restrictions</w:t>
      </w:r>
    </w:p>
    <w:p w:rsidR="00187F0F" w:rsidRPr="00570D00" w:rsidRDefault="0048165A" w:rsidP="002C5FAC">
      <w:pPr>
        <w:jc w:val="left"/>
      </w:pPr>
      <w:r w:rsidRPr="00570D00">
        <w:t xml:space="preserve">All </w:t>
      </w:r>
      <w:r w:rsidR="00187F0F" w:rsidRPr="00570D00">
        <w:t>biologics for CPP are authority required listings. To be eligible for treatment with a biologic a patient must be treated by a dermatologist and must meet strict clinical criteria:</w:t>
      </w:r>
    </w:p>
    <w:p w:rsidR="00187F0F" w:rsidRPr="00570D00" w:rsidRDefault="00187F0F" w:rsidP="002C5FAC">
      <w:pPr>
        <w:pStyle w:val="ListParagraph"/>
        <w:numPr>
          <w:ilvl w:val="0"/>
          <w:numId w:val="13"/>
        </w:numPr>
        <w:jc w:val="left"/>
      </w:pPr>
      <w:r w:rsidRPr="00570D00">
        <w:t xml:space="preserve">Patient must have received insufficient therapy with this drug under the Initial 1, Whole body (new patient or patient recommencing treatment after a break of 5 years or more) restriction to complete 16 weeks treatment; OR </w:t>
      </w:r>
    </w:p>
    <w:p w:rsidR="00187F0F" w:rsidRDefault="00187F0F" w:rsidP="002C5FAC">
      <w:pPr>
        <w:pStyle w:val="ListParagraph"/>
        <w:numPr>
          <w:ilvl w:val="0"/>
          <w:numId w:val="13"/>
        </w:numPr>
        <w:jc w:val="left"/>
      </w:pPr>
      <w:r>
        <w:t xml:space="preserve">Patient must have received insufficient therapy with this drug under the Initial 2, Whole body (change or recommencement of treatment after a break of less than 5 years ) restriction to complete 16 weeks treatment; OR </w:t>
      </w:r>
    </w:p>
    <w:p w:rsidR="00187F0F" w:rsidRDefault="00187F0F" w:rsidP="002C5FAC">
      <w:pPr>
        <w:pStyle w:val="ListParagraph"/>
        <w:numPr>
          <w:ilvl w:val="0"/>
          <w:numId w:val="13"/>
        </w:numPr>
        <w:jc w:val="left"/>
      </w:pPr>
      <w:r>
        <w:t xml:space="preserve">Patient must have received insufficient therapy with this drug under the Initial 1, Face, hand, foot (new patient or patient recommencing treatment after a break of 5 years or more) restriction to complete 16 weeks treatment; OR </w:t>
      </w:r>
    </w:p>
    <w:p w:rsidR="00187F0F" w:rsidRDefault="00187F0F" w:rsidP="002C5FAC">
      <w:pPr>
        <w:pStyle w:val="ListParagraph"/>
        <w:numPr>
          <w:ilvl w:val="0"/>
          <w:numId w:val="13"/>
        </w:numPr>
        <w:jc w:val="left"/>
      </w:pPr>
      <w:r>
        <w:t xml:space="preserve">Patient must have received insufficient therapy with this drug under the Initial 2, Face, hand, foot (change or recommencement of treatment after a break of less than 5 years) restriction to complete 16 weeks treatment, </w:t>
      </w:r>
    </w:p>
    <w:p w:rsidR="00187F0F" w:rsidRDefault="00187F0F" w:rsidP="002C5FAC">
      <w:pPr>
        <w:pStyle w:val="ListParagraph"/>
        <w:ind w:left="0"/>
        <w:jc w:val="left"/>
      </w:pPr>
      <w:r>
        <w:t>AND</w:t>
      </w:r>
    </w:p>
    <w:p w:rsidR="00187F0F" w:rsidRDefault="00187F0F" w:rsidP="002C5FAC">
      <w:pPr>
        <w:pStyle w:val="ListParagraph"/>
        <w:numPr>
          <w:ilvl w:val="0"/>
          <w:numId w:val="13"/>
        </w:numPr>
        <w:jc w:val="left"/>
      </w:pPr>
      <w:r>
        <w:t>The treatment must be as systemic monotherapy (other than methotrexate),</w:t>
      </w:r>
    </w:p>
    <w:p w:rsidR="00187F0F" w:rsidRDefault="00187F0F" w:rsidP="002C5FAC">
      <w:pPr>
        <w:pStyle w:val="ListParagraph"/>
        <w:ind w:left="0"/>
        <w:jc w:val="left"/>
      </w:pPr>
      <w:r>
        <w:t>AND</w:t>
      </w:r>
    </w:p>
    <w:p w:rsidR="00187F0F" w:rsidRDefault="00187F0F" w:rsidP="002C5FAC">
      <w:pPr>
        <w:pStyle w:val="ListParagraph"/>
        <w:numPr>
          <w:ilvl w:val="0"/>
          <w:numId w:val="13"/>
        </w:numPr>
        <w:jc w:val="left"/>
      </w:pPr>
      <w:r>
        <w:t>The treatment must provide no more than the balance of up to 16 weeks treatment available under the above restrictions.</w:t>
      </w:r>
    </w:p>
    <w:p w:rsidR="00D32A7C" w:rsidRPr="004755F1" w:rsidRDefault="00652986" w:rsidP="002C5FAC">
      <w:pPr>
        <w:jc w:val="left"/>
      </w:pPr>
      <w:r w:rsidRPr="00740C05">
        <w:rPr>
          <w:rFonts w:eastAsia="Calibri"/>
          <w:lang w:val="en-AU"/>
        </w:rPr>
        <w:t>Continuation of the same biologic under the PBS requires patients to experience a reduction in PASI of 75% or more compared with their baseline level (PASI75</w:t>
      </w:r>
      <w:r>
        <w:rPr>
          <w:rFonts w:eastAsia="Calibri"/>
          <w:lang w:val="en-AU"/>
        </w:rPr>
        <w:t>).</w:t>
      </w:r>
      <w:r w:rsidR="0048165A">
        <w:t xml:space="preserve"> </w:t>
      </w:r>
      <w:bookmarkEnd w:id="46"/>
    </w:p>
    <w:p w:rsidR="00F73F7C" w:rsidRDefault="00F73F7C" w:rsidP="00E7072A">
      <w:pPr>
        <w:rPr>
          <w:rFonts w:asciiTheme="majorHAnsi" w:eastAsiaTheme="majorEastAsia" w:hAnsiTheme="majorHAnsi" w:cstheme="majorBidi"/>
          <w:color w:val="4F81BD" w:themeColor="accent1"/>
          <w:sz w:val="32"/>
          <w:szCs w:val="26"/>
        </w:rPr>
      </w:pPr>
      <w:bookmarkStart w:id="57" w:name="_Toc388453130"/>
    </w:p>
    <w:bookmarkEnd w:id="57"/>
    <w:p w:rsidR="00F2605A" w:rsidRDefault="00F2605A">
      <w:pPr>
        <w:spacing w:line="276" w:lineRule="auto"/>
        <w:jc w:val="left"/>
        <w:rPr>
          <w:rFonts w:eastAsiaTheme="majorEastAsia" w:cstheme="majorBidi"/>
          <w:b/>
          <w:bCs/>
          <w:color w:val="548DD4" w:themeColor="text2" w:themeTint="99"/>
          <w:sz w:val="40"/>
          <w:szCs w:val="40"/>
        </w:rPr>
      </w:pPr>
      <w:r>
        <w:br w:type="page"/>
      </w:r>
    </w:p>
    <w:p w:rsidR="00923556" w:rsidRPr="00A41970" w:rsidRDefault="00923556" w:rsidP="00E7072A">
      <w:pPr>
        <w:pStyle w:val="Heading1"/>
      </w:pPr>
      <w:bookmarkStart w:id="58" w:name="_Toc503771666"/>
      <w:r w:rsidRPr="00A41970">
        <w:lastRenderedPageBreak/>
        <w:t>References</w:t>
      </w:r>
      <w:bookmarkEnd w:id="58"/>
    </w:p>
    <w:p w:rsidR="00AF2E42" w:rsidRPr="00AF2E42" w:rsidRDefault="00AF2E42" w:rsidP="00AF2E42">
      <w:pPr>
        <w:pStyle w:val="EndNoteBibliography"/>
        <w:spacing w:after="0"/>
      </w:pPr>
      <w:bookmarkStart w:id="59" w:name="_ENREF_1"/>
      <w:r w:rsidRPr="00AF2E42">
        <w:t>1.</w:t>
      </w:r>
      <w:r w:rsidRPr="00AF2E42">
        <w:tab/>
        <w:t xml:space="preserve">Australian College of Dermatologists. A-Z of skin: psoriasis 2017 2017 [Available from: </w:t>
      </w:r>
      <w:r w:rsidRPr="00077DE2">
        <w:t>http://www.dermcoll.edu.au/atoz/psoriasis/</w:t>
      </w:r>
      <w:r w:rsidRPr="00AF2E42">
        <w:t>.</w:t>
      </w:r>
      <w:bookmarkEnd w:id="59"/>
    </w:p>
    <w:p w:rsidR="00294174" w:rsidRDefault="00AF2E42" w:rsidP="00EB7367">
      <w:pPr>
        <w:pStyle w:val="EndNoteBibliography"/>
        <w:rPr>
          <w:rFonts w:asciiTheme="majorHAnsi" w:eastAsiaTheme="majorEastAsia" w:hAnsiTheme="majorHAnsi" w:cstheme="majorBidi"/>
          <w:b/>
          <w:bCs/>
          <w:color w:val="4F81BD" w:themeColor="accent1"/>
          <w:sz w:val="32"/>
          <w:szCs w:val="26"/>
        </w:rPr>
      </w:pPr>
      <w:bookmarkStart w:id="60" w:name="_ENREF_2"/>
      <w:r w:rsidRPr="00AF2E42">
        <w:t>2.</w:t>
      </w:r>
      <w:r w:rsidRPr="00AF2E42">
        <w:tab/>
        <w:t xml:space="preserve">DermNet New Zealand. Topics: plaque psoriasis [Available from: </w:t>
      </w:r>
      <w:r w:rsidRPr="00077DE2">
        <w:t>http://www.dermnetnz.org/topics/plaque-psoriasis</w:t>
      </w:r>
      <w:r w:rsidRPr="00AF2E42">
        <w:t xml:space="preserve"> </w:t>
      </w:r>
      <w:bookmarkEnd w:id="60"/>
      <w:r w:rsidR="00294174">
        <w:br w:type="page"/>
      </w:r>
    </w:p>
    <w:p w:rsidR="00294174" w:rsidRPr="00A41970" w:rsidRDefault="00294174" w:rsidP="00E7072A">
      <w:pPr>
        <w:pStyle w:val="Heading1"/>
      </w:pPr>
      <w:bookmarkStart w:id="61" w:name="_Appendix_A_-"/>
      <w:bookmarkStart w:id="62" w:name="_Appendix_A_–"/>
      <w:bookmarkStart w:id="63" w:name="_Appendix_B_–"/>
      <w:bookmarkStart w:id="64" w:name="_Ref493242406"/>
      <w:bookmarkStart w:id="65" w:name="_Toc503771667"/>
      <w:bookmarkEnd w:id="61"/>
      <w:bookmarkEnd w:id="62"/>
      <w:bookmarkEnd w:id="63"/>
      <w:r w:rsidRPr="00A41970">
        <w:lastRenderedPageBreak/>
        <w:t xml:space="preserve">Appendix </w:t>
      </w:r>
      <w:r w:rsidR="00914459">
        <w:t>A</w:t>
      </w:r>
      <w:r w:rsidRPr="00A41970">
        <w:t xml:space="preserve"> – Reference Group Members</w:t>
      </w:r>
      <w:bookmarkEnd w:id="64"/>
      <w:bookmarkEnd w:id="65"/>
    </w:p>
    <w:tbl>
      <w:tblPr>
        <w:tblStyle w:val="TableGrid3"/>
        <w:tblW w:w="5000" w:type="pct"/>
        <w:tblLook w:val="01E0" w:firstRow="1" w:lastRow="1" w:firstColumn="1" w:lastColumn="1" w:noHBand="0" w:noVBand="0"/>
        <w:tblCaption w:val="Reference Group Members"/>
        <w:tblDescription w:val="Reference Group Members"/>
      </w:tblPr>
      <w:tblGrid>
        <w:gridCol w:w="2375"/>
        <w:gridCol w:w="2978"/>
        <w:gridCol w:w="3889"/>
      </w:tblGrid>
      <w:tr w:rsidR="00447443" w:rsidRPr="00243B9F" w:rsidTr="00062AE4">
        <w:trPr>
          <w:tblHeader/>
        </w:trPr>
        <w:tc>
          <w:tcPr>
            <w:tcW w:w="1285" w:type="pct"/>
            <w:shd w:val="clear" w:color="auto" w:fill="A6A6A6" w:themeFill="background1" w:themeFillShade="A6"/>
            <w:hideMark/>
          </w:tcPr>
          <w:p w:rsidR="00447443" w:rsidRPr="00243B9F" w:rsidRDefault="00447443" w:rsidP="00062AE4">
            <w:pPr>
              <w:spacing w:beforeLines="60" w:before="144" w:afterLines="60" w:after="144"/>
              <w:jc w:val="left"/>
              <w:rPr>
                <w:b/>
              </w:rPr>
            </w:pPr>
            <w:r w:rsidRPr="00243B9F">
              <w:rPr>
                <w:b/>
              </w:rPr>
              <w:t>Member</w:t>
            </w:r>
          </w:p>
        </w:tc>
        <w:tc>
          <w:tcPr>
            <w:tcW w:w="1611" w:type="pct"/>
            <w:shd w:val="clear" w:color="auto" w:fill="A6A6A6" w:themeFill="background1" w:themeFillShade="A6"/>
          </w:tcPr>
          <w:p w:rsidR="00447443" w:rsidRPr="00243B9F" w:rsidRDefault="00447443" w:rsidP="00062AE4">
            <w:pPr>
              <w:spacing w:beforeLines="60" w:before="144" w:afterLines="60" w:after="144"/>
              <w:jc w:val="left"/>
              <w:rPr>
                <w:b/>
              </w:rPr>
            </w:pPr>
            <w:r w:rsidRPr="00243B9F">
              <w:rPr>
                <w:b/>
              </w:rPr>
              <w:t>Type of Membership</w:t>
            </w:r>
          </w:p>
        </w:tc>
        <w:tc>
          <w:tcPr>
            <w:tcW w:w="2104" w:type="pct"/>
            <w:shd w:val="clear" w:color="auto" w:fill="A6A6A6" w:themeFill="background1" w:themeFillShade="A6"/>
            <w:hideMark/>
          </w:tcPr>
          <w:p w:rsidR="00447443" w:rsidRPr="00243B9F" w:rsidRDefault="00447443" w:rsidP="00062AE4">
            <w:pPr>
              <w:spacing w:beforeLines="60" w:before="144" w:afterLines="60" w:after="144"/>
              <w:jc w:val="left"/>
              <w:rPr>
                <w:b/>
              </w:rPr>
            </w:pPr>
            <w:r w:rsidRPr="00243B9F">
              <w:rPr>
                <w:b/>
              </w:rPr>
              <w:t>Area of Expertise</w:t>
            </w:r>
            <w:r w:rsidR="00243B9F" w:rsidRPr="00243B9F">
              <w:rPr>
                <w:b/>
              </w:rPr>
              <w:t>/organisation</w:t>
            </w:r>
          </w:p>
        </w:tc>
      </w:tr>
      <w:tr w:rsidR="00447443" w:rsidRPr="00243B9F" w:rsidTr="00062AE4">
        <w:trPr>
          <w:trHeight w:val="318"/>
        </w:trPr>
        <w:tc>
          <w:tcPr>
            <w:tcW w:w="1285" w:type="pct"/>
            <w:hideMark/>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Chair</w:t>
            </w:r>
          </w:p>
        </w:tc>
        <w:tc>
          <w:tcPr>
            <w:tcW w:w="2104" w:type="pct"/>
            <w:hideMark/>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 xml:space="preserve">Pharmaceutical Benefits Policy </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Technical Expert</w:t>
            </w:r>
          </w:p>
        </w:tc>
        <w:tc>
          <w:tcPr>
            <w:tcW w:w="2104"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Drug Utilisation</w:t>
            </w:r>
            <w:r w:rsidR="007A7788" w:rsidRPr="00243B9F">
              <w:rPr>
                <w:rFonts w:asciiTheme="minorHAnsi" w:hAnsiTheme="minorHAnsi"/>
              </w:rPr>
              <w:t xml:space="preserve"> (PBAC Sub-committee)</w:t>
            </w:r>
          </w:p>
        </w:tc>
      </w:tr>
      <w:tr w:rsidR="00243B9F" w:rsidRPr="00243B9F" w:rsidTr="002A4E9F">
        <w:tc>
          <w:tcPr>
            <w:tcW w:w="1285" w:type="pct"/>
          </w:tcPr>
          <w:p w:rsidR="00243B9F" w:rsidRPr="00077DE2" w:rsidRDefault="00077DE2" w:rsidP="002A4E9F">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243B9F" w:rsidRPr="00243B9F" w:rsidRDefault="00243B9F" w:rsidP="002A4E9F">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rsidR="00243B9F" w:rsidRPr="00243B9F" w:rsidRDefault="00243B9F" w:rsidP="002A4E9F">
            <w:pPr>
              <w:pStyle w:val="NoSpacing"/>
              <w:spacing w:beforeLines="60" w:before="144" w:afterLines="60" w:after="144"/>
              <w:rPr>
                <w:rFonts w:asciiTheme="minorHAnsi" w:hAnsiTheme="minorHAnsi"/>
              </w:rPr>
            </w:pPr>
            <w:r w:rsidRPr="00243B9F">
              <w:rPr>
                <w:rFonts w:asciiTheme="minorHAnsi" w:hAnsiTheme="minorHAnsi"/>
              </w:rPr>
              <w:t>Australasian College of Dermatologists</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rsidR="00447443" w:rsidRPr="00243B9F" w:rsidRDefault="007A7788" w:rsidP="00062AE4">
            <w:pPr>
              <w:pStyle w:val="NoSpacing"/>
              <w:spacing w:beforeLines="60" w:before="144" w:afterLines="60" w:after="144"/>
              <w:rPr>
                <w:rFonts w:asciiTheme="minorHAnsi" w:hAnsiTheme="minorHAnsi"/>
              </w:rPr>
            </w:pPr>
            <w:r w:rsidRPr="00243B9F">
              <w:rPr>
                <w:rFonts w:asciiTheme="minorHAnsi" w:hAnsiTheme="minorHAnsi"/>
              </w:rPr>
              <w:t xml:space="preserve">Royal Australian College of </w:t>
            </w:r>
            <w:r w:rsidR="00447443" w:rsidRPr="00243B9F">
              <w:rPr>
                <w:rFonts w:asciiTheme="minorHAnsi" w:hAnsiTheme="minorHAnsi"/>
              </w:rPr>
              <w:t>General Practice</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Technical Expert</w:t>
            </w:r>
          </w:p>
        </w:tc>
        <w:tc>
          <w:tcPr>
            <w:tcW w:w="2104"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Health Economics</w:t>
            </w:r>
          </w:p>
        </w:tc>
      </w:tr>
      <w:tr w:rsidR="00447443" w:rsidRPr="00243B9F" w:rsidTr="00062AE4">
        <w:tc>
          <w:tcPr>
            <w:tcW w:w="1285" w:type="pct"/>
            <w:hideMark/>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hideMark/>
          </w:tcPr>
          <w:p w:rsidR="00447443" w:rsidRPr="00243B9F" w:rsidRDefault="00243B9F" w:rsidP="00243B9F">
            <w:pPr>
              <w:pStyle w:val="NoSpacing"/>
              <w:spacing w:beforeLines="60" w:before="144" w:afterLines="60" w:after="144"/>
              <w:rPr>
                <w:rFonts w:asciiTheme="minorHAnsi" w:hAnsiTheme="minorHAnsi"/>
              </w:rPr>
            </w:pPr>
            <w:r w:rsidRPr="00243B9F">
              <w:rPr>
                <w:rFonts w:asciiTheme="minorHAnsi" w:hAnsiTheme="minorHAnsi"/>
              </w:rPr>
              <w:t xml:space="preserve">Society of </w:t>
            </w:r>
            <w:r w:rsidR="00447443" w:rsidRPr="00243B9F">
              <w:rPr>
                <w:rFonts w:asciiTheme="minorHAnsi" w:hAnsiTheme="minorHAnsi"/>
              </w:rPr>
              <w:t>Hospital Pharmac</w:t>
            </w:r>
            <w:r w:rsidRPr="00243B9F">
              <w:rPr>
                <w:rFonts w:asciiTheme="minorHAnsi" w:hAnsiTheme="minorHAnsi"/>
              </w:rPr>
              <w:t>ists of Australia</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rsidR="00447443" w:rsidRPr="00243B9F" w:rsidRDefault="00243B9F" w:rsidP="00062AE4">
            <w:pPr>
              <w:pStyle w:val="NoSpacing"/>
              <w:spacing w:beforeLines="60" w:before="144" w:afterLines="60" w:after="144"/>
              <w:rPr>
                <w:rFonts w:asciiTheme="minorHAnsi" w:hAnsiTheme="minorHAnsi"/>
              </w:rPr>
            </w:pPr>
            <w:r w:rsidRPr="00243B9F">
              <w:rPr>
                <w:rFonts w:asciiTheme="minorHAnsi" w:hAnsiTheme="minorHAnsi"/>
              </w:rPr>
              <w:t>Medicines Australia</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Consumer Advocate</w:t>
            </w:r>
          </w:p>
        </w:tc>
        <w:tc>
          <w:tcPr>
            <w:tcW w:w="2104" w:type="pct"/>
          </w:tcPr>
          <w:p w:rsidR="00447443" w:rsidRPr="00243B9F" w:rsidRDefault="00243B9F" w:rsidP="00062AE4">
            <w:pPr>
              <w:pStyle w:val="NoSpacing"/>
              <w:spacing w:beforeLines="60" w:before="144" w:afterLines="60" w:after="144"/>
              <w:rPr>
                <w:rFonts w:asciiTheme="minorHAnsi" w:hAnsiTheme="minorHAnsi"/>
              </w:rPr>
            </w:pPr>
            <w:r w:rsidRPr="00243B9F">
              <w:rPr>
                <w:rFonts w:asciiTheme="minorHAnsi" w:hAnsiTheme="minorHAnsi"/>
              </w:rPr>
              <w:t>Consumers Health Forum of Australia</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r w:rsidR="00447443" w:rsidRPr="00077DE2">
              <w:rPr>
                <w:rFonts w:asciiTheme="minorHAnsi" w:hAnsiTheme="minorHAnsi"/>
                <w:highlight w:val="black"/>
              </w:rPr>
              <w:t xml:space="preserve">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rsidR="00447443" w:rsidRPr="00243B9F" w:rsidRDefault="007A7788" w:rsidP="00062AE4">
            <w:pPr>
              <w:pStyle w:val="NoSpacing"/>
              <w:spacing w:beforeLines="60" w:before="144" w:afterLines="60" w:after="144"/>
              <w:rPr>
                <w:rFonts w:asciiTheme="minorHAnsi" w:hAnsiTheme="minorHAnsi"/>
              </w:rPr>
            </w:pPr>
            <w:r w:rsidRPr="00243B9F">
              <w:rPr>
                <w:rFonts w:asciiTheme="minorHAnsi" w:hAnsiTheme="minorHAnsi"/>
              </w:rPr>
              <w:t>Australian Medical Association</w:t>
            </w:r>
          </w:p>
        </w:tc>
      </w:tr>
      <w:tr w:rsidR="00447443" w:rsidRPr="00243B9F" w:rsidTr="00062AE4">
        <w:tc>
          <w:tcPr>
            <w:tcW w:w="1285" w:type="pct"/>
          </w:tcPr>
          <w:p w:rsidR="00447443" w:rsidRPr="00077DE2" w:rsidRDefault="00077DE2" w:rsidP="00062AE4">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Clinical Expert</w:t>
            </w:r>
          </w:p>
        </w:tc>
        <w:tc>
          <w:tcPr>
            <w:tcW w:w="2104" w:type="pct"/>
          </w:tcPr>
          <w:p w:rsidR="00447443" w:rsidRPr="00243B9F" w:rsidRDefault="00447443" w:rsidP="00062AE4">
            <w:pPr>
              <w:pStyle w:val="NoSpacing"/>
              <w:spacing w:beforeLines="60" w:before="144" w:afterLines="60" w:after="144"/>
              <w:rPr>
                <w:rFonts w:asciiTheme="minorHAnsi" w:hAnsiTheme="minorHAnsi"/>
              </w:rPr>
            </w:pPr>
            <w:r w:rsidRPr="00243B9F">
              <w:rPr>
                <w:rFonts w:asciiTheme="minorHAnsi" w:hAnsiTheme="minorHAnsi"/>
              </w:rPr>
              <w:t>Rheumatology /Epidemiology</w:t>
            </w:r>
          </w:p>
        </w:tc>
      </w:tr>
      <w:tr w:rsidR="00243B9F" w:rsidRPr="00243B9F" w:rsidTr="002A4E9F">
        <w:tc>
          <w:tcPr>
            <w:tcW w:w="1285" w:type="pct"/>
          </w:tcPr>
          <w:p w:rsidR="00243B9F" w:rsidRPr="00077DE2" w:rsidRDefault="00077DE2" w:rsidP="002A4E9F">
            <w:pPr>
              <w:pStyle w:val="NoSpacing"/>
              <w:spacing w:beforeLines="60" w:before="144" w:afterLines="60" w:after="144"/>
              <w:rPr>
                <w:rFonts w:asciiTheme="minorHAnsi" w:hAnsiTheme="minorHAnsi"/>
                <w:highlight w:val="black"/>
              </w:rPr>
            </w:pPr>
            <w:r>
              <w:rPr>
                <w:rFonts w:asciiTheme="minorHAnsi" w:hAnsiTheme="minorHAnsi"/>
                <w:noProof/>
                <w:color w:val="000000"/>
                <w:highlight w:val="black"/>
              </w:rPr>
              <w:t>''''' ''''''''' '''''''''''</w:t>
            </w:r>
          </w:p>
        </w:tc>
        <w:tc>
          <w:tcPr>
            <w:tcW w:w="1611" w:type="pct"/>
          </w:tcPr>
          <w:p w:rsidR="00243B9F" w:rsidRPr="00243B9F" w:rsidRDefault="00243B9F" w:rsidP="002A4E9F">
            <w:pPr>
              <w:pStyle w:val="NoSpacing"/>
              <w:spacing w:beforeLines="60" w:before="144" w:afterLines="60" w:after="144"/>
              <w:rPr>
                <w:rFonts w:asciiTheme="minorHAnsi" w:hAnsiTheme="minorHAnsi"/>
              </w:rPr>
            </w:pPr>
            <w:r w:rsidRPr="00243B9F">
              <w:rPr>
                <w:rFonts w:asciiTheme="minorHAnsi" w:hAnsiTheme="minorHAnsi"/>
              </w:rPr>
              <w:t>Organisational Representative</w:t>
            </w:r>
          </w:p>
        </w:tc>
        <w:tc>
          <w:tcPr>
            <w:tcW w:w="2104" w:type="pct"/>
          </w:tcPr>
          <w:p w:rsidR="00243B9F" w:rsidRPr="00243B9F" w:rsidRDefault="00243B9F" w:rsidP="002A4E9F">
            <w:pPr>
              <w:pStyle w:val="NoSpacing"/>
              <w:spacing w:beforeLines="60" w:before="144" w:afterLines="60" w:after="144"/>
              <w:rPr>
                <w:rFonts w:asciiTheme="minorHAnsi" w:hAnsiTheme="minorHAnsi"/>
              </w:rPr>
            </w:pPr>
            <w:r w:rsidRPr="00243B9F">
              <w:rPr>
                <w:rFonts w:asciiTheme="minorHAnsi" w:hAnsiTheme="minorHAnsi"/>
              </w:rPr>
              <w:t xml:space="preserve">Therapeutic Goods Administration </w:t>
            </w:r>
          </w:p>
        </w:tc>
      </w:tr>
    </w:tbl>
    <w:p w:rsidR="00294174" w:rsidRPr="00904FDA" w:rsidRDefault="00294174" w:rsidP="00E7072A"/>
    <w:p w:rsidR="00C52787" w:rsidRDefault="00C52787">
      <w:pPr>
        <w:spacing w:line="276" w:lineRule="auto"/>
        <w:jc w:val="left"/>
      </w:pPr>
      <w:r>
        <w:br w:type="page"/>
      </w:r>
    </w:p>
    <w:p w:rsidR="007E795E" w:rsidRPr="007E795E" w:rsidRDefault="007E795E" w:rsidP="007E795E">
      <w:pPr>
        <w:pStyle w:val="Heading1"/>
      </w:pPr>
      <w:bookmarkStart w:id="66" w:name="_Toc499817495"/>
      <w:bookmarkStart w:id="67" w:name="_Toc503771668"/>
      <w:r w:rsidRPr="00A41970">
        <w:lastRenderedPageBreak/>
        <w:t xml:space="preserve">Appendix </w:t>
      </w:r>
      <w:r w:rsidR="005078DF">
        <w:t>B</w:t>
      </w:r>
      <w:r w:rsidRPr="00A41970">
        <w:t xml:space="preserve"> – </w:t>
      </w:r>
      <w:r>
        <w:rPr>
          <w:rFonts w:ascii="Calibri" w:eastAsia="Times New Roman" w:hAnsi="Calibri" w:cs="Times New Roman"/>
          <w:color w:val="548DD4"/>
        </w:rPr>
        <w:t>Glossary of terms</w:t>
      </w:r>
      <w:bookmarkEnd w:id="66"/>
      <w:bookmarkEnd w:id="67"/>
    </w:p>
    <w:tbl>
      <w:tblPr>
        <w:tblStyle w:val="TableGrid3"/>
        <w:tblW w:w="0" w:type="auto"/>
        <w:tblLook w:val="01E0" w:firstRow="1" w:lastRow="1" w:firstColumn="1" w:lastColumn="1" w:noHBand="0" w:noVBand="0"/>
        <w:tblCaption w:val="Glossary of terms"/>
        <w:tblDescription w:val="&#10;Term and Explanation&#10;"/>
      </w:tblPr>
      <w:tblGrid>
        <w:gridCol w:w="1980"/>
        <w:gridCol w:w="6660"/>
      </w:tblGrid>
      <w:tr w:rsidR="007E795E" w:rsidRPr="00603DAF" w:rsidTr="00057059">
        <w:trPr>
          <w:trHeight w:val="411"/>
          <w:tblHeader/>
        </w:trPr>
        <w:tc>
          <w:tcPr>
            <w:tcW w:w="1980" w:type="dxa"/>
            <w:shd w:val="clear" w:color="auto" w:fill="A6A6A6" w:themeFill="background1" w:themeFillShade="A6"/>
            <w:hideMark/>
          </w:tcPr>
          <w:p w:rsidR="007E795E" w:rsidRPr="00603DAF" w:rsidRDefault="007E795E" w:rsidP="00B520D6">
            <w:pPr>
              <w:autoSpaceDE w:val="0"/>
              <w:autoSpaceDN w:val="0"/>
              <w:adjustRightInd w:val="0"/>
              <w:spacing w:before="60" w:after="60"/>
              <w:jc w:val="left"/>
              <w:rPr>
                <w:rFonts w:ascii="Calibri" w:eastAsia="MS Mincho" w:hAnsi="Calibri" w:cs="Calibri"/>
                <w:b/>
              </w:rPr>
            </w:pPr>
            <w:r w:rsidRPr="006B5BDF">
              <w:rPr>
                <w:rFonts w:ascii="Calibri" w:eastAsia="MS Mincho" w:hAnsi="Calibri" w:cs="Calibri"/>
                <w:b/>
              </w:rPr>
              <w:t>Term</w:t>
            </w:r>
          </w:p>
        </w:tc>
        <w:tc>
          <w:tcPr>
            <w:tcW w:w="6660" w:type="dxa"/>
            <w:shd w:val="clear" w:color="auto" w:fill="A6A6A6" w:themeFill="background1" w:themeFillShade="A6"/>
            <w:hideMark/>
          </w:tcPr>
          <w:p w:rsidR="007E795E" w:rsidRPr="00603DAF" w:rsidRDefault="007E795E" w:rsidP="00B520D6">
            <w:pPr>
              <w:autoSpaceDE w:val="0"/>
              <w:autoSpaceDN w:val="0"/>
              <w:adjustRightInd w:val="0"/>
              <w:spacing w:before="60" w:after="60"/>
              <w:jc w:val="left"/>
              <w:rPr>
                <w:rFonts w:ascii="Calibri" w:eastAsia="MS Mincho" w:hAnsi="Calibri" w:cs="Calibri"/>
                <w:b/>
              </w:rPr>
            </w:pPr>
            <w:r w:rsidRPr="006B5BDF">
              <w:rPr>
                <w:rFonts w:ascii="Calibri" w:eastAsia="MS Mincho" w:hAnsi="Calibri" w:cs="Calibri"/>
                <w:b/>
              </w:rPr>
              <w:t>Explanation</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Adverse event</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 side effect or an </w:t>
            </w:r>
            <w:r w:rsidRPr="006B5BDF">
              <w:rPr>
                <w:rFonts w:ascii="Calibri" w:eastAsia="MS Mincho" w:hAnsi="Calibri" w:cs="Calibri"/>
                <w:color w:val="000000"/>
              </w:rPr>
              <w:t>unintended a</w:t>
            </w:r>
            <w:r>
              <w:rPr>
                <w:rFonts w:ascii="Calibri" w:eastAsia="MS Mincho" w:hAnsi="Calibri" w:cs="Calibri"/>
                <w:color w:val="000000"/>
              </w:rPr>
              <w:t xml:space="preserve">nd sometimes harmful occurrence caused by a medicine or medical treatment. A serious adverse event is one that requires hospitalisation, causes disability or permanent damage, requires intervention to prevent disability or permanent damage, is life-threatening, causes death, results in a birth defect, or causes another serious medical event.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 xml:space="preserve">AGREE </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w:t>
            </w:r>
            <w:r w:rsidRPr="00603DAF">
              <w:rPr>
                <w:rFonts w:ascii="Calibri" w:eastAsia="MS Mincho" w:hAnsi="Calibri" w:cs="Calibri"/>
                <w:color w:val="000000"/>
              </w:rPr>
              <w:t>Appraisal of Guidelines for Research and Evaluation</w:t>
            </w:r>
            <w:r>
              <w:rPr>
                <w:rFonts w:ascii="Calibri" w:eastAsia="MS Mincho" w:hAnsi="Calibri" w:cs="Calibri"/>
                <w:color w:val="000000"/>
              </w:rPr>
              <w:t xml:space="preserve"> instrument is a tool used to assess the quality of clinical </w:t>
            </w:r>
            <w:proofErr w:type="spellStart"/>
            <w:r>
              <w:rPr>
                <w:rFonts w:ascii="Calibri" w:eastAsia="MS Mincho" w:hAnsi="Calibri" w:cs="Calibri"/>
                <w:color w:val="000000"/>
              </w:rPr>
              <w:t>guidances</w:t>
            </w:r>
            <w:proofErr w:type="spellEnd"/>
            <w:r>
              <w:rPr>
                <w:rFonts w:ascii="Calibri" w:eastAsia="MS Mincho" w:hAnsi="Calibri" w:cs="Calibri"/>
                <w:color w:val="000000"/>
              </w:rPr>
              <w:t xml:space="preserve">. </w:t>
            </w:r>
            <w:r w:rsidRPr="00A84EE5">
              <w:rPr>
                <w:rFonts w:ascii="Calibri" w:eastAsia="MS Mincho" w:hAnsi="Calibri" w:cs="Calibri"/>
                <w:color w:val="000000"/>
              </w:rPr>
              <w:t xml:space="preserve">Only </w:t>
            </w:r>
            <w:proofErr w:type="spellStart"/>
            <w:r w:rsidRPr="00A84EE5">
              <w:rPr>
                <w:rFonts w:ascii="Calibri" w:eastAsia="MS Mincho" w:hAnsi="Calibri" w:cs="Calibri"/>
                <w:color w:val="000000"/>
              </w:rPr>
              <w:t>guidances</w:t>
            </w:r>
            <w:proofErr w:type="spellEnd"/>
            <w:r w:rsidRPr="00A84EE5">
              <w:rPr>
                <w:rFonts w:ascii="Calibri" w:eastAsia="MS Mincho" w:hAnsi="Calibri" w:cs="Calibri"/>
                <w:color w:val="000000"/>
              </w:rPr>
              <w:t xml:space="preserve"> assessed as having an overall quality of four or above (on a scale of one to seven) were included</w:t>
            </w:r>
            <w:r>
              <w:rPr>
                <w:rFonts w:ascii="Calibri" w:eastAsia="MS Mincho" w:hAnsi="Calibri" w:cs="Calibri"/>
                <w:color w:val="000000"/>
              </w:rPr>
              <w:t>.</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w:t>
            </w:r>
            <w:r w:rsidRPr="00603DAF">
              <w:rPr>
                <w:rFonts w:ascii="Calibri" w:eastAsia="MS Mincho" w:hAnsi="Calibri" w:cs="Calibri"/>
                <w:color w:val="000000"/>
              </w:rPr>
              <w:t>nkylosing spondylitis</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 type of arthritis that causes long term inflammation of the joints in the spine.</w:t>
            </w:r>
            <w:r w:rsidRPr="00603DAF">
              <w:rPr>
                <w:rFonts w:ascii="Calibri" w:eastAsia="MS Mincho" w:hAnsi="Calibri" w:cs="Calibri"/>
                <w:color w:val="000000"/>
              </w:rPr>
              <w:t xml:space="preserve"> </w:t>
            </w:r>
            <w:r>
              <w:rPr>
                <w:rFonts w:ascii="Calibri" w:eastAsia="MS Mincho" w:hAnsi="Calibri" w:cs="Calibri"/>
                <w:color w:val="000000"/>
              </w:rPr>
              <w:t>A</w:t>
            </w:r>
            <w:r w:rsidRPr="00603DAF">
              <w:rPr>
                <w:rFonts w:ascii="Calibri" w:eastAsia="MS Mincho" w:hAnsi="Calibri" w:cs="Calibri"/>
                <w:color w:val="000000"/>
              </w:rPr>
              <w:t>nkylosing spondylitis</w:t>
            </w:r>
            <w:r>
              <w:rPr>
                <w:rFonts w:ascii="Calibri" w:eastAsia="MS Mincho" w:hAnsi="Calibri" w:cs="Calibri"/>
                <w:color w:val="000000"/>
              </w:rPr>
              <w:t xml:space="preserve"> can be treated with some biologic medicines.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Biologic medicine or biopharmaceutical</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Medicines produced from biological sources. Most of the biologic medicines used to treat psoriasis are monoclonal antibodies, which are identical proteins usually made in special cell cultures.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Biosimilar</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 biosimilar medicine is a biologic medicine that </w:t>
            </w:r>
            <w:r w:rsidRPr="00945D44">
              <w:rPr>
                <w:rFonts w:ascii="Calibri" w:eastAsia="MS Mincho" w:hAnsi="Calibri" w:cs="Calibri"/>
                <w:color w:val="000000"/>
              </w:rPr>
              <w:t>is highly similar to a ‘reference biological medicine’.</w:t>
            </w:r>
            <w:r>
              <w:rPr>
                <w:rFonts w:ascii="Calibri" w:eastAsia="MS Mincho" w:hAnsi="Calibri" w:cs="Calibri"/>
                <w:color w:val="000000"/>
              </w:rPr>
              <w:t xml:space="preserve"> </w:t>
            </w:r>
            <w:r w:rsidRPr="00945D44">
              <w:rPr>
                <w:rFonts w:ascii="Calibri" w:eastAsia="MS Mincho" w:hAnsi="Calibri" w:cs="Calibri"/>
                <w:color w:val="000000"/>
              </w:rPr>
              <w:t>They are checked for safety and to confirm they provide the same health outcomes as the reference biological medicine.</w:t>
            </w:r>
            <w:r>
              <w:rPr>
                <w:rFonts w:ascii="Calibri" w:eastAsia="MS Mincho" w:hAnsi="Calibri" w:cs="Calibri"/>
                <w:color w:val="000000"/>
              </w:rPr>
              <w:t xml:space="preserve"> Some biosimilars are ‘substitutable’, which </w:t>
            </w:r>
            <w:r w:rsidRPr="00945D44">
              <w:rPr>
                <w:rFonts w:ascii="Calibri" w:eastAsia="MS Mincho" w:hAnsi="Calibri" w:cs="Calibri"/>
                <w:color w:val="000000"/>
              </w:rPr>
              <w:t xml:space="preserve">means pharmacists can substitute between brands in consultation with </w:t>
            </w:r>
            <w:r>
              <w:rPr>
                <w:rFonts w:ascii="Calibri" w:eastAsia="MS Mincho" w:hAnsi="Calibri" w:cs="Calibri"/>
                <w:color w:val="000000"/>
              </w:rPr>
              <w:t xml:space="preserve">the patient but without needing </w:t>
            </w:r>
            <w:r w:rsidRPr="00945D44">
              <w:rPr>
                <w:rFonts w:ascii="Calibri" w:eastAsia="MS Mincho" w:hAnsi="Calibri" w:cs="Calibri"/>
                <w:color w:val="000000"/>
              </w:rPr>
              <w:t>to refer back to the doctor.</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Blinded study / trial</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Is where the information about the medicine or placebo given in a medical study is not given to the study participant (or patient), treating clinicians or the data analyst who reports the results. This reduces the chance that one treatment is more favourably considered than the other (see risk of bias).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 xml:space="preserve">CASPAR </w:t>
            </w:r>
            <w:r>
              <w:rPr>
                <w:rFonts w:ascii="Calibri" w:eastAsia="MS Mincho" w:hAnsi="Calibri" w:cs="Calibri"/>
                <w:color w:val="000000"/>
              </w:rPr>
              <w:t>criteria</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 xml:space="preserve">The Classification Criteria for Psoriatic Arthritis </w:t>
            </w:r>
            <w:r w:rsidRPr="00EE7AB2">
              <w:rPr>
                <w:rFonts w:ascii="Calibri" w:eastAsia="MS Mincho" w:hAnsi="Calibri" w:cs="Calibri"/>
                <w:color w:val="000000"/>
              </w:rPr>
              <w:t>are the current stan</w:t>
            </w:r>
            <w:r>
              <w:rPr>
                <w:rFonts w:ascii="Calibri" w:eastAsia="MS Mincho" w:hAnsi="Calibri" w:cs="Calibri"/>
                <w:color w:val="000000"/>
              </w:rPr>
              <w:t xml:space="preserve">dard diagnostic criteria for psoriatic arthritis.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C</w:t>
            </w:r>
            <w:r w:rsidRPr="00603DAF">
              <w:rPr>
                <w:rFonts w:ascii="Calibri" w:eastAsia="MS Mincho" w:hAnsi="Calibri" w:cs="Calibri"/>
                <w:color w:val="000000"/>
              </w:rPr>
              <w:t>hronic plaque psoriasis</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Plaque psoriasis is the most common type of psoriasis. It causes raised red patches (plaques) with silver or white scales. It is usually an ongoing (chronic) condition. </w:t>
            </w:r>
          </w:p>
        </w:tc>
      </w:tr>
      <w:tr w:rsidR="007E795E" w:rsidRPr="00603DAF" w:rsidTr="00057059">
        <w:trPr>
          <w:trHeight w:val="170"/>
        </w:trPr>
        <w:tc>
          <w:tcPr>
            <w:tcW w:w="1980" w:type="dxa"/>
            <w:hideMark/>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sidRPr="00603DAF">
              <w:rPr>
                <w:rFonts w:ascii="Calibri" w:eastAsia="MS Mincho" w:hAnsi="Calibri" w:cs="Calibri"/>
                <w:color w:val="000000"/>
              </w:rPr>
              <w:t>DLQI</w:t>
            </w:r>
          </w:p>
        </w:tc>
        <w:tc>
          <w:tcPr>
            <w:tcW w:w="6660" w:type="dxa"/>
            <w:hideMark/>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w:t>
            </w:r>
            <w:r w:rsidRPr="00603DAF">
              <w:rPr>
                <w:rFonts w:ascii="Calibri" w:eastAsia="MS Mincho" w:hAnsi="Calibri" w:cs="Calibri"/>
                <w:color w:val="000000"/>
              </w:rPr>
              <w:t>Dermatology Life Quality Index</w:t>
            </w:r>
            <w:r>
              <w:rPr>
                <w:rFonts w:ascii="Calibri" w:eastAsia="MS Mincho" w:hAnsi="Calibri" w:cs="Calibri"/>
                <w:color w:val="000000"/>
              </w:rPr>
              <w:t xml:space="preserve"> is a validated questionnaire used to measure quality of life of people with skin conditions. T</w:t>
            </w:r>
            <w:r w:rsidRPr="000975E9">
              <w:rPr>
                <w:rFonts w:ascii="Calibri" w:eastAsia="MS Mincho" w:hAnsi="Calibri" w:cs="Calibri"/>
                <w:color w:val="000000"/>
              </w:rPr>
              <w:t>he Children’s Dermato</w:t>
            </w:r>
            <w:r>
              <w:rPr>
                <w:rFonts w:ascii="Calibri" w:eastAsia="MS Mincho" w:hAnsi="Calibri" w:cs="Calibri"/>
                <w:color w:val="000000"/>
              </w:rPr>
              <w:t xml:space="preserve">logy Life Quality Index (CDLQI) is a version of the DLQI developed for children.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Epidemiological studies / estimates</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proofErr w:type="gramStart"/>
            <w:r>
              <w:rPr>
                <w:rFonts w:ascii="Calibri" w:eastAsia="MS Mincho" w:hAnsi="Calibri" w:cs="Calibri"/>
                <w:color w:val="000000"/>
              </w:rPr>
              <w:t>Epidemiological studies is</w:t>
            </w:r>
            <w:proofErr w:type="gramEnd"/>
            <w:r>
              <w:rPr>
                <w:rFonts w:ascii="Calibri" w:eastAsia="MS Mincho" w:hAnsi="Calibri" w:cs="Calibri"/>
                <w:color w:val="000000"/>
              </w:rPr>
              <w:t xml:space="preserve"> the studies that look the patterns and causes of conditions. Epidemiological estimates in this report are estimates of the number of patients with psoriasis and patterns of psoriasis from epidemiological studies.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 xml:space="preserve">GRADE </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Grading of Recommendations Assessment, Development, and Evaluation</w:t>
            </w:r>
            <w:r>
              <w:rPr>
                <w:rFonts w:ascii="Calibri" w:eastAsia="MS Mincho" w:hAnsi="Calibri" w:cs="Calibri"/>
                <w:color w:val="000000"/>
              </w:rPr>
              <w:t xml:space="preserve"> is a systematic way of judging scientific studies and recommendations.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Incidence</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incidence of a medical condition is the number of people who developed that condition over a particular point in time.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rPr>
              <w:t>M</w:t>
            </w:r>
            <w:r w:rsidRPr="001B2901">
              <w:rPr>
                <w:rFonts w:ascii="Calibri" w:eastAsia="MS Mincho" w:hAnsi="Calibri" w:cs="Calibri"/>
              </w:rPr>
              <w:t>inimal clinically important difference</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The </w:t>
            </w:r>
            <w:r w:rsidRPr="00CB6135">
              <w:rPr>
                <w:rFonts w:ascii="Calibri" w:eastAsia="MS Mincho" w:hAnsi="Calibri" w:cs="Calibri"/>
                <w:color w:val="000000"/>
              </w:rPr>
              <w:t>minimal clinically important difference</w:t>
            </w:r>
            <w:r>
              <w:rPr>
                <w:rFonts w:ascii="Calibri" w:eastAsia="MS Mincho" w:hAnsi="Calibri" w:cs="Calibri"/>
                <w:color w:val="000000"/>
              </w:rPr>
              <w:t xml:space="preserve"> is the smallest difference in a score that patients consider meaningful.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lastRenderedPageBreak/>
              <w:t>N</w:t>
            </w:r>
            <w:r w:rsidRPr="00023CDB">
              <w:rPr>
                <w:rFonts w:ascii="Calibri" w:eastAsia="MS Mincho" w:hAnsi="Calibri" w:cs="Calibri"/>
              </w:rPr>
              <w:t>etwork meta</w:t>
            </w:r>
            <w:r>
              <w:rPr>
                <w:rFonts w:ascii="Calibri" w:eastAsia="MS Mincho" w:hAnsi="Calibri" w:cs="Calibri"/>
              </w:rPr>
              <w:noBreakHyphen/>
            </w:r>
            <w:r w:rsidRPr="00023CDB">
              <w:rPr>
                <w:rFonts w:ascii="Calibri" w:eastAsia="MS Mincho" w:hAnsi="Calibri" w:cs="Calibri"/>
              </w:rPr>
              <w:t>analysis</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statistical method of bringing together the results of many studies of different treatments for a particular condition. This technique gives results allows each treatment to be compared to each of the other treatments included in the analysis.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sidRPr="001B2901">
              <w:rPr>
                <w:rFonts w:ascii="Calibri" w:eastAsia="MS Mincho" w:hAnsi="Calibri" w:cs="Calibri"/>
                <w:color w:val="000000"/>
              </w:rPr>
              <w:t>Psoriasis Area and Severity Index</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 xml:space="preserve">The </w:t>
            </w:r>
            <w:r w:rsidRPr="00603DAF">
              <w:rPr>
                <w:rFonts w:ascii="Calibri" w:eastAsia="MS Mincho" w:hAnsi="Calibri" w:cs="Calibri"/>
                <w:color w:val="000000"/>
              </w:rPr>
              <w:t>Psoriasis Area and Severity Index</w:t>
            </w:r>
            <w:r>
              <w:rPr>
                <w:rFonts w:ascii="Calibri" w:eastAsia="MS Mincho" w:hAnsi="Calibri" w:cs="Calibri"/>
                <w:color w:val="000000"/>
              </w:rPr>
              <w:t xml:space="preserve"> a way of measuring how severe a patient’s psoriasis is based on the area of the body affected by psoriasis, the level of redness, the thickness and level of scaling.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PASI 75</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A 75% or greater reduction in PASI score</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Persistence</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In this report, treatment persistence is how long patients continue treatment without a break.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Physician's Global Assessment</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 xml:space="preserve">An assessment of all psoriatic lesions based on redness, scale and thickness. There are many variations on how this assessment is done.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Prevalence</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The prevalence of a medical condition is the total number of patients with that condition</w:t>
            </w:r>
          </w:p>
        </w:tc>
      </w:tr>
      <w:tr w:rsidR="007E795E" w:rsidRPr="00603DAF" w:rsidTr="00057059">
        <w:trPr>
          <w:trHeight w:val="170"/>
        </w:trPr>
        <w:tc>
          <w:tcPr>
            <w:tcW w:w="1980" w:type="dxa"/>
            <w:hideMark/>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P</w:t>
            </w:r>
            <w:r w:rsidRPr="00603DAF">
              <w:rPr>
                <w:rFonts w:ascii="Calibri" w:eastAsia="MS Mincho" w:hAnsi="Calibri" w:cs="Calibri"/>
                <w:color w:val="000000"/>
              </w:rPr>
              <w:t>soriatic arthritis</w:t>
            </w:r>
          </w:p>
        </w:tc>
        <w:tc>
          <w:tcPr>
            <w:tcW w:w="6660" w:type="dxa"/>
            <w:hideMark/>
          </w:tcPr>
          <w:p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 xml:space="preserve"> </w:t>
            </w:r>
            <w:r>
              <w:rPr>
                <w:rFonts w:ascii="Calibri" w:eastAsia="MS Mincho" w:hAnsi="Calibri" w:cs="Calibri"/>
                <w:color w:val="000000"/>
              </w:rPr>
              <w:t xml:space="preserve">A type of inflammatory arthritis that occurs in people affected by psoriasis. It usually occurs after patients develop psoriasis of the skin. Psoriatic arthritis is more likely affect the joints at the ends of the fingers and the lower back than other types of arthritis.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sidRPr="00603DAF">
              <w:rPr>
                <w:rFonts w:ascii="Calibri" w:eastAsia="MS Mincho" w:hAnsi="Calibri" w:cs="Calibri"/>
                <w:color w:val="000000"/>
              </w:rPr>
              <w:t xml:space="preserve">PUVA </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P</w:t>
            </w:r>
            <w:r w:rsidRPr="00603DAF">
              <w:rPr>
                <w:rFonts w:ascii="Calibri" w:eastAsia="MS Mincho" w:hAnsi="Calibri" w:cs="Calibri"/>
                <w:color w:val="000000"/>
              </w:rPr>
              <w:t>soralen and ultraviolet A</w:t>
            </w:r>
            <w:r>
              <w:rPr>
                <w:rFonts w:ascii="Calibri" w:eastAsia="MS Mincho" w:hAnsi="Calibri" w:cs="Calibri"/>
                <w:color w:val="000000"/>
              </w:rPr>
              <w:t xml:space="preserve"> phototherapy. This involves using psoralens, which make the skin more sensitive to ultraviolent light then applying ultraviolent light to treat psoriasis and other conditions.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Quality of life</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 xml:space="preserve">An evaluation of positive and negative aspects of life. In this report, quality of life refers mostly to health-related quality of life which is </w:t>
            </w:r>
            <w:r w:rsidRPr="009A0582">
              <w:rPr>
                <w:rFonts w:ascii="Calibri" w:eastAsia="MS Mincho" w:hAnsi="Calibri" w:cs="Calibri"/>
                <w:color w:val="000000"/>
              </w:rPr>
              <w:t>related to physical, mental, emotional, and social functioning.</w:t>
            </w:r>
            <w:r>
              <w:rPr>
                <w:rFonts w:ascii="Calibri" w:eastAsia="MS Mincho" w:hAnsi="Calibri" w:cs="Calibri"/>
                <w:color w:val="000000"/>
              </w:rPr>
              <w:t xml:space="preserve"> It can be measured in many ways. For example, the </w:t>
            </w:r>
            <w:r w:rsidRPr="009A0582">
              <w:rPr>
                <w:rFonts w:ascii="Calibri" w:eastAsia="MS Mincho" w:hAnsi="Calibri" w:cs="Calibri"/>
                <w:color w:val="000000"/>
              </w:rPr>
              <w:t>Dermatology Life Quality Index is</w:t>
            </w:r>
            <w:r>
              <w:rPr>
                <w:rFonts w:ascii="Calibri" w:eastAsia="MS Mincho" w:hAnsi="Calibri" w:cs="Calibri"/>
                <w:color w:val="000000"/>
              </w:rPr>
              <w:t xml:space="preserve"> a questionnaire that is specific to measure quality of life in patients with skin conditions.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Randomised controlled trial</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type of scientific study where participants are randomly allocated to the experiment group or a placebo or standard treatment group. Randomised controlled trials are considered to be the best type of clinical trial to compare the effectiveness of medical treatments because random allocation reduces bias (see risk of bias) and there is a very similar group (placebo or standard care group) to compare the results.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R</w:t>
            </w:r>
            <w:r w:rsidRPr="00603DAF">
              <w:rPr>
                <w:rFonts w:ascii="Calibri" w:eastAsia="MS Mincho" w:hAnsi="Calibri" w:cs="Calibri"/>
                <w:color w:val="000000"/>
              </w:rPr>
              <w:t>heumatoid arthritis</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type of inflammatory arthritis that mostly affects the joints in the wrist and fingers.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color w:val="000000"/>
              </w:rPr>
            </w:pPr>
            <w:r>
              <w:rPr>
                <w:rFonts w:ascii="Calibri" w:eastAsia="MS Mincho" w:hAnsi="Calibri" w:cs="Calibri"/>
                <w:color w:val="000000"/>
              </w:rPr>
              <w:t>Risk of bias</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The risk of bias in a scientific study is the chance that </w:t>
            </w:r>
            <w:proofErr w:type="gramStart"/>
            <w:r>
              <w:rPr>
                <w:rFonts w:ascii="Calibri" w:eastAsia="MS Mincho" w:hAnsi="Calibri" w:cs="Calibri"/>
              </w:rPr>
              <w:t>an interference</w:t>
            </w:r>
            <w:proofErr w:type="gramEnd"/>
            <w:r>
              <w:rPr>
                <w:rFonts w:ascii="Calibri" w:eastAsia="MS Mincho" w:hAnsi="Calibri" w:cs="Calibri"/>
              </w:rPr>
              <w:t xml:space="preserve"> has happened that might make the study results differ substantially from the truth. This may be due factors like sicker patients leaving the trial early, a newer medicine being assessed more favourably or patients with more severe psoriasis being more involved in studies of psoriasis. The risk of bias of the clinical trials was assessed using the</w:t>
            </w:r>
            <w:r w:rsidRPr="00592A21">
              <w:rPr>
                <w:rFonts w:ascii="Calibri" w:eastAsia="MS Mincho" w:hAnsi="Calibri" w:cs="Calibri"/>
              </w:rPr>
              <w:t xml:space="preserve"> Cochrane Collaboration’s ‘Risk of bias tool’</w:t>
            </w:r>
            <w:r>
              <w:rPr>
                <w:rFonts w:ascii="Calibri" w:eastAsia="MS Mincho" w:hAnsi="Calibri" w:cs="Calibri"/>
              </w:rPr>
              <w:t xml:space="preserve">. A risk of bias tool for prevalence studies was used to assess studies that estimated the number of people with psoriasis, the severity and location of psoriasis, and the number of people with psoriatic arthritis.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color w:val="000000"/>
              </w:rPr>
              <w:t>S</w:t>
            </w:r>
            <w:r w:rsidRPr="00603DAF">
              <w:rPr>
                <w:rFonts w:ascii="Calibri" w:eastAsia="MS Mincho" w:hAnsi="Calibri" w:cs="Calibri"/>
                <w:color w:val="000000"/>
              </w:rPr>
              <w:t>tandard coverage days</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The number of days of treatment provided by a prescription. In this report, the time taken for half of PBS patients to have a repeat prescription dispensed (</w:t>
            </w:r>
            <w:proofErr w:type="gramStart"/>
            <w:r>
              <w:rPr>
                <w:rFonts w:ascii="Calibri" w:eastAsia="MS Mincho" w:hAnsi="Calibri" w:cs="Calibri"/>
              </w:rPr>
              <w:t>median</w:t>
            </w:r>
            <w:proofErr w:type="gramEnd"/>
            <w:r>
              <w:rPr>
                <w:rFonts w:ascii="Calibri" w:eastAsia="MS Mincho" w:hAnsi="Calibri" w:cs="Calibri"/>
              </w:rPr>
              <w:t xml:space="preserve">) was the standard coverage days for the biologic. </w:t>
            </w:r>
          </w:p>
        </w:tc>
      </w:tr>
      <w:tr w:rsidR="007E795E" w:rsidRPr="00603DAF" w:rsidTr="00057059">
        <w:trPr>
          <w:trHeight w:val="170"/>
        </w:trPr>
        <w:tc>
          <w:tcPr>
            <w:tcW w:w="198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lastRenderedPageBreak/>
              <w:t>S</w:t>
            </w:r>
            <w:r w:rsidRPr="00023CDB">
              <w:rPr>
                <w:rFonts w:ascii="Calibri" w:eastAsia="MS Mincho" w:hAnsi="Calibri" w:cs="Calibri"/>
              </w:rPr>
              <w:t>ystematic review</w:t>
            </w:r>
          </w:p>
        </w:tc>
        <w:tc>
          <w:tcPr>
            <w:tcW w:w="6660" w:type="dxa"/>
          </w:tcPr>
          <w:p w:rsidR="007E795E" w:rsidRPr="00603DAF"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structured way to gather and analyse research papers.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Treatment holiday or drug holiday</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A break from medical treatment for a period of time. In this report, treatment holidays were where patients stopped using biologic prescriptions and restarted treatment. </w:t>
            </w:r>
          </w:p>
        </w:tc>
      </w:tr>
      <w:tr w:rsidR="007E795E" w:rsidRPr="00603DAF" w:rsidTr="00057059">
        <w:trPr>
          <w:trHeight w:val="170"/>
        </w:trPr>
        <w:tc>
          <w:tcPr>
            <w:tcW w:w="198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Utilisation or drug utilisation</w:t>
            </w:r>
          </w:p>
        </w:tc>
        <w:tc>
          <w:tcPr>
            <w:tcW w:w="6660" w:type="dxa"/>
          </w:tcPr>
          <w:p w:rsidR="007E795E" w:rsidRDefault="007E795E" w:rsidP="00B520D6">
            <w:pPr>
              <w:autoSpaceDE w:val="0"/>
              <w:autoSpaceDN w:val="0"/>
              <w:adjustRightInd w:val="0"/>
              <w:spacing w:before="60" w:after="60"/>
              <w:jc w:val="left"/>
              <w:rPr>
                <w:rFonts w:ascii="Calibri" w:eastAsia="MS Mincho" w:hAnsi="Calibri" w:cs="Calibri"/>
              </w:rPr>
            </w:pPr>
            <w:r>
              <w:rPr>
                <w:rFonts w:ascii="Calibri" w:eastAsia="MS Mincho" w:hAnsi="Calibri" w:cs="Calibri"/>
              </w:rPr>
              <w:t xml:space="preserve">The pattern of medicine use. In this report, </w:t>
            </w:r>
            <w:proofErr w:type="gramStart"/>
            <w:r>
              <w:rPr>
                <w:rFonts w:ascii="Calibri" w:eastAsia="MS Mincho" w:hAnsi="Calibri" w:cs="Calibri"/>
              </w:rPr>
              <w:t>patterns of biologic medicine use for CPP was</w:t>
            </w:r>
            <w:proofErr w:type="gramEnd"/>
            <w:r>
              <w:rPr>
                <w:rFonts w:ascii="Calibri" w:eastAsia="MS Mincho" w:hAnsi="Calibri" w:cs="Calibri"/>
              </w:rPr>
              <w:t xml:space="preserve"> examined using prescription dispensing data. </w:t>
            </w:r>
          </w:p>
        </w:tc>
      </w:tr>
    </w:tbl>
    <w:p w:rsidR="007E795E" w:rsidRPr="00556072" w:rsidRDefault="007E795E" w:rsidP="00556072"/>
    <w:sectPr w:rsidR="007E795E" w:rsidRPr="00556072" w:rsidSect="00544DAC">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6C395F" w15:done="0"/>
  <w15:commentEx w15:paraId="7B66BC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D661A" w16cid:durableId="1DCB12FF"/>
  <w16cid:commentId w16cid:paraId="445E1B27" w16cid:durableId="1DCB1300"/>
  <w16cid:commentId w16cid:paraId="0990E99E" w16cid:durableId="1DCB1301"/>
  <w16cid:commentId w16cid:paraId="71081261" w16cid:durableId="1DCB1302"/>
  <w16cid:commentId w16cid:paraId="24D8D887" w16cid:durableId="1DCB19D7"/>
  <w16cid:commentId w16cid:paraId="13A3E7A6" w16cid:durableId="1DCB1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E2" w:rsidRDefault="00077DE2" w:rsidP="00E7072A">
      <w:r>
        <w:separator/>
      </w:r>
    </w:p>
    <w:p w:rsidR="00077DE2" w:rsidRDefault="00077DE2"/>
  </w:endnote>
  <w:endnote w:type="continuationSeparator" w:id="0">
    <w:p w:rsidR="00077DE2" w:rsidRDefault="00077DE2" w:rsidP="00E7072A">
      <w:r>
        <w:continuationSeparator/>
      </w:r>
    </w:p>
    <w:p w:rsidR="00077DE2" w:rsidRDefault="00077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BC7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BC7D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BC7D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742689"/>
      <w:docPartObj>
        <w:docPartGallery w:val="Page Numbers (Bottom of Page)"/>
        <w:docPartUnique/>
      </w:docPartObj>
    </w:sdtPr>
    <w:sdtEndPr>
      <w:rPr>
        <w:noProof/>
      </w:rPr>
    </w:sdtEndPr>
    <w:sdtContent>
      <w:p w:rsidR="00BC7D00" w:rsidRDefault="00BC7D00">
        <w:pPr>
          <w:pStyle w:val="Footer"/>
          <w:jc w:val="right"/>
        </w:pPr>
        <w:r>
          <w:fldChar w:fldCharType="begin"/>
        </w:r>
        <w:r>
          <w:instrText xml:space="preserve"> PAGE   \* MERGEFORMAT </w:instrText>
        </w:r>
        <w:r>
          <w:fldChar w:fldCharType="separate"/>
        </w:r>
        <w:r w:rsidR="00F5235F">
          <w:rPr>
            <w:noProof/>
          </w:rPr>
          <w:t>22</w:t>
        </w:r>
        <w:r>
          <w:rPr>
            <w:noProof/>
          </w:rPr>
          <w:fldChar w:fldCharType="end"/>
        </w:r>
      </w:p>
    </w:sdtContent>
  </w:sdt>
  <w:p w:rsidR="00BC7D00" w:rsidRDefault="00BC7D00"/>
  <w:p w:rsidR="00BC7D00" w:rsidRDefault="00BC7D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E2" w:rsidRDefault="00077DE2" w:rsidP="00E7072A">
      <w:r>
        <w:separator/>
      </w:r>
    </w:p>
    <w:p w:rsidR="00077DE2" w:rsidRDefault="00077DE2"/>
  </w:footnote>
  <w:footnote w:type="continuationSeparator" w:id="0">
    <w:p w:rsidR="00077DE2" w:rsidRDefault="00077DE2" w:rsidP="00E7072A">
      <w:r>
        <w:continuationSeparator/>
      </w:r>
    </w:p>
    <w:p w:rsidR="00077DE2" w:rsidRDefault="00077D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F5235F">
    <w:pPr>
      <w:pStyle w:val="Header"/>
    </w:pPr>
    <w:r>
      <w:rPr>
        <w:noProof/>
      </w:rPr>
      <w:pict w14:anchorId="0F173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65547" o:spid="_x0000_s205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F5235F">
    <w:pPr>
      <w:pStyle w:val="Header"/>
    </w:pPr>
    <w:r>
      <w:rPr>
        <w:noProof/>
      </w:rPr>
      <w:pict w14:anchorId="2065A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65548"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F5235F">
    <w:pPr>
      <w:pStyle w:val="Header"/>
    </w:pPr>
    <w:r>
      <w:rPr>
        <w:noProof/>
      </w:rPr>
      <w:pict w14:anchorId="3EF8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65546"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F5235F">
    <w:pPr>
      <w:pStyle w:val="Header"/>
    </w:pPr>
    <w:r>
      <w:rPr>
        <w:noProof/>
      </w:rPr>
      <w:pict w14:anchorId="6D265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65550" o:spid="_x0000_s2053"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F5235F">
    <w:pPr>
      <w:pStyle w:val="Header"/>
    </w:pPr>
    <w:r>
      <w:rPr>
        <w:noProof/>
      </w:rPr>
      <w:pict w14:anchorId="32DB9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65551" o:spid="_x0000_s2054" type="#_x0000_t136" style="position:absolute;left:0;text-align:left;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D00" w:rsidRDefault="00F5235F">
    <w:pPr>
      <w:pStyle w:val="Header"/>
    </w:pPr>
    <w:r>
      <w:rPr>
        <w:noProof/>
      </w:rPr>
      <w:pict w14:anchorId="1791A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65549" o:spid="_x0000_s2052"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50"/>
    <w:multiLevelType w:val="hybridMultilevel"/>
    <w:tmpl w:val="37540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24419B"/>
    <w:multiLevelType w:val="hybridMultilevel"/>
    <w:tmpl w:val="51BABA22"/>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2F4536D"/>
    <w:multiLevelType w:val="hybridMultilevel"/>
    <w:tmpl w:val="6F52120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72391"/>
    <w:multiLevelType w:val="hybridMultilevel"/>
    <w:tmpl w:val="63309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54129F"/>
    <w:multiLevelType w:val="hybridMultilevel"/>
    <w:tmpl w:val="40C67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8628F5"/>
    <w:multiLevelType w:val="hybridMultilevel"/>
    <w:tmpl w:val="DC3EC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4120223"/>
    <w:multiLevelType w:val="hybridMultilevel"/>
    <w:tmpl w:val="386E2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45D3088"/>
    <w:multiLevelType w:val="hybridMultilevel"/>
    <w:tmpl w:val="1694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C07B39"/>
    <w:multiLevelType w:val="hybridMultilevel"/>
    <w:tmpl w:val="12A0D0C6"/>
    <w:lvl w:ilvl="0" w:tplc="0C090001">
      <w:start w:val="1"/>
      <w:numFmt w:val="bullet"/>
      <w:lvlText w:val=""/>
      <w:lvlJc w:val="left"/>
      <w:pPr>
        <w:ind w:left="720" w:hanging="360"/>
      </w:pPr>
      <w:rPr>
        <w:rFonts w:ascii="Symbol" w:hAnsi="Symbo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3635589E"/>
    <w:multiLevelType w:val="hybridMultilevel"/>
    <w:tmpl w:val="C226B7C8"/>
    <w:lvl w:ilvl="0" w:tplc="09764A28">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8457C0"/>
    <w:multiLevelType w:val="hybridMultilevel"/>
    <w:tmpl w:val="D754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D9C527A"/>
    <w:multiLevelType w:val="hybridMultilevel"/>
    <w:tmpl w:val="CE064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D07B66"/>
    <w:multiLevelType w:val="hybridMultilevel"/>
    <w:tmpl w:val="AC64F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0EF63C3"/>
    <w:multiLevelType w:val="hybridMultilevel"/>
    <w:tmpl w:val="FE466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24A571B"/>
    <w:multiLevelType w:val="hybridMultilevel"/>
    <w:tmpl w:val="6C1CEC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6351A07"/>
    <w:multiLevelType w:val="hybridMultilevel"/>
    <w:tmpl w:val="863630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9B5C93"/>
    <w:multiLevelType w:val="hybridMultilevel"/>
    <w:tmpl w:val="8610916E"/>
    <w:lvl w:ilvl="0" w:tplc="0C090001">
      <w:start w:val="1"/>
      <w:numFmt w:val="bullet"/>
      <w:lvlText w:val=""/>
      <w:lvlJc w:val="left"/>
      <w:pPr>
        <w:ind w:left="720" w:hanging="360"/>
      </w:pPr>
      <w:rPr>
        <w:rFonts w:ascii="Symbol" w:hAnsi="Symbol" w:hint="default"/>
      </w:rPr>
    </w:lvl>
    <w:lvl w:ilvl="1" w:tplc="DDCEB8C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C351A1"/>
    <w:multiLevelType w:val="hybridMultilevel"/>
    <w:tmpl w:val="9798199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19655B4"/>
    <w:multiLevelType w:val="hybridMultilevel"/>
    <w:tmpl w:val="5F4A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D0F2A"/>
    <w:multiLevelType w:val="hybridMultilevel"/>
    <w:tmpl w:val="BBF2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A5139DA"/>
    <w:multiLevelType w:val="multilevel"/>
    <w:tmpl w:val="4AFC2FAC"/>
    <w:lvl w:ilvl="0">
      <w:start w:val="1"/>
      <w:numFmt w:val="lowerLetter"/>
      <w:lvlText w:val="%1)"/>
      <w:lvlJc w:val="left"/>
      <w:pPr>
        <w:tabs>
          <w:tab w:val="num" w:pos="927"/>
        </w:tabs>
        <w:ind w:left="927"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8">
    <w:nsid w:val="7BF96383"/>
    <w:multiLevelType w:val="multilevel"/>
    <w:tmpl w:val="E9CE440E"/>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num w:numId="1">
    <w:abstractNumId w:val="4"/>
  </w:num>
  <w:num w:numId="2">
    <w:abstractNumId w:val="1"/>
  </w:num>
  <w:num w:numId="3">
    <w:abstractNumId w:val="20"/>
  </w:num>
  <w:num w:numId="4">
    <w:abstractNumId w:val="3"/>
  </w:num>
  <w:num w:numId="5">
    <w:abstractNumId w:val="4"/>
  </w:num>
  <w:num w:numId="6">
    <w:abstractNumId w:val="15"/>
  </w:num>
  <w:num w:numId="7">
    <w:abstractNumId w:val="22"/>
  </w:num>
  <w:num w:numId="8">
    <w:abstractNumId w:val="12"/>
  </w:num>
  <w:num w:numId="9">
    <w:abstractNumId w:val="5"/>
  </w:num>
  <w:num w:numId="10">
    <w:abstractNumId w:val="21"/>
  </w:num>
  <w:num w:numId="11">
    <w:abstractNumId w:val="2"/>
  </w:num>
  <w:num w:numId="12">
    <w:abstractNumId w:val="13"/>
  </w:num>
  <w:num w:numId="13">
    <w:abstractNumId w:val="16"/>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9"/>
  </w:num>
  <w:num w:numId="19">
    <w:abstractNumId w:val="25"/>
  </w:num>
  <w:num w:numId="20">
    <w:abstractNumId w:val="24"/>
  </w:num>
  <w:num w:numId="21">
    <w:abstractNumId w:val="7"/>
  </w:num>
  <w:num w:numId="22">
    <w:abstractNumId w:val="0"/>
  </w:num>
  <w:num w:numId="23">
    <w:abstractNumId w:val="11"/>
  </w:num>
  <w:num w:numId="24">
    <w:abstractNumId w:val="14"/>
  </w:num>
  <w:num w:numId="25">
    <w:abstractNumId w:val="8"/>
  </w:num>
  <w:num w:numId="26">
    <w:abstractNumId w:val="18"/>
  </w:num>
  <w:num w:numId="27">
    <w:abstractNumId w:val="10"/>
  </w:num>
  <w:num w:numId="28">
    <w:abstractNumId w:val="23"/>
  </w:num>
  <w:num w:numId="29">
    <w:abstractNumId w:val="17"/>
  </w:num>
  <w:num w:numId="30">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wnes">
    <w15:presenceInfo w15:providerId="None" w15:userId="Martin Dow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244&lt;/item&gt;&lt;item&gt;245&lt;/item&gt;&lt;/record-ids&gt;&lt;/item&gt;&lt;/Libraries&gt;"/>
  </w:docVars>
  <w:rsids>
    <w:rsidRoot w:val="008D0D0C"/>
    <w:rsid w:val="00000E81"/>
    <w:rsid w:val="0000568D"/>
    <w:rsid w:val="000059E2"/>
    <w:rsid w:val="00005CD4"/>
    <w:rsid w:val="000064E0"/>
    <w:rsid w:val="000122DB"/>
    <w:rsid w:val="00015414"/>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3B67"/>
    <w:rsid w:val="00034B71"/>
    <w:rsid w:val="000358F7"/>
    <w:rsid w:val="00041577"/>
    <w:rsid w:val="00041E94"/>
    <w:rsid w:val="0004288C"/>
    <w:rsid w:val="00045E05"/>
    <w:rsid w:val="00046E01"/>
    <w:rsid w:val="000506CB"/>
    <w:rsid w:val="0005072C"/>
    <w:rsid w:val="00050CDF"/>
    <w:rsid w:val="000523FD"/>
    <w:rsid w:val="00054219"/>
    <w:rsid w:val="00055439"/>
    <w:rsid w:val="00057059"/>
    <w:rsid w:val="00057CC1"/>
    <w:rsid w:val="000603FB"/>
    <w:rsid w:val="00061D2D"/>
    <w:rsid w:val="00062AE4"/>
    <w:rsid w:val="0006497A"/>
    <w:rsid w:val="0006501B"/>
    <w:rsid w:val="00065764"/>
    <w:rsid w:val="00065C00"/>
    <w:rsid w:val="00067C30"/>
    <w:rsid w:val="0007148C"/>
    <w:rsid w:val="00071984"/>
    <w:rsid w:val="00071F2B"/>
    <w:rsid w:val="00072409"/>
    <w:rsid w:val="0007394D"/>
    <w:rsid w:val="00073BF6"/>
    <w:rsid w:val="000755B3"/>
    <w:rsid w:val="0007635D"/>
    <w:rsid w:val="00077DE2"/>
    <w:rsid w:val="00077FD4"/>
    <w:rsid w:val="00080BEA"/>
    <w:rsid w:val="00081DCB"/>
    <w:rsid w:val="00082A22"/>
    <w:rsid w:val="00083616"/>
    <w:rsid w:val="000869D0"/>
    <w:rsid w:val="00087D22"/>
    <w:rsid w:val="00091BAF"/>
    <w:rsid w:val="00091FDD"/>
    <w:rsid w:val="000935DE"/>
    <w:rsid w:val="000944DB"/>
    <w:rsid w:val="00094B05"/>
    <w:rsid w:val="00094B19"/>
    <w:rsid w:val="00095EFB"/>
    <w:rsid w:val="0009621D"/>
    <w:rsid w:val="000963F0"/>
    <w:rsid w:val="00096511"/>
    <w:rsid w:val="000A14D8"/>
    <w:rsid w:val="000A1734"/>
    <w:rsid w:val="000A2E84"/>
    <w:rsid w:val="000A4B4F"/>
    <w:rsid w:val="000A4BF1"/>
    <w:rsid w:val="000A4FA9"/>
    <w:rsid w:val="000A5656"/>
    <w:rsid w:val="000A5AD0"/>
    <w:rsid w:val="000A7005"/>
    <w:rsid w:val="000A7064"/>
    <w:rsid w:val="000A74CF"/>
    <w:rsid w:val="000B08B7"/>
    <w:rsid w:val="000B1445"/>
    <w:rsid w:val="000B1785"/>
    <w:rsid w:val="000B320D"/>
    <w:rsid w:val="000B3355"/>
    <w:rsid w:val="000B397E"/>
    <w:rsid w:val="000B4D83"/>
    <w:rsid w:val="000B59A9"/>
    <w:rsid w:val="000B612B"/>
    <w:rsid w:val="000C0B54"/>
    <w:rsid w:val="000C2807"/>
    <w:rsid w:val="000C3409"/>
    <w:rsid w:val="000C5044"/>
    <w:rsid w:val="000C5294"/>
    <w:rsid w:val="000C7B1E"/>
    <w:rsid w:val="000D21FC"/>
    <w:rsid w:val="000D228A"/>
    <w:rsid w:val="000D568E"/>
    <w:rsid w:val="000D6085"/>
    <w:rsid w:val="000E2AB4"/>
    <w:rsid w:val="000E524B"/>
    <w:rsid w:val="000E5495"/>
    <w:rsid w:val="000F1D60"/>
    <w:rsid w:val="000F2556"/>
    <w:rsid w:val="000F3BC0"/>
    <w:rsid w:val="000F72BC"/>
    <w:rsid w:val="00100B2C"/>
    <w:rsid w:val="001021C8"/>
    <w:rsid w:val="00105D06"/>
    <w:rsid w:val="001101C2"/>
    <w:rsid w:val="001105D7"/>
    <w:rsid w:val="00110BAF"/>
    <w:rsid w:val="00110C23"/>
    <w:rsid w:val="00113BBC"/>
    <w:rsid w:val="001145D2"/>
    <w:rsid w:val="00115A41"/>
    <w:rsid w:val="00116B89"/>
    <w:rsid w:val="00117B58"/>
    <w:rsid w:val="00121BD5"/>
    <w:rsid w:val="0012304D"/>
    <w:rsid w:val="001234CB"/>
    <w:rsid w:val="001259DE"/>
    <w:rsid w:val="001268F4"/>
    <w:rsid w:val="001268FF"/>
    <w:rsid w:val="00126D93"/>
    <w:rsid w:val="001278F8"/>
    <w:rsid w:val="00131A64"/>
    <w:rsid w:val="00131C7E"/>
    <w:rsid w:val="00133745"/>
    <w:rsid w:val="00134E08"/>
    <w:rsid w:val="001351AC"/>
    <w:rsid w:val="001379D4"/>
    <w:rsid w:val="00137D8F"/>
    <w:rsid w:val="0014080B"/>
    <w:rsid w:val="00140A2B"/>
    <w:rsid w:val="0014316A"/>
    <w:rsid w:val="00143204"/>
    <w:rsid w:val="001443F2"/>
    <w:rsid w:val="00145F88"/>
    <w:rsid w:val="00152166"/>
    <w:rsid w:val="00152289"/>
    <w:rsid w:val="00152D47"/>
    <w:rsid w:val="00153744"/>
    <w:rsid w:val="00153E2A"/>
    <w:rsid w:val="00157DCB"/>
    <w:rsid w:val="0016128B"/>
    <w:rsid w:val="00163E29"/>
    <w:rsid w:val="00163F63"/>
    <w:rsid w:val="00165056"/>
    <w:rsid w:val="0016544B"/>
    <w:rsid w:val="00165D31"/>
    <w:rsid w:val="00165EF0"/>
    <w:rsid w:val="0016740F"/>
    <w:rsid w:val="00170585"/>
    <w:rsid w:val="00172E4C"/>
    <w:rsid w:val="001735E0"/>
    <w:rsid w:val="00177619"/>
    <w:rsid w:val="001809AC"/>
    <w:rsid w:val="0018274A"/>
    <w:rsid w:val="00183170"/>
    <w:rsid w:val="00183A07"/>
    <w:rsid w:val="00184491"/>
    <w:rsid w:val="0018489E"/>
    <w:rsid w:val="001869BF"/>
    <w:rsid w:val="001875B5"/>
    <w:rsid w:val="00187AB4"/>
    <w:rsid w:val="00187F0F"/>
    <w:rsid w:val="00190D7E"/>
    <w:rsid w:val="00191B42"/>
    <w:rsid w:val="001939EA"/>
    <w:rsid w:val="00193CE6"/>
    <w:rsid w:val="00196629"/>
    <w:rsid w:val="00197098"/>
    <w:rsid w:val="001A1AD7"/>
    <w:rsid w:val="001A1E58"/>
    <w:rsid w:val="001A2F37"/>
    <w:rsid w:val="001A35B9"/>
    <w:rsid w:val="001A384F"/>
    <w:rsid w:val="001A491F"/>
    <w:rsid w:val="001A4F17"/>
    <w:rsid w:val="001A63CD"/>
    <w:rsid w:val="001A7729"/>
    <w:rsid w:val="001B1577"/>
    <w:rsid w:val="001B2868"/>
    <w:rsid w:val="001B3EE3"/>
    <w:rsid w:val="001B48DC"/>
    <w:rsid w:val="001C0980"/>
    <w:rsid w:val="001C1C3E"/>
    <w:rsid w:val="001C35C9"/>
    <w:rsid w:val="001C3988"/>
    <w:rsid w:val="001C4051"/>
    <w:rsid w:val="001C4EE1"/>
    <w:rsid w:val="001C69FB"/>
    <w:rsid w:val="001D0E78"/>
    <w:rsid w:val="001D255D"/>
    <w:rsid w:val="001D2DF0"/>
    <w:rsid w:val="001D320C"/>
    <w:rsid w:val="001D3573"/>
    <w:rsid w:val="001D64F7"/>
    <w:rsid w:val="001D687C"/>
    <w:rsid w:val="001E04F1"/>
    <w:rsid w:val="001E19BF"/>
    <w:rsid w:val="001E35BC"/>
    <w:rsid w:val="001E4A4C"/>
    <w:rsid w:val="001E5510"/>
    <w:rsid w:val="001E63E5"/>
    <w:rsid w:val="001F1CD5"/>
    <w:rsid w:val="001F27B0"/>
    <w:rsid w:val="001F326A"/>
    <w:rsid w:val="001F39F6"/>
    <w:rsid w:val="001F4BBA"/>
    <w:rsid w:val="001F750F"/>
    <w:rsid w:val="002001E6"/>
    <w:rsid w:val="002012C2"/>
    <w:rsid w:val="00203BFB"/>
    <w:rsid w:val="00204D93"/>
    <w:rsid w:val="00205C1C"/>
    <w:rsid w:val="0021091E"/>
    <w:rsid w:val="00211130"/>
    <w:rsid w:val="002128D6"/>
    <w:rsid w:val="00212FCE"/>
    <w:rsid w:val="00213139"/>
    <w:rsid w:val="00213F09"/>
    <w:rsid w:val="00216527"/>
    <w:rsid w:val="00220104"/>
    <w:rsid w:val="00224A73"/>
    <w:rsid w:val="002256C3"/>
    <w:rsid w:val="00227620"/>
    <w:rsid w:val="00230B8A"/>
    <w:rsid w:val="00231110"/>
    <w:rsid w:val="002317FC"/>
    <w:rsid w:val="00231C65"/>
    <w:rsid w:val="00232251"/>
    <w:rsid w:val="002327D9"/>
    <w:rsid w:val="0023483F"/>
    <w:rsid w:val="00235E0A"/>
    <w:rsid w:val="00236763"/>
    <w:rsid w:val="00240017"/>
    <w:rsid w:val="002404B5"/>
    <w:rsid w:val="002415C6"/>
    <w:rsid w:val="00241B75"/>
    <w:rsid w:val="00242062"/>
    <w:rsid w:val="002428A6"/>
    <w:rsid w:val="00243AD5"/>
    <w:rsid w:val="00243B9F"/>
    <w:rsid w:val="00243F48"/>
    <w:rsid w:val="00243FA1"/>
    <w:rsid w:val="00243FBF"/>
    <w:rsid w:val="00246CDF"/>
    <w:rsid w:val="00247F11"/>
    <w:rsid w:val="002500A6"/>
    <w:rsid w:val="00251678"/>
    <w:rsid w:val="00253ABB"/>
    <w:rsid w:val="002545A2"/>
    <w:rsid w:val="00257D4E"/>
    <w:rsid w:val="00261A56"/>
    <w:rsid w:val="00261A7D"/>
    <w:rsid w:val="002629CB"/>
    <w:rsid w:val="00263FE1"/>
    <w:rsid w:val="0026530E"/>
    <w:rsid w:val="00266E02"/>
    <w:rsid w:val="00267C57"/>
    <w:rsid w:val="00270470"/>
    <w:rsid w:val="00270D86"/>
    <w:rsid w:val="002717D1"/>
    <w:rsid w:val="00271DE2"/>
    <w:rsid w:val="00272185"/>
    <w:rsid w:val="002738EF"/>
    <w:rsid w:val="00275FBC"/>
    <w:rsid w:val="00277BAE"/>
    <w:rsid w:val="00283857"/>
    <w:rsid w:val="00284512"/>
    <w:rsid w:val="00285854"/>
    <w:rsid w:val="00285C95"/>
    <w:rsid w:val="002868EB"/>
    <w:rsid w:val="00287013"/>
    <w:rsid w:val="002873B8"/>
    <w:rsid w:val="00287BED"/>
    <w:rsid w:val="00291605"/>
    <w:rsid w:val="00291DFF"/>
    <w:rsid w:val="00293E81"/>
    <w:rsid w:val="00294174"/>
    <w:rsid w:val="002941E4"/>
    <w:rsid w:val="002971B9"/>
    <w:rsid w:val="00297B37"/>
    <w:rsid w:val="002A0772"/>
    <w:rsid w:val="002A07AF"/>
    <w:rsid w:val="002A0833"/>
    <w:rsid w:val="002A25CD"/>
    <w:rsid w:val="002A2CC2"/>
    <w:rsid w:val="002A470A"/>
    <w:rsid w:val="002A49C0"/>
    <w:rsid w:val="002A4E9F"/>
    <w:rsid w:val="002A6B78"/>
    <w:rsid w:val="002B1CA8"/>
    <w:rsid w:val="002B2080"/>
    <w:rsid w:val="002B299E"/>
    <w:rsid w:val="002B2C1A"/>
    <w:rsid w:val="002B2F80"/>
    <w:rsid w:val="002B453F"/>
    <w:rsid w:val="002B4E50"/>
    <w:rsid w:val="002B621A"/>
    <w:rsid w:val="002B649F"/>
    <w:rsid w:val="002B6569"/>
    <w:rsid w:val="002C082C"/>
    <w:rsid w:val="002C1299"/>
    <w:rsid w:val="002C1F79"/>
    <w:rsid w:val="002C27E0"/>
    <w:rsid w:val="002C3109"/>
    <w:rsid w:val="002C4D7E"/>
    <w:rsid w:val="002C5FAC"/>
    <w:rsid w:val="002C7876"/>
    <w:rsid w:val="002C7ABB"/>
    <w:rsid w:val="002D2CBD"/>
    <w:rsid w:val="002D3EA5"/>
    <w:rsid w:val="002D48E6"/>
    <w:rsid w:val="002D4C49"/>
    <w:rsid w:val="002D5645"/>
    <w:rsid w:val="002D7187"/>
    <w:rsid w:val="002E1D76"/>
    <w:rsid w:val="002E28EC"/>
    <w:rsid w:val="002E41E6"/>
    <w:rsid w:val="002E47C6"/>
    <w:rsid w:val="002E4935"/>
    <w:rsid w:val="002E57C2"/>
    <w:rsid w:val="002F0D00"/>
    <w:rsid w:val="002F13BF"/>
    <w:rsid w:val="002F19C2"/>
    <w:rsid w:val="002F1CBE"/>
    <w:rsid w:val="002F3DA1"/>
    <w:rsid w:val="002F40FE"/>
    <w:rsid w:val="003013BC"/>
    <w:rsid w:val="00301A17"/>
    <w:rsid w:val="00302DF8"/>
    <w:rsid w:val="0030305C"/>
    <w:rsid w:val="00303CD4"/>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CAD"/>
    <w:rsid w:val="00327DB0"/>
    <w:rsid w:val="00330D1C"/>
    <w:rsid w:val="0033250D"/>
    <w:rsid w:val="003326B2"/>
    <w:rsid w:val="003340FB"/>
    <w:rsid w:val="00337EF6"/>
    <w:rsid w:val="00343A91"/>
    <w:rsid w:val="00343DBD"/>
    <w:rsid w:val="00343E8B"/>
    <w:rsid w:val="003445DF"/>
    <w:rsid w:val="00344C9B"/>
    <w:rsid w:val="00346BA3"/>
    <w:rsid w:val="00346DC8"/>
    <w:rsid w:val="00351C05"/>
    <w:rsid w:val="00352D4A"/>
    <w:rsid w:val="0035360F"/>
    <w:rsid w:val="00353B9F"/>
    <w:rsid w:val="003544D6"/>
    <w:rsid w:val="00354AEA"/>
    <w:rsid w:val="00355E49"/>
    <w:rsid w:val="00356839"/>
    <w:rsid w:val="003600D5"/>
    <w:rsid w:val="00360774"/>
    <w:rsid w:val="00361602"/>
    <w:rsid w:val="00361C0B"/>
    <w:rsid w:val="00364192"/>
    <w:rsid w:val="00365072"/>
    <w:rsid w:val="003656BB"/>
    <w:rsid w:val="00366226"/>
    <w:rsid w:val="0036779C"/>
    <w:rsid w:val="003711D4"/>
    <w:rsid w:val="003714D0"/>
    <w:rsid w:val="00373FE0"/>
    <w:rsid w:val="00374460"/>
    <w:rsid w:val="00375F83"/>
    <w:rsid w:val="0037685D"/>
    <w:rsid w:val="00376C8B"/>
    <w:rsid w:val="00376FDE"/>
    <w:rsid w:val="0037787F"/>
    <w:rsid w:val="00382266"/>
    <w:rsid w:val="00383388"/>
    <w:rsid w:val="00386E0E"/>
    <w:rsid w:val="00391C96"/>
    <w:rsid w:val="00393D24"/>
    <w:rsid w:val="00394233"/>
    <w:rsid w:val="00394AA8"/>
    <w:rsid w:val="00396A9B"/>
    <w:rsid w:val="003A1768"/>
    <w:rsid w:val="003A6526"/>
    <w:rsid w:val="003B15E2"/>
    <w:rsid w:val="003B2C19"/>
    <w:rsid w:val="003B4C11"/>
    <w:rsid w:val="003B69D9"/>
    <w:rsid w:val="003B6B7E"/>
    <w:rsid w:val="003B773A"/>
    <w:rsid w:val="003C2D08"/>
    <w:rsid w:val="003C329C"/>
    <w:rsid w:val="003C4AFD"/>
    <w:rsid w:val="003C4B35"/>
    <w:rsid w:val="003C54DB"/>
    <w:rsid w:val="003D0BBD"/>
    <w:rsid w:val="003D1F1C"/>
    <w:rsid w:val="003D2261"/>
    <w:rsid w:val="003D4B4D"/>
    <w:rsid w:val="003E2602"/>
    <w:rsid w:val="003E338B"/>
    <w:rsid w:val="003E3641"/>
    <w:rsid w:val="003E46B3"/>
    <w:rsid w:val="003E6E50"/>
    <w:rsid w:val="003E716F"/>
    <w:rsid w:val="003F0123"/>
    <w:rsid w:val="003F2EB2"/>
    <w:rsid w:val="003F49EF"/>
    <w:rsid w:val="004011CB"/>
    <w:rsid w:val="00402B39"/>
    <w:rsid w:val="00402EDF"/>
    <w:rsid w:val="00406B68"/>
    <w:rsid w:val="004079FE"/>
    <w:rsid w:val="004112F3"/>
    <w:rsid w:val="0041360B"/>
    <w:rsid w:val="0041405D"/>
    <w:rsid w:val="00414537"/>
    <w:rsid w:val="00414DBB"/>
    <w:rsid w:val="00417E4C"/>
    <w:rsid w:val="00421BA6"/>
    <w:rsid w:val="00422086"/>
    <w:rsid w:val="00423A6F"/>
    <w:rsid w:val="004249B8"/>
    <w:rsid w:val="004271DF"/>
    <w:rsid w:val="00427FF4"/>
    <w:rsid w:val="0043006E"/>
    <w:rsid w:val="00430AA7"/>
    <w:rsid w:val="00431022"/>
    <w:rsid w:val="0043146C"/>
    <w:rsid w:val="0043400B"/>
    <w:rsid w:val="00434DA6"/>
    <w:rsid w:val="00435C7C"/>
    <w:rsid w:val="00436FE7"/>
    <w:rsid w:val="00441F01"/>
    <w:rsid w:val="00442CB3"/>
    <w:rsid w:val="00443645"/>
    <w:rsid w:val="00444DF2"/>
    <w:rsid w:val="00446E80"/>
    <w:rsid w:val="00447443"/>
    <w:rsid w:val="00451306"/>
    <w:rsid w:val="00451C08"/>
    <w:rsid w:val="00451F0E"/>
    <w:rsid w:val="004526CB"/>
    <w:rsid w:val="00454E5A"/>
    <w:rsid w:val="00455F4A"/>
    <w:rsid w:val="00457E7E"/>
    <w:rsid w:val="00461BC4"/>
    <w:rsid w:val="00463760"/>
    <w:rsid w:val="004640B5"/>
    <w:rsid w:val="0046458B"/>
    <w:rsid w:val="00464857"/>
    <w:rsid w:val="004652A1"/>
    <w:rsid w:val="00466C51"/>
    <w:rsid w:val="004703C0"/>
    <w:rsid w:val="00470C5B"/>
    <w:rsid w:val="00470DD3"/>
    <w:rsid w:val="004733E1"/>
    <w:rsid w:val="0047342A"/>
    <w:rsid w:val="0047458A"/>
    <w:rsid w:val="00475058"/>
    <w:rsid w:val="004755F1"/>
    <w:rsid w:val="00475FAF"/>
    <w:rsid w:val="00476E22"/>
    <w:rsid w:val="00477C4F"/>
    <w:rsid w:val="00480124"/>
    <w:rsid w:val="00480450"/>
    <w:rsid w:val="0048165A"/>
    <w:rsid w:val="00485A1B"/>
    <w:rsid w:val="0048707C"/>
    <w:rsid w:val="0048720C"/>
    <w:rsid w:val="004878EA"/>
    <w:rsid w:val="00490FBE"/>
    <w:rsid w:val="0049125A"/>
    <w:rsid w:val="0049591C"/>
    <w:rsid w:val="00496BE4"/>
    <w:rsid w:val="0049730F"/>
    <w:rsid w:val="004A0228"/>
    <w:rsid w:val="004A141D"/>
    <w:rsid w:val="004A2446"/>
    <w:rsid w:val="004A27D0"/>
    <w:rsid w:val="004A3239"/>
    <w:rsid w:val="004A36FF"/>
    <w:rsid w:val="004A374B"/>
    <w:rsid w:val="004A42B5"/>
    <w:rsid w:val="004A4A37"/>
    <w:rsid w:val="004A4D62"/>
    <w:rsid w:val="004A7A02"/>
    <w:rsid w:val="004B11B2"/>
    <w:rsid w:val="004B2B86"/>
    <w:rsid w:val="004B35EB"/>
    <w:rsid w:val="004B43EC"/>
    <w:rsid w:val="004B4E2E"/>
    <w:rsid w:val="004B5553"/>
    <w:rsid w:val="004B6997"/>
    <w:rsid w:val="004B6F8E"/>
    <w:rsid w:val="004C0069"/>
    <w:rsid w:val="004C215E"/>
    <w:rsid w:val="004C28F7"/>
    <w:rsid w:val="004C2C8F"/>
    <w:rsid w:val="004C3737"/>
    <w:rsid w:val="004C37F2"/>
    <w:rsid w:val="004C3F6A"/>
    <w:rsid w:val="004C5556"/>
    <w:rsid w:val="004D11B7"/>
    <w:rsid w:val="004D16E7"/>
    <w:rsid w:val="004D1978"/>
    <w:rsid w:val="004D4765"/>
    <w:rsid w:val="004D548D"/>
    <w:rsid w:val="004D5E71"/>
    <w:rsid w:val="004D61D9"/>
    <w:rsid w:val="004D6B71"/>
    <w:rsid w:val="004E064D"/>
    <w:rsid w:val="004E15E7"/>
    <w:rsid w:val="004E1B15"/>
    <w:rsid w:val="004E2E82"/>
    <w:rsid w:val="004E33B9"/>
    <w:rsid w:val="004E6FB0"/>
    <w:rsid w:val="004F2DFA"/>
    <w:rsid w:val="004F48FB"/>
    <w:rsid w:val="004F4DAC"/>
    <w:rsid w:val="004F555B"/>
    <w:rsid w:val="004F5DAB"/>
    <w:rsid w:val="004F6747"/>
    <w:rsid w:val="004F7393"/>
    <w:rsid w:val="00501D43"/>
    <w:rsid w:val="00502DD7"/>
    <w:rsid w:val="005078DF"/>
    <w:rsid w:val="00510BB4"/>
    <w:rsid w:val="005113A5"/>
    <w:rsid w:val="00512841"/>
    <w:rsid w:val="00512FB7"/>
    <w:rsid w:val="00513518"/>
    <w:rsid w:val="00513966"/>
    <w:rsid w:val="00514529"/>
    <w:rsid w:val="00516017"/>
    <w:rsid w:val="00516142"/>
    <w:rsid w:val="00516647"/>
    <w:rsid w:val="00516893"/>
    <w:rsid w:val="00521A74"/>
    <w:rsid w:val="00522795"/>
    <w:rsid w:val="00524169"/>
    <w:rsid w:val="00524821"/>
    <w:rsid w:val="00525C0D"/>
    <w:rsid w:val="00530052"/>
    <w:rsid w:val="00530EE8"/>
    <w:rsid w:val="00533501"/>
    <w:rsid w:val="00534537"/>
    <w:rsid w:val="005348CF"/>
    <w:rsid w:val="005349C2"/>
    <w:rsid w:val="00534A78"/>
    <w:rsid w:val="00536057"/>
    <w:rsid w:val="00536BAA"/>
    <w:rsid w:val="005370E4"/>
    <w:rsid w:val="00540A51"/>
    <w:rsid w:val="00540D49"/>
    <w:rsid w:val="005413D8"/>
    <w:rsid w:val="00542003"/>
    <w:rsid w:val="00543DA7"/>
    <w:rsid w:val="00544DAC"/>
    <w:rsid w:val="00544FEB"/>
    <w:rsid w:val="0054650B"/>
    <w:rsid w:val="00550D93"/>
    <w:rsid w:val="005513B7"/>
    <w:rsid w:val="00552D07"/>
    <w:rsid w:val="005538AB"/>
    <w:rsid w:val="00553ED8"/>
    <w:rsid w:val="00554736"/>
    <w:rsid w:val="005552B7"/>
    <w:rsid w:val="00556072"/>
    <w:rsid w:val="00556E9A"/>
    <w:rsid w:val="005616D3"/>
    <w:rsid w:val="005626A2"/>
    <w:rsid w:val="005629ED"/>
    <w:rsid w:val="00566544"/>
    <w:rsid w:val="005670D9"/>
    <w:rsid w:val="00567E71"/>
    <w:rsid w:val="00567FF4"/>
    <w:rsid w:val="00570836"/>
    <w:rsid w:val="00570D00"/>
    <w:rsid w:val="00570E82"/>
    <w:rsid w:val="0057184A"/>
    <w:rsid w:val="005718EB"/>
    <w:rsid w:val="00572AF0"/>
    <w:rsid w:val="0057325D"/>
    <w:rsid w:val="005735CE"/>
    <w:rsid w:val="005743AF"/>
    <w:rsid w:val="005743E3"/>
    <w:rsid w:val="00582341"/>
    <w:rsid w:val="00583CEA"/>
    <w:rsid w:val="0058420A"/>
    <w:rsid w:val="00584775"/>
    <w:rsid w:val="0058687C"/>
    <w:rsid w:val="0059122B"/>
    <w:rsid w:val="00592BA4"/>
    <w:rsid w:val="0059639B"/>
    <w:rsid w:val="00596630"/>
    <w:rsid w:val="005A1799"/>
    <w:rsid w:val="005A179F"/>
    <w:rsid w:val="005A3035"/>
    <w:rsid w:val="005A4EE4"/>
    <w:rsid w:val="005A708C"/>
    <w:rsid w:val="005A7BB7"/>
    <w:rsid w:val="005B122A"/>
    <w:rsid w:val="005B1FB7"/>
    <w:rsid w:val="005B2EA3"/>
    <w:rsid w:val="005B3C03"/>
    <w:rsid w:val="005B7347"/>
    <w:rsid w:val="005C0A8C"/>
    <w:rsid w:val="005C48FC"/>
    <w:rsid w:val="005C55C2"/>
    <w:rsid w:val="005C5E94"/>
    <w:rsid w:val="005C76B2"/>
    <w:rsid w:val="005D008B"/>
    <w:rsid w:val="005D22B6"/>
    <w:rsid w:val="005D29F9"/>
    <w:rsid w:val="005D3592"/>
    <w:rsid w:val="005D5F56"/>
    <w:rsid w:val="005D5FF0"/>
    <w:rsid w:val="005D6165"/>
    <w:rsid w:val="005E0C7B"/>
    <w:rsid w:val="005E2478"/>
    <w:rsid w:val="005E27BC"/>
    <w:rsid w:val="005E4BE5"/>
    <w:rsid w:val="005E5658"/>
    <w:rsid w:val="005E626F"/>
    <w:rsid w:val="005E661E"/>
    <w:rsid w:val="005E7771"/>
    <w:rsid w:val="005F0672"/>
    <w:rsid w:val="005F7E69"/>
    <w:rsid w:val="00601F48"/>
    <w:rsid w:val="006025F0"/>
    <w:rsid w:val="00602D43"/>
    <w:rsid w:val="00602FE0"/>
    <w:rsid w:val="006049D3"/>
    <w:rsid w:val="00605787"/>
    <w:rsid w:val="00607A20"/>
    <w:rsid w:val="00610233"/>
    <w:rsid w:val="00610342"/>
    <w:rsid w:val="00610555"/>
    <w:rsid w:val="006127CC"/>
    <w:rsid w:val="00613AE4"/>
    <w:rsid w:val="00613C16"/>
    <w:rsid w:val="006147B6"/>
    <w:rsid w:val="00614D7D"/>
    <w:rsid w:val="00614DF8"/>
    <w:rsid w:val="00615320"/>
    <w:rsid w:val="006211B3"/>
    <w:rsid w:val="006218F0"/>
    <w:rsid w:val="006228E6"/>
    <w:rsid w:val="00624C49"/>
    <w:rsid w:val="006250FB"/>
    <w:rsid w:val="006253FA"/>
    <w:rsid w:val="006263CD"/>
    <w:rsid w:val="0062662F"/>
    <w:rsid w:val="00631602"/>
    <w:rsid w:val="006338F1"/>
    <w:rsid w:val="00633BEC"/>
    <w:rsid w:val="00633C6D"/>
    <w:rsid w:val="00634F2D"/>
    <w:rsid w:val="006356D2"/>
    <w:rsid w:val="0063760E"/>
    <w:rsid w:val="00637ED7"/>
    <w:rsid w:val="00643B2A"/>
    <w:rsid w:val="00644FE8"/>
    <w:rsid w:val="0064535D"/>
    <w:rsid w:val="006456CD"/>
    <w:rsid w:val="00646E12"/>
    <w:rsid w:val="006505A7"/>
    <w:rsid w:val="006505FB"/>
    <w:rsid w:val="00651E2E"/>
    <w:rsid w:val="006521F6"/>
    <w:rsid w:val="00652986"/>
    <w:rsid w:val="00653001"/>
    <w:rsid w:val="006531FE"/>
    <w:rsid w:val="00653AF4"/>
    <w:rsid w:val="00654D25"/>
    <w:rsid w:val="00654F2F"/>
    <w:rsid w:val="006571DB"/>
    <w:rsid w:val="00657AD1"/>
    <w:rsid w:val="00660465"/>
    <w:rsid w:val="0066141C"/>
    <w:rsid w:val="006614B8"/>
    <w:rsid w:val="006632BE"/>
    <w:rsid w:val="00664B01"/>
    <w:rsid w:val="006651FC"/>
    <w:rsid w:val="00667C30"/>
    <w:rsid w:val="006749D7"/>
    <w:rsid w:val="006750D0"/>
    <w:rsid w:val="00675614"/>
    <w:rsid w:val="006778C1"/>
    <w:rsid w:val="00677E52"/>
    <w:rsid w:val="00682AEB"/>
    <w:rsid w:val="0068307C"/>
    <w:rsid w:val="006836E2"/>
    <w:rsid w:val="006856E8"/>
    <w:rsid w:val="00695CA8"/>
    <w:rsid w:val="00697213"/>
    <w:rsid w:val="00697D76"/>
    <w:rsid w:val="006A0305"/>
    <w:rsid w:val="006A1E3E"/>
    <w:rsid w:val="006A351B"/>
    <w:rsid w:val="006A44B7"/>
    <w:rsid w:val="006A4973"/>
    <w:rsid w:val="006A7BA6"/>
    <w:rsid w:val="006A7FF3"/>
    <w:rsid w:val="006B04FE"/>
    <w:rsid w:val="006B32B9"/>
    <w:rsid w:val="006B3B35"/>
    <w:rsid w:val="006B4531"/>
    <w:rsid w:val="006B59AF"/>
    <w:rsid w:val="006B67E2"/>
    <w:rsid w:val="006B6C2B"/>
    <w:rsid w:val="006C14D5"/>
    <w:rsid w:val="006C3A1F"/>
    <w:rsid w:val="006C480E"/>
    <w:rsid w:val="006C5BB9"/>
    <w:rsid w:val="006C66D1"/>
    <w:rsid w:val="006D0740"/>
    <w:rsid w:val="006D0DD7"/>
    <w:rsid w:val="006D1006"/>
    <w:rsid w:val="006D1E73"/>
    <w:rsid w:val="006D200B"/>
    <w:rsid w:val="006D4837"/>
    <w:rsid w:val="006D6E84"/>
    <w:rsid w:val="006E0C88"/>
    <w:rsid w:val="006E16D9"/>
    <w:rsid w:val="006E40FA"/>
    <w:rsid w:val="006E4B79"/>
    <w:rsid w:val="006E5032"/>
    <w:rsid w:val="006E5079"/>
    <w:rsid w:val="006E5E5B"/>
    <w:rsid w:val="006E6626"/>
    <w:rsid w:val="006E6F1B"/>
    <w:rsid w:val="006F01BA"/>
    <w:rsid w:val="006F115F"/>
    <w:rsid w:val="006F2F6A"/>
    <w:rsid w:val="006F74BB"/>
    <w:rsid w:val="007026C5"/>
    <w:rsid w:val="00703ED1"/>
    <w:rsid w:val="007042EC"/>
    <w:rsid w:val="007048F9"/>
    <w:rsid w:val="0070495F"/>
    <w:rsid w:val="00705FAF"/>
    <w:rsid w:val="00710DD3"/>
    <w:rsid w:val="0071128F"/>
    <w:rsid w:val="0071163E"/>
    <w:rsid w:val="00713895"/>
    <w:rsid w:val="007141EB"/>
    <w:rsid w:val="00714DEB"/>
    <w:rsid w:val="00720F68"/>
    <w:rsid w:val="007210D1"/>
    <w:rsid w:val="00721C7A"/>
    <w:rsid w:val="007238B8"/>
    <w:rsid w:val="0072460E"/>
    <w:rsid w:val="0072506F"/>
    <w:rsid w:val="00727D0D"/>
    <w:rsid w:val="00727F87"/>
    <w:rsid w:val="007304DD"/>
    <w:rsid w:val="007339E1"/>
    <w:rsid w:val="0073538D"/>
    <w:rsid w:val="00737C4B"/>
    <w:rsid w:val="00741407"/>
    <w:rsid w:val="0074192E"/>
    <w:rsid w:val="0074603A"/>
    <w:rsid w:val="007470C6"/>
    <w:rsid w:val="0075069C"/>
    <w:rsid w:val="00750CFE"/>
    <w:rsid w:val="00751E0E"/>
    <w:rsid w:val="00756CF0"/>
    <w:rsid w:val="00756DAD"/>
    <w:rsid w:val="00761639"/>
    <w:rsid w:val="007624B1"/>
    <w:rsid w:val="00763CE3"/>
    <w:rsid w:val="00763D40"/>
    <w:rsid w:val="00766AC8"/>
    <w:rsid w:val="00766BD8"/>
    <w:rsid w:val="00766E47"/>
    <w:rsid w:val="00771BBB"/>
    <w:rsid w:val="007731BE"/>
    <w:rsid w:val="00774D4F"/>
    <w:rsid w:val="00776CFE"/>
    <w:rsid w:val="00777386"/>
    <w:rsid w:val="00780583"/>
    <w:rsid w:val="00782661"/>
    <w:rsid w:val="00782D15"/>
    <w:rsid w:val="00783172"/>
    <w:rsid w:val="00783BF7"/>
    <w:rsid w:val="00784291"/>
    <w:rsid w:val="00784D1A"/>
    <w:rsid w:val="00786A01"/>
    <w:rsid w:val="00787723"/>
    <w:rsid w:val="00787960"/>
    <w:rsid w:val="00790FD4"/>
    <w:rsid w:val="00791CED"/>
    <w:rsid w:val="00793D4E"/>
    <w:rsid w:val="0079478F"/>
    <w:rsid w:val="00794D79"/>
    <w:rsid w:val="00795D8D"/>
    <w:rsid w:val="00796197"/>
    <w:rsid w:val="007A38D4"/>
    <w:rsid w:val="007A7788"/>
    <w:rsid w:val="007A78B9"/>
    <w:rsid w:val="007B2AA4"/>
    <w:rsid w:val="007B4F23"/>
    <w:rsid w:val="007B54FD"/>
    <w:rsid w:val="007B7EE5"/>
    <w:rsid w:val="007C209D"/>
    <w:rsid w:val="007C3257"/>
    <w:rsid w:val="007C3363"/>
    <w:rsid w:val="007C5F8B"/>
    <w:rsid w:val="007C6664"/>
    <w:rsid w:val="007C6C91"/>
    <w:rsid w:val="007D170B"/>
    <w:rsid w:val="007D1934"/>
    <w:rsid w:val="007D30C5"/>
    <w:rsid w:val="007D4961"/>
    <w:rsid w:val="007D4AC4"/>
    <w:rsid w:val="007D6E70"/>
    <w:rsid w:val="007D7B36"/>
    <w:rsid w:val="007E04EC"/>
    <w:rsid w:val="007E0732"/>
    <w:rsid w:val="007E1C8A"/>
    <w:rsid w:val="007E5938"/>
    <w:rsid w:val="007E63DF"/>
    <w:rsid w:val="007E7937"/>
    <w:rsid w:val="007E795E"/>
    <w:rsid w:val="007F2C49"/>
    <w:rsid w:val="007F2CE4"/>
    <w:rsid w:val="007F4E20"/>
    <w:rsid w:val="007F5423"/>
    <w:rsid w:val="007F6ACD"/>
    <w:rsid w:val="007F73C7"/>
    <w:rsid w:val="00800984"/>
    <w:rsid w:val="008039B7"/>
    <w:rsid w:val="00804405"/>
    <w:rsid w:val="00806DA1"/>
    <w:rsid w:val="00807AB5"/>
    <w:rsid w:val="008101C8"/>
    <w:rsid w:val="00811484"/>
    <w:rsid w:val="0081166E"/>
    <w:rsid w:val="00812A99"/>
    <w:rsid w:val="00813452"/>
    <w:rsid w:val="00815B96"/>
    <w:rsid w:val="008166C2"/>
    <w:rsid w:val="0081714C"/>
    <w:rsid w:val="00817892"/>
    <w:rsid w:val="00817899"/>
    <w:rsid w:val="00820063"/>
    <w:rsid w:val="008204BC"/>
    <w:rsid w:val="00822099"/>
    <w:rsid w:val="00825845"/>
    <w:rsid w:val="00825D96"/>
    <w:rsid w:val="0083256E"/>
    <w:rsid w:val="00836F4E"/>
    <w:rsid w:val="008370B4"/>
    <w:rsid w:val="0083794D"/>
    <w:rsid w:val="008421D5"/>
    <w:rsid w:val="00843965"/>
    <w:rsid w:val="00850A5B"/>
    <w:rsid w:val="00851105"/>
    <w:rsid w:val="00852208"/>
    <w:rsid w:val="00852488"/>
    <w:rsid w:val="008567AC"/>
    <w:rsid w:val="00862248"/>
    <w:rsid w:val="0086324F"/>
    <w:rsid w:val="00863BF7"/>
    <w:rsid w:val="00864DBF"/>
    <w:rsid w:val="00865713"/>
    <w:rsid w:val="008663C1"/>
    <w:rsid w:val="008715B5"/>
    <w:rsid w:val="0087339D"/>
    <w:rsid w:val="0087438E"/>
    <w:rsid w:val="00876B6E"/>
    <w:rsid w:val="008804D4"/>
    <w:rsid w:val="00882A61"/>
    <w:rsid w:val="00885E6C"/>
    <w:rsid w:val="0089133A"/>
    <w:rsid w:val="00892191"/>
    <w:rsid w:val="00892EB8"/>
    <w:rsid w:val="00894F2A"/>
    <w:rsid w:val="00897B47"/>
    <w:rsid w:val="008A0533"/>
    <w:rsid w:val="008A153B"/>
    <w:rsid w:val="008A423E"/>
    <w:rsid w:val="008A51B4"/>
    <w:rsid w:val="008A6F9C"/>
    <w:rsid w:val="008B0C33"/>
    <w:rsid w:val="008B2702"/>
    <w:rsid w:val="008B4058"/>
    <w:rsid w:val="008B5A16"/>
    <w:rsid w:val="008B687F"/>
    <w:rsid w:val="008B6F7C"/>
    <w:rsid w:val="008B7DBF"/>
    <w:rsid w:val="008C0597"/>
    <w:rsid w:val="008C20D1"/>
    <w:rsid w:val="008C2D37"/>
    <w:rsid w:val="008C5503"/>
    <w:rsid w:val="008D0D0C"/>
    <w:rsid w:val="008D3A74"/>
    <w:rsid w:val="008D5BD1"/>
    <w:rsid w:val="008D5E09"/>
    <w:rsid w:val="008D64DD"/>
    <w:rsid w:val="008E0677"/>
    <w:rsid w:val="008E2196"/>
    <w:rsid w:val="008E5939"/>
    <w:rsid w:val="008E5952"/>
    <w:rsid w:val="008E7ED3"/>
    <w:rsid w:val="008F5D2C"/>
    <w:rsid w:val="0090072F"/>
    <w:rsid w:val="00900BA5"/>
    <w:rsid w:val="009020A4"/>
    <w:rsid w:val="00902CB7"/>
    <w:rsid w:val="00902FF4"/>
    <w:rsid w:val="00903B03"/>
    <w:rsid w:val="00904208"/>
    <w:rsid w:val="00904D22"/>
    <w:rsid w:val="00904FDA"/>
    <w:rsid w:val="00905CE9"/>
    <w:rsid w:val="00906A22"/>
    <w:rsid w:val="00911EC6"/>
    <w:rsid w:val="009124A3"/>
    <w:rsid w:val="00914459"/>
    <w:rsid w:val="00914776"/>
    <w:rsid w:val="009152D4"/>
    <w:rsid w:val="00917C06"/>
    <w:rsid w:val="00922829"/>
    <w:rsid w:val="0092287C"/>
    <w:rsid w:val="00922FA9"/>
    <w:rsid w:val="00923556"/>
    <w:rsid w:val="0092417E"/>
    <w:rsid w:val="00924307"/>
    <w:rsid w:val="00925FEC"/>
    <w:rsid w:val="00927C5B"/>
    <w:rsid w:val="00930C4A"/>
    <w:rsid w:val="00931B5A"/>
    <w:rsid w:val="00931F14"/>
    <w:rsid w:val="00932CB4"/>
    <w:rsid w:val="00933218"/>
    <w:rsid w:val="0093379B"/>
    <w:rsid w:val="00933BCB"/>
    <w:rsid w:val="00940373"/>
    <w:rsid w:val="00940AA8"/>
    <w:rsid w:val="00943F49"/>
    <w:rsid w:val="00944DAB"/>
    <w:rsid w:val="00950B3E"/>
    <w:rsid w:val="00950F99"/>
    <w:rsid w:val="00951466"/>
    <w:rsid w:val="009522D7"/>
    <w:rsid w:val="00952931"/>
    <w:rsid w:val="009549E5"/>
    <w:rsid w:val="0095566B"/>
    <w:rsid w:val="00955F0B"/>
    <w:rsid w:val="009621F1"/>
    <w:rsid w:val="00963B62"/>
    <w:rsid w:val="009650E0"/>
    <w:rsid w:val="00965260"/>
    <w:rsid w:val="00966CD3"/>
    <w:rsid w:val="00967644"/>
    <w:rsid w:val="00970E95"/>
    <w:rsid w:val="0097161D"/>
    <w:rsid w:val="00971BFC"/>
    <w:rsid w:val="009767FF"/>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88D"/>
    <w:rsid w:val="00991918"/>
    <w:rsid w:val="009920DF"/>
    <w:rsid w:val="009977A6"/>
    <w:rsid w:val="00997F3E"/>
    <w:rsid w:val="009A0599"/>
    <w:rsid w:val="009A1E28"/>
    <w:rsid w:val="009A1FDE"/>
    <w:rsid w:val="009A2210"/>
    <w:rsid w:val="009A2D56"/>
    <w:rsid w:val="009A439E"/>
    <w:rsid w:val="009A52BE"/>
    <w:rsid w:val="009A595F"/>
    <w:rsid w:val="009A5E20"/>
    <w:rsid w:val="009A7307"/>
    <w:rsid w:val="009B206D"/>
    <w:rsid w:val="009B27AC"/>
    <w:rsid w:val="009B2F8C"/>
    <w:rsid w:val="009B346E"/>
    <w:rsid w:val="009B404A"/>
    <w:rsid w:val="009B56EE"/>
    <w:rsid w:val="009B58B2"/>
    <w:rsid w:val="009C002E"/>
    <w:rsid w:val="009C06A2"/>
    <w:rsid w:val="009C392A"/>
    <w:rsid w:val="009C7563"/>
    <w:rsid w:val="009C77C1"/>
    <w:rsid w:val="009C7E9D"/>
    <w:rsid w:val="009D0B97"/>
    <w:rsid w:val="009D2908"/>
    <w:rsid w:val="009D69FF"/>
    <w:rsid w:val="009D6BFE"/>
    <w:rsid w:val="009E0923"/>
    <w:rsid w:val="009E1098"/>
    <w:rsid w:val="009E202F"/>
    <w:rsid w:val="009E2F0F"/>
    <w:rsid w:val="009E3EBD"/>
    <w:rsid w:val="009E413A"/>
    <w:rsid w:val="009E44E8"/>
    <w:rsid w:val="009E4AD9"/>
    <w:rsid w:val="009E543A"/>
    <w:rsid w:val="009E5BC9"/>
    <w:rsid w:val="009E61C2"/>
    <w:rsid w:val="009E6459"/>
    <w:rsid w:val="009E7818"/>
    <w:rsid w:val="009F459F"/>
    <w:rsid w:val="009F474E"/>
    <w:rsid w:val="00A01918"/>
    <w:rsid w:val="00A03A49"/>
    <w:rsid w:val="00A04A60"/>
    <w:rsid w:val="00A05AEE"/>
    <w:rsid w:val="00A06926"/>
    <w:rsid w:val="00A1231E"/>
    <w:rsid w:val="00A1339D"/>
    <w:rsid w:val="00A15C57"/>
    <w:rsid w:val="00A20F3A"/>
    <w:rsid w:val="00A22B8D"/>
    <w:rsid w:val="00A24754"/>
    <w:rsid w:val="00A24CD3"/>
    <w:rsid w:val="00A25A93"/>
    <w:rsid w:val="00A3085A"/>
    <w:rsid w:val="00A31B33"/>
    <w:rsid w:val="00A32555"/>
    <w:rsid w:val="00A3327B"/>
    <w:rsid w:val="00A35925"/>
    <w:rsid w:val="00A40021"/>
    <w:rsid w:val="00A41970"/>
    <w:rsid w:val="00A43797"/>
    <w:rsid w:val="00A43C34"/>
    <w:rsid w:val="00A46799"/>
    <w:rsid w:val="00A507AE"/>
    <w:rsid w:val="00A50EFF"/>
    <w:rsid w:val="00A520CD"/>
    <w:rsid w:val="00A523E3"/>
    <w:rsid w:val="00A53D2E"/>
    <w:rsid w:val="00A56281"/>
    <w:rsid w:val="00A601FC"/>
    <w:rsid w:val="00A6202F"/>
    <w:rsid w:val="00A63A95"/>
    <w:rsid w:val="00A65365"/>
    <w:rsid w:val="00A66C9D"/>
    <w:rsid w:val="00A66F30"/>
    <w:rsid w:val="00A670FC"/>
    <w:rsid w:val="00A67B36"/>
    <w:rsid w:val="00A7144F"/>
    <w:rsid w:val="00A72F8D"/>
    <w:rsid w:val="00A73033"/>
    <w:rsid w:val="00A7323A"/>
    <w:rsid w:val="00A73804"/>
    <w:rsid w:val="00A73C6F"/>
    <w:rsid w:val="00A77450"/>
    <w:rsid w:val="00A8016D"/>
    <w:rsid w:val="00A80560"/>
    <w:rsid w:val="00A80ACF"/>
    <w:rsid w:val="00A83EC5"/>
    <w:rsid w:val="00A861FE"/>
    <w:rsid w:val="00A86E3F"/>
    <w:rsid w:val="00A90D85"/>
    <w:rsid w:val="00A91AF5"/>
    <w:rsid w:val="00A928C9"/>
    <w:rsid w:val="00A930EC"/>
    <w:rsid w:val="00A94BB8"/>
    <w:rsid w:val="00A959D5"/>
    <w:rsid w:val="00A95E28"/>
    <w:rsid w:val="00A961BF"/>
    <w:rsid w:val="00A97D8D"/>
    <w:rsid w:val="00AA4EDC"/>
    <w:rsid w:val="00AA5086"/>
    <w:rsid w:val="00AA61D7"/>
    <w:rsid w:val="00AA7A1C"/>
    <w:rsid w:val="00AB0E5F"/>
    <w:rsid w:val="00AB2499"/>
    <w:rsid w:val="00AB25E0"/>
    <w:rsid w:val="00AB620D"/>
    <w:rsid w:val="00AB766A"/>
    <w:rsid w:val="00AB785A"/>
    <w:rsid w:val="00AC15E3"/>
    <w:rsid w:val="00AC3BE3"/>
    <w:rsid w:val="00AC44AE"/>
    <w:rsid w:val="00AC4A52"/>
    <w:rsid w:val="00AD0BF8"/>
    <w:rsid w:val="00AD0CC4"/>
    <w:rsid w:val="00AD0F78"/>
    <w:rsid w:val="00AD187B"/>
    <w:rsid w:val="00AD1E80"/>
    <w:rsid w:val="00AD3C30"/>
    <w:rsid w:val="00AD4F93"/>
    <w:rsid w:val="00AD6E28"/>
    <w:rsid w:val="00AD7B43"/>
    <w:rsid w:val="00AE0045"/>
    <w:rsid w:val="00AE0EF3"/>
    <w:rsid w:val="00AE1036"/>
    <w:rsid w:val="00AE4E0C"/>
    <w:rsid w:val="00AE5728"/>
    <w:rsid w:val="00AE5E84"/>
    <w:rsid w:val="00AE6E77"/>
    <w:rsid w:val="00AE72B7"/>
    <w:rsid w:val="00AE7563"/>
    <w:rsid w:val="00AE7D00"/>
    <w:rsid w:val="00AF0471"/>
    <w:rsid w:val="00AF13DB"/>
    <w:rsid w:val="00AF2DF6"/>
    <w:rsid w:val="00AF2E42"/>
    <w:rsid w:val="00AF4E18"/>
    <w:rsid w:val="00AF5FFC"/>
    <w:rsid w:val="00AF6714"/>
    <w:rsid w:val="00B01A20"/>
    <w:rsid w:val="00B031BD"/>
    <w:rsid w:val="00B03487"/>
    <w:rsid w:val="00B050AB"/>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44C3"/>
    <w:rsid w:val="00B306D6"/>
    <w:rsid w:val="00B33812"/>
    <w:rsid w:val="00B359C5"/>
    <w:rsid w:val="00B36D30"/>
    <w:rsid w:val="00B409CF"/>
    <w:rsid w:val="00B40EFC"/>
    <w:rsid w:val="00B41268"/>
    <w:rsid w:val="00B42F00"/>
    <w:rsid w:val="00B432D8"/>
    <w:rsid w:val="00B454DD"/>
    <w:rsid w:val="00B46D8F"/>
    <w:rsid w:val="00B474EA"/>
    <w:rsid w:val="00B47A53"/>
    <w:rsid w:val="00B51625"/>
    <w:rsid w:val="00B517A6"/>
    <w:rsid w:val="00B520D6"/>
    <w:rsid w:val="00B52BE6"/>
    <w:rsid w:val="00B55BBD"/>
    <w:rsid w:val="00B563A0"/>
    <w:rsid w:val="00B600BA"/>
    <w:rsid w:val="00B6014A"/>
    <w:rsid w:val="00B601F5"/>
    <w:rsid w:val="00B6064E"/>
    <w:rsid w:val="00B61A69"/>
    <w:rsid w:val="00B63B31"/>
    <w:rsid w:val="00B65026"/>
    <w:rsid w:val="00B67975"/>
    <w:rsid w:val="00B70458"/>
    <w:rsid w:val="00B7096A"/>
    <w:rsid w:val="00B71AE0"/>
    <w:rsid w:val="00B720F9"/>
    <w:rsid w:val="00B72A70"/>
    <w:rsid w:val="00B72C7B"/>
    <w:rsid w:val="00B7378C"/>
    <w:rsid w:val="00B7653F"/>
    <w:rsid w:val="00B7655C"/>
    <w:rsid w:val="00B7672C"/>
    <w:rsid w:val="00B80172"/>
    <w:rsid w:val="00B82831"/>
    <w:rsid w:val="00B82B2A"/>
    <w:rsid w:val="00B8308F"/>
    <w:rsid w:val="00B8309D"/>
    <w:rsid w:val="00B85A1C"/>
    <w:rsid w:val="00B86E2A"/>
    <w:rsid w:val="00B90361"/>
    <w:rsid w:val="00B930C9"/>
    <w:rsid w:val="00B95164"/>
    <w:rsid w:val="00B96E4E"/>
    <w:rsid w:val="00BA1346"/>
    <w:rsid w:val="00BA1782"/>
    <w:rsid w:val="00BA2A85"/>
    <w:rsid w:val="00BA38EA"/>
    <w:rsid w:val="00BA54EE"/>
    <w:rsid w:val="00BB08E4"/>
    <w:rsid w:val="00BB1BFF"/>
    <w:rsid w:val="00BB2461"/>
    <w:rsid w:val="00BB617F"/>
    <w:rsid w:val="00BB7B7F"/>
    <w:rsid w:val="00BC2CE9"/>
    <w:rsid w:val="00BC2E92"/>
    <w:rsid w:val="00BC36B3"/>
    <w:rsid w:val="00BC6607"/>
    <w:rsid w:val="00BC7D00"/>
    <w:rsid w:val="00BD035F"/>
    <w:rsid w:val="00BD0702"/>
    <w:rsid w:val="00BD24BF"/>
    <w:rsid w:val="00BD67FA"/>
    <w:rsid w:val="00BD7DE4"/>
    <w:rsid w:val="00BE0AFE"/>
    <w:rsid w:val="00BE1A98"/>
    <w:rsid w:val="00BE1E5B"/>
    <w:rsid w:val="00BE346F"/>
    <w:rsid w:val="00BE4B63"/>
    <w:rsid w:val="00BE56D3"/>
    <w:rsid w:val="00BE6BBA"/>
    <w:rsid w:val="00BE6E19"/>
    <w:rsid w:val="00BE6E4F"/>
    <w:rsid w:val="00BF26C1"/>
    <w:rsid w:val="00BF2E3D"/>
    <w:rsid w:val="00BF423F"/>
    <w:rsid w:val="00BF521D"/>
    <w:rsid w:val="00C0136B"/>
    <w:rsid w:val="00C02806"/>
    <w:rsid w:val="00C02A2A"/>
    <w:rsid w:val="00C075E2"/>
    <w:rsid w:val="00C07E95"/>
    <w:rsid w:val="00C1009F"/>
    <w:rsid w:val="00C101BF"/>
    <w:rsid w:val="00C11F3B"/>
    <w:rsid w:val="00C1451B"/>
    <w:rsid w:val="00C14784"/>
    <w:rsid w:val="00C149B6"/>
    <w:rsid w:val="00C154C0"/>
    <w:rsid w:val="00C20810"/>
    <w:rsid w:val="00C212D4"/>
    <w:rsid w:val="00C21E8F"/>
    <w:rsid w:val="00C21EEB"/>
    <w:rsid w:val="00C22237"/>
    <w:rsid w:val="00C2346E"/>
    <w:rsid w:val="00C243D2"/>
    <w:rsid w:val="00C24C6B"/>
    <w:rsid w:val="00C25AD7"/>
    <w:rsid w:val="00C25EA7"/>
    <w:rsid w:val="00C30CB1"/>
    <w:rsid w:val="00C316EB"/>
    <w:rsid w:val="00C323FE"/>
    <w:rsid w:val="00C32759"/>
    <w:rsid w:val="00C34BB5"/>
    <w:rsid w:val="00C34CDD"/>
    <w:rsid w:val="00C35089"/>
    <w:rsid w:val="00C355D1"/>
    <w:rsid w:val="00C35A09"/>
    <w:rsid w:val="00C36C49"/>
    <w:rsid w:val="00C376CC"/>
    <w:rsid w:val="00C43F41"/>
    <w:rsid w:val="00C4672E"/>
    <w:rsid w:val="00C506CB"/>
    <w:rsid w:val="00C513A0"/>
    <w:rsid w:val="00C51DC9"/>
    <w:rsid w:val="00C5246F"/>
    <w:rsid w:val="00C52787"/>
    <w:rsid w:val="00C52843"/>
    <w:rsid w:val="00C52A1B"/>
    <w:rsid w:val="00C52D5D"/>
    <w:rsid w:val="00C559DF"/>
    <w:rsid w:val="00C605C9"/>
    <w:rsid w:val="00C63CAA"/>
    <w:rsid w:val="00C71EB3"/>
    <w:rsid w:val="00C71FBF"/>
    <w:rsid w:val="00C73E61"/>
    <w:rsid w:val="00C7642B"/>
    <w:rsid w:val="00C812F7"/>
    <w:rsid w:val="00C8182C"/>
    <w:rsid w:val="00C82CD7"/>
    <w:rsid w:val="00C8345F"/>
    <w:rsid w:val="00C83EE8"/>
    <w:rsid w:val="00C85263"/>
    <w:rsid w:val="00C8633D"/>
    <w:rsid w:val="00C87130"/>
    <w:rsid w:val="00C90EEA"/>
    <w:rsid w:val="00C917E8"/>
    <w:rsid w:val="00C928C1"/>
    <w:rsid w:val="00C95EC9"/>
    <w:rsid w:val="00CA0187"/>
    <w:rsid w:val="00CA06AF"/>
    <w:rsid w:val="00CA142D"/>
    <w:rsid w:val="00CA165A"/>
    <w:rsid w:val="00CA2E2A"/>
    <w:rsid w:val="00CA46D8"/>
    <w:rsid w:val="00CA6275"/>
    <w:rsid w:val="00CB13F3"/>
    <w:rsid w:val="00CB21D2"/>
    <w:rsid w:val="00CB3E2B"/>
    <w:rsid w:val="00CB4607"/>
    <w:rsid w:val="00CB523C"/>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6AE7"/>
    <w:rsid w:val="00CC6CE9"/>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E65E6"/>
    <w:rsid w:val="00CF12B3"/>
    <w:rsid w:val="00CF1593"/>
    <w:rsid w:val="00CF259C"/>
    <w:rsid w:val="00CF37E8"/>
    <w:rsid w:val="00CF495D"/>
    <w:rsid w:val="00CF4A32"/>
    <w:rsid w:val="00CF4D5C"/>
    <w:rsid w:val="00CF5980"/>
    <w:rsid w:val="00D00AAD"/>
    <w:rsid w:val="00D00DFF"/>
    <w:rsid w:val="00D01832"/>
    <w:rsid w:val="00D02026"/>
    <w:rsid w:val="00D0274E"/>
    <w:rsid w:val="00D03F65"/>
    <w:rsid w:val="00D05066"/>
    <w:rsid w:val="00D051C5"/>
    <w:rsid w:val="00D05469"/>
    <w:rsid w:val="00D05817"/>
    <w:rsid w:val="00D06B5F"/>
    <w:rsid w:val="00D06B99"/>
    <w:rsid w:val="00D10412"/>
    <w:rsid w:val="00D10573"/>
    <w:rsid w:val="00D135DD"/>
    <w:rsid w:val="00D13DE4"/>
    <w:rsid w:val="00D146BD"/>
    <w:rsid w:val="00D14BC8"/>
    <w:rsid w:val="00D14FDD"/>
    <w:rsid w:val="00D15EB5"/>
    <w:rsid w:val="00D20C22"/>
    <w:rsid w:val="00D2344A"/>
    <w:rsid w:val="00D2461A"/>
    <w:rsid w:val="00D24C21"/>
    <w:rsid w:val="00D26B78"/>
    <w:rsid w:val="00D27F3A"/>
    <w:rsid w:val="00D31792"/>
    <w:rsid w:val="00D3254D"/>
    <w:rsid w:val="00D32A7C"/>
    <w:rsid w:val="00D33703"/>
    <w:rsid w:val="00D34163"/>
    <w:rsid w:val="00D35D87"/>
    <w:rsid w:val="00D35E40"/>
    <w:rsid w:val="00D35E60"/>
    <w:rsid w:val="00D35EC1"/>
    <w:rsid w:val="00D361A3"/>
    <w:rsid w:val="00D36360"/>
    <w:rsid w:val="00D41B75"/>
    <w:rsid w:val="00D41BC9"/>
    <w:rsid w:val="00D42777"/>
    <w:rsid w:val="00D42ADA"/>
    <w:rsid w:val="00D4407C"/>
    <w:rsid w:val="00D441C8"/>
    <w:rsid w:val="00D46A1F"/>
    <w:rsid w:val="00D502E8"/>
    <w:rsid w:val="00D50564"/>
    <w:rsid w:val="00D507D6"/>
    <w:rsid w:val="00D509E7"/>
    <w:rsid w:val="00D50D4F"/>
    <w:rsid w:val="00D52841"/>
    <w:rsid w:val="00D5482D"/>
    <w:rsid w:val="00D54E31"/>
    <w:rsid w:val="00D566F0"/>
    <w:rsid w:val="00D56831"/>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67960"/>
    <w:rsid w:val="00D72F71"/>
    <w:rsid w:val="00D73E11"/>
    <w:rsid w:val="00D76663"/>
    <w:rsid w:val="00D80733"/>
    <w:rsid w:val="00D8109B"/>
    <w:rsid w:val="00D810E0"/>
    <w:rsid w:val="00D81199"/>
    <w:rsid w:val="00D816C0"/>
    <w:rsid w:val="00D8361B"/>
    <w:rsid w:val="00D854A2"/>
    <w:rsid w:val="00D85949"/>
    <w:rsid w:val="00D86D1A"/>
    <w:rsid w:val="00D90396"/>
    <w:rsid w:val="00D94DE8"/>
    <w:rsid w:val="00D96B97"/>
    <w:rsid w:val="00D96D26"/>
    <w:rsid w:val="00D973DB"/>
    <w:rsid w:val="00DA151A"/>
    <w:rsid w:val="00DA1B19"/>
    <w:rsid w:val="00DA5D18"/>
    <w:rsid w:val="00DA695A"/>
    <w:rsid w:val="00DA6DDC"/>
    <w:rsid w:val="00DA71E4"/>
    <w:rsid w:val="00DA764C"/>
    <w:rsid w:val="00DB013B"/>
    <w:rsid w:val="00DB2BB6"/>
    <w:rsid w:val="00DB3E79"/>
    <w:rsid w:val="00DB4B2B"/>
    <w:rsid w:val="00DB67F9"/>
    <w:rsid w:val="00DB7261"/>
    <w:rsid w:val="00DC1289"/>
    <w:rsid w:val="00DC1A25"/>
    <w:rsid w:val="00DC42CD"/>
    <w:rsid w:val="00DC49E6"/>
    <w:rsid w:val="00DC75BD"/>
    <w:rsid w:val="00DD2C33"/>
    <w:rsid w:val="00DD35EC"/>
    <w:rsid w:val="00DD714F"/>
    <w:rsid w:val="00DD762D"/>
    <w:rsid w:val="00DE0BC8"/>
    <w:rsid w:val="00DE3777"/>
    <w:rsid w:val="00DE539F"/>
    <w:rsid w:val="00DE5A7D"/>
    <w:rsid w:val="00DE5D23"/>
    <w:rsid w:val="00DE7A92"/>
    <w:rsid w:val="00DF01DE"/>
    <w:rsid w:val="00DF108A"/>
    <w:rsid w:val="00DF41E8"/>
    <w:rsid w:val="00DF4F1C"/>
    <w:rsid w:val="00DF525A"/>
    <w:rsid w:val="00DF5356"/>
    <w:rsid w:val="00DF594B"/>
    <w:rsid w:val="00DF6812"/>
    <w:rsid w:val="00E00FAA"/>
    <w:rsid w:val="00E01DDB"/>
    <w:rsid w:val="00E042B5"/>
    <w:rsid w:val="00E05033"/>
    <w:rsid w:val="00E0592A"/>
    <w:rsid w:val="00E065C3"/>
    <w:rsid w:val="00E0729C"/>
    <w:rsid w:val="00E10828"/>
    <w:rsid w:val="00E10B04"/>
    <w:rsid w:val="00E10B3E"/>
    <w:rsid w:val="00E13F56"/>
    <w:rsid w:val="00E14ABF"/>
    <w:rsid w:val="00E14DD7"/>
    <w:rsid w:val="00E153B7"/>
    <w:rsid w:val="00E1556A"/>
    <w:rsid w:val="00E163DD"/>
    <w:rsid w:val="00E227B1"/>
    <w:rsid w:val="00E277BE"/>
    <w:rsid w:val="00E27EEE"/>
    <w:rsid w:val="00E30DDB"/>
    <w:rsid w:val="00E315CC"/>
    <w:rsid w:val="00E32265"/>
    <w:rsid w:val="00E3406E"/>
    <w:rsid w:val="00E3430C"/>
    <w:rsid w:val="00E34345"/>
    <w:rsid w:val="00E3503A"/>
    <w:rsid w:val="00E356E8"/>
    <w:rsid w:val="00E35976"/>
    <w:rsid w:val="00E35CF1"/>
    <w:rsid w:val="00E3612C"/>
    <w:rsid w:val="00E41269"/>
    <w:rsid w:val="00E4187D"/>
    <w:rsid w:val="00E42770"/>
    <w:rsid w:val="00E43870"/>
    <w:rsid w:val="00E442AB"/>
    <w:rsid w:val="00E46BAB"/>
    <w:rsid w:val="00E46C7A"/>
    <w:rsid w:val="00E47B35"/>
    <w:rsid w:val="00E51027"/>
    <w:rsid w:val="00E5176A"/>
    <w:rsid w:val="00E51A3B"/>
    <w:rsid w:val="00E5254C"/>
    <w:rsid w:val="00E525A8"/>
    <w:rsid w:val="00E52A51"/>
    <w:rsid w:val="00E537C1"/>
    <w:rsid w:val="00E55678"/>
    <w:rsid w:val="00E567F9"/>
    <w:rsid w:val="00E572BC"/>
    <w:rsid w:val="00E60221"/>
    <w:rsid w:val="00E605F1"/>
    <w:rsid w:val="00E6193B"/>
    <w:rsid w:val="00E61A31"/>
    <w:rsid w:val="00E6495C"/>
    <w:rsid w:val="00E65DB5"/>
    <w:rsid w:val="00E702F8"/>
    <w:rsid w:val="00E7072A"/>
    <w:rsid w:val="00E70B9F"/>
    <w:rsid w:val="00E73A4C"/>
    <w:rsid w:val="00E73B57"/>
    <w:rsid w:val="00E73D0F"/>
    <w:rsid w:val="00E74843"/>
    <w:rsid w:val="00E750BB"/>
    <w:rsid w:val="00E8168D"/>
    <w:rsid w:val="00E816BC"/>
    <w:rsid w:val="00E85C53"/>
    <w:rsid w:val="00E86A20"/>
    <w:rsid w:val="00E9594D"/>
    <w:rsid w:val="00E95CE8"/>
    <w:rsid w:val="00E96EE0"/>
    <w:rsid w:val="00EA1649"/>
    <w:rsid w:val="00EA23E9"/>
    <w:rsid w:val="00EA37D5"/>
    <w:rsid w:val="00EA73E0"/>
    <w:rsid w:val="00EB0B0F"/>
    <w:rsid w:val="00EB1037"/>
    <w:rsid w:val="00EB14BD"/>
    <w:rsid w:val="00EB15F0"/>
    <w:rsid w:val="00EB2E6F"/>
    <w:rsid w:val="00EB3551"/>
    <w:rsid w:val="00EB6F55"/>
    <w:rsid w:val="00EB71D4"/>
    <w:rsid w:val="00EB7367"/>
    <w:rsid w:val="00EB7429"/>
    <w:rsid w:val="00EB7C5D"/>
    <w:rsid w:val="00EB7F81"/>
    <w:rsid w:val="00EC0F1A"/>
    <w:rsid w:val="00EC1701"/>
    <w:rsid w:val="00EC34C4"/>
    <w:rsid w:val="00EC4DC0"/>
    <w:rsid w:val="00EC64E0"/>
    <w:rsid w:val="00ED0974"/>
    <w:rsid w:val="00ED21A3"/>
    <w:rsid w:val="00ED2320"/>
    <w:rsid w:val="00ED25C7"/>
    <w:rsid w:val="00ED3729"/>
    <w:rsid w:val="00ED5300"/>
    <w:rsid w:val="00ED5A71"/>
    <w:rsid w:val="00ED625D"/>
    <w:rsid w:val="00ED6978"/>
    <w:rsid w:val="00ED7569"/>
    <w:rsid w:val="00ED7DD3"/>
    <w:rsid w:val="00EE04DC"/>
    <w:rsid w:val="00EE0BFA"/>
    <w:rsid w:val="00EE3910"/>
    <w:rsid w:val="00EE3F8A"/>
    <w:rsid w:val="00EE43FE"/>
    <w:rsid w:val="00EE4CBC"/>
    <w:rsid w:val="00EE5784"/>
    <w:rsid w:val="00EE59D4"/>
    <w:rsid w:val="00EF0202"/>
    <w:rsid w:val="00EF0F8D"/>
    <w:rsid w:val="00EF3871"/>
    <w:rsid w:val="00EF3F72"/>
    <w:rsid w:val="00EF4B5D"/>
    <w:rsid w:val="00EF639B"/>
    <w:rsid w:val="00EF7177"/>
    <w:rsid w:val="00F0435A"/>
    <w:rsid w:val="00F0497E"/>
    <w:rsid w:val="00F0541B"/>
    <w:rsid w:val="00F10BC1"/>
    <w:rsid w:val="00F11B5C"/>
    <w:rsid w:val="00F12C84"/>
    <w:rsid w:val="00F161EF"/>
    <w:rsid w:val="00F163D2"/>
    <w:rsid w:val="00F16959"/>
    <w:rsid w:val="00F16C67"/>
    <w:rsid w:val="00F210FB"/>
    <w:rsid w:val="00F2180B"/>
    <w:rsid w:val="00F2219C"/>
    <w:rsid w:val="00F2249B"/>
    <w:rsid w:val="00F2605A"/>
    <w:rsid w:val="00F26CE5"/>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7137"/>
    <w:rsid w:val="00F5235F"/>
    <w:rsid w:val="00F537A3"/>
    <w:rsid w:val="00F53CC2"/>
    <w:rsid w:val="00F551E5"/>
    <w:rsid w:val="00F559DB"/>
    <w:rsid w:val="00F571EC"/>
    <w:rsid w:val="00F57406"/>
    <w:rsid w:val="00F60239"/>
    <w:rsid w:val="00F6164D"/>
    <w:rsid w:val="00F61B46"/>
    <w:rsid w:val="00F648BC"/>
    <w:rsid w:val="00F64FD1"/>
    <w:rsid w:val="00F65834"/>
    <w:rsid w:val="00F66D12"/>
    <w:rsid w:val="00F67DB0"/>
    <w:rsid w:val="00F70139"/>
    <w:rsid w:val="00F70509"/>
    <w:rsid w:val="00F707AF"/>
    <w:rsid w:val="00F72F9A"/>
    <w:rsid w:val="00F73F7C"/>
    <w:rsid w:val="00F74769"/>
    <w:rsid w:val="00F76347"/>
    <w:rsid w:val="00F80E94"/>
    <w:rsid w:val="00F82A75"/>
    <w:rsid w:val="00F8384D"/>
    <w:rsid w:val="00F848A7"/>
    <w:rsid w:val="00F86F94"/>
    <w:rsid w:val="00F87329"/>
    <w:rsid w:val="00F87510"/>
    <w:rsid w:val="00F91E26"/>
    <w:rsid w:val="00F92516"/>
    <w:rsid w:val="00F939EA"/>
    <w:rsid w:val="00F950CA"/>
    <w:rsid w:val="00F960CC"/>
    <w:rsid w:val="00FA4535"/>
    <w:rsid w:val="00FA542F"/>
    <w:rsid w:val="00FA56B2"/>
    <w:rsid w:val="00FA6F70"/>
    <w:rsid w:val="00FB02F0"/>
    <w:rsid w:val="00FB0BCB"/>
    <w:rsid w:val="00FB1EFA"/>
    <w:rsid w:val="00FB4B72"/>
    <w:rsid w:val="00FB58FB"/>
    <w:rsid w:val="00FB780D"/>
    <w:rsid w:val="00FB7C5F"/>
    <w:rsid w:val="00FB7D62"/>
    <w:rsid w:val="00FC2E14"/>
    <w:rsid w:val="00FC37EA"/>
    <w:rsid w:val="00FC614B"/>
    <w:rsid w:val="00FC6EEC"/>
    <w:rsid w:val="00FD24E7"/>
    <w:rsid w:val="00FD3078"/>
    <w:rsid w:val="00FD4171"/>
    <w:rsid w:val="00FD5D5C"/>
    <w:rsid w:val="00FD6033"/>
    <w:rsid w:val="00FE03DC"/>
    <w:rsid w:val="00FE056C"/>
    <w:rsid w:val="00FE3BDE"/>
    <w:rsid w:val="00FE53C4"/>
    <w:rsid w:val="00FE5CB7"/>
    <w:rsid w:val="00FF1B56"/>
    <w:rsid w:val="00FF1BA1"/>
    <w:rsid w:val="00FF32A4"/>
    <w:rsid w:val="00FF519C"/>
    <w:rsid w:val="00FF593A"/>
    <w:rsid w:val="00FF6557"/>
    <w:rsid w:val="00FF6618"/>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DB013B"/>
    <w:pPr>
      <w:spacing w:line="240" w:lineRule="auto"/>
      <w:jc w:val="both"/>
    </w:pPr>
    <w:rPr>
      <w:rFonts w:asciiTheme="minorHAnsi" w:hAnsiTheme="minorHAnsi" w:cstheme="minorHAnsi"/>
      <w:lang w:val="en-GB"/>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3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rsid w:val="004C215E"/>
    <w:pPr>
      <w:numPr>
        <w:numId w:val="6"/>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left="714" w:right="57" w:hanging="3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lang w:val="en-AU"/>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lang w:val="en-AU"/>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lang w:val="en-AU"/>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val="en-AU"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lang w:val="en-AU"/>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lang w:val="en-AU"/>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lang w:val="en-AU"/>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lang w:val="en-AU"/>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lang w:val="en-AU"/>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lang w:val="en-AU"/>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val="en-AU"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5Tabletext">
    <w:name w:val="05 Table text"/>
    <w:next w:val="Normal"/>
    <w:qFormat/>
    <w:rsid w:val="00771BBB"/>
    <w:pPr>
      <w:spacing w:before="20" w:after="0" w:line="240" w:lineRule="auto"/>
      <w:ind w:left="57" w:right="57"/>
    </w:pPr>
    <w:rPr>
      <w:rFonts w:ascii="Arial Narrow" w:eastAsia="Calibri" w:hAnsi="Arial Narrow" w:cs="Times New Roman"/>
      <w:sz w:val="18"/>
      <w:szCs w:val="24"/>
      <w:lang w:eastAsia="en-US"/>
    </w:rPr>
  </w:style>
  <w:style w:type="paragraph" w:customStyle="1" w:styleId="11TableorFigurefootnotenostick">
    <w:name w:val="11 Table or Figure footnote – no stick"/>
    <w:next w:val="BodyText"/>
    <w:qFormat/>
    <w:rsid w:val="00771BBB"/>
    <w:pPr>
      <w:spacing w:after="360" w:line="240" w:lineRule="auto"/>
    </w:pPr>
    <w:rPr>
      <w:rFonts w:ascii="Arial Narrow" w:eastAsia="Calibri" w:hAnsi="Arial Narrow" w:cs="Times New Roman"/>
      <w:sz w:val="16"/>
      <w:szCs w:val="24"/>
      <w:lang w:eastAsia="en-US"/>
    </w:rPr>
  </w:style>
  <w:style w:type="paragraph" w:customStyle="1" w:styleId="02TableHEADINGcentred">
    <w:name w:val="02 Table HEADING centred"/>
    <w:qFormat/>
    <w:rsid w:val="00771BBB"/>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Picturewithbox">
    <w:name w:val="Picture with box"/>
    <w:next w:val="11TableorFigurefootnotenostick"/>
    <w:qFormat/>
    <w:rsid w:val="00771BBB"/>
    <w:pPr>
      <w:pBdr>
        <w:top w:val="single" w:sz="4" w:space="4" w:color="auto"/>
        <w:left w:val="single" w:sz="4" w:space="0" w:color="auto"/>
        <w:bottom w:val="single" w:sz="4" w:space="4" w:color="auto"/>
        <w:right w:val="single" w:sz="4" w:space="0" w:color="auto"/>
      </w:pBdr>
      <w:spacing w:after="0" w:line="240" w:lineRule="auto"/>
      <w:jc w:val="center"/>
    </w:pPr>
    <w:rPr>
      <w:rFonts w:ascii="Cambria" w:eastAsia="Calibri" w:hAnsi="Cambria" w:cs="Times New Roman"/>
      <w:szCs w:val="24"/>
      <w:lang w:eastAsia="en-US"/>
    </w:rPr>
  </w:style>
  <w:style w:type="paragraph" w:customStyle="1" w:styleId="04Tablesubheading">
    <w:name w:val="04 Table subheading"/>
    <w:qFormat/>
    <w:rsid w:val="00771BBB"/>
    <w:pPr>
      <w:keepNext/>
      <w:spacing w:before="20" w:after="0" w:line="240" w:lineRule="auto"/>
      <w:ind w:left="57" w:right="57"/>
    </w:pPr>
    <w:rPr>
      <w:rFonts w:ascii="Arial Narrow" w:eastAsia="Calibri" w:hAnsi="Arial Narrow" w:cs="Times New Roman"/>
      <w:b/>
      <w:sz w:val="18"/>
      <w:szCs w:val="24"/>
      <w:lang w:eastAsia="en-US"/>
    </w:rPr>
  </w:style>
  <w:style w:type="paragraph" w:styleId="TableofFigures">
    <w:name w:val="table of figures"/>
    <w:basedOn w:val="Normal"/>
    <w:next w:val="Normal"/>
    <w:uiPriority w:val="99"/>
    <w:unhideWhenUsed/>
    <w:rsid w:val="004E15E7"/>
    <w:pPr>
      <w:spacing w:after="0"/>
    </w:pPr>
  </w:style>
  <w:style w:type="table" w:customStyle="1" w:styleId="ListTable31">
    <w:name w:val="List Table 31"/>
    <w:basedOn w:val="TableNormal"/>
    <w:uiPriority w:val="48"/>
    <w:rsid w:val="004310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C3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7E795E"/>
    <w:pPr>
      <w:spacing w:after="160" w:line="259" w:lineRule="auto"/>
      <w:jc w:val="left"/>
    </w:pPr>
    <w:rPr>
      <w:rFonts w:ascii="Times New Roman" w:hAnsi="Times New Roman" w:cstheme="minorBidi"/>
      <w:sz w:val="22"/>
      <w:lang w:val="en-AU" w:eastAsia="en-US"/>
    </w:rPr>
  </w:style>
  <w:style w:type="character" w:customStyle="1" w:styleId="Style1Char">
    <w:name w:val="Style1 Char"/>
    <w:basedOn w:val="DefaultParagraphFont"/>
    <w:link w:val="Style1"/>
    <w:rsid w:val="007E795E"/>
    <w:rPr>
      <w:sz w:val="22"/>
      <w:lang w:eastAsia="en-US"/>
    </w:rPr>
  </w:style>
  <w:style w:type="table" w:customStyle="1" w:styleId="TableGridLight2">
    <w:name w:val="Table Grid Light2"/>
    <w:basedOn w:val="TableNormal"/>
    <w:uiPriority w:val="40"/>
    <w:rsid w:val="00F571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7" w:unhideWhenUsed="0"/>
    <w:lsdException w:name="Default Paragraph Font" w:uiPriority="1"/>
    <w:lsdException w:name="Body Text" w:uiPriority="0"/>
    <w:lsdException w:name="Subtitle" w:semiHidden="0" w:uiPriority="9" w:unhideWhenUsed="0"/>
    <w:lsdException w:name="Body Text Indent 3"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MD_Normal"/>
    <w:qFormat/>
    <w:rsid w:val="00DB013B"/>
    <w:pPr>
      <w:spacing w:line="240" w:lineRule="auto"/>
      <w:jc w:val="both"/>
    </w:pPr>
    <w:rPr>
      <w:rFonts w:asciiTheme="minorHAnsi" w:hAnsiTheme="minorHAnsi" w:cstheme="minorHAnsi"/>
      <w:lang w:val="en-GB"/>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jc w:val="left"/>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lang w:val="en-GB"/>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lang w:val="en-GB"/>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lang w:val="en-GB"/>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3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qFormat/>
    <w:rsid w:val="004C215E"/>
    <w:rPr>
      <w:rFonts w:eastAsia="Times New Roman" w:cs="Times New Roman"/>
      <w:b/>
      <w:bCs/>
      <w:szCs w:val="18"/>
    </w:rPr>
  </w:style>
  <w:style w:type="paragraph" w:customStyle="1" w:styleId="ListBullet1">
    <w:name w:val="List Bullet1"/>
    <w:basedOn w:val="Normal"/>
    <w:uiPriority w:val="5"/>
    <w:rsid w:val="004C215E"/>
    <w:pPr>
      <w:numPr>
        <w:numId w:val="6"/>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eastAsiaTheme="minorEastAsia"/>
      <w:sz w:val="22"/>
    </w:rPr>
  </w:style>
  <w:style w:type="paragraph" w:styleId="TOC6">
    <w:name w:val="toc 6"/>
    <w:basedOn w:val="Normal"/>
    <w:next w:val="Normal"/>
    <w:autoRedefine/>
    <w:uiPriority w:val="39"/>
    <w:unhideWhenUsed/>
    <w:rsid w:val="00D35EC1"/>
    <w:pPr>
      <w:spacing w:after="100"/>
      <w:ind w:left="1100"/>
      <w:jc w:val="left"/>
    </w:pPr>
    <w:rPr>
      <w:rFonts w:eastAsiaTheme="minorEastAsia"/>
      <w:sz w:val="22"/>
    </w:rPr>
  </w:style>
  <w:style w:type="paragraph" w:styleId="TOC7">
    <w:name w:val="toc 7"/>
    <w:basedOn w:val="Normal"/>
    <w:next w:val="Normal"/>
    <w:autoRedefine/>
    <w:uiPriority w:val="39"/>
    <w:unhideWhenUsed/>
    <w:rsid w:val="00D35EC1"/>
    <w:pPr>
      <w:spacing w:after="100"/>
      <w:ind w:left="1320"/>
      <w:jc w:val="left"/>
    </w:pPr>
    <w:rPr>
      <w:rFonts w:eastAsiaTheme="minorEastAsia"/>
      <w:sz w:val="22"/>
    </w:rPr>
  </w:style>
  <w:style w:type="paragraph" w:styleId="TOC8">
    <w:name w:val="toc 8"/>
    <w:basedOn w:val="Normal"/>
    <w:next w:val="Normal"/>
    <w:autoRedefine/>
    <w:uiPriority w:val="39"/>
    <w:unhideWhenUsed/>
    <w:rsid w:val="00D35EC1"/>
    <w:pPr>
      <w:spacing w:after="100"/>
      <w:ind w:left="1540"/>
      <w:jc w:val="left"/>
    </w:pPr>
    <w:rPr>
      <w:rFonts w:eastAsiaTheme="minorEastAsia"/>
      <w:sz w:val="22"/>
    </w:rPr>
  </w:style>
  <w:style w:type="paragraph" w:styleId="TOC9">
    <w:name w:val="toc 9"/>
    <w:basedOn w:val="Normal"/>
    <w:next w:val="Normal"/>
    <w:autoRedefine/>
    <w:uiPriority w:val="39"/>
    <w:unhideWhenUsed/>
    <w:rsid w:val="00D35EC1"/>
    <w:pPr>
      <w:spacing w:after="100"/>
      <w:ind w:left="1760"/>
      <w:jc w:val="left"/>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jc w:val="left"/>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pPr>
      <w:jc w:val="left"/>
    </w:pPr>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left="714" w:right="57" w:hanging="3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lang w:val="en-AU"/>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jc w:val="left"/>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jc w:val="left"/>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jc w:val="left"/>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jc w:val="left"/>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jc w:val="left"/>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jc w:val="left"/>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jc w:val="left"/>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jc w:val="left"/>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jc w:val="left"/>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jc w:val="left"/>
    </w:pPr>
    <w:rPr>
      <w:rFonts w:ascii="Arial" w:eastAsia="Times New Roman" w:hAnsi="Arial" w:cs="Arial"/>
      <w:sz w:val="20"/>
      <w:szCs w:val="20"/>
      <w:lang w:val="en-AU"/>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lang w:val="en-AU"/>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jc w:val="left"/>
    </w:pPr>
    <w:rPr>
      <w:rFonts w:ascii="Arial Narrow" w:hAnsi="Arial Narrow" w:cstheme="minorBidi"/>
      <w:b/>
      <w:sz w:val="20"/>
      <w:lang w:val="en-AU" w:eastAsia="en-US"/>
    </w:rPr>
  </w:style>
  <w:style w:type="paragraph" w:customStyle="1" w:styleId="Figure">
    <w:name w:val="Figure"/>
    <w:basedOn w:val="NormalWeb"/>
    <w:link w:val="FigureChar"/>
    <w:rsid w:val="00071F2B"/>
    <w:pPr>
      <w:spacing w:before="60" w:beforeAutospacing="0" w:after="60" w:afterAutospacing="0"/>
      <w:jc w:val="left"/>
    </w:pPr>
    <w:rPr>
      <w:rFonts w:ascii="Calibri" w:hAnsi="Calibri"/>
      <w:b/>
      <w:color w:val="000000"/>
      <w:lang w:val="en-AU"/>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jc w:val="left"/>
    </w:pPr>
    <w:rPr>
      <w:rFonts w:cstheme="minorBidi"/>
      <w:b/>
      <w:i/>
      <w:sz w:val="28"/>
      <w:szCs w:val="24"/>
      <w:lang w:val="en-AU"/>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jc w:val="left"/>
    </w:pPr>
    <w:rPr>
      <w:rFonts w:ascii="Calibri" w:eastAsia="Times New Roman" w:hAnsi="Calibri" w:cs="Arial"/>
      <w:sz w:val="20"/>
      <w:szCs w:val="20"/>
      <w:lang w:val="en-AU"/>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jc w:val="left"/>
    </w:pPr>
    <w:rPr>
      <w:rFonts w:eastAsiaTheme="minorEastAsia" w:cs="Calibri"/>
      <w:color w:val="000000"/>
      <w:sz w:val="20"/>
      <w:szCs w:val="20"/>
      <w:lang w:val="en-AU"/>
    </w:rPr>
  </w:style>
  <w:style w:type="paragraph" w:customStyle="1" w:styleId="FigureDUSC">
    <w:name w:val="Figure DUSC"/>
    <w:basedOn w:val="Normal"/>
    <w:link w:val="FigureDUSCChar"/>
    <w:rsid w:val="00071F2B"/>
    <w:pPr>
      <w:spacing w:before="60" w:after="60"/>
      <w:jc w:val="left"/>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jc w:val="left"/>
    </w:pPr>
    <w:rPr>
      <w:rFonts w:eastAsiaTheme="minorEastAsia" w:cs="Calibri"/>
      <w:b/>
      <w:color w:val="000000" w:themeColor="text1"/>
      <w:sz w:val="20"/>
      <w:szCs w:val="24"/>
      <w:lang w:val="en-AU"/>
    </w:rPr>
  </w:style>
  <w:style w:type="paragraph" w:customStyle="1" w:styleId="TableTextDusc">
    <w:name w:val="Table Text _Dusc"/>
    <w:basedOn w:val="Normal"/>
    <w:link w:val="TableTextDuscChar"/>
    <w:qFormat/>
    <w:rsid w:val="00071F2B"/>
    <w:pPr>
      <w:autoSpaceDE w:val="0"/>
      <w:autoSpaceDN w:val="0"/>
      <w:adjustRightInd w:val="0"/>
      <w:spacing w:before="60" w:after="60"/>
      <w:jc w:val="left"/>
    </w:pPr>
    <w:rPr>
      <w:rFonts w:eastAsia="MS Mincho" w:cs="Calibri"/>
      <w:sz w:val="20"/>
      <w:szCs w:val="20"/>
      <w:lang w:val="en-AU"/>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jc w:val="left"/>
    </w:pPr>
    <w:rPr>
      <w:rFonts w:eastAsiaTheme="minorEastAsia" w:cstheme="minorBidi"/>
      <w:sz w:val="20"/>
      <w:szCs w:val="20"/>
      <w:lang w:val="en-AU"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5Tabletext">
    <w:name w:val="05 Table text"/>
    <w:next w:val="Normal"/>
    <w:qFormat/>
    <w:rsid w:val="00771BBB"/>
    <w:pPr>
      <w:spacing w:before="20" w:after="0" w:line="240" w:lineRule="auto"/>
      <w:ind w:left="57" w:right="57"/>
    </w:pPr>
    <w:rPr>
      <w:rFonts w:ascii="Arial Narrow" w:eastAsia="Calibri" w:hAnsi="Arial Narrow" w:cs="Times New Roman"/>
      <w:sz w:val="18"/>
      <w:szCs w:val="24"/>
      <w:lang w:eastAsia="en-US"/>
    </w:rPr>
  </w:style>
  <w:style w:type="paragraph" w:customStyle="1" w:styleId="11TableorFigurefootnotenostick">
    <w:name w:val="11 Table or Figure footnote – no stick"/>
    <w:next w:val="BodyText"/>
    <w:qFormat/>
    <w:rsid w:val="00771BBB"/>
    <w:pPr>
      <w:spacing w:after="360" w:line="240" w:lineRule="auto"/>
    </w:pPr>
    <w:rPr>
      <w:rFonts w:ascii="Arial Narrow" w:eastAsia="Calibri" w:hAnsi="Arial Narrow" w:cs="Times New Roman"/>
      <w:sz w:val="16"/>
      <w:szCs w:val="24"/>
      <w:lang w:eastAsia="en-US"/>
    </w:rPr>
  </w:style>
  <w:style w:type="paragraph" w:customStyle="1" w:styleId="02TableHEADINGcentred">
    <w:name w:val="02 Table HEADING centred"/>
    <w:qFormat/>
    <w:rsid w:val="00771BBB"/>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Picturewithbox">
    <w:name w:val="Picture with box"/>
    <w:next w:val="11TableorFigurefootnotenostick"/>
    <w:qFormat/>
    <w:rsid w:val="00771BBB"/>
    <w:pPr>
      <w:pBdr>
        <w:top w:val="single" w:sz="4" w:space="4" w:color="auto"/>
        <w:left w:val="single" w:sz="4" w:space="0" w:color="auto"/>
        <w:bottom w:val="single" w:sz="4" w:space="4" w:color="auto"/>
        <w:right w:val="single" w:sz="4" w:space="0" w:color="auto"/>
      </w:pBdr>
      <w:spacing w:after="0" w:line="240" w:lineRule="auto"/>
      <w:jc w:val="center"/>
    </w:pPr>
    <w:rPr>
      <w:rFonts w:ascii="Cambria" w:eastAsia="Calibri" w:hAnsi="Cambria" w:cs="Times New Roman"/>
      <w:szCs w:val="24"/>
      <w:lang w:eastAsia="en-US"/>
    </w:rPr>
  </w:style>
  <w:style w:type="paragraph" w:customStyle="1" w:styleId="04Tablesubheading">
    <w:name w:val="04 Table subheading"/>
    <w:qFormat/>
    <w:rsid w:val="00771BBB"/>
    <w:pPr>
      <w:keepNext/>
      <w:spacing w:before="20" w:after="0" w:line="240" w:lineRule="auto"/>
      <w:ind w:left="57" w:right="57"/>
    </w:pPr>
    <w:rPr>
      <w:rFonts w:ascii="Arial Narrow" w:eastAsia="Calibri" w:hAnsi="Arial Narrow" w:cs="Times New Roman"/>
      <w:b/>
      <w:sz w:val="18"/>
      <w:szCs w:val="24"/>
      <w:lang w:eastAsia="en-US"/>
    </w:rPr>
  </w:style>
  <w:style w:type="paragraph" w:styleId="TableofFigures">
    <w:name w:val="table of figures"/>
    <w:basedOn w:val="Normal"/>
    <w:next w:val="Normal"/>
    <w:uiPriority w:val="99"/>
    <w:unhideWhenUsed/>
    <w:rsid w:val="004E15E7"/>
    <w:pPr>
      <w:spacing w:after="0"/>
    </w:pPr>
  </w:style>
  <w:style w:type="table" w:customStyle="1" w:styleId="ListTable31">
    <w:name w:val="List Table 31"/>
    <w:basedOn w:val="TableNormal"/>
    <w:uiPriority w:val="48"/>
    <w:rsid w:val="004310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C3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7E795E"/>
    <w:pPr>
      <w:spacing w:after="160" w:line="259" w:lineRule="auto"/>
      <w:jc w:val="left"/>
    </w:pPr>
    <w:rPr>
      <w:rFonts w:ascii="Times New Roman" w:hAnsi="Times New Roman" w:cstheme="minorBidi"/>
      <w:sz w:val="22"/>
      <w:lang w:val="en-AU" w:eastAsia="en-US"/>
    </w:rPr>
  </w:style>
  <w:style w:type="character" w:customStyle="1" w:styleId="Style1Char">
    <w:name w:val="Style1 Char"/>
    <w:basedOn w:val="DefaultParagraphFont"/>
    <w:link w:val="Style1"/>
    <w:rsid w:val="007E795E"/>
    <w:rPr>
      <w:sz w:val="22"/>
      <w:lang w:eastAsia="en-US"/>
    </w:rPr>
  </w:style>
  <w:style w:type="table" w:customStyle="1" w:styleId="TableGridLight2">
    <w:name w:val="Table Grid Light2"/>
    <w:basedOn w:val="TableNormal"/>
    <w:uiPriority w:val="40"/>
    <w:rsid w:val="00F571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168320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34003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73394808">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74764130">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23392581">
      <w:bodyDiv w:val="1"/>
      <w:marLeft w:val="0"/>
      <w:marRight w:val="0"/>
      <w:marTop w:val="0"/>
      <w:marBottom w:val="0"/>
      <w:divBdr>
        <w:top w:val="none" w:sz="0" w:space="0" w:color="auto"/>
        <w:left w:val="none" w:sz="0" w:space="0" w:color="auto"/>
        <w:bottom w:val="none" w:sz="0" w:space="0" w:color="auto"/>
        <w:right w:val="none" w:sz="0" w:space="0" w:color="auto"/>
      </w:divBdr>
    </w:div>
    <w:div w:id="1345136076">
      <w:bodyDiv w:val="1"/>
      <w:marLeft w:val="0"/>
      <w:marRight w:val="0"/>
      <w:marTop w:val="0"/>
      <w:marBottom w:val="0"/>
      <w:divBdr>
        <w:top w:val="none" w:sz="0" w:space="0" w:color="auto"/>
        <w:left w:val="none" w:sz="0" w:space="0" w:color="auto"/>
        <w:bottom w:val="none" w:sz="0" w:space="0" w:color="auto"/>
        <w:right w:val="none" w:sz="0" w:space="0" w:color="auto"/>
      </w:divBdr>
    </w:div>
    <w:div w:id="1396509193">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552686">
      <w:bodyDiv w:val="1"/>
      <w:marLeft w:val="0"/>
      <w:marRight w:val="0"/>
      <w:marTop w:val="0"/>
      <w:marBottom w:val="0"/>
      <w:divBdr>
        <w:top w:val="none" w:sz="0" w:space="0" w:color="auto"/>
        <w:left w:val="none" w:sz="0" w:space="0" w:color="auto"/>
        <w:bottom w:val="none" w:sz="0" w:space="0" w:color="auto"/>
        <w:right w:val="none" w:sz="0" w:space="0" w:color="auto"/>
      </w:divBdr>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0775227">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06D349-B5A0-4D61-BE87-47F5FFE7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6458</Words>
  <Characters>36817</Characters>
  <Application>Microsoft Office Word</Application>
  <DocSecurity>0</DocSecurity>
  <Lines>306</Lines>
  <Paragraphs>86</Paragraphs>
  <ScaleCrop>false</ScaleCrop>
  <Company/>
  <LinksUpToDate>false</LinksUpToDate>
  <CharactersWithSpaces>43189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2018-01-17T03:23:00Z</dcterms:created>
  <dcterms:modified xsi:type="dcterms:W3CDTF">2018-01-17T03:23:00Z</dcterms:modified>
</cp:coreProperties>
</file>