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E7805" w14:textId="77777777" w:rsidR="00C774E3" w:rsidRDefault="00C774E3" w:rsidP="00521601">
      <w:pPr>
        <w:pStyle w:val="Heading1"/>
        <w:rPr>
          <w:rFonts w:asciiTheme="minorHAnsi" w:hAnsiTheme="minorHAnsi" w:cstheme="minorHAnsi"/>
        </w:rPr>
      </w:pPr>
      <w:r>
        <w:rPr>
          <w:rFonts w:asciiTheme="minorHAnsi" w:hAnsiTheme="minorHAnsi" w:cstheme="minorHAnsi"/>
        </w:rPr>
        <w:t>Post-market Review of the use of biologics in the treatment of severe chronic plaque psoriasis</w:t>
      </w:r>
    </w:p>
    <w:p w14:paraId="18E3311E" w14:textId="77777777" w:rsidR="006E7A21" w:rsidRDefault="006E7A21" w:rsidP="00515743">
      <w:pPr>
        <w:pStyle w:val="Heading1"/>
        <w:ind w:left="1440" w:firstLine="720"/>
        <w:rPr>
          <w:rFonts w:asciiTheme="minorHAnsi" w:hAnsiTheme="minorHAnsi" w:cstheme="minorHAnsi"/>
        </w:rPr>
      </w:pPr>
    </w:p>
    <w:p w14:paraId="08A3B318" w14:textId="11E1A77D" w:rsidR="00F71269" w:rsidRPr="00B96CC1" w:rsidRDefault="00F71269" w:rsidP="00515743">
      <w:pPr>
        <w:pStyle w:val="Heading1"/>
        <w:ind w:left="1440" w:firstLine="720"/>
        <w:rPr>
          <w:rFonts w:asciiTheme="minorHAnsi" w:hAnsiTheme="minorHAnsi" w:cstheme="minorHAnsi"/>
        </w:rPr>
      </w:pPr>
      <w:r w:rsidRPr="00B96CC1">
        <w:rPr>
          <w:rFonts w:asciiTheme="minorHAnsi" w:hAnsiTheme="minorHAnsi" w:cstheme="minorHAnsi"/>
        </w:rPr>
        <w:t>Plain language summary</w:t>
      </w:r>
    </w:p>
    <w:p w14:paraId="0B1A4303" w14:textId="77777777" w:rsidR="00F71269" w:rsidRPr="00F4541E" w:rsidRDefault="00F71269" w:rsidP="00F71269">
      <w:pPr>
        <w:rPr>
          <w:rFonts w:asciiTheme="minorHAnsi" w:hAnsiTheme="minorHAnsi" w:cstheme="minorHAnsi"/>
          <w:sz w:val="24"/>
          <w:szCs w:val="24"/>
          <w:lang w:eastAsia="en-US"/>
        </w:rPr>
      </w:pPr>
    </w:p>
    <w:p w14:paraId="098992C6" w14:textId="77777777" w:rsidR="00F71269" w:rsidRPr="00F4541E" w:rsidRDefault="00F71269" w:rsidP="00521601">
      <w:pPr>
        <w:pStyle w:val="Heading2"/>
        <w:spacing w:after="240"/>
        <w:rPr>
          <w:rFonts w:asciiTheme="minorHAnsi" w:hAnsiTheme="minorHAnsi" w:cstheme="minorHAnsi"/>
          <w:sz w:val="24"/>
          <w:szCs w:val="24"/>
        </w:rPr>
      </w:pPr>
      <w:r w:rsidRPr="00F4541E">
        <w:rPr>
          <w:rFonts w:asciiTheme="minorHAnsi" w:hAnsiTheme="minorHAnsi" w:cstheme="minorHAnsi"/>
          <w:sz w:val="24"/>
          <w:szCs w:val="24"/>
        </w:rPr>
        <w:t>Background</w:t>
      </w:r>
    </w:p>
    <w:p w14:paraId="2C3C639D" w14:textId="77777777" w:rsidR="00EF542D" w:rsidRDefault="00500090" w:rsidP="00F71269">
      <w:pPr>
        <w:pStyle w:val="NormalWeb"/>
        <w:spacing w:line="300" w:lineRule="atLeast"/>
        <w:rPr>
          <w:rFonts w:asciiTheme="minorHAnsi" w:hAnsiTheme="minorHAnsi" w:cstheme="minorHAnsi"/>
        </w:rPr>
      </w:pPr>
      <w:r w:rsidRPr="00F4541E">
        <w:rPr>
          <w:rFonts w:asciiTheme="minorHAnsi" w:hAnsiTheme="minorHAnsi" w:cstheme="minorHAnsi"/>
        </w:rPr>
        <w:t>In December</w:t>
      </w:r>
      <w:r w:rsidR="00F71269" w:rsidRPr="00F4541E">
        <w:rPr>
          <w:rFonts w:asciiTheme="minorHAnsi" w:hAnsiTheme="minorHAnsi" w:cstheme="minorHAnsi"/>
        </w:rPr>
        <w:t xml:space="preserve"> 2015, the PBAC recommended a Post-market Review</w:t>
      </w:r>
      <w:r w:rsidR="006416B3">
        <w:rPr>
          <w:rFonts w:asciiTheme="minorHAnsi" w:hAnsiTheme="minorHAnsi" w:cstheme="minorHAnsi"/>
        </w:rPr>
        <w:t xml:space="preserve"> (PMR)</w:t>
      </w:r>
      <w:r w:rsidR="00F71269" w:rsidRPr="00F4541E">
        <w:rPr>
          <w:rFonts w:asciiTheme="minorHAnsi" w:hAnsiTheme="minorHAnsi" w:cstheme="minorHAnsi"/>
        </w:rPr>
        <w:t xml:space="preserve"> of </w:t>
      </w:r>
      <w:r w:rsidRPr="00F4541E">
        <w:rPr>
          <w:rFonts w:asciiTheme="minorHAnsi" w:hAnsiTheme="minorHAnsi" w:cstheme="minorHAnsi"/>
        </w:rPr>
        <w:t xml:space="preserve">the use of biologics </w:t>
      </w:r>
      <w:r w:rsidR="004E3D86">
        <w:rPr>
          <w:rFonts w:asciiTheme="minorHAnsi" w:hAnsiTheme="minorHAnsi" w:cstheme="minorHAnsi"/>
        </w:rPr>
        <w:t xml:space="preserve">for </w:t>
      </w:r>
      <w:r w:rsidRPr="00F4541E">
        <w:rPr>
          <w:rFonts w:asciiTheme="minorHAnsi" w:hAnsiTheme="minorHAnsi" w:cstheme="minorHAnsi"/>
        </w:rPr>
        <w:t xml:space="preserve">the treatment of severe chronic plaque psoriasis </w:t>
      </w:r>
      <w:r w:rsidR="00F71269" w:rsidRPr="00F4541E">
        <w:rPr>
          <w:rFonts w:asciiTheme="minorHAnsi" w:hAnsiTheme="minorHAnsi" w:cstheme="minorHAnsi"/>
        </w:rPr>
        <w:t>(the Review)</w:t>
      </w:r>
      <w:r w:rsidR="004E3D86">
        <w:rPr>
          <w:rFonts w:asciiTheme="minorHAnsi" w:hAnsiTheme="minorHAnsi" w:cstheme="minorHAnsi"/>
        </w:rPr>
        <w:t xml:space="preserve">. </w:t>
      </w:r>
      <w:r w:rsidR="00EF542D" w:rsidRPr="00F4541E">
        <w:rPr>
          <w:rFonts w:asciiTheme="minorHAnsi" w:hAnsiTheme="minorHAnsi" w:cstheme="minorHAnsi"/>
        </w:rPr>
        <w:t xml:space="preserve">The Minister for Health </w:t>
      </w:r>
      <w:r w:rsidR="00EF542D">
        <w:rPr>
          <w:rFonts w:asciiTheme="minorHAnsi" w:hAnsiTheme="minorHAnsi" w:cstheme="minorHAnsi"/>
        </w:rPr>
        <w:t xml:space="preserve">approved the Review’s commencement </w:t>
      </w:r>
      <w:r w:rsidR="00EF542D" w:rsidRPr="00F4541E">
        <w:rPr>
          <w:rFonts w:asciiTheme="minorHAnsi" w:hAnsiTheme="minorHAnsi" w:cstheme="minorHAnsi"/>
        </w:rPr>
        <w:t>on 7 April 2016</w:t>
      </w:r>
      <w:r w:rsidR="00EF542D">
        <w:rPr>
          <w:rFonts w:asciiTheme="minorHAnsi" w:hAnsiTheme="minorHAnsi" w:cstheme="minorHAnsi"/>
        </w:rPr>
        <w:t xml:space="preserve">. </w:t>
      </w:r>
    </w:p>
    <w:p w14:paraId="7DD070BF" w14:textId="7EE697D6" w:rsidR="00F71269" w:rsidRPr="00F4541E" w:rsidRDefault="004E3D86" w:rsidP="00F71269">
      <w:pPr>
        <w:pStyle w:val="NormalWeb"/>
        <w:spacing w:line="300" w:lineRule="atLeast"/>
        <w:rPr>
          <w:rFonts w:asciiTheme="minorHAnsi" w:hAnsiTheme="minorHAnsi" w:cstheme="minorHAnsi"/>
        </w:rPr>
      </w:pPr>
      <w:r>
        <w:rPr>
          <w:rFonts w:asciiTheme="minorHAnsi" w:hAnsiTheme="minorHAnsi" w:cstheme="minorHAnsi"/>
        </w:rPr>
        <w:t xml:space="preserve">The Review’s purpose was to evaluate </w:t>
      </w:r>
      <w:r w:rsidR="00F71269" w:rsidRPr="00F4541E">
        <w:rPr>
          <w:rFonts w:asciiTheme="minorHAnsi" w:hAnsiTheme="minorHAnsi" w:cstheme="minorHAnsi"/>
        </w:rPr>
        <w:t>the use, safety, efficacy and cost-effectiveness</w:t>
      </w:r>
      <w:r w:rsidR="00DA10F8">
        <w:rPr>
          <w:rFonts w:asciiTheme="minorHAnsi" w:hAnsiTheme="minorHAnsi" w:cstheme="minorHAnsi"/>
        </w:rPr>
        <w:t xml:space="preserve"> (</w:t>
      </w:r>
      <w:r w:rsidR="006E7A21">
        <w:rPr>
          <w:rFonts w:asciiTheme="minorHAnsi" w:hAnsiTheme="minorHAnsi" w:cstheme="minorHAnsi"/>
        </w:rPr>
        <w:t>‘</w:t>
      </w:r>
      <w:r w:rsidR="00DA10F8">
        <w:rPr>
          <w:rFonts w:asciiTheme="minorHAnsi" w:hAnsiTheme="minorHAnsi" w:cstheme="minorHAnsi"/>
        </w:rPr>
        <w:t>value for money</w:t>
      </w:r>
      <w:r w:rsidR="006E7A21">
        <w:rPr>
          <w:rFonts w:asciiTheme="minorHAnsi" w:hAnsiTheme="minorHAnsi" w:cstheme="minorHAnsi"/>
        </w:rPr>
        <w:t>’</w:t>
      </w:r>
      <w:r w:rsidR="00DA10F8">
        <w:rPr>
          <w:rFonts w:asciiTheme="minorHAnsi" w:hAnsiTheme="minorHAnsi" w:cstheme="minorHAnsi"/>
        </w:rPr>
        <w:t>)</w:t>
      </w:r>
      <w:r w:rsidR="00F71269" w:rsidRPr="00F4541E">
        <w:rPr>
          <w:rFonts w:asciiTheme="minorHAnsi" w:hAnsiTheme="minorHAnsi" w:cstheme="minorHAnsi"/>
        </w:rPr>
        <w:t xml:space="preserve"> of </w:t>
      </w:r>
      <w:r w:rsidR="00AB06E5">
        <w:rPr>
          <w:rFonts w:asciiTheme="minorHAnsi" w:hAnsiTheme="minorHAnsi" w:cstheme="minorHAnsi"/>
        </w:rPr>
        <w:t>Pharmaceutical Benefits Scheme (</w:t>
      </w:r>
      <w:r w:rsidR="00F71269" w:rsidRPr="00F4541E">
        <w:rPr>
          <w:rFonts w:asciiTheme="minorHAnsi" w:hAnsiTheme="minorHAnsi" w:cstheme="minorHAnsi"/>
        </w:rPr>
        <w:t>PBS</w:t>
      </w:r>
      <w:r w:rsidR="00AB06E5">
        <w:rPr>
          <w:rFonts w:asciiTheme="minorHAnsi" w:hAnsiTheme="minorHAnsi" w:cstheme="minorHAnsi"/>
        </w:rPr>
        <w:t xml:space="preserve">) </w:t>
      </w:r>
      <w:r w:rsidR="00500090" w:rsidRPr="00F4541E">
        <w:rPr>
          <w:rFonts w:asciiTheme="minorHAnsi" w:hAnsiTheme="minorHAnsi" w:cstheme="minorHAnsi"/>
        </w:rPr>
        <w:t xml:space="preserve">listed biologics for </w:t>
      </w:r>
      <w:r>
        <w:rPr>
          <w:rFonts w:asciiTheme="minorHAnsi" w:hAnsiTheme="minorHAnsi" w:cstheme="minorHAnsi"/>
        </w:rPr>
        <w:t xml:space="preserve">the </w:t>
      </w:r>
      <w:r w:rsidR="002650F6">
        <w:rPr>
          <w:rFonts w:asciiTheme="minorHAnsi" w:hAnsiTheme="minorHAnsi" w:cstheme="minorHAnsi"/>
        </w:rPr>
        <w:t xml:space="preserve">treatment of </w:t>
      </w:r>
      <w:r w:rsidR="00500090" w:rsidRPr="00F4541E">
        <w:rPr>
          <w:rFonts w:asciiTheme="minorHAnsi" w:hAnsiTheme="minorHAnsi" w:cstheme="minorHAnsi"/>
        </w:rPr>
        <w:t xml:space="preserve">severe chronic plaque psoriasis (CPP). </w:t>
      </w:r>
      <w:r w:rsidR="00F71269" w:rsidRPr="00F4541E">
        <w:rPr>
          <w:rFonts w:asciiTheme="minorHAnsi" w:hAnsiTheme="minorHAnsi" w:cstheme="minorHAnsi"/>
        </w:rPr>
        <w:t xml:space="preserve">In line with </w:t>
      </w:r>
      <w:r w:rsidR="006416B3">
        <w:rPr>
          <w:rFonts w:asciiTheme="minorHAnsi" w:hAnsiTheme="minorHAnsi" w:cstheme="minorHAnsi"/>
        </w:rPr>
        <w:t xml:space="preserve">the published </w:t>
      </w:r>
      <w:hyperlink r:id="rId7" w:history="1">
        <w:r w:rsidR="006416B3" w:rsidRPr="000D2C57">
          <w:rPr>
            <w:rStyle w:val="Hyperlink"/>
            <w:rFonts w:asciiTheme="minorHAnsi" w:hAnsiTheme="minorHAnsi" w:cstheme="minorHAnsi"/>
            <w:color w:val="auto"/>
            <w:u w:val="none"/>
          </w:rPr>
          <w:t>PMR</w:t>
        </w:r>
        <w:r w:rsidR="00F71269" w:rsidRPr="000D2C57">
          <w:rPr>
            <w:rStyle w:val="Hyperlink"/>
            <w:rFonts w:asciiTheme="minorHAnsi" w:hAnsiTheme="minorHAnsi" w:cstheme="minorHAnsi"/>
            <w:color w:val="auto"/>
            <w:u w:val="none"/>
          </w:rPr>
          <w:t xml:space="preserve"> Framework</w:t>
        </w:r>
      </w:hyperlink>
      <w:r w:rsidR="00F71269" w:rsidRPr="00C93376">
        <w:rPr>
          <w:rFonts w:asciiTheme="minorHAnsi" w:hAnsiTheme="minorHAnsi" w:cstheme="minorHAnsi"/>
        </w:rPr>
        <w:t>,</w:t>
      </w:r>
      <w:r w:rsidR="00F71269" w:rsidRPr="00F4541E">
        <w:rPr>
          <w:rFonts w:asciiTheme="minorHAnsi" w:hAnsiTheme="minorHAnsi" w:cstheme="minorHAnsi"/>
        </w:rPr>
        <w:t xml:space="preserve"> </w:t>
      </w:r>
      <w:r w:rsidR="00EF542D">
        <w:rPr>
          <w:rFonts w:asciiTheme="minorHAnsi" w:hAnsiTheme="minorHAnsi" w:cstheme="minorHAnsi"/>
        </w:rPr>
        <w:t xml:space="preserve">a </w:t>
      </w:r>
      <w:r w:rsidR="00EF542D" w:rsidRPr="00F4541E">
        <w:rPr>
          <w:rFonts w:asciiTheme="minorHAnsi" w:hAnsiTheme="minorHAnsi" w:cstheme="minorHAnsi"/>
        </w:rPr>
        <w:t xml:space="preserve">Reference Group </w:t>
      </w:r>
      <w:proofErr w:type="gramStart"/>
      <w:r w:rsidR="00EF542D" w:rsidRPr="00F4541E">
        <w:rPr>
          <w:rFonts w:asciiTheme="minorHAnsi" w:hAnsiTheme="minorHAnsi" w:cstheme="minorHAnsi"/>
        </w:rPr>
        <w:t>was established</w:t>
      </w:r>
      <w:proofErr w:type="gramEnd"/>
      <w:r w:rsidR="00EF542D" w:rsidRPr="00F4541E">
        <w:rPr>
          <w:rFonts w:asciiTheme="minorHAnsi" w:hAnsiTheme="minorHAnsi" w:cstheme="minorHAnsi"/>
        </w:rPr>
        <w:t xml:space="preserve"> to provide independent expert clinical advice and </w:t>
      </w:r>
      <w:r w:rsidR="00F71269" w:rsidRPr="00F4541E">
        <w:rPr>
          <w:rFonts w:asciiTheme="minorHAnsi" w:hAnsiTheme="minorHAnsi" w:cstheme="minorHAnsi"/>
        </w:rPr>
        <w:t>there were a number of opportunities for stakeholder consultation and contribution to the Review.</w:t>
      </w:r>
    </w:p>
    <w:p w14:paraId="0B75D169" w14:textId="488DE9C3" w:rsidR="00D1235F" w:rsidRDefault="004E3D86" w:rsidP="00F71269">
      <w:pPr>
        <w:pStyle w:val="NormalWeb"/>
        <w:spacing w:after="0"/>
        <w:rPr>
          <w:rFonts w:asciiTheme="minorHAnsi" w:hAnsiTheme="minorHAnsi" w:cstheme="minorHAnsi"/>
        </w:rPr>
      </w:pPr>
      <w:r>
        <w:rPr>
          <w:rFonts w:asciiTheme="minorHAnsi" w:hAnsiTheme="minorHAnsi" w:cstheme="minorHAnsi"/>
        </w:rPr>
        <w:t>The PBS listed medicines for the treatment of CPP included in the Review were:</w:t>
      </w:r>
    </w:p>
    <w:p w14:paraId="074DC3D2" w14:textId="77777777" w:rsidR="00D1235F" w:rsidRDefault="00D1235F" w:rsidP="00F71269">
      <w:pPr>
        <w:pStyle w:val="NormalWeb"/>
        <w:spacing w:after="0"/>
        <w:rPr>
          <w:rFonts w:asciiTheme="minorHAnsi" w:hAnsiTheme="minorHAnsi" w:cstheme="minorHAnsi"/>
        </w:rPr>
      </w:pPr>
    </w:p>
    <w:p w14:paraId="200B57B5" w14:textId="77777777" w:rsidR="00D1235F" w:rsidRPr="005B35B4" w:rsidRDefault="00D1235F" w:rsidP="00D1235F">
      <w:pPr>
        <w:numPr>
          <w:ilvl w:val="0"/>
          <w:numId w:val="8"/>
        </w:numPr>
        <w:shd w:val="clear" w:color="auto" w:fill="FFFFFF"/>
        <w:spacing w:after="90" w:line="300" w:lineRule="atLeast"/>
        <w:ind w:left="600" w:right="150"/>
        <w:rPr>
          <w:rFonts w:asciiTheme="minorHAnsi" w:hAnsiTheme="minorHAnsi" w:cstheme="minorHAnsi"/>
          <w:color w:val="222222"/>
          <w:sz w:val="24"/>
          <w:szCs w:val="24"/>
        </w:rPr>
      </w:pPr>
      <w:r w:rsidRPr="005B35B4">
        <w:rPr>
          <w:rFonts w:asciiTheme="minorHAnsi" w:hAnsiTheme="minorHAnsi" w:cstheme="minorHAnsi"/>
          <w:color w:val="222222"/>
          <w:sz w:val="24"/>
          <w:szCs w:val="24"/>
        </w:rPr>
        <w:t>adalimumab</w:t>
      </w:r>
    </w:p>
    <w:p w14:paraId="6E308C6C" w14:textId="77777777" w:rsidR="00D1235F" w:rsidRPr="005B35B4" w:rsidRDefault="00D1235F" w:rsidP="00D1235F">
      <w:pPr>
        <w:numPr>
          <w:ilvl w:val="0"/>
          <w:numId w:val="8"/>
        </w:numPr>
        <w:shd w:val="clear" w:color="auto" w:fill="FFFFFF"/>
        <w:spacing w:after="90" w:line="300" w:lineRule="atLeast"/>
        <w:ind w:left="600" w:right="150"/>
        <w:rPr>
          <w:rFonts w:asciiTheme="minorHAnsi" w:hAnsiTheme="minorHAnsi" w:cstheme="minorHAnsi"/>
          <w:color w:val="222222"/>
          <w:sz w:val="24"/>
          <w:szCs w:val="24"/>
        </w:rPr>
      </w:pPr>
      <w:r w:rsidRPr="005B35B4">
        <w:rPr>
          <w:rFonts w:asciiTheme="minorHAnsi" w:hAnsiTheme="minorHAnsi" w:cstheme="minorHAnsi"/>
          <w:color w:val="222222"/>
          <w:sz w:val="24"/>
          <w:szCs w:val="24"/>
        </w:rPr>
        <w:t>etanercept</w:t>
      </w:r>
    </w:p>
    <w:p w14:paraId="57880AFC" w14:textId="77777777" w:rsidR="00D1235F" w:rsidRPr="005B35B4" w:rsidRDefault="00D1235F" w:rsidP="00D1235F">
      <w:pPr>
        <w:numPr>
          <w:ilvl w:val="0"/>
          <w:numId w:val="8"/>
        </w:numPr>
        <w:shd w:val="clear" w:color="auto" w:fill="FFFFFF"/>
        <w:spacing w:after="90" w:line="300" w:lineRule="atLeast"/>
        <w:ind w:left="600" w:right="150"/>
        <w:rPr>
          <w:rFonts w:asciiTheme="minorHAnsi" w:hAnsiTheme="minorHAnsi" w:cstheme="minorHAnsi"/>
          <w:color w:val="222222"/>
          <w:sz w:val="24"/>
          <w:szCs w:val="24"/>
        </w:rPr>
      </w:pPr>
      <w:r w:rsidRPr="005B35B4">
        <w:rPr>
          <w:rFonts w:asciiTheme="minorHAnsi" w:hAnsiTheme="minorHAnsi" w:cstheme="minorHAnsi"/>
          <w:color w:val="222222"/>
          <w:sz w:val="24"/>
          <w:szCs w:val="24"/>
        </w:rPr>
        <w:t>infliximab</w:t>
      </w:r>
    </w:p>
    <w:p w14:paraId="191A5A37" w14:textId="77777777" w:rsidR="00D1235F" w:rsidRPr="005B35B4" w:rsidRDefault="00D1235F" w:rsidP="00D1235F">
      <w:pPr>
        <w:numPr>
          <w:ilvl w:val="0"/>
          <w:numId w:val="8"/>
        </w:numPr>
        <w:shd w:val="clear" w:color="auto" w:fill="FFFFFF"/>
        <w:spacing w:after="90" w:line="300" w:lineRule="atLeast"/>
        <w:ind w:left="600" w:right="150"/>
        <w:rPr>
          <w:rFonts w:asciiTheme="minorHAnsi" w:hAnsiTheme="minorHAnsi" w:cstheme="minorHAnsi"/>
          <w:color w:val="222222"/>
          <w:sz w:val="24"/>
          <w:szCs w:val="24"/>
        </w:rPr>
      </w:pPr>
      <w:r w:rsidRPr="005B35B4">
        <w:rPr>
          <w:rFonts w:asciiTheme="minorHAnsi" w:hAnsiTheme="minorHAnsi" w:cstheme="minorHAnsi"/>
          <w:color w:val="222222"/>
          <w:sz w:val="24"/>
          <w:szCs w:val="24"/>
        </w:rPr>
        <w:t>ustekinumab</w:t>
      </w:r>
    </w:p>
    <w:p w14:paraId="23039C57" w14:textId="77777777" w:rsidR="00D1235F" w:rsidRPr="005B35B4" w:rsidRDefault="00D1235F" w:rsidP="00D1235F">
      <w:pPr>
        <w:numPr>
          <w:ilvl w:val="0"/>
          <w:numId w:val="8"/>
        </w:numPr>
        <w:shd w:val="clear" w:color="auto" w:fill="FFFFFF"/>
        <w:spacing w:after="90" w:line="300" w:lineRule="atLeast"/>
        <w:ind w:left="600" w:right="150"/>
        <w:rPr>
          <w:rFonts w:asciiTheme="minorHAnsi" w:hAnsiTheme="minorHAnsi" w:cstheme="minorHAnsi"/>
          <w:color w:val="222222"/>
          <w:sz w:val="24"/>
          <w:szCs w:val="24"/>
        </w:rPr>
      </w:pPr>
      <w:r w:rsidRPr="005B35B4">
        <w:rPr>
          <w:rFonts w:asciiTheme="minorHAnsi" w:hAnsiTheme="minorHAnsi" w:cstheme="minorHAnsi"/>
          <w:color w:val="222222"/>
          <w:sz w:val="24"/>
          <w:szCs w:val="24"/>
        </w:rPr>
        <w:t>secukinumab</w:t>
      </w:r>
    </w:p>
    <w:p w14:paraId="5C917D76" w14:textId="77777777" w:rsidR="00D1235F" w:rsidRPr="005B35B4" w:rsidRDefault="00D1235F" w:rsidP="00D1235F">
      <w:pPr>
        <w:numPr>
          <w:ilvl w:val="0"/>
          <w:numId w:val="8"/>
        </w:numPr>
        <w:shd w:val="clear" w:color="auto" w:fill="FFFFFF"/>
        <w:spacing w:after="90" w:line="300" w:lineRule="atLeast"/>
        <w:ind w:left="600" w:right="150"/>
        <w:rPr>
          <w:rFonts w:asciiTheme="minorHAnsi" w:hAnsiTheme="minorHAnsi" w:cstheme="minorHAnsi"/>
          <w:color w:val="222222"/>
          <w:sz w:val="24"/>
          <w:szCs w:val="24"/>
        </w:rPr>
      </w:pPr>
      <w:r w:rsidRPr="005B35B4">
        <w:rPr>
          <w:rFonts w:asciiTheme="minorHAnsi" w:hAnsiTheme="minorHAnsi" w:cstheme="minorHAnsi"/>
          <w:color w:val="222222"/>
          <w:sz w:val="24"/>
          <w:szCs w:val="24"/>
        </w:rPr>
        <w:t>ixekizumab</w:t>
      </w:r>
    </w:p>
    <w:p w14:paraId="0EC46697" w14:textId="4B9FE746" w:rsidR="005B35B4" w:rsidRDefault="005B35B4" w:rsidP="00F71269">
      <w:pPr>
        <w:pStyle w:val="NormalWeb"/>
        <w:spacing w:after="0"/>
        <w:rPr>
          <w:rFonts w:asciiTheme="minorHAnsi" w:hAnsiTheme="minorHAnsi" w:cstheme="minorHAnsi"/>
        </w:rPr>
      </w:pPr>
    </w:p>
    <w:p w14:paraId="507840FF" w14:textId="77777777" w:rsidR="005B35B4" w:rsidRPr="00F4541E" w:rsidRDefault="005B35B4" w:rsidP="00F71269">
      <w:pPr>
        <w:pStyle w:val="NormalWeb"/>
        <w:spacing w:after="0"/>
        <w:rPr>
          <w:rFonts w:asciiTheme="minorHAnsi" w:hAnsiTheme="minorHAnsi" w:cstheme="minorHAnsi"/>
        </w:rPr>
      </w:pPr>
    </w:p>
    <w:p w14:paraId="5FD5A0D0" w14:textId="3B0643A5" w:rsidR="00F71269" w:rsidRDefault="00F71269" w:rsidP="00521601">
      <w:pPr>
        <w:pStyle w:val="Heading2"/>
        <w:rPr>
          <w:rFonts w:asciiTheme="minorHAnsi" w:hAnsiTheme="minorHAnsi" w:cstheme="minorHAnsi"/>
          <w:sz w:val="24"/>
          <w:szCs w:val="24"/>
        </w:rPr>
      </w:pPr>
      <w:r w:rsidRPr="00F4541E">
        <w:rPr>
          <w:rFonts w:asciiTheme="minorHAnsi" w:hAnsiTheme="minorHAnsi" w:cstheme="minorHAnsi"/>
          <w:sz w:val="24"/>
          <w:szCs w:val="24"/>
        </w:rPr>
        <w:t>Key Findings for each Term of Reference</w:t>
      </w:r>
      <w:r w:rsidR="000A3EFE">
        <w:rPr>
          <w:rFonts w:asciiTheme="minorHAnsi" w:hAnsiTheme="minorHAnsi" w:cstheme="minorHAnsi"/>
          <w:sz w:val="24"/>
          <w:szCs w:val="24"/>
        </w:rPr>
        <w:t xml:space="preserve"> (</w:t>
      </w:r>
      <w:proofErr w:type="spellStart"/>
      <w:r w:rsidR="000A3EFE">
        <w:rPr>
          <w:rFonts w:asciiTheme="minorHAnsi" w:hAnsiTheme="minorHAnsi" w:cstheme="minorHAnsi"/>
          <w:sz w:val="24"/>
          <w:szCs w:val="24"/>
        </w:rPr>
        <w:t>ToR</w:t>
      </w:r>
      <w:proofErr w:type="spellEnd"/>
      <w:r w:rsidR="000A3EFE">
        <w:rPr>
          <w:rFonts w:asciiTheme="minorHAnsi" w:hAnsiTheme="minorHAnsi" w:cstheme="minorHAnsi"/>
          <w:sz w:val="24"/>
          <w:szCs w:val="24"/>
        </w:rPr>
        <w:t>)</w:t>
      </w:r>
    </w:p>
    <w:p w14:paraId="7A5DE17C" w14:textId="17FFE478" w:rsidR="00EF542D" w:rsidRPr="00EF542D" w:rsidRDefault="00EF542D" w:rsidP="00EF542D">
      <w:pPr>
        <w:rPr>
          <w:rFonts w:asciiTheme="minorHAnsi" w:hAnsiTheme="minorHAnsi" w:cstheme="minorHAnsi"/>
          <w:color w:val="222222"/>
          <w:sz w:val="24"/>
          <w:szCs w:val="24"/>
        </w:rPr>
      </w:pPr>
      <w:r w:rsidRPr="00EF542D">
        <w:rPr>
          <w:rFonts w:asciiTheme="minorHAnsi" w:hAnsiTheme="minorHAnsi" w:cstheme="minorHAnsi"/>
          <w:color w:val="222222"/>
          <w:sz w:val="24"/>
          <w:szCs w:val="24"/>
        </w:rPr>
        <w:t xml:space="preserve">There were four </w:t>
      </w:r>
      <w:proofErr w:type="spellStart"/>
      <w:r w:rsidRPr="00EF542D">
        <w:rPr>
          <w:rFonts w:asciiTheme="minorHAnsi" w:hAnsiTheme="minorHAnsi" w:cstheme="minorHAnsi"/>
          <w:color w:val="222222"/>
          <w:sz w:val="24"/>
          <w:szCs w:val="24"/>
        </w:rPr>
        <w:t>ToRs</w:t>
      </w:r>
      <w:proofErr w:type="spellEnd"/>
      <w:r w:rsidRPr="00EF542D">
        <w:rPr>
          <w:rFonts w:asciiTheme="minorHAnsi" w:hAnsiTheme="minorHAnsi" w:cstheme="minorHAnsi"/>
          <w:color w:val="222222"/>
          <w:sz w:val="24"/>
          <w:szCs w:val="24"/>
        </w:rPr>
        <w:t xml:space="preserve"> </w:t>
      </w:r>
      <w:r>
        <w:rPr>
          <w:rFonts w:asciiTheme="minorHAnsi" w:hAnsiTheme="minorHAnsi" w:cstheme="minorHAnsi"/>
          <w:color w:val="222222"/>
          <w:sz w:val="24"/>
          <w:szCs w:val="24"/>
        </w:rPr>
        <w:t xml:space="preserve">to guide </w:t>
      </w:r>
      <w:r w:rsidRPr="00EF542D">
        <w:rPr>
          <w:rFonts w:asciiTheme="minorHAnsi" w:hAnsiTheme="minorHAnsi" w:cstheme="minorHAnsi"/>
          <w:color w:val="222222"/>
          <w:sz w:val="24"/>
          <w:szCs w:val="24"/>
        </w:rPr>
        <w:t xml:space="preserve">the Review. The key findings for each </w:t>
      </w:r>
      <w:proofErr w:type="spellStart"/>
      <w:r w:rsidRPr="00EF542D">
        <w:rPr>
          <w:rFonts w:asciiTheme="minorHAnsi" w:hAnsiTheme="minorHAnsi" w:cstheme="minorHAnsi"/>
          <w:color w:val="222222"/>
          <w:sz w:val="24"/>
          <w:szCs w:val="24"/>
        </w:rPr>
        <w:t>ToR</w:t>
      </w:r>
      <w:proofErr w:type="spellEnd"/>
      <w:r w:rsidRPr="00EF542D">
        <w:rPr>
          <w:rFonts w:asciiTheme="minorHAnsi" w:hAnsiTheme="minorHAnsi" w:cstheme="minorHAnsi"/>
          <w:color w:val="222222"/>
          <w:sz w:val="24"/>
          <w:szCs w:val="24"/>
        </w:rPr>
        <w:t xml:space="preserve"> </w:t>
      </w:r>
      <w:r>
        <w:rPr>
          <w:rFonts w:asciiTheme="minorHAnsi" w:hAnsiTheme="minorHAnsi" w:cstheme="minorHAnsi"/>
          <w:color w:val="222222"/>
          <w:sz w:val="24"/>
          <w:szCs w:val="24"/>
        </w:rPr>
        <w:t>follow:</w:t>
      </w:r>
      <w:r w:rsidRPr="00EF542D">
        <w:rPr>
          <w:rFonts w:asciiTheme="minorHAnsi" w:hAnsiTheme="minorHAnsi" w:cstheme="minorHAnsi"/>
          <w:color w:val="222222"/>
          <w:sz w:val="24"/>
          <w:szCs w:val="24"/>
        </w:rPr>
        <w:t xml:space="preserve"> </w:t>
      </w:r>
    </w:p>
    <w:p w14:paraId="21873E81" w14:textId="22958DB0" w:rsidR="00500090" w:rsidRDefault="000A3EFE" w:rsidP="005B35B4">
      <w:pPr>
        <w:spacing w:before="100" w:beforeAutospacing="1" w:line="300" w:lineRule="atLeast"/>
        <w:rPr>
          <w:rFonts w:asciiTheme="minorHAnsi" w:hAnsiTheme="minorHAnsi" w:cstheme="minorHAnsi"/>
          <w:i/>
          <w:color w:val="333333"/>
          <w:sz w:val="24"/>
          <w:szCs w:val="24"/>
        </w:rPr>
      </w:pPr>
      <w:proofErr w:type="spellStart"/>
      <w:r>
        <w:rPr>
          <w:rFonts w:asciiTheme="minorHAnsi" w:hAnsiTheme="minorHAnsi" w:cstheme="minorHAnsi"/>
          <w:i/>
          <w:color w:val="333333"/>
          <w:sz w:val="24"/>
          <w:szCs w:val="24"/>
        </w:rPr>
        <w:t>ToR</w:t>
      </w:r>
      <w:proofErr w:type="spellEnd"/>
      <w:r>
        <w:rPr>
          <w:rFonts w:asciiTheme="minorHAnsi" w:hAnsiTheme="minorHAnsi" w:cstheme="minorHAnsi"/>
          <w:i/>
          <w:color w:val="333333"/>
          <w:sz w:val="24"/>
          <w:szCs w:val="24"/>
        </w:rPr>
        <w:t xml:space="preserve"> 1: </w:t>
      </w:r>
      <w:r w:rsidR="00500090" w:rsidRPr="00F4541E">
        <w:rPr>
          <w:rFonts w:asciiTheme="minorHAnsi" w:hAnsiTheme="minorHAnsi" w:cstheme="minorHAnsi"/>
          <w:i/>
          <w:color w:val="333333"/>
          <w:sz w:val="24"/>
          <w:szCs w:val="24"/>
        </w:rPr>
        <w:t>Review current clinical guidelines for the treatment of severe chronic plaque psoriasis and compare to the Pharmaceutical Benefits Scheme (PBS) restrictions for use of biologics in this indication.</w:t>
      </w:r>
      <w:r w:rsidR="00F71269" w:rsidRPr="00F4541E">
        <w:rPr>
          <w:rFonts w:asciiTheme="minorHAnsi" w:hAnsiTheme="minorHAnsi" w:cstheme="minorHAnsi"/>
          <w:i/>
          <w:color w:val="333333"/>
          <w:sz w:val="24"/>
          <w:szCs w:val="24"/>
        </w:rPr>
        <w:t xml:space="preserve"> </w:t>
      </w:r>
    </w:p>
    <w:p w14:paraId="770BAB8B" w14:textId="2A7174B3" w:rsidR="00761C2A" w:rsidRDefault="005755CD" w:rsidP="005B35B4">
      <w:pPr>
        <w:numPr>
          <w:ilvl w:val="0"/>
          <w:numId w:val="2"/>
        </w:numPr>
        <w:spacing w:before="240" w:line="300" w:lineRule="atLeast"/>
        <w:rPr>
          <w:rFonts w:asciiTheme="minorHAnsi" w:hAnsiTheme="minorHAnsi" w:cstheme="minorHAnsi"/>
          <w:sz w:val="24"/>
          <w:szCs w:val="24"/>
        </w:rPr>
      </w:pPr>
      <w:r w:rsidRPr="00F4541E">
        <w:rPr>
          <w:rFonts w:asciiTheme="minorHAnsi" w:hAnsiTheme="minorHAnsi" w:cstheme="minorHAnsi"/>
          <w:sz w:val="24"/>
          <w:szCs w:val="24"/>
        </w:rPr>
        <w:t>The key</w:t>
      </w:r>
      <w:r w:rsidR="00F4541E" w:rsidRPr="00F4541E">
        <w:rPr>
          <w:rFonts w:asciiTheme="minorHAnsi" w:hAnsiTheme="minorHAnsi" w:cstheme="minorHAnsi"/>
          <w:sz w:val="24"/>
          <w:szCs w:val="24"/>
        </w:rPr>
        <w:t xml:space="preserve"> clinical guidance </w:t>
      </w:r>
      <w:r w:rsidR="006416B3">
        <w:rPr>
          <w:rFonts w:asciiTheme="minorHAnsi" w:hAnsiTheme="minorHAnsi" w:cstheme="minorHAnsi"/>
          <w:sz w:val="24"/>
          <w:szCs w:val="24"/>
        </w:rPr>
        <w:t xml:space="preserve">documents </w:t>
      </w:r>
      <w:r w:rsidR="005105E0">
        <w:rPr>
          <w:rFonts w:asciiTheme="minorHAnsi" w:hAnsiTheme="minorHAnsi" w:cstheme="minorHAnsi"/>
          <w:sz w:val="24"/>
          <w:szCs w:val="24"/>
        </w:rPr>
        <w:t xml:space="preserve">of </w:t>
      </w:r>
      <w:r w:rsidR="00F4541E" w:rsidRPr="00F4541E">
        <w:rPr>
          <w:rFonts w:asciiTheme="minorHAnsi" w:hAnsiTheme="minorHAnsi" w:cstheme="minorHAnsi"/>
          <w:sz w:val="24"/>
          <w:szCs w:val="24"/>
        </w:rPr>
        <w:t>rel</w:t>
      </w:r>
      <w:r w:rsidR="00B85F79">
        <w:rPr>
          <w:rFonts w:asciiTheme="minorHAnsi" w:hAnsiTheme="minorHAnsi" w:cstheme="minorHAnsi"/>
          <w:sz w:val="24"/>
          <w:szCs w:val="24"/>
        </w:rPr>
        <w:t>evan</w:t>
      </w:r>
      <w:r w:rsidR="005105E0">
        <w:rPr>
          <w:rFonts w:asciiTheme="minorHAnsi" w:hAnsiTheme="minorHAnsi" w:cstheme="minorHAnsi"/>
          <w:sz w:val="24"/>
          <w:szCs w:val="24"/>
        </w:rPr>
        <w:t>ce</w:t>
      </w:r>
      <w:r w:rsidR="00B85F79">
        <w:rPr>
          <w:rFonts w:asciiTheme="minorHAnsi" w:hAnsiTheme="minorHAnsi" w:cstheme="minorHAnsi"/>
          <w:sz w:val="24"/>
          <w:szCs w:val="24"/>
        </w:rPr>
        <w:t xml:space="preserve"> to Australian practice were</w:t>
      </w:r>
      <w:r w:rsidR="00F4541E" w:rsidRPr="00F4541E">
        <w:rPr>
          <w:rFonts w:asciiTheme="minorHAnsi" w:hAnsiTheme="minorHAnsi" w:cstheme="minorHAnsi"/>
          <w:sz w:val="24"/>
          <w:szCs w:val="24"/>
        </w:rPr>
        <w:t xml:space="preserve"> Baker 2013</w:t>
      </w:r>
      <w:r w:rsidR="006E7A21">
        <w:rPr>
          <w:rStyle w:val="FootnoteReference"/>
          <w:rFonts w:asciiTheme="minorHAnsi" w:hAnsiTheme="minorHAnsi" w:cstheme="minorHAnsi"/>
          <w:sz w:val="24"/>
          <w:szCs w:val="24"/>
        </w:rPr>
        <w:footnoteReference w:id="1"/>
      </w:r>
      <w:r w:rsidR="00F4541E" w:rsidRPr="00F4541E">
        <w:rPr>
          <w:rFonts w:asciiTheme="minorHAnsi" w:hAnsiTheme="minorHAnsi" w:cstheme="minorHAnsi"/>
          <w:sz w:val="24"/>
          <w:szCs w:val="24"/>
        </w:rPr>
        <w:t xml:space="preserve"> and the Australasian College of Dermatologists (ACD) 2017</w:t>
      </w:r>
      <w:r w:rsidR="006E7A21">
        <w:rPr>
          <w:rStyle w:val="FootnoteReference"/>
          <w:rFonts w:asciiTheme="minorHAnsi" w:hAnsiTheme="minorHAnsi" w:cstheme="minorHAnsi"/>
          <w:sz w:val="24"/>
          <w:szCs w:val="24"/>
        </w:rPr>
        <w:footnoteReference w:id="2"/>
      </w:r>
      <w:r w:rsidR="00F4541E" w:rsidRPr="00F4541E">
        <w:rPr>
          <w:rFonts w:asciiTheme="minorHAnsi" w:hAnsiTheme="minorHAnsi" w:cstheme="minorHAnsi"/>
          <w:sz w:val="24"/>
          <w:szCs w:val="24"/>
        </w:rPr>
        <w:t xml:space="preserve"> consensus statements.</w:t>
      </w:r>
    </w:p>
    <w:p w14:paraId="5D96B451" w14:textId="77777777" w:rsidR="005B35B4" w:rsidRPr="00761C2A" w:rsidRDefault="005B35B4" w:rsidP="005B35B4">
      <w:pPr>
        <w:spacing w:before="240" w:line="300" w:lineRule="atLeast"/>
        <w:ind w:left="720"/>
        <w:rPr>
          <w:rFonts w:asciiTheme="minorHAnsi" w:hAnsiTheme="minorHAnsi" w:cstheme="minorHAnsi"/>
          <w:sz w:val="24"/>
          <w:szCs w:val="24"/>
        </w:rPr>
      </w:pPr>
    </w:p>
    <w:p w14:paraId="288B871E" w14:textId="14E9F315" w:rsidR="001A0A10" w:rsidRDefault="00624DEC" w:rsidP="00F4541E">
      <w:pPr>
        <w:numPr>
          <w:ilvl w:val="0"/>
          <w:numId w:val="2"/>
        </w:numPr>
        <w:spacing w:line="300" w:lineRule="atLeast"/>
        <w:rPr>
          <w:rFonts w:asciiTheme="minorHAnsi" w:hAnsiTheme="minorHAnsi" w:cstheme="minorHAnsi"/>
          <w:sz w:val="24"/>
          <w:szCs w:val="24"/>
        </w:rPr>
      </w:pPr>
      <w:r>
        <w:rPr>
          <w:rFonts w:asciiTheme="minorHAnsi" w:hAnsiTheme="minorHAnsi" w:cstheme="minorHAnsi"/>
          <w:sz w:val="24"/>
          <w:szCs w:val="24"/>
        </w:rPr>
        <w:lastRenderedPageBreak/>
        <w:t>The key differences</w:t>
      </w:r>
      <w:r w:rsidR="001047BD">
        <w:rPr>
          <w:rFonts w:asciiTheme="minorHAnsi" w:hAnsiTheme="minorHAnsi" w:cstheme="minorHAnsi"/>
          <w:sz w:val="24"/>
          <w:szCs w:val="24"/>
        </w:rPr>
        <w:t xml:space="preserve"> between the </w:t>
      </w:r>
      <w:r w:rsidR="004018FE">
        <w:rPr>
          <w:rFonts w:asciiTheme="minorHAnsi" w:hAnsiTheme="minorHAnsi" w:cstheme="minorHAnsi"/>
          <w:sz w:val="24"/>
          <w:szCs w:val="24"/>
        </w:rPr>
        <w:t>PBS prescribing rules and the Australian consensus statements were</w:t>
      </w:r>
      <w:r w:rsidR="00761C2A">
        <w:rPr>
          <w:rFonts w:asciiTheme="minorHAnsi" w:hAnsiTheme="minorHAnsi" w:cstheme="minorHAnsi"/>
          <w:sz w:val="24"/>
          <w:szCs w:val="24"/>
        </w:rPr>
        <w:t xml:space="preserve"> </w:t>
      </w:r>
      <w:r w:rsidR="00AB06E5">
        <w:rPr>
          <w:rFonts w:asciiTheme="minorHAnsi" w:hAnsiTheme="minorHAnsi" w:cstheme="minorHAnsi"/>
          <w:sz w:val="24"/>
          <w:szCs w:val="24"/>
        </w:rPr>
        <w:t>that the PBS prescribing rules</w:t>
      </w:r>
      <w:r w:rsidR="001A0A10">
        <w:rPr>
          <w:rFonts w:asciiTheme="minorHAnsi" w:hAnsiTheme="minorHAnsi" w:cstheme="minorHAnsi"/>
          <w:sz w:val="24"/>
          <w:szCs w:val="24"/>
        </w:rPr>
        <w:t>:</w:t>
      </w:r>
    </w:p>
    <w:p w14:paraId="0BCB628B" w14:textId="7DA661A9" w:rsidR="00F76E02" w:rsidRPr="00515743" w:rsidRDefault="00AB06E5" w:rsidP="00515743">
      <w:pPr>
        <w:pStyle w:val="ListParagraph"/>
        <w:numPr>
          <w:ilvl w:val="0"/>
          <w:numId w:val="6"/>
        </w:numPr>
        <w:rPr>
          <w:rFonts w:asciiTheme="minorHAnsi" w:hAnsiTheme="minorHAnsi" w:cstheme="minorHAnsi"/>
          <w:sz w:val="24"/>
          <w:szCs w:val="24"/>
        </w:rPr>
      </w:pPr>
      <w:r w:rsidRPr="00036D83">
        <w:rPr>
          <w:rFonts w:asciiTheme="minorHAnsi" w:hAnsiTheme="minorHAnsi" w:cstheme="minorHAnsi"/>
          <w:sz w:val="24"/>
          <w:szCs w:val="24"/>
        </w:rPr>
        <w:t>R</w:t>
      </w:r>
      <w:r w:rsidR="001A0A10" w:rsidRPr="00036D83">
        <w:rPr>
          <w:rFonts w:asciiTheme="minorHAnsi" w:hAnsiTheme="minorHAnsi" w:cstheme="minorHAnsi"/>
          <w:sz w:val="24"/>
          <w:szCs w:val="24"/>
        </w:rPr>
        <w:t>equire</w:t>
      </w:r>
      <w:r w:rsidR="00624DEC" w:rsidRPr="00036D83">
        <w:rPr>
          <w:rFonts w:asciiTheme="minorHAnsi" w:hAnsiTheme="minorHAnsi" w:cstheme="minorHAnsi"/>
          <w:sz w:val="24"/>
          <w:szCs w:val="24"/>
        </w:rPr>
        <w:t>d</w:t>
      </w:r>
      <w:r w:rsidR="001A0A10" w:rsidRPr="00036D83">
        <w:rPr>
          <w:rFonts w:asciiTheme="minorHAnsi" w:hAnsiTheme="minorHAnsi" w:cstheme="minorHAnsi"/>
          <w:sz w:val="24"/>
          <w:szCs w:val="24"/>
        </w:rPr>
        <w:t xml:space="preserve"> patients</w:t>
      </w:r>
      <w:r w:rsidR="00C5452A" w:rsidRPr="00036D83">
        <w:rPr>
          <w:rFonts w:asciiTheme="minorHAnsi" w:hAnsiTheme="minorHAnsi" w:cstheme="minorHAnsi"/>
          <w:sz w:val="24"/>
          <w:szCs w:val="24"/>
        </w:rPr>
        <w:t xml:space="preserve"> to</w:t>
      </w:r>
      <w:r w:rsidR="001A0A10" w:rsidRPr="00036D83">
        <w:rPr>
          <w:rFonts w:asciiTheme="minorHAnsi" w:hAnsiTheme="minorHAnsi" w:cstheme="minorHAnsi"/>
          <w:sz w:val="24"/>
          <w:szCs w:val="24"/>
        </w:rPr>
        <w:t xml:space="preserve"> </w:t>
      </w:r>
      <w:r w:rsidR="00EA67B1" w:rsidRPr="00036D83">
        <w:rPr>
          <w:rFonts w:asciiTheme="minorHAnsi" w:hAnsiTheme="minorHAnsi" w:cstheme="minorHAnsi"/>
          <w:sz w:val="24"/>
          <w:szCs w:val="24"/>
        </w:rPr>
        <w:t xml:space="preserve">trial </w:t>
      </w:r>
      <w:r w:rsidR="00890D17" w:rsidRPr="00036D83">
        <w:rPr>
          <w:rFonts w:asciiTheme="minorHAnsi" w:hAnsiTheme="minorHAnsi" w:cstheme="minorHAnsi"/>
          <w:sz w:val="24"/>
          <w:szCs w:val="24"/>
        </w:rPr>
        <w:t xml:space="preserve">at least three </w:t>
      </w:r>
      <w:r w:rsidR="00EA67B1" w:rsidRPr="00036D83">
        <w:rPr>
          <w:rFonts w:asciiTheme="minorHAnsi" w:hAnsiTheme="minorHAnsi" w:cstheme="minorHAnsi"/>
          <w:sz w:val="24"/>
          <w:szCs w:val="24"/>
        </w:rPr>
        <w:t xml:space="preserve">second-line therapies </w:t>
      </w:r>
      <w:r w:rsidR="001C0149">
        <w:rPr>
          <w:rFonts w:asciiTheme="minorHAnsi" w:hAnsiTheme="minorHAnsi" w:cstheme="minorHAnsi"/>
          <w:sz w:val="24"/>
          <w:szCs w:val="24"/>
        </w:rPr>
        <w:t>b</w:t>
      </w:r>
      <w:r w:rsidR="00923590" w:rsidRPr="00036D83">
        <w:rPr>
          <w:rFonts w:asciiTheme="minorHAnsi" w:hAnsiTheme="minorHAnsi" w:cstheme="minorHAnsi"/>
          <w:sz w:val="24"/>
          <w:szCs w:val="24"/>
        </w:rPr>
        <w:t>efore being eligible for PBS-</w:t>
      </w:r>
      <w:r w:rsidR="00EA67B1" w:rsidRPr="00036D83">
        <w:rPr>
          <w:rFonts w:asciiTheme="minorHAnsi" w:hAnsiTheme="minorHAnsi" w:cstheme="minorHAnsi"/>
          <w:sz w:val="24"/>
          <w:szCs w:val="24"/>
        </w:rPr>
        <w:t>subsidised biologics</w:t>
      </w:r>
      <w:r w:rsidR="00036D83">
        <w:rPr>
          <w:rFonts w:asciiTheme="minorHAnsi" w:hAnsiTheme="minorHAnsi" w:cstheme="minorHAnsi"/>
          <w:sz w:val="24"/>
          <w:szCs w:val="24"/>
        </w:rPr>
        <w:t xml:space="preserve">, </w:t>
      </w:r>
      <w:r w:rsidR="00036D83" w:rsidRPr="00036D83">
        <w:rPr>
          <w:rFonts w:asciiTheme="minorHAnsi" w:hAnsiTheme="minorHAnsi" w:cstheme="minorHAnsi"/>
          <w:sz w:val="24"/>
          <w:szCs w:val="24"/>
        </w:rPr>
        <w:t>versus at least two recommended in the Au</w:t>
      </w:r>
      <w:r w:rsidR="00036D83">
        <w:rPr>
          <w:rFonts w:asciiTheme="minorHAnsi" w:hAnsiTheme="minorHAnsi" w:cstheme="minorHAnsi"/>
          <w:sz w:val="24"/>
          <w:szCs w:val="24"/>
        </w:rPr>
        <w:t xml:space="preserve">stralian consensus </w:t>
      </w:r>
      <w:r w:rsidR="004573E6">
        <w:rPr>
          <w:rFonts w:asciiTheme="minorHAnsi" w:hAnsiTheme="minorHAnsi" w:cstheme="minorHAnsi"/>
          <w:sz w:val="24"/>
          <w:szCs w:val="24"/>
        </w:rPr>
        <w:t>statements</w:t>
      </w:r>
      <w:r w:rsidR="00036D83">
        <w:rPr>
          <w:rFonts w:asciiTheme="minorHAnsi" w:hAnsiTheme="minorHAnsi" w:cstheme="minorHAnsi"/>
          <w:sz w:val="24"/>
          <w:szCs w:val="24"/>
        </w:rPr>
        <w:t>;</w:t>
      </w:r>
    </w:p>
    <w:p w14:paraId="14901D67" w14:textId="72FD7E3D" w:rsidR="0047512E" w:rsidRDefault="00AB06E5" w:rsidP="00EA67B1">
      <w:pPr>
        <w:pStyle w:val="ListParagraph"/>
        <w:numPr>
          <w:ilvl w:val="0"/>
          <w:numId w:val="6"/>
        </w:numPr>
        <w:spacing w:line="300" w:lineRule="atLeast"/>
        <w:rPr>
          <w:rFonts w:asciiTheme="minorHAnsi" w:hAnsiTheme="minorHAnsi" w:cstheme="minorHAnsi"/>
          <w:sz w:val="24"/>
          <w:szCs w:val="24"/>
        </w:rPr>
      </w:pPr>
      <w:r>
        <w:rPr>
          <w:rFonts w:asciiTheme="minorHAnsi" w:hAnsiTheme="minorHAnsi" w:cstheme="minorHAnsi"/>
          <w:sz w:val="24"/>
          <w:szCs w:val="24"/>
        </w:rPr>
        <w:t>R</w:t>
      </w:r>
      <w:r w:rsidR="0047512E">
        <w:rPr>
          <w:rFonts w:asciiTheme="minorHAnsi" w:hAnsiTheme="minorHAnsi" w:cstheme="minorHAnsi"/>
          <w:sz w:val="24"/>
          <w:szCs w:val="24"/>
        </w:rPr>
        <w:t>equire</w:t>
      </w:r>
      <w:r w:rsidR="00B85F79">
        <w:rPr>
          <w:rFonts w:asciiTheme="minorHAnsi" w:hAnsiTheme="minorHAnsi" w:cstheme="minorHAnsi"/>
          <w:sz w:val="24"/>
          <w:szCs w:val="24"/>
        </w:rPr>
        <w:t>d</w:t>
      </w:r>
      <w:r w:rsidR="0047512E">
        <w:rPr>
          <w:rFonts w:asciiTheme="minorHAnsi" w:hAnsiTheme="minorHAnsi" w:cstheme="minorHAnsi"/>
          <w:sz w:val="24"/>
          <w:szCs w:val="24"/>
        </w:rPr>
        <w:t xml:space="preserve"> patients to have more severe</w:t>
      </w:r>
      <w:r w:rsidR="00EA67B1">
        <w:rPr>
          <w:rFonts w:asciiTheme="minorHAnsi" w:hAnsiTheme="minorHAnsi" w:cstheme="minorHAnsi"/>
          <w:sz w:val="24"/>
          <w:szCs w:val="24"/>
        </w:rPr>
        <w:t xml:space="preserve"> </w:t>
      </w:r>
      <w:r w:rsidR="0047512E">
        <w:rPr>
          <w:rFonts w:asciiTheme="minorHAnsi" w:hAnsiTheme="minorHAnsi" w:cstheme="minorHAnsi"/>
          <w:sz w:val="24"/>
          <w:szCs w:val="24"/>
        </w:rPr>
        <w:t xml:space="preserve">CPP </w:t>
      </w:r>
      <w:r w:rsidR="00EA67B1">
        <w:rPr>
          <w:rFonts w:asciiTheme="minorHAnsi" w:hAnsiTheme="minorHAnsi" w:cstheme="minorHAnsi"/>
          <w:sz w:val="24"/>
          <w:szCs w:val="24"/>
        </w:rPr>
        <w:t>to be eligible for biologic therapy</w:t>
      </w:r>
      <w:r w:rsidR="00795077">
        <w:rPr>
          <w:rFonts w:asciiTheme="minorHAnsi" w:hAnsiTheme="minorHAnsi" w:cstheme="minorHAnsi"/>
          <w:sz w:val="24"/>
          <w:szCs w:val="24"/>
        </w:rPr>
        <w:t xml:space="preserve"> than was</w:t>
      </w:r>
      <w:r w:rsidR="0047512E">
        <w:rPr>
          <w:rFonts w:asciiTheme="minorHAnsi" w:hAnsiTheme="minorHAnsi" w:cstheme="minorHAnsi"/>
          <w:sz w:val="24"/>
          <w:szCs w:val="24"/>
        </w:rPr>
        <w:t xml:space="preserve"> recommended in t</w:t>
      </w:r>
      <w:r w:rsidR="00EA67B1">
        <w:rPr>
          <w:rFonts w:asciiTheme="minorHAnsi" w:hAnsiTheme="minorHAnsi" w:cstheme="minorHAnsi"/>
          <w:sz w:val="24"/>
          <w:szCs w:val="24"/>
        </w:rPr>
        <w:t>he Australian consensus statements</w:t>
      </w:r>
      <w:r w:rsidR="00C5452A">
        <w:rPr>
          <w:rFonts w:asciiTheme="minorHAnsi" w:hAnsiTheme="minorHAnsi" w:cstheme="minorHAnsi"/>
          <w:sz w:val="24"/>
          <w:szCs w:val="24"/>
        </w:rPr>
        <w:t>. The consensus statements recommended that biologics be used to</w:t>
      </w:r>
      <w:r w:rsidR="007326A9">
        <w:rPr>
          <w:rFonts w:asciiTheme="minorHAnsi" w:hAnsiTheme="minorHAnsi" w:cstheme="minorHAnsi"/>
          <w:sz w:val="24"/>
          <w:szCs w:val="24"/>
        </w:rPr>
        <w:t xml:space="preserve"> treat</w:t>
      </w:r>
      <w:r w:rsidR="001C0149">
        <w:rPr>
          <w:rFonts w:asciiTheme="minorHAnsi" w:hAnsiTheme="minorHAnsi" w:cstheme="minorHAnsi"/>
          <w:sz w:val="24"/>
          <w:szCs w:val="24"/>
        </w:rPr>
        <w:t xml:space="preserve"> </w:t>
      </w:r>
      <w:r w:rsidR="007326A9">
        <w:rPr>
          <w:rFonts w:asciiTheme="minorHAnsi" w:hAnsiTheme="minorHAnsi" w:cstheme="minorHAnsi"/>
          <w:sz w:val="24"/>
          <w:szCs w:val="24"/>
        </w:rPr>
        <w:t>moderate</w:t>
      </w:r>
      <w:r w:rsidR="00890D17">
        <w:rPr>
          <w:rFonts w:asciiTheme="minorHAnsi" w:hAnsiTheme="minorHAnsi" w:cstheme="minorHAnsi"/>
          <w:sz w:val="24"/>
          <w:szCs w:val="24"/>
        </w:rPr>
        <w:t>-to-severe</w:t>
      </w:r>
      <w:r w:rsidR="007326A9">
        <w:rPr>
          <w:rFonts w:asciiTheme="minorHAnsi" w:hAnsiTheme="minorHAnsi" w:cstheme="minorHAnsi"/>
          <w:sz w:val="24"/>
          <w:szCs w:val="24"/>
        </w:rPr>
        <w:t xml:space="preserve"> CPP</w:t>
      </w:r>
      <w:r>
        <w:rPr>
          <w:rFonts w:asciiTheme="minorHAnsi" w:hAnsiTheme="minorHAnsi" w:cstheme="minorHAnsi"/>
          <w:sz w:val="24"/>
          <w:szCs w:val="24"/>
        </w:rPr>
        <w:t>;</w:t>
      </w:r>
      <w:r w:rsidR="00C5452A">
        <w:rPr>
          <w:rFonts w:asciiTheme="minorHAnsi" w:hAnsiTheme="minorHAnsi" w:cstheme="minorHAnsi"/>
          <w:sz w:val="24"/>
          <w:szCs w:val="24"/>
        </w:rPr>
        <w:t xml:space="preserve"> and</w:t>
      </w:r>
    </w:p>
    <w:p w14:paraId="5006D4D2" w14:textId="44040213" w:rsidR="00761C2A" w:rsidRDefault="00AB06E5" w:rsidP="000D2C57">
      <w:pPr>
        <w:pStyle w:val="ListParagraph"/>
        <w:numPr>
          <w:ilvl w:val="0"/>
          <w:numId w:val="6"/>
        </w:numPr>
        <w:rPr>
          <w:rFonts w:asciiTheme="minorHAnsi" w:hAnsiTheme="minorHAnsi" w:cstheme="minorHAnsi"/>
          <w:sz w:val="24"/>
          <w:szCs w:val="24"/>
        </w:rPr>
      </w:pPr>
      <w:r w:rsidRPr="00C5452A">
        <w:rPr>
          <w:rFonts w:asciiTheme="minorHAnsi" w:hAnsiTheme="minorHAnsi" w:cstheme="minorHAnsi"/>
          <w:sz w:val="24"/>
          <w:szCs w:val="24"/>
        </w:rPr>
        <w:t>Did</w:t>
      </w:r>
      <w:r w:rsidR="0047512E" w:rsidRPr="00C5452A">
        <w:rPr>
          <w:rFonts w:asciiTheme="minorHAnsi" w:hAnsiTheme="minorHAnsi" w:cstheme="minorHAnsi"/>
          <w:sz w:val="24"/>
          <w:szCs w:val="24"/>
        </w:rPr>
        <w:t xml:space="preserve"> not account for the quality of life</w:t>
      </w:r>
      <w:r w:rsidR="00624DEC" w:rsidRPr="00C5452A">
        <w:rPr>
          <w:rFonts w:asciiTheme="minorHAnsi" w:hAnsiTheme="minorHAnsi" w:cstheme="minorHAnsi"/>
          <w:sz w:val="24"/>
          <w:szCs w:val="24"/>
        </w:rPr>
        <w:t xml:space="preserve"> (</w:t>
      </w:r>
      <w:proofErr w:type="spellStart"/>
      <w:r w:rsidR="00624DEC" w:rsidRPr="00C5452A">
        <w:rPr>
          <w:rFonts w:asciiTheme="minorHAnsi" w:hAnsiTheme="minorHAnsi" w:cstheme="minorHAnsi"/>
          <w:sz w:val="24"/>
          <w:szCs w:val="24"/>
        </w:rPr>
        <w:t>QoL</w:t>
      </w:r>
      <w:proofErr w:type="spellEnd"/>
      <w:r w:rsidR="00624DEC" w:rsidRPr="00C5452A">
        <w:rPr>
          <w:rFonts w:asciiTheme="minorHAnsi" w:hAnsiTheme="minorHAnsi" w:cstheme="minorHAnsi"/>
          <w:sz w:val="24"/>
          <w:szCs w:val="24"/>
        </w:rPr>
        <w:t>)</w:t>
      </w:r>
      <w:r w:rsidR="0047512E" w:rsidRPr="00C5452A">
        <w:rPr>
          <w:rFonts w:asciiTheme="minorHAnsi" w:hAnsiTheme="minorHAnsi" w:cstheme="minorHAnsi"/>
          <w:sz w:val="24"/>
          <w:szCs w:val="24"/>
        </w:rPr>
        <w:t xml:space="preserve"> impacts of CPP. The Australian consensus statements recommend the use of biologics i</w:t>
      </w:r>
      <w:r w:rsidR="00624DEC" w:rsidRPr="00C5452A">
        <w:rPr>
          <w:rFonts w:asciiTheme="minorHAnsi" w:hAnsiTheme="minorHAnsi" w:cstheme="minorHAnsi"/>
          <w:sz w:val="24"/>
          <w:szCs w:val="24"/>
        </w:rPr>
        <w:t xml:space="preserve">n patients whose </w:t>
      </w:r>
      <w:proofErr w:type="spellStart"/>
      <w:r w:rsidR="00624DEC" w:rsidRPr="00C5452A">
        <w:rPr>
          <w:rFonts w:asciiTheme="minorHAnsi" w:hAnsiTheme="minorHAnsi" w:cstheme="minorHAnsi"/>
          <w:sz w:val="24"/>
          <w:szCs w:val="24"/>
        </w:rPr>
        <w:t>QoL</w:t>
      </w:r>
      <w:proofErr w:type="spellEnd"/>
      <w:r w:rsidR="00B85F79" w:rsidRPr="00C5452A">
        <w:rPr>
          <w:rFonts w:asciiTheme="minorHAnsi" w:hAnsiTheme="minorHAnsi" w:cstheme="minorHAnsi"/>
          <w:sz w:val="24"/>
          <w:szCs w:val="24"/>
        </w:rPr>
        <w:t xml:space="preserve"> was</w:t>
      </w:r>
      <w:r w:rsidR="0047512E" w:rsidRPr="00C5452A">
        <w:rPr>
          <w:rFonts w:asciiTheme="minorHAnsi" w:hAnsiTheme="minorHAnsi" w:cstheme="minorHAnsi"/>
          <w:sz w:val="24"/>
          <w:szCs w:val="24"/>
        </w:rPr>
        <w:t xml:space="preserve"> significantly impacted</w:t>
      </w:r>
      <w:r w:rsidR="00C5452A">
        <w:rPr>
          <w:rFonts w:asciiTheme="minorHAnsi" w:hAnsiTheme="minorHAnsi" w:cstheme="minorHAnsi"/>
          <w:sz w:val="24"/>
          <w:szCs w:val="24"/>
        </w:rPr>
        <w:t>.</w:t>
      </w:r>
    </w:p>
    <w:p w14:paraId="68D078EA" w14:textId="77777777" w:rsidR="004573E6" w:rsidRPr="002650F6" w:rsidRDefault="004573E6" w:rsidP="002650F6">
      <w:pPr>
        <w:rPr>
          <w:rFonts w:asciiTheme="minorHAnsi" w:hAnsiTheme="minorHAnsi" w:cstheme="minorHAnsi"/>
          <w:sz w:val="24"/>
          <w:szCs w:val="24"/>
        </w:rPr>
      </w:pPr>
    </w:p>
    <w:p w14:paraId="66F7E879" w14:textId="77777777" w:rsidR="00F71269" w:rsidRPr="00F4541E" w:rsidRDefault="000A3EFE" w:rsidP="005B35B4">
      <w:pPr>
        <w:spacing w:line="300" w:lineRule="atLeast"/>
        <w:rPr>
          <w:rFonts w:asciiTheme="minorHAnsi" w:hAnsiTheme="minorHAnsi" w:cstheme="minorHAnsi"/>
          <w:i/>
          <w:color w:val="333333"/>
          <w:sz w:val="24"/>
          <w:szCs w:val="24"/>
        </w:rPr>
      </w:pPr>
      <w:proofErr w:type="spellStart"/>
      <w:r>
        <w:rPr>
          <w:rFonts w:asciiTheme="minorHAnsi" w:hAnsiTheme="minorHAnsi" w:cstheme="minorHAnsi"/>
          <w:i/>
          <w:color w:val="333333"/>
          <w:sz w:val="24"/>
          <w:szCs w:val="24"/>
        </w:rPr>
        <w:t>ToR</w:t>
      </w:r>
      <w:proofErr w:type="spellEnd"/>
      <w:r>
        <w:rPr>
          <w:rFonts w:asciiTheme="minorHAnsi" w:hAnsiTheme="minorHAnsi" w:cstheme="minorHAnsi"/>
          <w:i/>
          <w:color w:val="333333"/>
          <w:sz w:val="24"/>
          <w:szCs w:val="24"/>
        </w:rPr>
        <w:t xml:space="preserve"> 2: </w:t>
      </w:r>
      <w:r w:rsidR="00923590" w:rsidRPr="00923590">
        <w:rPr>
          <w:rFonts w:asciiTheme="minorHAnsi" w:hAnsiTheme="minorHAnsi" w:cstheme="minorHAnsi"/>
          <w:i/>
          <w:color w:val="333333"/>
          <w:sz w:val="24"/>
          <w:szCs w:val="24"/>
        </w:rPr>
        <w:t>Review and evaluate recent clinical evidence on the efficacy and safety of biologics used in the treatment of severe chronic plaque psoriasis and compare to the evidence considered by Pharmaceutical Benefits Advisory Committee (PBAC) in previous sponsor submissions.</w:t>
      </w:r>
      <w:r w:rsidR="00F71269" w:rsidRPr="00F4541E">
        <w:rPr>
          <w:rFonts w:asciiTheme="minorHAnsi" w:hAnsiTheme="minorHAnsi" w:cstheme="minorHAnsi"/>
          <w:i/>
          <w:color w:val="333333"/>
          <w:sz w:val="24"/>
          <w:szCs w:val="24"/>
        </w:rPr>
        <w:t xml:space="preserve"> </w:t>
      </w:r>
    </w:p>
    <w:p w14:paraId="4F9E533B" w14:textId="77777777" w:rsidR="00C26B48" w:rsidRPr="00C26B48" w:rsidRDefault="00C26B48" w:rsidP="005B35B4">
      <w:pPr>
        <w:pStyle w:val="ListParagraph"/>
        <w:numPr>
          <w:ilvl w:val="0"/>
          <w:numId w:val="2"/>
        </w:numPr>
        <w:spacing w:before="240"/>
        <w:rPr>
          <w:rFonts w:asciiTheme="minorHAnsi" w:hAnsiTheme="minorHAnsi" w:cstheme="minorHAnsi"/>
          <w:color w:val="222222"/>
          <w:sz w:val="24"/>
          <w:szCs w:val="24"/>
        </w:rPr>
      </w:pPr>
      <w:r w:rsidRPr="00C26B48">
        <w:rPr>
          <w:rFonts w:asciiTheme="minorHAnsi" w:hAnsiTheme="minorHAnsi" w:cstheme="minorHAnsi"/>
          <w:color w:val="222222"/>
          <w:sz w:val="24"/>
          <w:szCs w:val="24"/>
        </w:rPr>
        <w:t>The Review found that updated evidence on the effic</w:t>
      </w:r>
      <w:r>
        <w:rPr>
          <w:rFonts w:asciiTheme="minorHAnsi" w:hAnsiTheme="minorHAnsi" w:cstheme="minorHAnsi"/>
          <w:color w:val="222222"/>
          <w:sz w:val="24"/>
          <w:szCs w:val="24"/>
        </w:rPr>
        <w:t>acy and safety of biologics</w:t>
      </w:r>
      <w:r w:rsidRPr="00C26B48">
        <w:rPr>
          <w:rFonts w:asciiTheme="minorHAnsi" w:hAnsiTheme="minorHAnsi" w:cstheme="minorHAnsi"/>
          <w:color w:val="222222"/>
          <w:sz w:val="24"/>
          <w:szCs w:val="24"/>
        </w:rPr>
        <w:t xml:space="preserve"> was generally consistent with that previously considered by the PBAC.</w:t>
      </w:r>
    </w:p>
    <w:p w14:paraId="76F08207" w14:textId="1CFE3D83" w:rsidR="00337C7A" w:rsidRPr="00515743" w:rsidRDefault="00036D83" w:rsidP="00B6110C">
      <w:pPr>
        <w:pStyle w:val="ListParagraph"/>
        <w:numPr>
          <w:ilvl w:val="0"/>
          <w:numId w:val="2"/>
        </w:numPr>
        <w:rPr>
          <w:rFonts w:asciiTheme="minorHAnsi" w:hAnsiTheme="minorHAnsi" w:cstheme="minorHAnsi"/>
          <w:color w:val="222222"/>
          <w:sz w:val="24"/>
          <w:szCs w:val="24"/>
        </w:rPr>
      </w:pPr>
      <w:r w:rsidRPr="00B6110C">
        <w:rPr>
          <w:rFonts w:asciiTheme="minorHAnsi" w:hAnsiTheme="minorHAnsi" w:cstheme="minorHAnsi"/>
          <w:color w:val="222222"/>
          <w:sz w:val="24"/>
          <w:szCs w:val="24"/>
        </w:rPr>
        <w:t xml:space="preserve">The </w:t>
      </w:r>
      <w:proofErr w:type="gramStart"/>
      <w:r w:rsidRPr="00B6110C">
        <w:rPr>
          <w:rFonts w:asciiTheme="minorHAnsi" w:hAnsiTheme="minorHAnsi" w:cstheme="minorHAnsi"/>
          <w:color w:val="222222"/>
          <w:sz w:val="24"/>
          <w:szCs w:val="24"/>
        </w:rPr>
        <w:t>severity of CPP is measured by the Psoriasis Area and Severity Index (PASI)</w:t>
      </w:r>
      <w:r w:rsidR="00B6110C">
        <w:rPr>
          <w:rFonts w:asciiTheme="minorHAnsi" w:hAnsiTheme="minorHAnsi" w:cstheme="minorHAnsi"/>
          <w:color w:val="222222"/>
          <w:sz w:val="24"/>
          <w:szCs w:val="24"/>
        </w:rPr>
        <w:t xml:space="preserve"> score</w:t>
      </w:r>
      <w:proofErr w:type="gramEnd"/>
      <w:r w:rsidRPr="00B6110C">
        <w:rPr>
          <w:rFonts w:asciiTheme="minorHAnsi" w:hAnsiTheme="minorHAnsi" w:cstheme="minorHAnsi"/>
          <w:color w:val="222222"/>
          <w:sz w:val="24"/>
          <w:szCs w:val="24"/>
        </w:rPr>
        <w:t>.</w:t>
      </w:r>
      <w:r w:rsidR="00B6110C" w:rsidRPr="00B6110C">
        <w:rPr>
          <w:rFonts w:asciiTheme="minorHAnsi" w:hAnsiTheme="minorHAnsi" w:cstheme="minorHAnsi"/>
          <w:color w:val="222222"/>
          <w:sz w:val="24"/>
          <w:szCs w:val="24"/>
        </w:rPr>
        <w:t xml:space="preserve"> </w:t>
      </w:r>
      <w:r w:rsidR="00B6110C">
        <w:rPr>
          <w:rFonts w:asciiTheme="minorHAnsi" w:hAnsiTheme="minorHAnsi" w:cstheme="minorHAnsi"/>
          <w:color w:val="222222"/>
          <w:sz w:val="24"/>
          <w:szCs w:val="24"/>
        </w:rPr>
        <w:t>Scores range</w:t>
      </w:r>
      <w:r w:rsidR="00B6110C" w:rsidRPr="00B6110C">
        <w:rPr>
          <w:rFonts w:asciiTheme="minorHAnsi" w:hAnsiTheme="minorHAnsi" w:cstheme="minorHAnsi"/>
          <w:color w:val="222222"/>
          <w:sz w:val="24"/>
          <w:szCs w:val="24"/>
        </w:rPr>
        <w:t xml:space="preserve"> from </w:t>
      </w:r>
      <w:proofErr w:type="gramStart"/>
      <w:r w:rsidR="00B6110C" w:rsidRPr="00B6110C">
        <w:rPr>
          <w:rFonts w:asciiTheme="minorHAnsi" w:hAnsiTheme="minorHAnsi" w:cstheme="minorHAnsi"/>
          <w:color w:val="222222"/>
          <w:sz w:val="24"/>
          <w:szCs w:val="24"/>
        </w:rPr>
        <w:t>0</w:t>
      </w:r>
      <w:proofErr w:type="gramEnd"/>
      <w:r w:rsidR="00B6110C" w:rsidRPr="00B6110C">
        <w:rPr>
          <w:rFonts w:asciiTheme="minorHAnsi" w:hAnsiTheme="minorHAnsi" w:cstheme="minorHAnsi"/>
          <w:color w:val="222222"/>
          <w:sz w:val="24"/>
          <w:szCs w:val="24"/>
        </w:rPr>
        <w:t xml:space="preserve"> to 72, with higher scores</w:t>
      </w:r>
      <w:r w:rsidR="00B6110C">
        <w:rPr>
          <w:rFonts w:asciiTheme="minorHAnsi" w:hAnsiTheme="minorHAnsi" w:cstheme="minorHAnsi"/>
          <w:color w:val="222222"/>
          <w:sz w:val="24"/>
          <w:szCs w:val="24"/>
        </w:rPr>
        <w:t xml:space="preserve"> indicating more severe disease. </w:t>
      </w:r>
      <w:r w:rsidR="00337C7A" w:rsidRPr="00515743">
        <w:rPr>
          <w:rFonts w:asciiTheme="minorHAnsi" w:hAnsiTheme="minorHAnsi" w:cstheme="minorHAnsi"/>
          <w:color w:val="222222"/>
          <w:sz w:val="24"/>
          <w:szCs w:val="24"/>
        </w:rPr>
        <w:t>There was some variation in the efficacy and safety results between different biologics</w:t>
      </w:r>
      <w:r w:rsidR="00761C2A" w:rsidRPr="00515743">
        <w:rPr>
          <w:rFonts w:asciiTheme="minorHAnsi" w:hAnsiTheme="minorHAnsi" w:cstheme="minorHAnsi"/>
          <w:color w:val="222222"/>
          <w:sz w:val="24"/>
          <w:szCs w:val="24"/>
        </w:rPr>
        <w:t xml:space="preserve"> for severe </w:t>
      </w:r>
      <w:r w:rsidR="00B6110C">
        <w:rPr>
          <w:rFonts w:asciiTheme="minorHAnsi" w:hAnsiTheme="minorHAnsi" w:cstheme="minorHAnsi"/>
          <w:color w:val="222222"/>
          <w:sz w:val="24"/>
          <w:szCs w:val="24"/>
        </w:rPr>
        <w:t>CPP</w:t>
      </w:r>
      <w:r w:rsidR="00761C2A" w:rsidRPr="00515743">
        <w:rPr>
          <w:rFonts w:asciiTheme="minorHAnsi" w:hAnsiTheme="minorHAnsi" w:cstheme="minorHAnsi"/>
          <w:color w:val="222222"/>
          <w:sz w:val="24"/>
          <w:szCs w:val="24"/>
        </w:rPr>
        <w:t xml:space="preserve"> (PASI greater than 15)</w:t>
      </w:r>
      <w:r w:rsidR="00337C7A" w:rsidRPr="00515743">
        <w:rPr>
          <w:rFonts w:asciiTheme="minorHAnsi" w:hAnsiTheme="minorHAnsi" w:cstheme="minorHAnsi"/>
          <w:color w:val="222222"/>
          <w:sz w:val="24"/>
          <w:szCs w:val="24"/>
        </w:rPr>
        <w:t xml:space="preserve">. </w:t>
      </w:r>
    </w:p>
    <w:p w14:paraId="7F029985" w14:textId="77777777" w:rsidR="002B1986" w:rsidRPr="002B1986" w:rsidRDefault="002B1986" w:rsidP="002B1986">
      <w:pPr>
        <w:pStyle w:val="ListParagraph"/>
        <w:numPr>
          <w:ilvl w:val="0"/>
          <w:numId w:val="2"/>
        </w:numPr>
        <w:rPr>
          <w:rFonts w:asciiTheme="minorHAnsi" w:hAnsiTheme="minorHAnsi" w:cstheme="minorHAnsi"/>
          <w:color w:val="222222"/>
          <w:sz w:val="24"/>
          <w:szCs w:val="24"/>
        </w:rPr>
      </w:pPr>
      <w:r w:rsidRPr="002B1986">
        <w:rPr>
          <w:rFonts w:asciiTheme="minorHAnsi" w:hAnsiTheme="minorHAnsi" w:cstheme="minorHAnsi"/>
          <w:color w:val="222222"/>
          <w:sz w:val="24"/>
          <w:szCs w:val="24"/>
        </w:rPr>
        <w:t>Ove</w:t>
      </w:r>
      <w:r w:rsidR="00B85F79">
        <w:rPr>
          <w:rFonts w:asciiTheme="minorHAnsi" w:hAnsiTheme="minorHAnsi" w:cstheme="minorHAnsi"/>
          <w:color w:val="222222"/>
          <w:sz w:val="24"/>
          <w:szCs w:val="24"/>
        </w:rPr>
        <w:t>rall, the efficacy of biologics</w:t>
      </w:r>
      <w:r w:rsidRPr="002B1986">
        <w:rPr>
          <w:rFonts w:asciiTheme="minorHAnsi" w:hAnsiTheme="minorHAnsi" w:cstheme="minorHAnsi"/>
          <w:color w:val="222222"/>
          <w:sz w:val="24"/>
          <w:szCs w:val="24"/>
        </w:rPr>
        <w:t xml:space="preserve"> compared to pl</w:t>
      </w:r>
      <w:r w:rsidR="003E130A">
        <w:rPr>
          <w:rFonts w:asciiTheme="minorHAnsi" w:hAnsiTheme="minorHAnsi" w:cstheme="minorHAnsi"/>
          <w:color w:val="222222"/>
          <w:sz w:val="24"/>
          <w:szCs w:val="24"/>
        </w:rPr>
        <w:t>acebo showed</w:t>
      </w:r>
      <w:r w:rsidR="00B85F79">
        <w:rPr>
          <w:rFonts w:asciiTheme="minorHAnsi" w:hAnsiTheme="minorHAnsi" w:cstheme="minorHAnsi"/>
          <w:color w:val="222222"/>
          <w:sz w:val="24"/>
          <w:szCs w:val="24"/>
        </w:rPr>
        <w:t xml:space="preserve"> that all PBS-</w:t>
      </w:r>
      <w:r w:rsidRPr="002B1986">
        <w:rPr>
          <w:rFonts w:asciiTheme="minorHAnsi" w:hAnsiTheme="minorHAnsi" w:cstheme="minorHAnsi"/>
          <w:color w:val="222222"/>
          <w:sz w:val="24"/>
          <w:szCs w:val="24"/>
        </w:rPr>
        <w:t>listed biologics provide patients with clinically meaningful imp</w:t>
      </w:r>
      <w:r w:rsidR="000C4FA7">
        <w:rPr>
          <w:rFonts w:asciiTheme="minorHAnsi" w:hAnsiTheme="minorHAnsi" w:cstheme="minorHAnsi"/>
          <w:color w:val="222222"/>
          <w:sz w:val="24"/>
          <w:szCs w:val="24"/>
        </w:rPr>
        <w:t>rovements in their psoriasis</w:t>
      </w:r>
      <w:r w:rsidR="00B85F79">
        <w:rPr>
          <w:rFonts w:asciiTheme="minorHAnsi" w:hAnsiTheme="minorHAnsi" w:cstheme="minorHAnsi"/>
          <w:color w:val="222222"/>
          <w:sz w:val="24"/>
          <w:szCs w:val="24"/>
        </w:rPr>
        <w:t>.</w:t>
      </w:r>
    </w:p>
    <w:p w14:paraId="3B2A79A2" w14:textId="046221F1" w:rsidR="00761C2A" w:rsidRPr="00F4541E" w:rsidRDefault="00761C2A" w:rsidP="007713CA">
      <w:pPr>
        <w:pStyle w:val="NormalWeb"/>
        <w:numPr>
          <w:ilvl w:val="0"/>
          <w:numId w:val="2"/>
        </w:numPr>
        <w:spacing w:after="0" w:line="300" w:lineRule="atLeast"/>
        <w:rPr>
          <w:rFonts w:asciiTheme="minorHAnsi" w:hAnsiTheme="minorHAnsi" w:cstheme="minorHAnsi"/>
        </w:rPr>
      </w:pPr>
      <w:r w:rsidRPr="000D2C57">
        <w:rPr>
          <w:rFonts w:asciiTheme="minorHAnsi" w:hAnsiTheme="minorHAnsi" w:cstheme="minorHAnsi"/>
        </w:rPr>
        <w:t>There is very little data available for biologics in the</w:t>
      </w:r>
      <w:r w:rsidR="004573E6">
        <w:rPr>
          <w:rFonts w:asciiTheme="minorHAnsi" w:hAnsiTheme="minorHAnsi" w:cstheme="minorHAnsi"/>
        </w:rPr>
        <w:t xml:space="preserve"> moderate disease category</w:t>
      </w:r>
      <w:r w:rsidR="00736C3A">
        <w:rPr>
          <w:rFonts w:asciiTheme="minorHAnsi" w:hAnsiTheme="minorHAnsi" w:cstheme="minorHAnsi"/>
        </w:rPr>
        <w:t xml:space="preserve"> </w:t>
      </w:r>
      <w:r w:rsidR="004573E6">
        <w:rPr>
          <w:rFonts w:asciiTheme="minorHAnsi" w:hAnsiTheme="minorHAnsi" w:cstheme="minorHAnsi"/>
        </w:rPr>
        <w:t>(</w:t>
      </w:r>
      <w:r w:rsidRPr="000D2C57">
        <w:rPr>
          <w:rFonts w:asciiTheme="minorHAnsi" w:hAnsiTheme="minorHAnsi" w:cstheme="minorHAnsi"/>
        </w:rPr>
        <w:t>PASI great</w:t>
      </w:r>
      <w:r w:rsidR="002D5C62">
        <w:rPr>
          <w:rFonts w:asciiTheme="minorHAnsi" w:hAnsiTheme="minorHAnsi" w:cstheme="minorHAnsi"/>
        </w:rPr>
        <w:t>er</w:t>
      </w:r>
      <w:r w:rsidRPr="000D2C57">
        <w:rPr>
          <w:rFonts w:asciiTheme="minorHAnsi" w:hAnsiTheme="minorHAnsi" w:cstheme="minorHAnsi"/>
        </w:rPr>
        <w:t xml:space="preserve"> than 10 but less than </w:t>
      </w:r>
      <w:r w:rsidR="006B4DDE">
        <w:rPr>
          <w:rFonts w:asciiTheme="minorHAnsi" w:hAnsiTheme="minorHAnsi" w:cstheme="minorHAnsi"/>
        </w:rPr>
        <w:t xml:space="preserve">or equal to </w:t>
      </w:r>
      <w:r w:rsidRPr="000D2C57">
        <w:rPr>
          <w:rFonts w:asciiTheme="minorHAnsi" w:hAnsiTheme="minorHAnsi" w:cstheme="minorHAnsi"/>
        </w:rPr>
        <w:t>15</w:t>
      </w:r>
      <w:r w:rsidR="004573E6">
        <w:rPr>
          <w:rFonts w:asciiTheme="minorHAnsi" w:hAnsiTheme="minorHAnsi" w:cstheme="minorHAnsi"/>
        </w:rPr>
        <w:t>)</w:t>
      </w:r>
      <w:r w:rsidRPr="000D2C57">
        <w:rPr>
          <w:rFonts w:asciiTheme="minorHAnsi" w:hAnsiTheme="minorHAnsi" w:cstheme="minorHAnsi"/>
        </w:rPr>
        <w:t xml:space="preserve">, even though the consensus from international and Australian guidelines was that biologics can and should be used in </w:t>
      </w:r>
      <w:r w:rsidR="004573E6">
        <w:rPr>
          <w:rFonts w:asciiTheme="minorHAnsi" w:hAnsiTheme="minorHAnsi" w:cstheme="minorHAnsi"/>
        </w:rPr>
        <w:t>moderate CPP</w:t>
      </w:r>
      <w:r w:rsidRPr="000D2C57">
        <w:rPr>
          <w:rFonts w:asciiTheme="minorHAnsi" w:hAnsiTheme="minorHAnsi" w:cstheme="minorHAnsi"/>
        </w:rPr>
        <w:t xml:space="preserve">. The evidence available suggested that in the milder disease categories, response would be </w:t>
      </w:r>
      <w:r w:rsidR="002F5080" w:rsidRPr="000D2C57">
        <w:rPr>
          <w:rFonts w:asciiTheme="minorHAnsi" w:hAnsiTheme="minorHAnsi" w:cstheme="minorHAnsi"/>
        </w:rPr>
        <w:t>l</w:t>
      </w:r>
      <w:r w:rsidR="002F5080">
        <w:rPr>
          <w:rFonts w:asciiTheme="minorHAnsi" w:hAnsiTheme="minorHAnsi" w:cstheme="minorHAnsi"/>
        </w:rPr>
        <w:t>ess</w:t>
      </w:r>
      <w:r w:rsidRPr="000D2C57">
        <w:rPr>
          <w:rFonts w:asciiTheme="minorHAnsi" w:hAnsiTheme="minorHAnsi" w:cstheme="minorHAnsi"/>
        </w:rPr>
        <w:t xml:space="preserve"> than in those with more severe disease.</w:t>
      </w:r>
    </w:p>
    <w:p w14:paraId="6FA21F54" w14:textId="77777777" w:rsidR="00F71269" w:rsidRPr="00F4541E" w:rsidRDefault="00FE4815" w:rsidP="00FE4815">
      <w:pPr>
        <w:spacing w:before="100" w:beforeAutospacing="1" w:line="300" w:lineRule="atLeast"/>
        <w:rPr>
          <w:rFonts w:asciiTheme="minorHAnsi" w:hAnsiTheme="minorHAnsi" w:cstheme="minorHAnsi"/>
          <w:i/>
          <w:color w:val="333333"/>
          <w:sz w:val="24"/>
          <w:szCs w:val="24"/>
        </w:rPr>
      </w:pPr>
      <w:proofErr w:type="spellStart"/>
      <w:r>
        <w:rPr>
          <w:rFonts w:asciiTheme="minorHAnsi" w:hAnsiTheme="minorHAnsi" w:cstheme="minorHAnsi"/>
          <w:i/>
          <w:color w:val="333333"/>
          <w:sz w:val="24"/>
          <w:szCs w:val="24"/>
        </w:rPr>
        <w:t>ToR</w:t>
      </w:r>
      <w:proofErr w:type="spellEnd"/>
      <w:r>
        <w:rPr>
          <w:rFonts w:asciiTheme="minorHAnsi" w:hAnsiTheme="minorHAnsi" w:cstheme="minorHAnsi"/>
          <w:i/>
          <w:color w:val="333333"/>
          <w:sz w:val="24"/>
          <w:szCs w:val="24"/>
        </w:rPr>
        <w:t xml:space="preserve"> 3: </w:t>
      </w:r>
      <w:r w:rsidRPr="00FE4815">
        <w:rPr>
          <w:rFonts w:asciiTheme="minorHAnsi" w:hAnsiTheme="minorHAnsi" w:cstheme="minorHAnsi"/>
          <w:i/>
          <w:color w:val="333333"/>
          <w:sz w:val="24"/>
          <w:szCs w:val="24"/>
        </w:rPr>
        <w:t>Review the utilisation of PBS biologics for the treatment of CPP including time on treatment and discontinuation from treatment, and compare this with that observed in the clinical trial evidence considered by the PBAC.</w:t>
      </w:r>
    </w:p>
    <w:p w14:paraId="3998DAC5" w14:textId="0A890A2C" w:rsidR="00FE4815" w:rsidRPr="00FE4815" w:rsidRDefault="002F5080" w:rsidP="005B35B4">
      <w:pPr>
        <w:pStyle w:val="ListParagraph"/>
        <w:numPr>
          <w:ilvl w:val="0"/>
          <w:numId w:val="2"/>
        </w:numPr>
        <w:spacing w:before="240"/>
        <w:rPr>
          <w:rFonts w:asciiTheme="minorHAnsi" w:hAnsiTheme="minorHAnsi" w:cstheme="minorHAnsi"/>
          <w:color w:val="222222"/>
          <w:sz w:val="24"/>
          <w:szCs w:val="24"/>
        </w:rPr>
      </w:pPr>
      <w:r>
        <w:rPr>
          <w:rFonts w:asciiTheme="minorHAnsi" w:hAnsiTheme="minorHAnsi" w:cstheme="minorHAnsi"/>
          <w:color w:val="222222"/>
          <w:sz w:val="24"/>
          <w:szCs w:val="24"/>
        </w:rPr>
        <w:t xml:space="preserve">The number </w:t>
      </w:r>
      <w:r w:rsidR="00EA1CC2">
        <w:rPr>
          <w:rFonts w:asciiTheme="minorHAnsi" w:hAnsiTheme="minorHAnsi" w:cstheme="minorHAnsi"/>
          <w:color w:val="222222"/>
          <w:sz w:val="24"/>
          <w:szCs w:val="24"/>
        </w:rPr>
        <w:t xml:space="preserve">of people affected with </w:t>
      </w:r>
      <w:r>
        <w:rPr>
          <w:rFonts w:asciiTheme="minorHAnsi" w:hAnsiTheme="minorHAnsi" w:cstheme="minorHAnsi"/>
          <w:color w:val="222222"/>
          <w:sz w:val="24"/>
          <w:szCs w:val="24"/>
        </w:rPr>
        <w:t xml:space="preserve">severe CPP (PASI greater than </w:t>
      </w:r>
      <w:r w:rsidRPr="002F5080">
        <w:rPr>
          <w:rFonts w:asciiTheme="minorHAnsi" w:hAnsiTheme="minorHAnsi" w:cstheme="minorHAnsi"/>
          <w:color w:val="222222"/>
          <w:sz w:val="24"/>
          <w:szCs w:val="24"/>
        </w:rPr>
        <w:t xml:space="preserve">15) in Australia </w:t>
      </w:r>
      <w:proofErr w:type="gramStart"/>
      <w:r w:rsidRPr="002F5080">
        <w:rPr>
          <w:rFonts w:asciiTheme="minorHAnsi" w:hAnsiTheme="minorHAnsi" w:cstheme="minorHAnsi"/>
          <w:color w:val="222222"/>
          <w:sz w:val="24"/>
          <w:szCs w:val="24"/>
        </w:rPr>
        <w:t>w</w:t>
      </w:r>
      <w:r w:rsidR="00EA1CC2">
        <w:rPr>
          <w:rFonts w:asciiTheme="minorHAnsi" w:hAnsiTheme="minorHAnsi" w:cstheme="minorHAnsi"/>
          <w:color w:val="222222"/>
          <w:sz w:val="24"/>
          <w:szCs w:val="24"/>
        </w:rPr>
        <w:t xml:space="preserve">as </w:t>
      </w:r>
      <w:r w:rsidR="00515743">
        <w:rPr>
          <w:rFonts w:asciiTheme="minorHAnsi" w:hAnsiTheme="minorHAnsi" w:cstheme="minorHAnsi"/>
          <w:color w:val="222222"/>
          <w:sz w:val="24"/>
          <w:szCs w:val="24"/>
        </w:rPr>
        <w:t>estimated</w:t>
      </w:r>
      <w:proofErr w:type="gramEnd"/>
      <w:r w:rsidR="00515743">
        <w:rPr>
          <w:rFonts w:asciiTheme="minorHAnsi" w:hAnsiTheme="minorHAnsi" w:cstheme="minorHAnsi"/>
          <w:color w:val="222222"/>
          <w:sz w:val="24"/>
          <w:szCs w:val="24"/>
        </w:rPr>
        <w:t xml:space="preserve"> to be</w:t>
      </w:r>
      <w:r w:rsidR="00EA1CC2">
        <w:rPr>
          <w:rFonts w:asciiTheme="minorHAnsi" w:hAnsiTheme="minorHAnsi" w:cstheme="minorHAnsi"/>
          <w:color w:val="222222"/>
          <w:sz w:val="24"/>
          <w:szCs w:val="24"/>
        </w:rPr>
        <w:t xml:space="preserve"> </w:t>
      </w:r>
      <w:r w:rsidR="008C0B61">
        <w:rPr>
          <w:rFonts w:asciiTheme="minorHAnsi" w:hAnsiTheme="minorHAnsi" w:cstheme="minorHAnsi"/>
          <w:color w:val="222222"/>
          <w:sz w:val="24"/>
          <w:szCs w:val="24"/>
        </w:rPr>
        <w:t xml:space="preserve">around </w:t>
      </w:r>
      <w:bookmarkStart w:id="0" w:name="_GoBack"/>
      <w:bookmarkEnd w:id="0"/>
      <w:r w:rsidR="00EA1CC2">
        <w:rPr>
          <w:rFonts w:asciiTheme="minorHAnsi" w:hAnsiTheme="minorHAnsi" w:cstheme="minorHAnsi"/>
          <w:color w:val="222222"/>
          <w:sz w:val="24"/>
          <w:szCs w:val="24"/>
        </w:rPr>
        <w:t xml:space="preserve">19,000 </w:t>
      </w:r>
      <w:r>
        <w:rPr>
          <w:rFonts w:asciiTheme="minorHAnsi" w:hAnsiTheme="minorHAnsi" w:cstheme="minorHAnsi"/>
          <w:color w:val="222222"/>
          <w:sz w:val="24"/>
          <w:szCs w:val="24"/>
        </w:rPr>
        <w:t>in 2016</w:t>
      </w:r>
      <w:r w:rsidRPr="002F5080">
        <w:rPr>
          <w:rFonts w:asciiTheme="minorHAnsi" w:hAnsiTheme="minorHAnsi" w:cstheme="minorHAnsi"/>
          <w:color w:val="222222"/>
          <w:sz w:val="24"/>
          <w:szCs w:val="24"/>
        </w:rPr>
        <w:t>.</w:t>
      </w:r>
    </w:p>
    <w:p w14:paraId="380D77C8" w14:textId="77777777" w:rsidR="00F71269" w:rsidRDefault="00F50131" w:rsidP="00FE4815">
      <w:pPr>
        <w:pStyle w:val="NormalWeb"/>
        <w:numPr>
          <w:ilvl w:val="0"/>
          <w:numId w:val="2"/>
        </w:numPr>
        <w:spacing w:after="0" w:line="300" w:lineRule="atLeast"/>
        <w:rPr>
          <w:rFonts w:asciiTheme="minorHAnsi" w:hAnsiTheme="minorHAnsi" w:cstheme="minorHAnsi"/>
        </w:rPr>
      </w:pPr>
      <w:r>
        <w:rPr>
          <w:rFonts w:asciiTheme="minorHAnsi" w:hAnsiTheme="minorHAnsi" w:cstheme="minorHAnsi"/>
        </w:rPr>
        <w:t>The number of</w:t>
      </w:r>
      <w:r w:rsidR="00FE4815" w:rsidRPr="00FE4815">
        <w:rPr>
          <w:rFonts w:asciiTheme="minorHAnsi" w:hAnsiTheme="minorHAnsi" w:cstheme="minorHAnsi"/>
        </w:rPr>
        <w:t xml:space="preserve"> patient</w:t>
      </w:r>
      <w:r w:rsidR="00B96CC1">
        <w:rPr>
          <w:rFonts w:asciiTheme="minorHAnsi" w:hAnsiTheme="minorHAnsi" w:cstheme="minorHAnsi"/>
        </w:rPr>
        <w:t xml:space="preserve">s </w:t>
      </w:r>
      <w:proofErr w:type="gramStart"/>
      <w:r w:rsidR="00B96CC1">
        <w:rPr>
          <w:rFonts w:asciiTheme="minorHAnsi" w:hAnsiTheme="minorHAnsi" w:cstheme="minorHAnsi"/>
        </w:rPr>
        <w:t>being treated</w:t>
      </w:r>
      <w:proofErr w:type="gramEnd"/>
      <w:r w:rsidR="00B96CC1">
        <w:rPr>
          <w:rFonts w:asciiTheme="minorHAnsi" w:hAnsiTheme="minorHAnsi" w:cstheme="minorHAnsi"/>
        </w:rPr>
        <w:t xml:space="preserve"> with biologics</w:t>
      </w:r>
      <w:r w:rsidR="00FE4815" w:rsidRPr="00FE4815">
        <w:rPr>
          <w:rFonts w:asciiTheme="minorHAnsi" w:hAnsiTheme="minorHAnsi" w:cstheme="minorHAnsi"/>
        </w:rPr>
        <w:t xml:space="preserve"> incre</w:t>
      </w:r>
      <w:r w:rsidR="00B96CC1">
        <w:rPr>
          <w:rFonts w:asciiTheme="minorHAnsi" w:hAnsiTheme="minorHAnsi" w:cstheme="minorHAnsi"/>
        </w:rPr>
        <w:t>ased by over 60%</w:t>
      </w:r>
      <w:r w:rsidR="00FE4815" w:rsidRPr="00FE4815">
        <w:rPr>
          <w:rFonts w:asciiTheme="minorHAnsi" w:hAnsiTheme="minorHAnsi" w:cstheme="minorHAnsi"/>
        </w:rPr>
        <w:t>, from 3,185 patients in the first quarter of 2014 to 5,144 patient</w:t>
      </w:r>
      <w:r w:rsidR="00FE4815">
        <w:rPr>
          <w:rFonts w:asciiTheme="minorHAnsi" w:hAnsiTheme="minorHAnsi" w:cstheme="minorHAnsi"/>
        </w:rPr>
        <w:t xml:space="preserve">s in the last quarter of 2016. </w:t>
      </w:r>
      <w:r w:rsidR="00FE4815" w:rsidRPr="00FE4815">
        <w:rPr>
          <w:rFonts w:asciiTheme="minorHAnsi" w:hAnsiTheme="minorHAnsi" w:cstheme="minorHAnsi"/>
        </w:rPr>
        <w:t>Ustekinumab was the most commonly used</w:t>
      </w:r>
      <w:r w:rsidR="00FE4815">
        <w:rPr>
          <w:rFonts w:asciiTheme="minorHAnsi" w:hAnsiTheme="minorHAnsi" w:cstheme="minorHAnsi"/>
        </w:rPr>
        <w:t xml:space="preserve"> </w:t>
      </w:r>
      <w:r w:rsidR="00FE4815" w:rsidRPr="00FE4815">
        <w:rPr>
          <w:rFonts w:asciiTheme="minorHAnsi" w:hAnsiTheme="minorHAnsi" w:cstheme="minorHAnsi"/>
        </w:rPr>
        <w:t>biologic, with 46% of patient</w:t>
      </w:r>
      <w:r w:rsidR="00B96CC1">
        <w:rPr>
          <w:rFonts w:asciiTheme="minorHAnsi" w:hAnsiTheme="minorHAnsi" w:cstheme="minorHAnsi"/>
        </w:rPr>
        <w:t>s being treated with</w:t>
      </w:r>
      <w:r w:rsidR="00FE4815" w:rsidRPr="00FE4815">
        <w:rPr>
          <w:rFonts w:asciiTheme="minorHAnsi" w:hAnsiTheme="minorHAnsi" w:cstheme="minorHAnsi"/>
        </w:rPr>
        <w:t xml:space="preserve"> this biologic in 2016.</w:t>
      </w:r>
      <w:r w:rsidR="00FE4815">
        <w:rPr>
          <w:rFonts w:asciiTheme="minorHAnsi" w:hAnsiTheme="minorHAnsi" w:cstheme="minorHAnsi"/>
        </w:rPr>
        <w:t xml:space="preserve"> </w:t>
      </w:r>
    </w:p>
    <w:p w14:paraId="77B900AE" w14:textId="248F8712" w:rsidR="00FE4815" w:rsidRPr="00FE4815" w:rsidRDefault="00FE4815" w:rsidP="00FE4815">
      <w:pPr>
        <w:pStyle w:val="ListParagraph"/>
        <w:numPr>
          <w:ilvl w:val="0"/>
          <w:numId w:val="2"/>
        </w:numPr>
        <w:rPr>
          <w:rFonts w:asciiTheme="minorHAnsi" w:hAnsiTheme="minorHAnsi" w:cstheme="minorHAnsi"/>
          <w:color w:val="222222"/>
          <w:sz w:val="24"/>
          <w:szCs w:val="24"/>
        </w:rPr>
      </w:pPr>
      <w:r w:rsidRPr="00FE4815">
        <w:rPr>
          <w:rFonts w:asciiTheme="minorHAnsi" w:hAnsiTheme="minorHAnsi" w:cstheme="minorHAnsi"/>
          <w:color w:val="222222"/>
          <w:sz w:val="24"/>
          <w:szCs w:val="24"/>
        </w:rPr>
        <w:lastRenderedPageBreak/>
        <w:t>Commonwealth expe</w:t>
      </w:r>
      <w:r w:rsidR="00AA5188">
        <w:rPr>
          <w:rFonts w:asciiTheme="minorHAnsi" w:hAnsiTheme="minorHAnsi" w:cstheme="minorHAnsi"/>
          <w:color w:val="222222"/>
          <w:sz w:val="24"/>
          <w:szCs w:val="24"/>
        </w:rPr>
        <w:t>nditure on biologics for CPP</w:t>
      </w:r>
      <w:r w:rsidRPr="00FE4815">
        <w:rPr>
          <w:rFonts w:asciiTheme="minorHAnsi" w:hAnsiTheme="minorHAnsi" w:cstheme="minorHAnsi"/>
          <w:color w:val="222222"/>
          <w:sz w:val="24"/>
          <w:szCs w:val="24"/>
        </w:rPr>
        <w:t xml:space="preserve"> increased from approximately $79 million in 2014 to approximately</w:t>
      </w:r>
      <w:r w:rsidR="00F50131">
        <w:rPr>
          <w:rFonts w:asciiTheme="minorHAnsi" w:hAnsiTheme="minorHAnsi" w:cstheme="minorHAnsi"/>
          <w:color w:val="222222"/>
          <w:sz w:val="24"/>
          <w:szCs w:val="24"/>
        </w:rPr>
        <w:t xml:space="preserve"> $121 million in 2016 (</w:t>
      </w:r>
      <w:r w:rsidR="00C1558A">
        <w:rPr>
          <w:rFonts w:asciiTheme="minorHAnsi" w:hAnsiTheme="minorHAnsi" w:cstheme="minorHAnsi"/>
          <w:color w:val="222222"/>
          <w:sz w:val="24"/>
          <w:szCs w:val="24"/>
        </w:rPr>
        <w:t xml:space="preserve">PBS </w:t>
      </w:r>
      <w:r w:rsidR="00F50131">
        <w:rPr>
          <w:rFonts w:asciiTheme="minorHAnsi" w:hAnsiTheme="minorHAnsi" w:cstheme="minorHAnsi"/>
          <w:color w:val="222222"/>
          <w:sz w:val="24"/>
          <w:szCs w:val="24"/>
        </w:rPr>
        <w:t>published prices)</w:t>
      </w:r>
      <w:r w:rsidRPr="00FE4815">
        <w:rPr>
          <w:rFonts w:asciiTheme="minorHAnsi" w:hAnsiTheme="minorHAnsi" w:cstheme="minorHAnsi"/>
          <w:color w:val="222222"/>
          <w:sz w:val="24"/>
          <w:szCs w:val="24"/>
        </w:rPr>
        <w:t xml:space="preserve">. </w:t>
      </w:r>
    </w:p>
    <w:p w14:paraId="0F5C08ED" w14:textId="77777777" w:rsidR="00322C19" w:rsidRPr="003E130A" w:rsidRDefault="00FE4815" w:rsidP="003E130A">
      <w:pPr>
        <w:spacing w:before="100" w:beforeAutospacing="1" w:line="300" w:lineRule="atLeast"/>
        <w:rPr>
          <w:rFonts w:asciiTheme="minorHAnsi" w:hAnsiTheme="minorHAnsi" w:cstheme="minorHAnsi"/>
          <w:i/>
          <w:color w:val="333333"/>
          <w:sz w:val="24"/>
          <w:szCs w:val="24"/>
        </w:rPr>
      </w:pPr>
      <w:proofErr w:type="spellStart"/>
      <w:r>
        <w:rPr>
          <w:rFonts w:asciiTheme="minorHAnsi" w:hAnsiTheme="minorHAnsi" w:cstheme="minorHAnsi"/>
          <w:i/>
          <w:color w:val="333333"/>
          <w:sz w:val="24"/>
          <w:szCs w:val="24"/>
        </w:rPr>
        <w:t>ToR</w:t>
      </w:r>
      <w:proofErr w:type="spellEnd"/>
      <w:r>
        <w:rPr>
          <w:rFonts w:asciiTheme="minorHAnsi" w:hAnsiTheme="minorHAnsi" w:cstheme="minorHAnsi"/>
          <w:i/>
          <w:color w:val="333333"/>
          <w:sz w:val="24"/>
          <w:szCs w:val="24"/>
        </w:rPr>
        <w:t xml:space="preserve"> 4: </w:t>
      </w:r>
      <w:r w:rsidR="005F32CC" w:rsidRPr="00F4541E">
        <w:rPr>
          <w:rFonts w:asciiTheme="minorHAnsi" w:hAnsiTheme="minorHAnsi" w:cstheme="minorHAnsi"/>
          <w:i/>
          <w:color w:val="333333"/>
          <w:sz w:val="24"/>
          <w:szCs w:val="24"/>
        </w:rPr>
        <w:t>Subject to the findings from Terms of Reference 1, 2 and 3, review the cost-effectiveness of biologics for severe chronic plaque psoriasis</w:t>
      </w:r>
    </w:p>
    <w:p w14:paraId="276B890B" w14:textId="159CBBA2" w:rsidR="00DB4BCD" w:rsidRDefault="00DB4BCD" w:rsidP="005B35B4">
      <w:pPr>
        <w:pStyle w:val="NormalWeb"/>
        <w:numPr>
          <w:ilvl w:val="0"/>
          <w:numId w:val="2"/>
        </w:numPr>
        <w:spacing w:before="240" w:after="0" w:line="300" w:lineRule="atLeast"/>
        <w:rPr>
          <w:rFonts w:asciiTheme="minorHAnsi" w:hAnsiTheme="minorHAnsi" w:cstheme="minorHAnsi"/>
        </w:rPr>
      </w:pPr>
      <w:r w:rsidRPr="000D2C57">
        <w:rPr>
          <w:rFonts w:asciiTheme="minorHAnsi" w:hAnsiTheme="minorHAnsi" w:cstheme="minorHAnsi"/>
        </w:rPr>
        <w:t>Considering the findings from Terms of Reference 1, 2 and 3, the P</w:t>
      </w:r>
      <w:r>
        <w:rPr>
          <w:rFonts w:asciiTheme="minorHAnsi" w:hAnsiTheme="minorHAnsi" w:cstheme="minorHAnsi"/>
        </w:rPr>
        <w:t>harmaceutical Benefits Advisory Committee (P</w:t>
      </w:r>
      <w:r w:rsidRPr="000D2C57">
        <w:rPr>
          <w:rFonts w:asciiTheme="minorHAnsi" w:hAnsiTheme="minorHAnsi" w:cstheme="minorHAnsi"/>
        </w:rPr>
        <w:t>BAC</w:t>
      </w:r>
      <w:r>
        <w:rPr>
          <w:rFonts w:asciiTheme="minorHAnsi" w:hAnsiTheme="minorHAnsi" w:cstheme="minorHAnsi"/>
        </w:rPr>
        <w:t>)</w:t>
      </w:r>
      <w:r w:rsidRPr="000D2C57">
        <w:rPr>
          <w:rFonts w:asciiTheme="minorHAnsi" w:hAnsiTheme="minorHAnsi" w:cstheme="minorHAnsi"/>
        </w:rPr>
        <w:t xml:space="preserve"> recommended a review of the cost-effectiveness</w:t>
      </w:r>
      <w:r w:rsidR="004573E6">
        <w:rPr>
          <w:rFonts w:asciiTheme="minorHAnsi" w:hAnsiTheme="minorHAnsi" w:cstheme="minorHAnsi"/>
        </w:rPr>
        <w:t xml:space="preserve"> (‘value for money’)</w:t>
      </w:r>
      <w:r w:rsidRPr="000D2C57">
        <w:rPr>
          <w:rFonts w:asciiTheme="minorHAnsi" w:hAnsiTheme="minorHAnsi" w:cstheme="minorHAnsi"/>
        </w:rPr>
        <w:t xml:space="preserve"> of biologics for severe </w:t>
      </w:r>
      <w:r w:rsidR="002F5080">
        <w:rPr>
          <w:rFonts w:asciiTheme="minorHAnsi" w:hAnsiTheme="minorHAnsi" w:cstheme="minorHAnsi"/>
        </w:rPr>
        <w:t>CPP</w:t>
      </w:r>
      <w:r w:rsidRPr="000D2C57">
        <w:rPr>
          <w:rFonts w:asciiTheme="minorHAnsi" w:hAnsiTheme="minorHAnsi" w:cstheme="minorHAnsi"/>
        </w:rPr>
        <w:t xml:space="preserve"> under Term of Reference 4</w:t>
      </w:r>
      <w:r>
        <w:rPr>
          <w:rFonts w:asciiTheme="minorHAnsi" w:hAnsiTheme="minorHAnsi" w:cstheme="minorHAnsi"/>
        </w:rPr>
        <w:t>.</w:t>
      </w:r>
    </w:p>
    <w:p w14:paraId="58CF2D5C" w14:textId="2F3372FC" w:rsidR="00EB24B8" w:rsidRPr="00F4541E" w:rsidRDefault="00B96CC1" w:rsidP="003E130A">
      <w:pPr>
        <w:pStyle w:val="NormalWeb"/>
        <w:numPr>
          <w:ilvl w:val="0"/>
          <w:numId w:val="2"/>
        </w:numPr>
        <w:spacing w:after="0" w:line="300" w:lineRule="atLeast"/>
        <w:rPr>
          <w:rFonts w:asciiTheme="minorHAnsi" w:hAnsiTheme="minorHAnsi" w:cstheme="minorHAnsi"/>
        </w:rPr>
      </w:pPr>
      <w:r>
        <w:rPr>
          <w:rFonts w:asciiTheme="minorHAnsi" w:hAnsiTheme="minorHAnsi" w:cstheme="minorHAnsi"/>
        </w:rPr>
        <w:t>The cost-effectiveness review</w:t>
      </w:r>
      <w:r w:rsidR="00DA10F8">
        <w:rPr>
          <w:rFonts w:asciiTheme="minorHAnsi" w:hAnsiTheme="minorHAnsi" w:cstheme="minorHAnsi"/>
        </w:rPr>
        <w:t xml:space="preserve"> (CER) </w:t>
      </w:r>
      <w:r w:rsidR="003A30DC">
        <w:rPr>
          <w:rFonts w:asciiTheme="minorHAnsi" w:hAnsiTheme="minorHAnsi" w:cstheme="minorHAnsi"/>
        </w:rPr>
        <w:t>found</w:t>
      </w:r>
      <w:r>
        <w:rPr>
          <w:rFonts w:asciiTheme="minorHAnsi" w:hAnsiTheme="minorHAnsi" w:cstheme="minorHAnsi"/>
        </w:rPr>
        <w:t xml:space="preserve"> that biologics are</w:t>
      </w:r>
      <w:r w:rsidR="003A30DC">
        <w:rPr>
          <w:rFonts w:asciiTheme="minorHAnsi" w:hAnsiTheme="minorHAnsi" w:cstheme="minorHAnsi"/>
        </w:rPr>
        <w:t xml:space="preserve"> </w:t>
      </w:r>
      <w:r w:rsidR="003E130A">
        <w:rPr>
          <w:rFonts w:asciiTheme="minorHAnsi" w:hAnsiTheme="minorHAnsi" w:cstheme="minorHAnsi"/>
        </w:rPr>
        <w:t xml:space="preserve">less </w:t>
      </w:r>
      <w:r w:rsidR="00EB24B8" w:rsidRPr="00F4541E">
        <w:rPr>
          <w:rFonts w:asciiTheme="minorHAnsi" w:hAnsiTheme="minorHAnsi" w:cstheme="minorHAnsi"/>
        </w:rPr>
        <w:t>cost-effective</w:t>
      </w:r>
      <w:r w:rsidR="003E130A">
        <w:rPr>
          <w:rFonts w:asciiTheme="minorHAnsi" w:hAnsiTheme="minorHAnsi" w:cstheme="minorHAnsi"/>
        </w:rPr>
        <w:t xml:space="preserve"> </w:t>
      </w:r>
      <w:r w:rsidR="003E130A" w:rsidRPr="003E130A">
        <w:rPr>
          <w:rFonts w:asciiTheme="minorHAnsi" w:hAnsiTheme="minorHAnsi" w:cstheme="minorHAnsi"/>
        </w:rPr>
        <w:t>(</w:t>
      </w:r>
      <w:r w:rsidR="003E130A">
        <w:rPr>
          <w:rFonts w:asciiTheme="minorHAnsi" w:hAnsiTheme="minorHAnsi" w:cstheme="minorHAnsi"/>
        </w:rPr>
        <w:t xml:space="preserve">provide less </w:t>
      </w:r>
      <w:r w:rsidR="003E130A" w:rsidRPr="003E130A">
        <w:rPr>
          <w:rFonts w:asciiTheme="minorHAnsi" w:hAnsiTheme="minorHAnsi" w:cstheme="minorHAnsi"/>
        </w:rPr>
        <w:t>‘value for money’)</w:t>
      </w:r>
      <w:r w:rsidR="00EB24B8" w:rsidRPr="00F4541E">
        <w:rPr>
          <w:rFonts w:asciiTheme="minorHAnsi" w:hAnsiTheme="minorHAnsi" w:cstheme="minorHAnsi"/>
        </w:rPr>
        <w:t xml:space="preserve"> in patients with less severe CPP</w:t>
      </w:r>
      <w:r>
        <w:rPr>
          <w:rFonts w:asciiTheme="minorHAnsi" w:hAnsiTheme="minorHAnsi" w:cstheme="minorHAnsi"/>
        </w:rPr>
        <w:t xml:space="preserve"> compared to those currently eligible for PBS-subsidised biologics</w:t>
      </w:r>
      <w:r w:rsidR="00EB24B8" w:rsidRPr="00F4541E">
        <w:rPr>
          <w:rFonts w:asciiTheme="minorHAnsi" w:hAnsiTheme="minorHAnsi" w:cstheme="minorHAnsi"/>
        </w:rPr>
        <w:t xml:space="preserve">. </w:t>
      </w:r>
      <w:r w:rsidR="00322C19" w:rsidRPr="00F4541E">
        <w:rPr>
          <w:rFonts w:asciiTheme="minorHAnsi" w:hAnsiTheme="minorHAnsi" w:cstheme="minorHAnsi"/>
        </w:rPr>
        <w:t xml:space="preserve"> </w:t>
      </w:r>
    </w:p>
    <w:p w14:paraId="7639AAC8" w14:textId="5A2C3311" w:rsidR="004573E6" w:rsidRDefault="004573E6" w:rsidP="004E3D86"/>
    <w:p w14:paraId="4403FC12" w14:textId="77777777" w:rsidR="005B35B4" w:rsidRDefault="005B35B4" w:rsidP="003A30DC">
      <w:pPr>
        <w:pStyle w:val="Heading2"/>
        <w:spacing w:after="240"/>
        <w:ind w:left="0" w:firstLine="0"/>
        <w:rPr>
          <w:rFonts w:asciiTheme="minorHAnsi" w:hAnsiTheme="minorHAnsi" w:cstheme="minorHAnsi"/>
          <w:sz w:val="24"/>
          <w:szCs w:val="24"/>
        </w:rPr>
      </w:pPr>
    </w:p>
    <w:p w14:paraId="2B0CFA2D" w14:textId="53782A84" w:rsidR="00F71269" w:rsidRPr="00F4541E" w:rsidRDefault="00F71269" w:rsidP="003A30DC">
      <w:pPr>
        <w:pStyle w:val="Heading2"/>
        <w:spacing w:after="240"/>
        <w:ind w:left="0" w:firstLine="0"/>
        <w:rPr>
          <w:rFonts w:asciiTheme="minorHAnsi" w:hAnsiTheme="minorHAnsi" w:cstheme="minorHAnsi"/>
          <w:sz w:val="24"/>
          <w:szCs w:val="24"/>
        </w:rPr>
      </w:pPr>
      <w:r w:rsidRPr="00F4541E">
        <w:rPr>
          <w:rFonts w:asciiTheme="minorHAnsi" w:hAnsiTheme="minorHAnsi" w:cstheme="minorHAnsi"/>
          <w:sz w:val="24"/>
          <w:szCs w:val="24"/>
        </w:rPr>
        <w:t>Outcomes</w:t>
      </w:r>
    </w:p>
    <w:p w14:paraId="2BE656C8" w14:textId="1C7A60DC" w:rsidR="00F71269" w:rsidRDefault="00DB1DDE" w:rsidP="00F71269">
      <w:pPr>
        <w:spacing w:after="100" w:afterAutospacing="1" w:line="300" w:lineRule="atLeast"/>
        <w:rPr>
          <w:rFonts w:asciiTheme="minorHAnsi" w:hAnsiTheme="minorHAnsi" w:cstheme="minorHAnsi"/>
          <w:sz w:val="24"/>
          <w:szCs w:val="24"/>
          <w:lang w:eastAsia="en-US"/>
        </w:rPr>
      </w:pPr>
      <w:r w:rsidRPr="00F4541E">
        <w:rPr>
          <w:rFonts w:asciiTheme="minorHAnsi" w:hAnsiTheme="minorHAnsi" w:cstheme="minorHAnsi"/>
          <w:sz w:val="24"/>
          <w:szCs w:val="24"/>
          <w:lang w:eastAsia="en-US"/>
        </w:rPr>
        <w:t>The PBAC considered the</w:t>
      </w:r>
      <w:r w:rsidR="003A30DC">
        <w:rPr>
          <w:rFonts w:asciiTheme="minorHAnsi" w:hAnsiTheme="minorHAnsi" w:cstheme="minorHAnsi"/>
          <w:sz w:val="24"/>
          <w:szCs w:val="24"/>
          <w:lang w:eastAsia="en-US"/>
        </w:rPr>
        <w:t xml:space="preserve"> PMR report addressing </w:t>
      </w:r>
      <w:proofErr w:type="spellStart"/>
      <w:r w:rsidR="003A30DC">
        <w:rPr>
          <w:rFonts w:asciiTheme="minorHAnsi" w:hAnsiTheme="minorHAnsi" w:cstheme="minorHAnsi"/>
          <w:sz w:val="24"/>
          <w:szCs w:val="24"/>
          <w:lang w:eastAsia="en-US"/>
        </w:rPr>
        <w:t>ToRs</w:t>
      </w:r>
      <w:proofErr w:type="spellEnd"/>
      <w:r w:rsidR="003A30DC">
        <w:rPr>
          <w:rFonts w:asciiTheme="minorHAnsi" w:hAnsiTheme="minorHAnsi" w:cstheme="minorHAnsi"/>
          <w:sz w:val="24"/>
          <w:szCs w:val="24"/>
          <w:lang w:eastAsia="en-US"/>
        </w:rPr>
        <w:t xml:space="preserve"> 1-3 in April 2018 and the</w:t>
      </w:r>
      <w:r w:rsidRPr="00F4541E">
        <w:rPr>
          <w:rFonts w:asciiTheme="minorHAnsi" w:hAnsiTheme="minorHAnsi" w:cstheme="minorHAnsi"/>
          <w:sz w:val="24"/>
          <w:szCs w:val="24"/>
          <w:lang w:eastAsia="en-US"/>
        </w:rPr>
        <w:t xml:space="preserve"> CER</w:t>
      </w:r>
      <w:r w:rsidR="003A30DC">
        <w:rPr>
          <w:rFonts w:asciiTheme="minorHAnsi" w:hAnsiTheme="minorHAnsi" w:cstheme="minorHAnsi"/>
          <w:sz w:val="24"/>
          <w:szCs w:val="24"/>
          <w:lang w:eastAsia="en-US"/>
        </w:rPr>
        <w:t xml:space="preserve"> report</w:t>
      </w:r>
      <w:r w:rsidRPr="00F4541E">
        <w:rPr>
          <w:rFonts w:asciiTheme="minorHAnsi" w:hAnsiTheme="minorHAnsi" w:cstheme="minorHAnsi"/>
          <w:sz w:val="24"/>
          <w:szCs w:val="24"/>
          <w:lang w:eastAsia="en-US"/>
        </w:rPr>
        <w:t xml:space="preserve"> in July 2020</w:t>
      </w:r>
      <w:r w:rsidR="003A30DC">
        <w:rPr>
          <w:rFonts w:asciiTheme="minorHAnsi" w:hAnsiTheme="minorHAnsi" w:cstheme="minorHAnsi"/>
          <w:sz w:val="24"/>
          <w:szCs w:val="24"/>
          <w:lang w:eastAsia="en-US"/>
        </w:rPr>
        <w:t>. The PBAC’s</w:t>
      </w:r>
      <w:r w:rsidR="00F71269" w:rsidRPr="00F4541E">
        <w:rPr>
          <w:rFonts w:asciiTheme="minorHAnsi" w:hAnsiTheme="minorHAnsi" w:cstheme="minorHAnsi"/>
          <w:sz w:val="24"/>
          <w:szCs w:val="24"/>
          <w:lang w:eastAsia="en-US"/>
        </w:rPr>
        <w:t xml:space="preserve"> recommendation</w:t>
      </w:r>
      <w:r w:rsidR="003A30DC">
        <w:rPr>
          <w:rFonts w:asciiTheme="minorHAnsi" w:hAnsiTheme="minorHAnsi" w:cstheme="minorHAnsi"/>
          <w:sz w:val="24"/>
          <w:szCs w:val="24"/>
          <w:lang w:eastAsia="en-US"/>
        </w:rPr>
        <w:t>s</w:t>
      </w:r>
      <w:r w:rsidR="00F71269" w:rsidRPr="00F4541E">
        <w:rPr>
          <w:rFonts w:asciiTheme="minorHAnsi" w:hAnsiTheme="minorHAnsi" w:cstheme="minorHAnsi"/>
          <w:sz w:val="24"/>
          <w:szCs w:val="24"/>
          <w:lang w:eastAsia="en-US"/>
        </w:rPr>
        <w:t xml:space="preserve"> to the Minister for Health</w:t>
      </w:r>
      <w:r w:rsidR="00AA5188">
        <w:rPr>
          <w:rFonts w:asciiTheme="minorHAnsi" w:hAnsiTheme="minorHAnsi" w:cstheme="minorHAnsi"/>
          <w:sz w:val="24"/>
          <w:szCs w:val="24"/>
          <w:lang w:eastAsia="en-US"/>
        </w:rPr>
        <w:t xml:space="preserve"> from these meetings</w:t>
      </w:r>
      <w:r w:rsidR="00F71269" w:rsidRPr="00F4541E">
        <w:rPr>
          <w:rFonts w:asciiTheme="minorHAnsi" w:hAnsiTheme="minorHAnsi" w:cstheme="minorHAnsi"/>
          <w:sz w:val="24"/>
          <w:szCs w:val="24"/>
          <w:lang w:eastAsia="en-US"/>
        </w:rPr>
        <w:t xml:space="preserve"> </w:t>
      </w:r>
      <w:r w:rsidR="001C0149">
        <w:rPr>
          <w:rFonts w:asciiTheme="minorHAnsi" w:hAnsiTheme="minorHAnsi" w:cstheme="minorHAnsi"/>
          <w:sz w:val="24"/>
          <w:szCs w:val="24"/>
          <w:lang w:eastAsia="en-US"/>
        </w:rPr>
        <w:t xml:space="preserve">and the PMR report is available on the </w:t>
      </w:r>
      <w:hyperlink r:id="rId8" w:history="1">
        <w:r w:rsidR="001C0149" w:rsidRPr="001C0149">
          <w:rPr>
            <w:rStyle w:val="Hyperlink"/>
            <w:rFonts w:asciiTheme="minorHAnsi" w:hAnsiTheme="minorHAnsi" w:cstheme="minorHAnsi"/>
            <w:sz w:val="24"/>
            <w:szCs w:val="24"/>
            <w:lang w:eastAsia="en-US"/>
          </w:rPr>
          <w:t>Review webpage</w:t>
        </w:r>
      </w:hyperlink>
      <w:r w:rsidR="001C0149">
        <w:rPr>
          <w:rFonts w:asciiTheme="minorHAnsi" w:hAnsiTheme="minorHAnsi" w:cstheme="minorHAnsi"/>
          <w:sz w:val="24"/>
          <w:szCs w:val="24"/>
          <w:lang w:eastAsia="en-US"/>
        </w:rPr>
        <w:t>.</w:t>
      </w:r>
    </w:p>
    <w:p w14:paraId="6E7E6339" w14:textId="39C27F66" w:rsidR="00DB4BCD" w:rsidRPr="000D2C57" w:rsidRDefault="00DB4BCD" w:rsidP="00F71269">
      <w:pPr>
        <w:spacing w:after="100" w:afterAutospacing="1" w:line="300" w:lineRule="atLeast"/>
        <w:rPr>
          <w:rFonts w:asciiTheme="minorHAnsi" w:hAnsiTheme="minorHAnsi" w:cstheme="minorHAnsi"/>
          <w:sz w:val="24"/>
          <w:szCs w:val="24"/>
          <w:lang w:eastAsia="en-US"/>
        </w:rPr>
      </w:pPr>
    </w:p>
    <w:sectPr w:rsidR="00DB4BCD" w:rsidRPr="000D2C5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F985D" w14:textId="77777777" w:rsidR="00F50131" w:rsidRDefault="00F50131" w:rsidP="00F50131">
      <w:r>
        <w:separator/>
      </w:r>
    </w:p>
  </w:endnote>
  <w:endnote w:type="continuationSeparator" w:id="0">
    <w:p w14:paraId="70A5D7DE" w14:textId="77777777" w:rsidR="00F50131" w:rsidRDefault="00F50131" w:rsidP="00F5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1F66B" w14:textId="77777777" w:rsidR="00AD2BEA" w:rsidRDefault="00AD2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71360"/>
      <w:docPartObj>
        <w:docPartGallery w:val="Page Numbers (Bottom of Page)"/>
        <w:docPartUnique/>
      </w:docPartObj>
    </w:sdtPr>
    <w:sdtEndPr>
      <w:rPr>
        <w:noProof/>
      </w:rPr>
    </w:sdtEndPr>
    <w:sdtContent>
      <w:p w14:paraId="50AD48DA" w14:textId="7FC7C8E6" w:rsidR="00E04639" w:rsidRDefault="00E04639">
        <w:pPr>
          <w:pStyle w:val="Footer"/>
          <w:jc w:val="center"/>
        </w:pPr>
        <w:r>
          <w:fldChar w:fldCharType="begin"/>
        </w:r>
        <w:r>
          <w:instrText xml:space="preserve"> PAGE   \* MERGEFORMAT </w:instrText>
        </w:r>
        <w:r>
          <w:fldChar w:fldCharType="separate"/>
        </w:r>
        <w:r w:rsidR="00930F07">
          <w:rPr>
            <w:noProof/>
          </w:rPr>
          <w:t>3</w:t>
        </w:r>
        <w:r>
          <w:rPr>
            <w:noProof/>
          </w:rPr>
          <w:fldChar w:fldCharType="end"/>
        </w:r>
      </w:p>
    </w:sdtContent>
  </w:sdt>
  <w:p w14:paraId="22D0A6E4" w14:textId="77777777" w:rsidR="00E04639" w:rsidRDefault="00E04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9CD1D" w14:textId="77777777" w:rsidR="00AD2BEA" w:rsidRDefault="00AD2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E773B" w14:textId="77777777" w:rsidR="00F50131" w:rsidRDefault="00F50131" w:rsidP="00F50131">
      <w:r>
        <w:separator/>
      </w:r>
    </w:p>
  </w:footnote>
  <w:footnote w:type="continuationSeparator" w:id="0">
    <w:p w14:paraId="7CC3BD38" w14:textId="77777777" w:rsidR="00F50131" w:rsidRDefault="00F50131" w:rsidP="00F50131">
      <w:r>
        <w:continuationSeparator/>
      </w:r>
    </w:p>
  </w:footnote>
  <w:footnote w:id="1">
    <w:p w14:paraId="48A9107A" w14:textId="7C36A46F" w:rsidR="006E7A21" w:rsidRPr="005B35B4" w:rsidRDefault="006E7A21">
      <w:pPr>
        <w:pStyle w:val="FootnoteText"/>
        <w:rPr>
          <w:rFonts w:asciiTheme="minorHAnsi" w:hAnsiTheme="minorHAnsi" w:cstheme="minorHAnsi"/>
        </w:rPr>
      </w:pPr>
      <w:r>
        <w:rPr>
          <w:rStyle w:val="FootnoteReference"/>
        </w:rPr>
        <w:footnoteRef/>
      </w:r>
      <w:r>
        <w:t xml:space="preserve"> </w:t>
      </w:r>
      <w:r w:rsidR="005B35B4" w:rsidRPr="005B35B4">
        <w:rPr>
          <w:rFonts w:asciiTheme="minorHAnsi" w:hAnsiTheme="minorHAnsi" w:cstheme="minorHAnsi"/>
        </w:rPr>
        <w:t xml:space="preserve">Baker C, Mack A, Cooper A, Fischer G, </w:t>
      </w:r>
      <w:proofErr w:type="spellStart"/>
      <w:r w:rsidR="005B35B4" w:rsidRPr="005B35B4">
        <w:rPr>
          <w:rFonts w:asciiTheme="minorHAnsi" w:hAnsiTheme="minorHAnsi" w:cstheme="minorHAnsi"/>
        </w:rPr>
        <w:t>Shumack</w:t>
      </w:r>
      <w:proofErr w:type="spellEnd"/>
      <w:r w:rsidR="005B35B4" w:rsidRPr="005B35B4">
        <w:rPr>
          <w:rFonts w:asciiTheme="minorHAnsi" w:hAnsiTheme="minorHAnsi" w:cstheme="minorHAnsi"/>
        </w:rPr>
        <w:t xml:space="preserve"> S, Sidhu S, et al. Treatment goals for moderate to severe psoriasis: an Australian consensus.[Erratum appears in </w:t>
      </w:r>
      <w:proofErr w:type="spellStart"/>
      <w:r w:rsidR="005B35B4" w:rsidRPr="005B35B4">
        <w:rPr>
          <w:rFonts w:asciiTheme="minorHAnsi" w:hAnsiTheme="minorHAnsi" w:cstheme="minorHAnsi"/>
        </w:rPr>
        <w:t>Australas</w:t>
      </w:r>
      <w:proofErr w:type="spellEnd"/>
      <w:r w:rsidR="005B35B4" w:rsidRPr="005B35B4">
        <w:rPr>
          <w:rFonts w:asciiTheme="minorHAnsi" w:hAnsiTheme="minorHAnsi" w:cstheme="minorHAnsi"/>
        </w:rPr>
        <w:t xml:space="preserve"> J </w:t>
      </w:r>
      <w:proofErr w:type="spellStart"/>
      <w:r w:rsidR="005B35B4" w:rsidRPr="005B35B4">
        <w:rPr>
          <w:rFonts w:asciiTheme="minorHAnsi" w:hAnsiTheme="minorHAnsi" w:cstheme="minorHAnsi"/>
        </w:rPr>
        <w:t>Dermatol</w:t>
      </w:r>
      <w:proofErr w:type="spellEnd"/>
      <w:r w:rsidR="005B35B4" w:rsidRPr="005B35B4">
        <w:rPr>
          <w:rFonts w:asciiTheme="minorHAnsi" w:hAnsiTheme="minorHAnsi" w:cstheme="minorHAnsi"/>
        </w:rPr>
        <w:t xml:space="preserve">. 2014 Feb;55(1):94 Note: </w:t>
      </w:r>
      <w:proofErr w:type="spellStart"/>
      <w:r w:rsidR="005B35B4" w:rsidRPr="005B35B4">
        <w:rPr>
          <w:rFonts w:asciiTheme="minorHAnsi" w:hAnsiTheme="minorHAnsi" w:cstheme="minorHAnsi"/>
        </w:rPr>
        <w:t>Soyer</w:t>
      </w:r>
      <w:proofErr w:type="spellEnd"/>
      <w:r w:rsidR="005B35B4" w:rsidRPr="005B35B4">
        <w:rPr>
          <w:rFonts w:asciiTheme="minorHAnsi" w:hAnsiTheme="minorHAnsi" w:cstheme="minorHAnsi"/>
        </w:rPr>
        <w:t xml:space="preserve">, Peter [corrected to </w:t>
      </w:r>
      <w:proofErr w:type="spellStart"/>
      <w:r w:rsidR="005B35B4" w:rsidRPr="005B35B4">
        <w:rPr>
          <w:rFonts w:asciiTheme="minorHAnsi" w:hAnsiTheme="minorHAnsi" w:cstheme="minorHAnsi"/>
        </w:rPr>
        <w:t>Soyer</w:t>
      </w:r>
      <w:proofErr w:type="spellEnd"/>
      <w:r w:rsidR="005B35B4" w:rsidRPr="005B35B4">
        <w:rPr>
          <w:rFonts w:asciiTheme="minorHAnsi" w:hAnsiTheme="minorHAnsi" w:cstheme="minorHAnsi"/>
        </w:rPr>
        <w:t xml:space="preserve">, H Peter]]. Australasian Journal of </w:t>
      </w:r>
      <w:proofErr w:type="gramStart"/>
      <w:r w:rsidR="005B35B4" w:rsidRPr="005B35B4">
        <w:rPr>
          <w:rFonts w:asciiTheme="minorHAnsi" w:hAnsiTheme="minorHAnsi" w:cstheme="minorHAnsi"/>
        </w:rPr>
        <w:t>Dermatology.54(</w:t>
      </w:r>
      <w:proofErr w:type="gramEnd"/>
      <w:r w:rsidR="005B35B4" w:rsidRPr="005B35B4">
        <w:rPr>
          <w:rFonts w:asciiTheme="minorHAnsi" w:hAnsiTheme="minorHAnsi" w:cstheme="minorHAnsi"/>
        </w:rPr>
        <w:t>2):148-54.</w:t>
      </w:r>
      <w:r w:rsidRPr="005B35B4">
        <w:rPr>
          <w:rFonts w:asciiTheme="minorHAnsi" w:hAnsiTheme="minorHAnsi" w:cstheme="minorHAnsi"/>
        </w:rPr>
        <w:t>.</w:t>
      </w:r>
    </w:p>
  </w:footnote>
  <w:footnote w:id="2">
    <w:p w14:paraId="3BB22EE3" w14:textId="6D36F71A" w:rsidR="006E7A21" w:rsidRDefault="006E7A21">
      <w:pPr>
        <w:pStyle w:val="FootnoteText"/>
      </w:pPr>
      <w:r w:rsidRPr="005B35B4">
        <w:rPr>
          <w:rStyle w:val="FootnoteReference"/>
          <w:rFonts w:asciiTheme="minorHAnsi" w:hAnsiTheme="minorHAnsi" w:cstheme="minorHAnsi"/>
        </w:rPr>
        <w:footnoteRef/>
      </w:r>
      <w:r w:rsidRPr="005B35B4">
        <w:rPr>
          <w:rFonts w:asciiTheme="minorHAnsi" w:hAnsiTheme="minorHAnsi" w:cstheme="minorHAnsi"/>
        </w:rPr>
        <w:t xml:space="preserve"> The Australasian College of Dermatologists. Treatment goals for psoriasis: The Australian Psoriasis Treatment Goals Project https://www.dermcoll.edu.au/wp-content/uploads/ACD-Consensus-Statement-Treatment-goals-for-psoriasis-March-2017.pdf2017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6F171" w14:textId="77777777" w:rsidR="00AD2BEA" w:rsidRDefault="00AD2B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B7F2F" w14:textId="77777777" w:rsidR="00AD2BEA" w:rsidRDefault="00AD2B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A834D" w14:textId="77777777" w:rsidR="00AD2BEA" w:rsidRDefault="00AD2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A1985"/>
    <w:multiLevelType w:val="hybridMultilevel"/>
    <w:tmpl w:val="410A6748"/>
    <w:lvl w:ilvl="0" w:tplc="FED4D8AA">
      <w:numFmt w:val="bullet"/>
      <w:lvlText w:val="-"/>
      <w:lvlJc w:val="left"/>
      <w:pPr>
        <w:ind w:left="1440" w:hanging="360"/>
      </w:pPr>
      <w:rPr>
        <w:rFonts w:ascii="Calibri" w:eastAsia="Times New Roman"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33A74FDD"/>
    <w:multiLevelType w:val="multilevel"/>
    <w:tmpl w:val="89AC07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A13FEF"/>
    <w:multiLevelType w:val="hybridMultilevel"/>
    <w:tmpl w:val="D75A371A"/>
    <w:lvl w:ilvl="0" w:tplc="2BE45588">
      <w:numFmt w:val="bullet"/>
      <w:lvlText w:val="-"/>
      <w:lvlJc w:val="left"/>
      <w:pPr>
        <w:ind w:left="1080" w:hanging="360"/>
      </w:pPr>
      <w:rPr>
        <w:rFonts w:ascii="Calibri" w:eastAsia="Times New Roman" w:hAnsi="Calibri"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F3179BD"/>
    <w:multiLevelType w:val="multilevel"/>
    <w:tmpl w:val="257E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D12B64"/>
    <w:multiLevelType w:val="hybridMultilevel"/>
    <w:tmpl w:val="25A0E018"/>
    <w:lvl w:ilvl="0" w:tplc="FED4D8AA">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1F84E87"/>
    <w:multiLevelType w:val="multilevel"/>
    <w:tmpl w:val="99E8F05A"/>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F8289B"/>
    <w:multiLevelType w:val="hybridMultilevel"/>
    <w:tmpl w:val="E604CB82"/>
    <w:lvl w:ilvl="0" w:tplc="6056252E">
      <w:start w:val="1"/>
      <w:numFmt w:val="bullet"/>
      <w:lvlText w:val="-"/>
      <w:lvlJc w:val="left"/>
      <w:pPr>
        <w:ind w:left="1446" w:hanging="360"/>
      </w:pPr>
      <w:rPr>
        <w:rFonts w:ascii="Courier New" w:hAnsi="Courier New"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7" w15:restartNumberingAfterBreak="0">
    <w:nsid w:val="7C1E57E8"/>
    <w:multiLevelType w:val="multilevel"/>
    <w:tmpl w:val="41526A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7"/>
  </w:num>
  <w:num w:numId="2">
    <w:abstractNumId w:val="5"/>
  </w:num>
  <w:num w:numId="3">
    <w:abstractNumId w:val="1"/>
  </w:num>
  <w:num w:numId="4">
    <w:abstractNumId w:val="4"/>
  </w:num>
  <w:num w:numId="5">
    <w:abstractNumId w:val="0"/>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269"/>
    <w:rsid w:val="00003743"/>
    <w:rsid w:val="00036D83"/>
    <w:rsid w:val="00067456"/>
    <w:rsid w:val="000A3EFE"/>
    <w:rsid w:val="000C4FA7"/>
    <w:rsid w:val="000D2C57"/>
    <w:rsid w:val="001047BD"/>
    <w:rsid w:val="00162D65"/>
    <w:rsid w:val="001A0A10"/>
    <w:rsid w:val="001B3443"/>
    <w:rsid w:val="001C0149"/>
    <w:rsid w:val="00225FDA"/>
    <w:rsid w:val="002650F6"/>
    <w:rsid w:val="00296F62"/>
    <w:rsid w:val="002B1986"/>
    <w:rsid w:val="002D5441"/>
    <w:rsid w:val="002D5C62"/>
    <w:rsid w:val="002F3AE3"/>
    <w:rsid w:val="002F5080"/>
    <w:rsid w:val="00302A54"/>
    <w:rsid w:val="0030786C"/>
    <w:rsid w:val="00322C19"/>
    <w:rsid w:val="00337C7A"/>
    <w:rsid w:val="003A30DC"/>
    <w:rsid w:val="003B187B"/>
    <w:rsid w:val="003D17F9"/>
    <w:rsid w:val="003E130A"/>
    <w:rsid w:val="004018FE"/>
    <w:rsid w:val="00436E28"/>
    <w:rsid w:val="004573E6"/>
    <w:rsid w:val="0047512E"/>
    <w:rsid w:val="004867E2"/>
    <w:rsid w:val="004B375A"/>
    <w:rsid w:val="004E3D86"/>
    <w:rsid w:val="00500090"/>
    <w:rsid w:val="005105E0"/>
    <w:rsid w:val="00515743"/>
    <w:rsid w:val="00521601"/>
    <w:rsid w:val="005755CD"/>
    <w:rsid w:val="005B35B4"/>
    <w:rsid w:val="005F32CC"/>
    <w:rsid w:val="00624DEC"/>
    <w:rsid w:val="006416B3"/>
    <w:rsid w:val="00646829"/>
    <w:rsid w:val="006B4DDE"/>
    <w:rsid w:val="006E7A21"/>
    <w:rsid w:val="007326A9"/>
    <w:rsid w:val="007365E4"/>
    <w:rsid w:val="00736C3A"/>
    <w:rsid w:val="00761C2A"/>
    <w:rsid w:val="007713CA"/>
    <w:rsid w:val="00795077"/>
    <w:rsid w:val="008264EB"/>
    <w:rsid w:val="00890D17"/>
    <w:rsid w:val="008B7FAF"/>
    <w:rsid w:val="008C0B61"/>
    <w:rsid w:val="008C1299"/>
    <w:rsid w:val="0090344B"/>
    <w:rsid w:val="00923590"/>
    <w:rsid w:val="00930F07"/>
    <w:rsid w:val="009C6F8B"/>
    <w:rsid w:val="00A4512D"/>
    <w:rsid w:val="00A56AAE"/>
    <w:rsid w:val="00A705AF"/>
    <w:rsid w:val="00A85D8F"/>
    <w:rsid w:val="00AA5188"/>
    <w:rsid w:val="00AB06E5"/>
    <w:rsid w:val="00AD2BEA"/>
    <w:rsid w:val="00B42851"/>
    <w:rsid w:val="00B46BDF"/>
    <w:rsid w:val="00B60ED5"/>
    <w:rsid w:val="00B6110C"/>
    <w:rsid w:val="00B85F79"/>
    <w:rsid w:val="00B96CC1"/>
    <w:rsid w:val="00BB0280"/>
    <w:rsid w:val="00C1558A"/>
    <w:rsid w:val="00C26B48"/>
    <w:rsid w:val="00C5452A"/>
    <w:rsid w:val="00C774E3"/>
    <w:rsid w:val="00C93376"/>
    <w:rsid w:val="00CB5B1A"/>
    <w:rsid w:val="00D079DE"/>
    <w:rsid w:val="00D1235F"/>
    <w:rsid w:val="00D1797A"/>
    <w:rsid w:val="00D42EB1"/>
    <w:rsid w:val="00D81C3D"/>
    <w:rsid w:val="00D9115E"/>
    <w:rsid w:val="00DA10F8"/>
    <w:rsid w:val="00DB1DDE"/>
    <w:rsid w:val="00DB4BCD"/>
    <w:rsid w:val="00E04639"/>
    <w:rsid w:val="00E46DCE"/>
    <w:rsid w:val="00EA1CC2"/>
    <w:rsid w:val="00EA67B1"/>
    <w:rsid w:val="00EB24B8"/>
    <w:rsid w:val="00EF542D"/>
    <w:rsid w:val="00F11FEB"/>
    <w:rsid w:val="00F4541E"/>
    <w:rsid w:val="00F50131"/>
    <w:rsid w:val="00F71269"/>
    <w:rsid w:val="00F76E02"/>
    <w:rsid w:val="00F83FCE"/>
    <w:rsid w:val="00FE48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6B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269"/>
  </w:style>
  <w:style w:type="paragraph" w:styleId="Heading1">
    <w:name w:val="heading 1"/>
    <w:basedOn w:val="Normal"/>
    <w:next w:val="Normal"/>
    <w:qFormat/>
    <w:rsid w:val="00521601"/>
    <w:pPr>
      <w:outlineLvl w:val="0"/>
    </w:pPr>
    <w:rPr>
      <w:rFonts w:ascii="Arial" w:hAnsi="Arial" w:cs="Arial"/>
      <w:b/>
      <w:sz w:val="28"/>
      <w:szCs w:val="28"/>
      <w:lang w:eastAsia="en-US"/>
    </w:rPr>
  </w:style>
  <w:style w:type="paragraph" w:styleId="Heading2">
    <w:name w:val="heading 2"/>
    <w:basedOn w:val="PBACheading1"/>
    <w:next w:val="Normal"/>
    <w:qFormat/>
    <w:rsid w:val="00521601"/>
    <w:pPr>
      <w:outlineLvl w:val="1"/>
    </w:p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34"/>
    <w:qFormat/>
    <w:rsid w:val="00A4512D"/>
    <w:pPr>
      <w:ind w:left="720"/>
      <w:contextualSpacing/>
    </w:pPr>
  </w:style>
  <w:style w:type="paragraph" w:styleId="NormalWeb">
    <w:name w:val="Normal (Web)"/>
    <w:basedOn w:val="Normal"/>
    <w:uiPriority w:val="99"/>
    <w:unhideWhenUsed/>
    <w:rsid w:val="00F71269"/>
    <w:pPr>
      <w:spacing w:after="150"/>
    </w:pPr>
    <w:rPr>
      <w:color w:val="222222"/>
      <w:sz w:val="24"/>
      <w:szCs w:val="24"/>
    </w:rPr>
  </w:style>
  <w:style w:type="character" w:customStyle="1" w:styleId="ListParagraphChar">
    <w:name w:val="List Paragraph Char"/>
    <w:aliases w:val="BulletPoints Char"/>
    <w:basedOn w:val="DefaultParagraphFont"/>
    <w:link w:val="ListParagraph"/>
    <w:uiPriority w:val="34"/>
    <w:locked/>
    <w:rsid w:val="00F71269"/>
    <w:rPr>
      <w:sz w:val="24"/>
      <w:szCs w:val="24"/>
      <w:lang w:eastAsia="en-US"/>
    </w:rPr>
  </w:style>
  <w:style w:type="paragraph" w:customStyle="1" w:styleId="PBACheading1">
    <w:name w:val="PBAC heading 1"/>
    <w:qFormat/>
    <w:rsid w:val="00F71269"/>
    <w:pPr>
      <w:ind w:left="720" w:hanging="720"/>
      <w:outlineLvl w:val="0"/>
    </w:pPr>
    <w:rPr>
      <w:rFonts w:ascii="Arial" w:hAnsi="Arial" w:cs="Arial"/>
      <w:b/>
      <w:snapToGrid w:val="0"/>
      <w:sz w:val="22"/>
      <w:szCs w:val="22"/>
      <w:lang w:eastAsia="en-US"/>
    </w:rPr>
  </w:style>
  <w:style w:type="character" w:styleId="Hyperlink">
    <w:name w:val="Hyperlink"/>
    <w:basedOn w:val="DefaultParagraphFont"/>
    <w:unhideWhenUsed/>
    <w:rsid w:val="00DB1DDE"/>
    <w:rPr>
      <w:color w:val="0000FF" w:themeColor="hyperlink"/>
      <w:u w:val="single"/>
    </w:rPr>
  </w:style>
  <w:style w:type="paragraph" w:styleId="FootnoteText">
    <w:name w:val="footnote text"/>
    <w:basedOn w:val="Normal"/>
    <w:link w:val="FootnoteTextChar"/>
    <w:semiHidden/>
    <w:unhideWhenUsed/>
    <w:rsid w:val="00F50131"/>
  </w:style>
  <w:style w:type="character" w:customStyle="1" w:styleId="FootnoteTextChar">
    <w:name w:val="Footnote Text Char"/>
    <w:basedOn w:val="DefaultParagraphFont"/>
    <w:link w:val="FootnoteText"/>
    <w:semiHidden/>
    <w:rsid w:val="00F50131"/>
  </w:style>
  <w:style w:type="character" w:styleId="FootnoteReference">
    <w:name w:val="footnote reference"/>
    <w:basedOn w:val="DefaultParagraphFont"/>
    <w:semiHidden/>
    <w:unhideWhenUsed/>
    <w:rsid w:val="00F50131"/>
    <w:rPr>
      <w:vertAlign w:val="superscript"/>
    </w:rPr>
  </w:style>
  <w:style w:type="paragraph" w:styleId="Header">
    <w:name w:val="header"/>
    <w:basedOn w:val="Normal"/>
    <w:link w:val="HeaderChar"/>
    <w:unhideWhenUsed/>
    <w:rsid w:val="00E04639"/>
    <w:pPr>
      <w:tabs>
        <w:tab w:val="center" w:pos="4513"/>
        <w:tab w:val="right" w:pos="9026"/>
      </w:tabs>
    </w:pPr>
  </w:style>
  <w:style w:type="character" w:customStyle="1" w:styleId="HeaderChar">
    <w:name w:val="Header Char"/>
    <w:basedOn w:val="DefaultParagraphFont"/>
    <w:link w:val="Header"/>
    <w:rsid w:val="00E04639"/>
  </w:style>
  <w:style w:type="paragraph" w:styleId="Footer">
    <w:name w:val="footer"/>
    <w:basedOn w:val="Normal"/>
    <w:link w:val="FooterChar"/>
    <w:uiPriority w:val="99"/>
    <w:unhideWhenUsed/>
    <w:rsid w:val="00E04639"/>
    <w:pPr>
      <w:tabs>
        <w:tab w:val="center" w:pos="4513"/>
        <w:tab w:val="right" w:pos="9026"/>
      </w:tabs>
    </w:pPr>
  </w:style>
  <w:style w:type="character" w:customStyle="1" w:styleId="FooterChar">
    <w:name w:val="Footer Char"/>
    <w:basedOn w:val="DefaultParagraphFont"/>
    <w:link w:val="Footer"/>
    <w:uiPriority w:val="99"/>
    <w:rsid w:val="00E04639"/>
  </w:style>
  <w:style w:type="character" w:styleId="FollowedHyperlink">
    <w:name w:val="FollowedHyperlink"/>
    <w:basedOn w:val="DefaultParagraphFont"/>
    <w:semiHidden/>
    <w:unhideWhenUsed/>
    <w:rsid w:val="00D81C3D"/>
    <w:rPr>
      <w:color w:val="800080" w:themeColor="followedHyperlink"/>
      <w:u w:val="single"/>
    </w:rPr>
  </w:style>
  <w:style w:type="character" w:styleId="CommentReference">
    <w:name w:val="annotation reference"/>
    <w:basedOn w:val="DefaultParagraphFont"/>
    <w:semiHidden/>
    <w:unhideWhenUsed/>
    <w:rsid w:val="00D81C3D"/>
    <w:rPr>
      <w:sz w:val="16"/>
      <w:szCs w:val="16"/>
    </w:rPr>
  </w:style>
  <w:style w:type="paragraph" w:styleId="CommentText">
    <w:name w:val="annotation text"/>
    <w:basedOn w:val="Normal"/>
    <w:link w:val="CommentTextChar"/>
    <w:semiHidden/>
    <w:unhideWhenUsed/>
    <w:rsid w:val="00D81C3D"/>
  </w:style>
  <w:style w:type="character" w:customStyle="1" w:styleId="CommentTextChar">
    <w:name w:val="Comment Text Char"/>
    <w:basedOn w:val="DefaultParagraphFont"/>
    <w:link w:val="CommentText"/>
    <w:semiHidden/>
    <w:rsid w:val="00D81C3D"/>
  </w:style>
  <w:style w:type="paragraph" w:styleId="CommentSubject">
    <w:name w:val="annotation subject"/>
    <w:basedOn w:val="CommentText"/>
    <w:next w:val="CommentText"/>
    <w:link w:val="CommentSubjectChar"/>
    <w:semiHidden/>
    <w:unhideWhenUsed/>
    <w:rsid w:val="00D81C3D"/>
    <w:rPr>
      <w:b/>
      <w:bCs/>
    </w:rPr>
  </w:style>
  <w:style w:type="character" w:customStyle="1" w:styleId="CommentSubjectChar">
    <w:name w:val="Comment Subject Char"/>
    <w:basedOn w:val="CommentTextChar"/>
    <w:link w:val="CommentSubject"/>
    <w:semiHidden/>
    <w:rsid w:val="00D81C3D"/>
    <w:rPr>
      <w:b/>
      <w:bCs/>
    </w:rPr>
  </w:style>
  <w:style w:type="paragraph" w:styleId="BalloonText">
    <w:name w:val="Balloon Text"/>
    <w:basedOn w:val="Normal"/>
    <w:link w:val="BalloonTextChar"/>
    <w:semiHidden/>
    <w:unhideWhenUsed/>
    <w:rsid w:val="00D81C3D"/>
    <w:rPr>
      <w:rFonts w:ascii="Segoe UI" w:hAnsi="Segoe UI" w:cs="Segoe UI"/>
      <w:sz w:val="18"/>
      <w:szCs w:val="18"/>
    </w:rPr>
  </w:style>
  <w:style w:type="character" w:customStyle="1" w:styleId="BalloonTextChar">
    <w:name w:val="Balloon Text Char"/>
    <w:basedOn w:val="DefaultParagraphFont"/>
    <w:link w:val="BalloonText"/>
    <w:semiHidden/>
    <w:rsid w:val="00D81C3D"/>
    <w:rPr>
      <w:rFonts w:ascii="Segoe UI" w:hAnsi="Segoe UI" w:cs="Segoe UI"/>
      <w:sz w:val="18"/>
      <w:szCs w:val="18"/>
    </w:rPr>
  </w:style>
  <w:style w:type="paragraph" w:styleId="Revision">
    <w:name w:val="Revision"/>
    <w:hidden/>
    <w:uiPriority w:val="99"/>
    <w:semiHidden/>
    <w:rsid w:val="003B1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22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reviews/post-market-biologic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pbs.gov.au/info/reviews/subsidised-medicines-review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2020-12-15T04:22:00Z</dcterms:created>
  <dcterms:modified xsi:type="dcterms:W3CDTF">2020-12-16T02:01:00Z</dcterms:modified>
</cp:coreProperties>
</file>