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CDD0" w14:textId="77777777" w:rsidR="005F1827" w:rsidRPr="001044FF" w:rsidRDefault="00297C0E" w:rsidP="00931118">
      <w:pPr>
        <w:pStyle w:val="Heading1"/>
      </w:pPr>
      <w:bookmarkStart w:id="0" w:name="_GoBack"/>
      <w:bookmarkEnd w:id="0"/>
      <w:r w:rsidRPr="001044FF">
        <w:t>Antibiotics R</w:t>
      </w:r>
      <w:r w:rsidR="00931118" w:rsidRPr="001044FF">
        <w:t>oundtable</w:t>
      </w:r>
      <w:r w:rsidRPr="001044FF">
        <w:t xml:space="preserve"> Outcomes Statement</w:t>
      </w:r>
    </w:p>
    <w:p w14:paraId="1D2AE9D9" w14:textId="1259F643" w:rsidR="0024282A" w:rsidRPr="001044FF" w:rsidRDefault="0024282A" w:rsidP="0024282A">
      <w:pPr>
        <w:pStyle w:val="BoxName"/>
      </w:pPr>
      <w:r w:rsidRPr="001044FF">
        <w:t>Key points</w:t>
      </w:r>
    </w:p>
    <w:p w14:paraId="4D3599AA" w14:textId="14459FD9" w:rsidR="0024282A" w:rsidRPr="001044FF" w:rsidRDefault="0024282A" w:rsidP="0024282A">
      <w:pPr>
        <w:pStyle w:val="BoxBullet"/>
      </w:pPr>
      <w:r w:rsidRPr="001044FF">
        <w:t xml:space="preserve">Antibiotics </w:t>
      </w:r>
      <w:r w:rsidR="000B3080" w:rsidRPr="001044FF">
        <w:t>are</w:t>
      </w:r>
      <w:r w:rsidRPr="001044FF">
        <w:t xml:space="preserve"> overused at the population level in Australia. This high use, combined with the high proportion of broad</w:t>
      </w:r>
      <w:r w:rsidR="00722A43" w:rsidRPr="001044FF">
        <w:t>-</w:t>
      </w:r>
      <w:r w:rsidRPr="001044FF">
        <w:t xml:space="preserve"> and moderate-spectrum antibiotics, is likely to be contributing to antimicrobial resistance. </w:t>
      </w:r>
    </w:p>
    <w:p w14:paraId="308E6E6F" w14:textId="29A6BBB2" w:rsidR="00BD383C" w:rsidRPr="001044FF" w:rsidRDefault="00BD383C" w:rsidP="0024282A">
      <w:pPr>
        <w:pStyle w:val="BoxBullet"/>
      </w:pPr>
      <w:r w:rsidRPr="001044FF">
        <w:t>There is significant clinical variation in prescribing within antibiotic classes.</w:t>
      </w:r>
    </w:p>
    <w:p w14:paraId="76F76840" w14:textId="77777777" w:rsidR="00E00885" w:rsidRPr="001044FF" w:rsidRDefault="00E00885" w:rsidP="00E00885">
      <w:pPr>
        <w:pStyle w:val="BoxBullet"/>
      </w:pPr>
      <w:r w:rsidRPr="001044FF">
        <w:t>A restrictive PBS listing sends a strong message about appropriate antibiotic use, and can be helpful guidance for both prescribers and consumers.</w:t>
      </w:r>
    </w:p>
    <w:p w14:paraId="632F5397" w14:textId="3D70C920" w:rsidR="00BD383C" w:rsidRPr="001044FF" w:rsidRDefault="00BD383C" w:rsidP="0024282A">
      <w:pPr>
        <w:pStyle w:val="BoxBullet"/>
      </w:pPr>
      <w:r w:rsidRPr="001044FF">
        <w:t xml:space="preserve">PBS listings </w:t>
      </w:r>
      <w:r w:rsidR="000B3080" w:rsidRPr="001044FF">
        <w:t>should be better aligned</w:t>
      </w:r>
      <w:r w:rsidRPr="001044FF">
        <w:t xml:space="preserve"> with recommendations in </w:t>
      </w:r>
      <w:r w:rsidRPr="001044FF">
        <w:rPr>
          <w:i/>
        </w:rPr>
        <w:t>Therapeutic Guidelines: Antibiotic</w:t>
      </w:r>
      <w:r w:rsidR="000B3080" w:rsidRPr="001044FF">
        <w:t>, including by altering pack sizes.</w:t>
      </w:r>
    </w:p>
    <w:p w14:paraId="46957897" w14:textId="7F4B70BC" w:rsidR="000B3080" w:rsidRPr="001044FF" w:rsidRDefault="00E00885" w:rsidP="000B3080">
      <w:pPr>
        <w:pStyle w:val="BoxBullet"/>
      </w:pPr>
      <w:r w:rsidRPr="001044FF">
        <w:t>T</w:t>
      </w:r>
      <w:r w:rsidR="000B3080" w:rsidRPr="001044FF">
        <w:t>argeted and consistent messaging</w:t>
      </w:r>
      <w:r w:rsidRPr="001044FF">
        <w:t xml:space="preserve"> is required to educate</w:t>
      </w:r>
      <w:r w:rsidR="000B3080" w:rsidRPr="001044FF">
        <w:t xml:space="preserve"> prescribers and consumers, and also people within the </w:t>
      </w:r>
      <w:r w:rsidRPr="001044FF">
        <w:t>health and regulatory systems</w:t>
      </w:r>
      <w:r w:rsidR="000B3080" w:rsidRPr="001044FF">
        <w:t>.</w:t>
      </w:r>
    </w:p>
    <w:p w14:paraId="08C61766" w14:textId="1F74ACE2" w:rsidR="000B3080" w:rsidRPr="001044FF" w:rsidRDefault="000B3080" w:rsidP="000B3080">
      <w:pPr>
        <w:pStyle w:val="BoxBullet"/>
      </w:pPr>
      <w:r w:rsidRPr="001044FF">
        <w:t>Repeats should not be listed as the default choice in prescribing software</w:t>
      </w:r>
      <w:r w:rsidR="00722A43" w:rsidRPr="001044FF">
        <w:t>. R</w:t>
      </w:r>
      <w:r w:rsidRPr="001044FF">
        <w:t xml:space="preserve">educing the validity period of </w:t>
      </w:r>
      <w:r w:rsidR="00052087" w:rsidRPr="001044FF">
        <w:t xml:space="preserve">original and </w:t>
      </w:r>
      <w:r w:rsidRPr="001044FF">
        <w:t>repeat prescriptions should be considered to prevent antibiotic misuse in the community.</w:t>
      </w:r>
    </w:p>
    <w:p w14:paraId="12604F8F" w14:textId="50308BF9" w:rsidR="000B3080" w:rsidRPr="001044FF" w:rsidRDefault="000B3080" w:rsidP="00E00885">
      <w:pPr>
        <w:pStyle w:val="BoxBullet"/>
      </w:pPr>
      <w:r w:rsidRPr="001044FF">
        <w:t xml:space="preserve">Prescribing software </w:t>
      </w:r>
      <w:r w:rsidR="00561183" w:rsidRPr="001044FF">
        <w:t>could</w:t>
      </w:r>
      <w:r w:rsidRPr="001044FF">
        <w:t xml:space="preserve"> be improved to integrate decision support tools on antibiotic prescribing, change default settings and make the software field for indication mandatory.</w:t>
      </w:r>
    </w:p>
    <w:p w14:paraId="17F350B8" w14:textId="646607FE" w:rsidR="00E00885" w:rsidRPr="001044FF" w:rsidRDefault="00E00885" w:rsidP="00E00885">
      <w:pPr>
        <w:pStyle w:val="BoxBullet"/>
      </w:pPr>
      <w:r w:rsidRPr="001044FF">
        <w:t>Data quality is a critical consideration in understanding prescribing practices and evaluating education initiatives.</w:t>
      </w:r>
    </w:p>
    <w:p w14:paraId="7EBB8C97" w14:textId="7C0D7C28" w:rsidR="00C841AA" w:rsidRPr="001044FF" w:rsidRDefault="00C841AA" w:rsidP="00C841AA">
      <w:pPr>
        <w:pStyle w:val="Heading2"/>
      </w:pPr>
      <w:r w:rsidRPr="001044FF">
        <w:t>Background</w:t>
      </w:r>
    </w:p>
    <w:p w14:paraId="27EC76C3" w14:textId="0DBE4246" w:rsidR="00791B7B" w:rsidRPr="001044FF" w:rsidRDefault="00791B7B" w:rsidP="00791B7B">
      <w:r w:rsidRPr="001044FF">
        <w:t>On 18 May 2015, an Antibiotics Roundtable was held in Canberra as part of the Post-market Review of Authority Required Pharmaceutical Benefits Scheme (PBS) Listings (the Review). The Review aims to reduce the administrative burden on prescribers</w:t>
      </w:r>
      <w:r w:rsidR="00140413" w:rsidRPr="001044FF">
        <w:t>,</w:t>
      </w:r>
      <w:r w:rsidRPr="001044FF">
        <w:t xml:space="preserve"> improve patient care</w:t>
      </w:r>
      <w:r w:rsidR="00140413" w:rsidRPr="001044FF">
        <w:t xml:space="preserve"> and</w:t>
      </w:r>
      <w:r w:rsidRPr="001044FF">
        <w:t xml:space="preserve"> </w:t>
      </w:r>
      <w:r w:rsidR="00140413" w:rsidRPr="001044FF">
        <w:t>increase the transparency of</w:t>
      </w:r>
      <w:r w:rsidRPr="001044FF">
        <w:t xml:space="preserve"> the criteria used by the Pharmaceutical Benefits Advisory Committee (PBAC)</w:t>
      </w:r>
      <w:r w:rsidR="00052087" w:rsidRPr="001044FF">
        <w:t xml:space="preserve"> to list PBS items as Authority Required and Authority Required (STREAMLINED)</w:t>
      </w:r>
      <w:r w:rsidRPr="001044FF">
        <w:t xml:space="preserve">. </w:t>
      </w:r>
    </w:p>
    <w:p w14:paraId="3594D448" w14:textId="6E70906B" w:rsidR="00791B7B" w:rsidRPr="001044FF" w:rsidRDefault="00791B7B" w:rsidP="00791B7B">
      <w:pPr>
        <w:pStyle w:val="NormalBeforeBullet"/>
      </w:pPr>
      <w:r w:rsidRPr="001044FF">
        <w:t xml:space="preserve">The purpose of the Antibiotics Roundtable was to </w:t>
      </w:r>
      <w:r w:rsidR="00AC54A3" w:rsidRPr="001044FF">
        <w:t>seek stakeholder input on</w:t>
      </w:r>
      <w:r w:rsidRPr="001044FF">
        <w:t xml:space="preserve"> </w:t>
      </w:r>
      <w:r w:rsidR="00140413" w:rsidRPr="001044FF">
        <w:t xml:space="preserve">PBS-listed </w:t>
      </w:r>
      <w:r w:rsidRPr="001044FF">
        <w:t>antibiotics</w:t>
      </w:r>
      <w:r w:rsidR="00AC54A3" w:rsidRPr="001044FF">
        <w:t>, including</w:t>
      </w:r>
      <w:r w:rsidRPr="001044FF">
        <w:t>:</w:t>
      </w:r>
    </w:p>
    <w:p w14:paraId="29A0A5E6" w14:textId="4157D517" w:rsidR="00791B7B" w:rsidRPr="001044FF" w:rsidRDefault="00AC54A3" w:rsidP="00791B7B">
      <w:pPr>
        <w:pStyle w:val="Bullet"/>
      </w:pPr>
      <w:r w:rsidRPr="001044FF">
        <w:t>identifying options to reduce regulatory burden on health professionals associated with requests for authority to prescribe, while managing risks to the community associated with antibiotic misuse and antimicrobial resistance</w:t>
      </w:r>
    </w:p>
    <w:p w14:paraId="638D2226" w14:textId="5A191ECF" w:rsidR="00791B7B" w:rsidRPr="001044FF" w:rsidRDefault="00AC54A3" w:rsidP="00791B7B">
      <w:pPr>
        <w:pStyle w:val="BulletLast"/>
      </w:pPr>
      <w:proofErr w:type="gramStart"/>
      <w:r w:rsidRPr="001044FF">
        <w:t>consider</w:t>
      </w:r>
      <w:r w:rsidR="00CE3795" w:rsidRPr="001044FF">
        <w:t>ing</w:t>
      </w:r>
      <w:proofErr w:type="gramEnd"/>
      <w:r w:rsidR="00CE3795" w:rsidRPr="001044FF">
        <w:t xml:space="preserve"> </w:t>
      </w:r>
      <w:r w:rsidRPr="001044FF">
        <w:t>the role of the PBS in antibiotic stewardship, including alignment of listings with clinical guidelines</w:t>
      </w:r>
      <w:r w:rsidR="00791B7B" w:rsidRPr="001044FF">
        <w:t>.</w:t>
      </w:r>
    </w:p>
    <w:p w14:paraId="3863F5E7" w14:textId="2B359CEE" w:rsidR="00B9718F" w:rsidRPr="001044FF" w:rsidRDefault="00791B7B" w:rsidP="00791B7B">
      <w:r w:rsidRPr="001044FF">
        <w:t xml:space="preserve">Roundtable </w:t>
      </w:r>
      <w:r w:rsidR="00140413" w:rsidRPr="001044FF">
        <w:t>participants included representatives from</w:t>
      </w:r>
      <w:r w:rsidRPr="001044FF">
        <w:t xml:space="preserve"> consumer groups, industry</w:t>
      </w:r>
      <w:r w:rsidR="00140413" w:rsidRPr="001044FF">
        <w:t>,</w:t>
      </w:r>
      <w:r w:rsidRPr="001044FF">
        <w:t xml:space="preserve"> government </w:t>
      </w:r>
      <w:r w:rsidR="00140413" w:rsidRPr="001044FF">
        <w:t>and health professionals</w:t>
      </w:r>
      <w:r w:rsidR="00A1229E" w:rsidRPr="001044FF">
        <w:t xml:space="preserve"> (see Appendix</w:t>
      </w:r>
      <w:r w:rsidR="00CE3795" w:rsidRPr="001044FF">
        <w:t> </w:t>
      </w:r>
      <w:r w:rsidR="00A1229E" w:rsidRPr="001044FF">
        <w:t>1)</w:t>
      </w:r>
      <w:r w:rsidR="00B9718F" w:rsidRPr="001044FF">
        <w:t>.</w:t>
      </w:r>
      <w:r w:rsidR="00140413" w:rsidRPr="001044FF">
        <w:t xml:space="preserve"> </w:t>
      </w:r>
      <w:r w:rsidR="00B9718F" w:rsidRPr="001044FF">
        <w:t>Discussions focused on optimising the use of antibiotics through the PBS in the context of the broader strategy of managing risk</w:t>
      </w:r>
      <w:r w:rsidR="008517A3" w:rsidRPr="001044FF">
        <w:t>s to the community</w:t>
      </w:r>
      <w:r w:rsidR="00B9718F" w:rsidRPr="001044FF">
        <w:t xml:space="preserve"> </w:t>
      </w:r>
      <w:r w:rsidR="008517A3" w:rsidRPr="001044FF">
        <w:t>associated with antibiotic misuse and</w:t>
      </w:r>
      <w:r w:rsidR="00B9718F" w:rsidRPr="001044FF">
        <w:t xml:space="preserve"> antimicrobial resistance.</w:t>
      </w:r>
    </w:p>
    <w:p w14:paraId="1883E135" w14:textId="346BED5C" w:rsidR="000763AE" w:rsidRPr="001044FF" w:rsidRDefault="00140413" w:rsidP="00791B7B">
      <w:r w:rsidRPr="001044FF">
        <w:t>The outcomes of the Antibiotics R</w:t>
      </w:r>
      <w:r w:rsidR="00791B7B" w:rsidRPr="001044FF">
        <w:t xml:space="preserve">oundtable will be used to assist the PBAC to form recommendations to the Minister for Health on the PBS </w:t>
      </w:r>
      <w:r w:rsidR="001B7845" w:rsidRPr="001044FF">
        <w:t>A</w:t>
      </w:r>
      <w:r w:rsidR="00791B7B" w:rsidRPr="001044FF">
        <w:t xml:space="preserve">uthority </w:t>
      </w:r>
      <w:r w:rsidR="001B7845" w:rsidRPr="001044FF">
        <w:t xml:space="preserve">levels </w:t>
      </w:r>
      <w:r w:rsidR="00791B7B" w:rsidRPr="001044FF">
        <w:t xml:space="preserve">and restrictions for </w:t>
      </w:r>
      <w:r w:rsidR="001B7845" w:rsidRPr="001044FF">
        <w:t xml:space="preserve">PBS-listed </w:t>
      </w:r>
      <w:r w:rsidR="00791B7B" w:rsidRPr="001044FF">
        <w:t xml:space="preserve">antibiotics. </w:t>
      </w:r>
    </w:p>
    <w:p w14:paraId="2C60FBC0" w14:textId="2B7DB811" w:rsidR="00C841AA" w:rsidRPr="001044FF" w:rsidRDefault="00AC54A3" w:rsidP="00C841AA">
      <w:pPr>
        <w:pStyle w:val="Heading2"/>
      </w:pPr>
      <w:r w:rsidRPr="001044FF">
        <w:lastRenderedPageBreak/>
        <w:t xml:space="preserve">Topics </w:t>
      </w:r>
      <w:r w:rsidR="00C841AA" w:rsidRPr="001044FF">
        <w:t>for discussion</w:t>
      </w:r>
    </w:p>
    <w:p w14:paraId="2AE28253" w14:textId="21A5EA8A" w:rsidR="008B5111" w:rsidRPr="001044FF" w:rsidRDefault="00AC54A3" w:rsidP="000763AE">
      <w:pPr>
        <w:pStyle w:val="NormalBeforeBullet"/>
      </w:pPr>
      <w:r w:rsidRPr="001044FF">
        <w:t xml:space="preserve">Topics </w:t>
      </w:r>
      <w:r w:rsidR="008517A3" w:rsidRPr="001044FF">
        <w:t>discussed included those raised during public consultation</w:t>
      </w:r>
      <w:r w:rsidRPr="001044FF">
        <w:t xml:space="preserve"> for the Review</w:t>
      </w:r>
      <w:r w:rsidR="008517A3" w:rsidRPr="001044FF">
        <w:t xml:space="preserve">, as well as </w:t>
      </w:r>
      <w:r w:rsidRPr="001044FF">
        <w:t xml:space="preserve">those raised by the </w:t>
      </w:r>
      <w:r w:rsidR="00052087" w:rsidRPr="001044FF">
        <w:t>R</w:t>
      </w:r>
      <w:r w:rsidRPr="001044FF">
        <w:t xml:space="preserve">eference </w:t>
      </w:r>
      <w:r w:rsidR="00052087" w:rsidRPr="001044FF">
        <w:t>G</w:t>
      </w:r>
      <w:r w:rsidR="00E713E1" w:rsidRPr="001044FF">
        <w:t>roup, the Drug Utilisation Sub-C</w:t>
      </w:r>
      <w:r w:rsidRPr="001044FF">
        <w:t xml:space="preserve">ommittee </w:t>
      </w:r>
      <w:r w:rsidR="001F055A" w:rsidRPr="001044FF">
        <w:t xml:space="preserve">(DUSC) </w:t>
      </w:r>
      <w:r w:rsidRPr="001044FF">
        <w:t>and the PBAC</w:t>
      </w:r>
      <w:r w:rsidR="000656DA" w:rsidRPr="001044FF">
        <w:t>, including the following</w:t>
      </w:r>
      <w:r w:rsidR="008517A3" w:rsidRPr="001044FF">
        <w:t>:</w:t>
      </w:r>
    </w:p>
    <w:p w14:paraId="3B3E855F" w14:textId="14406F66" w:rsidR="000656DA" w:rsidRPr="001044FF" w:rsidRDefault="005222A2" w:rsidP="000656DA">
      <w:pPr>
        <w:pStyle w:val="Bullet"/>
      </w:pPr>
      <w:r w:rsidRPr="001044FF">
        <w:t>S</w:t>
      </w:r>
      <w:r w:rsidR="000656DA" w:rsidRPr="001044FF">
        <w:t xml:space="preserve">ome public submissions to the Review indicated that current Authority </w:t>
      </w:r>
      <w:r w:rsidR="00E713E1" w:rsidRPr="001044FF">
        <w:t>R</w:t>
      </w:r>
      <w:r w:rsidR="000656DA" w:rsidRPr="001044FF">
        <w:t xml:space="preserve">equired listings should be retained, </w:t>
      </w:r>
      <w:r w:rsidRPr="001044FF">
        <w:t xml:space="preserve">but </w:t>
      </w:r>
      <w:r w:rsidR="000656DA" w:rsidRPr="001044FF">
        <w:t xml:space="preserve">others felt that there is a need to change the Authority </w:t>
      </w:r>
      <w:r w:rsidR="00E713E1" w:rsidRPr="001044FF">
        <w:t>R</w:t>
      </w:r>
      <w:r w:rsidR="000656DA" w:rsidRPr="001044FF">
        <w:t>equired medicines to lower levels of restriction to reduce regulatory burden, improve patient access and allow timely treatment.</w:t>
      </w:r>
    </w:p>
    <w:p w14:paraId="3E52D99B" w14:textId="7523628E" w:rsidR="008517A3" w:rsidRPr="001044FF" w:rsidRDefault="008517A3" w:rsidP="008517A3">
      <w:pPr>
        <w:pStyle w:val="Bullet"/>
      </w:pPr>
      <w:r w:rsidRPr="001044FF">
        <w:t xml:space="preserve">Some PBS restrictions for antibiotics do not align with </w:t>
      </w:r>
      <w:r w:rsidRPr="001044FF">
        <w:rPr>
          <w:i/>
        </w:rPr>
        <w:t>Therapeutic Guidelines</w:t>
      </w:r>
      <w:r w:rsidR="00052087" w:rsidRPr="001044FF">
        <w:rPr>
          <w:i/>
        </w:rPr>
        <w:t>: Antibiotic</w:t>
      </w:r>
      <w:r w:rsidRPr="001044FF">
        <w:t>.</w:t>
      </w:r>
    </w:p>
    <w:p w14:paraId="5161A208" w14:textId="06FE5381" w:rsidR="008517A3" w:rsidRPr="001044FF" w:rsidRDefault="008517A3" w:rsidP="005222A2">
      <w:pPr>
        <w:pStyle w:val="Bullet"/>
      </w:pPr>
      <w:r w:rsidRPr="001044FF">
        <w:t>The Authority system enables increased quantities and/or repeats for longer courses of treatment or prophylaxis in most situations</w:t>
      </w:r>
      <w:r w:rsidR="000656DA" w:rsidRPr="001044FF">
        <w:t>, but t</w:t>
      </w:r>
      <w:r w:rsidRPr="001044FF">
        <w:t>here is a need to review the number of repeats for antibiotics</w:t>
      </w:r>
      <w:r w:rsidR="008E5D79" w:rsidRPr="001044FF">
        <w:t>, and</w:t>
      </w:r>
      <w:r w:rsidRPr="001044FF">
        <w:t xml:space="preserve"> </w:t>
      </w:r>
      <w:r w:rsidR="008E5D79" w:rsidRPr="001044FF">
        <w:t>t</w:t>
      </w:r>
      <w:r w:rsidR="000656DA" w:rsidRPr="001044FF">
        <w:t>he validity period of original and repeat prescriptions (currently 12</w:t>
      </w:r>
      <w:r w:rsidR="00156E41" w:rsidRPr="001044FF">
        <w:t> </w:t>
      </w:r>
      <w:r w:rsidR="000656DA" w:rsidRPr="001044FF">
        <w:t>months)</w:t>
      </w:r>
      <w:r w:rsidR="005222A2" w:rsidRPr="001044FF">
        <w:t>,</w:t>
      </w:r>
      <w:r w:rsidR="000656DA" w:rsidRPr="001044FF">
        <w:t xml:space="preserve"> to ensure appropriate use.</w:t>
      </w:r>
    </w:p>
    <w:p w14:paraId="4754C630" w14:textId="65D63F39" w:rsidR="008517A3" w:rsidRPr="001044FF" w:rsidRDefault="008517A3" w:rsidP="008517A3">
      <w:pPr>
        <w:pStyle w:val="Bullet"/>
      </w:pPr>
      <w:r w:rsidRPr="001044FF">
        <w:t>There should be separate listings for specific indications that require higher quantities to meet the recommended treatment course</w:t>
      </w:r>
      <w:r w:rsidR="00156E41" w:rsidRPr="001044FF">
        <w:t>. Alternatively</w:t>
      </w:r>
      <w:r w:rsidR="000656DA" w:rsidRPr="001044FF">
        <w:t>, i</w:t>
      </w:r>
      <w:r w:rsidRPr="001044FF">
        <w:t>ncreased quantit</w:t>
      </w:r>
      <w:r w:rsidR="000656DA" w:rsidRPr="001044FF">
        <w:t>ies</w:t>
      </w:r>
      <w:r w:rsidRPr="001044FF">
        <w:t xml:space="preserve"> and repeats could be linked to specific prescribers for specific indications (e.g. osteomyelitis).</w:t>
      </w:r>
    </w:p>
    <w:p w14:paraId="1A43FE86" w14:textId="5717F228" w:rsidR="008517A3" w:rsidRPr="001044FF" w:rsidRDefault="008517A3" w:rsidP="008517A3">
      <w:pPr>
        <w:pStyle w:val="Bullet"/>
      </w:pPr>
      <w:r w:rsidRPr="001044FF">
        <w:t>Shared care models may be appropriate in some instances (i.e. prescribing ‘in consultation with’)</w:t>
      </w:r>
      <w:r w:rsidR="00052087" w:rsidRPr="001044FF">
        <w:t xml:space="preserve"> to promote stewardship</w:t>
      </w:r>
      <w:r w:rsidRPr="001044FF">
        <w:t>.</w:t>
      </w:r>
    </w:p>
    <w:p w14:paraId="041A3F8E" w14:textId="1752CCCA" w:rsidR="008517A3" w:rsidRPr="001044FF" w:rsidRDefault="008517A3" w:rsidP="008517A3">
      <w:pPr>
        <w:pStyle w:val="Bullet"/>
      </w:pPr>
      <w:r w:rsidRPr="001044FF">
        <w:t>Default settings on prescribing software</w:t>
      </w:r>
      <w:r w:rsidR="000763AE" w:rsidRPr="001044FF">
        <w:t xml:space="preserve"> could be reviewed </w:t>
      </w:r>
      <w:r w:rsidR="008E5D79" w:rsidRPr="001044FF">
        <w:t>to ensure that they are appropriate and help prescribers make the right decisions</w:t>
      </w:r>
      <w:r w:rsidR="000763AE" w:rsidRPr="001044FF">
        <w:t>.</w:t>
      </w:r>
    </w:p>
    <w:p w14:paraId="1D770A17" w14:textId="674452DC" w:rsidR="008517A3" w:rsidRPr="001044FF" w:rsidRDefault="000763AE" w:rsidP="000763AE">
      <w:pPr>
        <w:pStyle w:val="BulletLast"/>
      </w:pPr>
      <w:r w:rsidRPr="001044FF">
        <w:t>T</w:t>
      </w:r>
      <w:r w:rsidR="008517A3" w:rsidRPr="001044FF">
        <w:t xml:space="preserve">he development of new antibiotics to address </w:t>
      </w:r>
      <w:r w:rsidR="0036113D" w:rsidRPr="001044FF">
        <w:t xml:space="preserve">antimicrobial </w:t>
      </w:r>
      <w:r w:rsidRPr="001044FF">
        <w:t>resistance could be incentivised.</w:t>
      </w:r>
    </w:p>
    <w:p w14:paraId="40F7099A" w14:textId="432BA401" w:rsidR="001D5A5C" w:rsidRPr="001044FF" w:rsidRDefault="00AC54A3" w:rsidP="001D5A5C">
      <w:pPr>
        <w:pStyle w:val="NormalBeforeBullet"/>
      </w:pPr>
      <w:r w:rsidRPr="001044FF">
        <w:t xml:space="preserve">Additional </w:t>
      </w:r>
      <w:r w:rsidR="001D5A5C" w:rsidRPr="001044FF">
        <w:t xml:space="preserve">issues that participants </w:t>
      </w:r>
      <w:r w:rsidR="00052087" w:rsidRPr="001044FF">
        <w:t>discussed</w:t>
      </w:r>
      <w:r w:rsidR="001D5A5C" w:rsidRPr="001044FF">
        <w:t xml:space="preserve"> included:</w:t>
      </w:r>
    </w:p>
    <w:p w14:paraId="60382BD0" w14:textId="7C3F8B48" w:rsidR="001D5A5C" w:rsidRPr="001044FF" w:rsidRDefault="00AC54A3" w:rsidP="001D5A5C">
      <w:pPr>
        <w:pStyle w:val="Bullet"/>
      </w:pPr>
      <w:r w:rsidRPr="001044FF">
        <w:t>challenges to manufacturers</w:t>
      </w:r>
      <w:r w:rsidR="001D5A5C" w:rsidRPr="001044FF">
        <w:t xml:space="preserve"> </w:t>
      </w:r>
      <w:r w:rsidR="00156E41" w:rsidRPr="001044FF">
        <w:t>from</w:t>
      </w:r>
      <w:r w:rsidR="001D5A5C" w:rsidRPr="001044FF">
        <w:t xml:space="preserve"> changes to the PBS</w:t>
      </w:r>
      <w:r w:rsidRPr="001044FF">
        <w:t>, such as changing pack sizes or shortages of supply</w:t>
      </w:r>
    </w:p>
    <w:p w14:paraId="0880B51F" w14:textId="6158F2FC" w:rsidR="001D5A5C" w:rsidRPr="001044FF" w:rsidRDefault="001D5A5C" w:rsidP="001D5A5C">
      <w:pPr>
        <w:pStyle w:val="Bullet"/>
      </w:pPr>
      <w:r w:rsidRPr="001044FF">
        <w:t>the importance of educating health professionals to successfully implement any PBS changes</w:t>
      </w:r>
      <w:r w:rsidR="008E5D79" w:rsidRPr="001044FF">
        <w:t xml:space="preserve">, and educating </w:t>
      </w:r>
      <w:r w:rsidR="0089090B" w:rsidRPr="001044FF">
        <w:t>general practitioners (</w:t>
      </w:r>
      <w:r w:rsidR="008E5D79" w:rsidRPr="001044FF">
        <w:t>GPs</w:t>
      </w:r>
      <w:r w:rsidR="0089090B" w:rsidRPr="001044FF">
        <w:t>)</w:t>
      </w:r>
      <w:r w:rsidR="008E5D79" w:rsidRPr="001044FF">
        <w:t xml:space="preserve"> about the roles of other health professionals (such as dentists) in antibiotic prescribing</w:t>
      </w:r>
    </w:p>
    <w:p w14:paraId="760799B4" w14:textId="30BA7E48" w:rsidR="008E5D79" w:rsidRPr="001044FF" w:rsidRDefault="008E5D79" w:rsidP="008E5D79">
      <w:pPr>
        <w:pStyle w:val="Bullet"/>
      </w:pPr>
      <w:r w:rsidRPr="001044FF">
        <w:t>equipping consumers with the information to discuss appropriate courses of antibiotics with their GPs, and ensuring</w:t>
      </w:r>
      <w:r w:rsidR="00156E41" w:rsidRPr="001044FF">
        <w:t xml:space="preserve"> that</w:t>
      </w:r>
      <w:r w:rsidRPr="001044FF">
        <w:t xml:space="preserve"> consumers are adequately informed</w:t>
      </w:r>
      <w:r w:rsidR="00156E41" w:rsidRPr="001044FF">
        <w:t>,</w:t>
      </w:r>
      <w:r w:rsidRPr="001044FF">
        <w:t xml:space="preserve"> to counter antibiotic misuse in the community</w:t>
      </w:r>
    </w:p>
    <w:p w14:paraId="4040E453" w14:textId="2E295F20" w:rsidR="001D5A5C" w:rsidRPr="001044FF" w:rsidRDefault="00C91C1B" w:rsidP="001D5A5C">
      <w:pPr>
        <w:pStyle w:val="Bullet"/>
      </w:pPr>
      <w:r w:rsidRPr="001044FF">
        <w:t xml:space="preserve">antimicrobial stewardship in hospitals and residential aged care facilities, and </w:t>
      </w:r>
      <w:r w:rsidR="001D5A5C" w:rsidRPr="001044FF">
        <w:t xml:space="preserve">accounting for </w:t>
      </w:r>
      <w:proofErr w:type="spellStart"/>
      <w:r w:rsidR="001D5A5C" w:rsidRPr="001044FF">
        <w:t>casemix</w:t>
      </w:r>
      <w:proofErr w:type="spellEnd"/>
      <w:r w:rsidR="001D5A5C" w:rsidRPr="001044FF">
        <w:t xml:space="preserve"> and disease severity of hospital inpatients when examining PBS prescriptions through hospital pharmacies</w:t>
      </w:r>
    </w:p>
    <w:p w14:paraId="2B554E93" w14:textId="671AFC91" w:rsidR="001D5A5C" w:rsidRPr="001044FF" w:rsidRDefault="001D5A5C" w:rsidP="001D5A5C">
      <w:pPr>
        <w:pStyle w:val="Bullet"/>
      </w:pPr>
      <w:r w:rsidRPr="001044FF">
        <w:t xml:space="preserve">consideration of </w:t>
      </w:r>
      <w:r w:rsidR="00AC54A3" w:rsidRPr="001044FF">
        <w:t>access</w:t>
      </w:r>
      <w:r w:rsidR="00156E41" w:rsidRPr="001044FF">
        <w:t>,</w:t>
      </w:r>
      <w:r w:rsidR="00AC54A3" w:rsidRPr="001044FF">
        <w:t xml:space="preserve"> </w:t>
      </w:r>
      <w:r w:rsidR="001F055A" w:rsidRPr="001044FF">
        <w:t>and</w:t>
      </w:r>
      <w:r w:rsidR="00AC54A3" w:rsidRPr="001044FF">
        <w:t xml:space="preserve"> </w:t>
      </w:r>
      <w:r w:rsidRPr="001044FF">
        <w:t xml:space="preserve">differences in </w:t>
      </w:r>
      <w:r w:rsidR="001B7845" w:rsidRPr="001044FF">
        <w:t>the types and</w:t>
      </w:r>
      <w:r w:rsidRPr="001044FF">
        <w:t xml:space="preserve"> incidence </w:t>
      </w:r>
      <w:r w:rsidR="001B7845" w:rsidRPr="001044FF">
        <w:t xml:space="preserve">of infections </w:t>
      </w:r>
      <w:r w:rsidRPr="001044FF">
        <w:t>in rural and remote areas</w:t>
      </w:r>
      <w:r w:rsidR="001F055A" w:rsidRPr="001044FF">
        <w:t>, as well as in other populations</w:t>
      </w:r>
      <w:r w:rsidR="00156E41" w:rsidRPr="001044FF">
        <w:t>,</w:t>
      </w:r>
      <w:r w:rsidR="001F055A" w:rsidRPr="001044FF">
        <w:t xml:space="preserve"> such as Aboriginal and Torres Strait Islander people</w:t>
      </w:r>
    </w:p>
    <w:p w14:paraId="09ABFB00" w14:textId="352357BD" w:rsidR="001D5A5C" w:rsidRPr="001044FF" w:rsidRDefault="001D5A5C" w:rsidP="001D5A5C">
      <w:pPr>
        <w:pStyle w:val="Bullet"/>
      </w:pPr>
      <w:r w:rsidRPr="001044FF">
        <w:t>the type of support that may be required from</w:t>
      </w:r>
      <w:r w:rsidR="00AC54A3" w:rsidRPr="001044FF">
        <w:t xml:space="preserve"> a range of organisations, such as</w:t>
      </w:r>
      <w:r w:rsidRPr="001044FF">
        <w:t xml:space="preserve"> the Pharmacy Guild of Australia</w:t>
      </w:r>
    </w:p>
    <w:p w14:paraId="7137BF71" w14:textId="44B223E4" w:rsidR="001D5A5C" w:rsidRPr="001044FF" w:rsidRDefault="005222A2" w:rsidP="001D5A5C">
      <w:pPr>
        <w:pStyle w:val="Bullet"/>
      </w:pPr>
      <w:r w:rsidRPr="001044FF">
        <w:t xml:space="preserve">how </w:t>
      </w:r>
      <w:r w:rsidR="001D5A5C" w:rsidRPr="001044FF">
        <w:t xml:space="preserve">outcomes </w:t>
      </w:r>
      <w:r w:rsidR="00AC54D5" w:rsidRPr="001044FF">
        <w:t xml:space="preserve">from the Review </w:t>
      </w:r>
      <w:r w:rsidRPr="001044FF">
        <w:t xml:space="preserve">will </w:t>
      </w:r>
      <w:r w:rsidR="001D5A5C" w:rsidRPr="001044FF">
        <w:t xml:space="preserve">relate to </w:t>
      </w:r>
      <w:r w:rsidR="00052087" w:rsidRPr="001044FF">
        <w:t>Australia’s</w:t>
      </w:r>
      <w:r w:rsidR="001D5A5C" w:rsidRPr="001044FF">
        <w:t xml:space="preserve"> Antimicrobial Resistance Strategy and surveillance plan</w:t>
      </w:r>
    </w:p>
    <w:p w14:paraId="08938FD4" w14:textId="13BC0669" w:rsidR="001D5A5C" w:rsidRPr="001044FF" w:rsidRDefault="001D5A5C" w:rsidP="00E15471">
      <w:pPr>
        <w:pStyle w:val="BulletLast"/>
      </w:pPr>
      <w:proofErr w:type="gramStart"/>
      <w:r w:rsidRPr="001044FF">
        <w:t>the</w:t>
      </w:r>
      <w:proofErr w:type="gramEnd"/>
      <w:r w:rsidRPr="001044FF">
        <w:t xml:space="preserve"> role of the PBAC and the PBS in guiding appropriate prescribing</w:t>
      </w:r>
      <w:r w:rsidR="008E5D79" w:rsidRPr="001044FF">
        <w:t>.</w:t>
      </w:r>
    </w:p>
    <w:p w14:paraId="4CEC79FD" w14:textId="15FAF0B9" w:rsidR="00931118" w:rsidRPr="001044FF" w:rsidRDefault="00A1229E" w:rsidP="00931118">
      <w:pPr>
        <w:pStyle w:val="Heading2"/>
      </w:pPr>
      <w:r w:rsidRPr="001044FF">
        <w:lastRenderedPageBreak/>
        <w:t>Overview of a</w:t>
      </w:r>
      <w:r w:rsidR="00931118" w:rsidRPr="001044FF">
        <w:t>ntimicrobial resistance</w:t>
      </w:r>
    </w:p>
    <w:p w14:paraId="16637F54" w14:textId="283B14CA" w:rsidR="000763AE" w:rsidRPr="001044FF" w:rsidRDefault="00AC54A3" w:rsidP="000763AE">
      <w:r w:rsidRPr="001044FF">
        <w:t>Professor John Turnidge provided an overview of antimicrobial use and resistance in Australia.</w:t>
      </w:r>
      <w:r w:rsidR="0035057D" w:rsidRPr="001044FF">
        <w:t xml:space="preserve"> He noted that o</w:t>
      </w:r>
      <w:r w:rsidR="003B0CB0" w:rsidRPr="001044FF">
        <w:t xml:space="preserve">ne of the most important adverse effects of antimicrobial use is the selection of antimicrobial-resistant organisms. Resistant strains of bacteria can spread within the population, </w:t>
      </w:r>
      <w:r w:rsidR="0089090B" w:rsidRPr="001044FF">
        <w:t xml:space="preserve">and </w:t>
      </w:r>
      <w:r w:rsidR="003B0CB0" w:rsidRPr="001044FF">
        <w:t>mobile genetic elements mean that resistance genes can also be transferred to other organisms. Longer and more frequent exposure to antimicrobials in an individual can lead to higher levels of resistance in that individual, and higher proportions of antimicrobial exposure in a population can lead to increased resistance at the population level.</w:t>
      </w:r>
      <w:r w:rsidR="00B3664F" w:rsidRPr="001044FF">
        <w:t xml:space="preserve"> Importantly, resistance can emerge and amplify in response to antimicrobial use, and </w:t>
      </w:r>
      <w:r w:rsidR="0089090B" w:rsidRPr="001044FF">
        <w:t xml:space="preserve">decrease </w:t>
      </w:r>
      <w:r w:rsidR="00B3664F" w:rsidRPr="001044FF">
        <w:t>in response to reduced exposure to the antimicrobial, meaning that reducing exposure to antimicrobials through shorter courses or avoiding unnecessary use will reduce levels of resistance. However, resistance is often never completely eliminated.</w:t>
      </w:r>
    </w:p>
    <w:p w14:paraId="003CC429" w14:textId="7D99585B" w:rsidR="00B3664F" w:rsidRPr="001044FF" w:rsidRDefault="0035057D" w:rsidP="000763AE">
      <w:r w:rsidRPr="001044FF">
        <w:t>Professor Turnidge noted that a</w:t>
      </w:r>
      <w:r w:rsidR="00B3664F" w:rsidRPr="001044FF">
        <w:t xml:space="preserve"> significant amount of antibiotic prescribing is unnecessary, meaning it has little or no benefit for the individual. Antimicrobial stewardship systems aim to improve prescribing practices and reduce selection pressure on the organisms, leading to stabilising or </w:t>
      </w:r>
      <w:r w:rsidR="0089090B" w:rsidRPr="001044FF">
        <w:t xml:space="preserve">decreasing </w:t>
      </w:r>
      <w:r w:rsidR="00B3664F" w:rsidRPr="001044FF">
        <w:t xml:space="preserve">resistance levels. This will ensure that effective antimicrobials are preserved for those who need them most. </w:t>
      </w:r>
    </w:p>
    <w:p w14:paraId="52DD04C5" w14:textId="6F430776" w:rsidR="00931118" w:rsidRPr="001044FF" w:rsidRDefault="00A1229E" w:rsidP="00931118">
      <w:pPr>
        <w:pStyle w:val="Heading2"/>
      </w:pPr>
      <w:r w:rsidRPr="001044FF">
        <w:t>Antibiotic utilisation under the PBS and RPBS</w:t>
      </w:r>
    </w:p>
    <w:p w14:paraId="5E37FC7D" w14:textId="79821C3F" w:rsidR="0035057D" w:rsidRPr="001044FF" w:rsidRDefault="0035057D" w:rsidP="00E15471">
      <w:r w:rsidRPr="001044FF">
        <w:t xml:space="preserve">Representatives from the </w:t>
      </w:r>
      <w:r w:rsidR="001F055A" w:rsidRPr="001044FF">
        <w:t>DUSC</w:t>
      </w:r>
      <w:r w:rsidRPr="001044FF">
        <w:t xml:space="preserve"> presented data on antibiotic utilisation; a copy of the report is available </w:t>
      </w:r>
      <w:r w:rsidR="0001331B" w:rsidRPr="001044FF">
        <w:t xml:space="preserve">on the </w:t>
      </w:r>
      <w:hyperlink r:id="rId9" w:history="1">
        <w:r w:rsidR="0001331B" w:rsidRPr="001044FF">
          <w:rPr>
            <w:rStyle w:val="Hyperlink"/>
          </w:rPr>
          <w:t>PBS website</w:t>
        </w:r>
      </w:hyperlink>
      <w:r w:rsidRPr="001044FF">
        <w:t xml:space="preserve"> </w:t>
      </w:r>
      <w:r w:rsidR="0001331B" w:rsidRPr="001044FF">
        <w:t>(</w:t>
      </w:r>
      <w:r w:rsidRPr="001044FF">
        <w:t>www.pbs.gov.au</w:t>
      </w:r>
      <w:r w:rsidR="0001331B" w:rsidRPr="001044FF">
        <w:t>)</w:t>
      </w:r>
      <w:r w:rsidRPr="001044FF">
        <w:t xml:space="preserve">. </w:t>
      </w:r>
    </w:p>
    <w:p w14:paraId="6F1796CA" w14:textId="7EDF8621" w:rsidR="00B3664F" w:rsidRPr="001044FF" w:rsidRDefault="00FF7119" w:rsidP="00B3664F">
      <w:r w:rsidRPr="001044FF">
        <w:t xml:space="preserve">As at July 2014, there were 137 item codes for antibiotics listed in the PBS and </w:t>
      </w:r>
      <w:r w:rsidR="00E00885" w:rsidRPr="001044FF">
        <w:t>the Repatriation Pharmaceutical Benefits Scheme (</w:t>
      </w:r>
      <w:r w:rsidRPr="001044FF">
        <w:t>RPBS</w:t>
      </w:r>
      <w:r w:rsidR="00E00885" w:rsidRPr="001044FF">
        <w:t>)</w:t>
      </w:r>
      <w:r w:rsidRPr="001044FF">
        <w:t xml:space="preserve">; most of these were listed as Unrestricted or Restricted Benefit. Authority </w:t>
      </w:r>
      <w:proofErr w:type="gramStart"/>
      <w:r w:rsidRPr="001044FF">
        <w:t>Required</w:t>
      </w:r>
      <w:proofErr w:type="gramEnd"/>
      <w:r w:rsidRPr="001044FF">
        <w:t xml:space="preserve"> antibiotics are shown in </w:t>
      </w:r>
      <w:r w:rsidR="00C841AA" w:rsidRPr="001044FF">
        <w:t>Appendix</w:t>
      </w:r>
      <w:r w:rsidR="0089090B" w:rsidRPr="001044FF">
        <w:t> </w:t>
      </w:r>
      <w:r w:rsidR="00C841AA" w:rsidRPr="001044FF">
        <w:t>2</w:t>
      </w:r>
      <w:r w:rsidRPr="001044FF">
        <w:t>.</w:t>
      </w:r>
    </w:p>
    <w:p w14:paraId="12F879E7" w14:textId="60298F8E" w:rsidR="00F53160" w:rsidRPr="001044FF" w:rsidRDefault="00F53160" w:rsidP="001F37E8">
      <w:pPr>
        <w:pStyle w:val="NormalBeforeBullet"/>
      </w:pPr>
      <w:r w:rsidRPr="001044FF">
        <w:t>In 2013, 45% of the Australian population was prescribed at least one antibiotic.</w:t>
      </w:r>
      <w:r w:rsidR="001F37E8" w:rsidRPr="001044FF">
        <w:t xml:space="preserve"> More than 29 million prescriptions were supplied for any antibiotic, and more than 26</w:t>
      </w:r>
      <w:r w:rsidR="0089090B" w:rsidRPr="001044FF">
        <w:t> </w:t>
      </w:r>
      <w:r w:rsidR="001F37E8" w:rsidRPr="001044FF">
        <w:t xml:space="preserve">million of these were for systemic antibiotics. The most commonly supplied antibiotics </w:t>
      </w:r>
      <w:r w:rsidR="00691E75" w:rsidRPr="001044FF">
        <w:t xml:space="preserve">in 2013 </w:t>
      </w:r>
      <w:r w:rsidR="001F37E8" w:rsidRPr="001044FF">
        <w:t>were:</w:t>
      </w:r>
    </w:p>
    <w:p w14:paraId="2BE6502A" w14:textId="4C324779" w:rsidR="001F37E8" w:rsidRPr="001044FF" w:rsidRDefault="00691E75" w:rsidP="001F37E8">
      <w:pPr>
        <w:pStyle w:val="Bullet"/>
      </w:pPr>
      <w:r w:rsidRPr="001044FF">
        <w:t>amoxycillin</w:t>
      </w:r>
      <w:r w:rsidR="001F37E8" w:rsidRPr="001044FF">
        <w:t xml:space="preserve"> (5.7 million prescriptions)</w:t>
      </w:r>
    </w:p>
    <w:p w14:paraId="0CD6A241" w14:textId="427C82BB" w:rsidR="001F37E8" w:rsidRPr="001044FF" w:rsidRDefault="001F37E8" w:rsidP="001F37E8">
      <w:pPr>
        <w:pStyle w:val="Bullet"/>
      </w:pPr>
      <w:r w:rsidRPr="001044FF">
        <w:t>cephalexin (5.4 million prescriptions)</w:t>
      </w:r>
    </w:p>
    <w:p w14:paraId="2FF41954" w14:textId="7C874FC4" w:rsidR="001F37E8" w:rsidRPr="001044FF" w:rsidRDefault="00691E75" w:rsidP="001F37E8">
      <w:pPr>
        <w:pStyle w:val="Bullet"/>
      </w:pPr>
      <w:r w:rsidRPr="001044FF">
        <w:t>amoxycillin</w:t>
      </w:r>
      <w:r w:rsidR="001F37E8" w:rsidRPr="001044FF">
        <w:t xml:space="preserve"> plus clavulanic acid (4.5 million prescriptions)</w:t>
      </w:r>
    </w:p>
    <w:p w14:paraId="7A875913" w14:textId="4EC6B8CD" w:rsidR="001F37E8" w:rsidRPr="001044FF" w:rsidRDefault="001F37E8" w:rsidP="001F37E8">
      <w:pPr>
        <w:pStyle w:val="BulletLast"/>
      </w:pPr>
      <w:proofErr w:type="gramStart"/>
      <w:r w:rsidRPr="001044FF">
        <w:t>roxithromycin</w:t>
      </w:r>
      <w:proofErr w:type="gramEnd"/>
      <w:r w:rsidRPr="001044FF">
        <w:t xml:space="preserve"> (1.8 million prescriptions).</w:t>
      </w:r>
    </w:p>
    <w:p w14:paraId="6169577A" w14:textId="229F8170" w:rsidR="00F53160" w:rsidRPr="001044FF" w:rsidRDefault="001F37E8" w:rsidP="00931118">
      <w:r w:rsidRPr="001044FF">
        <w:t>G</w:t>
      </w:r>
      <w:r w:rsidR="00A47AA0" w:rsidRPr="001044FF">
        <w:t>Ps</w:t>
      </w:r>
      <w:r w:rsidRPr="001044FF">
        <w:t xml:space="preserve"> prescribed 75% of antibiotics in 2013; ‘other medical’ professionals (such as specialists) prescribed 21%; dentists prescribed 3%; and optometrists, midwives and nurse practitioners prescribed less than 1% each.</w:t>
      </w:r>
    </w:p>
    <w:p w14:paraId="3F4661F3" w14:textId="460DB5C9" w:rsidR="00443AA0" w:rsidRPr="001044FF" w:rsidRDefault="00443AA0" w:rsidP="00931118">
      <w:r w:rsidRPr="001044FF">
        <w:t>The total number of prescriptions supplied under the PBS and RPBS decreased from around 28</w:t>
      </w:r>
      <w:r w:rsidR="00A47AA0" w:rsidRPr="001044FF">
        <w:t> </w:t>
      </w:r>
      <w:r w:rsidRPr="001044FF">
        <w:t>million in 1994 to around 22</w:t>
      </w:r>
      <w:r w:rsidR="00A47AA0" w:rsidRPr="001044FF">
        <w:t> </w:t>
      </w:r>
      <w:r w:rsidRPr="001044FF">
        <w:t xml:space="preserve">million in 2003, but </w:t>
      </w:r>
      <w:r w:rsidR="00A47AA0" w:rsidRPr="001044FF">
        <w:t>then</w:t>
      </w:r>
      <w:r w:rsidRPr="001044FF">
        <w:t xml:space="preserve"> increase</w:t>
      </w:r>
      <w:r w:rsidR="00691E75" w:rsidRPr="001044FF">
        <w:t>d to almost 30</w:t>
      </w:r>
      <w:r w:rsidR="00A47AA0" w:rsidRPr="001044FF">
        <w:t> </w:t>
      </w:r>
      <w:r w:rsidR="00691E75" w:rsidRPr="001044FF">
        <w:t>million in 2013. The vast majority of these are for systemic antibiotics. The</w:t>
      </w:r>
      <w:r w:rsidRPr="001044FF">
        <w:t xml:space="preserve"> defined daily dose </w:t>
      </w:r>
      <w:r w:rsidR="00691E75" w:rsidRPr="001044FF">
        <w:t>in Australia is</w:t>
      </w:r>
      <w:r w:rsidRPr="001044FF">
        <w:t xml:space="preserve"> 22</w:t>
      </w:r>
      <w:r w:rsidR="00691E75" w:rsidRPr="001044FF">
        <w:t xml:space="preserve">.8 per 1000 population per day, which </w:t>
      </w:r>
      <w:r w:rsidRPr="001044FF">
        <w:t xml:space="preserve">is higher than </w:t>
      </w:r>
      <w:r w:rsidR="00A47AA0" w:rsidRPr="001044FF">
        <w:t xml:space="preserve">in </w:t>
      </w:r>
      <w:r w:rsidR="00691E75" w:rsidRPr="001044FF">
        <w:t>other OECD</w:t>
      </w:r>
      <w:r w:rsidRPr="001044FF">
        <w:t xml:space="preserve"> countries (e.g. the U</w:t>
      </w:r>
      <w:r w:rsidR="00A47AA0" w:rsidRPr="001044FF">
        <w:t>nited Kingdom</w:t>
      </w:r>
      <w:r w:rsidRPr="001044FF">
        <w:t xml:space="preserve"> has a defined daily dose of 18 per 1000 population per day, and Scandinavian countries have defined daily doses of 10–15 per 1000 population per day).</w:t>
      </w:r>
      <w:r w:rsidR="000B5C1B" w:rsidRPr="001044FF">
        <w:t xml:space="preserve"> In Australia, broad</w:t>
      </w:r>
      <w:r w:rsidR="00A47AA0" w:rsidRPr="001044FF">
        <w:t>-</w:t>
      </w:r>
      <w:r w:rsidR="000B5C1B" w:rsidRPr="001044FF">
        <w:t>spectrum and moderate</w:t>
      </w:r>
      <w:r w:rsidR="00A47AA0" w:rsidRPr="001044FF">
        <w:t>-</w:t>
      </w:r>
      <w:r w:rsidR="000B5C1B" w:rsidRPr="001044FF">
        <w:t>spectrum antibiotics are prescribed more commonly than narrow</w:t>
      </w:r>
      <w:r w:rsidR="00A47AA0" w:rsidRPr="001044FF">
        <w:t>-</w:t>
      </w:r>
      <w:r w:rsidR="000B5C1B" w:rsidRPr="001044FF">
        <w:t>spectrum antibiotics.</w:t>
      </w:r>
    </w:p>
    <w:p w14:paraId="5F5D6469" w14:textId="071D4628" w:rsidR="001F37E8" w:rsidRPr="001044FF" w:rsidRDefault="00691E75" w:rsidP="00931118">
      <w:r w:rsidRPr="001044FF">
        <w:t xml:space="preserve">Many prescriptions for commonly used antibiotics are ordered with repeats. This ranges from 28% of original prescriptions for chloramphenicol to 71% of prescriptions for roxithromycin. However, only </w:t>
      </w:r>
      <w:r w:rsidRPr="001044FF">
        <w:lastRenderedPageBreak/>
        <w:t>around 20% of these repeats are dispensed. In addition, the time between the original supply and the repeat supply can be long—25% of repeats for amoxycillin were supplied 34 or more days after the original supply</w:t>
      </w:r>
      <w:r w:rsidR="00AB2171" w:rsidRPr="001044FF">
        <w:t xml:space="preserve">. </w:t>
      </w:r>
      <w:r w:rsidR="0035057D" w:rsidRPr="001044FF">
        <w:t>The DUSC considered that this use may not be for the same course of treatment and may be inappropriate.</w:t>
      </w:r>
      <w:r w:rsidR="00AB2171" w:rsidRPr="001044FF">
        <w:t xml:space="preserve"> </w:t>
      </w:r>
      <w:r w:rsidR="0035057D" w:rsidRPr="001044FF">
        <w:t>O</w:t>
      </w:r>
      <w:r w:rsidR="00AB2171" w:rsidRPr="001044FF">
        <w:t>ther issues (e.g. relating to the Medicare Safety Net) can influence a patient’s decision to present a prescription</w:t>
      </w:r>
      <w:r w:rsidRPr="001044FF">
        <w:t>.</w:t>
      </w:r>
      <w:r w:rsidR="007D7C08" w:rsidRPr="001044FF">
        <w:t xml:space="preserve"> However, take-home or delayed prescriptions can reduce costs for the patient.</w:t>
      </w:r>
    </w:p>
    <w:p w14:paraId="394D823A" w14:textId="221EF339" w:rsidR="00E00885" w:rsidRPr="001044FF" w:rsidRDefault="00E00885" w:rsidP="00931118">
      <w:r w:rsidRPr="001044FF">
        <w:t xml:space="preserve">It was noted that </w:t>
      </w:r>
      <w:r w:rsidR="0035057D" w:rsidRPr="001044FF">
        <w:t>PBS prescription processing data do not include the indication or</w:t>
      </w:r>
      <w:r w:rsidRPr="001044FF">
        <w:t xml:space="preserve"> reason for prescribing an antibiotic. </w:t>
      </w:r>
      <w:r w:rsidR="0035057D" w:rsidRPr="001044FF">
        <w:t xml:space="preserve">It may be possible to use the prescription history to determine the likely reason for prescribing of some antibiotics, such as for treatment </w:t>
      </w:r>
      <w:r w:rsidR="00A47AA0" w:rsidRPr="001044FF">
        <w:t xml:space="preserve">of </w:t>
      </w:r>
      <w:proofErr w:type="spellStart"/>
      <w:r w:rsidR="0035057D" w:rsidRPr="001044FF">
        <w:t>neutropenic</w:t>
      </w:r>
      <w:proofErr w:type="spellEnd"/>
      <w:r w:rsidR="0035057D" w:rsidRPr="001044FF">
        <w:t xml:space="preserve"> fever following chemotherapy.</w:t>
      </w:r>
    </w:p>
    <w:p w14:paraId="5463C4BE" w14:textId="127FA1D7" w:rsidR="0035057D" w:rsidRPr="001044FF" w:rsidRDefault="0035057D" w:rsidP="00931118">
      <w:r w:rsidRPr="001044FF">
        <w:t>Roundtable participants considered that a further breakdown of prescriber type (e.g. vocationally or non-vocationally registered GP) may be useful to explore any differences in prescribing practices by type of health professional.</w:t>
      </w:r>
    </w:p>
    <w:p w14:paraId="5E99E9A3" w14:textId="47323D57" w:rsidR="00931118" w:rsidRPr="001044FF" w:rsidRDefault="00A1229E" w:rsidP="00931118">
      <w:pPr>
        <w:pStyle w:val="Heading2"/>
      </w:pPr>
      <w:r w:rsidRPr="001044FF">
        <w:t>Antibiotic prescribing practices in Australia</w:t>
      </w:r>
    </w:p>
    <w:p w14:paraId="349CFBDC" w14:textId="1865900D" w:rsidR="0035057D" w:rsidRPr="001044FF" w:rsidRDefault="0035057D" w:rsidP="0035057D">
      <w:r w:rsidRPr="001044FF">
        <w:t>Margaret W</w:t>
      </w:r>
      <w:r w:rsidR="006F0B37" w:rsidRPr="001044FF">
        <w:t>ill</w:t>
      </w:r>
      <w:r w:rsidR="003A11E8" w:rsidRPr="001044FF">
        <w:t>i</w:t>
      </w:r>
      <w:r w:rsidR="006F0B37" w:rsidRPr="001044FF">
        <w:t xml:space="preserve">amson presented background on the </w:t>
      </w:r>
      <w:proofErr w:type="spellStart"/>
      <w:r w:rsidR="006F0B37" w:rsidRPr="001044FF">
        <w:t>MedicineInsight</w:t>
      </w:r>
      <w:proofErr w:type="spellEnd"/>
      <w:r w:rsidR="006F0B37" w:rsidRPr="001044FF">
        <w:t xml:space="preserve"> project,</w:t>
      </w:r>
      <w:r w:rsidRPr="001044FF">
        <w:t xml:space="preserve"> a general practice data platform that collects clinical and service delivery data. Data w</w:t>
      </w:r>
      <w:r w:rsidR="00A47AA0" w:rsidRPr="001044FF">
        <w:t>ere</w:t>
      </w:r>
      <w:r w:rsidRPr="001044FF">
        <w:t xml:space="preserve"> presented on reasons for prescribing commonly used antibiotics and commonly treated infections. Participants noted that a relevant condition could not be identified in the specified data field for around 4</w:t>
      </w:r>
      <w:r w:rsidR="00DA3227" w:rsidRPr="001044FF">
        <w:t>0% of antibiotic prescriptions</w:t>
      </w:r>
      <w:r w:rsidRPr="001044FF">
        <w:t xml:space="preserve">. </w:t>
      </w:r>
    </w:p>
    <w:p w14:paraId="15CD84D6" w14:textId="2FD0CBEC" w:rsidR="0035057D" w:rsidRPr="001044FF" w:rsidRDefault="0035057D" w:rsidP="00E15471">
      <w:r w:rsidRPr="001044FF">
        <w:t xml:space="preserve">A comparison of rates of prescribing in Australian practice and benchmarks set by </w:t>
      </w:r>
      <w:r w:rsidR="006F0B37" w:rsidRPr="001044FF">
        <w:t>the European Surveillance of Antimicrobial Consumption Project Group (</w:t>
      </w:r>
      <w:r w:rsidRPr="001044FF">
        <w:t>ESAC</w:t>
      </w:r>
      <w:r w:rsidR="006F0B37" w:rsidRPr="001044FF">
        <w:t>)</w:t>
      </w:r>
      <w:r w:rsidRPr="001044FF">
        <w:t xml:space="preserve"> was presented. Participants noted that </w:t>
      </w:r>
      <w:r w:rsidR="006F0B37" w:rsidRPr="001044FF">
        <w:t xml:space="preserve">the </w:t>
      </w:r>
      <w:r w:rsidRPr="001044FF">
        <w:t xml:space="preserve">proportion of </w:t>
      </w:r>
      <w:r w:rsidR="00A47AA0" w:rsidRPr="001044FF">
        <w:t xml:space="preserve">Australian </w:t>
      </w:r>
      <w:r w:rsidRPr="001044FF">
        <w:t xml:space="preserve">patients who were prescribed an antibiotic for specified conditions was well above the acceptable range set by ESAC for most conditions. An acceptable range has not been developed for Australia, but this would be a useful addition to analyses. </w:t>
      </w:r>
      <w:r w:rsidR="003A11E8" w:rsidRPr="001044FF">
        <w:t xml:space="preserve">It was suggested that the data could be analysed </w:t>
      </w:r>
      <w:r w:rsidR="006F0B37" w:rsidRPr="001044FF">
        <w:t xml:space="preserve">in terms of practice size and type to explore any differences </w:t>
      </w:r>
      <w:r w:rsidR="00A47AA0" w:rsidRPr="001044FF">
        <w:t xml:space="preserve">relating to </w:t>
      </w:r>
      <w:r w:rsidR="006F0B37" w:rsidRPr="001044FF">
        <w:t>after-hours care or patients who do not present to their regular GP. Participants felt that these issues can affect the level of consumer involvement in decision making.</w:t>
      </w:r>
    </w:p>
    <w:p w14:paraId="16A7584D" w14:textId="2A2C261D" w:rsidR="00A22485" w:rsidRPr="001044FF" w:rsidRDefault="006F0B37" w:rsidP="000B5C1B">
      <w:r w:rsidRPr="001044FF">
        <w:t>Participants discussed the potential to use d</w:t>
      </w:r>
      <w:r w:rsidR="00A22485" w:rsidRPr="001044FF">
        <w:t>ata on variation across practices as an education tool for GPs</w:t>
      </w:r>
      <w:r w:rsidR="001466B8" w:rsidRPr="001044FF">
        <w:t xml:space="preserve"> </w:t>
      </w:r>
      <w:r w:rsidRPr="001044FF">
        <w:t xml:space="preserve">to </w:t>
      </w:r>
      <w:r w:rsidR="001466B8" w:rsidRPr="001044FF">
        <w:t xml:space="preserve">help to set a benchmark for reducing antibiotic prescribing. The reasons behind these variations need to be understood and addressed—for example, it may be sufficient to educate GPs about how to help patients manage </w:t>
      </w:r>
      <w:r w:rsidR="001F055A" w:rsidRPr="001044FF">
        <w:t>their</w:t>
      </w:r>
      <w:r w:rsidR="001466B8" w:rsidRPr="001044FF">
        <w:t xml:space="preserve"> symptoms, instead of prescribing antibiotics. Partnerships across health care professions will be important to provide consistent messaging</w:t>
      </w:r>
      <w:r w:rsidR="00CE7458" w:rsidRPr="001044FF">
        <w:t>,</w:t>
      </w:r>
      <w:r w:rsidR="001466B8" w:rsidRPr="001044FF">
        <w:t xml:space="preserve"> and change the culture relating to antibiotics in terms of what consumers and health professionals expect.</w:t>
      </w:r>
    </w:p>
    <w:p w14:paraId="706FDE8E" w14:textId="6D68143C" w:rsidR="00931118" w:rsidRPr="001044FF" w:rsidRDefault="00931118" w:rsidP="00931118">
      <w:pPr>
        <w:pStyle w:val="Heading2"/>
      </w:pPr>
      <w:r w:rsidRPr="001044FF">
        <w:t>Quality use of antibiotics</w:t>
      </w:r>
    </w:p>
    <w:p w14:paraId="2B267B0A" w14:textId="26B613BD" w:rsidR="00801356" w:rsidRPr="001044FF" w:rsidRDefault="006F0B37" w:rsidP="00801356">
      <w:r w:rsidRPr="001044FF">
        <w:t>Professor Turnidge presented information about</w:t>
      </w:r>
      <w:r w:rsidR="00150D72" w:rsidRPr="001044FF">
        <w:t xml:space="preserve"> </w:t>
      </w:r>
      <w:r w:rsidR="00150D72" w:rsidRPr="001044FF">
        <w:rPr>
          <w:i/>
        </w:rPr>
        <w:t>Therapeutic Guidelines: Antibiotic</w:t>
      </w:r>
      <w:r w:rsidR="00150D72" w:rsidRPr="001044FF">
        <w:t xml:space="preserve"> (</w:t>
      </w:r>
      <w:r w:rsidR="0020077F" w:rsidRPr="001044FF">
        <w:t xml:space="preserve">currently in its 15th edition). This is a benchmark </w:t>
      </w:r>
      <w:r w:rsidR="000A0266" w:rsidRPr="001044FF">
        <w:t xml:space="preserve">publication </w:t>
      </w:r>
      <w:r w:rsidR="0020077F" w:rsidRPr="001044FF">
        <w:t xml:space="preserve">that is rigorously reviewed and updated, and widely used among prescribers. </w:t>
      </w:r>
      <w:r w:rsidR="00150D72" w:rsidRPr="001044FF">
        <w:t>Several programs and standards</w:t>
      </w:r>
      <w:r w:rsidR="00052087" w:rsidRPr="001044FF">
        <w:t xml:space="preserve"> from other organisations </w:t>
      </w:r>
      <w:r w:rsidR="00150D72" w:rsidRPr="001044FF">
        <w:t xml:space="preserve">also cover antimicrobial stewardship, such as the National Safety and Quality Health Service Standards, the Antimicrobial Stewardship Clinical Care Standard, the National Antimicrobial Prescribing Survey, </w:t>
      </w:r>
      <w:r w:rsidR="0020077F" w:rsidRPr="001044FF">
        <w:t xml:space="preserve">the National Antimicrobial Utilisation Surveillance Program, </w:t>
      </w:r>
      <w:r w:rsidR="00150D72" w:rsidRPr="001044FF">
        <w:t xml:space="preserve">and </w:t>
      </w:r>
      <w:r w:rsidR="00150D72" w:rsidRPr="001044FF">
        <w:rPr>
          <w:i/>
        </w:rPr>
        <w:t>Antimicro</w:t>
      </w:r>
      <w:r w:rsidR="0020077F" w:rsidRPr="001044FF">
        <w:rPr>
          <w:i/>
        </w:rPr>
        <w:t>bial stewardship in Australian h</w:t>
      </w:r>
      <w:r w:rsidR="00150D72" w:rsidRPr="001044FF">
        <w:rPr>
          <w:i/>
        </w:rPr>
        <w:t>ospitals</w:t>
      </w:r>
      <w:r w:rsidR="00150D72" w:rsidRPr="001044FF">
        <w:t>.</w:t>
      </w:r>
    </w:p>
    <w:p w14:paraId="50F61723" w14:textId="782BFAEB" w:rsidR="0020077F" w:rsidRPr="001044FF" w:rsidRDefault="0020077F" w:rsidP="00801356">
      <w:r w:rsidRPr="001044FF">
        <w:t xml:space="preserve">The Clinical Care Standard specifies that antibiotics should be prescribed in accordance with the current version of </w:t>
      </w:r>
      <w:r w:rsidRPr="001044FF">
        <w:rPr>
          <w:i/>
        </w:rPr>
        <w:t>Therapeutic Guidelines: Antibiotic</w:t>
      </w:r>
      <w:r w:rsidRPr="001044FF">
        <w:t xml:space="preserve">. </w:t>
      </w:r>
      <w:r w:rsidR="00A71B67" w:rsidRPr="001044FF">
        <w:t xml:space="preserve">However, data from </w:t>
      </w:r>
      <w:proofErr w:type="spellStart"/>
      <w:r w:rsidR="00A71B67" w:rsidRPr="001044FF">
        <w:t>MedicineInsight</w:t>
      </w:r>
      <w:proofErr w:type="spellEnd"/>
      <w:r w:rsidR="00A71B67" w:rsidRPr="001044FF">
        <w:t xml:space="preserve"> indicate </w:t>
      </w:r>
      <w:r w:rsidR="00A71B67" w:rsidRPr="001044FF">
        <w:lastRenderedPageBreak/>
        <w:t>that</w:t>
      </w:r>
      <w:r w:rsidR="0092331C" w:rsidRPr="001044FF">
        <w:t xml:space="preserve"> the proportions of patients who are prescribed systemic antibiotics are far above the acceptable range </w:t>
      </w:r>
      <w:r w:rsidR="00CA7360" w:rsidRPr="001044FF">
        <w:t xml:space="preserve">(set by </w:t>
      </w:r>
      <w:r w:rsidR="008A5A48" w:rsidRPr="001044FF">
        <w:t>ESAC</w:t>
      </w:r>
      <w:r w:rsidR="00CA7360" w:rsidRPr="001044FF">
        <w:t xml:space="preserve">) </w:t>
      </w:r>
      <w:r w:rsidR="0092331C" w:rsidRPr="001044FF">
        <w:t>for most selected conditions. Other elements of the Clinical Care Standard, such as whether a patient was provided with information about their antibiotic, and whether patients who are prescribed broad-spectrum antibiotics have their treatment reviewed and switched to a narrow-spectrum antibiotic (where appropriate), are difficult to gather data on.</w:t>
      </w:r>
    </w:p>
    <w:p w14:paraId="52FF4A5B" w14:textId="07A2E4A5" w:rsidR="0092331C" w:rsidRPr="001044FF" w:rsidRDefault="006F0B37" w:rsidP="00801356">
      <w:r w:rsidRPr="001044FF">
        <w:t>Participants noted that the Australian Commission on Safety and Quality in Health Care is developing an atlas of health care variation. This will inform strategies, resources and tools to identify and reduce unwarranted health</w:t>
      </w:r>
      <w:r w:rsidR="00CE7458" w:rsidRPr="001044FF">
        <w:t xml:space="preserve"> </w:t>
      </w:r>
      <w:r w:rsidRPr="001044FF">
        <w:t>care variation—including for antibiotics—and will drive further investigation of variation at the local area level.</w:t>
      </w:r>
    </w:p>
    <w:p w14:paraId="1FE8DCAE" w14:textId="50BE8D43" w:rsidR="0092331C" w:rsidRPr="001044FF" w:rsidRDefault="001F055A" w:rsidP="00801356">
      <w:r w:rsidRPr="001044FF">
        <w:t>Participants agreed that t</w:t>
      </w:r>
      <w:r w:rsidR="0092331C" w:rsidRPr="001044FF">
        <w:t xml:space="preserve">he PBS has a strong role in antimicrobial stewardship. Currently, common antimicrobials are cheap and subsidised for around half the population. An Authority Required listing provides a significant disincentive to prescribe, which can drive down </w:t>
      </w:r>
      <w:r w:rsidRPr="001044FF">
        <w:t xml:space="preserve">inappropriate </w:t>
      </w:r>
      <w:r w:rsidR="0092331C" w:rsidRPr="001044FF">
        <w:t xml:space="preserve">use. </w:t>
      </w:r>
      <w:r w:rsidR="00AC54D5" w:rsidRPr="001044FF">
        <w:t>Professor Turnidge noted that r</w:t>
      </w:r>
      <w:r w:rsidR="00DF1E3A" w:rsidRPr="001044FF">
        <w:t xml:space="preserve">egulation of fluoroquinolones in Australia illustrates this point—strong regulation through the PBS as Restricted </w:t>
      </w:r>
      <w:r w:rsidR="00052087" w:rsidRPr="001044FF">
        <w:t xml:space="preserve">Benefit </w:t>
      </w:r>
      <w:r w:rsidR="00DF1E3A" w:rsidRPr="001044FF">
        <w:t xml:space="preserve">or Authority Required, and little use in the field of animal health, led to Australia having one of the lowest rates of fluoroquinolone use in the world and the lowest proportion of </w:t>
      </w:r>
      <w:r w:rsidR="00DF1E3A" w:rsidRPr="001044FF">
        <w:rPr>
          <w:i/>
        </w:rPr>
        <w:t>E. coli</w:t>
      </w:r>
      <w:r w:rsidR="00DF1E3A" w:rsidRPr="001044FF">
        <w:t xml:space="preserve"> strains that were resistant to fluoroquinolones.</w:t>
      </w:r>
    </w:p>
    <w:p w14:paraId="0F1EB7A2" w14:textId="61F40450" w:rsidR="00931118" w:rsidRPr="001044FF" w:rsidRDefault="00C4331F" w:rsidP="00931118">
      <w:pPr>
        <w:pStyle w:val="Heading2"/>
      </w:pPr>
      <w:r w:rsidRPr="001044FF">
        <w:t>Optimising PBS listings</w:t>
      </w:r>
    </w:p>
    <w:p w14:paraId="0A070769" w14:textId="135A3C4F" w:rsidR="00C4331F" w:rsidRPr="001044FF" w:rsidRDefault="00C4331F" w:rsidP="00C4331F">
      <w:r w:rsidRPr="001044FF">
        <w:t xml:space="preserve">Participants discussed the following issues with reference </w:t>
      </w:r>
      <w:r w:rsidR="00177913" w:rsidRPr="001044FF">
        <w:t xml:space="preserve">to several </w:t>
      </w:r>
      <w:r w:rsidR="001F055A" w:rsidRPr="001044FF">
        <w:t>case studies</w:t>
      </w:r>
      <w:r w:rsidR="00CE7458" w:rsidRPr="001044FF">
        <w:t>,</w:t>
      </w:r>
      <w:r w:rsidR="001F055A" w:rsidRPr="001044FF">
        <w:t xml:space="preserve"> including </w:t>
      </w:r>
      <w:r w:rsidR="00177913" w:rsidRPr="001044FF">
        <w:t>high-volume antibiotics</w:t>
      </w:r>
      <w:r w:rsidR="001F055A" w:rsidRPr="001044FF">
        <w:t xml:space="preserve"> (</w:t>
      </w:r>
      <w:r w:rsidR="00177913" w:rsidRPr="001044FF">
        <w:t>amoxycilli</w:t>
      </w:r>
      <w:r w:rsidRPr="001044FF">
        <w:t>n, amoxycillin and clavulanic acid, cephalexin</w:t>
      </w:r>
      <w:r w:rsidR="001F055A" w:rsidRPr="001044FF">
        <w:t>)</w:t>
      </w:r>
      <w:r w:rsidRPr="001044FF">
        <w:t xml:space="preserve">, </w:t>
      </w:r>
      <w:r w:rsidR="00177913" w:rsidRPr="001044FF">
        <w:t>where a small change in listing could have a large effect on total antibiotic use</w:t>
      </w:r>
      <w:r w:rsidR="001F055A" w:rsidRPr="001044FF">
        <w:t>, and examples where the current PBS restrictions (azithromycin) or quantities (clindamycin) do not align with current guidelines</w:t>
      </w:r>
      <w:r w:rsidR="00177913" w:rsidRPr="001044FF">
        <w:t>.</w:t>
      </w:r>
    </w:p>
    <w:p w14:paraId="546CA7ED" w14:textId="07080190" w:rsidR="00A1229E" w:rsidRPr="001044FF" w:rsidRDefault="00033599" w:rsidP="00C4331F">
      <w:pPr>
        <w:pStyle w:val="Heading3"/>
      </w:pPr>
      <w:r w:rsidRPr="001044FF">
        <w:t>Addressing regulatory burden</w:t>
      </w:r>
    </w:p>
    <w:p w14:paraId="2A7B3EF3" w14:textId="1E14E958" w:rsidR="00891475" w:rsidRPr="001044FF" w:rsidRDefault="00891475" w:rsidP="00C4331F">
      <w:r w:rsidRPr="001044FF">
        <w:t xml:space="preserve">Participants noted the regulatory burden of Authority Required listings, and </w:t>
      </w:r>
      <w:r w:rsidR="00C60125" w:rsidRPr="001044FF">
        <w:t>also</w:t>
      </w:r>
      <w:r w:rsidRPr="001044FF">
        <w:t xml:space="preserve"> that</w:t>
      </w:r>
      <w:r w:rsidR="00F057DB" w:rsidRPr="001044FF">
        <w:t xml:space="preserve"> the</w:t>
      </w:r>
      <w:r w:rsidRPr="001044FF">
        <w:t xml:space="preserve"> streamlined authority was introduced to reduce this burden. Listing antibiotics as Authority Required (</w:t>
      </w:r>
      <w:r w:rsidR="00E713E1" w:rsidRPr="001044FF">
        <w:t>STREAMLINED</w:t>
      </w:r>
      <w:r w:rsidRPr="001044FF">
        <w:t xml:space="preserve">) allows </w:t>
      </w:r>
      <w:r w:rsidR="000656DA" w:rsidRPr="001044FF">
        <w:t>the streamlined code relating to indication</w:t>
      </w:r>
      <w:r w:rsidRPr="001044FF">
        <w:t xml:space="preserve"> to be captured, and also sends a signal to the prescriber that the item is restricted under the PBS. It was suggested that some antibiotics (such as a</w:t>
      </w:r>
      <w:r w:rsidR="00050320" w:rsidRPr="001044FF">
        <w:t>moxycillin</w:t>
      </w:r>
      <w:r w:rsidRPr="001044FF">
        <w:t>)</w:t>
      </w:r>
      <w:r w:rsidR="00050320" w:rsidRPr="001044FF">
        <w:t xml:space="preserve"> could be listed as Authority Required (</w:t>
      </w:r>
      <w:r w:rsidR="00E713E1" w:rsidRPr="001044FF">
        <w:t>STREAMLINED</w:t>
      </w:r>
      <w:r w:rsidR="00C60125" w:rsidRPr="001044FF">
        <w:t xml:space="preserve">) without </w:t>
      </w:r>
      <w:r w:rsidR="00050320" w:rsidRPr="001044FF">
        <w:t>repeats</w:t>
      </w:r>
      <w:r w:rsidR="00033599" w:rsidRPr="001044FF">
        <w:t xml:space="preserve">, but a higher </w:t>
      </w:r>
      <w:r w:rsidR="00052087" w:rsidRPr="001044FF">
        <w:t xml:space="preserve">maximum </w:t>
      </w:r>
      <w:r w:rsidR="00033599" w:rsidRPr="001044FF">
        <w:t xml:space="preserve">quantity would be </w:t>
      </w:r>
      <w:r w:rsidR="00052087" w:rsidRPr="001044FF">
        <w:t xml:space="preserve">listed as </w:t>
      </w:r>
      <w:r w:rsidR="00033599" w:rsidRPr="001044FF">
        <w:t>Authority Required</w:t>
      </w:r>
      <w:r w:rsidR="00050320" w:rsidRPr="001044FF">
        <w:t xml:space="preserve">. </w:t>
      </w:r>
      <w:r w:rsidR="00C4331F" w:rsidRPr="001044FF">
        <w:t>Since repeats are only dispensed around 20%</w:t>
      </w:r>
      <w:r w:rsidR="00841350" w:rsidRPr="001044FF">
        <w:t xml:space="preserve"> of the time, it </w:t>
      </w:r>
      <w:r w:rsidR="001B7845" w:rsidRPr="001044FF">
        <w:t xml:space="preserve">may </w:t>
      </w:r>
      <w:r w:rsidR="00841350" w:rsidRPr="001044FF">
        <w:t>not be a significant</w:t>
      </w:r>
      <w:r w:rsidR="00C4331F" w:rsidRPr="001044FF">
        <w:t xml:space="preserve"> additional administrative burden to list </w:t>
      </w:r>
      <w:r w:rsidRPr="001044FF">
        <w:t>increased quantities</w:t>
      </w:r>
      <w:r w:rsidR="00C4331F" w:rsidRPr="001044FF">
        <w:t xml:space="preserve"> as Authority Required.</w:t>
      </w:r>
      <w:r w:rsidR="00F057DB" w:rsidRPr="001044FF">
        <w:t xml:space="preserve"> </w:t>
      </w:r>
      <w:r w:rsidRPr="001044FF">
        <w:t>However, it was noted that greater granularity would be required for the restrictions</w:t>
      </w:r>
      <w:r w:rsidR="00F057DB" w:rsidRPr="001044FF">
        <w:t xml:space="preserve"> </w:t>
      </w:r>
      <w:r w:rsidR="00CE7458" w:rsidRPr="001044FF">
        <w:t>to provide</w:t>
      </w:r>
      <w:r w:rsidR="00F057DB" w:rsidRPr="001044FF">
        <w:t xml:space="preserve"> informative </w:t>
      </w:r>
      <w:r w:rsidR="00E767B0" w:rsidRPr="001044FF">
        <w:t xml:space="preserve">and detailed </w:t>
      </w:r>
      <w:r w:rsidR="00F057DB" w:rsidRPr="001044FF">
        <w:t>data</w:t>
      </w:r>
      <w:r w:rsidRPr="001044FF">
        <w:t xml:space="preserve">, but </w:t>
      </w:r>
      <w:r w:rsidR="00CE7458" w:rsidRPr="001044FF">
        <w:t xml:space="preserve">that the increase should not be so great that it leads to </w:t>
      </w:r>
      <w:r w:rsidRPr="001044FF">
        <w:t xml:space="preserve">too many </w:t>
      </w:r>
      <w:r w:rsidR="00033599" w:rsidRPr="001044FF">
        <w:t>restricted items</w:t>
      </w:r>
      <w:r w:rsidRPr="001044FF">
        <w:t>.</w:t>
      </w:r>
    </w:p>
    <w:p w14:paraId="5C1F219C" w14:textId="3DE583DD" w:rsidR="00177913" w:rsidRPr="001044FF" w:rsidRDefault="00C60125" w:rsidP="00C4331F">
      <w:r w:rsidRPr="001044FF">
        <w:t>Any c</w:t>
      </w:r>
      <w:r w:rsidR="00177913" w:rsidRPr="001044FF">
        <w:t xml:space="preserve">hanges in restrictions and pack sizes would also increase the regulatory burden on manufacturers and the </w:t>
      </w:r>
      <w:r w:rsidR="006E709A" w:rsidRPr="001044FF">
        <w:t>Therapeutic Goods Administration</w:t>
      </w:r>
      <w:r w:rsidR="00177913" w:rsidRPr="001044FF">
        <w:t xml:space="preserve">, as manufacturers would need to update their Product Information </w:t>
      </w:r>
      <w:r w:rsidR="001B7845" w:rsidRPr="001044FF">
        <w:t xml:space="preserve">(PI) </w:t>
      </w:r>
      <w:r w:rsidR="00177913" w:rsidRPr="001044FF">
        <w:t>and Consumer Medicines Information</w:t>
      </w:r>
      <w:r w:rsidR="00C841AA" w:rsidRPr="001044FF">
        <w:t xml:space="preserve"> (CMI)</w:t>
      </w:r>
      <w:r w:rsidR="00177913" w:rsidRPr="001044FF">
        <w:t xml:space="preserve">, which can take time. Participants discussed the </w:t>
      </w:r>
      <w:r w:rsidR="002B1AFA" w:rsidRPr="001044FF">
        <w:t>need for</w:t>
      </w:r>
      <w:r w:rsidR="00177913" w:rsidRPr="001044FF">
        <w:t xml:space="preserve"> the </w:t>
      </w:r>
      <w:r w:rsidR="001B7845" w:rsidRPr="001044FF">
        <w:t xml:space="preserve">PI and </w:t>
      </w:r>
      <w:r w:rsidR="00177913" w:rsidRPr="001044FF">
        <w:t xml:space="preserve">CMI </w:t>
      </w:r>
      <w:r w:rsidR="002B1AFA" w:rsidRPr="001044FF">
        <w:t>to reflect</w:t>
      </w:r>
      <w:r w:rsidR="00177913" w:rsidRPr="001044FF">
        <w:t xml:space="preserve"> current practice</w:t>
      </w:r>
      <w:r w:rsidR="002B1AFA" w:rsidRPr="001044FF">
        <w:t xml:space="preserve"> so that consumers receive the same information from the CMI and their prescriber.</w:t>
      </w:r>
    </w:p>
    <w:p w14:paraId="73B35A77" w14:textId="77777777" w:rsidR="00C60125" w:rsidRPr="001044FF" w:rsidRDefault="00C60125" w:rsidP="00C60125">
      <w:pPr>
        <w:pStyle w:val="Heading3"/>
      </w:pPr>
      <w:r w:rsidRPr="001044FF">
        <w:t xml:space="preserve">Aligning the PBS with </w:t>
      </w:r>
      <w:r w:rsidRPr="001044FF">
        <w:rPr>
          <w:i/>
        </w:rPr>
        <w:t>Therapeutic Guidelines: Antibiotic</w:t>
      </w:r>
    </w:p>
    <w:p w14:paraId="42A27AD8" w14:textId="77777777" w:rsidR="00C60125" w:rsidRPr="001044FF" w:rsidRDefault="00C60125" w:rsidP="00C60125">
      <w:r w:rsidRPr="001044FF">
        <w:t xml:space="preserve">Pack sizes could be adjusted to better reflect </w:t>
      </w:r>
      <w:r w:rsidRPr="001044FF">
        <w:rPr>
          <w:i/>
        </w:rPr>
        <w:t>Therapeutic Guidelines: Antibiotic</w:t>
      </w:r>
      <w:r w:rsidRPr="001044FF">
        <w:t xml:space="preserve">. For cephalexin, a pack size of 20 is adequate for the majority of indications and does not require a change; however, roxithromycin is recommended as a 10-day course for almost all indications, and this should be reflected in the PBS-listed pack sizes. The PBS-listed pack size for clindamycin is insufficient for the </w:t>
      </w:r>
      <w:r w:rsidRPr="001044FF">
        <w:lastRenderedPageBreak/>
        <w:t xml:space="preserve">usual length of treatment. Amoxycillin also presents issues with non-alignment between PBS-listed indications, duration and quantity, and the same information in </w:t>
      </w:r>
      <w:r w:rsidRPr="001044FF">
        <w:rPr>
          <w:i/>
        </w:rPr>
        <w:t>Therapeutic Guidelines: Antibiotic</w:t>
      </w:r>
      <w:r w:rsidRPr="001044FF">
        <w:t xml:space="preserve">. </w:t>
      </w:r>
    </w:p>
    <w:p w14:paraId="6E4F94CC" w14:textId="23489269" w:rsidR="00C60125" w:rsidRPr="001044FF" w:rsidRDefault="00C60125" w:rsidP="00C60125">
      <w:r w:rsidRPr="001044FF">
        <w:t xml:space="preserve">Participants noted that </w:t>
      </w:r>
      <w:r w:rsidR="00E767B0" w:rsidRPr="001044FF">
        <w:t xml:space="preserve">off-label prescribing </w:t>
      </w:r>
      <w:r w:rsidRPr="001044FF">
        <w:t xml:space="preserve">for azithromycin </w:t>
      </w:r>
      <w:r w:rsidR="00E767B0" w:rsidRPr="001044FF">
        <w:t xml:space="preserve">is common </w:t>
      </w:r>
      <w:r w:rsidR="00000D92" w:rsidRPr="001044FF">
        <w:t>as a result of</w:t>
      </w:r>
      <w:r w:rsidR="00E767B0" w:rsidRPr="001044FF">
        <w:t xml:space="preserve"> misalignment between the PBS-listed indications and the recommendations in </w:t>
      </w:r>
      <w:r w:rsidRPr="001044FF">
        <w:rPr>
          <w:i/>
        </w:rPr>
        <w:t>Therapeutic Guidelines: Antibiotic</w:t>
      </w:r>
      <w:r w:rsidRPr="001044FF">
        <w:t>.</w:t>
      </w:r>
      <w:r w:rsidR="00DF6C98" w:rsidRPr="001044FF">
        <w:t xml:space="preserve"> In addition, some antibiotics that are available and recommended under </w:t>
      </w:r>
      <w:r w:rsidR="00DF6C98" w:rsidRPr="001044FF">
        <w:rPr>
          <w:i/>
        </w:rPr>
        <w:t>Therapeutic Guidelines: Antibiotic</w:t>
      </w:r>
      <w:r w:rsidR="00DF6C98" w:rsidRPr="001044FF">
        <w:t xml:space="preserve"> are not PBS-listed, and this can affect access, particularly in private hospitals.</w:t>
      </w:r>
    </w:p>
    <w:p w14:paraId="2297D705" w14:textId="23DFED71" w:rsidR="00C60125" w:rsidRPr="001044FF" w:rsidRDefault="00C60125" w:rsidP="00C60125">
      <w:r w:rsidRPr="001044FF">
        <w:t xml:space="preserve">It was suggested that the PBS listing and restrictions </w:t>
      </w:r>
      <w:r w:rsidR="00F60239" w:rsidRPr="001044FF">
        <w:t xml:space="preserve">for antibiotics </w:t>
      </w:r>
      <w:r w:rsidRPr="001044FF">
        <w:t xml:space="preserve">could include a requirement for prescribing in accordance with </w:t>
      </w:r>
      <w:r w:rsidRPr="001044FF">
        <w:rPr>
          <w:i/>
        </w:rPr>
        <w:t>Therapeutic Guidelines: Antibiotic</w:t>
      </w:r>
      <w:r w:rsidRPr="001044FF">
        <w:t xml:space="preserve">. </w:t>
      </w:r>
      <w:r w:rsidR="00A22485" w:rsidRPr="001044FF">
        <w:t xml:space="preserve">It would also be useful to develop a mechanism to ensure that prescribers are using the latest edition of </w:t>
      </w:r>
      <w:r w:rsidR="00A22485" w:rsidRPr="001044FF">
        <w:rPr>
          <w:i/>
        </w:rPr>
        <w:t>Therapeutic Guidelines: Antibiotic</w:t>
      </w:r>
      <w:r w:rsidR="00A22485" w:rsidRPr="001044FF">
        <w:t>, as prescribers are not always willing to pay to update their version.</w:t>
      </w:r>
    </w:p>
    <w:p w14:paraId="7282C133" w14:textId="74E4DEDC" w:rsidR="00C4331F" w:rsidRPr="001044FF" w:rsidRDefault="00033599" w:rsidP="00C4331F">
      <w:pPr>
        <w:pStyle w:val="Heading3"/>
      </w:pPr>
      <w:r w:rsidRPr="001044FF">
        <w:t xml:space="preserve">Using </w:t>
      </w:r>
      <w:r w:rsidR="00C4331F" w:rsidRPr="001044FF">
        <w:t xml:space="preserve">PBS restrictions </w:t>
      </w:r>
      <w:r w:rsidRPr="001044FF">
        <w:t>to limit antibiotic use</w:t>
      </w:r>
    </w:p>
    <w:p w14:paraId="5213496A" w14:textId="35CCA0CC" w:rsidR="00891475" w:rsidRPr="001044FF" w:rsidRDefault="00050320" w:rsidP="00931118">
      <w:r w:rsidRPr="001044FF">
        <w:t>Participants discussed the potential for a return to bulk packs</w:t>
      </w:r>
      <w:r w:rsidR="00000D92" w:rsidRPr="001044FF">
        <w:t xml:space="preserve">—that is, </w:t>
      </w:r>
      <w:r w:rsidRPr="001044FF">
        <w:t xml:space="preserve">where the pharmacist would </w:t>
      </w:r>
      <w:r w:rsidR="000656DA" w:rsidRPr="001044FF">
        <w:t xml:space="preserve">not be restricted by the pack size and could </w:t>
      </w:r>
      <w:r w:rsidRPr="001044FF">
        <w:t xml:space="preserve">dispense a short course, which could then be reviewed </w:t>
      </w:r>
      <w:r w:rsidR="004C0DBF" w:rsidRPr="001044FF">
        <w:t>on receiving the patient’s microbiology results</w:t>
      </w:r>
      <w:r w:rsidRPr="001044FF">
        <w:t xml:space="preserve">. </w:t>
      </w:r>
      <w:r w:rsidR="004C0DBF" w:rsidRPr="001044FF">
        <w:t xml:space="preserve">However, this would mean that practices would need to order more tests than they do currently, which would affect budgets. It was also </w:t>
      </w:r>
      <w:r w:rsidRPr="001044FF">
        <w:t>noted that some antibiotics (such as amoxycillin and clavulanic acid) are hygroscopic, which presents difficulties for breaking packs.</w:t>
      </w:r>
      <w:r w:rsidR="004C0DBF" w:rsidRPr="001044FF">
        <w:t xml:space="preserve"> </w:t>
      </w:r>
      <w:r w:rsidR="007D7C08" w:rsidRPr="001044FF">
        <w:t xml:space="preserve">It would be preferable to avoid the inconvenience of breaking packs by setting up a system in which pack sizes are matched to listings. </w:t>
      </w:r>
      <w:r w:rsidR="004C0DBF" w:rsidRPr="001044FF">
        <w:t>Changing pack sizes would also present challenges for manufacturers, particularly those who supply to many countries.</w:t>
      </w:r>
    </w:p>
    <w:p w14:paraId="0418E656" w14:textId="1299BE24" w:rsidR="00931118" w:rsidRPr="001044FF" w:rsidRDefault="00931118" w:rsidP="0068098F">
      <w:pPr>
        <w:pStyle w:val="Heading2"/>
      </w:pPr>
      <w:r w:rsidRPr="001044FF">
        <w:t>Strategies to</w:t>
      </w:r>
      <w:r w:rsidR="000B4564" w:rsidRPr="001044FF">
        <w:t xml:space="preserve"> optimise use of antibiotics</w:t>
      </w:r>
    </w:p>
    <w:p w14:paraId="5F2E8992" w14:textId="51AC986A" w:rsidR="000B4564" w:rsidRPr="001044FF" w:rsidRDefault="00033599" w:rsidP="000B4564">
      <w:pPr>
        <w:pStyle w:val="Heading3"/>
      </w:pPr>
      <w:r w:rsidRPr="001044FF">
        <w:t>Antimicrobial stewardship through the PBS</w:t>
      </w:r>
    </w:p>
    <w:p w14:paraId="4FC9199D" w14:textId="1852C11A" w:rsidR="0058348A" w:rsidRPr="001044FF" w:rsidRDefault="00391B9B" w:rsidP="00391B9B">
      <w:r w:rsidRPr="001044FF">
        <w:t>Participants noted that the PBS has a role in restricti</w:t>
      </w:r>
      <w:r w:rsidR="00C37ED0" w:rsidRPr="001044FF">
        <w:t>ng,</w:t>
      </w:r>
      <w:r w:rsidRPr="001044FF">
        <w:t xml:space="preserve"> and </w:t>
      </w:r>
      <w:r w:rsidR="00C37ED0" w:rsidRPr="001044FF">
        <w:t xml:space="preserve">encouraging </w:t>
      </w:r>
      <w:r w:rsidRPr="001044FF">
        <w:t>compliance with</w:t>
      </w:r>
      <w:r w:rsidR="00C37ED0" w:rsidRPr="001044FF">
        <w:t>,</w:t>
      </w:r>
      <w:r w:rsidRPr="001044FF">
        <w:t xml:space="preserve"> antibiotic prescribing </w:t>
      </w:r>
      <w:r w:rsidR="00821DEB" w:rsidRPr="001044FF">
        <w:t>by discouraging</w:t>
      </w:r>
      <w:r w:rsidRPr="001044FF">
        <w:t xml:space="preserve"> inappropriate prescribing practices, and that this approach is appropriate </w:t>
      </w:r>
      <w:r w:rsidR="0058348A" w:rsidRPr="001044FF">
        <w:t>because</w:t>
      </w:r>
      <w:r w:rsidRPr="001044FF">
        <w:t xml:space="preserve"> mechanisms exist in other areas </w:t>
      </w:r>
      <w:r w:rsidR="00561183" w:rsidRPr="001044FF">
        <w:t xml:space="preserve">of health </w:t>
      </w:r>
      <w:r w:rsidRPr="001044FF">
        <w:t xml:space="preserve">to provide incentives for appropriate prescribing. </w:t>
      </w:r>
      <w:r w:rsidR="0058348A" w:rsidRPr="001044FF">
        <w:t xml:space="preserve">A restrictive PBS listing sends a strong message about appropriate antibiotic use, and can be helpful guidance for both prescribers and consumers. </w:t>
      </w:r>
      <w:r w:rsidR="00B32E9C" w:rsidRPr="001044FF">
        <w:t xml:space="preserve">As a result, </w:t>
      </w:r>
      <w:r w:rsidR="005C4C24" w:rsidRPr="001044FF">
        <w:t>more restrictive PBS listings would be unlikely to drive an increase in private prescriptions</w:t>
      </w:r>
      <w:r w:rsidR="00B32E9C" w:rsidRPr="001044FF">
        <w:t xml:space="preserve">. </w:t>
      </w:r>
      <w:r w:rsidR="0058348A" w:rsidRPr="001044FF">
        <w:t>However, it was noted that agencies and programs other than the PBS also have a role in these decisions, and that it would be necessary to have options outside the PBS in certain situations.</w:t>
      </w:r>
    </w:p>
    <w:p w14:paraId="74E4D69E" w14:textId="665CCB87" w:rsidR="00391B9B" w:rsidRPr="001044FF" w:rsidRDefault="00391B9B" w:rsidP="00391B9B">
      <w:r w:rsidRPr="001044FF">
        <w:t>One of the key</w:t>
      </w:r>
      <w:r w:rsidR="0058348A" w:rsidRPr="001044FF">
        <w:t xml:space="preserve"> roles of the PBS is education, and participants discussed the need for targeted and consistent messaging for prescribers and consumers, and also for people within the system itself. </w:t>
      </w:r>
      <w:r w:rsidR="00B32E9C" w:rsidRPr="001044FF">
        <w:t xml:space="preserve">This was considered particularly important at the transition </w:t>
      </w:r>
      <w:r w:rsidR="00DF6C98" w:rsidRPr="001044FF">
        <w:t>from hospital to community care, as current antimicrobial stewardship standards focus on hospitals.</w:t>
      </w:r>
    </w:p>
    <w:p w14:paraId="197583A0" w14:textId="1B236388" w:rsidR="00391B9B" w:rsidRPr="001044FF" w:rsidRDefault="00391B9B" w:rsidP="00391B9B">
      <w:r w:rsidRPr="001044FF">
        <w:t xml:space="preserve">High-quality data on prescribing practices </w:t>
      </w:r>
      <w:r w:rsidR="00C37ED0" w:rsidRPr="001044FF">
        <w:t xml:space="preserve">are </w:t>
      </w:r>
      <w:r w:rsidRPr="001044FF">
        <w:t>critical to ensure an appropriate response.</w:t>
      </w:r>
      <w:r w:rsidR="0058348A" w:rsidRPr="001044FF">
        <w:t xml:space="preserve"> The potential for data linkage and sharing through personal electronic health records was discussed, with participants agreeing that solutions should be future</w:t>
      </w:r>
      <w:r w:rsidR="00C37ED0" w:rsidRPr="001044FF">
        <w:t xml:space="preserve"> </w:t>
      </w:r>
      <w:r w:rsidR="0058348A" w:rsidRPr="001044FF">
        <w:t>focused</w:t>
      </w:r>
      <w:r w:rsidR="005C4C24" w:rsidRPr="001044FF">
        <w:t xml:space="preserve"> and include consideration of the greater role of e-health records in the future.</w:t>
      </w:r>
    </w:p>
    <w:p w14:paraId="3BF565EB" w14:textId="37AE273B" w:rsidR="00391B9B" w:rsidRPr="001044FF" w:rsidRDefault="00391B9B" w:rsidP="00391B9B">
      <w:r w:rsidRPr="001044FF">
        <w:t>The PBS subsidy itself is a driver of antibiotic use—participants noted the situation in Iceland, where antibiotic use decreased substantially when subsidies were removed.</w:t>
      </w:r>
      <w:r w:rsidR="005C4C24" w:rsidRPr="001044FF">
        <w:t xml:space="preserve"> It was also noted that the PBS should not be used to subsidise treatments where the risk outweighs the benefit, and this should be considered in the global context of increasing </w:t>
      </w:r>
      <w:r w:rsidR="0036113D" w:rsidRPr="001044FF">
        <w:t xml:space="preserve">antimicrobial </w:t>
      </w:r>
      <w:r w:rsidR="005C4C24" w:rsidRPr="001044FF">
        <w:t>resistance.</w:t>
      </w:r>
    </w:p>
    <w:p w14:paraId="17608188" w14:textId="3F415DE5" w:rsidR="000B4564" w:rsidRPr="001044FF" w:rsidRDefault="00033599" w:rsidP="000B4564">
      <w:pPr>
        <w:pStyle w:val="Heading3"/>
      </w:pPr>
      <w:r w:rsidRPr="001044FF">
        <w:lastRenderedPageBreak/>
        <w:t>P</w:t>
      </w:r>
      <w:r w:rsidR="000B4564" w:rsidRPr="001044FF">
        <w:t xml:space="preserve">rescribing software </w:t>
      </w:r>
      <w:r w:rsidRPr="001044FF">
        <w:t>as a tool</w:t>
      </w:r>
      <w:r w:rsidR="000B4564" w:rsidRPr="001044FF">
        <w:t xml:space="preserve"> to improve prescribing</w:t>
      </w:r>
      <w:r w:rsidR="00391B9B" w:rsidRPr="001044FF">
        <w:t xml:space="preserve"> practices</w:t>
      </w:r>
    </w:p>
    <w:p w14:paraId="4ABDDC7D" w14:textId="0993C67F" w:rsidR="00391B9B" w:rsidRPr="001044FF" w:rsidRDefault="00391B9B" w:rsidP="00391B9B">
      <w:r w:rsidRPr="001044FF">
        <w:t>Participants felt that there was scope for improvement of prescribing software to integrate decision support tools</w:t>
      </w:r>
      <w:r w:rsidR="00CC7411" w:rsidRPr="001044FF">
        <w:t xml:space="preserve"> on antibiotic prescribing. For example, it would be possible to integrate </w:t>
      </w:r>
      <w:r w:rsidR="00CC7411" w:rsidRPr="001044FF">
        <w:rPr>
          <w:i/>
        </w:rPr>
        <w:t>Therapeutic Guidelines: Antibiotic</w:t>
      </w:r>
      <w:r w:rsidR="00CC7411" w:rsidRPr="001044FF">
        <w:t xml:space="preserve"> recommendations with the software, so that selecting an antibiotic would automatically trigger the </w:t>
      </w:r>
      <w:r w:rsidR="005C4C24" w:rsidRPr="001044FF">
        <w:t xml:space="preserve">relevant </w:t>
      </w:r>
      <w:r w:rsidR="00CC7411" w:rsidRPr="001044FF">
        <w:t>recommendations to appear on the screen.</w:t>
      </w:r>
      <w:r w:rsidR="007D7C08" w:rsidRPr="001044FF">
        <w:t xml:space="preserve"> Practice software could also provide a prompt to print patient information on alternative care where antibiotics are not indicated (e.g. for a cold) as a positive redirection away from the antibiotic option.</w:t>
      </w:r>
    </w:p>
    <w:p w14:paraId="15B04250" w14:textId="4629703A" w:rsidR="00CC7411" w:rsidRPr="001044FF" w:rsidRDefault="00AC54D5" w:rsidP="00391B9B">
      <w:r w:rsidRPr="001044FF">
        <w:t xml:space="preserve">Many participants felt that the </w:t>
      </w:r>
      <w:r w:rsidR="00CC7411" w:rsidRPr="001044FF">
        <w:t>def</w:t>
      </w:r>
      <w:r w:rsidR="00DF6C98" w:rsidRPr="001044FF">
        <w:t>ault settings sh</w:t>
      </w:r>
      <w:r w:rsidR="00CC7411" w:rsidRPr="001044FF">
        <w:t>ould be changed to order a single course rather than repeats</w:t>
      </w:r>
      <w:r w:rsidR="005C4C24" w:rsidRPr="001044FF">
        <w:t xml:space="preserve"> (e.g. so the course with no repeats is the first option in a drop-down list)</w:t>
      </w:r>
      <w:r w:rsidR="00CC7411" w:rsidRPr="001044FF">
        <w:t xml:space="preserve">. This could be </w:t>
      </w:r>
      <w:r w:rsidR="005C4C24" w:rsidRPr="001044FF">
        <w:t>instigated by the prescribers</w:t>
      </w:r>
      <w:r w:rsidR="00CC7411" w:rsidRPr="001044FF">
        <w:t xml:space="preserve"> (</w:t>
      </w:r>
      <w:r w:rsidR="005C4C24" w:rsidRPr="001044FF">
        <w:t>who could</w:t>
      </w:r>
      <w:r w:rsidR="00CC7411" w:rsidRPr="001044FF">
        <w:t xml:space="preserve"> approach the software vendors to change the software) or through regulation.</w:t>
      </w:r>
      <w:r w:rsidR="005C4C24" w:rsidRPr="001044FF">
        <w:t xml:space="preserve"> However, some participants felt that this was insufficient, and that the PBS listing should be changed so the software could automatically follow the appropriate prescribing practices.</w:t>
      </w:r>
    </w:p>
    <w:p w14:paraId="5821C390" w14:textId="2F23DF92" w:rsidR="005C4C24" w:rsidRPr="001044FF" w:rsidRDefault="005C4C24" w:rsidP="00391B9B">
      <w:r w:rsidRPr="001044FF">
        <w:t>In addition, it was suggested that the software field for indication should be mandatory. This would allow capture of high-quality data on prescribing, although potential privacy issues would need to be considered.</w:t>
      </w:r>
      <w:r w:rsidR="007D7C08" w:rsidRPr="001044FF">
        <w:t xml:space="preserve"> This could be implemented across the board, or </w:t>
      </w:r>
      <w:r w:rsidR="00763F99" w:rsidRPr="001044FF">
        <w:t xml:space="preserve">some </w:t>
      </w:r>
      <w:r w:rsidR="007D7C08" w:rsidRPr="001044FF">
        <w:t xml:space="preserve">antibiotics could be classified to allow </w:t>
      </w:r>
      <w:r w:rsidR="001B7845" w:rsidRPr="001044FF">
        <w:t xml:space="preserve">an alternative data field in electronic systems </w:t>
      </w:r>
      <w:r w:rsidR="007D7C08" w:rsidRPr="001044FF">
        <w:t xml:space="preserve">(or </w:t>
      </w:r>
      <w:r w:rsidR="001B7845" w:rsidRPr="001044FF">
        <w:t>an alternative prescribing pad</w:t>
      </w:r>
      <w:r w:rsidR="007D7C08" w:rsidRPr="001044FF">
        <w:t>) where an indication is required for the prescription to be valid.</w:t>
      </w:r>
    </w:p>
    <w:p w14:paraId="3A49E111" w14:textId="7CF06105" w:rsidR="00CC7411" w:rsidRPr="001044FF" w:rsidRDefault="005C4C24" w:rsidP="00391B9B">
      <w:r w:rsidRPr="001044FF">
        <w:t xml:space="preserve">It </w:t>
      </w:r>
      <w:r w:rsidR="00CC7411" w:rsidRPr="001044FF">
        <w:t>was also noted that prescribers need to pay to receive training in the software packages</w:t>
      </w:r>
      <w:r w:rsidR="00763F99" w:rsidRPr="001044FF">
        <w:t>. This probably</w:t>
      </w:r>
      <w:r w:rsidR="00CC7411" w:rsidRPr="001044FF">
        <w:t xml:space="preserve"> results in various levels of fluency with the programs</w:t>
      </w:r>
      <w:r w:rsidR="00763F99" w:rsidRPr="001044FF">
        <w:t>,</w:t>
      </w:r>
      <w:r w:rsidR="00CC7411" w:rsidRPr="001044FF">
        <w:t xml:space="preserve"> depending on </w:t>
      </w:r>
      <w:r w:rsidRPr="001044FF">
        <w:t>the amount of training received</w:t>
      </w:r>
      <w:r w:rsidR="00763F99" w:rsidRPr="001044FF">
        <w:t xml:space="preserve">, which </w:t>
      </w:r>
      <w:r w:rsidRPr="001044FF">
        <w:t>may contribute to variation in prescribing practices.</w:t>
      </w:r>
    </w:p>
    <w:p w14:paraId="23D0310A" w14:textId="781B4445" w:rsidR="00BC0B34" w:rsidRPr="001044FF" w:rsidRDefault="00BC0B34" w:rsidP="00391B9B">
      <w:r w:rsidRPr="001044FF">
        <w:t>Participants also noted the need to support the development of software for dental practices that can link to pharmacy dispensing systems. Until infrastructure is sufficient to allow dentists to participate in e-prescribing, there will continue to be a lack of data on prescribing practices in this area, and a missed opportunity to influence these practices through improvements in prescribing software.</w:t>
      </w:r>
    </w:p>
    <w:p w14:paraId="7FCACD89" w14:textId="2231A465" w:rsidR="000B4564" w:rsidRPr="001044FF" w:rsidRDefault="00033599" w:rsidP="000B4564">
      <w:pPr>
        <w:pStyle w:val="Heading3"/>
      </w:pPr>
      <w:r w:rsidRPr="001044FF">
        <w:t>Validity period of antibiotic prescriptions</w:t>
      </w:r>
    </w:p>
    <w:p w14:paraId="324B8960" w14:textId="75807809" w:rsidR="00B32E9C" w:rsidRPr="001044FF" w:rsidRDefault="00391B9B" w:rsidP="00391B9B">
      <w:r w:rsidRPr="001044FF">
        <w:t>PBS prescriptions are currently valid for 12 months. The time between supply of the original prescription and supply of repeats can be long, suggesting that the repeat may not be used for the original indication.</w:t>
      </w:r>
      <w:r w:rsidR="00CC7411" w:rsidRPr="001044FF">
        <w:t xml:space="preserve"> </w:t>
      </w:r>
      <w:r w:rsidR="00B32E9C" w:rsidRPr="001044FF">
        <w:t>The role of the pharmacist is important in these situations—there is an opportunity to educate consumers about quality use of medicines. Having the original indication or the prescriber’s intention recorded on every prescription would also help pharmacists make informed decision</w:t>
      </w:r>
      <w:r w:rsidR="00DE521E" w:rsidRPr="001044FF">
        <w:t>s</w:t>
      </w:r>
      <w:r w:rsidR="00B32E9C" w:rsidRPr="001044FF">
        <w:t xml:space="preserve"> in these situations</w:t>
      </w:r>
      <w:r w:rsidR="001B7845" w:rsidRPr="001044FF">
        <w:t>; however, this would require consideration of privacy issues</w:t>
      </w:r>
      <w:r w:rsidR="00B32E9C" w:rsidRPr="001044FF">
        <w:t>.</w:t>
      </w:r>
    </w:p>
    <w:p w14:paraId="730D5CE8" w14:textId="69A05214" w:rsidR="0058348A" w:rsidRPr="001044FF" w:rsidRDefault="00CC7411" w:rsidP="00391B9B">
      <w:r w:rsidRPr="001044FF">
        <w:t>Participants discussed the potential to reduce the validity period for anti</w:t>
      </w:r>
      <w:r w:rsidR="000B3080" w:rsidRPr="001044FF">
        <w:t xml:space="preserve">biotic prescriptions (e.g. to 2 weeks, </w:t>
      </w:r>
      <w:r w:rsidRPr="001044FF">
        <w:t>4</w:t>
      </w:r>
      <w:r w:rsidR="00763F99" w:rsidRPr="001044FF">
        <w:t> </w:t>
      </w:r>
      <w:r w:rsidRPr="001044FF">
        <w:t>weeks</w:t>
      </w:r>
      <w:r w:rsidR="000B3080" w:rsidRPr="001044FF">
        <w:t xml:space="preserve"> or 3</w:t>
      </w:r>
      <w:r w:rsidR="00763F99" w:rsidRPr="001044FF">
        <w:t> </w:t>
      </w:r>
      <w:r w:rsidR="000B3080" w:rsidRPr="001044FF">
        <w:t>months</w:t>
      </w:r>
      <w:r w:rsidRPr="001044FF">
        <w:t>). However, some exceptions were noted, such as patients with chronic obstructive pulmonary disease, emphysema or cystic fibrosis, who require antibiotics as needed or for prophylaxis.</w:t>
      </w:r>
      <w:r w:rsidR="005C4C24" w:rsidRPr="001044FF">
        <w:t xml:space="preserve"> These exceptions may lead to an unnecessarily complex system.</w:t>
      </w:r>
    </w:p>
    <w:p w14:paraId="02532895" w14:textId="5FBAF114" w:rsidR="000B4564" w:rsidRPr="001044FF" w:rsidRDefault="00033599" w:rsidP="000B4564">
      <w:pPr>
        <w:pStyle w:val="Heading3"/>
      </w:pPr>
      <w:r w:rsidRPr="001044FF">
        <w:t>Developing</w:t>
      </w:r>
      <w:r w:rsidR="000B4564" w:rsidRPr="001044FF">
        <w:t xml:space="preserve"> new an</w:t>
      </w:r>
      <w:r w:rsidRPr="001044FF">
        <w:t>tibiotics to address resistance</w:t>
      </w:r>
    </w:p>
    <w:p w14:paraId="6C4B094A" w14:textId="5C89D6B9" w:rsidR="00CC7411" w:rsidRPr="001044FF" w:rsidRDefault="00033599" w:rsidP="00931118">
      <w:r w:rsidRPr="001044FF">
        <w:t>Creating links between manufacturers of antibiotics and manufacturers of oncology medicines may help to drive the development of new antibiotics, as oncology patients require antibiotics after aggressive chemotherapy</w:t>
      </w:r>
      <w:r w:rsidR="00DE521E" w:rsidRPr="001044FF">
        <w:t>; potential partnerships across these areas could be explored</w:t>
      </w:r>
      <w:r w:rsidRPr="001044FF">
        <w:t xml:space="preserve">. </w:t>
      </w:r>
      <w:r w:rsidR="00CC7411" w:rsidRPr="001044FF">
        <w:t xml:space="preserve">The potential to use older antibiotics that had not been registered in Australia was </w:t>
      </w:r>
      <w:r w:rsidRPr="001044FF">
        <w:t xml:space="preserve">also </w:t>
      </w:r>
      <w:r w:rsidR="00CC7411" w:rsidRPr="001044FF">
        <w:t xml:space="preserve">discussed, although it was noted that data packages for these antibiotics </w:t>
      </w:r>
      <w:r w:rsidR="00B32E9C" w:rsidRPr="001044FF">
        <w:t>may not</w:t>
      </w:r>
      <w:r w:rsidR="00CC7411" w:rsidRPr="001044FF">
        <w:t xml:space="preserve"> be of sufficiently high quality </w:t>
      </w:r>
      <w:r w:rsidR="00B32E9C" w:rsidRPr="001044FF">
        <w:t>for</w:t>
      </w:r>
      <w:r w:rsidR="00CC7411" w:rsidRPr="001044FF">
        <w:t xml:space="preserve"> the </w:t>
      </w:r>
      <w:r w:rsidR="006E709A" w:rsidRPr="001044FF">
        <w:lastRenderedPageBreak/>
        <w:t>Therapeutic Goods Administration’s</w:t>
      </w:r>
      <w:r w:rsidR="00CC7411" w:rsidRPr="001044FF">
        <w:t xml:space="preserve"> registration processes</w:t>
      </w:r>
      <w:r w:rsidR="007D7C08" w:rsidRPr="001044FF">
        <w:t>, and there is no incentive for sponsors to pay cost-recovery fees to register new indications for older and inexpensive antibiotics</w:t>
      </w:r>
      <w:r w:rsidR="00CC7411" w:rsidRPr="001044FF">
        <w:t>.</w:t>
      </w:r>
      <w:r w:rsidR="00B32E9C" w:rsidRPr="001044FF">
        <w:t xml:space="preserve"> </w:t>
      </w:r>
      <w:r w:rsidR="00DF6C98" w:rsidRPr="001044FF">
        <w:t xml:space="preserve">It was also noted that development of new antibiotics </w:t>
      </w:r>
      <w:r w:rsidR="001B7845" w:rsidRPr="001044FF">
        <w:t>is a lengthy and expensive process</w:t>
      </w:r>
      <w:r w:rsidR="00DF6C98" w:rsidRPr="001044FF">
        <w:t>.</w:t>
      </w:r>
    </w:p>
    <w:p w14:paraId="2B6EDCD2" w14:textId="571A246D" w:rsidR="00561183" w:rsidRPr="001044FF" w:rsidRDefault="00561183" w:rsidP="00561183">
      <w:pPr>
        <w:pStyle w:val="Heading2"/>
      </w:pPr>
      <w:r w:rsidRPr="001044FF">
        <w:t>Next steps</w:t>
      </w:r>
    </w:p>
    <w:p w14:paraId="20F45605" w14:textId="2EFF4EF3" w:rsidR="00561183" w:rsidRPr="001044FF" w:rsidRDefault="00561183" w:rsidP="00561183">
      <w:r w:rsidRPr="001044FF">
        <w:t xml:space="preserve">Participants were advised that the draft Outcomes Statement would be circulated for comment. The final statement would be presented to the Review Group and the PBAC, who would then make a recommendation to the Minister for Health if any changes are required to PBS </w:t>
      </w:r>
      <w:r w:rsidR="000656DA" w:rsidRPr="001044FF">
        <w:t>A</w:t>
      </w:r>
      <w:r w:rsidRPr="001044FF">
        <w:t>uthority and restrictions for antibiotics.</w:t>
      </w:r>
    </w:p>
    <w:p w14:paraId="1DA5E7DB" w14:textId="77777777" w:rsidR="00791B7B" w:rsidRPr="001044FF" w:rsidRDefault="00791B7B" w:rsidP="00E44A72">
      <w:pPr>
        <w:pStyle w:val="Heading1"/>
      </w:pPr>
      <w:r w:rsidRPr="001044FF">
        <w:lastRenderedPageBreak/>
        <w:t>Appendix 1</w:t>
      </w:r>
      <w:r w:rsidRPr="001044FF">
        <w:tab/>
        <w:t>Roundtable participants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91B7B" w:rsidRPr="001044FF" w14:paraId="69B66EC1" w14:textId="77777777" w:rsidTr="001044FF">
        <w:trPr>
          <w:trHeight w:val="300"/>
          <w:tblHeader/>
        </w:trPr>
        <w:tc>
          <w:tcPr>
            <w:tcW w:w="2268" w:type="dxa"/>
            <w:shd w:val="clear" w:color="auto" w:fill="auto"/>
            <w:noWrap/>
            <w:hideMark/>
          </w:tcPr>
          <w:p w14:paraId="00BC7189" w14:textId="77777777" w:rsidR="00791B7B" w:rsidRPr="001044FF" w:rsidRDefault="00791B7B" w:rsidP="00791B7B">
            <w:pPr>
              <w:pStyle w:val="TableHeading"/>
            </w:pPr>
            <w:r w:rsidRPr="001044FF">
              <w:t>Name</w:t>
            </w:r>
          </w:p>
        </w:tc>
        <w:tc>
          <w:tcPr>
            <w:tcW w:w="6804" w:type="dxa"/>
            <w:shd w:val="clear" w:color="auto" w:fill="auto"/>
            <w:noWrap/>
            <w:hideMark/>
          </w:tcPr>
          <w:p w14:paraId="585C585B" w14:textId="77777777" w:rsidR="00791B7B" w:rsidRPr="001044FF" w:rsidRDefault="00791B7B" w:rsidP="00791B7B">
            <w:pPr>
              <w:pStyle w:val="TableHeading"/>
            </w:pPr>
            <w:r w:rsidRPr="001044FF">
              <w:t>Org</w:t>
            </w:r>
            <w:r w:rsidR="00E44A72" w:rsidRPr="001044FF">
              <w:t>anisation, committee or special</w:t>
            </w:r>
            <w:r w:rsidRPr="001044FF">
              <w:t>ty</w:t>
            </w:r>
          </w:p>
        </w:tc>
      </w:tr>
      <w:tr w:rsidR="00E44A72" w:rsidRPr="001044FF" w14:paraId="6D46CCBC" w14:textId="77777777" w:rsidTr="00140413">
        <w:trPr>
          <w:trHeight w:val="167"/>
        </w:trPr>
        <w:tc>
          <w:tcPr>
            <w:tcW w:w="2268" w:type="dxa"/>
            <w:shd w:val="clear" w:color="auto" w:fill="auto"/>
          </w:tcPr>
          <w:p w14:paraId="16C3C34C" w14:textId="77777777" w:rsidR="00E44A72" w:rsidRPr="001044FF" w:rsidRDefault="00E44A72" w:rsidP="00E44A72">
            <w:pPr>
              <w:pStyle w:val="TableText"/>
            </w:pPr>
            <w:r w:rsidRPr="001044FF">
              <w:t>Dr Tony Hobbs (Chair)</w:t>
            </w:r>
          </w:p>
        </w:tc>
        <w:tc>
          <w:tcPr>
            <w:tcW w:w="6804" w:type="dxa"/>
            <w:shd w:val="clear" w:color="auto" w:fill="auto"/>
          </w:tcPr>
          <w:p w14:paraId="6F2804A3" w14:textId="77777777" w:rsidR="00E44A72" w:rsidRPr="001044FF" w:rsidRDefault="00E44A72" w:rsidP="00791B7B">
            <w:pPr>
              <w:pStyle w:val="TableText"/>
            </w:pPr>
            <w:r w:rsidRPr="001044FF">
              <w:t>Acting Australian Government Chief Medical Officer</w:t>
            </w:r>
          </w:p>
        </w:tc>
      </w:tr>
      <w:tr w:rsidR="00791B7B" w:rsidRPr="001044FF" w14:paraId="07DF0C7E" w14:textId="77777777" w:rsidTr="00140413">
        <w:trPr>
          <w:trHeight w:val="167"/>
        </w:trPr>
        <w:tc>
          <w:tcPr>
            <w:tcW w:w="2268" w:type="dxa"/>
            <w:shd w:val="clear" w:color="auto" w:fill="auto"/>
          </w:tcPr>
          <w:p w14:paraId="50293B50" w14:textId="77777777" w:rsidR="00791B7B" w:rsidRPr="001044FF" w:rsidRDefault="00791B7B" w:rsidP="00791B7B">
            <w:pPr>
              <w:pStyle w:val="TableText"/>
            </w:pPr>
            <w:r w:rsidRPr="001044FF">
              <w:t>Dr David Abbott</w:t>
            </w:r>
          </w:p>
        </w:tc>
        <w:tc>
          <w:tcPr>
            <w:tcW w:w="6804" w:type="dxa"/>
            <w:shd w:val="clear" w:color="auto" w:fill="auto"/>
          </w:tcPr>
          <w:p w14:paraId="58D53F02" w14:textId="77777777" w:rsidR="00791B7B" w:rsidRPr="001044FF" w:rsidRDefault="00791B7B" w:rsidP="00791B7B">
            <w:pPr>
              <w:pStyle w:val="TableText"/>
            </w:pPr>
            <w:r w:rsidRPr="001044FF">
              <w:t>National Health and Medical Research Council</w:t>
            </w:r>
          </w:p>
        </w:tc>
      </w:tr>
      <w:tr w:rsidR="00791B7B" w:rsidRPr="001044FF" w14:paraId="6C24EB56" w14:textId="77777777" w:rsidTr="00140413">
        <w:trPr>
          <w:trHeight w:val="167"/>
        </w:trPr>
        <w:tc>
          <w:tcPr>
            <w:tcW w:w="2268" w:type="dxa"/>
            <w:shd w:val="clear" w:color="auto" w:fill="auto"/>
          </w:tcPr>
          <w:p w14:paraId="12EEEC4F" w14:textId="77777777" w:rsidR="00791B7B" w:rsidRPr="001044FF" w:rsidRDefault="00791B7B" w:rsidP="00791B7B">
            <w:pPr>
              <w:pStyle w:val="TableText"/>
            </w:pPr>
            <w:r w:rsidRPr="001044FF">
              <w:t xml:space="preserve">Patrice </w:t>
            </w:r>
            <w:proofErr w:type="spellStart"/>
            <w:r w:rsidRPr="001044FF">
              <w:t>Cafferky</w:t>
            </w:r>
            <w:proofErr w:type="spellEnd"/>
          </w:p>
        </w:tc>
        <w:tc>
          <w:tcPr>
            <w:tcW w:w="6804" w:type="dxa"/>
            <w:shd w:val="clear" w:color="auto" w:fill="auto"/>
          </w:tcPr>
          <w:p w14:paraId="72EC3E74" w14:textId="77777777" w:rsidR="00791B7B" w:rsidRPr="001044FF" w:rsidRDefault="00791B7B" w:rsidP="00791B7B">
            <w:pPr>
              <w:pStyle w:val="TableText"/>
            </w:pPr>
            <w:r w:rsidRPr="001044FF">
              <w:t>Australian Primary Health Care Nurses Association</w:t>
            </w:r>
          </w:p>
        </w:tc>
      </w:tr>
      <w:tr w:rsidR="00791B7B" w:rsidRPr="001044FF" w14:paraId="1832594C" w14:textId="77777777" w:rsidTr="00140413">
        <w:trPr>
          <w:trHeight w:val="167"/>
        </w:trPr>
        <w:tc>
          <w:tcPr>
            <w:tcW w:w="2268" w:type="dxa"/>
            <w:shd w:val="clear" w:color="auto" w:fill="auto"/>
          </w:tcPr>
          <w:p w14:paraId="35A5C765" w14:textId="77777777" w:rsidR="00791B7B" w:rsidRPr="001044FF" w:rsidRDefault="00791B7B" w:rsidP="00791B7B">
            <w:pPr>
              <w:pStyle w:val="TableText"/>
            </w:pPr>
            <w:r w:rsidRPr="001044FF">
              <w:t>Zoe Croker</w:t>
            </w:r>
          </w:p>
        </w:tc>
        <w:tc>
          <w:tcPr>
            <w:tcW w:w="6804" w:type="dxa"/>
            <w:shd w:val="clear" w:color="auto" w:fill="auto"/>
          </w:tcPr>
          <w:p w14:paraId="33DF4A4E" w14:textId="77777777" w:rsidR="00791B7B" w:rsidRPr="001044FF" w:rsidRDefault="00791B7B" w:rsidP="00791B7B">
            <w:pPr>
              <w:pStyle w:val="TableText"/>
            </w:pPr>
            <w:r w:rsidRPr="001044FF">
              <w:t>Medicines Australia</w:t>
            </w:r>
          </w:p>
        </w:tc>
      </w:tr>
      <w:tr w:rsidR="00791B7B" w:rsidRPr="001044FF" w14:paraId="39A48D62" w14:textId="77777777" w:rsidTr="00140413">
        <w:trPr>
          <w:trHeight w:val="167"/>
        </w:trPr>
        <w:tc>
          <w:tcPr>
            <w:tcW w:w="2268" w:type="dxa"/>
            <w:shd w:val="clear" w:color="auto" w:fill="auto"/>
          </w:tcPr>
          <w:p w14:paraId="5E986C9C" w14:textId="77777777" w:rsidR="00791B7B" w:rsidRPr="001044FF" w:rsidRDefault="00791B7B" w:rsidP="00791B7B">
            <w:pPr>
              <w:pStyle w:val="TableText"/>
            </w:pPr>
            <w:r w:rsidRPr="001044FF">
              <w:t xml:space="preserve">Prof Chris </w:t>
            </w:r>
            <w:proofErr w:type="spellStart"/>
            <w:r w:rsidRPr="001044FF">
              <w:t>DelMar</w:t>
            </w:r>
            <w:proofErr w:type="spellEnd"/>
          </w:p>
        </w:tc>
        <w:tc>
          <w:tcPr>
            <w:tcW w:w="6804" w:type="dxa"/>
            <w:shd w:val="clear" w:color="auto" w:fill="auto"/>
          </w:tcPr>
          <w:p w14:paraId="188B78C3" w14:textId="77777777" w:rsidR="00791B7B" w:rsidRPr="001044FF" w:rsidRDefault="00791B7B" w:rsidP="00791B7B">
            <w:pPr>
              <w:pStyle w:val="TableText"/>
            </w:pPr>
            <w:r w:rsidRPr="001044FF">
              <w:t>Royal Australian College of General Practitioners (via teleconference)</w:t>
            </w:r>
          </w:p>
        </w:tc>
      </w:tr>
      <w:tr w:rsidR="00791B7B" w:rsidRPr="001044FF" w14:paraId="679801DD" w14:textId="77777777" w:rsidTr="00140413">
        <w:trPr>
          <w:trHeight w:val="167"/>
        </w:trPr>
        <w:tc>
          <w:tcPr>
            <w:tcW w:w="2268" w:type="dxa"/>
            <w:shd w:val="clear" w:color="auto" w:fill="auto"/>
          </w:tcPr>
          <w:p w14:paraId="78D0B972" w14:textId="77777777" w:rsidR="00791B7B" w:rsidRPr="001044FF" w:rsidRDefault="00791B7B" w:rsidP="00791B7B">
            <w:pPr>
              <w:pStyle w:val="TableText"/>
            </w:pPr>
            <w:r w:rsidRPr="001044FF">
              <w:t>Peter Fowler</w:t>
            </w:r>
          </w:p>
        </w:tc>
        <w:tc>
          <w:tcPr>
            <w:tcW w:w="6804" w:type="dxa"/>
            <w:shd w:val="clear" w:color="auto" w:fill="auto"/>
          </w:tcPr>
          <w:p w14:paraId="7A674A3D" w14:textId="77777777" w:rsidR="00791B7B" w:rsidRPr="001044FF" w:rsidRDefault="00791B7B" w:rsidP="00791B7B">
            <w:pPr>
              <w:pStyle w:val="TableText"/>
            </w:pPr>
            <w:r w:rsidRPr="001044FF">
              <w:t xml:space="preserve">Society of Hospital Pharmacists </w:t>
            </w:r>
            <w:r w:rsidR="00E44A72" w:rsidRPr="001044FF">
              <w:t xml:space="preserve">of </w:t>
            </w:r>
            <w:r w:rsidRPr="001044FF">
              <w:t>Australia</w:t>
            </w:r>
          </w:p>
        </w:tc>
      </w:tr>
      <w:tr w:rsidR="00791B7B" w:rsidRPr="001044FF" w14:paraId="28B170F8" w14:textId="77777777" w:rsidTr="00140413">
        <w:trPr>
          <w:trHeight w:val="167"/>
        </w:trPr>
        <w:tc>
          <w:tcPr>
            <w:tcW w:w="2268" w:type="dxa"/>
            <w:shd w:val="clear" w:color="auto" w:fill="auto"/>
          </w:tcPr>
          <w:p w14:paraId="05BAC1B1" w14:textId="77777777" w:rsidR="00791B7B" w:rsidRPr="001044FF" w:rsidRDefault="00791B7B" w:rsidP="00791B7B">
            <w:pPr>
              <w:pStyle w:val="TableText"/>
            </w:pPr>
            <w:r w:rsidRPr="001044FF">
              <w:t>Cathie Hilton</w:t>
            </w:r>
          </w:p>
        </w:tc>
        <w:tc>
          <w:tcPr>
            <w:tcW w:w="6804" w:type="dxa"/>
            <w:shd w:val="clear" w:color="auto" w:fill="auto"/>
          </w:tcPr>
          <w:p w14:paraId="68A54E15" w14:textId="77777777" w:rsidR="00791B7B" w:rsidRPr="001044FF" w:rsidRDefault="00791B7B" w:rsidP="00791B7B">
            <w:pPr>
              <w:pStyle w:val="TableText"/>
            </w:pPr>
            <w:r w:rsidRPr="001044FF">
              <w:t>Generic Medicines Industry Association</w:t>
            </w:r>
          </w:p>
        </w:tc>
      </w:tr>
      <w:tr w:rsidR="00791B7B" w:rsidRPr="001044FF" w14:paraId="78B8A15B" w14:textId="77777777" w:rsidTr="00140413">
        <w:trPr>
          <w:trHeight w:val="167"/>
        </w:trPr>
        <w:tc>
          <w:tcPr>
            <w:tcW w:w="2268" w:type="dxa"/>
            <w:shd w:val="clear" w:color="auto" w:fill="auto"/>
          </w:tcPr>
          <w:p w14:paraId="3A479ECE" w14:textId="77777777" w:rsidR="00791B7B" w:rsidRPr="001044FF" w:rsidRDefault="00791B7B" w:rsidP="00791B7B">
            <w:pPr>
              <w:pStyle w:val="TableText"/>
            </w:pPr>
            <w:proofErr w:type="spellStart"/>
            <w:r w:rsidRPr="001044FF">
              <w:t>Eithne</w:t>
            </w:r>
            <w:proofErr w:type="spellEnd"/>
            <w:r w:rsidRPr="001044FF">
              <w:t xml:space="preserve"> Irving</w:t>
            </w:r>
          </w:p>
        </w:tc>
        <w:tc>
          <w:tcPr>
            <w:tcW w:w="6804" w:type="dxa"/>
            <w:shd w:val="clear" w:color="auto" w:fill="auto"/>
          </w:tcPr>
          <w:p w14:paraId="68A40DF7" w14:textId="77777777" w:rsidR="00791B7B" w:rsidRPr="001044FF" w:rsidRDefault="00791B7B" w:rsidP="00791B7B">
            <w:pPr>
              <w:pStyle w:val="TableText"/>
            </w:pPr>
            <w:r w:rsidRPr="001044FF">
              <w:t>Australian Dental Association</w:t>
            </w:r>
          </w:p>
        </w:tc>
      </w:tr>
      <w:tr w:rsidR="00791B7B" w:rsidRPr="001044FF" w14:paraId="34B31964" w14:textId="77777777" w:rsidTr="00140413">
        <w:trPr>
          <w:trHeight w:val="167"/>
        </w:trPr>
        <w:tc>
          <w:tcPr>
            <w:tcW w:w="2268" w:type="dxa"/>
            <w:shd w:val="clear" w:color="auto" w:fill="auto"/>
          </w:tcPr>
          <w:p w14:paraId="5E131E16" w14:textId="77777777" w:rsidR="00791B7B" w:rsidRPr="001044FF" w:rsidRDefault="00791B7B" w:rsidP="00791B7B">
            <w:pPr>
              <w:pStyle w:val="TableText"/>
            </w:pPr>
            <w:r w:rsidRPr="001044FF">
              <w:t xml:space="preserve">Dr Ian </w:t>
            </w:r>
            <w:proofErr w:type="spellStart"/>
            <w:r w:rsidRPr="001044FF">
              <w:t>Kamerman</w:t>
            </w:r>
            <w:proofErr w:type="spellEnd"/>
          </w:p>
        </w:tc>
        <w:tc>
          <w:tcPr>
            <w:tcW w:w="6804" w:type="dxa"/>
            <w:shd w:val="clear" w:color="auto" w:fill="auto"/>
          </w:tcPr>
          <w:p w14:paraId="1E761FEA" w14:textId="77777777" w:rsidR="00791B7B" w:rsidRPr="001044FF" w:rsidRDefault="00791B7B" w:rsidP="00791B7B">
            <w:pPr>
              <w:pStyle w:val="TableText"/>
            </w:pPr>
            <w:r w:rsidRPr="001044FF">
              <w:t>Rural Doctors Association of Australia</w:t>
            </w:r>
          </w:p>
        </w:tc>
      </w:tr>
      <w:tr w:rsidR="00791B7B" w:rsidRPr="001044FF" w14:paraId="4AF8217C" w14:textId="77777777" w:rsidTr="00140413">
        <w:trPr>
          <w:trHeight w:val="167"/>
        </w:trPr>
        <w:tc>
          <w:tcPr>
            <w:tcW w:w="2268" w:type="dxa"/>
            <w:shd w:val="clear" w:color="auto" w:fill="auto"/>
          </w:tcPr>
          <w:p w14:paraId="55E1F2CF" w14:textId="77777777" w:rsidR="00791B7B" w:rsidRPr="001044FF" w:rsidRDefault="00791B7B" w:rsidP="00791B7B">
            <w:pPr>
              <w:pStyle w:val="TableText"/>
            </w:pPr>
            <w:r w:rsidRPr="001044FF">
              <w:t>A/Prof David Looke</w:t>
            </w:r>
          </w:p>
        </w:tc>
        <w:tc>
          <w:tcPr>
            <w:tcW w:w="6804" w:type="dxa"/>
            <w:shd w:val="clear" w:color="auto" w:fill="auto"/>
          </w:tcPr>
          <w:p w14:paraId="582CD51A" w14:textId="77777777" w:rsidR="00791B7B" w:rsidRPr="001044FF" w:rsidRDefault="00791B7B" w:rsidP="00791B7B">
            <w:pPr>
              <w:pStyle w:val="TableText"/>
            </w:pPr>
            <w:r w:rsidRPr="001044FF">
              <w:t>Austral</w:t>
            </w:r>
            <w:r w:rsidR="00E44A72" w:rsidRPr="001044FF">
              <w:t>as</w:t>
            </w:r>
            <w:r w:rsidRPr="001044FF">
              <w:t>ian Society for Infectious Disease</w:t>
            </w:r>
            <w:r w:rsidR="00E44A72" w:rsidRPr="001044FF">
              <w:t>s</w:t>
            </w:r>
          </w:p>
        </w:tc>
      </w:tr>
      <w:tr w:rsidR="00791B7B" w:rsidRPr="001044FF" w14:paraId="632EE845" w14:textId="77777777" w:rsidTr="00140413">
        <w:trPr>
          <w:trHeight w:val="167"/>
        </w:trPr>
        <w:tc>
          <w:tcPr>
            <w:tcW w:w="2268" w:type="dxa"/>
            <w:shd w:val="clear" w:color="auto" w:fill="auto"/>
          </w:tcPr>
          <w:p w14:paraId="2C296020" w14:textId="77777777" w:rsidR="00791B7B" w:rsidRPr="001044FF" w:rsidRDefault="00791B7B" w:rsidP="00791B7B">
            <w:pPr>
              <w:pStyle w:val="TableText"/>
            </w:pPr>
            <w:r w:rsidRPr="001044FF">
              <w:t>Grainne Lowe</w:t>
            </w:r>
          </w:p>
        </w:tc>
        <w:tc>
          <w:tcPr>
            <w:tcW w:w="6804" w:type="dxa"/>
            <w:shd w:val="clear" w:color="auto" w:fill="auto"/>
          </w:tcPr>
          <w:p w14:paraId="4A596971" w14:textId="77777777" w:rsidR="00791B7B" w:rsidRPr="001044FF" w:rsidRDefault="00791B7B" w:rsidP="00791B7B">
            <w:pPr>
              <w:pStyle w:val="TableText"/>
            </w:pPr>
            <w:r w:rsidRPr="001044FF">
              <w:t>Australian College of Nurse Practitioners</w:t>
            </w:r>
          </w:p>
        </w:tc>
      </w:tr>
      <w:tr w:rsidR="00791B7B" w:rsidRPr="001044FF" w14:paraId="3B8281D9" w14:textId="77777777" w:rsidTr="00140413">
        <w:trPr>
          <w:trHeight w:val="167"/>
        </w:trPr>
        <w:tc>
          <w:tcPr>
            <w:tcW w:w="2268" w:type="dxa"/>
            <w:shd w:val="clear" w:color="auto" w:fill="auto"/>
          </w:tcPr>
          <w:p w14:paraId="19917F34" w14:textId="77777777" w:rsidR="00791B7B" w:rsidRPr="001044FF" w:rsidRDefault="00791B7B" w:rsidP="00791B7B">
            <w:pPr>
              <w:pStyle w:val="TableText"/>
            </w:pPr>
            <w:r w:rsidRPr="001044FF">
              <w:t>Dr Elizabeth Marles</w:t>
            </w:r>
          </w:p>
        </w:tc>
        <w:tc>
          <w:tcPr>
            <w:tcW w:w="6804" w:type="dxa"/>
            <w:shd w:val="clear" w:color="auto" w:fill="auto"/>
          </w:tcPr>
          <w:p w14:paraId="7DC9A316" w14:textId="77777777" w:rsidR="00791B7B" w:rsidRPr="001044FF" w:rsidRDefault="00E44A72" w:rsidP="00791B7B">
            <w:pPr>
              <w:pStyle w:val="TableText"/>
            </w:pPr>
            <w:r w:rsidRPr="001044FF">
              <w:t>Pharmaceutical Benefits Advisory Committee</w:t>
            </w:r>
          </w:p>
        </w:tc>
      </w:tr>
      <w:tr w:rsidR="00791B7B" w:rsidRPr="001044FF" w14:paraId="2357A1D2" w14:textId="77777777" w:rsidTr="00140413">
        <w:trPr>
          <w:trHeight w:val="167"/>
        </w:trPr>
        <w:tc>
          <w:tcPr>
            <w:tcW w:w="2268" w:type="dxa"/>
            <w:shd w:val="clear" w:color="auto" w:fill="auto"/>
          </w:tcPr>
          <w:p w14:paraId="18BC293E" w14:textId="77777777" w:rsidR="00791B7B" w:rsidRPr="001044FF" w:rsidRDefault="00791B7B" w:rsidP="00791B7B">
            <w:pPr>
              <w:pStyle w:val="TableText"/>
            </w:pPr>
            <w:r w:rsidRPr="001044FF">
              <w:t>Cater Moore</w:t>
            </w:r>
          </w:p>
        </w:tc>
        <w:tc>
          <w:tcPr>
            <w:tcW w:w="6804" w:type="dxa"/>
            <w:shd w:val="clear" w:color="auto" w:fill="auto"/>
          </w:tcPr>
          <w:p w14:paraId="0586E6F9" w14:textId="77777777" w:rsidR="00791B7B" w:rsidRPr="001044FF" w:rsidRDefault="00791B7B" w:rsidP="00791B7B">
            <w:pPr>
              <w:pStyle w:val="TableText"/>
            </w:pPr>
            <w:r w:rsidRPr="001044FF">
              <w:t>Consumer</w:t>
            </w:r>
            <w:r w:rsidR="00E44A72" w:rsidRPr="001044FF">
              <w:t>s</w:t>
            </w:r>
            <w:r w:rsidRPr="001044FF">
              <w:t xml:space="preserve"> Health Forum</w:t>
            </w:r>
            <w:r w:rsidR="00E44A72" w:rsidRPr="001044FF">
              <w:t xml:space="preserve"> of Australia</w:t>
            </w:r>
          </w:p>
        </w:tc>
      </w:tr>
      <w:tr w:rsidR="00791B7B" w:rsidRPr="001044FF" w14:paraId="28153855" w14:textId="77777777" w:rsidTr="00140413">
        <w:trPr>
          <w:trHeight w:val="167"/>
        </w:trPr>
        <w:tc>
          <w:tcPr>
            <w:tcW w:w="2268" w:type="dxa"/>
            <w:shd w:val="clear" w:color="auto" w:fill="auto"/>
          </w:tcPr>
          <w:p w14:paraId="73E7B413" w14:textId="77777777" w:rsidR="00791B7B" w:rsidRPr="001044FF" w:rsidRDefault="00791B7B" w:rsidP="00791B7B">
            <w:pPr>
              <w:pStyle w:val="TableText"/>
            </w:pPr>
            <w:r w:rsidRPr="001044FF">
              <w:t>A/Prof David Newby</w:t>
            </w:r>
          </w:p>
        </w:tc>
        <w:tc>
          <w:tcPr>
            <w:tcW w:w="6804" w:type="dxa"/>
            <w:shd w:val="clear" w:color="auto" w:fill="auto"/>
          </w:tcPr>
          <w:p w14:paraId="1AF44559" w14:textId="77777777" w:rsidR="00791B7B" w:rsidRPr="001044FF" w:rsidRDefault="00E44A72" w:rsidP="00791B7B">
            <w:pPr>
              <w:pStyle w:val="TableText"/>
            </w:pPr>
            <w:r w:rsidRPr="001044FF">
              <w:t>Pharmaceutical Benefits Advisory Committee</w:t>
            </w:r>
          </w:p>
        </w:tc>
      </w:tr>
      <w:tr w:rsidR="00791B7B" w:rsidRPr="001044FF" w14:paraId="7B98E988" w14:textId="77777777" w:rsidTr="00140413">
        <w:trPr>
          <w:trHeight w:val="167"/>
        </w:trPr>
        <w:tc>
          <w:tcPr>
            <w:tcW w:w="2268" w:type="dxa"/>
            <w:shd w:val="clear" w:color="auto" w:fill="auto"/>
          </w:tcPr>
          <w:p w14:paraId="511ED5EA" w14:textId="77777777" w:rsidR="00791B7B" w:rsidRPr="001044FF" w:rsidRDefault="00791B7B" w:rsidP="00791B7B">
            <w:pPr>
              <w:pStyle w:val="TableText"/>
            </w:pPr>
            <w:r w:rsidRPr="001044FF">
              <w:t>A/Prof Mary O’Reilly</w:t>
            </w:r>
          </w:p>
        </w:tc>
        <w:tc>
          <w:tcPr>
            <w:tcW w:w="6804" w:type="dxa"/>
            <w:shd w:val="clear" w:color="auto" w:fill="auto"/>
          </w:tcPr>
          <w:p w14:paraId="27016553" w14:textId="77777777" w:rsidR="00791B7B" w:rsidRPr="001044FF" w:rsidRDefault="00791B7B" w:rsidP="00791B7B">
            <w:pPr>
              <w:pStyle w:val="TableText"/>
            </w:pPr>
            <w:r w:rsidRPr="001044FF">
              <w:t>Council of Australian Therapeutic Advisory Groups</w:t>
            </w:r>
          </w:p>
        </w:tc>
      </w:tr>
      <w:tr w:rsidR="00791B7B" w:rsidRPr="001044FF" w14:paraId="0B287331" w14:textId="77777777" w:rsidTr="00140413">
        <w:trPr>
          <w:trHeight w:val="167"/>
        </w:trPr>
        <w:tc>
          <w:tcPr>
            <w:tcW w:w="2268" w:type="dxa"/>
            <w:shd w:val="clear" w:color="auto" w:fill="auto"/>
          </w:tcPr>
          <w:p w14:paraId="3443F214" w14:textId="77777777" w:rsidR="00791B7B" w:rsidRPr="001044FF" w:rsidRDefault="00791B7B" w:rsidP="00791B7B">
            <w:pPr>
              <w:pStyle w:val="TableText"/>
            </w:pPr>
            <w:r w:rsidRPr="001044FF">
              <w:t>Dr Rashmi Sharma</w:t>
            </w:r>
          </w:p>
        </w:tc>
        <w:tc>
          <w:tcPr>
            <w:tcW w:w="6804" w:type="dxa"/>
            <w:shd w:val="clear" w:color="auto" w:fill="auto"/>
          </w:tcPr>
          <w:p w14:paraId="2DAAC3DB" w14:textId="4679C9B1" w:rsidR="00791B7B" w:rsidRPr="001044FF" w:rsidRDefault="00E44A72" w:rsidP="00791B7B">
            <w:pPr>
              <w:pStyle w:val="TableText"/>
            </w:pPr>
            <w:r w:rsidRPr="001044FF">
              <w:t xml:space="preserve">Pharmaceutical Benefits Advisory Committee </w:t>
            </w:r>
            <w:r w:rsidR="00791B7B" w:rsidRPr="001044FF">
              <w:t>Drug Utilisation Sub</w:t>
            </w:r>
            <w:r w:rsidR="00763F99" w:rsidRPr="001044FF">
              <w:noBreakHyphen/>
            </w:r>
            <w:r w:rsidR="00791B7B" w:rsidRPr="001044FF">
              <w:t>Committee</w:t>
            </w:r>
          </w:p>
        </w:tc>
      </w:tr>
      <w:tr w:rsidR="00791B7B" w:rsidRPr="001044FF" w14:paraId="5865DE6E" w14:textId="77777777" w:rsidTr="00140413">
        <w:trPr>
          <w:trHeight w:val="115"/>
        </w:trPr>
        <w:tc>
          <w:tcPr>
            <w:tcW w:w="2268" w:type="dxa"/>
            <w:shd w:val="clear" w:color="auto" w:fill="auto"/>
          </w:tcPr>
          <w:p w14:paraId="29D7CEFB" w14:textId="77777777" w:rsidR="00791B7B" w:rsidRPr="001044FF" w:rsidRDefault="00791B7B" w:rsidP="00791B7B">
            <w:pPr>
              <w:pStyle w:val="TableText"/>
            </w:pPr>
            <w:r w:rsidRPr="001044FF">
              <w:t>Suzanne Shultz</w:t>
            </w:r>
          </w:p>
        </w:tc>
        <w:tc>
          <w:tcPr>
            <w:tcW w:w="6804" w:type="dxa"/>
            <w:shd w:val="clear" w:color="auto" w:fill="auto"/>
          </w:tcPr>
          <w:p w14:paraId="572C4527" w14:textId="77777777" w:rsidR="00791B7B" w:rsidRPr="001044FF" w:rsidRDefault="00791B7B" w:rsidP="00791B7B">
            <w:pPr>
              <w:pStyle w:val="TableText"/>
            </w:pPr>
            <w:r w:rsidRPr="001044FF">
              <w:t>Pharmacy Guild of Australia</w:t>
            </w:r>
          </w:p>
        </w:tc>
      </w:tr>
      <w:tr w:rsidR="00791B7B" w:rsidRPr="001044FF" w14:paraId="1A4444DB" w14:textId="77777777" w:rsidTr="00140413">
        <w:trPr>
          <w:trHeight w:val="115"/>
        </w:trPr>
        <w:tc>
          <w:tcPr>
            <w:tcW w:w="2268" w:type="dxa"/>
            <w:shd w:val="clear" w:color="auto" w:fill="auto"/>
          </w:tcPr>
          <w:p w14:paraId="57130610" w14:textId="77777777" w:rsidR="00791B7B" w:rsidRPr="001044FF" w:rsidRDefault="00791B7B" w:rsidP="00791B7B">
            <w:pPr>
              <w:pStyle w:val="TableText"/>
            </w:pPr>
            <w:r w:rsidRPr="001044FF">
              <w:t>Dr Tom Snelling</w:t>
            </w:r>
          </w:p>
        </w:tc>
        <w:tc>
          <w:tcPr>
            <w:tcW w:w="6804" w:type="dxa"/>
            <w:shd w:val="clear" w:color="auto" w:fill="auto"/>
          </w:tcPr>
          <w:p w14:paraId="0FDC876E" w14:textId="77777777" w:rsidR="00791B7B" w:rsidRPr="001044FF" w:rsidRDefault="00E44A72" w:rsidP="00791B7B">
            <w:pPr>
              <w:pStyle w:val="TableText"/>
            </w:pPr>
            <w:r w:rsidRPr="001044FF">
              <w:t>Pharmaceutical Benefits Advisory Committee</w:t>
            </w:r>
          </w:p>
        </w:tc>
      </w:tr>
      <w:tr w:rsidR="00791B7B" w:rsidRPr="001044FF" w14:paraId="5BE96BF9" w14:textId="77777777" w:rsidTr="00140413">
        <w:trPr>
          <w:trHeight w:val="115"/>
        </w:trPr>
        <w:tc>
          <w:tcPr>
            <w:tcW w:w="2268" w:type="dxa"/>
            <w:shd w:val="clear" w:color="auto" w:fill="auto"/>
          </w:tcPr>
          <w:p w14:paraId="48123A62" w14:textId="77777777" w:rsidR="00791B7B" w:rsidRPr="001044FF" w:rsidRDefault="00791B7B" w:rsidP="00791B7B">
            <w:pPr>
              <w:pStyle w:val="TableText"/>
            </w:pPr>
            <w:r w:rsidRPr="001044FF">
              <w:t>Dr Rhonda Stuart</w:t>
            </w:r>
          </w:p>
        </w:tc>
        <w:tc>
          <w:tcPr>
            <w:tcW w:w="6804" w:type="dxa"/>
            <w:shd w:val="clear" w:color="auto" w:fill="auto"/>
          </w:tcPr>
          <w:p w14:paraId="7E569D9C" w14:textId="77777777" w:rsidR="00791B7B" w:rsidRPr="001044FF" w:rsidRDefault="00E44A72" w:rsidP="00791B7B">
            <w:pPr>
              <w:pStyle w:val="TableText"/>
            </w:pPr>
            <w:r w:rsidRPr="001044FF">
              <w:t>Infectious diseases p</w:t>
            </w:r>
            <w:r w:rsidR="00791B7B" w:rsidRPr="001044FF">
              <w:t>hysician</w:t>
            </w:r>
          </w:p>
        </w:tc>
      </w:tr>
      <w:tr w:rsidR="00791B7B" w:rsidRPr="001044FF" w14:paraId="0AB27C8C" w14:textId="77777777" w:rsidTr="00140413">
        <w:trPr>
          <w:trHeight w:val="115"/>
        </w:trPr>
        <w:tc>
          <w:tcPr>
            <w:tcW w:w="2268" w:type="dxa"/>
            <w:shd w:val="clear" w:color="auto" w:fill="auto"/>
          </w:tcPr>
          <w:p w14:paraId="24E00481" w14:textId="77777777" w:rsidR="00791B7B" w:rsidRPr="001044FF" w:rsidRDefault="00791B7B" w:rsidP="00791B7B">
            <w:pPr>
              <w:pStyle w:val="TableText"/>
            </w:pPr>
            <w:r w:rsidRPr="001044FF">
              <w:t>Prof John Turnidge</w:t>
            </w:r>
          </w:p>
        </w:tc>
        <w:tc>
          <w:tcPr>
            <w:tcW w:w="6804" w:type="dxa"/>
            <w:shd w:val="clear" w:color="auto" w:fill="auto"/>
          </w:tcPr>
          <w:p w14:paraId="4119828F" w14:textId="77777777" w:rsidR="00791B7B" w:rsidRPr="001044FF" w:rsidRDefault="00E44A72" w:rsidP="00791B7B">
            <w:pPr>
              <w:pStyle w:val="TableText"/>
            </w:pPr>
            <w:r w:rsidRPr="001044FF">
              <w:t>Australian Commission on Safety and Quality in Health Care</w:t>
            </w:r>
          </w:p>
        </w:tc>
      </w:tr>
      <w:tr w:rsidR="00791B7B" w:rsidRPr="001044FF" w14:paraId="0BAFA66E" w14:textId="77777777" w:rsidTr="00140413">
        <w:trPr>
          <w:trHeight w:val="115"/>
        </w:trPr>
        <w:tc>
          <w:tcPr>
            <w:tcW w:w="2268" w:type="dxa"/>
            <w:shd w:val="clear" w:color="auto" w:fill="auto"/>
          </w:tcPr>
          <w:p w14:paraId="7C60BD1B" w14:textId="77777777" w:rsidR="00791B7B" w:rsidRPr="001044FF" w:rsidRDefault="00791B7B" w:rsidP="00791B7B">
            <w:pPr>
              <w:pStyle w:val="TableText"/>
            </w:pPr>
            <w:r w:rsidRPr="001044FF">
              <w:t>Jo Watson</w:t>
            </w:r>
          </w:p>
        </w:tc>
        <w:tc>
          <w:tcPr>
            <w:tcW w:w="6804" w:type="dxa"/>
            <w:shd w:val="clear" w:color="auto" w:fill="auto"/>
          </w:tcPr>
          <w:p w14:paraId="2643A222" w14:textId="77777777" w:rsidR="00791B7B" w:rsidRPr="001044FF" w:rsidRDefault="00E44A72" w:rsidP="00791B7B">
            <w:pPr>
              <w:pStyle w:val="TableText"/>
            </w:pPr>
            <w:r w:rsidRPr="001044FF">
              <w:t>Pharmaceutical Benefits Advisory Committee</w:t>
            </w:r>
          </w:p>
        </w:tc>
      </w:tr>
      <w:tr w:rsidR="00791B7B" w:rsidRPr="001044FF" w14:paraId="02479A71" w14:textId="77777777" w:rsidTr="00140413">
        <w:trPr>
          <w:trHeight w:val="115"/>
        </w:trPr>
        <w:tc>
          <w:tcPr>
            <w:tcW w:w="2268" w:type="dxa"/>
            <w:shd w:val="clear" w:color="auto" w:fill="auto"/>
          </w:tcPr>
          <w:p w14:paraId="6C9086A7" w14:textId="77777777" w:rsidR="00791B7B" w:rsidRPr="001044FF" w:rsidRDefault="00791B7B" w:rsidP="00791B7B">
            <w:pPr>
              <w:pStyle w:val="TableText"/>
            </w:pPr>
            <w:r w:rsidRPr="001044FF">
              <w:t>Dr Lynn Weekes</w:t>
            </w:r>
          </w:p>
        </w:tc>
        <w:tc>
          <w:tcPr>
            <w:tcW w:w="6804" w:type="dxa"/>
            <w:shd w:val="clear" w:color="auto" w:fill="auto"/>
          </w:tcPr>
          <w:p w14:paraId="7F8A9373" w14:textId="77777777" w:rsidR="00791B7B" w:rsidRPr="001044FF" w:rsidRDefault="00791B7B" w:rsidP="00791B7B">
            <w:pPr>
              <w:pStyle w:val="TableText"/>
            </w:pPr>
            <w:r w:rsidRPr="001044FF">
              <w:t xml:space="preserve">NPS </w:t>
            </w:r>
            <w:proofErr w:type="spellStart"/>
            <w:r w:rsidRPr="001044FF">
              <w:t>MedicineWise</w:t>
            </w:r>
            <w:proofErr w:type="spellEnd"/>
          </w:p>
        </w:tc>
      </w:tr>
      <w:tr w:rsidR="00791B7B" w:rsidRPr="001044FF" w14:paraId="68134C47" w14:textId="77777777" w:rsidTr="00140413">
        <w:trPr>
          <w:trHeight w:val="115"/>
        </w:trPr>
        <w:tc>
          <w:tcPr>
            <w:tcW w:w="2268" w:type="dxa"/>
            <w:shd w:val="clear" w:color="auto" w:fill="auto"/>
          </w:tcPr>
          <w:p w14:paraId="0FFC97AD" w14:textId="5B3BB795" w:rsidR="00791B7B" w:rsidRPr="001044FF" w:rsidRDefault="00791B7B" w:rsidP="00791B7B">
            <w:pPr>
              <w:pStyle w:val="TableText"/>
            </w:pPr>
            <w:r w:rsidRPr="001044FF">
              <w:t>Ma</w:t>
            </w:r>
            <w:r w:rsidR="00E90439" w:rsidRPr="001044FF">
              <w:t>r</w:t>
            </w:r>
            <w:r w:rsidRPr="001044FF">
              <w:t>garet Williamson</w:t>
            </w:r>
          </w:p>
        </w:tc>
        <w:tc>
          <w:tcPr>
            <w:tcW w:w="6804" w:type="dxa"/>
            <w:shd w:val="clear" w:color="auto" w:fill="auto"/>
          </w:tcPr>
          <w:p w14:paraId="68538B49" w14:textId="77777777" w:rsidR="00791B7B" w:rsidRPr="001044FF" w:rsidRDefault="00791B7B" w:rsidP="00791B7B">
            <w:pPr>
              <w:pStyle w:val="TableText"/>
            </w:pPr>
            <w:r w:rsidRPr="001044FF">
              <w:t xml:space="preserve">NPS </w:t>
            </w:r>
            <w:proofErr w:type="spellStart"/>
            <w:r w:rsidRPr="001044FF">
              <w:t>MedicineWise</w:t>
            </w:r>
            <w:proofErr w:type="spellEnd"/>
          </w:p>
        </w:tc>
      </w:tr>
    </w:tbl>
    <w:p w14:paraId="137F4B06" w14:textId="77777777" w:rsidR="00CB4A02" w:rsidRPr="001044FF" w:rsidRDefault="00CB4A02" w:rsidP="00791B7B">
      <w:pPr>
        <w:pStyle w:val="Heading2a"/>
      </w:pPr>
    </w:p>
    <w:p w14:paraId="32DE0E0A" w14:textId="77777777" w:rsidR="00CB4A02" w:rsidRPr="001044FF" w:rsidRDefault="00CB4A02">
      <w:pPr>
        <w:spacing w:after="0"/>
        <w:rPr>
          <w:rFonts w:cs="Arial"/>
          <w:b/>
          <w:bCs/>
          <w:iCs/>
          <w:sz w:val="28"/>
          <w:szCs w:val="28"/>
        </w:rPr>
      </w:pPr>
      <w:r w:rsidRPr="001044FF">
        <w:br w:type="page"/>
      </w:r>
    </w:p>
    <w:p w14:paraId="47623B0D" w14:textId="1911F6C8" w:rsidR="00791B7B" w:rsidRPr="001044FF" w:rsidRDefault="00F3271A" w:rsidP="00D36601">
      <w:pPr>
        <w:pStyle w:val="Heading2"/>
      </w:pPr>
      <w:r w:rsidRPr="001044FF">
        <w:lastRenderedPageBreak/>
        <w:t xml:space="preserve">Australian Government </w:t>
      </w:r>
      <w:r w:rsidR="00791B7B" w:rsidRPr="001044FF">
        <w:t>Department of Health</w:t>
      </w:r>
      <w:r w:rsidR="00E44A72" w:rsidRPr="001044FF">
        <w:t xml:space="preserve"> representatives</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6804"/>
      </w:tblGrid>
      <w:tr w:rsidR="00791B7B" w:rsidRPr="001044FF" w14:paraId="56980632" w14:textId="77777777" w:rsidTr="00CB4A02">
        <w:trPr>
          <w:trHeight w:val="300"/>
          <w:tblHeader/>
        </w:trPr>
        <w:tc>
          <w:tcPr>
            <w:tcW w:w="2283" w:type="dxa"/>
            <w:shd w:val="clear" w:color="auto" w:fill="auto"/>
            <w:noWrap/>
            <w:hideMark/>
          </w:tcPr>
          <w:p w14:paraId="1E8033D9" w14:textId="77777777" w:rsidR="00791B7B" w:rsidRPr="001044FF" w:rsidRDefault="00791B7B" w:rsidP="00791B7B">
            <w:pPr>
              <w:pStyle w:val="TableHeading"/>
            </w:pPr>
            <w:r w:rsidRPr="001044FF">
              <w:t>Name</w:t>
            </w:r>
          </w:p>
        </w:tc>
        <w:tc>
          <w:tcPr>
            <w:tcW w:w="6804" w:type="dxa"/>
            <w:shd w:val="clear" w:color="auto" w:fill="auto"/>
            <w:noWrap/>
            <w:hideMark/>
          </w:tcPr>
          <w:p w14:paraId="3751C24E" w14:textId="77777777" w:rsidR="00791B7B" w:rsidRPr="001044FF" w:rsidRDefault="00791B7B" w:rsidP="00791B7B">
            <w:pPr>
              <w:pStyle w:val="TableHeading"/>
            </w:pPr>
            <w:r w:rsidRPr="001044FF">
              <w:t>Position</w:t>
            </w:r>
          </w:p>
        </w:tc>
      </w:tr>
      <w:tr w:rsidR="004B29D6" w:rsidRPr="001044FF" w14:paraId="43583F58" w14:textId="77777777" w:rsidTr="004B29D6">
        <w:trPr>
          <w:trHeight w:val="234"/>
        </w:trPr>
        <w:tc>
          <w:tcPr>
            <w:tcW w:w="2283" w:type="dxa"/>
            <w:shd w:val="clear" w:color="auto" w:fill="auto"/>
          </w:tcPr>
          <w:p w14:paraId="5966DC33" w14:textId="7B41C714" w:rsidR="004B29D6" w:rsidRPr="001044FF" w:rsidRDefault="004B29D6" w:rsidP="00791B7B">
            <w:pPr>
              <w:pStyle w:val="TableText"/>
            </w:pPr>
            <w:r w:rsidRPr="001044FF">
              <w:t>Dr Anna Colwell</w:t>
            </w:r>
          </w:p>
        </w:tc>
        <w:tc>
          <w:tcPr>
            <w:tcW w:w="6804" w:type="dxa"/>
            <w:shd w:val="clear" w:color="auto" w:fill="auto"/>
          </w:tcPr>
          <w:p w14:paraId="5A1A706F" w14:textId="493B71E1" w:rsidR="004B29D6" w:rsidRPr="001044FF" w:rsidRDefault="004B29D6" w:rsidP="00791B7B">
            <w:pPr>
              <w:pStyle w:val="TableText"/>
            </w:pPr>
            <w:r w:rsidRPr="001044FF">
              <w:t>Medical Officer, Office of Health Protection</w:t>
            </w:r>
          </w:p>
        </w:tc>
      </w:tr>
      <w:tr w:rsidR="00791B7B" w:rsidRPr="001044FF" w14:paraId="308BEDF4" w14:textId="77777777" w:rsidTr="004B29D6">
        <w:trPr>
          <w:trHeight w:val="234"/>
        </w:trPr>
        <w:tc>
          <w:tcPr>
            <w:tcW w:w="2283" w:type="dxa"/>
            <w:shd w:val="clear" w:color="auto" w:fill="auto"/>
          </w:tcPr>
          <w:p w14:paraId="2132A088" w14:textId="77777777" w:rsidR="00791B7B" w:rsidRPr="001044FF" w:rsidRDefault="00791B7B" w:rsidP="00791B7B">
            <w:pPr>
              <w:pStyle w:val="TableText"/>
            </w:pPr>
            <w:r w:rsidRPr="001044FF">
              <w:t>Julie Cutts</w:t>
            </w:r>
          </w:p>
        </w:tc>
        <w:tc>
          <w:tcPr>
            <w:tcW w:w="6804" w:type="dxa"/>
            <w:shd w:val="clear" w:color="auto" w:fill="auto"/>
          </w:tcPr>
          <w:p w14:paraId="2E453841" w14:textId="77777777" w:rsidR="00791B7B" w:rsidRPr="001044FF" w:rsidRDefault="00791B7B" w:rsidP="00791B7B">
            <w:pPr>
              <w:pStyle w:val="TableText"/>
            </w:pPr>
            <w:r w:rsidRPr="001044FF">
              <w:t>Director, Post-market Review Section</w:t>
            </w:r>
          </w:p>
        </w:tc>
      </w:tr>
      <w:tr w:rsidR="004B29D6" w:rsidRPr="001044FF" w14:paraId="0B3A97F1" w14:textId="77777777" w:rsidTr="004B29D6">
        <w:trPr>
          <w:trHeight w:val="234"/>
        </w:trPr>
        <w:tc>
          <w:tcPr>
            <w:tcW w:w="2283" w:type="dxa"/>
            <w:shd w:val="clear" w:color="auto" w:fill="auto"/>
          </w:tcPr>
          <w:p w14:paraId="34551C54" w14:textId="2432E210" w:rsidR="004B29D6" w:rsidRPr="001044FF" w:rsidRDefault="004B29D6" w:rsidP="00791B7B">
            <w:pPr>
              <w:pStyle w:val="TableText"/>
            </w:pPr>
            <w:r w:rsidRPr="001044FF">
              <w:t xml:space="preserve">Dr Alexandra </w:t>
            </w:r>
            <w:proofErr w:type="spellStart"/>
            <w:r w:rsidRPr="001044FF">
              <w:t>Greig</w:t>
            </w:r>
            <w:proofErr w:type="spellEnd"/>
          </w:p>
        </w:tc>
        <w:tc>
          <w:tcPr>
            <w:tcW w:w="6804" w:type="dxa"/>
            <w:shd w:val="clear" w:color="auto" w:fill="auto"/>
          </w:tcPr>
          <w:p w14:paraId="402CA173" w14:textId="088C91C5" w:rsidR="004B29D6" w:rsidRPr="001044FF" w:rsidRDefault="004B29D6" w:rsidP="00791B7B">
            <w:pPr>
              <w:pStyle w:val="TableText"/>
            </w:pPr>
            <w:r w:rsidRPr="001044FF">
              <w:t>Medical Officer, Office of Health Protection</w:t>
            </w:r>
          </w:p>
        </w:tc>
      </w:tr>
      <w:tr w:rsidR="00791B7B" w:rsidRPr="001044FF" w14:paraId="26A144D1" w14:textId="77777777" w:rsidTr="004B29D6">
        <w:trPr>
          <w:trHeight w:val="234"/>
        </w:trPr>
        <w:tc>
          <w:tcPr>
            <w:tcW w:w="2283" w:type="dxa"/>
            <w:shd w:val="clear" w:color="auto" w:fill="auto"/>
          </w:tcPr>
          <w:p w14:paraId="03348967" w14:textId="77777777" w:rsidR="00791B7B" w:rsidRPr="001044FF" w:rsidRDefault="00791B7B" w:rsidP="00791B7B">
            <w:pPr>
              <w:pStyle w:val="TableText"/>
            </w:pPr>
            <w:r w:rsidRPr="001044FF">
              <w:t>Jacinta Holdway</w:t>
            </w:r>
          </w:p>
        </w:tc>
        <w:tc>
          <w:tcPr>
            <w:tcW w:w="6804" w:type="dxa"/>
            <w:shd w:val="clear" w:color="auto" w:fill="auto"/>
          </w:tcPr>
          <w:p w14:paraId="1187ED24" w14:textId="77777777" w:rsidR="00791B7B" w:rsidRPr="001044FF" w:rsidRDefault="00791B7B" w:rsidP="00791B7B">
            <w:pPr>
              <w:pStyle w:val="TableText"/>
            </w:pPr>
            <w:r w:rsidRPr="001044FF">
              <w:t>Director, Health Protection Policy Section</w:t>
            </w:r>
          </w:p>
        </w:tc>
      </w:tr>
      <w:tr w:rsidR="00791B7B" w:rsidRPr="001044FF" w14:paraId="1421A3EC" w14:textId="77777777" w:rsidTr="004B29D6">
        <w:trPr>
          <w:trHeight w:val="234"/>
        </w:trPr>
        <w:tc>
          <w:tcPr>
            <w:tcW w:w="2283" w:type="dxa"/>
            <w:shd w:val="clear" w:color="auto" w:fill="auto"/>
          </w:tcPr>
          <w:p w14:paraId="13D9BC07" w14:textId="77777777" w:rsidR="00791B7B" w:rsidRPr="001044FF" w:rsidRDefault="00791B7B" w:rsidP="00791B7B">
            <w:pPr>
              <w:pStyle w:val="TableText"/>
            </w:pPr>
            <w:r w:rsidRPr="001044FF">
              <w:t>Anne Jackson</w:t>
            </w:r>
          </w:p>
        </w:tc>
        <w:tc>
          <w:tcPr>
            <w:tcW w:w="6804" w:type="dxa"/>
            <w:shd w:val="clear" w:color="auto" w:fill="auto"/>
          </w:tcPr>
          <w:p w14:paraId="230F1191" w14:textId="77777777" w:rsidR="00791B7B" w:rsidRPr="001044FF" w:rsidRDefault="00791B7B" w:rsidP="00791B7B">
            <w:pPr>
              <w:pStyle w:val="TableText"/>
            </w:pPr>
            <w:r w:rsidRPr="001044FF">
              <w:t>Assistant Director, Post-market Review Section</w:t>
            </w:r>
          </w:p>
        </w:tc>
      </w:tr>
      <w:tr w:rsidR="00791B7B" w:rsidRPr="001044FF" w14:paraId="33116316" w14:textId="77777777" w:rsidTr="004B29D6">
        <w:trPr>
          <w:trHeight w:val="234"/>
        </w:trPr>
        <w:tc>
          <w:tcPr>
            <w:tcW w:w="2283" w:type="dxa"/>
            <w:shd w:val="clear" w:color="auto" w:fill="auto"/>
          </w:tcPr>
          <w:p w14:paraId="699A49B5" w14:textId="77777777" w:rsidR="00791B7B" w:rsidRPr="001044FF" w:rsidRDefault="00791B7B" w:rsidP="00791B7B">
            <w:pPr>
              <w:pStyle w:val="TableText"/>
            </w:pPr>
            <w:r w:rsidRPr="001044FF">
              <w:t>Vanessa McMahon</w:t>
            </w:r>
          </w:p>
        </w:tc>
        <w:tc>
          <w:tcPr>
            <w:tcW w:w="6804" w:type="dxa"/>
            <w:shd w:val="clear" w:color="auto" w:fill="auto"/>
          </w:tcPr>
          <w:p w14:paraId="5F0A8EB3" w14:textId="13848EA8" w:rsidR="00791B7B" w:rsidRPr="001044FF" w:rsidRDefault="00791B7B" w:rsidP="00791B7B">
            <w:pPr>
              <w:pStyle w:val="TableText"/>
            </w:pPr>
            <w:r w:rsidRPr="001044FF">
              <w:t>Assistant Director, Drug Utilisation Sub-</w:t>
            </w:r>
            <w:r w:rsidR="00E713E1" w:rsidRPr="001044FF">
              <w:t>C</w:t>
            </w:r>
            <w:r w:rsidRPr="001044FF">
              <w:t>ommittee Secretariat</w:t>
            </w:r>
          </w:p>
        </w:tc>
      </w:tr>
      <w:tr w:rsidR="00140413" w:rsidRPr="001044FF" w14:paraId="60E9B120" w14:textId="77777777" w:rsidTr="004B29D6">
        <w:trPr>
          <w:trHeight w:val="234"/>
        </w:trPr>
        <w:tc>
          <w:tcPr>
            <w:tcW w:w="2283" w:type="dxa"/>
            <w:shd w:val="clear" w:color="auto" w:fill="auto"/>
          </w:tcPr>
          <w:p w14:paraId="3D1318B6" w14:textId="77777777" w:rsidR="00140413" w:rsidRPr="001044FF" w:rsidRDefault="00140413" w:rsidP="00140413">
            <w:pPr>
              <w:pStyle w:val="TableText"/>
            </w:pPr>
            <w:r w:rsidRPr="001044FF">
              <w:t>Greg O’Toole</w:t>
            </w:r>
          </w:p>
        </w:tc>
        <w:tc>
          <w:tcPr>
            <w:tcW w:w="6804" w:type="dxa"/>
            <w:shd w:val="clear" w:color="auto" w:fill="auto"/>
          </w:tcPr>
          <w:p w14:paraId="20A7D02A" w14:textId="77777777" w:rsidR="00140413" w:rsidRPr="001044FF" w:rsidRDefault="00140413" w:rsidP="00140413">
            <w:pPr>
              <w:pStyle w:val="TableText"/>
            </w:pPr>
            <w:r w:rsidRPr="001044FF">
              <w:t>Director, Health Technology Assessment</w:t>
            </w:r>
          </w:p>
        </w:tc>
      </w:tr>
      <w:tr w:rsidR="00140413" w:rsidRPr="001044FF" w14:paraId="1107B259" w14:textId="77777777" w:rsidTr="004B29D6">
        <w:trPr>
          <w:trHeight w:val="234"/>
        </w:trPr>
        <w:tc>
          <w:tcPr>
            <w:tcW w:w="2283" w:type="dxa"/>
            <w:shd w:val="clear" w:color="auto" w:fill="auto"/>
          </w:tcPr>
          <w:p w14:paraId="003CF89D" w14:textId="77777777" w:rsidR="00140413" w:rsidRPr="001044FF" w:rsidRDefault="00140413" w:rsidP="00140413">
            <w:pPr>
              <w:pStyle w:val="TableText"/>
            </w:pPr>
            <w:r w:rsidRPr="001044FF">
              <w:t>Dr Alicia Segrave</w:t>
            </w:r>
          </w:p>
        </w:tc>
        <w:tc>
          <w:tcPr>
            <w:tcW w:w="6804" w:type="dxa"/>
            <w:shd w:val="clear" w:color="auto" w:fill="auto"/>
          </w:tcPr>
          <w:p w14:paraId="3E1A464C" w14:textId="5F61765B" w:rsidR="00140413" w:rsidRPr="001044FF" w:rsidRDefault="00140413" w:rsidP="00140413">
            <w:pPr>
              <w:pStyle w:val="TableText"/>
            </w:pPr>
            <w:r w:rsidRPr="001044FF">
              <w:t>Director, Drug Utilisation Sub-</w:t>
            </w:r>
            <w:r w:rsidR="00E713E1" w:rsidRPr="001044FF">
              <w:t>C</w:t>
            </w:r>
            <w:r w:rsidRPr="001044FF">
              <w:t>ommittee Secretariat</w:t>
            </w:r>
          </w:p>
        </w:tc>
      </w:tr>
      <w:tr w:rsidR="00791B7B" w:rsidRPr="001044FF" w14:paraId="414AAA95" w14:textId="77777777" w:rsidTr="004B29D6">
        <w:trPr>
          <w:trHeight w:val="234"/>
        </w:trPr>
        <w:tc>
          <w:tcPr>
            <w:tcW w:w="2283" w:type="dxa"/>
            <w:shd w:val="clear" w:color="auto" w:fill="auto"/>
          </w:tcPr>
          <w:p w14:paraId="6F51AEEF" w14:textId="77777777" w:rsidR="00791B7B" w:rsidRPr="001044FF" w:rsidRDefault="00791B7B" w:rsidP="00791B7B">
            <w:pPr>
              <w:pStyle w:val="TableText"/>
            </w:pPr>
            <w:r w:rsidRPr="001044FF">
              <w:t>Shaiyena Williams</w:t>
            </w:r>
          </w:p>
        </w:tc>
        <w:tc>
          <w:tcPr>
            <w:tcW w:w="6804" w:type="dxa"/>
            <w:shd w:val="clear" w:color="auto" w:fill="auto"/>
          </w:tcPr>
          <w:p w14:paraId="2BB10647" w14:textId="77777777" w:rsidR="00791B7B" w:rsidRPr="001044FF" w:rsidRDefault="00791B7B" w:rsidP="00791B7B">
            <w:pPr>
              <w:pStyle w:val="TableText"/>
            </w:pPr>
            <w:r w:rsidRPr="001044FF">
              <w:t>Secretariat, Post-market Review Section</w:t>
            </w:r>
          </w:p>
        </w:tc>
      </w:tr>
    </w:tbl>
    <w:p w14:paraId="687EF955" w14:textId="77777777" w:rsidR="00791B7B" w:rsidRPr="001044FF" w:rsidRDefault="00791B7B" w:rsidP="00791B7B">
      <w:pPr>
        <w:pStyle w:val="Mincobulleted"/>
        <w:tabs>
          <w:tab w:val="clear" w:pos="426"/>
          <w:tab w:val="left" w:pos="284"/>
          <w:tab w:val="left" w:pos="1701"/>
        </w:tabs>
        <w:ind w:left="1701" w:hanging="1701"/>
        <w:rPr>
          <w:rFonts w:cs="Arial"/>
          <w:sz w:val="22"/>
          <w:szCs w:val="22"/>
        </w:rPr>
      </w:pPr>
    </w:p>
    <w:p w14:paraId="6A301E99" w14:textId="77777777" w:rsidR="00791B7B" w:rsidRPr="001044FF" w:rsidRDefault="00791B7B" w:rsidP="00D36601">
      <w:pPr>
        <w:pStyle w:val="Heading2"/>
      </w:pPr>
      <w:r w:rsidRPr="001044FF">
        <w:t>Medical writers (Biotext</w:t>
      </w:r>
      <w:r w:rsidR="00E44A72" w:rsidRPr="001044FF">
        <w:t xml:space="preserve"> Pty Ltd</w:t>
      </w:r>
      <w:r w:rsidRPr="001044FF">
        <w:t>)</w:t>
      </w:r>
    </w:p>
    <w:p w14:paraId="5312C2ED" w14:textId="77777777" w:rsidR="00E44A72" w:rsidRPr="001044FF" w:rsidRDefault="00E44A72" w:rsidP="00E44A72">
      <w:r w:rsidRPr="001044FF">
        <w:t xml:space="preserve">Dr </w:t>
      </w:r>
      <w:proofErr w:type="spellStart"/>
      <w:r w:rsidRPr="001044FF">
        <w:t>Malini</w:t>
      </w:r>
      <w:proofErr w:type="spellEnd"/>
      <w:r w:rsidRPr="001044FF">
        <w:t xml:space="preserve"> </w:t>
      </w:r>
      <w:proofErr w:type="spellStart"/>
      <w:r w:rsidRPr="001044FF">
        <w:t>Devadas</w:t>
      </w:r>
      <w:proofErr w:type="spellEnd"/>
    </w:p>
    <w:p w14:paraId="6051AD47" w14:textId="71B31863" w:rsidR="00C841AA" w:rsidRPr="001044FF" w:rsidRDefault="00791B7B" w:rsidP="00791B7B">
      <w:r w:rsidRPr="001044FF">
        <w:t>Dr Julie Irish</w:t>
      </w:r>
    </w:p>
    <w:p w14:paraId="68E0CB8D" w14:textId="77777777" w:rsidR="00C841AA" w:rsidRPr="001044FF" w:rsidRDefault="00C841AA" w:rsidP="00C841AA">
      <w:pPr>
        <w:pStyle w:val="Heading1"/>
        <w:ind w:left="2160" w:hanging="2160"/>
      </w:pPr>
      <w:r w:rsidRPr="001044FF">
        <w:lastRenderedPageBreak/>
        <w:t>Appendix 2</w:t>
      </w:r>
      <w:r w:rsidRPr="001044FF">
        <w:tab/>
        <w:t>Summarised item details and restrictions for Authority Required antibiotics</w:t>
      </w:r>
    </w:p>
    <w:p w14:paraId="4916F8D6" w14:textId="061275D2" w:rsidR="00BC0B34" w:rsidRPr="001044FF" w:rsidRDefault="00BC0B34" w:rsidP="00BC0B34">
      <w:pPr>
        <w:pStyle w:val="Heading2"/>
      </w:pPr>
      <w:r w:rsidRPr="001044FF">
        <w:t>Authority Required (STREAMLINED)</w:t>
      </w:r>
    </w:p>
    <w:tbl>
      <w:tblPr>
        <w:tblStyle w:val="TableGrid"/>
        <w:tblW w:w="5000" w:type="pct"/>
        <w:tblLook w:val="04A0" w:firstRow="1" w:lastRow="0" w:firstColumn="1" w:lastColumn="0" w:noHBand="0" w:noVBand="1"/>
        <w:tblCaption w:val="Table 1 summarises the item details and restrictions for authority required antibiotics"/>
        <w:tblDescription w:val="it includes the drug name, item details and the restriction of cephalexin, tobramycin, trimethoprim, cefepime, ciprofloxacin, norfloxacin, ofloxacin, rifaximin.  It also includes the same details for vancomycin and clarithromycin and azithromycin from the S100 highly specialised drugs programme"/>
      </w:tblPr>
      <w:tblGrid>
        <w:gridCol w:w="2397"/>
        <w:gridCol w:w="2627"/>
        <w:gridCol w:w="4218"/>
      </w:tblGrid>
      <w:tr w:rsidR="00BC0B34" w:rsidRPr="001044FF" w14:paraId="4DFE10FE" w14:textId="77777777" w:rsidTr="00062D41">
        <w:trPr>
          <w:cantSplit/>
          <w:tblHeader/>
        </w:trPr>
        <w:tc>
          <w:tcPr>
            <w:tcW w:w="1297" w:type="pct"/>
            <w:shd w:val="clear" w:color="auto" w:fill="auto"/>
          </w:tcPr>
          <w:p w14:paraId="447E0D86" w14:textId="77777777" w:rsidR="00BC0B34" w:rsidRPr="001044FF" w:rsidRDefault="00BC0B34" w:rsidP="00BC0B34">
            <w:pPr>
              <w:pStyle w:val="TableHeading"/>
              <w:keepNext w:val="0"/>
            </w:pPr>
            <w:r w:rsidRPr="001044FF">
              <w:t>Drug</w:t>
            </w:r>
          </w:p>
        </w:tc>
        <w:tc>
          <w:tcPr>
            <w:tcW w:w="1421" w:type="pct"/>
            <w:tcBorders>
              <w:bottom w:val="single" w:sz="4" w:space="0" w:color="auto"/>
            </w:tcBorders>
            <w:shd w:val="clear" w:color="auto" w:fill="auto"/>
          </w:tcPr>
          <w:p w14:paraId="32D995E9" w14:textId="77777777" w:rsidR="00BC0B34" w:rsidRPr="001044FF" w:rsidRDefault="00BC0B34" w:rsidP="00BC0B34">
            <w:pPr>
              <w:pStyle w:val="TableHeading"/>
              <w:keepNext w:val="0"/>
            </w:pPr>
            <w:r w:rsidRPr="001044FF">
              <w:t>Item details</w:t>
            </w:r>
          </w:p>
        </w:tc>
        <w:tc>
          <w:tcPr>
            <w:tcW w:w="2282" w:type="pct"/>
            <w:tcBorders>
              <w:bottom w:val="single" w:sz="4" w:space="0" w:color="auto"/>
            </w:tcBorders>
            <w:shd w:val="clear" w:color="auto" w:fill="auto"/>
          </w:tcPr>
          <w:p w14:paraId="6058E961" w14:textId="77777777" w:rsidR="00BC0B34" w:rsidRPr="001044FF" w:rsidRDefault="00BC0B34" w:rsidP="00BC0B34">
            <w:pPr>
              <w:pStyle w:val="TableHeading"/>
              <w:keepNext w:val="0"/>
            </w:pPr>
            <w:r w:rsidRPr="001044FF">
              <w:t>Restriction</w:t>
            </w:r>
          </w:p>
        </w:tc>
      </w:tr>
      <w:tr w:rsidR="00BC0B34" w:rsidRPr="001044FF" w14:paraId="58993989" w14:textId="77777777" w:rsidTr="00062D41">
        <w:tc>
          <w:tcPr>
            <w:tcW w:w="1297" w:type="pct"/>
          </w:tcPr>
          <w:p w14:paraId="4BE6E191" w14:textId="46CA0EC7" w:rsidR="00BC0B34" w:rsidRPr="001044FF" w:rsidRDefault="00BC0B34" w:rsidP="00BC0B34">
            <w:pPr>
              <w:pStyle w:val="TableText"/>
              <w:keepNext w:val="0"/>
            </w:pPr>
            <w:r w:rsidRPr="001044FF">
              <w:t>Cephalexin</w:t>
            </w:r>
            <w:r w:rsidR="00062D41" w:rsidRPr="001044FF">
              <w:t>,</w:t>
            </w:r>
            <w:r w:rsidRPr="001044FF">
              <w:t xml:space="preserve"> 250 mg tablet</w:t>
            </w:r>
          </w:p>
        </w:tc>
        <w:tc>
          <w:tcPr>
            <w:tcW w:w="1421" w:type="pct"/>
          </w:tcPr>
          <w:p w14:paraId="73684C1E" w14:textId="77777777" w:rsidR="00BC0B34" w:rsidRPr="001044FF" w:rsidRDefault="00BC0B34" w:rsidP="00BC0B34">
            <w:pPr>
              <w:pStyle w:val="TableText"/>
              <w:keepNext w:val="0"/>
            </w:pPr>
            <w:r w:rsidRPr="001044FF">
              <w:t>2655R (MP)</w:t>
            </w:r>
          </w:p>
        </w:tc>
        <w:tc>
          <w:tcPr>
            <w:tcW w:w="2282" w:type="pct"/>
          </w:tcPr>
          <w:p w14:paraId="033D0FF1" w14:textId="77777777" w:rsidR="00BC0B34" w:rsidRPr="001044FF" w:rsidRDefault="00BC0B34" w:rsidP="00BC0B34">
            <w:pPr>
              <w:pStyle w:val="TableText"/>
              <w:keepNext w:val="0"/>
            </w:pPr>
            <w:r w:rsidRPr="001044FF">
              <w:t>Prophylaxis of urinary tract infections (higher quantity than unrestricted listings)</w:t>
            </w:r>
          </w:p>
        </w:tc>
      </w:tr>
      <w:tr w:rsidR="00BC0B34" w:rsidRPr="001044FF" w14:paraId="53109606" w14:textId="77777777" w:rsidTr="00062D41">
        <w:tc>
          <w:tcPr>
            <w:tcW w:w="1297" w:type="pct"/>
          </w:tcPr>
          <w:p w14:paraId="231B4FAF" w14:textId="50A5C5BA" w:rsidR="00BC0B34" w:rsidRPr="001044FF" w:rsidRDefault="00BC0B34" w:rsidP="00BC0B34">
            <w:pPr>
              <w:pStyle w:val="TableText"/>
              <w:keepNext w:val="0"/>
            </w:pPr>
            <w:r w:rsidRPr="001044FF">
              <w:t>Tobramycin</w:t>
            </w:r>
            <w:r w:rsidR="00062D41" w:rsidRPr="001044FF">
              <w:t>,</w:t>
            </w:r>
            <w:r w:rsidRPr="001044FF">
              <w:t xml:space="preserve"> inhalation capsules and inhalation solution</w:t>
            </w:r>
          </w:p>
        </w:tc>
        <w:tc>
          <w:tcPr>
            <w:tcW w:w="1421" w:type="pct"/>
          </w:tcPr>
          <w:p w14:paraId="69CCA3A5" w14:textId="469BED03" w:rsidR="00BC0B34" w:rsidRPr="001044FF" w:rsidRDefault="00BC0B34" w:rsidP="00062D41">
            <w:pPr>
              <w:pStyle w:val="TableBullet"/>
            </w:pPr>
            <w:r w:rsidRPr="001044FF">
              <w:t>10066T, 10074F (inhalation capsules)</w:t>
            </w:r>
            <w:r w:rsidR="00062D41" w:rsidRPr="001044FF">
              <w:t xml:space="preserve"> (MP)</w:t>
            </w:r>
          </w:p>
          <w:p w14:paraId="518EAAD5" w14:textId="499C2E2B" w:rsidR="00BC0B34" w:rsidRPr="001044FF" w:rsidRDefault="00BC0B34" w:rsidP="00062D41">
            <w:pPr>
              <w:pStyle w:val="TableBullet"/>
            </w:pPr>
            <w:r w:rsidRPr="001044FF">
              <w:t>5442K (solution for inhalation)</w:t>
            </w:r>
            <w:r w:rsidR="00062D41" w:rsidRPr="001044FF">
              <w:t xml:space="preserve"> </w:t>
            </w:r>
            <w:r w:rsidRPr="001044FF">
              <w:t>(MP)</w:t>
            </w:r>
          </w:p>
        </w:tc>
        <w:tc>
          <w:tcPr>
            <w:tcW w:w="2282" w:type="pct"/>
          </w:tcPr>
          <w:p w14:paraId="693C8D96" w14:textId="77777777" w:rsidR="00BC0B34" w:rsidRPr="001044FF" w:rsidRDefault="00BC0B34" w:rsidP="00BC0B34">
            <w:pPr>
              <w:pStyle w:val="TableText"/>
              <w:keepNext w:val="0"/>
            </w:pPr>
            <w:r w:rsidRPr="001044FF">
              <w:t xml:space="preserve">Management of a proven </w:t>
            </w:r>
            <w:r w:rsidRPr="001044FF">
              <w:rPr>
                <w:i/>
              </w:rPr>
              <w:t>Pseudomonas aeruginosa</w:t>
            </w:r>
            <w:r w:rsidRPr="001044FF">
              <w:t xml:space="preserve"> infection in a patient with cystic fibrosis</w:t>
            </w:r>
          </w:p>
        </w:tc>
      </w:tr>
      <w:tr w:rsidR="00BC0B34" w:rsidRPr="001044FF" w14:paraId="29D5F777" w14:textId="77777777" w:rsidTr="00062D41">
        <w:tc>
          <w:tcPr>
            <w:tcW w:w="1297" w:type="pct"/>
          </w:tcPr>
          <w:p w14:paraId="5B8DBDC8" w14:textId="029F5DD2" w:rsidR="00BC0B34" w:rsidRPr="001044FF" w:rsidRDefault="00BC0B34" w:rsidP="00062D41">
            <w:pPr>
              <w:pStyle w:val="TableText"/>
              <w:keepNext w:val="0"/>
            </w:pPr>
            <w:r w:rsidRPr="001044FF">
              <w:t>Trimethoprim</w:t>
            </w:r>
            <w:r w:rsidR="00062D41" w:rsidRPr="001044FF">
              <w:t xml:space="preserve">, </w:t>
            </w:r>
            <w:r w:rsidRPr="001044FF">
              <w:t>300 mg tablet</w:t>
            </w:r>
          </w:p>
        </w:tc>
        <w:tc>
          <w:tcPr>
            <w:tcW w:w="1421" w:type="pct"/>
            <w:tcBorders>
              <w:bottom w:val="single" w:sz="4" w:space="0" w:color="auto"/>
            </w:tcBorders>
          </w:tcPr>
          <w:p w14:paraId="67B67AE5" w14:textId="77777777" w:rsidR="00BC0B34" w:rsidRPr="001044FF" w:rsidRDefault="00BC0B34" w:rsidP="00BC0B34">
            <w:pPr>
              <w:pStyle w:val="TableText"/>
              <w:keepNext w:val="0"/>
            </w:pPr>
            <w:r w:rsidRPr="001044FF">
              <w:t>2666H (MP)</w:t>
            </w:r>
          </w:p>
        </w:tc>
        <w:tc>
          <w:tcPr>
            <w:tcW w:w="2282" w:type="pct"/>
            <w:tcBorders>
              <w:bottom w:val="single" w:sz="4" w:space="0" w:color="auto"/>
            </w:tcBorders>
          </w:tcPr>
          <w:p w14:paraId="5E9589D7" w14:textId="05FBCA04" w:rsidR="00BC0B34" w:rsidRPr="001044FF" w:rsidRDefault="00BC0B34" w:rsidP="00BC0B34">
            <w:pPr>
              <w:pStyle w:val="TableText"/>
              <w:keepNext w:val="0"/>
            </w:pPr>
            <w:r w:rsidRPr="001044FF">
              <w:t>Prophylaxis of urinary tract infections (higher quantity than other listing</w:t>
            </w:r>
            <w:r w:rsidR="00763F99" w:rsidRPr="001044FF">
              <w:t>s</w:t>
            </w:r>
            <w:r w:rsidRPr="001044FF">
              <w:t xml:space="preserve">) </w:t>
            </w:r>
          </w:p>
        </w:tc>
      </w:tr>
    </w:tbl>
    <w:p w14:paraId="6189CEE4" w14:textId="68B397C5" w:rsidR="00BC0B34" w:rsidRPr="001044FF" w:rsidRDefault="00062D41" w:rsidP="00062D41">
      <w:pPr>
        <w:pStyle w:val="TFAbbrevsSpace"/>
      </w:pPr>
      <w:r w:rsidRPr="001044FF">
        <w:t>MP: medical practitioner</w:t>
      </w:r>
    </w:p>
    <w:p w14:paraId="115507A1" w14:textId="0D3EB3F6" w:rsidR="00BC0B34" w:rsidRPr="001044FF" w:rsidRDefault="00BC0B34" w:rsidP="00BC0B34">
      <w:pPr>
        <w:pStyle w:val="Heading2"/>
      </w:pPr>
      <w:r w:rsidRPr="001044FF">
        <w:t>Authority Required</w:t>
      </w:r>
    </w:p>
    <w:tbl>
      <w:tblPr>
        <w:tblStyle w:val="TableGrid"/>
        <w:tblW w:w="5000" w:type="pct"/>
        <w:tblLook w:val="04A0" w:firstRow="1" w:lastRow="0" w:firstColumn="1" w:lastColumn="0" w:noHBand="0" w:noVBand="1"/>
      </w:tblPr>
      <w:tblGrid>
        <w:gridCol w:w="2397"/>
        <w:gridCol w:w="2627"/>
        <w:gridCol w:w="4218"/>
      </w:tblGrid>
      <w:tr w:rsidR="00062D41" w:rsidRPr="001044FF" w14:paraId="756452D7" w14:textId="77777777" w:rsidTr="00CB4A02">
        <w:trPr>
          <w:cantSplit/>
          <w:tblHeader/>
        </w:trPr>
        <w:tc>
          <w:tcPr>
            <w:tcW w:w="1297" w:type="pct"/>
          </w:tcPr>
          <w:p w14:paraId="77B0ECD2" w14:textId="78602C78" w:rsidR="00062D41" w:rsidRPr="001044FF" w:rsidRDefault="00062D41" w:rsidP="00062D41">
            <w:pPr>
              <w:pStyle w:val="TableHeading"/>
            </w:pPr>
            <w:r w:rsidRPr="001044FF">
              <w:t>Drug</w:t>
            </w:r>
          </w:p>
        </w:tc>
        <w:tc>
          <w:tcPr>
            <w:tcW w:w="1421" w:type="pct"/>
          </w:tcPr>
          <w:p w14:paraId="597A37B6" w14:textId="65CFC8E3" w:rsidR="00062D41" w:rsidRPr="001044FF" w:rsidRDefault="00062D41" w:rsidP="00062D41">
            <w:pPr>
              <w:pStyle w:val="TableHeading"/>
            </w:pPr>
            <w:r w:rsidRPr="001044FF">
              <w:t>Item details</w:t>
            </w:r>
          </w:p>
        </w:tc>
        <w:tc>
          <w:tcPr>
            <w:tcW w:w="2282" w:type="pct"/>
          </w:tcPr>
          <w:p w14:paraId="40B83209" w14:textId="6F5A9E34" w:rsidR="00062D41" w:rsidRPr="001044FF" w:rsidRDefault="00062D41" w:rsidP="00062D41">
            <w:pPr>
              <w:pStyle w:val="TableHeading"/>
            </w:pPr>
            <w:r w:rsidRPr="001044FF">
              <w:t>Restriction</w:t>
            </w:r>
          </w:p>
        </w:tc>
      </w:tr>
      <w:tr w:rsidR="00062D41" w:rsidRPr="001044FF" w14:paraId="6BA347C5" w14:textId="77777777" w:rsidTr="00CB4A02">
        <w:trPr>
          <w:cantSplit/>
        </w:trPr>
        <w:tc>
          <w:tcPr>
            <w:tcW w:w="1297" w:type="pct"/>
          </w:tcPr>
          <w:p w14:paraId="5837A20F" w14:textId="6D1CAA49" w:rsidR="00062D41" w:rsidRPr="001044FF" w:rsidRDefault="00062D41" w:rsidP="00062D41">
            <w:pPr>
              <w:pStyle w:val="TableText"/>
              <w:keepNext w:val="0"/>
            </w:pPr>
            <w:proofErr w:type="spellStart"/>
            <w:r w:rsidRPr="001044FF">
              <w:t>Cefepime</w:t>
            </w:r>
            <w:proofErr w:type="spellEnd"/>
            <w:r w:rsidRPr="001044FF">
              <w:t>, powder for injection</w:t>
            </w:r>
          </w:p>
        </w:tc>
        <w:tc>
          <w:tcPr>
            <w:tcW w:w="1421" w:type="pct"/>
          </w:tcPr>
          <w:p w14:paraId="6950EF51" w14:textId="77777777" w:rsidR="00062D41" w:rsidRPr="001044FF" w:rsidRDefault="00062D41" w:rsidP="00062D41">
            <w:pPr>
              <w:pStyle w:val="TableText"/>
              <w:keepNext w:val="0"/>
            </w:pPr>
            <w:r w:rsidRPr="001044FF">
              <w:t>8315P, 8316Q (MP, NP)</w:t>
            </w:r>
          </w:p>
        </w:tc>
        <w:tc>
          <w:tcPr>
            <w:tcW w:w="2282" w:type="pct"/>
          </w:tcPr>
          <w:p w14:paraId="60F9D668" w14:textId="77777777" w:rsidR="00062D41" w:rsidRPr="001044FF" w:rsidRDefault="00062D41" w:rsidP="00062D41">
            <w:pPr>
              <w:pStyle w:val="TableText"/>
              <w:keepNext w:val="0"/>
            </w:pPr>
            <w:r w:rsidRPr="001044FF">
              <w:t>Treatment of febrile neutropenia</w:t>
            </w:r>
          </w:p>
        </w:tc>
      </w:tr>
      <w:tr w:rsidR="00062D41" w:rsidRPr="001044FF" w14:paraId="4FD9A8AB" w14:textId="77777777" w:rsidTr="00CB4A02">
        <w:trPr>
          <w:cantSplit/>
        </w:trPr>
        <w:tc>
          <w:tcPr>
            <w:tcW w:w="1297" w:type="pct"/>
          </w:tcPr>
          <w:p w14:paraId="791A8E6A" w14:textId="11FC1E37" w:rsidR="00062D41" w:rsidRPr="001044FF" w:rsidRDefault="00062D41" w:rsidP="00062D41">
            <w:pPr>
              <w:pStyle w:val="TableText"/>
              <w:keepNext w:val="0"/>
            </w:pPr>
            <w:r w:rsidRPr="001044FF">
              <w:t>Ciprofloxacin, 250 mg tablet, 500 mg tablet</w:t>
            </w:r>
            <w:r w:rsidR="00C4331C" w:rsidRPr="001044FF">
              <w:t>, 750 mg tablet</w:t>
            </w:r>
          </w:p>
        </w:tc>
        <w:tc>
          <w:tcPr>
            <w:tcW w:w="1421" w:type="pct"/>
          </w:tcPr>
          <w:p w14:paraId="0AD66C0D" w14:textId="5A32F1EA" w:rsidR="00062D41" w:rsidRPr="001044FF" w:rsidRDefault="00062D41" w:rsidP="00062D41">
            <w:pPr>
              <w:pStyle w:val="TableBullet"/>
            </w:pPr>
            <w:r w:rsidRPr="001044FF">
              <w:t>1208N (250 mg tablet)</w:t>
            </w:r>
            <w:r w:rsidR="00C4331C" w:rsidRPr="001044FF">
              <w:t xml:space="preserve"> (MP, NP)</w:t>
            </w:r>
          </w:p>
          <w:p w14:paraId="6ECEF381" w14:textId="77777777" w:rsidR="00062D41" w:rsidRPr="001044FF" w:rsidRDefault="00062D41" w:rsidP="00062D41">
            <w:pPr>
              <w:pStyle w:val="TableBullet"/>
            </w:pPr>
            <w:r w:rsidRPr="001044FF">
              <w:t>1209P (500 mg tablet)</w:t>
            </w:r>
            <w:r w:rsidR="00C4331C" w:rsidRPr="001044FF">
              <w:t xml:space="preserve"> (MP, NP)</w:t>
            </w:r>
          </w:p>
          <w:p w14:paraId="5EFBE5CB" w14:textId="5D86614C" w:rsidR="00C4331C" w:rsidRPr="001044FF" w:rsidRDefault="00C4331C" w:rsidP="00C4331C">
            <w:pPr>
              <w:pStyle w:val="TableBullet"/>
            </w:pPr>
            <w:r w:rsidRPr="001044FF">
              <w:t>1210Q (750 mg tablet) (MP, NP)</w:t>
            </w:r>
          </w:p>
        </w:tc>
        <w:tc>
          <w:tcPr>
            <w:tcW w:w="2282" w:type="pct"/>
          </w:tcPr>
          <w:p w14:paraId="73FF2CBE" w14:textId="77777777" w:rsidR="00062D41" w:rsidRPr="001044FF" w:rsidRDefault="00062D41" w:rsidP="00C4331C">
            <w:pPr>
              <w:pStyle w:val="TableBullet"/>
            </w:pPr>
            <w:r w:rsidRPr="001044FF">
              <w:t xml:space="preserve">Respiratory tract infection proven or suspected to be caused by </w:t>
            </w:r>
            <w:r w:rsidRPr="001044FF">
              <w:rPr>
                <w:i/>
              </w:rPr>
              <w:t xml:space="preserve">Pseudomonas aeruginosa </w:t>
            </w:r>
            <w:r w:rsidRPr="001044FF">
              <w:t>in seve</w:t>
            </w:r>
            <w:r w:rsidR="00C4331C" w:rsidRPr="001044FF">
              <w:t>rely immunocompromised patients</w:t>
            </w:r>
          </w:p>
          <w:p w14:paraId="2073DD6F" w14:textId="77777777" w:rsidR="00C4331C" w:rsidRPr="001044FF" w:rsidRDefault="00C4331C" w:rsidP="00C4331C">
            <w:pPr>
              <w:pStyle w:val="TableBullet"/>
            </w:pPr>
            <w:r w:rsidRPr="001044FF">
              <w:t>Bacterial gastroenteritis in severely immunocompromised patients</w:t>
            </w:r>
          </w:p>
          <w:p w14:paraId="218C333A" w14:textId="77777777" w:rsidR="00C4331C" w:rsidRPr="001044FF" w:rsidRDefault="00C4331C" w:rsidP="00C4331C">
            <w:pPr>
              <w:pStyle w:val="TableBullet"/>
            </w:pPr>
            <w:r w:rsidRPr="001044FF">
              <w:t xml:space="preserve">Treatment of infections proven to be due to </w:t>
            </w:r>
            <w:r w:rsidRPr="001044FF">
              <w:rPr>
                <w:i/>
              </w:rPr>
              <w:t>Pseudomonas aeruginosa</w:t>
            </w:r>
            <w:r w:rsidRPr="001044FF">
              <w:t xml:space="preserve"> or other gram-negative bacteria resistant to all other oral antimicrobials</w:t>
            </w:r>
          </w:p>
          <w:p w14:paraId="72F13A43" w14:textId="77777777" w:rsidR="00C4331C" w:rsidRPr="001044FF" w:rsidRDefault="00C4331C" w:rsidP="00C4331C">
            <w:pPr>
              <w:pStyle w:val="TableBullet"/>
            </w:pPr>
            <w:r w:rsidRPr="001044FF">
              <w:t xml:space="preserve">Treatment of joint and bone infections, </w:t>
            </w:r>
            <w:proofErr w:type="spellStart"/>
            <w:r w:rsidRPr="001044FF">
              <w:t>epididymo-orchitis</w:t>
            </w:r>
            <w:proofErr w:type="spellEnd"/>
            <w:r w:rsidRPr="001044FF">
              <w:t xml:space="preserve">, prostatitis or </w:t>
            </w:r>
            <w:proofErr w:type="spellStart"/>
            <w:r w:rsidRPr="001044FF">
              <w:t>perichondritis</w:t>
            </w:r>
            <w:proofErr w:type="spellEnd"/>
            <w:r w:rsidRPr="001044FF">
              <w:t xml:space="preserve"> of the pinna, suspected or proven to be caused by gram-negative bacteria or gram-positive bacteria resistant to all other appropriate antimicrobials</w:t>
            </w:r>
          </w:p>
          <w:p w14:paraId="00AB89FF" w14:textId="2B551AAC" w:rsidR="00C4331C" w:rsidRPr="001044FF" w:rsidRDefault="00C4331C" w:rsidP="00C4331C">
            <w:pPr>
              <w:pStyle w:val="TableBullet"/>
            </w:pPr>
            <w:r w:rsidRPr="001044FF">
              <w:t>Gonorrhoea (250 mg tablet only)</w:t>
            </w:r>
          </w:p>
        </w:tc>
      </w:tr>
      <w:tr w:rsidR="00062D41" w:rsidRPr="001044FF" w14:paraId="4F26A185" w14:textId="77777777" w:rsidTr="00CB4A02">
        <w:trPr>
          <w:cantSplit/>
        </w:trPr>
        <w:tc>
          <w:tcPr>
            <w:tcW w:w="1297" w:type="pct"/>
          </w:tcPr>
          <w:p w14:paraId="32EEC952" w14:textId="13277FED" w:rsidR="00062D41" w:rsidRPr="001044FF" w:rsidRDefault="00C4331C" w:rsidP="00062D41">
            <w:pPr>
              <w:pStyle w:val="TableText"/>
              <w:keepNext w:val="0"/>
            </w:pPr>
            <w:r w:rsidRPr="001044FF">
              <w:t>Ciprofloxacin, 0.3% eye drops</w:t>
            </w:r>
          </w:p>
        </w:tc>
        <w:tc>
          <w:tcPr>
            <w:tcW w:w="1421" w:type="pct"/>
          </w:tcPr>
          <w:p w14:paraId="69A4E4D6" w14:textId="1A202DD9" w:rsidR="00062D41" w:rsidRPr="001044FF" w:rsidRDefault="00C4331C" w:rsidP="00062D41">
            <w:pPr>
              <w:pStyle w:val="TableText"/>
              <w:keepNext w:val="0"/>
            </w:pPr>
            <w:r w:rsidRPr="001044FF">
              <w:t>1217C (MP),</w:t>
            </w:r>
            <w:r w:rsidR="00062D41" w:rsidRPr="001044FF">
              <w:t xml:space="preserve"> 5564W (OP)</w:t>
            </w:r>
          </w:p>
        </w:tc>
        <w:tc>
          <w:tcPr>
            <w:tcW w:w="2282" w:type="pct"/>
          </w:tcPr>
          <w:p w14:paraId="72A56BD4" w14:textId="5ECA9CBB" w:rsidR="00062D41" w:rsidRPr="001044FF" w:rsidRDefault="00062D41" w:rsidP="008D464F">
            <w:pPr>
              <w:pStyle w:val="TableText"/>
              <w:keepNext w:val="0"/>
            </w:pPr>
            <w:r w:rsidRPr="001044FF">
              <w:t>Bacterial keratitis</w:t>
            </w:r>
          </w:p>
        </w:tc>
      </w:tr>
      <w:tr w:rsidR="00062D41" w:rsidRPr="001044FF" w14:paraId="45A95CEC" w14:textId="77777777" w:rsidTr="00CB4A02">
        <w:trPr>
          <w:cantSplit/>
        </w:trPr>
        <w:tc>
          <w:tcPr>
            <w:tcW w:w="1297" w:type="pct"/>
          </w:tcPr>
          <w:p w14:paraId="180F4EC0" w14:textId="407B896B" w:rsidR="00062D41" w:rsidRPr="001044FF" w:rsidRDefault="00C4331C" w:rsidP="00C4331C">
            <w:pPr>
              <w:pStyle w:val="TableText"/>
              <w:keepNext w:val="0"/>
            </w:pPr>
            <w:r w:rsidRPr="001044FF">
              <w:lastRenderedPageBreak/>
              <w:t>Ciprofloxacin, 0.3% ear drops</w:t>
            </w:r>
          </w:p>
        </w:tc>
        <w:tc>
          <w:tcPr>
            <w:tcW w:w="1421" w:type="pct"/>
          </w:tcPr>
          <w:p w14:paraId="1E4CD0A7" w14:textId="0E8F967D" w:rsidR="00062D41" w:rsidRPr="001044FF" w:rsidRDefault="00C4331C" w:rsidP="00C4331C">
            <w:pPr>
              <w:pStyle w:val="TableText"/>
              <w:keepNext w:val="0"/>
            </w:pPr>
            <w:r w:rsidRPr="001044FF">
              <w:t>2480M</w:t>
            </w:r>
            <w:r w:rsidR="00062D41" w:rsidRPr="001044FF">
              <w:t xml:space="preserve"> (MP, NP)</w:t>
            </w:r>
          </w:p>
        </w:tc>
        <w:tc>
          <w:tcPr>
            <w:tcW w:w="2282" w:type="pct"/>
          </w:tcPr>
          <w:p w14:paraId="03ED534A" w14:textId="77777777" w:rsidR="00062D41" w:rsidRPr="001044FF" w:rsidRDefault="00062D41" w:rsidP="00062D41">
            <w:pPr>
              <w:pStyle w:val="TableText"/>
              <w:keepNext w:val="0"/>
            </w:pPr>
            <w:r w:rsidRPr="001044FF">
              <w:t xml:space="preserve">Treatment of chronic </w:t>
            </w:r>
            <w:proofErr w:type="spellStart"/>
            <w:r w:rsidRPr="001044FF">
              <w:t>suppurative</w:t>
            </w:r>
            <w:proofErr w:type="spellEnd"/>
            <w:r w:rsidRPr="001044FF">
              <w:t xml:space="preserve"> otitis media in: </w:t>
            </w:r>
          </w:p>
          <w:p w14:paraId="42A0EF56" w14:textId="77777777" w:rsidR="00062D41" w:rsidRPr="001044FF" w:rsidRDefault="00062D41" w:rsidP="00062D41">
            <w:pPr>
              <w:pStyle w:val="TableBullet"/>
            </w:pPr>
            <w:r w:rsidRPr="001044FF">
              <w:t xml:space="preserve">an Aboriginal or a Torres Strait Islander person aged 1 month or older </w:t>
            </w:r>
          </w:p>
          <w:p w14:paraId="330A8B96" w14:textId="77777777" w:rsidR="00062D41" w:rsidRPr="001044FF" w:rsidRDefault="00062D41" w:rsidP="00062D41">
            <w:pPr>
              <w:pStyle w:val="TableBullet"/>
            </w:pPr>
            <w:r w:rsidRPr="001044FF">
              <w:t>a patient less than 18 years of age with perforation of the tympanic membrane</w:t>
            </w:r>
          </w:p>
          <w:p w14:paraId="3699CF10" w14:textId="77777777" w:rsidR="00062D41" w:rsidRPr="001044FF" w:rsidRDefault="00062D41" w:rsidP="00062D41">
            <w:pPr>
              <w:pStyle w:val="TableBullet"/>
            </w:pPr>
            <w:r w:rsidRPr="001044FF">
              <w:t>a patient less than 18 years of age with a grommet in situ</w:t>
            </w:r>
          </w:p>
        </w:tc>
      </w:tr>
      <w:tr w:rsidR="00062D41" w:rsidRPr="001044FF" w14:paraId="7AF82107" w14:textId="77777777" w:rsidTr="00CB4A02">
        <w:trPr>
          <w:cantSplit/>
        </w:trPr>
        <w:tc>
          <w:tcPr>
            <w:tcW w:w="1297" w:type="pct"/>
          </w:tcPr>
          <w:p w14:paraId="0D5EA7D9" w14:textId="4DAC84FC" w:rsidR="00062D41" w:rsidRPr="001044FF" w:rsidRDefault="00062D41" w:rsidP="00062D41">
            <w:pPr>
              <w:pStyle w:val="TableText"/>
              <w:keepNext w:val="0"/>
            </w:pPr>
            <w:proofErr w:type="spellStart"/>
            <w:r w:rsidRPr="001044FF">
              <w:t>Norfloxacin</w:t>
            </w:r>
            <w:proofErr w:type="spellEnd"/>
            <w:r w:rsidR="008D464F" w:rsidRPr="001044FF">
              <w:t>, 400 mg tablet</w:t>
            </w:r>
            <w:r w:rsidRPr="001044FF">
              <w:t xml:space="preserve"> </w:t>
            </w:r>
          </w:p>
        </w:tc>
        <w:tc>
          <w:tcPr>
            <w:tcW w:w="1421" w:type="pct"/>
          </w:tcPr>
          <w:p w14:paraId="0359E8B5" w14:textId="311026B1" w:rsidR="008D464F" w:rsidRPr="001044FF" w:rsidRDefault="008D464F" w:rsidP="00062D41">
            <w:pPr>
              <w:pStyle w:val="TableText"/>
              <w:keepNext w:val="0"/>
            </w:pPr>
            <w:r w:rsidRPr="001044FF">
              <w:t>3010K (MP, NP)</w:t>
            </w:r>
          </w:p>
        </w:tc>
        <w:tc>
          <w:tcPr>
            <w:tcW w:w="2282" w:type="pct"/>
          </w:tcPr>
          <w:p w14:paraId="5A2761EA" w14:textId="77777777" w:rsidR="00062D41" w:rsidRPr="001044FF" w:rsidRDefault="00062D41" w:rsidP="00CB4A02">
            <w:pPr>
              <w:pStyle w:val="TableBullet"/>
            </w:pPr>
            <w:r w:rsidRPr="001044FF">
              <w:t xml:space="preserve">Acute bacterial </w:t>
            </w:r>
            <w:proofErr w:type="spellStart"/>
            <w:r w:rsidRPr="001044FF">
              <w:t>enterocolitis</w:t>
            </w:r>
            <w:proofErr w:type="spellEnd"/>
          </w:p>
          <w:p w14:paraId="2B411610" w14:textId="33E43D81" w:rsidR="008D464F" w:rsidRPr="001044FF" w:rsidRDefault="008D464F" w:rsidP="00CB4A02">
            <w:pPr>
              <w:pStyle w:val="TableBullet"/>
            </w:pPr>
            <w:r w:rsidRPr="001044FF">
              <w:t>Complicated urinary tract infection</w:t>
            </w:r>
          </w:p>
        </w:tc>
      </w:tr>
      <w:tr w:rsidR="00062D41" w:rsidRPr="001044FF" w14:paraId="6C8348FC" w14:textId="77777777" w:rsidTr="00CB4A02">
        <w:trPr>
          <w:cantSplit/>
        </w:trPr>
        <w:tc>
          <w:tcPr>
            <w:tcW w:w="1297" w:type="pct"/>
          </w:tcPr>
          <w:p w14:paraId="52F5028D" w14:textId="717961B7" w:rsidR="00062D41" w:rsidRPr="001044FF" w:rsidRDefault="00062D41" w:rsidP="00D92052">
            <w:pPr>
              <w:pStyle w:val="TableText"/>
              <w:keepNext w:val="0"/>
            </w:pPr>
            <w:proofErr w:type="spellStart"/>
            <w:r w:rsidRPr="001044FF">
              <w:t>Ofloxacin</w:t>
            </w:r>
            <w:proofErr w:type="spellEnd"/>
            <w:r w:rsidR="00D92052" w:rsidRPr="001044FF">
              <w:t xml:space="preserve">, </w:t>
            </w:r>
            <w:r w:rsidRPr="001044FF">
              <w:t>0.3% eye drops</w:t>
            </w:r>
          </w:p>
        </w:tc>
        <w:tc>
          <w:tcPr>
            <w:tcW w:w="1421" w:type="pct"/>
          </w:tcPr>
          <w:p w14:paraId="059E8BAF" w14:textId="6BA4626C" w:rsidR="00062D41" w:rsidRPr="001044FF" w:rsidRDefault="00D92052" w:rsidP="00062D41">
            <w:pPr>
              <w:pStyle w:val="TableText"/>
              <w:keepNext w:val="0"/>
            </w:pPr>
            <w:r w:rsidRPr="001044FF">
              <w:t>5567B (OP),</w:t>
            </w:r>
            <w:r w:rsidR="00062D41" w:rsidRPr="001044FF">
              <w:t xml:space="preserve"> 8383F (MP)</w:t>
            </w:r>
          </w:p>
        </w:tc>
        <w:tc>
          <w:tcPr>
            <w:tcW w:w="2282" w:type="pct"/>
          </w:tcPr>
          <w:p w14:paraId="2E61799D" w14:textId="77777777" w:rsidR="00062D41" w:rsidRPr="001044FF" w:rsidRDefault="00062D41" w:rsidP="00062D41">
            <w:pPr>
              <w:pStyle w:val="TableText"/>
              <w:keepNext w:val="0"/>
            </w:pPr>
            <w:r w:rsidRPr="001044FF">
              <w:t>Bacterial keratitis</w:t>
            </w:r>
          </w:p>
        </w:tc>
      </w:tr>
      <w:tr w:rsidR="00062D41" w:rsidRPr="001044FF" w14:paraId="731CFF4A" w14:textId="77777777" w:rsidTr="00CB4A02">
        <w:trPr>
          <w:cantSplit/>
        </w:trPr>
        <w:tc>
          <w:tcPr>
            <w:tcW w:w="1297" w:type="pct"/>
          </w:tcPr>
          <w:p w14:paraId="5A2A34B4" w14:textId="131D372D" w:rsidR="00062D41" w:rsidRPr="001044FF" w:rsidRDefault="00D92052" w:rsidP="00D92052">
            <w:pPr>
              <w:pStyle w:val="TableText"/>
              <w:keepNext w:val="0"/>
            </w:pPr>
            <w:proofErr w:type="spellStart"/>
            <w:r w:rsidRPr="001044FF">
              <w:t>Rifaximin</w:t>
            </w:r>
            <w:proofErr w:type="spellEnd"/>
            <w:r w:rsidRPr="001044FF">
              <w:t xml:space="preserve">, </w:t>
            </w:r>
            <w:r w:rsidR="00062D41" w:rsidRPr="001044FF">
              <w:t>550 mg tablet</w:t>
            </w:r>
          </w:p>
        </w:tc>
        <w:tc>
          <w:tcPr>
            <w:tcW w:w="1421" w:type="pct"/>
          </w:tcPr>
          <w:p w14:paraId="2396AAE4" w14:textId="77777777" w:rsidR="00062D41" w:rsidRPr="001044FF" w:rsidRDefault="00062D41" w:rsidP="00062D41">
            <w:pPr>
              <w:pStyle w:val="TableText"/>
              <w:keepNext w:val="0"/>
            </w:pPr>
            <w:r w:rsidRPr="001044FF">
              <w:t>10001J (MP)</w:t>
            </w:r>
          </w:p>
        </w:tc>
        <w:tc>
          <w:tcPr>
            <w:tcW w:w="2282" w:type="pct"/>
          </w:tcPr>
          <w:p w14:paraId="6626A1E0" w14:textId="77777777" w:rsidR="00062D41" w:rsidRPr="001044FF" w:rsidRDefault="00062D41" w:rsidP="00062D41">
            <w:pPr>
              <w:pStyle w:val="TableText"/>
              <w:keepNext w:val="0"/>
            </w:pPr>
            <w:r w:rsidRPr="001044FF">
              <w:t>Prevention of hepatic encephalopathy</w:t>
            </w:r>
          </w:p>
        </w:tc>
      </w:tr>
      <w:tr w:rsidR="00062D41" w:rsidRPr="001044FF" w14:paraId="0120C50D" w14:textId="77777777" w:rsidTr="00CB4A02">
        <w:trPr>
          <w:cantSplit/>
        </w:trPr>
        <w:tc>
          <w:tcPr>
            <w:tcW w:w="1297" w:type="pct"/>
          </w:tcPr>
          <w:p w14:paraId="1C53FADF" w14:textId="3200EAB2" w:rsidR="00062D41" w:rsidRPr="001044FF" w:rsidRDefault="00062D41" w:rsidP="00D92052">
            <w:pPr>
              <w:pStyle w:val="TableText"/>
              <w:keepNext w:val="0"/>
            </w:pPr>
            <w:proofErr w:type="spellStart"/>
            <w:r w:rsidRPr="001044FF">
              <w:t>Vancomycin</w:t>
            </w:r>
            <w:proofErr w:type="spellEnd"/>
            <w:r w:rsidR="00D92052" w:rsidRPr="001044FF">
              <w:t xml:space="preserve">, </w:t>
            </w:r>
            <w:r w:rsidRPr="001044FF">
              <w:t>125 mg capsule</w:t>
            </w:r>
            <w:r w:rsidR="00D92052" w:rsidRPr="001044FF">
              <w:t xml:space="preserve">, </w:t>
            </w:r>
            <w:r w:rsidRPr="001044FF">
              <w:t>250 mg capsule</w:t>
            </w:r>
          </w:p>
        </w:tc>
        <w:tc>
          <w:tcPr>
            <w:tcW w:w="1421" w:type="pct"/>
          </w:tcPr>
          <w:p w14:paraId="17AA7384" w14:textId="77777777" w:rsidR="00062D41" w:rsidRPr="001044FF" w:rsidRDefault="00062D41" w:rsidP="00062D41">
            <w:pPr>
              <w:pStyle w:val="TableText"/>
              <w:keepNext w:val="0"/>
            </w:pPr>
            <w:r w:rsidRPr="001044FF">
              <w:t>3113W, 3114X (MP)</w:t>
            </w:r>
          </w:p>
        </w:tc>
        <w:tc>
          <w:tcPr>
            <w:tcW w:w="2282" w:type="pct"/>
          </w:tcPr>
          <w:p w14:paraId="011E43EE" w14:textId="4CD261D1" w:rsidR="00062D41" w:rsidRPr="001044FF" w:rsidRDefault="00062D41" w:rsidP="00763F99">
            <w:pPr>
              <w:pStyle w:val="TableText"/>
              <w:keepNext w:val="0"/>
            </w:pPr>
            <w:r w:rsidRPr="001044FF">
              <w:t>Antibiotic</w:t>
            </w:r>
            <w:r w:rsidR="00763F99" w:rsidRPr="001044FF">
              <w:t>-</w:t>
            </w:r>
            <w:r w:rsidRPr="001044FF">
              <w:t xml:space="preserve">associated pseudomembranous colitis due to </w:t>
            </w:r>
            <w:r w:rsidRPr="001044FF">
              <w:rPr>
                <w:i/>
              </w:rPr>
              <w:t>Clostridium difficile</w:t>
            </w:r>
            <w:r w:rsidRPr="001044FF">
              <w:t xml:space="preserve"> which is unresponsive to metronidazole or where there is intolerance to metronidazole</w:t>
            </w:r>
          </w:p>
        </w:tc>
      </w:tr>
    </w:tbl>
    <w:p w14:paraId="5FCCB452" w14:textId="6C1D1143" w:rsidR="00062D41" w:rsidRPr="001044FF" w:rsidRDefault="00062D41" w:rsidP="00062D41">
      <w:pPr>
        <w:pStyle w:val="TFAbbrevsSpace"/>
      </w:pPr>
      <w:r w:rsidRPr="001044FF">
        <w:t xml:space="preserve">MP: </w:t>
      </w:r>
      <w:r w:rsidR="00EF3BAD" w:rsidRPr="001044FF">
        <w:t>m</w:t>
      </w:r>
      <w:r w:rsidRPr="001044FF">
        <w:t xml:space="preserve">edical </w:t>
      </w:r>
      <w:r w:rsidR="00EF3BAD" w:rsidRPr="001044FF">
        <w:t>p</w:t>
      </w:r>
      <w:r w:rsidRPr="001044FF">
        <w:t xml:space="preserve">ractitioner; </w:t>
      </w:r>
      <w:r w:rsidR="00763F99" w:rsidRPr="001044FF">
        <w:t xml:space="preserve">NP: nurse practitioner; </w:t>
      </w:r>
      <w:r w:rsidRPr="001044FF">
        <w:t>OP: optometrist</w:t>
      </w:r>
    </w:p>
    <w:p w14:paraId="398AA076" w14:textId="163A9C45" w:rsidR="00BC0B34" w:rsidRPr="001044FF" w:rsidRDefault="00BC0B34" w:rsidP="00BC0B34">
      <w:pPr>
        <w:pStyle w:val="Heading2"/>
      </w:pPr>
      <w:r w:rsidRPr="001044FF">
        <w:t>S100 Highly Specialised Drugs Program</w:t>
      </w:r>
    </w:p>
    <w:tbl>
      <w:tblPr>
        <w:tblStyle w:val="TableGrid"/>
        <w:tblW w:w="5000" w:type="pct"/>
        <w:tblLook w:val="04A0" w:firstRow="1" w:lastRow="0" w:firstColumn="1" w:lastColumn="0" w:noHBand="0" w:noVBand="1"/>
      </w:tblPr>
      <w:tblGrid>
        <w:gridCol w:w="2397"/>
        <w:gridCol w:w="2627"/>
        <w:gridCol w:w="4218"/>
      </w:tblGrid>
      <w:tr w:rsidR="00062D41" w:rsidRPr="001044FF" w14:paraId="328E60AE" w14:textId="77777777" w:rsidTr="00062D41">
        <w:tc>
          <w:tcPr>
            <w:tcW w:w="1297" w:type="pct"/>
          </w:tcPr>
          <w:p w14:paraId="38E3CD00" w14:textId="5F65CE47" w:rsidR="00062D41" w:rsidRPr="001044FF" w:rsidRDefault="00062D41" w:rsidP="00062D41">
            <w:pPr>
              <w:pStyle w:val="TableHeading"/>
            </w:pPr>
            <w:r w:rsidRPr="001044FF">
              <w:t>Drug</w:t>
            </w:r>
          </w:p>
        </w:tc>
        <w:tc>
          <w:tcPr>
            <w:tcW w:w="1421" w:type="pct"/>
          </w:tcPr>
          <w:p w14:paraId="163C4940" w14:textId="5FA767C9" w:rsidR="00062D41" w:rsidRPr="001044FF" w:rsidRDefault="00062D41" w:rsidP="00062D41">
            <w:pPr>
              <w:pStyle w:val="TableHeading"/>
            </w:pPr>
            <w:r w:rsidRPr="001044FF">
              <w:t>Item details</w:t>
            </w:r>
          </w:p>
        </w:tc>
        <w:tc>
          <w:tcPr>
            <w:tcW w:w="2282" w:type="pct"/>
          </w:tcPr>
          <w:p w14:paraId="21D2E455" w14:textId="34457CBC" w:rsidR="00062D41" w:rsidRPr="001044FF" w:rsidRDefault="00062D41" w:rsidP="00062D41">
            <w:pPr>
              <w:pStyle w:val="TableHeading"/>
            </w:pPr>
            <w:r w:rsidRPr="001044FF">
              <w:t>Restriction</w:t>
            </w:r>
          </w:p>
        </w:tc>
      </w:tr>
      <w:tr w:rsidR="00062D41" w:rsidRPr="001044FF" w14:paraId="443D3623" w14:textId="77777777" w:rsidTr="00062D41">
        <w:tc>
          <w:tcPr>
            <w:tcW w:w="1297" w:type="pct"/>
          </w:tcPr>
          <w:p w14:paraId="4A1800EC" w14:textId="140B932F" w:rsidR="00062D41" w:rsidRPr="001044FF" w:rsidRDefault="00062D41" w:rsidP="00D92052">
            <w:pPr>
              <w:pStyle w:val="TableText"/>
              <w:keepNext w:val="0"/>
            </w:pPr>
            <w:r w:rsidRPr="001044FF">
              <w:t>Clarithromycin</w:t>
            </w:r>
            <w:r w:rsidR="00D92052" w:rsidRPr="001044FF">
              <w:t xml:space="preserve">, </w:t>
            </w:r>
            <w:r w:rsidRPr="001044FF">
              <w:t>250 mg tablet</w:t>
            </w:r>
            <w:r w:rsidR="00D92052" w:rsidRPr="001044FF">
              <w:t xml:space="preserve">, </w:t>
            </w:r>
            <w:r w:rsidRPr="001044FF">
              <w:t>500 mg tablet</w:t>
            </w:r>
          </w:p>
        </w:tc>
        <w:tc>
          <w:tcPr>
            <w:tcW w:w="1421" w:type="pct"/>
          </w:tcPr>
          <w:p w14:paraId="15E83B8C" w14:textId="4572CA3D" w:rsidR="00062D41" w:rsidRPr="001044FF" w:rsidRDefault="00062D41" w:rsidP="00C4331C">
            <w:pPr>
              <w:pStyle w:val="TableBullet"/>
            </w:pPr>
            <w:r w:rsidRPr="001044FF">
              <w:t>6151R, 6152T (private hospital, Auth</w:t>
            </w:r>
            <w:r w:rsidR="00D92052" w:rsidRPr="001044FF">
              <w:t>ority Required) (MP)</w:t>
            </w:r>
          </w:p>
          <w:p w14:paraId="2470A280" w14:textId="5B951844" w:rsidR="00062D41" w:rsidRPr="001044FF" w:rsidRDefault="00062D41" w:rsidP="00C4331C">
            <w:pPr>
              <w:pStyle w:val="TableBullet"/>
            </w:pPr>
            <w:r w:rsidRPr="001044FF">
              <w:t>5624B, 5625C (public hospital, Authority Required (STREAMLINED) (MP)</w:t>
            </w:r>
          </w:p>
        </w:tc>
        <w:tc>
          <w:tcPr>
            <w:tcW w:w="2282" w:type="pct"/>
          </w:tcPr>
          <w:p w14:paraId="54726944" w14:textId="3EB35C36" w:rsidR="00062D41" w:rsidRPr="001044FF" w:rsidRDefault="00062D41" w:rsidP="00C4331C">
            <w:pPr>
              <w:pStyle w:val="TableText"/>
              <w:keepNext w:val="0"/>
            </w:pPr>
            <w:r w:rsidRPr="001044FF">
              <w:t xml:space="preserve">Treatment of </w:t>
            </w:r>
            <w:r w:rsidRPr="001044FF">
              <w:rPr>
                <w:i/>
              </w:rPr>
              <w:t xml:space="preserve">Mycobacterium </w:t>
            </w:r>
            <w:proofErr w:type="spellStart"/>
            <w:r w:rsidRPr="001044FF">
              <w:rPr>
                <w:i/>
              </w:rPr>
              <w:t>avium</w:t>
            </w:r>
            <w:proofErr w:type="spellEnd"/>
            <w:r w:rsidRPr="001044FF">
              <w:t xml:space="preserve"> complex infections (higher quantity than other listings) </w:t>
            </w:r>
          </w:p>
        </w:tc>
      </w:tr>
      <w:tr w:rsidR="00062D41" w:rsidRPr="001044FF" w14:paraId="31282148" w14:textId="77777777" w:rsidTr="00062D41">
        <w:tc>
          <w:tcPr>
            <w:tcW w:w="1297" w:type="pct"/>
          </w:tcPr>
          <w:p w14:paraId="2DE1E664" w14:textId="5541E257" w:rsidR="00062D41" w:rsidRPr="001044FF" w:rsidRDefault="00062D41" w:rsidP="00D92052">
            <w:pPr>
              <w:pStyle w:val="TableText"/>
              <w:keepNext w:val="0"/>
            </w:pPr>
            <w:r w:rsidRPr="001044FF">
              <w:t>Azithromycin</w:t>
            </w:r>
            <w:r w:rsidR="00D92052" w:rsidRPr="001044FF">
              <w:t xml:space="preserve">, </w:t>
            </w:r>
            <w:r w:rsidRPr="001044FF">
              <w:t>600 mg tablet</w:t>
            </w:r>
          </w:p>
        </w:tc>
        <w:tc>
          <w:tcPr>
            <w:tcW w:w="1421" w:type="pct"/>
          </w:tcPr>
          <w:p w14:paraId="4E50533C" w14:textId="2C03FB07" w:rsidR="00062D41" w:rsidRPr="001044FF" w:rsidRDefault="00062D41" w:rsidP="00C4331C">
            <w:pPr>
              <w:pStyle w:val="TableBullet"/>
            </w:pPr>
            <w:r w:rsidRPr="001044FF">
              <w:t>6221K (privat</w:t>
            </w:r>
            <w:r w:rsidR="00C4331C" w:rsidRPr="001044FF">
              <w:t>e hospital, Authority Required) (MP)</w:t>
            </w:r>
            <w:r w:rsidRPr="001044FF">
              <w:t xml:space="preserve"> </w:t>
            </w:r>
          </w:p>
          <w:p w14:paraId="65D27658" w14:textId="2FC1F3D1" w:rsidR="00062D41" w:rsidRPr="001044FF" w:rsidRDefault="00062D41" w:rsidP="00C4331C">
            <w:pPr>
              <w:pStyle w:val="TableBullet"/>
            </w:pPr>
            <w:r w:rsidRPr="001044FF">
              <w:t>5616N (public hospital, Authority Required (STREAMLINED) (MP)</w:t>
            </w:r>
          </w:p>
        </w:tc>
        <w:tc>
          <w:tcPr>
            <w:tcW w:w="2282" w:type="pct"/>
          </w:tcPr>
          <w:p w14:paraId="5612FAB0" w14:textId="77777777" w:rsidR="00062D41" w:rsidRPr="001044FF" w:rsidRDefault="00062D41" w:rsidP="00062D41">
            <w:pPr>
              <w:pStyle w:val="TableText"/>
              <w:keepNext w:val="0"/>
            </w:pPr>
            <w:r w:rsidRPr="001044FF">
              <w:t xml:space="preserve">Prophylaxis against </w:t>
            </w:r>
            <w:r w:rsidRPr="001044FF">
              <w:rPr>
                <w:i/>
              </w:rPr>
              <w:t xml:space="preserve">Mycobacterium </w:t>
            </w:r>
            <w:proofErr w:type="spellStart"/>
            <w:r w:rsidRPr="001044FF">
              <w:rPr>
                <w:i/>
              </w:rPr>
              <w:t>avium</w:t>
            </w:r>
            <w:proofErr w:type="spellEnd"/>
            <w:r w:rsidRPr="001044FF">
              <w:t xml:space="preserve"> complex infections in HIV-positive patients with CD4 cell counts of less than 75 per cubic millimetre (higher quantity than other listings)</w:t>
            </w:r>
          </w:p>
        </w:tc>
      </w:tr>
    </w:tbl>
    <w:p w14:paraId="7A0C294A" w14:textId="64982A09" w:rsidR="00791B7B" w:rsidRPr="001044FF" w:rsidRDefault="00C841AA" w:rsidP="00C841AA">
      <w:pPr>
        <w:pStyle w:val="TFAbbrevsSpace"/>
      </w:pPr>
      <w:r w:rsidRPr="001044FF">
        <w:t xml:space="preserve">MP: </w:t>
      </w:r>
      <w:r w:rsidR="00EF3BAD" w:rsidRPr="001044FF">
        <w:t>m</w:t>
      </w:r>
      <w:r w:rsidRPr="001044FF">
        <w:t xml:space="preserve">edical </w:t>
      </w:r>
      <w:r w:rsidR="00EF3BAD" w:rsidRPr="001044FF">
        <w:t>p</w:t>
      </w:r>
      <w:r w:rsidRPr="001044FF">
        <w:t>ractitioner</w:t>
      </w:r>
    </w:p>
    <w:p w14:paraId="3F98E8E7" w14:textId="77777777" w:rsidR="00791B7B" w:rsidRPr="001044FF" w:rsidRDefault="00791B7B" w:rsidP="00791B7B"/>
    <w:sectPr w:rsidR="00791B7B" w:rsidRPr="001044FF" w:rsidSect="00EF3BA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440" w:right="1440" w:bottom="1440" w:left="1440" w:header="576" w:footer="57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FAE21D" w15:done="0"/>
  <w15:commentEx w15:paraId="79B51126" w15:done="0"/>
  <w15:commentEx w15:paraId="6BA30E07" w15:done="0"/>
  <w15:commentEx w15:paraId="3AF61609" w15:done="0"/>
  <w15:commentEx w15:paraId="682BCAD8" w15:done="0"/>
  <w15:commentEx w15:paraId="7311B4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1E204" w14:textId="77777777" w:rsidR="008E72AA" w:rsidRDefault="008E72AA">
      <w:pPr>
        <w:spacing w:after="0"/>
      </w:pPr>
      <w:r>
        <w:separator/>
      </w:r>
    </w:p>
  </w:endnote>
  <w:endnote w:type="continuationSeparator" w:id="0">
    <w:p w14:paraId="6A14DBFB" w14:textId="77777777" w:rsidR="008E72AA" w:rsidRDefault="008E7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B94A" w14:textId="77777777" w:rsidR="009E7FB5" w:rsidRDefault="009E7FB5" w:rsidP="00D263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824DCF" w14:textId="77777777" w:rsidR="009E7FB5" w:rsidRDefault="009E7FB5" w:rsidP="001404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3F079" w14:textId="2928E599" w:rsidR="009E7FB5" w:rsidRPr="00EF3BAD" w:rsidRDefault="00EF3BAD" w:rsidP="00140413">
    <w:pPr>
      <w:pStyle w:val="Footer"/>
      <w:ind w:right="360"/>
      <w:rPr>
        <w:rFonts w:asciiTheme="minorHAnsi" w:hAnsiTheme="minorHAnsi"/>
        <w:sz w:val="18"/>
        <w:szCs w:val="18"/>
      </w:rPr>
    </w:pPr>
    <w:r w:rsidRPr="00EF3BAD">
      <w:rPr>
        <w:rFonts w:asciiTheme="minorHAnsi" w:hAnsiTheme="minorHAnsi"/>
        <w:sz w:val="18"/>
        <w:szCs w:val="18"/>
      </w:rPr>
      <w:t>Antibiotics Roundtable Outcomes Statement</w:t>
    </w:r>
    <w:r w:rsidRPr="00EF3BAD">
      <w:rPr>
        <w:rFonts w:asciiTheme="minorHAnsi" w:hAnsiTheme="minorHAnsi"/>
        <w:sz w:val="18"/>
        <w:szCs w:val="18"/>
      </w:rPr>
      <w:tab/>
    </w:r>
    <w:r w:rsidRPr="00EF3BAD">
      <w:rPr>
        <w:rStyle w:val="PageNumber"/>
        <w:rFonts w:asciiTheme="minorHAnsi" w:hAnsiTheme="minorHAnsi"/>
        <w:b w:val="0"/>
        <w:sz w:val="18"/>
        <w:szCs w:val="18"/>
      </w:rPr>
      <w:fldChar w:fldCharType="begin"/>
    </w:r>
    <w:r w:rsidRPr="00EF3BAD">
      <w:rPr>
        <w:rStyle w:val="PageNumber"/>
        <w:rFonts w:asciiTheme="minorHAnsi" w:hAnsiTheme="minorHAnsi"/>
        <w:b w:val="0"/>
        <w:sz w:val="18"/>
        <w:szCs w:val="18"/>
      </w:rPr>
      <w:instrText xml:space="preserve"> PAGE </w:instrText>
    </w:r>
    <w:r w:rsidRPr="00EF3BAD">
      <w:rPr>
        <w:rStyle w:val="PageNumber"/>
        <w:rFonts w:asciiTheme="minorHAnsi" w:hAnsiTheme="minorHAnsi"/>
        <w:b w:val="0"/>
        <w:sz w:val="18"/>
        <w:szCs w:val="18"/>
      </w:rPr>
      <w:fldChar w:fldCharType="separate"/>
    </w:r>
    <w:r w:rsidR="00BD283B">
      <w:rPr>
        <w:rStyle w:val="PageNumber"/>
        <w:rFonts w:asciiTheme="minorHAnsi" w:hAnsiTheme="minorHAnsi"/>
        <w:b w:val="0"/>
        <w:noProof/>
        <w:sz w:val="18"/>
        <w:szCs w:val="18"/>
      </w:rPr>
      <w:t>12</w:t>
    </w:r>
    <w:r w:rsidRPr="00EF3BAD">
      <w:rPr>
        <w:rStyle w:val="PageNumber"/>
        <w:rFonts w:asciiTheme="minorHAnsi" w:hAnsiTheme="minorHAnsi"/>
        <w:b w:val="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61FC2" w14:textId="77777777" w:rsidR="009E7FB5" w:rsidRDefault="009E7FB5" w:rsidP="00140413">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EADB9" w14:textId="77777777" w:rsidR="008E72AA" w:rsidRDefault="008E72AA">
      <w:pPr>
        <w:spacing w:after="0"/>
      </w:pPr>
      <w:r>
        <w:separator/>
      </w:r>
    </w:p>
  </w:footnote>
  <w:footnote w:type="continuationSeparator" w:id="0">
    <w:p w14:paraId="778667FF" w14:textId="77777777" w:rsidR="008E72AA" w:rsidRDefault="008E72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CEDE4" w14:textId="77777777" w:rsidR="000A4567" w:rsidRDefault="000A4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15D4E" w14:textId="43610831" w:rsidR="000A4567" w:rsidRDefault="000A4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ED62C" w14:textId="77777777" w:rsidR="000A4567" w:rsidRDefault="000A4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6BED4"/>
    <w:lvl w:ilvl="0">
      <w:start w:val="1"/>
      <w:numFmt w:val="decimal"/>
      <w:lvlText w:val="%1."/>
      <w:lvlJc w:val="left"/>
      <w:pPr>
        <w:tabs>
          <w:tab w:val="num" w:pos="1492"/>
        </w:tabs>
        <w:ind w:left="1492" w:hanging="360"/>
      </w:pPr>
    </w:lvl>
  </w:abstractNum>
  <w:abstractNum w:abstractNumId="2">
    <w:nsid w:val="FFFFFF7D"/>
    <w:multiLevelType w:val="singleLevel"/>
    <w:tmpl w:val="1EAC1CB8"/>
    <w:lvl w:ilvl="0">
      <w:start w:val="1"/>
      <w:numFmt w:val="decimal"/>
      <w:lvlText w:val="%1."/>
      <w:lvlJc w:val="left"/>
      <w:pPr>
        <w:tabs>
          <w:tab w:val="num" w:pos="1209"/>
        </w:tabs>
        <w:ind w:left="1209" w:hanging="360"/>
      </w:pPr>
    </w:lvl>
  </w:abstractNum>
  <w:abstractNum w:abstractNumId="3">
    <w:nsid w:val="FFFFFF7E"/>
    <w:multiLevelType w:val="singleLevel"/>
    <w:tmpl w:val="3E9C713A"/>
    <w:lvl w:ilvl="0">
      <w:start w:val="1"/>
      <w:numFmt w:val="decimal"/>
      <w:lvlText w:val="%1."/>
      <w:lvlJc w:val="left"/>
      <w:pPr>
        <w:tabs>
          <w:tab w:val="num" w:pos="926"/>
        </w:tabs>
        <w:ind w:left="926" w:hanging="360"/>
      </w:pPr>
    </w:lvl>
  </w:abstractNum>
  <w:abstractNum w:abstractNumId="4">
    <w:nsid w:val="FFFFFF7F"/>
    <w:multiLevelType w:val="singleLevel"/>
    <w:tmpl w:val="815641AE"/>
    <w:lvl w:ilvl="0">
      <w:start w:val="1"/>
      <w:numFmt w:val="decimal"/>
      <w:lvlText w:val="%1."/>
      <w:lvlJc w:val="left"/>
      <w:pPr>
        <w:tabs>
          <w:tab w:val="num" w:pos="643"/>
        </w:tabs>
        <w:ind w:left="643" w:hanging="360"/>
      </w:pPr>
    </w:lvl>
  </w:abstractNum>
  <w:abstractNum w:abstractNumId="5">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63BAC"/>
    <w:lvl w:ilvl="0">
      <w:start w:val="1"/>
      <w:numFmt w:val="decimal"/>
      <w:lvlText w:val="%1."/>
      <w:lvlJc w:val="left"/>
      <w:pPr>
        <w:tabs>
          <w:tab w:val="num" w:pos="360"/>
        </w:tabs>
        <w:ind w:left="360" w:hanging="360"/>
      </w:pPr>
    </w:lvl>
  </w:abstractNum>
  <w:abstractNum w:abstractNumId="1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9687AF0"/>
    <w:multiLevelType w:val="hybridMultilevel"/>
    <w:tmpl w:val="2630450A"/>
    <w:lvl w:ilvl="0" w:tplc="060C6EE4">
      <w:start w:val="1"/>
      <w:numFmt w:val="decimal"/>
      <w:lvlText w:val="%1."/>
      <w:lvlJc w:val="left"/>
      <w:pPr>
        <w:tabs>
          <w:tab w:val="num" w:pos="720"/>
        </w:tabs>
        <w:ind w:left="720" w:hanging="360"/>
      </w:pPr>
    </w:lvl>
    <w:lvl w:ilvl="1" w:tplc="BFD28A30" w:tentative="1">
      <w:start w:val="1"/>
      <w:numFmt w:val="decimal"/>
      <w:lvlText w:val="%2."/>
      <w:lvlJc w:val="left"/>
      <w:pPr>
        <w:tabs>
          <w:tab w:val="num" w:pos="1440"/>
        </w:tabs>
        <w:ind w:left="1440" w:hanging="360"/>
      </w:pPr>
    </w:lvl>
    <w:lvl w:ilvl="2" w:tplc="E18A0E10" w:tentative="1">
      <w:start w:val="1"/>
      <w:numFmt w:val="decimal"/>
      <w:lvlText w:val="%3."/>
      <w:lvlJc w:val="left"/>
      <w:pPr>
        <w:tabs>
          <w:tab w:val="num" w:pos="2160"/>
        </w:tabs>
        <w:ind w:left="2160" w:hanging="360"/>
      </w:pPr>
    </w:lvl>
    <w:lvl w:ilvl="3" w:tplc="EF8C4FA6" w:tentative="1">
      <w:start w:val="1"/>
      <w:numFmt w:val="decimal"/>
      <w:lvlText w:val="%4."/>
      <w:lvlJc w:val="left"/>
      <w:pPr>
        <w:tabs>
          <w:tab w:val="num" w:pos="2880"/>
        </w:tabs>
        <w:ind w:left="2880" w:hanging="360"/>
      </w:pPr>
    </w:lvl>
    <w:lvl w:ilvl="4" w:tplc="F24C139E" w:tentative="1">
      <w:start w:val="1"/>
      <w:numFmt w:val="decimal"/>
      <w:lvlText w:val="%5."/>
      <w:lvlJc w:val="left"/>
      <w:pPr>
        <w:tabs>
          <w:tab w:val="num" w:pos="3600"/>
        </w:tabs>
        <w:ind w:left="3600" w:hanging="360"/>
      </w:pPr>
    </w:lvl>
    <w:lvl w:ilvl="5" w:tplc="18745BD6" w:tentative="1">
      <w:start w:val="1"/>
      <w:numFmt w:val="decimal"/>
      <w:lvlText w:val="%6."/>
      <w:lvlJc w:val="left"/>
      <w:pPr>
        <w:tabs>
          <w:tab w:val="num" w:pos="4320"/>
        </w:tabs>
        <w:ind w:left="4320" w:hanging="360"/>
      </w:pPr>
    </w:lvl>
    <w:lvl w:ilvl="6" w:tplc="734824EE" w:tentative="1">
      <w:start w:val="1"/>
      <w:numFmt w:val="decimal"/>
      <w:lvlText w:val="%7."/>
      <w:lvlJc w:val="left"/>
      <w:pPr>
        <w:tabs>
          <w:tab w:val="num" w:pos="5040"/>
        </w:tabs>
        <w:ind w:left="5040" w:hanging="360"/>
      </w:pPr>
    </w:lvl>
    <w:lvl w:ilvl="7" w:tplc="251A9CD0" w:tentative="1">
      <w:start w:val="1"/>
      <w:numFmt w:val="decimal"/>
      <w:lvlText w:val="%8."/>
      <w:lvlJc w:val="left"/>
      <w:pPr>
        <w:tabs>
          <w:tab w:val="num" w:pos="5760"/>
        </w:tabs>
        <w:ind w:left="5760" w:hanging="360"/>
      </w:pPr>
    </w:lvl>
    <w:lvl w:ilvl="8" w:tplc="64F6C77E" w:tentative="1">
      <w:start w:val="1"/>
      <w:numFmt w:val="decimal"/>
      <w:lvlText w:val="%9."/>
      <w:lvlJc w:val="left"/>
      <w:pPr>
        <w:tabs>
          <w:tab w:val="num" w:pos="6480"/>
        </w:tabs>
        <w:ind w:left="6480" w:hanging="360"/>
      </w:pPr>
    </w:lvl>
  </w:abstractNum>
  <w:abstractNum w:abstractNumId="2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7FB2F01"/>
    <w:multiLevelType w:val="hybridMultilevel"/>
    <w:tmpl w:val="00E0D916"/>
    <w:lvl w:ilvl="0" w:tplc="DD4C4864">
      <w:start w:val="7"/>
      <w:numFmt w:val="decimal"/>
      <w:lvlText w:val="%1."/>
      <w:lvlJc w:val="left"/>
      <w:pPr>
        <w:tabs>
          <w:tab w:val="num" w:pos="720"/>
        </w:tabs>
        <w:ind w:left="720" w:hanging="360"/>
      </w:pPr>
    </w:lvl>
    <w:lvl w:ilvl="1" w:tplc="7EBC98F6" w:tentative="1">
      <w:start w:val="1"/>
      <w:numFmt w:val="decimal"/>
      <w:lvlText w:val="%2."/>
      <w:lvlJc w:val="left"/>
      <w:pPr>
        <w:tabs>
          <w:tab w:val="num" w:pos="1440"/>
        </w:tabs>
        <w:ind w:left="1440" w:hanging="360"/>
      </w:pPr>
    </w:lvl>
    <w:lvl w:ilvl="2" w:tplc="B55E441A" w:tentative="1">
      <w:start w:val="1"/>
      <w:numFmt w:val="decimal"/>
      <w:lvlText w:val="%3."/>
      <w:lvlJc w:val="left"/>
      <w:pPr>
        <w:tabs>
          <w:tab w:val="num" w:pos="2160"/>
        </w:tabs>
        <w:ind w:left="2160" w:hanging="360"/>
      </w:pPr>
    </w:lvl>
    <w:lvl w:ilvl="3" w:tplc="3064D028" w:tentative="1">
      <w:start w:val="1"/>
      <w:numFmt w:val="decimal"/>
      <w:lvlText w:val="%4."/>
      <w:lvlJc w:val="left"/>
      <w:pPr>
        <w:tabs>
          <w:tab w:val="num" w:pos="2880"/>
        </w:tabs>
        <w:ind w:left="2880" w:hanging="360"/>
      </w:pPr>
    </w:lvl>
    <w:lvl w:ilvl="4" w:tplc="42ECBF6A" w:tentative="1">
      <w:start w:val="1"/>
      <w:numFmt w:val="decimal"/>
      <w:lvlText w:val="%5."/>
      <w:lvlJc w:val="left"/>
      <w:pPr>
        <w:tabs>
          <w:tab w:val="num" w:pos="3600"/>
        </w:tabs>
        <w:ind w:left="3600" w:hanging="360"/>
      </w:pPr>
    </w:lvl>
    <w:lvl w:ilvl="5" w:tplc="CADE52C8" w:tentative="1">
      <w:start w:val="1"/>
      <w:numFmt w:val="decimal"/>
      <w:lvlText w:val="%6."/>
      <w:lvlJc w:val="left"/>
      <w:pPr>
        <w:tabs>
          <w:tab w:val="num" w:pos="4320"/>
        </w:tabs>
        <w:ind w:left="4320" w:hanging="360"/>
      </w:pPr>
    </w:lvl>
    <w:lvl w:ilvl="6" w:tplc="3128321C" w:tentative="1">
      <w:start w:val="1"/>
      <w:numFmt w:val="decimal"/>
      <w:lvlText w:val="%7."/>
      <w:lvlJc w:val="left"/>
      <w:pPr>
        <w:tabs>
          <w:tab w:val="num" w:pos="5040"/>
        </w:tabs>
        <w:ind w:left="5040" w:hanging="360"/>
      </w:pPr>
    </w:lvl>
    <w:lvl w:ilvl="7" w:tplc="AA368E2C" w:tentative="1">
      <w:start w:val="1"/>
      <w:numFmt w:val="decimal"/>
      <w:lvlText w:val="%8."/>
      <w:lvlJc w:val="left"/>
      <w:pPr>
        <w:tabs>
          <w:tab w:val="num" w:pos="5760"/>
        </w:tabs>
        <w:ind w:left="5760" w:hanging="360"/>
      </w:pPr>
    </w:lvl>
    <w:lvl w:ilvl="8" w:tplc="A2E00A34" w:tentative="1">
      <w:start w:val="1"/>
      <w:numFmt w:val="decimal"/>
      <w:lvlText w:val="%9."/>
      <w:lvlJc w:val="left"/>
      <w:pPr>
        <w:tabs>
          <w:tab w:val="num" w:pos="6480"/>
        </w:tabs>
        <w:ind w:left="6480" w:hanging="360"/>
      </w:pPr>
    </w:lvl>
  </w:abstractNum>
  <w:abstractNum w:abstractNumId="22">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D057F"/>
    <w:multiLevelType w:val="hybridMultilevel"/>
    <w:tmpl w:val="B3D46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85824DB"/>
    <w:multiLevelType w:val="hybridMultilevel"/>
    <w:tmpl w:val="3A041DC8"/>
    <w:lvl w:ilvl="0" w:tplc="F2FA19EE">
      <w:start w:val="1"/>
      <w:numFmt w:val="bullet"/>
      <w:lvlText w:val="•"/>
      <w:lvlJc w:val="left"/>
      <w:pPr>
        <w:tabs>
          <w:tab w:val="num" w:pos="720"/>
        </w:tabs>
        <w:ind w:left="720" w:hanging="360"/>
      </w:pPr>
      <w:rPr>
        <w:rFonts w:ascii="Arial" w:hAnsi="Arial" w:hint="default"/>
      </w:rPr>
    </w:lvl>
    <w:lvl w:ilvl="1" w:tplc="38661224">
      <w:start w:val="1"/>
      <w:numFmt w:val="bullet"/>
      <w:lvlText w:val="•"/>
      <w:lvlJc w:val="left"/>
      <w:pPr>
        <w:tabs>
          <w:tab w:val="num" w:pos="1440"/>
        </w:tabs>
        <w:ind w:left="1440" w:hanging="360"/>
      </w:pPr>
      <w:rPr>
        <w:rFonts w:ascii="Arial" w:hAnsi="Arial" w:hint="default"/>
      </w:rPr>
    </w:lvl>
    <w:lvl w:ilvl="2" w:tplc="439037A4" w:tentative="1">
      <w:start w:val="1"/>
      <w:numFmt w:val="bullet"/>
      <w:lvlText w:val="•"/>
      <w:lvlJc w:val="left"/>
      <w:pPr>
        <w:tabs>
          <w:tab w:val="num" w:pos="2160"/>
        </w:tabs>
        <w:ind w:left="2160" w:hanging="360"/>
      </w:pPr>
      <w:rPr>
        <w:rFonts w:ascii="Arial" w:hAnsi="Arial" w:hint="default"/>
      </w:rPr>
    </w:lvl>
    <w:lvl w:ilvl="3" w:tplc="E88030F6" w:tentative="1">
      <w:start w:val="1"/>
      <w:numFmt w:val="bullet"/>
      <w:lvlText w:val="•"/>
      <w:lvlJc w:val="left"/>
      <w:pPr>
        <w:tabs>
          <w:tab w:val="num" w:pos="2880"/>
        </w:tabs>
        <w:ind w:left="2880" w:hanging="360"/>
      </w:pPr>
      <w:rPr>
        <w:rFonts w:ascii="Arial" w:hAnsi="Arial" w:hint="default"/>
      </w:rPr>
    </w:lvl>
    <w:lvl w:ilvl="4" w:tplc="A5BEF8B4" w:tentative="1">
      <w:start w:val="1"/>
      <w:numFmt w:val="bullet"/>
      <w:lvlText w:val="•"/>
      <w:lvlJc w:val="left"/>
      <w:pPr>
        <w:tabs>
          <w:tab w:val="num" w:pos="3600"/>
        </w:tabs>
        <w:ind w:left="3600" w:hanging="360"/>
      </w:pPr>
      <w:rPr>
        <w:rFonts w:ascii="Arial" w:hAnsi="Arial" w:hint="default"/>
      </w:rPr>
    </w:lvl>
    <w:lvl w:ilvl="5" w:tplc="C846A8B2" w:tentative="1">
      <w:start w:val="1"/>
      <w:numFmt w:val="bullet"/>
      <w:lvlText w:val="•"/>
      <w:lvlJc w:val="left"/>
      <w:pPr>
        <w:tabs>
          <w:tab w:val="num" w:pos="4320"/>
        </w:tabs>
        <w:ind w:left="4320" w:hanging="360"/>
      </w:pPr>
      <w:rPr>
        <w:rFonts w:ascii="Arial" w:hAnsi="Arial" w:hint="default"/>
      </w:rPr>
    </w:lvl>
    <w:lvl w:ilvl="6" w:tplc="5010F320" w:tentative="1">
      <w:start w:val="1"/>
      <w:numFmt w:val="bullet"/>
      <w:lvlText w:val="•"/>
      <w:lvlJc w:val="left"/>
      <w:pPr>
        <w:tabs>
          <w:tab w:val="num" w:pos="5040"/>
        </w:tabs>
        <w:ind w:left="5040" w:hanging="360"/>
      </w:pPr>
      <w:rPr>
        <w:rFonts w:ascii="Arial" w:hAnsi="Arial" w:hint="default"/>
      </w:rPr>
    </w:lvl>
    <w:lvl w:ilvl="7" w:tplc="C5D05A5A" w:tentative="1">
      <w:start w:val="1"/>
      <w:numFmt w:val="bullet"/>
      <w:lvlText w:val="•"/>
      <w:lvlJc w:val="left"/>
      <w:pPr>
        <w:tabs>
          <w:tab w:val="num" w:pos="5760"/>
        </w:tabs>
        <w:ind w:left="5760" w:hanging="360"/>
      </w:pPr>
      <w:rPr>
        <w:rFonts w:ascii="Arial" w:hAnsi="Arial" w:hint="default"/>
      </w:rPr>
    </w:lvl>
    <w:lvl w:ilvl="8" w:tplc="B11E4DA6" w:tentative="1">
      <w:start w:val="1"/>
      <w:numFmt w:val="bullet"/>
      <w:lvlText w:val="•"/>
      <w:lvlJc w:val="left"/>
      <w:pPr>
        <w:tabs>
          <w:tab w:val="num" w:pos="6480"/>
        </w:tabs>
        <w:ind w:left="6480" w:hanging="360"/>
      </w:pPr>
      <w:rPr>
        <w:rFonts w:ascii="Arial" w:hAnsi="Arial" w:hint="default"/>
      </w:rPr>
    </w:lvl>
  </w:abstractNum>
  <w:abstractNum w:abstractNumId="28">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28"/>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4"/>
  </w:num>
  <w:num w:numId="17">
    <w:abstractNumId w:val="0"/>
  </w:num>
  <w:num w:numId="18">
    <w:abstractNumId w:val="14"/>
  </w:num>
  <w:num w:numId="19">
    <w:abstractNumId w:val="25"/>
  </w:num>
  <w:num w:numId="20">
    <w:abstractNumId w:val="15"/>
  </w:num>
  <w:num w:numId="21">
    <w:abstractNumId w:val="25"/>
  </w:num>
  <w:num w:numId="22">
    <w:abstractNumId w:val="17"/>
  </w:num>
  <w:num w:numId="23">
    <w:abstractNumId w:val="18"/>
  </w:num>
  <w:num w:numId="24">
    <w:abstractNumId w:val="13"/>
  </w:num>
  <w:num w:numId="25">
    <w:abstractNumId w:val="16"/>
  </w:num>
  <w:num w:numId="26">
    <w:abstractNumId w:val="23"/>
  </w:num>
  <w:num w:numId="27">
    <w:abstractNumId w:val="26"/>
  </w:num>
  <w:num w:numId="28">
    <w:abstractNumId w:val="19"/>
  </w:num>
  <w:num w:numId="29">
    <w:abstractNumId w:val="21"/>
  </w:num>
  <w:num w:numId="3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ini Devadas">
    <w15:presenceInfo w15:providerId="Windows Live" w15:userId="8c49bb4ae0af1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8"/>
    <w:rsid w:val="00000D92"/>
    <w:rsid w:val="0001331B"/>
    <w:rsid w:val="00013A29"/>
    <w:rsid w:val="00033599"/>
    <w:rsid w:val="00050320"/>
    <w:rsid w:val="00052087"/>
    <w:rsid w:val="000535D7"/>
    <w:rsid w:val="00062D41"/>
    <w:rsid w:val="000656DA"/>
    <w:rsid w:val="0007619D"/>
    <w:rsid w:val="000763AE"/>
    <w:rsid w:val="00080EA9"/>
    <w:rsid w:val="000960A5"/>
    <w:rsid w:val="000A0266"/>
    <w:rsid w:val="000A4567"/>
    <w:rsid w:val="000B3080"/>
    <w:rsid w:val="000B4564"/>
    <w:rsid w:val="000B5C1B"/>
    <w:rsid w:val="000C10BA"/>
    <w:rsid w:val="000F1020"/>
    <w:rsid w:val="00100909"/>
    <w:rsid w:val="001044FF"/>
    <w:rsid w:val="00104E39"/>
    <w:rsid w:val="00114BAC"/>
    <w:rsid w:val="00140413"/>
    <w:rsid w:val="001466B8"/>
    <w:rsid w:val="00150D72"/>
    <w:rsid w:val="00156E41"/>
    <w:rsid w:val="00177913"/>
    <w:rsid w:val="00181E58"/>
    <w:rsid w:val="00186DFE"/>
    <w:rsid w:val="001B7845"/>
    <w:rsid w:val="001D3A8A"/>
    <w:rsid w:val="001D4D1F"/>
    <w:rsid w:val="001D5A5C"/>
    <w:rsid w:val="001F055A"/>
    <w:rsid w:val="001F37E8"/>
    <w:rsid w:val="0020077F"/>
    <w:rsid w:val="0020319C"/>
    <w:rsid w:val="002077CC"/>
    <w:rsid w:val="00223521"/>
    <w:rsid w:val="00227BFA"/>
    <w:rsid w:val="0024282A"/>
    <w:rsid w:val="00271B40"/>
    <w:rsid w:val="00284611"/>
    <w:rsid w:val="0029345F"/>
    <w:rsid w:val="00297C0E"/>
    <w:rsid w:val="002B1AFA"/>
    <w:rsid w:val="002C19BF"/>
    <w:rsid w:val="002C3F92"/>
    <w:rsid w:val="002C61F5"/>
    <w:rsid w:val="002D0313"/>
    <w:rsid w:val="002E52DD"/>
    <w:rsid w:val="002E6060"/>
    <w:rsid w:val="0033188B"/>
    <w:rsid w:val="003375F1"/>
    <w:rsid w:val="0035057D"/>
    <w:rsid w:val="0036113D"/>
    <w:rsid w:val="00391B9B"/>
    <w:rsid w:val="0039361E"/>
    <w:rsid w:val="003A11E8"/>
    <w:rsid w:val="003B0CB0"/>
    <w:rsid w:val="003D0620"/>
    <w:rsid w:val="003F6FF6"/>
    <w:rsid w:val="00422EF0"/>
    <w:rsid w:val="0044143B"/>
    <w:rsid w:val="00443AA0"/>
    <w:rsid w:val="0044479D"/>
    <w:rsid w:val="00453C1B"/>
    <w:rsid w:val="004822BC"/>
    <w:rsid w:val="0048295D"/>
    <w:rsid w:val="0048716B"/>
    <w:rsid w:val="004900B9"/>
    <w:rsid w:val="004957C3"/>
    <w:rsid w:val="00496488"/>
    <w:rsid w:val="00497D20"/>
    <w:rsid w:val="004B000A"/>
    <w:rsid w:val="004B29D6"/>
    <w:rsid w:val="004C0DBF"/>
    <w:rsid w:val="004C7AFA"/>
    <w:rsid w:val="004D4B62"/>
    <w:rsid w:val="004D79BE"/>
    <w:rsid w:val="004E3634"/>
    <w:rsid w:val="004F152E"/>
    <w:rsid w:val="00512700"/>
    <w:rsid w:val="005222A2"/>
    <w:rsid w:val="0055279D"/>
    <w:rsid w:val="005529A9"/>
    <w:rsid w:val="00561183"/>
    <w:rsid w:val="0058348A"/>
    <w:rsid w:val="005A3244"/>
    <w:rsid w:val="005A72C4"/>
    <w:rsid w:val="005B7395"/>
    <w:rsid w:val="005C4C24"/>
    <w:rsid w:val="005F1827"/>
    <w:rsid w:val="00600D70"/>
    <w:rsid w:val="006752D3"/>
    <w:rsid w:val="0068098F"/>
    <w:rsid w:val="00691E75"/>
    <w:rsid w:val="006928ED"/>
    <w:rsid w:val="00692B58"/>
    <w:rsid w:val="006A3A42"/>
    <w:rsid w:val="006B4086"/>
    <w:rsid w:val="006C5BAA"/>
    <w:rsid w:val="006C62B2"/>
    <w:rsid w:val="006E709A"/>
    <w:rsid w:val="006F0B37"/>
    <w:rsid w:val="006F3E72"/>
    <w:rsid w:val="006F5743"/>
    <w:rsid w:val="00704FE3"/>
    <w:rsid w:val="00721310"/>
    <w:rsid w:val="00722A43"/>
    <w:rsid w:val="00726542"/>
    <w:rsid w:val="007532F6"/>
    <w:rsid w:val="00763F99"/>
    <w:rsid w:val="00770969"/>
    <w:rsid w:val="00772D67"/>
    <w:rsid w:val="00773806"/>
    <w:rsid w:val="007754ED"/>
    <w:rsid w:val="00791B7B"/>
    <w:rsid w:val="00793655"/>
    <w:rsid w:val="00793721"/>
    <w:rsid w:val="007B6376"/>
    <w:rsid w:val="007C1D1B"/>
    <w:rsid w:val="007C3B62"/>
    <w:rsid w:val="007D7C08"/>
    <w:rsid w:val="00801356"/>
    <w:rsid w:val="0081424B"/>
    <w:rsid w:val="00821DEB"/>
    <w:rsid w:val="008331FB"/>
    <w:rsid w:val="00841350"/>
    <w:rsid w:val="008517A3"/>
    <w:rsid w:val="0086284F"/>
    <w:rsid w:val="0088030E"/>
    <w:rsid w:val="0089090B"/>
    <w:rsid w:val="00891475"/>
    <w:rsid w:val="008A402C"/>
    <w:rsid w:val="008A5A48"/>
    <w:rsid w:val="008B5111"/>
    <w:rsid w:val="008B7077"/>
    <w:rsid w:val="008C4A95"/>
    <w:rsid w:val="008D09FB"/>
    <w:rsid w:val="008D32BA"/>
    <w:rsid w:val="008D464F"/>
    <w:rsid w:val="008D5825"/>
    <w:rsid w:val="008E5D79"/>
    <w:rsid w:val="008E72AA"/>
    <w:rsid w:val="008F3AA8"/>
    <w:rsid w:val="0092331C"/>
    <w:rsid w:val="00931118"/>
    <w:rsid w:val="00931F80"/>
    <w:rsid w:val="00932C6D"/>
    <w:rsid w:val="00945E3D"/>
    <w:rsid w:val="0096081E"/>
    <w:rsid w:val="00961243"/>
    <w:rsid w:val="00976D59"/>
    <w:rsid w:val="00982860"/>
    <w:rsid w:val="009C7BA5"/>
    <w:rsid w:val="009E3B68"/>
    <w:rsid w:val="009E7FB5"/>
    <w:rsid w:val="00A1229E"/>
    <w:rsid w:val="00A22485"/>
    <w:rsid w:val="00A23E3C"/>
    <w:rsid w:val="00A47AA0"/>
    <w:rsid w:val="00A564A7"/>
    <w:rsid w:val="00A71B67"/>
    <w:rsid w:val="00A9331B"/>
    <w:rsid w:val="00AB2171"/>
    <w:rsid w:val="00AC54A3"/>
    <w:rsid w:val="00AC54D5"/>
    <w:rsid w:val="00AD0CD0"/>
    <w:rsid w:val="00B13AF6"/>
    <w:rsid w:val="00B1647E"/>
    <w:rsid w:val="00B16AC7"/>
    <w:rsid w:val="00B23E3B"/>
    <w:rsid w:val="00B255C6"/>
    <w:rsid w:val="00B32E9C"/>
    <w:rsid w:val="00B3664F"/>
    <w:rsid w:val="00B4196A"/>
    <w:rsid w:val="00B50D30"/>
    <w:rsid w:val="00B554CB"/>
    <w:rsid w:val="00B55F41"/>
    <w:rsid w:val="00B64994"/>
    <w:rsid w:val="00B7037D"/>
    <w:rsid w:val="00B743B7"/>
    <w:rsid w:val="00B83F94"/>
    <w:rsid w:val="00B859E2"/>
    <w:rsid w:val="00B9718F"/>
    <w:rsid w:val="00BA2231"/>
    <w:rsid w:val="00BA7CAC"/>
    <w:rsid w:val="00BB1574"/>
    <w:rsid w:val="00BB5800"/>
    <w:rsid w:val="00BC0B34"/>
    <w:rsid w:val="00BC3304"/>
    <w:rsid w:val="00BD283B"/>
    <w:rsid w:val="00BD346C"/>
    <w:rsid w:val="00BD383C"/>
    <w:rsid w:val="00C049B6"/>
    <w:rsid w:val="00C24288"/>
    <w:rsid w:val="00C37ED0"/>
    <w:rsid w:val="00C4331C"/>
    <w:rsid w:val="00C4331F"/>
    <w:rsid w:val="00C45C28"/>
    <w:rsid w:val="00C60125"/>
    <w:rsid w:val="00C75DE5"/>
    <w:rsid w:val="00C831DF"/>
    <w:rsid w:val="00C841AA"/>
    <w:rsid w:val="00C91C1B"/>
    <w:rsid w:val="00C92341"/>
    <w:rsid w:val="00C9562E"/>
    <w:rsid w:val="00C96C8C"/>
    <w:rsid w:val="00CA15C8"/>
    <w:rsid w:val="00CA7360"/>
    <w:rsid w:val="00CB4A02"/>
    <w:rsid w:val="00CC7411"/>
    <w:rsid w:val="00CD4E02"/>
    <w:rsid w:val="00CE3795"/>
    <w:rsid w:val="00CE7458"/>
    <w:rsid w:val="00CF35C7"/>
    <w:rsid w:val="00CF4C32"/>
    <w:rsid w:val="00CF6C64"/>
    <w:rsid w:val="00CF6ECA"/>
    <w:rsid w:val="00D03C40"/>
    <w:rsid w:val="00D20FD9"/>
    <w:rsid w:val="00D26398"/>
    <w:rsid w:val="00D34C28"/>
    <w:rsid w:val="00D36601"/>
    <w:rsid w:val="00D6798A"/>
    <w:rsid w:val="00D85147"/>
    <w:rsid w:val="00D92052"/>
    <w:rsid w:val="00D96F7C"/>
    <w:rsid w:val="00DA3227"/>
    <w:rsid w:val="00DC122C"/>
    <w:rsid w:val="00DE385D"/>
    <w:rsid w:val="00DE3FBF"/>
    <w:rsid w:val="00DE521E"/>
    <w:rsid w:val="00DE7B37"/>
    <w:rsid w:val="00DF1E3A"/>
    <w:rsid w:val="00DF3622"/>
    <w:rsid w:val="00DF56DD"/>
    <w:rsid w:val="00DF6C98"/>
    <w:rsid w:val="00E00885"/>
    <w:rsid w:val="00E15471"/>
    <w:rsid w:val="00E251EC"/>
    <w:rsid w:val="00E31DDC"/>
    <w:rsid w:val="00E35DF1"/>
    <w:rsid w:val="00E44A72"/>
    <w:rsid w:val="00E50CBE"/>
    <w:rsid w:val="00E61CC5"/>
    <w:rsid w:val="00E713E1"/>
    <w:rsid w:val="00E767B0"/>
    <w:rsid w:val="00E90439"/>
    <w:rsid w:val="00E914CA"/>
    <w:rsid w:val="00EB70B9"/>
    <w:rsid w:val="00EE7B06"/>
    <w:rsid w:val="00EF3BAD"/>
    <w:rsid w:val="00F025B9"/>
    <w:rsid w:val="00F057DB"/>
    <w:rsid w:val="00F31CCA"/>
    <w:rsid w:val="00F3271A"/>
    <w:rsid w:val="00F53160"/>
    <w:rsid w:val="00F574AE"/>
    <w:rsid w:val="00F60239"/>
    <w:rsid w:val="00F9550C"/>
    <w:rsid w:val="00FA5DE1"/>
    <w:rsid w:val="00FB2918"/>
    <w:rsid w:val="00FB798A"/>
    <w:rsid w:val="00FD2FAD"/>
    <w:rsid w:val="00FF71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8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D20FD9"/>
    <w:pPr>
      <w:keepNext/>
      <w:spacing w:before="240"/>
      <w:ind w:left="720" w:hanging="720"/>
      <w:outlineLvl w:val="2"/>
    </w:pPr>
    <w:rPr>
      <w:rFonts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paragraph" w:styleId="ListParagraph">
    <w:name w:val="List Paragraph"/>
    <w:basedOn w:val="Normal"/>
    <w:uiPriority w:val="34"/>
    <w:rsid w:val="00186DFE"/>
    <w:pPr>
      <w:ind w:left="720"/>
      <w:contextualSpacing/>
    </w:pPr>
  </w:style>
  <w:style w:type="paragraph" w:customStyle="1" w:styleId="MincoBold">
    <w:name w:val="Minco Bold"/>
    <w:basedOn w:val="Normal"/>
    <w:rsid w:val="00791B7B"/>
    <w:pPr>
      <w:overflowPunct w:val="0"/>
      <w:autoSpaceDE w:val="0"/>
      <w:autoSpaceDN w:val="0"/>
      <w:adjustRightInd w:val="0"/>
      <w:spacing w:after="0"/>
      <w:textAlignment w:val="baseline"/>
    </w:pPr>
    <w:rPr>
      <w:rFonts w:ascii="Arial" w:hAnsi="Arial"/>
      <w:b/>
      <w:bCs/>
      <w:color w:val="auto"/>
      <w:sz w:val="24"/>
      <w:szCs w:val="24"/>
      <w:lang w:eastAsia="en-US"/>
    </w:rPr>
  </w:style>
  <w:style w:type="paragraph" w:customStyle="1" w:styleId="Mincobulleted">
    <w:name w:val="Minco bulleted"/>
    <w:basedOn w:val="Normal"/>
    <w:rsid w:val="00791B7B"/>
    <w:pPr>
      <w:tabs>
        <w:tab w:val="left" w:pos="426"/>
      </w:tabs>
      <w:overflowPunct w:val="0"/>
      <w:autoSpaceDE w:val="0"/>
      <w:autoSpaceDN w:val="0"/>
      <w:adjustRightInd w:val="0"/>
      <w:spacing w:after="120"/>
      <w:ind w:left="425" w:hanging="425"/>
      <w:textAlignment w:val="baseline"/>
    </w:pPr>
    <w:rPr>
      <w:rFonts w:ascii="Arial" w:hAnsi="Arial"/>
      <w:color w:val="auto"/>
      <w:sz w:val="24"/>
      <w:szCs w:val="24"/>
      <w:lang w:eastAsia="en-US"/>
    </w:rPr>
  </w:style>
  <w:style w:type="character" w:styleId="CommentReference">
    <w:name w:val="annotation reference"/>
    <w:basedOn w:val="DefaultParagraphFont"/>
    <w:uiPriority w:val="99"/>
    <w:semiHidden/>
    <w:unhideWhenUsed/>
    <w:rsid w:val="00E44A72"/>
    <w:rPr>
      <w:sz w:val="18"/>
      <w:szCs w:val="18"/>
    </w:rPr>
  </w:style>
  <w:style w:type="paragraph" w:styleId="CommentText">
    <w:name w:val="annotation text"/>
    <w:basedOn w:val="Normal"/>
    <w:link w:val="CommentTextChar"/>
    <w:uiPriority w:val="99"/>
    <w:semiHidden/>
    <w:unhideWhenUsed/>
    <w:rsid w:val="00E44A72"/>
    <w:rPr>
      <w:sz w:val="24"/>
      <w:szCs w:val="24"/>
    </w:rPr>
  </w:style>
  <w:style w:type="character" w:customStyle="1" w:styleId="CommentTextChar">
    <w:name w:val="Comment Text Char"/>
    <w:basedOn w:val="DefaultParagraphFont"/>
    <w:link w:val="CommentText"/>
    <w:uiPriority w:val="99"/>
    <w:semiHidden/>
    <w:rsid w:val="00E44A72"/>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E44A72"/>
    <w:rPr>
      <w:b/>
      <w:bCs/>
      <w:sz w:val="20"/>
      <w:szCs w:val="20"/>
    </w:rPr>
  </w:style>
  <w:style w:type="character" w:customStyle="1" w:styleId="CommentSubjectChar">
    <w:name w:val="Comment Subject Char"/>
    <w:basedOn w:val="CommentTextChar"/>
    <w:link w:val="CommentSubject"/>
    <w:uiPriority w:val="99"/>
    <w:semiHidden/>
    <w:rsid w:val="00E44A72"/>
    <w:rPr>
      <w:rFonts w:ascii="Calibri" w:hAnsi="Calibri"/>
      <w:b/>
      <w:bCs/>
      <w:color w:val="000000"/>
      <w:sz w:val="24"/>
      <w:szCs w:val="24"/>
    </w:rPr>
  </w:style>
  <w:style w:type="paragraph" w:customStyle="1" w:styleId="Tablewriting">
    <w:name w:val="Table writing"/>
    <w:basedOn w:val="Normal"/>
    <w:qFormat/>
    <w:rsid w:val="00FF7119"/>
    <w:pPr>
      <w:autoSpaceDE w:val="0"/>
      <w:autoSpaceDN w:val="0"/>
      <w:adjustRightInd w:val="0"/>
      <w:spacing w:before="60" w:after="60"/>
    </w:pPr>
    <w:rPr>
      <w:rFonts w:asciiTheme="minorHAnsi" w:eastAsiaTheme="minorEastAsia" w:hAnsiTheme="minorHAnsi" w:cs="Calibri"/>
      <w:sz w:val="20"/>
    </w:rPr>
  </w:style>
  <w:style w:type="paragraph" w:customStyle="1" w:styleId="Tabletitle">
    <w:name w:val="Table title"/>
    <w:basedOn w:val="Heading4"/>
    <w:link w:val="TabletitleChar"/>
    <w:qFormat/>
    <w:rsid w:val="00FF7119"/>
    <w:pPr>
      <w:keepLines/>
      <w:spacing w:before="200" w:after="20"/>
    </w:pPr>
    <w:rPr>
      <w:rFonts w:asciiTheme="minorHAnsi" w:eastAsiaTheme="majorEastAsia" w:hAnsiTheme="minorHAnsi" w:cstheme="majorBidi"/>
      <w:i w:val="0"/>
      <w:color w:val="auto"/>
      <w:sz w:val="24"/>
      <w:szCs w:val="24"/>
    </w:rPr>
  </w:style>
  <w:style w:type="character" w:customStyle="1" w:styleId="TabletitleChar">
    <w:name w:val="Table title Char"/>
    <w:basedOn w:val="DefaultParagraphFont"/>
    <w:link w:val="Tabletitle"/>
    <w:rsid w:val="00FF7119"/>
    <w:rPr>
      <w:rFonts w:asciiTheme="minorHAnsi" w:eastAsiaTheme="majorEastAsia" w:hAnsiTheme="minorHAnsi" w:cstheme="majorBidi"/>
      <w:b/>
      <w:bCs/>
      <w:sz w:val="24"/>
      <w:szCs w:val="24"/>
    </w:rPr>
  </w:style>
  <w:style w:type="character" w:styleId="Hyperlink">
    <w:name w:val="Hyperlink"/>
    <w:basedOn w:val="DefaultParagraphFont"/>
    <w:uiPriority w:val="99"/>
    <w:unhideWhenUsed/>
    <w:rsid w:val="0035057D"/>
    <w:rPr>
      <w:color w:val="0000FF" w:themeColor="hyperlink"/>
      <w:u w:val="single"/>
    </w:rPr>
  </w:style>
  <w:style w:type="paragraph" w:styleId="Revision">
    <w:name w:val="Revision"/>
    <w:hidden/>
    <w:uiPriority w:val="99"/>
    <w:semiHidden/>
    <w:rsid w:val="005222A2"/>
    <w:rPr>
      <w:rFonts w:ascii="Calibri" w:hAnsi="Calibri"/>
      <w:color w:val="000000"/>
      <w:sz w:val="22"/>
    </w:rPr>
  </w:style>
  <w:style w:type="character" w:styleId="FollowedHyperlink">
    <w:name w:val="FollowedHyperlink"/>
    <w:basedOn w:val="DefaultParagraphFont"/>
    <w:uiPriority w:val="99"/>
    <w:semiHidden/>
    <w:unhideWhenUsed/>
    <w:rsid w:val="000133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D20FD9"/>
    <w:pPr>
      <w:keepNext/>
      <w:spacing w:before="240"/>
      <w:ind w:left="720" w:hanging="720"/>
      <w:outlineLvl w:val="2"/>
    </w:pPr>
    <w:rPr>
      <w:rFonts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paragraph" w:styleId="ListParagraph">
    <w:name w:val="List Paragraph"/>
    <w:basedOn w:val="Normal"/>
    <w:uiPriority w:val="34"/>
    <w:rsid w:val="00186DFE"/>
    <w:pPr>
      <w:ind w:left="720"/>
      <w:contextualSpacing/>
    </w:pPr>
  </w:style>
  <w:style w:type="paragraph" w:customStyle="1" w:styleId="MincoBold">
    <w:name w:val="Minco Bold"/>
    <w:basedOn w:val="Normal"/>
    <w:rsid w:val="00791B7B"/>
    <w:pPr>
      <w:overflowPunct w:val="0"/>
      <w:autoSpaceDE w:val="0"/>
      <w:autoSpaceDN w:val="0"/>
      <w:adjustRightInd w:val="0"/>
      <w:spacing w:after="0"/>
      <w:textAlignment w:val="baseline"/>
    </w:pPr>
    <w:rPr>
      <w:rFonts w:ascii="Arial" w:hAnsi="Arial"/>
      <w:b/>
      <w:bCs/>
      <w:color w:val="auto"/>
      <w:sz w:val="24"/>
      <w:szCs w:val="24"/>
      <w:lang w:eastAsia="en-US"/>
    </w:rPr>
  </w:style>
  <w:style w:type="paragraph" w:customStyle="1" w:styleId="Mincobulleted">
    <w:name w:val="Minco bulleted"/>
    <w:basedOn w:val="Normal"/>
    <w:rsid w:val="00791B7B"/>
    <w:pPr>
      <w:tabs>
        <w:tab w:val="left" w:pos="426"/>
      </w:tabs>
      <w:overflowPunct w:val="0"/>
      <w:autoSpaceDE w:val="0"/>
      <w:autoSpaceDN w:val="0"/>
      <w:adjustRightInd w:val="0"/>
      <w:spacing w:after="120"/>
      <w:ind w:left="425" w:hanging="425"/>
      <w:textAlignment w:val="baseline"/>
    </w:pPr>
    <w:rPr>
      <w:rFonts w:ascii="Arial" w:hAnsi="Arial"/>
      <w:color w:val="auto"/>
      <w:sz w:val="24"/>
      <w:szCs w:val="24"/>
      <w:lang w:eastAsia="en-US"/>
    </w:rPr>
  </w:style>
  <w:style w:type="character" w:styleId="CommentReference">
    <w:name w:val="annotation reference"/>
    <w:basedOn w:val="DefaultParagraphFont"/>
    <w:uiPriority w:val="99"/>
    <w:semiHidden/>
    <w:unhideWhenUsed/>
    <w:rsid w:val="00E44A72"/>
    <w:rPr>
      <w:sz w:val="18"/>
      <w:szCs w:val="18"/>
    </w:rPr>
  </w:style>
  <w:style w:type="paragraph" w:styleId="CommentText">
    <w:name w:val="annotation text"/>
    <w:basedOn w:val="Normal"/>
    <w:link w:val="CommentTextChar"/>
    <w:uiPriority w:val="99"/>
    <w:semiHidden/>
    <w:unhideWhenUsed/>
    <w:rsid w:val="00E44A72"/>
    <w:rPr>
      <w:sz w:val="24"/>
      <w:szCs w:val="24"/>
    </w:rPr>
  </w:style>
  <w:style w:type="character" w:customStyle="1" w:styleId="CommentTextChar">
    <w:name w:val="Comment Text Char"/>
    <w:basedOn w:val="DefaultParagraphFont"/>
    <w:link w:val="CommentText"/>
    <w:uiPriority w:val="99"/>
    <w:semiHidden/>
    <w:rsid w:val="00E44A72"/>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E44A72"/>
    <w:rPr>
      <w:b/>
      <w:bCs/>
      <w:sz w:val="20"/>
      <w:szCs w:val="20"/>
    </w:rPr>
  </w:style>
  <w:style w:type="character" w:customStyle="1" w:styleId="CommentSubjectChar">
    <w:name w:val="Comment Subject Char"/>
    <w:basedOn w:val="CommentTextChar"/>
    <w:link w:val="CommentSubject"/>
    <w:uiPriority w:val="99"/>
    <w:semiHidden/>
    <w:rsid w:val="00E44A72"/>
    <w:rPr>
      <w:rFonts w:ascii="Calibri" w:hAnsi="Calibri"/>
      <w:b/>
      <w:bCs/>
      <w:color w:val="000000"/>
      <w:sz w:val="24"/>
      <w:szCs w:val="24"/>
    </w:rPr>
  </w:style>
  <w:style w:type="paragraph" w:customStyle="1" w:styleId="Tablewriting">
    <w:name w:val="Table writing"/>
    <w:basedOn w:val="Normal"/>
    <w:qFormat/>
    <w:rsid w:val="00FF7119"/>
    <w:pPr>
      <w:autoSpaceDE w:val="0"/>
      <w:autoSpaceDN w:val="0"/>
      <w:adjustRightInd w:val="0"/>
      <w:spacing w:before="60" w:after="60"/>
    </w:pPr>
    <w:rPr>
      <w:rFonts w:asciiTheme="minorHAnsi" w:eastAsiaTheme="minorEastAsia" w:hAnsiTheme="minorHAnsi" w:cs="Calibri"/>
      <w:sz w:val="20"/>
    </w:rPr>
  </w:style>
  <w:style w:type="paragraph" w:customStyle="1" w:styleId="Tabletitle">
    <w:name w:val="Table title"/>
    <w:basedOn w:val="Heading4"/>
    <w:link w:val="TabletitleChar"/>
    <w:qFormat/>
    <w:rsid w:val="00FF7119"/>
    <w:pPr>
      <w:keepLines/>
      <w:spacing w:before="200" w:after="20"/>
    </w:pPr>
    <w:rPr>
      <w:rFonts w:asciiTheme="minorHAnsi" w:eastAsiaTheme="majorEastAsia" w:hAnsiTheme="minorHAnsi" w:cstheme="majorBidi"/>
      <w:i w:val="0"/>
      <w:color w:val="auto"/>
      <w:sz w:val="24"/>
      <w:szCs w:val="24"/>
    </w:rPr>
  </w:style>
  <w:style w:type="character" w:customStyle="1" w:styleId="TabletitleChar">
    <w:name w:val="Table title Char"/>
    <w:basedOn w:val="DefaultParagraphFont"/>
    <w:link w:val="Tabletitle"/>
    <w:rsid w:val="00FF7119"/>
    <w:rPr>
      <w:rFonts w:asciiTheme="minorHAnsi" w:eastAsiaTheme="majorEastAsia" w:hAnsiTheme="minorHAnsi" w:cstheme="majorBidi"/>
      <w:b/>
      <w:bCs/>
      <w:sz w:val="24"/>
      <w:szCs w:val="24"/>
    </w:rPr>
  </w:style>
  <w:style w:type="character" w:styleId="Hyperlink">
    <w:name w:val="Hyperlink"/>
    <w:basedOn w:val="DefaultParagraphFont"/>
    <w:uiPriority w:val="99"/>
    <w:unhideWhenUsed/>
    <w:rsid w:val="0035057D"/>
    <w:rPr>
      <w:color w:val="0000FF" w:themeColor="hyperlink"/>
      <w:u w:val="single"/>
    </w:rPr>
  </w:style>
  <w:style w:type="paragraph" w:styleId="Revision">
    <w:name w:val="Revision"/>
    <w:hidden/>
    <w:uiPriority w:val="99"/>
    <w:semiHidden/>
    <w:rsid w:val="005222A2"/>
    <w:rPr>
      <w:rFonts w:ascii="Calibri" w:hAnsi="Calibri"/>
      <w:color w:val="000000"/>
      <w:sz w:val="22"/>
    </w:rPr>
  </w:style>
  <w:style w:type="character" w:styleId="FollowedHyperlink">
    <w:name w:val="FollowedHyperlink"/>
    <w:basedOn w:val="DefaultParagraphFont"/>
    <w:uiPriority w:val="99"/>
    <w:semiHidden/>
    <w:unhideWhenUsed/>
    <w:rsid w:val="00013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4831">
      <w:bodyDiv w:val="1"/>
      <w:marLeft w:val="0"/>
      <w:marRight w:val="0"/>
      <w:marTop w:val="0"/>
      <w:marBottom w:val="0"/>
      <w:divBdr>
        <w:top w:val="none" w:sz="0" w:space="0" w:color="auto"/>
        <w:left w:val="none" w:sz="0" w:space="0" w:color="auto"/>
        <w:bottom w:val="none" w:sz="0" w:space="0" w:color="auto"/>
        <w:right w:val="none" w:sz="0" w:space="0" w:color="auto"/>
      </w:divBdr>
      <w:divsChild>
        <w:div w:id="351952652">
          <w:marLeft w:val="720"/>
          <w:marRight w:val="0"/>
          <w:marTop w:val="86"/>
          <w:marBottom w:val="0"/>
          <w:divBdr>
            <w:top w:val="none" w:sz="0" w:space="0" w:color="auto"/>
            <w:left w:val="none" w:sz="0" w:space="0" w:color="auto"/>
            <w:bottom w:val="none" w:sz="0" w:space="0" w:color="auto"/>
            <w:right w:val="none" w:sz="0" w:space="0" w:color="auto"/>
          </w:divBdr>
        </w:div>
        <w:div w:id="163713936">
          <w:marLeft w:val="720"/>
          <w:marRight w:val="0"/>
          <w:marTop w:val="86"/>
          <w:marBottom w:val="0"/>
          <w:divBdr>
            <w:top w:val="none" w:sz="0" w:space="0" w:color="auto"/>
            <w:left w:val="none" w:sz="0" w:space="0" w:color="auto"/>
            <w:bottom w:val="none" w:sz="0" w:space="0" w:color="auto"/>
            <w:right w:val="none" w:sz="0" w:space="0" w:color="auto"/>
          </w:divBdr>
        </w:div>
        <w:div w:id="308874268">
          <w:marLeft w:val="720"/>
          <w:marRight w:val="0"/>
          <w:marTop w:val="86"/>
          <w:marBottom w:val="0"/>
          <w:divBdr>
            <w:top w:val="none" w:sz="0" w:space="0" w:color="auto"/>
            <w:left w:val="none" w:sz="0" w:space="0" w:color="auto"/>
            <w:bottom w:val="none" w:sz="0" w:space="0" w:color="auto"/>
            <w:right w:val="none" w:sz="0" w:space="0" w:color="auto"/>
          </w:divBdr>
        </w:div>
      </w:divsChild>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23157373">
      <w:bodyDiv w:val="1"/>
      <w:marLeft w:val="0"/>
      <w:marRight w:val="0"/>
      <w:marTop w:val="0"/>
      <w:marBottom w:val="0"/>
      <w:divBdr>
        <w:top w:val="none" w:sz="0" w:space="0" w:color="auto"/>
        <w:left w:val="none" w:sz="0" w:space="0" w:color="auto"/>
        <w:bottom w:val="none" w:sz="0" w:space="0" w:color="auto"/>
        <w:right w:val="none" w:sz="0" w:space="0" w:color="auto"/>
      </w:divBdr>
      <w:divsChild>
        <w:div w:id="1071151227">
          <w:marLeft w:val="547"/>
          <w:marRight w:val="0"/>
          <w:marTop w:val="240"/>
          <w:marBottom w:val="0"/>
          <w:divBdr>
            <w:top w:val="none" w:sz="0" w:space="0" w:color="auto"/>
            <w:left w:val="none" w:sz="0" w:space="0" w:color="auto"/>
            <w:bottom w:val="none" w:sz="0" w:space="0" w:color="auto"/>
            <w:right w:val="none" w:sz="0" w:space="0" w:color="auto"/>
          </w:divBdr>
        </w:div>
        <w:div w:id="901408110">
          <w:marLeft w:val="547"/>
          <w:marRight w:val="0"/>
          <w:marTop w:val="240"/>
          <w:marBottom w:val="0"/>
          <w:divBdr>
            <w:top w:val="none" w:sz="0" w:space="0" w:color="auto"/>
            <w:left w:val="none" w:sz="0" w:space="0" w:color="auto"/>
            <w:bottom w:val="none" w:sz="0" w:space="0" w:color="auto"/>
            <w:right w:val="none" w:sz="0" w:space="0" w:color="auto"/>
          </w:divBdr>
        </w:div>
        <w:div w:id="668753246">
          <w:marLeft w:val="547"/>
          <w:marRight w:val="0"/>
          <w:marTop w:val="240"/>
          <w:marBottom w:val="0"/>
          <w:divBdr>
            <w:top w:val="none" w:sz="0" w:space="0" w:color="auto"/>
            <w:left w:val="none" w:sz="0" w:space="0" w:color="auto"/>
            <w:bottom w:val="none" w:sz="0" w:space="0" w:color="auto"/>
            <w:right w:val="none" w:sz="0" w:space="0" w:color="auto"/>
          </w:divBdr>
        </w:div>
        <w:div w:id="607540978">
          <w:marLeft w:val="547"/>
          <w:marRight w:val="0"/>
          <w:marTop w:val="240"/>
          <w:marBottom w:val="0"/>
          <w:divBdr>
            <w:top w:val="none" w:sz="0" w:space="0" w:color="auto"/>
            <w:left w:val="none" w:sz="0" w:space="0" w:color="auto"/>
            <w:bottom w:val="none" w:sz="0" w:space="0" w:color="auto"/>
            <w:right w:val="none" w:sz="0" w:space="0" w:color="auto"/>
          </w:divBdr>
        </w:div>
        <w:div w:id="1717123472">
          <w:marLeft w:val="547"/>
          <w:marRight w:val="0"/>
          <w:marTop w:val="240"/>
          <w:marBottom w:val="0"/>
          <w:divBdr>
            <w:top w:val="none" w:sz="0" w:space="0" w:color="auto"/>
            <w:left w:val="none" w:sz="0" w:space="0" w:color="auto"/>
            <w:bottom w:val="none" w:sz="0" w:space="0" w:color="auto"/>
            <w:right w:val="none" w:sz="0" w:space="0" w:color="auto"/>
          </w:divBdr>
        </w:div>
      </w:divsChild>
    </w:div>
    <w:div w:id="2081363038">
      <w:bodyDiv w:val="1"/>
      <w:marLeft w:val="0"/>
      <w:marRight w:val="0"/>
      <w:marTop w:val="0"/>
      <w:marBottom w:val="0"/>
      <w:divBdr>
        <w:top w:val="none" w:sz="0" w:space="0" w:color="auto"/>
        <w:left w:val="none" w:sz="0" w:space="0" w:color="auto"/>
        <w:bottom w:val="none" w:sz="0" w:space="0" w:color="auto"/>
        <w:right w:val="none" w:sz="0" w:space="0" w:color="auto"/>
      </w:divBdr>
      <w:divsChild>
        <w:div w:id="35743080">
          <w:marLeft w:val="547"/>
          <w:marRight w:val="0"/>
          <w:marTop w:val="240"/>
          <w:marBottom w:val="0"/>
          <w:divBdr>
            <w:top w:val="none" w:sz="0" w:space="0" w:color="auto"/>
            <w:left w:val="none" w:sz="0" w:space="0" w:color="auto"/>
            <w:bottom w:val="none" w:sz="0" w:space="0" w:color="auto"/>
            <w:right w:val="none" w:sz="0" w:space="0" w:color="auto"/>
          </w:divBdr>
        </w:div>
        <w:div w:id="145442625">
          <w:marLeft w:val="547"/>
          <w:marRight w:val="0"/>
          <w:marTop w:val="240"/>
          <w:marBottom w:val="0"/>
          <w:divBdr>
            <w:top w:val="none" w:sz="0" w:space="0" w:color="auto"/>
            <w:left w:val="none" w:sz="0" w:space="0" w:color="auto"/>
            <w:bottom w:val="none" w:sz="0" w:space="0" w:color="auto"/>
            <w:right w:val="none" w:sz="0" w:space="0" w:color="auto"/>
          </w:divBdr>
        </w:div>
        <w:div w:id="1333871981">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pbs.gov.au/pbs/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C3918-CF16-4ABC-A88E-7AF3D4A1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Antibiotics Roundtable Outcomes Statement</vt:lpstr>
    </vt:vector>
  </TitlesOfParts>
  <Company>Dept Health And Ageing</Company>
  <LinksUpToDate>false</LinksUpToDate>
  <CharactersWithSpaces>29857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Antibiotics Roundtable Outcomes Statement</dc:title>
  <dc:subject>Listing and restriction of antibiotics under the Pharmaceutical Benefits Scheme</dc:subject>
  <dc:creator>Australian Government Department of Health</dc:creator>
  <cp:keywords>antibiotics, antimicrobial resistance, Australia, Pharmaceutical Benefits Scheme, Biotext</cp:keywords>
  <cp:lastModifiedBy>Kirsteen Magee</cp:lastModifiedBy>
  <cp:revision>4</cp:revision>
  <cp:lastPrinted>2012-11-09T00:35:00Z</cp:lastPrinted>
  <dcterms:created xsi:type="dcterms:W3CDTF">2015-07-08T03:11:00Z</dcterms:created>
  <dcterms:modified xsi:type="dcterms:W3CDTF">2015-08-31T05:03:00Z</dcterms:modified>
</cp:coreProperties>
</file>