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9D60" w14:textId="48204BA5" w:rsidR="00B3465A" w:rsidRPr="00B3465A" w:rsidRDefault="00B3465A" w:rsidP="00B3465A">
      <w:r w:rsidRPr="00B3465A">
        <w:rPr>
          <w:b/>
          <w:bCs/>
        </w:rPr>
        <w:t xml:space="preserve">Pharmaceutical Benefits Scheme (PBS) Safety Net Threshold changes </w:t>
      </w:r>
    </w:p>
    <w:p w14:paraId="23901F94" w14:textId="77777777" w:rsidR="00B3465A" w:rsidRDefault="00B3465A" w:rsidP="00B3465A">
      <w:r w:rsidRPr="00B3465A">
        <w:t> </w:t>
      </w:r>
    </w:p>
    <w:p w14:paraId="7CA67723" w14:textId="7666282D" w:rsidR="005275AA" w:rsidRPr="005275AA" w:rsidRDefault="005275AA" w:rsidP="005275AA">
      <w:r w:rsidRPr="005275AA">
        <w:t>After concerns raised by Software Vendors about changes to the requirements of the PRF</w:t>
      </w:r>
      <w:r>
        <w:t xml:space="preserve"> (further information outlined below) </w:t>
      </w:r>
      <w:r w:rsidRPr="005275AA">
        <w:t>and subsequent conversations with both Software Vendors and Services Australia, the Commonwealth has determined that PRFs can be submitted without details of the threshold script (in line with how PRFs were submitted in 2024).</w:t>
      </w:r>
    </w:p>
    <w:p w14:paraId="15B17DB1" w14:textId="77777777" w:rsidR="005275AA" w:rsidRDefault="005275AA" w:rsidP="00B3465A"/>
    <w:p w14:paraId="54D63B88" w14:textId="23D9021E" w:rsidR="005275AA" w:rsidRPr="005275AA" w:rsidRDefault="005275AA" w:rsidP="00B3465A">
      <w:pPr>
        <w:rPr>
          <w:b/>
          <w:bCs/>
          <w:i/>
          <w:iCs/>
        </w:rPr>
      </w:pPr>
      <w:r w:rsidRPr="005275AA">
        <w:rPr>
          <w:b/>
          <w:bCs/>
          <w:i/>
          <w:iCs/>
        </w:rPr>
        <w:t xml:space="preserve">Further details on the </w:t>
      </w:r>
      <w:r>
        <w:rPr>
          <w:b/>
          <w:bCs/>
          <w:i/>
          <w:iCs/>
        </w:rPr>
        <w:t xml:space="preserve">PBS Safety Net Threshold </w:t>
      </w:r>
      <w:r w:rsidRPr="005275AA">
        <w:rPr>
          <w:b/>
          <w:bCs/>
          <w:i/>
          <w:iCs/>
        </w:rPr>
        <w:t>changes.</w:t>
      </w:r>
    </w:p>
    <w:p w14:paraId="15E0F19A" w14:textId="77777777" w:rsidR="005275AA" w:rsidRPr="005275AA" w:rsidRDefault="005275AA" w:rsidP="00B3465A">
      <w:pPr>
        <w:rPr>
          <w:i/>
          <w:iCs/>
        </w:rPr>
      </w:pPr>
    </w:p>
    <w:p w14:paraId="398F18F8" w14:textId="1C2C5345" w:rsidR="00B3465A" w:rsidRPr="00B3465A" w:rsidRDefault="005275AA" w:rsidP="00B3465A">
      <w:r>
        <w:t>F</w:t>
      </w:r>
      <w:r w:rsidR="00B3465A" w:rsidRPr="00B3465A">
        <w:t>rom 18 January 2025</w:t>
      </w:r>
      <w:r>
        <w:t>,</w:t>
      </w:r>
      <w:r w:rsidR="00B3465A" w:rsidRPr="00B3465A">
        <w:t xml:space="preserve"> patients pay a reduced co-payment amount for the threshold prescription that exactly meets the PBS Safety Net threshold amount.</w:t>
      </w:r>
    </w:p>
    <w:p w14:paraId="41BDA348" w14:textId="77777777" w:rsidR="00B3465A" w:rsidRPr="00B3465A" w:rsidRDefault="00B3465A" w:rsidP="00B3465A">
      <w:r w:rsidRPr="00B3465A">
        <w:t> </w:t>
      </w:r>
    </w:p>
    <w:p w14:paraId="5D7BD059" w14:textId="77777777" w:rsidR="003B3132" w:rsidRPr="00B3465A" w:rsidRDefault="003B3132" w:rsidP="003B3132">
      <w:r w:rsidRPr="00B3465A">
        <w:t xml:space="preserve">Prior to this change, guidance indicated that patients paid a reduced co-payment amount for any </w:t>
      </w:r>
      <w:r w:rsidRPr="00B3465A">
        <w:rPr>
          <w:i/>
          <w:iCs/>
        </w:rPr>
        <w:t>subsequent</w:t>
      </w:r>
      <w:r w:rsidRPr="00B3465A">
        <w:t> prescriptions after the threshold prescription that exactly met the PBS Safety Net threshold amount</w:t>
      </w:r>
    </w:p>
    <w:p w14:paraId="71F4D346" w14:textId="77777777" w:rsidR="003B3132" w:rsidRPr="00B3465A" w:rsidRDefault="003B3132" w:rsidP="003B3132">
      <w:r w:rsidRPr="00B3465A">
        <w:t> </w:t>
      </w:r>
    </w:p>
    <w:p w14:paraId="585A28AD" w14:textId="77777777" w:rsidR="003B3132" w:rsidRDefault="003B3132" w:rsidP="003B3132">
      <w:r w:rsidRPr="00B3465A">
        <w:t xml:space="preserve">Section 49 (s49) </w:t>
      </w:r>
      <w:r>
        <w:t xml:space="preserve">of the Pharmaceutical Benefits Regulations </w:t>
      </w:r>
      <w:r w:rsidRPr="00B3465A">
        <w:t>prescriptions are treated as a single supply, therefore if the value of the s49 supply meets or exceeds the relevant safety net threshold, a patient should only pay the relevant reduced co-payment (no co-payment for a concessional patient, $7.70 co-payment for a general patient)</w:t>
      </w:r>
      <w:r>
        <w:t>.</w:t>
      </w:r>
    </w:p>
    <w:p w14:paraId="15D7659E" w14:textId="77777777" w:rsidR="003B3132" w:rsidRDefault="003B3132" w:rsidP="003B3132"/>
    <w:p w14:paraId="0362200A" w14:textId="77777777" w:rsidR="003B3132" w:rsidRPr="00B3465A" w:rsidRDefault="003B3132" w:rsidP="003B3132">
      <w:r w:rsidRPr="0045672F">
        <w:rPr>
          <w:lang w:val="en-GB"/>
        </w:rPr>
        <w:t>For s49 prescriptions priced above the co-payment, patients pay the relevant number of co-payments, irrespective of whether the Commonwealth price calculations would make repeat supplies within the same dispense fall below the co-payment.</w:t>
      </w:r>
    </w:p>
    <w:p w14:paraId="6673D79A" w14:textId="77777777" w:rsidR="003B3132" w:rsidRPr="00B3465A" w:rsidRDefault="003B3132" w:rsidP="003B3132">
      <w:r w:rsidRPr="00B3465A">
        <w:t> </w:t>
      </w:r>
    </w:p>
    <w:p w14:paraId="05232317" w14:textId="77777777" w:rsidR="003B3132" w:rsidRPr="00B3465A" w:rsidRDefault="003B3132" w:rsidP="003B3132">
      <w:r w:rsidRPr="00B3465A">
        <w:t>This change will impact Australians that have a prescription from 1 January 2025 onwards that exactly meets the PBS Safety Net threshold amount.</w:t>
      </w:r>
    </w:p>
    <w:p w14:paraId="3005CB4D" w14:textId="77777777" w:rsidR="003B3132" w:rsidRPr="00B3465A" w:rsidRDefault="003B3132" w:rsidP="003B3132">
      <w:pPr>
        <w:numPr>
          <w:ilvl w:val="0"/>
          <w:numId w:val="6"/>
        </w:numPr>
      </w:pPr>
      <w:r w:rsidRPr="00B3465A">
        <w:t>Patients with a concessional entitlement are more likely to be impacted by the change, as the PBS Safety Net threshold amount is equivalent to exactly 36 prescriptions. These patients will now receive the 36th prescription for free (if no allowable discounts have been applied to previous prescriptions).</w:t>
      </w:r>
    </w:p>
    <w:p w14:paraId="69550750" w14:textId="77777777" w:rsidR="003B3132" w:rsidRPr="00B3465A" w:rsidRDefault="003B3132" w:rsidP="003B3132">
      <w:pPr>
        <w:numPr>
          <w:ilvl w:val="0"/>
          <w:numId w:val="6"/>
        </w:numPr>
      </w:pPr>
      <w:r w:rsidRPr="00B3465A">
        <w:t>General patients are less likely to be impacted by the change, as the safety net threshold amount ($1,694.00 in 2025) is not equivalent to a set number of prescriptions.</w:t>
      </w:r>
    </w:p>
    <w:p w14:paraId="7E0666B2" w14:textId="77777777" w:rsidR="003B3132" w:rsidRPr="00927670" w:rsidRDefault="003B3132" w:rsidP="003B3132"/>
    <w:p w14:paraId="569EA450" w14:textId="77777777" w:rsidR="003B3132" w:rsidRDefault="003B3132" w:rsidP="003B3132">
      <w:r>
        <w:t>Additional information on the PBS Safety Net is available at:</w:t>
      </w:r>
    </w:p>
    <w:p w14:paraId="1F126F66" w14:textId="77777777" w:rsidR="003B3132" w:rsidRDefault="003B3132" w:rsidP="003B3132">
      <w:pPr>
        <w:ind w:left="720"/>
      </w:pPr>
      <w:hyperlink r:id="rId6" w:history="1">
        <w:r w:rsidRPr="00D41156">
          <w:rPr>
            <w:rStyle w:val="Hyperlink"/>
          </w:rPr>
          <w:t>Pharmaceutical Benefits Scheme (PBS) | 5. The Safety Net Scheme</w:t>
        </w:r>
      </w:hyperlink>
    </w:p>
    <w:p w14:paraId="214869D5" w14:textId="77777777" w:rsidR="003B3132" w:rsidRDefault="003B3132" w:rsidP="003B3132">
      <w:pPr>
        <w:ind w:left="720"/>
      </w:pPr>
      <w:hyperlink r:id="rId7" w:anchor="all-accordions" w:history="1">
        <w:r w:rsidRPr="00D41156">
          <w:rPr>
            <w:rStyle w:val="Hyperlink"/>
          </w:rPr>
          <w:t>PBS Safety Net for pharmacists - Health professionals - Services Australia</w:t>
        </w:r>
      </w:hyperlink>
    </w:p>
    <w:p w14:paraId="7210D8AF" w14:textId="77777777" w:rsidR="003B3132" w:rsidRPr="00927670" w:rsidRDefault="003B3132" w:rsidP="003B3132"/>
    <w:p w14:paraId="0B559648" w14:textId="77777777" w:rsidR="003B3132" w:rsidRDefault="003B3132" w:rsidP="003B3132">
      <w:pPr>
        <w:rPr>
          <w:b/>
          <w:bCs/>
        </w:rPr>
      </w:pPr>
      <w:r>
        <w:rPr>
          <w:b/>
          <w:bCs/>
        </w:rPr>
        <w:t>Scenarios for the changes are below.</w:t>
      </w:r>
    </w:p>
    <w:p w14:paraId="6D73006D" w14:textId="77777777" w:rsidR="003B3132" w:rsidRDefault="003B3132" w:rsidP="003B3132">
      <w:pPr>
        <w:rPr>
          <w:b/>
          <w:bCs/>
        </w:rPr>
      </w:pPr>
    </w:p>
    <w:p w14:paraId="6FE43F3E" w14:textId="77777777" w:rsidR="003B3132" w:rsidRPr="00B3465A" w:rsidRDefault="003B3132" w:rsidP="003B3132">
      <w:pPr>
        <w:rPr>
          <w:i/>
          <w:iCs/>
        </w:rPr>
      </w:pPr>
      <w:r w:rsidRPr="00B3465A">
        <w:rPr>
          <w:i/>
          <w:iCs/>
        </w:rPr>
        <w:t>2025 Safety net threshold and co-payment amounts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188"/>
      </w:tblGrid>
      <w:tr w:rsidR="003B3132" w14:paraId="38777739" w14:textId="77777777" w:rsidTr="00BA0E07">
        <w:tc>
          <w:tcPr>
            <w:tcW w:w="3114" w:type="dxa"/>
          </w:tcPr>
          <w:p w14:paraId="225B3239" w14:textId="77777777" w:rsidR="003B3132" w:rsidRDefault="003B3132" w:rsidP="00BA0E07">
            <w:r w:rsidRPr="00CC53F5">
              <w:t xml:space="preserve">General patient co-payment: </w:t>
            </w:r>
          </w:p>
        </w:tc>
        <w:tc>
          <w:tcPr>
            <w:tcW w:w="1188" w:type="dxa"/>
          </w:tcPr>
          <w:p w14:paraId="1FA2828F" w14:textId="77777777" w:rsidR="003B3132" w:rsidRDefault="003B3132" w:rsidP="00BA0E07">
            <w:pPr>
              <w:jc w:val="right"/>
            </w:pPr>
            <w:r w:rsidRPr="00CC53F5">
              <w:t>$31.60</w:t>
            </w:r>
          </w:p>
        </w:tc>
      </w:tr>
      <w:tr w:rsidR="003B3132" w14:paraId="6E5E67F4" w14:textId="77777777" w:rsidTr="00BA0E07">
        <w:tc>
          <w:tcPr>
            <w:tcW w:w="3114" w:type="dxa"/>
          </w:tcPr>
          <w:p w14:paraId="5A25A64A" w14:textId="77777777" w:rsidR="003B3132" w:rsidRDefault="003B3132" w:rsidP="00BA0E07">
            <w:r w:rsidRPr="00CC53F5">
              <w:t xml:space="preserve">Concessional co-payment: </w:t>
            </w:r>
          </w:p>
        </w:tc>
        <w:tc>
          <w:tcPr>
            <w:tcW w:w="1188" w:type="dxa"/>
          </w:tcPr>
          <w:p w14:paraId="716943E4" w14:textId="77777777" w:rsidR="003B3132" w:rsidRDefault="003B3132" w:rsidP="00BA0E07">
            <w:pPr>
              <w:jc w:val="right"/>
            </w:pPr>
            <w:r w:rsidRPr="00CC53F5">
              <w:t>$7.70</w:t>
            </w:r>
          </w:p>
        </w:tc>
      </w:tr>
      <w:tr w:rsidR="003B3132" w14:paraId="52C048F4" w14:textId="77777777" w:rsidTr="00BA0E07">
        <w:tc>
          <w:tcPr>
            <w:tcW w:w="3114" w:type="dxa"/>
          </w:tcPr>
          <w:p w14:paraId="36C6EBA9" w14:textId="77777777" w:rsidR="003B3132" w:rsidRDefault="003B3132" w:rsidP="00BA0E07">
            <w:r w:rsidRPr="00CC53F5">
              <w:t xml:space="preserve">General patient safety net: </w:t>
            </w:r>
          </w:p>
        </w:tc>
        <w:tc>
          <w:tcPr>
            <w:tcW w:w="1188" w:type="dxa"/>
          </w:tcPr>
          <w:p w14:paraId="084B7B27" w14:textId="77777777" w:rsidR="003B3132" w:rsidRDefault="003B3132" w:rsidP="00BA0E07">
            <w:pPr>
              <w:jc w:val="right"/>
            </w:pPr>
            <w:r w:rsidRPr="00CC53F5">
              <w:t>$1,694.00</w:t>
            </w:r>
          </w:p>
        </w:tc>
      </w:tr>
      <w:tr w:rsidR="003B3132" w14:paraId="29AE1F8E" w14:textId="77777777" w:rsidTr="00BA0E07">
        <w:tc>
          <w:tcPr>
            <w:tcW w:w="3114" w:type="dxa"/>
          </w:tcPr>
          <w:p w14:paraId="35BBA4EA" w14:textId="77777777" w:rsidR="003B3132" w:rsidRDefault="003B3132" w:rsidP="00BA0E07">
            <w:r w:rsidRPr="00CC53F5">
              <w:t xml:space="preserve">Concessional safety net: </w:t>
            </w:r>
          </w:p>
        </w:tc>
        <w:tc>
          <w:tcPr>
            <w:tcW w:w="1188" w:type="dxa"/>
          </w:tcPr>
          <w:p w14:paraId="7AB26A8A" w14:textId="77777777" w:rsidR="003B3132" w:rsidRDefault="003B3132" w:rsidP="00BA0E07">
            <w:pPr>
              <w:jc w:val="right"/>
            </w:pPr>
            <w:r w:rsidRPr="00CC53F5">
              <w:t>$277.20</w:t>
            </w:r>
          </w:p>
        </w:tc>
      </w:tr>
    </w:tbl>
    <w:p w14:paraId="17FD41F6" w14:textId="77777777" w:rsidR="003B3132" w:rsidRDefault="003B3132" w:rsidP="003B3132"/>
    <w:p w14:paraId="69D836C2" w14:textId="77777777" w:rsidR="003B3132" w:rsidRDefault="003B3132" w:rsidP="003B3132"/>
    <w:p w14:paraId="26B999C1" w14:textId="77777777" w:rsidR="003B3132" w:rsidRDefault="003B3132" w:rsidP="003B3132"/>
    <w:p w14:paraId="394C3C75" w14:textId="77777777" w:rsidR="003B3132" w:rsidRPr="00B52D93" w:rsidRDefault="003B3132" w:rsidP="003B3132">
      <w:pPr>
        <w:rPr>
          <w:b/>
          <w:bCs/>
        </w:rPr>
      </w:pPr>
      <w:r w:rsidRPr="00F95842">
        <w:rPr>
          <w:b/>
          <w:bCs/>
        </w:rPr>
        <w:t>General Patients</w:t>
      </w:r>
      <w:r>
        <w:rPr>
          <w:b/>
          <w:bCs/>
        </w:rPr>
        <w:t>:</w:t>
      </w:r>
      <w:r w:rsidRPr="00C628DB">
        <w:rPr>
          <w:b/>
          <w:bCs/>
        </w:rPr>
        <w:t xml:space="preserve"> </w:t>
      </w:r>
      <w:r w:rsidRPr="00F95842">
        <w:rPr>
          <w:b/>
          <w:bCs/>
        </w:rPr>
        <w:t>Scenario 1</w:t>
      </w:r>
    </w:p>
    <w:p w14:paraId="3CB828F3" w14:textId="77777777" w:rsidR="003B3132" w:rsidRDefault="003B3132" w:rsidP="003B3132">
      <w:pPr>
        <w:pStyle w:val="ListParagraph"/>
        <w:numPr>
          <w:ilvl w:val="0"/>
          <w:numId w:val="1"/>
        </w:numPr>
      </w:pPr>
      <w:r w:rsidRPr="00B52D93">
        <w:t xml:space="preserve">A </w:t>
      </w:r>
      <w:r>
        <w:t xml:space="preserve">general </w:t>
      </w:r>
      <w:r w:rsidRPr="00B52D93">
        <w:t xml:space="preserve">patient has recorded a total </w:t>
      </w:r>
      <w:r>
        <w:t xml:space="preserve">safety net </w:t>
      </w:r>
      <w:r w:rsidRPr="00B52D93">
        <w:t>value of 5</w:t>
      </w:r>
      <w:r>
        <w:t>3</w:t>
      </w:r>
      <w:r w:rsidRPr="00B52D93">
        <w:t xml:space="preserve"> prescriptions at $31.60 for a total of</w:t>
      </w:r>
      <w:r>
        <w:t xml:space="preserve"> </w:t>
      </w:r>
      <w:r w:rsidRPr="00B52D93">
        <w:t>$</w:t>
      </w:r>
      <w:r w:rsidRPr="00C628DB">
        <w:t>1</w:t>
      </w:r>
      <w:r>
        <w:t>,</w:t>
      </w:r>
      <w:r w:rsidRPr="00C628DB">
        <w:t>674.8</w:t>
      </w:r>
      <w:r>
        <w:t>0</w:t>
      </w:r>
      <w:r w:rsidRPr="00B52D93">
        <w:t xml:space="preserve">. </w:t>
      </w:r>
    </w:p>
    <w:p w14:paraId="0007C0F5" w14:textId="77777777" w:rsidR="003B3132" w:rsidRDefault="003B3132" w:rsidP="003B3132">
      <w:pPr>
        <w:pStyle w:val="ListParagraph"/>
        <w:numPr>
          <w:ilvl w:val="0"/>
          <w:numId w:val="1"/>
        </w:numPr>
      </w:pPr>
      <w:r>
        <w:lastRenderedPageBreak/>
        <w:t xml:space="preserve">The </w:t>
      </w:r>
      <w:r w:rsidRPr="00B52D93">
        <w:t>5</w:t>
      </w:r>
      <w:r>
        <w:t xml:space="preserve">4th prescription, and subsequent </w:t>
      </w:r>
      <w:r w:rsidRPr="00B52D93">
        <w:t>prescription</w:t>
      </w:r>
      <w:r>
        <w:t>s</w:t>
      </w:r>
      <w:r w:rsidRPr="00B52D93">
        <w:t xml:space="preserve">, </w:t>
      </w:r>
      <w:r>
        <w:t>are charged at the concessional rate ($7.70).</w:t>
      </w:r>
    </w:p>
    <w:p w14:paraId="44821FD7" w14:textId="77777777" w:rsidR="003B3132" w:rsidRDefault="003B3132" w:rsidP="003B3132"/>
    <w:p w14:paraId="4F0C54B8" w14:textId="77777777" w:rsidR="003B3132" w:rsidRPr="00B52D93" w:rsidRDefault="003B3132" w:rsidP="003B3132">
      <w:pPr>
        <w:rPr>
          <w:b/>
          <w:bCs/>
        </w:rPr>
      </w:pPr>
      <w:r w:rsidRPr="00F95842">
        <w:rPr>
          <w:b/>
          <w:bCs/>
        </w:rPr>
        <w:t>General Patients</w:t>
      </w:r>
      <w:r>
        <w:rPr>
          <w:b/>
          <w:bCs/>
        </w:rPr>
        <w:t>:</w:t>
      </w:r>
      <w:r w:rsidRPr="00C628DB">
        <w:rPr>
          <w:b/>
          <w:bCs/>
        </w:rPr>
        <w:t xml:space="preserve"> </w:t>
      </w:r>
      <w:r w:rsidRPr="00F95842">
        <w:rPr>
          <w:b/>
          <w:bCs/>
        </w:rPr>
        <w:t xml:space="preserve">Scenario </w:t>
      </w:r>
      <w:r>
        <w:rPr>
          <w:b/>
          <w:bCs/>
        </w:rPr>
        <w:t>2</w:t>
      </w:r>
    </w:p>
    <w:p w14:paraId="271B079D" w14:textId="77777777" w:rsidR="003B3132" w:rsidRDefault="003B3132" w:rsidP="003B3132">
      <w:pPr>
        <w:pStyle w:val="ListParagraph"/>
        <w:numPr>
          <w:ilvl w:val="0"/>
          <w:numId w:val="2"/>
        </w:numPr>
      </w:pPr>
      <w:r w:rsidRPr="00B52D93">
        <w:t xml:space="preserve">A </w:t>
      </w:r>
      <w:r>
        <w:t xml:space="preserve">general </w:t>
      </w:r>
      <w:r w:rsidRPr="00B52D93">
        <w:t xml:space="preserve">patient has recorded a total </w:t>
      </w:r>
      <w:r>
        <w:t xml:space="preserve">safety net </w:t>
      </w:r>
      <w:r w:rsidRPr="00B52D93">
        <w:t>value of $</w:t>
      </w:r>
      <w:r w:rsidRPr="00CD1323">
        <w:t>1,662.40</w:t>
      </w:r>
      <w:r>
        <w:t>, exactly 1 general patient co</w:t>
      </w:r>
      <w:r>
        <w:noBreakHyphen/>
        <w:t>payment below the threshold</w:t>
      </w:r>
      <w:r w:rsidRPr="00B52D93">
        <w:t xml:space="preserve">. </w:t>
      </w:r>
    </w:p>
    <w:p w14:paraId="52FFD3AC" w14:textId="77777777" w:rsidR="003B3132" w:rsidRDefault="003B3132" w:rsidP="003B3132">
      <w:pPr>
        <w:pStyle w:val="ListParagraph"/>
        <w:numPr>
          <w:ilvl w:val="0"/>
          <w:numId w:val="2"/>
        </w:numPr>
      </w:pPr>
      <w:r>
        <w:t xml:space="preserve">The next and subsequent </w:t>
      </w:r>
      <w:r w:rsidRPr="00B52D93">
        <w:t>prescription</w:t>
      </w:r>
      <w:r>
        <w:t>s</w:t>
      </w:r>
      <w:r w:rsidRPr="00B52D93">
        <w:t xml:space="preserve"> </w:t>
      </w:r>
      <w:r>
        <w:t>are charged at the concessional rate ($7.70).</w:t>
      </w:r>
    </w:p>
    <w:p w14:paraId="3B684BD2" w14:textId="77777777" w:rsidR="003B3132" w:rsidRDefault="003B3132" w:rsidP="003B3132"/>
    <w:p w14:paraId="2B318511" w14:textId="77777777" w:rsidR="003B3132" w:rsidRPr="00B52D93" w:rsidRDefault="003B3132" w:rsidP="003B3132">
      <w:pPr>
        <w:rPr>
          <w:b/>
          <w:bCs/>
        </w:rPr>
      </w:pPr>
      <w:r>
        <w:rPr>
          <w:b/>
          <w:bCs/>
        </w:rPr>
        <w:t>Concessional</w:t>
      </w:r>
      <w:r w:rsidRPr="00F95842">
        <w:rPr>
          <w:b/>
          <w:bCs/>
        </w:rPr>
        <w:t xml:space="preserve"> Patients</w:t>
      </w:r>
      <w:r>
        <w:rPr>
          <w:b/>
          <w:bCs/>
        </w:rPr>
        <w:t>:</w:t>
      </w:r>
      <w:r w:rsidRPr="00C628DB">
        <w:rPr>
          <w:b/>
          <w:bCs/>
        </w:rPr>
        <w:t xml:space="preserve"> </w:t>
      </w:r>
      <w:r w:rsidRPr="00F95842">
        <w:rPr>
          <w:b/>
          <w:bCs/>
        </w:rPr>
        <w:t xml:space="preserve">Scenario </w:t>
      </w:r>
      <w:r>
        <w:rPr>
          <w:b/>
          <w:bCs/>
        </w:rPr>
        <w:t>3</w:t>
      </w:r>
    </w:p>
    <w:p w14:paraId="25CAA57C" w14:textId="77777777" w:rsidR="003B3132" w:rsidRDefault="003B3132" w:rsidP="003B3132">
      <w:pPr>
        <w:pStyle w:val="ListParagraph"/>
        <w:numPr>
          <w:ilvl w:val="0"/>
          <w:numId w:val="3"/>
        </w:numPr>
      </w:pPr>
      <w:r w:rsidRPr="00B52D93">
        <w:t xml:space="preserve">A </w:t>
      </w:r>
      <w:r>
        <w:t xml:space="preserve">concessional </w:t>
      </w:r>
      <w:r w:rsidRPr="00B52D93">
        <w:t xml:space="preserve">patient has recorded a total </w:t>
      </w:r>
      <w:r>
        <w:t xml:space="preserve">safety net </w:t>
      </w:r>
      <w:r w:rsidRPr="00B52D93">
        <w:t>value of $</w:t>
      </w:r>
      <w:r>
        <w:t>275.00</w:t>
      </w:r>
      <w:r w:rsidRPr="00B52D93">
        <w:t xml:space="preserve">. </w:t>
      </w:r>
    </w:p>
    <w:p w14:paraId="6A3B4463" w14:textId="77777777" w:rsidR="003B3132" w:rsidRDefault="003B3132" w:rsidP="003B3132">
      <w:pPr>
        <w:pStyle w:val="ListParagraph"/>
        <w:numPr>
          <w:ilvl w:val="0"/>
          <w:numId w:val="3"/>
        </w:numPr>
      </w:pPr>
      <w:r>
        <w:t xml:space="preserve">The next </w:t>
      </w:r>
      <w:r w:rsidRPr="00B52D93">
        <w:t xml:space="preserve">prescription </w:t>
      </w:r>
      <w:r>
        <w:t>is charged at no cost if:</w:t>
      </w:r>
    </w:p>
    <w:p w14:paraId="7EBB6899" w14:textId="77777777" w:rsidR="003B3132" w:rsidRDefault="003B3132" w:rsidP="003B3132">
      <w:pPr>
        <w:pStyle w:val="ListParagraph"/>
        <w:numPr>
          <w:ilvl w:val="0"/>
          <w:numId w:val="4"/>
        </w:numPr>
      </w:pPr>
      <w:r>
        <w:t>an entitlement card in the same transaction as supply of the prescription, and</w:t>
      </w:r>
    </w:p>
    <w:p w14:paraId="76A89F3A" w14:textId="77777777" w:rsidR="003B3132" w:rsidRDefault="003B3132" w:rsidP="003B3132">
      <w:pPr>
        <w:pStyle w:val="ListParagraph"/>
        <w:numPr>
          <w:ilvl w:val="0"/>
          <w:numId w:val="4"/>
        </w:numPr>
      </w:pPr>
      <w:r>
        <w:t>the claim is made through the Claims Transmission System (CTS).</w:t>
      </w:r>
    </w:p>
    <w:p w14:paraId="3DF178C5" w14:textId="77777777" w:rsidR="003B3132" w:rsidRDefault="003B3132" w:rsidP="003B3132">
      <w:pPr>
        <w:pStyle w:val="ListParagraph"/>
        <w:numPr>
          <w:ilvl w:val="0"/>
          <w:numId w:val="5"/>
        </w:numPr>
      </w:pPr>
      <w:r>
        <w:t xml:space="preserve">Subsequent </w:t>
      </w:r>
      <w:r w:rsidRPr="00B52D93">
        <w:t>prescription</w:t>
      </w:r>
      <w:r>
        <w:t>s</w:t>
      </w:r>
      <w:r w:rsidRPr="00B52D93">
        <w:t xml:space="preserve"> </w:t>
      </w:r>
      <w:r>
        <w:t>are charged at no cost.</w:t>
      </w:r>
    </w:p>
    <w:p w14:paraId="73B2EB6A" w14:textId="77777777" w:rsidR="003B3132" w:rsidRDefault="003B3132" w:rsidP="003B3132"/>
    <w:p w14:paraId="31FE3725" w14:textId="77777777" w:rsidR="003B3132" w:rsidRPr="00B52D93" w:rsidRDefault="003B3132" w:rsidP="003B3132">
      <w:pPr>
        <w:rPr>
          <w:b/>
          <w:bCs/>
        </w:rPr>
      </w:pPr>
      <w:r>
        <w:rPr>
          <w:b/>
          <w:bCs/>
        </w:rPr>
        <w:t xml:space="preserve">Concessional </w:t>
      </w:r>
      <w:r w:rsidRPr="00F95842">
        <w:rPr>
          <w:b/>
          <w:bCs/>
        </w:rPr>
        <w:t>Patients</w:t>
      </w:r>
      <w:r>
        <w:rPr>
          <w:b/>
          <w:bCs/>
        </w:rPr>
        <w:t>:</w:t>
      </w:r>
      <w:r w:rsidRPr="00C628DB">
        <w:rPr>
          <w:b/>
          <w:bCs/>
        </w:rPr>
        <w:t xml:space="preserve"> </w:t>
      </w:r>
      <w:r w:rsidRPr="00F95842">
        <w:rPr>
          <w:b/>
          <w:bCs/>
        </w:rPr>
        <w:t xml:space="preserve">Scenario </w:t>
      </w:r>
      <w:r>
        <w:rPr>
          <w:b/>
          <w:bCs/>
        </w:rPr>
        <w:t>4</w:t>
      </w:r>
    </w:p>
    <w:p w14:paraId="0096672E" w14:textId="77777777" w:rsidR="003B3132" w:rsidRDefault="003B3132" w:rsidP="003B3132">
      <w:pPr>
        <w:pStyle w:val="ListParagraph"/>
        <w:numPr>
          <w:ilvl w:val="0"/>
          <w:numId w:val="5"/>
        </w:numPr>
      </w:pPr>
      <w:r w:rsidRPr="00B52D93">
        <w:t xml:space="preserve">A </w:t>
      </w:r>
      <w:r>
        <w:t xml:space="preserve">concessional </w:t>
      </w:r>
      <w:r w:rsidRPr="00B52D93">
        <w:t xml:space="preserve">patient has recorded a total </w:t>
      </w:r>
      <w:r>
        <w:t xml:space="preserve">safety net </w:t>
      </w:r>
      <w:r w:rsidRPr="00B52D93">
        <w:t xml:space="preserve">value of </w:t>
      </w:r>
      <w:r>
        <w:t>35</w:t>
      </w:r>
      <w:r w:rsidRPr="00B52D93">
        <w:t xml:space="preserve"> prescriptions at $</w:t>
      </w:r>
      <w:r>
        <w:t>7.70</w:t>
      </w:r>
      <w:r w:rsidRPr="00B52D93">
        <w:t xml:space="preserve"> for a total of</w:t>
      </w:r>
      <w:r>
        <w:t xml:space="preserve"> </w:t>
      </w:r>
      <w:r w:rsidRPr="00B52D93">
        <w:t>$</w:t>
      </w:r>
      <w:r>
        <w:t>269.50, exactly 1 concessional co</w:t>
      </w:r>
      <w:r>
        <w:noBreakHyphen/>
        <w:t>payment below the threshold</w:t>
      </w:r>
      <w:r w:rsidRPr="00B52D93">
        <w:t xml:space="preserve">. </w:t>
      </w:r>
    </w:p>
    <w:p w14:paraId="2500EFEF" w14:textId="77777777" w:rsidR="003B3132" w:rsidRDefault="003B3132" w:rsidP="003B3132">
      <w:pPr>
        <w:pStyle w:val="ListParagraph"/>
        <w:numPr>
          <w:ilvl w:val="0"/>
          <w:numId w:val="3"/>
        </w:numPr>
      </w:pPr>
      <w:r>
        <w:t xml:space="preserve">The 36th </w:t>
      </w:r>
      <w:r w:rsidRPr="00B52D93">
        <w:t xml:space="preserve">prescription </w:t>
      </w:r>
      <w:r>
        <w:t>is charged at no cost if:</w:t>
      </w:r>
    </w:p>
    <w:p w14:paraId="30015B59" w14:textId="77777777" w:rsidR="003B3132" w:rsidRDefault="003B3132" w:rsidP="003B3132">
      <w:pPr>
        <w:pStyle w:val="ListParagraph"/>
        <w:numPr>
          <w:ilvl w:val="0"/>
          <w:numId w:val="4"/>
        </w:numPr>
      </w:pPr>
      <w:r>
        <w:t>an entitlement card in the same transaction as supply of the prescription, and</w:t>
      </w:r>
    </w:p>
    <w:p w14:paraId="3F1A3B2A" w14:textId="77777777" w:rsidR="003B3132" w:rsidRDefault="003B3132" w:rsidP="003B3132">
      <w:pPr>
        <w:pStyle w:val="ListParagraph"/>
        <w:numPr>
          <w:ilvl w:val="0"/>
          <w:numId w:val="4"/>
        </w:numPr>
      </w:pPr>
      <w:r>
        <w:t>the claim is made through the CTS.</w:t>
      </w:r>
    </w:p>
    <w:p w14:paraId="6C5C8393" w14:textId="77777777" w:rsidR="003B3132" w:rsidRDefault="003B3132" w:rsidP="003B3132">
      <w:pPr>
        <w:pStyle w:val="ListParagraph"/>
        <w:numPr>
          <w:ilvl w:val="0"/>
          <w:numId w:val="5"/>
        </w:numPr>
      </w:pPr>
      <w:r>
        <w:t xml:space="preserve">Subsequent </w:t>
      </w:r>
      <w:r w:rsidRPr="00B52D93">
        <w:t>prescription</w:t>
      </w:r>
      <w:r>
        <w:t>s</w:t>
      </w:r>
      <w:r w:rsidRPr="00B52D93">
        <w:t xml:space="preserve"> </w:t>
      </w:r>
      <w:r>
        <w:t>are charged at no cost.</w:t>
      </w:r>
    </w:p>
    <w:p w14:paraId="3430814F" w14:textId="77777777" w:rsidR="003B3132" w:rsidRDefault="003B3132" w:rsidP="003B3132"/>
    <w:p w14:paraId="43DD848C" w14:textId="77777777" w:rsidR="003B3132" w:rsidRPr="00BB09E8" w:rsidRDefault="003B3132" w:rsidP="003B3132">
      <w:pPr>
        <w:rPr>
          <w:b/>
          <w:bCs/>
        </w:rPr>
      </w:pPr>
      <w:r w:rsidRPr="00BB09E8">
        <w:rPr>
          <w:b/>
          <w:bCs/>
        </w:rPr>
        <w:t>Section 49 of the Pharmaceutical Benefits Regulations</w:t>
      </w:r>
      <w:r>
        <w:rPr>
          <w:b/>
          <w:bCs/>
        </w:rPr>
        <w:t xml:space="preserve"> (s49)</w:t>
      </w:r>
      <w:r w:rsidRPr="00BB09E8">
        <w:rPr>
          <w:b/>
          <w:bCs/>
        </w:rPr>
        <w:t xml:space="preserve">: Scenario </w:t>
      </w:r>
      <w:r>
        <w:rPr>
          <w:b/>
          <w:bCs/>
        </w:rPr>
        <w:t>5</w:t>
      </w:r>
    </w:p>
    <w:p w14:paraId="2432C853" w14:textId="77777777" w:rsidR="003B3132" w:rsidRDefault="003B3132" w:rsidP="003B3132">
      <w:pPr>
        <w:pStyle w:val="ListParagraph"/>
        <w:numPr>
          <w:ilvl w:val="0"/>
          <w:numId w:val="1"/>
        </w:numPr>
      </w:pPr>
      <w:r w:rsidRPr="00B52D93">
        <w:t xml:space="preserve">A </w:t>
      </w:r>
      <w:r>
        <w:t xml:space="preserve">general </w:t>
      </w:r>
      <w:r w:rsidRPr="00B52D93">
        <w:t xml:space="preserve">patient has recorded a total </w:t>
      </w:r>
      <w:r>
        <w:t xml:space="preserve">safety net </w:t>
      </w:r>
      <w:r w:rsidRPr="00B52D93">
        <w:t xml:space="preserve">value of </w:t>
      </w:r>
      <w:r w:rsidRPr="002C45B8">
        <w:t>$1,</w:t>
      </w:r>
      <w:r>
        <w:t>600.00</w:t>
      </w:r>
      <w:r w:rsidRPr="002C45B8">
        <w:t>,</w:t>
      </w:r>
      <w:r>
        <w:t xml:space="preserve"> </w:t>
      </w:r>
      <w:r w:rsidRPr="002C45B8">
        <w:t>which is $</w:t>
      </w:r>
      <w:r>
        <w:t>94.00</w:t>
      </w:r>
      <w:r w:rsidRPr="002C45B8">
        <w:t xml:space="preserve"> below the threshold</w:t>
      </w:r>
      <w:r w:rsidRPr="00B52D93">
        <w:t xml:space="preserve">. </w:t>
      </w:r>
    </w:p>
    <w:p w14:paraId="4B3BED58" w14:textId="77777777" w:rsidR="003B3132" w:rsidRDefault="003B3132" w:rsidP="003B3132">
      <w:pPr>
        <w:pStyle w:val="ListParagraph"/>
        <w:numPr>
          <w:ilvl w:val="0"/>
          <w:numId w:val="1"/>
        </w:numPr>
      </w:pPr>
      <w:r>
        <w:t>The next prescription is a section 49 prescription with 5 repeats, representing a single supply, and is charged at the concessional rate (6 x $7.70 = $46.20).</w:t>
      </w:r>
    </w:p>
    <w:p w14:paraId="550D36F6" w14:textId="77777777" w:rsidR="003B3132" w:rsidRDefault="003B3132" w:rsidP="003B3132">
      <w:pPr>
        <w:pStyle w:val="ListParagraph"/>
        <w:numPr>
          <w:ilvl w:val="0"/>
          <w:numId w:val="1"/>
        </w:numPr>
      </w:pPr>
      <w:r>
        <w:t xml:space="preserve">Subsequent </w:t>
      </w:r>
      <w:r w:rsidRPr="00B52D93">
        <w:t>prescription</w:t>
      </w:r>
      <w:r>
        <w:t>s</w:t>
      </w:r>
      <w:r w:rsidRPr="00B52D93">
        <w:t xml:space="preserve"> </w:t>
      </w:r>
      <w:r>
        <w:t>are charged at the concessional rate ($7.70).</w:t>
      </w:r>
    </w:p>
    <w:p w14:paraId="77026E14" w14:textId="77777777" w:rsidR="003B3132" w:rsidRDefault="003B3132" w:rsidP="003B3132"/>
    <w:p w14:paraId="3345F8FE" w14:textId="77777777" w:rsidR="003B3132" w:rsidRPr="00BB09E8" w:rsidRDefault="003B3132" w:rsidP="003B3132">
      <w:pPr>
        <w:rPr>
          <w:b/>
          <w:bCs/>
        </w:rPr>
      </w:pPr>
      <w:r w:rsidRPr="00BB09E8">
        <w:rPr>
          <w:b/>
          <w:bCs/>
        </w:rPr>
        <w:t>Section 49 of the Pharmaceutical Benefits Regulations</w:t>
      </w:r>
      <w:r>
        <w:rPr>
          <w:b/>
          <w:bCs/>
        </w:rPr>
        <w:t xml:space="preserve"> (s49)</w:t>
      </w:r>
      <w:r w:rsidRPr="00BB09E8">
        <w:rPr>
          <w:b/>
          <w:bCs/>
        </w:rPr>
        <w:t xml:space="preserve">: Scenario </w:t>
      </w:r>
      <w:r>
        <w:rPr>
          <w:b/>
          <w:bCs/>
        </w:rPr>
        <w:t>6</w:t>
      </w:r>
    </w:p>
    <w:p w14:paraId="1E6DE857" w14:textId="77777777" w:rsidR="003B3132" w:rsidRDefault="003B3132" w:rsidP="003B3132">
      <w:pPr>
        <w:pStyle w:val="ListParagraph"/>
        <w:numPr>
          <w:ilvl w:val="0"/>
          <w:numId w:val="5"/>
        </w:numPr>
      </w:pPr>
      <w:r w:rsidRPr="00B52D93">
        <w:t xml:space="preserve">A </w:t>
      </w:r>
      <w:r>
        <w:t xml:space="preserve">concessional </w:t>
      </w:r>
      <w:r w:rsidRPr="00B52D93">
        <w:t xml:space="preserve">patient has recorded a total </w:t>
      </w:r>
      <w:r>
        <w:t xml:space="preserve">safety net </w:t>
      </w:r>
      <w:r w:rsidRPr="00B52D93">
        <w:t xml:space="preserve">value of </w:t>
      </w:r>
      <w:r>
        <w:t>35</w:t>
      </w:r>
      <w:r w:rsidRPr="00B52D93">
        <w:t xml:space="preserve"> prescriptions at $</w:t>
      </w:r>
      <w:r>
        <w:t>7.70</w:t>
      </w:r>
      <w:r w:rsidRPr="00B52D93">
        <w:t xml:space="preserve"> for a total of</w:t>
      </w:r>
      <w:r>
        <w:t xml:space="preserve"> </w:t>
      </w:r>
      <w:r w:rsidRPr="00B52D93">
        <w:t>$</w:t>
      </w:r>
      <w:r>
        <w:t>269.50, exactly 1 concessional co</w:t>
      </w:r>
      <w:r>
        <w:noBreakHyphen/>
        <w:t>payment below the threshold</w:t>
      </w:r>
      <w:r w:rsidRPr="00B52D93">
        <w:t xml:space="preserve">. </w:t>
      </w:r>
    </w:p>
    <w:p w14:paraId="797710B1" w14:textId="77777777" w:rsidR="003B3132" w:rsidRDefault="003B3132" w:rsidP="003B3132">
      <w:pPr>
        <w:pStyle w:val="ListParagraph"/>
        <w:numPr>
          <w:ilvl w:val="0"/>
          <w:numId w:val="3"/>
        </w:numPr>
      </w:pPr>
      <w:r>
        <w:t>The 36th prescription is a section 49 prescription with 5 repeats, representing a single supply, and is charged at no cost if:</w:t>
      </w:r>
    </w:p>
    <w:p w14:paraId="67C85441" w14:textId="77777777" w:rsidR="003B3132" w:rsidRDefault="003B3132" w:rsidP="003B3132">
      <w:pPr>
        <w:pStyle w:val="ListParagraph"/>
        <w:numPr>
          <w:ilvl w:val="0"/>
          <w:numId w:val="4"/>
        </w:numPr>
      </w:pPr>
      <w:r>
        <w:t>an entitlement card in the same transaction as supply of the prescription, and</w:t>
      </w:r>
    </w:p>
    <w:p w14:paraId="0B55287E" w14:textId="77777777" w:rsidR="003B3132" w:rsidRDefault="003B3132" w:rsidP="003B3132">
      <w:pPr>
        <w:pStyle w:val="ListParagraph"/>
        <w:numPr>
          <w:ilvl w:val="0"/>
          <w:numId w:val="4"/>
        </w:numPr>
      </w:pPr>
      <w:r>
        <w:t>the claim is made through the CTS.</w:t>
      </w:r>
    </w:p>
    <w:p w14:paraId="5CFF2C4F" w14:textId="77777777" w:rsidR="003B3132" w:rsidRDefault="003B3132" w:rsidP="003B3132">
      <w:pPr>
        <w:pStyle w:val="ListParagraph"/>
        <w:numPr>
          <w:ilvl w:val="0"/>
          <w:numId w:val="5"/>
        </w:numPr>
      </w:pPr>
      <w:r>
        <w:t xml:space="preserve">Subsequent </w:t>
      </w:r>
      <w:r w:rsidRPr="00B52D93">
        <w:t>prescription</w:t>
      </w:r>
      <w:r>
        <w:t>s</w:t>
      </w:r>
      <w:r w:rsidRPr="00B52D93">
        <w:t xml:space="preserve"> </w:t>
      </w:r>
      <w:r>
        <w:t>are charged at no cost.</w:t>
      </w:r>
    </w:p>
    <w:p w14:paraId="4453B7ED" w14:textId="77777777" w:rsidR="003B3132" w:rsidRDefault="003B3132" w:rsidP="003B3132"/>
    <w:p w14:paraId="5AC3E825" w14:textId="77777777" w:rsidR="003B3132" w:rsidRPr="00BB09E8" w:rsidRDefault="003B3132" w:rsidP="003B3132">
      <w:pPr>
        <w:rPr>
          <w:b/>
          <w:bCs/>
        </w:rPr>
      </w:pPr>
      <w:r w:rsidRPr="00BB09E8">
        <w:rPr>
          <w:b/>
          <w:bCs/>
        </w:rPr>
        <w:t>Section 49 of the Pharmaceutical Benefits Regulations</w:t>
      </w:r>
      <w:r>
        <w:rPr>
          <w:b/>
          <w:bCs/>
        </w:rPr>
        <w:t xml:space="preserve"> (s49)</w:t>
      </w:r>
      <w:r w:rsidRPr="00BB09E8">
        <w:rPr>
          <w:b/>
          <w:bCs/>
        </w:rPr>
        <w:t xml:space="preserve">: Scenario </w:t>
      </w:r>
      <w:r>
        <w:rPr>
          <w:b/>
          <w:bCs/>
        </w:rPr>
        <w:t>7</w:t>
      </w:r>
    </w:p>
    <w:p w14:paraId="28ADC69C" w14:textId="77777777" w:rsidR="003B3132" w:rsidRDefault="003B3132" w:rsidP="003B3132">
      <w:pPr>
        <w:pStyle w:val="ListParagraph"/>
        <w:numPr>
          <w:ilvl w:val="0"/>
          <w:numId w:val="5"/>
        </w:numPr>
      </w:pPr>
      <w:r w:rsidRPr="00B52D93">
        <w:t xml:space="preserve">A </w:t>
      </w:r>
      <w:r>
        <w:t xml:space="preserve">concessional </w:t>
      </w:r>
      <w:r w:rsidRPr="00B52D93">
        <w:t xml:space="preserve">patient has recorded a total </w:t>
      </w:r>
      <w:r>
        <w:t xml:space="preserve">safety net </w:t>
      </w:r>
      <w:r w:rsidRPr="00B52D93">
        <w:t xml:space="preserve">value of </w:t>
      </w:r>
      <w:r>
        <w:t>32</w:t>
      </w:r>
      <w:r w:rsidRPr="00B52D93">
        <w:t xml:space="preserve"> prescriptions at $</w:t>
      </w:r>
      <w:r>
        <w:t>7.70</w:t>
      </w:r>
      <w:r w:rsidRPr="00B52D93">
        <w:t xml:space="preserve"> for a total of</w:t>
      </w:r>
      <w:r>
        <w:t xml:space="preserve"> $</w:t>
      </w:r>
      <w:r w:rsidRPr="00E5441B">
        <w:t>246.40</w:t>
      </w:r>
      <w:r>
        <w:t>, exactly 4 concessional co</w:t>
      </w:r>
      <w:r>
        <w:noBreakHyphen/>
        <w:t>payments below the threshold</w:t>
      </w:r>
      <w:r w:rsidRPr="00B52D93">
        <w:t xml:space="preserve">. </w:t>
      </w:r>
    </w:p>
    <w:p w14:paraId="2DA9091E" w14:textId="77777777" w:rsidR="003B3132" w:rsidRDefault="003B3132" w:rsidP="003B3132">
      <w:pPr>
        <w:pStyle w:val="ListParagraph"/>
        <w:numPr>
          <w:ilvl w:val="0"/>
          <w:numId w:val="3"/>
        </w:numPr>
      </w:pPr>
      <w:r>
        <w:t>The 33rd prescription is a section 49 prescription with 5 repeats, representing a single supply, and is charged at no cost if:</w:t>
      </w:r>
    </w:p>
    <w:p w14:paraId="48CF9173" w14:textId="77777777" w:rsidR="003B3132" w:rsidRDefault="003B3132" w:rsidP="003B3132">
      <w:pPr>
        <w:pStyle w:val="ListParagraph"/>
        <w:numPr>
          <w:ilvl w:val="0"/>
          <w:numId w:val="4"/>
        </w:numPr>
      </w:pPr>
      <w:r>
        <w:t>an entitlement card in the same transaction as supply of the prescription, and</w:t>
      </w:r>
    </w:p>
    <w:p w14:paraId="5E0BC28A" w14:textId="77777777" w:rsidR="003B3132" w:rsidRDefault="003B3132" w:rsidP="003B3132">
      <w:pPr>
        <w:pStyle w:val="ListParagraph"/>
        <w:numPr>
          <w:ilvl w:val="0"/>
          <w:numId w:val="4"/>
        </w:numPr>
      </w:pPr>
      <w:r>
        <w:t>the claim is made through the CTS.</w:t>
      </w:r>
    </w:p>
    <w:p w14:paraId="04331934" w14:textId="77777777" w:rsidR="003B3132" w:rsidRDefault="003B3132" w:rsidP="003B3132">
      <w:pPr>
        <w:pStyle w:val="ListParagraph"/>
        <w:numPr>
          <w:ilvl w:val="0"/>
          <w:numId w:val="5"/>
        </w:numPr>
      </w:pPr>
      <w:r>
        <w:t xml:space="preserve">Subsequent </w:t>
      </w:r>
      <w:r w:rsidRPr="00B52D93">
        <w:t>prescription</w:t>
      </w:r>
      <w:r>
        <w:t>s</w:t>
      </w:r>
      <w:r w:rsidRPr="00B52D93">
        <w:t xml:space="preserve"> </w:t>
      </w:r>
      <w:r>
        <w:t>are charged at no cost.</w:t>
      </w:r>
    </w:p>
    <w:p w14:paraId="375A970A" w14:textId="77777777" w:rsidR="003B3132" w:rsidRDefault="003B3132" w:rsidP="003B3132"/>
    <w:p w14:paraId="2961287C" w14:textId="77777777" w:rsidR="003B3132" w:rsidRDefault="003B3132" w:rsidP="003B3132">
      <w:r>
        <w:rPr>
          <w:b/>
          <w:bCs/>
        </w:rPr>
        <w:t>s49 Co-payments and Commonwealth Price for Reimbursement</w:t>
      </w:r>
      <w:r w:rsidRPr="00BB09E8">
        <w:rPr>
          <w:b/>
          <w:bCs/>
        </w:rPr>
        <w:t xml:space="preserve">: Scenario </w:t>
      </w:r>
      <w:r>
        <w:rPr>
          <w:b/>
          <w:bCs/>
        </w:rPr>
        <w:t>8</w:t>
      </w:r>
    </w:p>
    <w:p w14:paraId="0F5AEC53" w14:textId="77777777" w:rsidR="003B3132" w:rsidRPr="00893F69" w:rsidRDefault="003B3132" w:rsidP="003B3132">
      <w:pPr>
        <w:pStyle w:val="ListParagraph"/>
        <w:numPr>
          <w:ilvl w:val="0"/>
          <w:numId w:val="7"/>
        </w:numPr>
      </w:pPr>
      <w:r w:rsidRPr="00893F69">
        <w:t>s49 repeat supply (being original and one repeat) for Kinson 100mg tablets – PBS Item code 1242J. (</w:t>
      </w:r>
      <w:proofErr w:type="spellStart"/>
      <w:r w:rsidRPr="00893F69">
        <w:t>AEMP</w:t>
      </w:r>
      <w:proofErr w:type="spellEnd"/>
      <w:r w:rsidRPr="00893F69">
        <w:t xml:space="preserve"> = $17.65)​</w:t>
      </w:r>
    </w:p>
    <w:p w14:paraId="2E28E65F" w14:textId="77777777" w:rsidR="003B3132" w:rsidRPr="00DF3546" w:rsidRDefault="003B3132" w:rsidP="003B3132">
      <w:pPr>
        <w:pStyle w:val="ListParagraph"/>
        <w:numPr>
          <w:ilvl w:val="0"/>
          <w:numId w:val="7"/>
        </w:numPr>
      </w:pPr>
      <w:r w:rsidRPr="00893F69">
        <w:lastRenderedPageBreak/>
        <w:t>Price for Reimbursement if PBS subsidised – Under-copayment</w:t>
      </w:r>
      <w:r w:rsidRPr="00320A91">
        <w:rPr>
          <w:lang w:val="en-US"/>
        </w:rPr>
        <w:t>​</w:t>
      </w:r>
      <w:r w:rsidRPr="00893F69">
        <w:t>​</w:t>
      </w:r>
      <w:r w:rsidRPr="00320A91">
        <w:rPr>
          <w:rFonts w:ascii="Times New Roman" w:eastAsia="Times New Roman" w:hAnsi="Times New Roman"/>
          <w:kern w:val="0"/>
          <w:lang w:eastAsia="en-AU"/>
          <w14:ligatures w14:val="none"/>
        </w:rPr>
        <w:t xml:space="preserve"> </w:t>
      </w:r>
      <w:r w:rsidRPr="00DF3546">
        <w:t> </w:t>
      </w:r>
    </w:p>
    <w:tbl>
      <w:tblPr>
        <w:tblW w:w="8084" w:type="dxa"/>
        <w:tblInd w:w="1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4"/>
        <w:gridCol w:w="4793"/>
        <w:gridCol w:w="1147"/>
      </w:tblGrid>
      <w:tr w:rsidR="003B3132" w:rsidRPr="00DF3546" w14:paraId="72DB3F37" w14:textId="77777777" w:rsidTr="00BA0E07">
        <w:trPr>
          <w:trHeight w:val="198"/>
        </w:trPr>
        <w:tc>
          <w:tcPr>
            <w:tcW w:w="2144" w:type="dxa"/>
            <w:shd w:val="clear" w:color="auto" w:fill="auto"/>
            <w:hideMark/>
          </w:tcPr>
          <w:p w14:paraId="721AA985" w14:textId="77777777" w:rsidR="003B3132" w:rsidRPr="00DF3546" w:rsidRDefault="003B3132" w:rsidP="00BA0E07">
            <w:pPr>
              <w:rPr>
                <w:b/>
                <w:bCs/>
              </w:rPr>
            </w:pPr>
            <w:r w:rsidRPr="00DF3546">
              <w:rPr>
                <w:b/>
                <w:bCs/>
              </w:rPr>
              <w:t>Component​</w:t>
            </w:r>
          </w:p>
        </w:tc>
        <w:tc>
          <w:tcPr>
            <w:tcW w:w="4793" w:type="dxa"/>
            <w:shd w:val="clear" w:color="auto" w:fill="auto"/>
            <w:hideMark/>
          </w:tcPr>
          <w:p w14:paraId="03E63973" w14:textId="77777777" w:rsidR="003B3132" w:rsidRPr="00DF3546" w:rsidRDefault="003B3132" w:rsidP="00BA0E07">
            <w:pPr>
              <w:rPr>
                <w:b/>
                <w:bCs/>
              </w:rPr>
            </w:pPr>
            <w:r w:rsidRPr="00DF3546">
              <w:rPr>
                <w:b/>
                <w:bCs/>
              </w:rPr>
              <w:t>Calculation​</w:t>
            </w:r>
          </w:p>
        </w:tc>
        <w:tc>
          <w:tcPr>
            <w:tcW w:w="1147" w:type="dxa"/>
            <w:shd w:val="clear" w:color="auto" w:fill="auto"/>
            <w:hideMark/>
          </w:tcPr>
          <w:p w14:paraId="32369412" w14:textId="77777777" w:rsidR="003B3132" w:rsidRPr="00DF3546" w:rsidRDefault="003B3132" w:rsidP="00BA0E07">
            <w:pPr>
              <w:rPr>
                <w:b/>
                <w:bCs/>
              </w:rPr>
            </w:pPr>
            <w:r w:rsidRPr="00DF3546">
              <w:rPr>
                <w:b/>
                <w:bCs/>
              </w:rPr>
              <w:t>Price ​</w:t>
            </w:r>
          </w:p>
        </w:tc>
      </w:tr>
      <w:tr w:rsidR="003B3132" w:rsidRPr="00DF3546" w14:paraId="77BDB747" w14:textId="77777777" w:rsidTr="00BA0E07">
        <w:trPr>
          <w:trHeight w:val="288"/>
        </w:trPr>
        <w:tc>
          <w:tcPr>
            <w:tcW w:w="2144" w:type="dxa"/>
            <w:shd w:val="clear" w:color="auto" w:fill="auto"/>
            <w:hideMark/>
          </w:tcPr>
          <w:p w14:paraId="60152886" w14:textId="77777777" w:rsidR="003B3132" w:rsidRPr="00DF3546" w:rsidRDefault="003B3132" w:rsidP="00BA0E07">
            <w:pPr>
              <w:rPr>
                <w:lang w:val="en-US"/>
              </w:rPr>
            </w:pPr>
            <w:r w:rsidRPr="00DF3546">
              <w:t>Wholesale price</w:t>
            </w:r>
            <w:r w:rsidRPr="00DF3546">
              <w:rPr>
                <w:lang w:val="en-US"/>
              </w:rPr>
              <w:t>​</w:t>
            </w:r>
          </w:p>
        </w:tc>
        <w:tc>
          <w:tcPr>
            <w:tcW w:w="4793" w:type="dxa"/>
            <w:shd w:val="clear" w:color="auto" w:fill="auto"/>
            <w:hideMark/>
          </w:tcPr>
          <w:p w14:paraId="26C08D26" w14:textId="77777777" w:rsidR="003B3132" w:rsidRPr="00DF3546" w:rsidRDefault="003B3132" w:rsidP="00BA0E07">
            <w:pPr>
              <w:rPr>
                <w:lang w:val="en-US"/>
              </w:rPr>
            </w:pPr>
            <w:proofErr w:type="spellStart"/>
            <w:r w:rsidRPr="00DF3546">
              <w:t>AEMP</w:t>
            </w:r>
            <w:proofErr w:type="spellEnd"/>
            <w:r w:rsidRPr="00DF3546">
              <w:t xml:space="preserve"> 2 x $17.65 + $2.65 wholesale </w:t>
            </w:r>
            <w:proofErr w:type="gramStart"/>
            <w:r w:rsidRPr="00DF3546">
              <w:t>markup  </w:t>
            </w:r>
            <w:r w:rsidRPr="00DF3546">
              <w:rPr>
                <w:lang w:val="en-US"/>
              </w:rPr>
              <w:t>​</w:t>
            </w:r>
            <w:proofErr w:type="gramEnd"/>
          </w:p>
        </w:tc>
        <w:tc>
          <w:tcPr>
            <w:tcW w:w="1147" w:type="dxa"/>
            <w:shd w:val="clear" w:color="auto" w:fill="auto"/>
            <w:hideMark/>
          </w:tcPr>
          <w:p w14:paraId="43F3B6EF" w14:textId="77777777" w:rsidR="003B3132" w:rsidRPr="00DF3546" w:rsidRDefault="003B3132" w:rsidP="00BA0E07">
            <w:r w:rsidRPr="00DF3546">
              <w:t>$37.96​</w:t>
            </w:r>
          </w:p>
        </w:tc>
      </w:tr>
      <w:tr w:rsidR="003B3132" w:rsidRPr="00DF3546" w14:paraId="730B2DA9" w14:textId="77777777" w:rsidTr="00BA0E07">
        <w:trPr>
          <w:trHeight w:val="378"/>
        </w:trPr>
        <w:tc>
          <w:tcPr>
            <w:tcW w:w="2144" w:type="dxa"/>
            <w:shd w:val="clear" w:color="auto" w:fill="auto"/>
            <w:hideMark/>
          </w:tcPr>
          <w:p w14:paraId="442D116F" w14:textId="77777777" w:rsidR="003B3132" w:rsidRPr="00DF3546" w:rsidRDefault="003B3132" w:rsidP="00BA0E07">
            <w:r w:rsidRPr="00DF3546">
              <w:t>Dispensing fee​</w:t>
            </w:r>
          </w:p>
        </w:tc>
        <w:tc>
          <w:tcPr>
            <w:tcW w:w="4793" w:type="dxa"/>
            <w:shd w:val="clear" w:color="auto" w:fill="auto"/>
            <w:hideMark/>
          </w:tcPr>
          <w:p w14:paraId="1002A5DF" w14:textId="77777777" w:rsidR="003B3132" w:rsidRPr="00DF3546" w:rsidRDefault="003B3132" w:rsidP="00BA0E07">
            <w:r w:rsidRPr="00DF3546">
              <w:t>$8.67 per dispense​</w:t>
            </w:r>
          </w:p>
        </w:tc>
        <w:tc>
          <w:tcPr>
            <w:tcW w:w="1147" w:type="dxa"/>
            <w:shd w:val="clear" w:color="auto" w:fill="auto"/>
            <w:hideMark/>
          </w:tcPr>
          <w:p w14:paraId="50A2079F" w14:textId="77777777" w:rsidR="003B3132" w:rsidRPr="00DF3546" w:rsidRDefault="003B3132" w:rsidP="00BA0E07">
            <w:r w:rsidRPr="00DF3546">
              <w:t>$8.67​</w:t>
            </w:r>
          </w:p>
        </w:tc>
      </w:tr>
      <w:tr w:rsidR="003B3132" w:rsidRPr="00DF3546" w14:paraId="18C8A68E" w14:textId="77777777" w:rsidTr="00BA0E07">
        <w:trPr>
          <w:trHeight w:val="384"/>
        </w:trPr>
        <w:tc>
          <w:tcPr>
            <w:tcW w:w="2144" w:type="dxa"/>
            <w:shd w:val="clear" w:color="auto" w:fill="auto"/>
            <w:hideMark/>
          </w:tcPr>
          <w:p w14:paraId="0EE39081" w14:textId="77777777" w:rsidR="003B3132" w:rsidRPr="00DF3546" w:rsidRDefault="003B3132" w:rsidP="00BA0E07">
            <w:r w:rsidRPr="00DF3546">
              <w:t>AHI (Markup)​</w:t>
            </w:r>
          </w:p>
        </w:tc>
        <w:tc>
          <w:tcPr>
            <w:tcW w:w="4793" w:type="dxa"/>
            <w:shd w:val="clear" w:color="auto" w:fill="auto"/>
            <w:hideMark/>
          </w:tcPr>
          <w:p w14:paraId="4B2B4BC0" w14:textId="77777777" w:rsidR="003B3132" w:rsidRPr="00DF3546" w:rsidRDefault="003B3132" w:rsidP="00BA0E07">
            <w:r w:rsidRPr="00DF3546">
              <w:t>2 x $4.79​</w:t>
            </w:r>
          </w:p>
        </w:tc>
        <w:tc>
          <w:tcPr>
            <w:tcW w:w="1147" w:type="dxa"/>
            <w:shd w:val="clear" w:color="auto" w:fill="auto"/>
            <w:hideMark/>
          </w:tcPr>
          <w:p w14:paraId="5705E901" w14:textId="77777777" w:rsidR="003B3132" w:rsidRPr="00DF3546" w:rsidRDefault="003B3132" w:rsidP="00BA0E07">
            <w:r w:rsidRPr="00DF3546">
              <w:t>$9.58​</w:t>
            </w:r>
          </w:p>
        </w:tc>
      </w:tr>
      <w:tr w:rsidR="003B3132" w:rsidRPr="00DF3546" w14:paraId="2E6A3EF2" w14:textId="77777777" w:rsidTr="00BA0E07">
        <w:trPr>
          <w:trHeight w:val="234"/>
        </w:trPr>
        <w:tc>
          <w:tcPr>
            <w:tcW w:w="2144" w:type="dxa"/>
            <w:shd w:val="clear" w:color="auto" w:fill="auto"/>
            <w:hideMark/>
          </w:tcPr>
          <w:p w14:paraId="64AA4B3C" w14:textId="77777777" w:rsidR="003B3132" w:rsidRPr="00DF3546" w:rsidRDefault="003B3132" w:rsidP="00BA0E07">
            <w:pPr>
              <w:rPr>
                <w:lang w:val="en-US"/>
              </w:rPr>
            </w:pPr>
            <w:r w:rsidRPr="00DF3546">
              <w:rPr>
                <w:b/>
                <w:bCs/>
              </w:rPr>
              <w:t>Total</w:t>
            </w:r>
            <w:r w:rsidRPr="00DF3546">
              <w:rPr>
                <w:lang w:val="en-US"/>
              </w:rPr>
              <w:t>​</w:t>
            </w:r>
          </w:p>
        </w:tc>
        <w:tc>
          <w:tcPr>
            <w:tcW w:w="4793" w:type="dxa"/>
            <w:shd w:val="clear" w:color="auto" w:fill="auto"/>
            <w:hideMark/>
          </w:tcPr>
          <w:p w14:paraId="741518BB" w14:textId="77777777" w:rsidR="003B3132" w:rsidRPr="00DF3546" w:rsidRDefault="003B3132" w:rsidP="00BA0E07">
            <w:r w:rsidRPr="00DF3546">
              <w:t>​</w:t>
            </w:r>
          </w:p>
        </w:tc>
        <w:tc>
          <w:tcPr>
            <w:tcW w:w="1147" w:type="dxa"/>
            <w:shd w:val="clear" w:color="auto" w:fill="auto"/>
            <w:hideMark/>
          </w:tcPr>
          <w:p w14:paraId="6862B943" w14:textId="77777777" w:rsidR="003B3132" w:rsidRPr="00DF3546" w:rsidRDefault="003B3132" w:rsidP="00BA0E07">
            <w:r w:rsidRPr="00DF3546">
              <w:rPr>
                <w:b/>
                <w:bCs/>
              </w:rPr>
              <w:t>$56.21</w:t>
            </w:r>
            <w:r w:rsidRPr="00DF3546">
              <w:t>​</w:t>
            </w:r>
          </w:p>
        </w:tc>
      </w:tr>
    </w:tbl>
    <w:p w14:paraId="3CFD8A34" w14:textId="77777777" w:rsidR="003B3132" w:rsidRPr="00322A1E" w:rsidRDefault="003B3132" w:rsidP="003B3132">
      <w:pPr>
        <w:pStyle w:val="ListParagraph"/>
        <w:numPr>
          <w:ilvl w:val="0"/>
          <w:numId w:val="8"/>
        </w:numPr>
      </w:pPr>
      <w:r w:rsidRPr="00322A1E">
        <w:t xml:space="preserve">Patient Co-payment </w:t>
      </w:r>
      <w:r>
        <w:t xml:space="preserve">is </w:t>
      </w:r>
      <w:r w:rsidRPr="00322A1E">
        <w:t xml:space="preserve">2 x $31.60 = $63.20 where </w:t>
      </w:r>
      <w:r w:rsidRPr="001F3F9A">
        <w:rPr>
          <w:lang w:val="en-GB"/>
        </w:rPr>
        <w:t>standard discounting and under-co pricing can be applied.</w:t>
      </w:r>
      <w:r w:rsidRPr="001F3F9A">
        <w:rPr>
          <w:lang w:val="en-US"/>
        </w:rPr>
        <w:t> </w:t>
      </w:r>
      <w:r w:rsidRPr="00322A1E">
        <w:t>​</w:t>
      </w:r>
    </w:p>
    <w:p w14:paraId="65ABC0E2" w14:textId="77777777" w:rsidR="003B3132" w:rsidRPr="001F3F9A" w:rsidRDefault="003B3132" w:rsidP="003B3132">
      <w:pPr>
        <w:pStyle w:val="ListParagraph"/>
        <w:numPr>
          <w:ilvl w:val="0"/>
          <w:numId w:val="8"/>
        </w:numPr>
        <w:rPr>
          <w:lang w:val="en-US"/>
        </w:rPr>
      </w:pPr>
      <w:r w:rsidRPr="001F3F9A">
        <w:rPr>
          <w:lang w:val="en-US"/>
        </w:rPr>
        <w:t>Amount to be recorded against a patient’s safety net is the amount charged to the patient, less such items as additional patient charge.</w:t>
      </w:r>
    </w:p>
    <w:p w14:paraId="09138FB2" w14:textId="77777777" w:rsidR="003B3132" w:rsidRDefault="003B3132" w:rsidP="003B3132"/>
    <w:p w14:paraId="4E7C613A" w14:textId="77777777" w:rsidR="003B3132" w:rsidRDefault="003B3132" w:rsidP="003B3132"/>
    <w:p w14:paraId="14AAC571" w14:textId="77777777" w:rsidR="003B3132" w:rsidRDefault="003B3132" w:rsidP="003B3132"/>
    <w:p w14:paraId="76652B95" w14:textId="77777777" w:rsidR="003B3132" w:rsidRDefault="003B3132" w:rsidP="003B3132"/>
    <w:p w14:paraId="2245E16D" w14:textId="77777777" w:rsidR="003B3132" w:rsidRDefault="003B3132" w:rsidP="003B3132"/>
    <w:p w14:paraId="440578ED" w14:textId="77777777" w:rsidR="00122225" w:rsidRDefault="00122225" w:rsidP="003B3132"/>
    <w:sectPr w:rsidR="00122225" w:rsidSect="002C45B8">
      <w:pgSz w:w="11906" w:h="16838"/>
      <w:pgMar w:top="737" w:right="964" w:bottom="68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223"/>
    <w:multiLevelType w:val="hybridMultilevel"/>
    <w:tmpl w:val="08422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2B1F90"/>
    <w:multiLevelType w:val="multilevel"/>
    <w:tmpl w:val="235CE9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E41FB6"/>
    <w:multiLevelType w:val="multilevel"/>
    <w:tmpl w:val="96605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E1C2A"/>
    <w:multiLevelType w:val="hybridMultilevel"/>
    <w:tmpl w:val="46CA1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88366B"/>
    <w:multiLevelType w:val="hybridMultilevel"/>
    <w:tmpl w:val="C422081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46E7579"/>
    <w:multiLevelType w:val="hybridMultilevel"/>
    <w:tmpl w:val="E7E86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961608"/>
    <w:multiLevelType w:val="multilevel"/>
    <w:tmpl w:val="235CE9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F096F6A"/>
    <w:multiLevelType w:val="hybridMultilevel"/>
    <w:tmpl w:val="4664E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9745126">
    <w:abstractNumId w:val="0"/>
  </w:num>
  <w:num w:numId="2" w16cid:durableId="532235893">
    <w:abstractNumId w:val="3"/>
  </w:num>
  <w:num w:numId="3" w16cid:durableId="1590305975">
    <w:abstractNumId w:val="5"/>
  </w:num>
  <w:num w:numId="4" w16cid:durableId="550308748">
    <w:abstractNumId w:val="4"/>
  </w:num>
  <w:num w:numId="5" w16cid:durableId="839855803">
    <w:abstractNumId w:val="7"/>
  </w:num>
  <w:num w:numId="6" w16cid:durableId="1073743307">
    <w:abstractNumId w:val="2"/>
  </w:num>
  <w:num w:numId="7" w16cid:durableId="694500648">
    <w:abstractNumId w:val="6"/>
  </w:num>
  <w:num w:numId="8" w16cid:durableId="179243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93"/>
    <w:rsid w:val="000E047D"/>
    <w:rsid w:val="00122225"/>
    <w:rsid w:val="00145B2B"/>
    <w:rsid w:val="001531B5"/>
    <w:rsid w:val="0024550A"/>
    <w:rsid w:val="00280050"/>
    <w:rsid w:val="002C45B8"/>
    <w:rsid w:val="003A1046"/>
    <w:rsid w:val="003A3C6C"/>
    <w:rsid w:val="003B3132"/>
    <w:rsid w:val="0043781F"/>
    <w:rsid w:val="00476C62"/>
    <w:rsid w:val="00504864"/>
    <w:rsid w:val="005275AA"/>
    <w:rsid w:val="005B79CF"/>
    <w:rsid w:val="0067167D"/>
    <w:rsid w:val="00682ED2"/>
    <w:rsid w:val="007753EB"/>
    <w:rsid w:val="007A5C67"/>
    <w:rsid w:val="007B4E6D"/>
    <w:rsid w:val="00907F45"/>
    <w:rsid w:val="00A36B31"/>
    <w:rsid w:val="00B13F37"/>
    <w:rsid w:val="00B22E10"/>
    <w:rsid w:val="00B3465A"/>
    <w:rsid w:val="00B52D93"/>
    <w:rsid w:val="00BB09E8"/>
    <w:rsid w:val="00C211EE"/>
    <w:rsid w:val="00C35942"/>
    <w:rsid w:val="00C628DB"/>
    <w:rsid w:val="00CD1323"/>
    <w:rsid w:val="00E5441B"/>
    <w:rsid w:val="00E703A5"/>
    <w:rsid w:val="00E85A96"/>
    <w:rsid w:val="00EA5B12"/>
    <w:rsid w:val="00F14D6C"/>
    <w:rsid w:val="00F36814"/>
    <w:rsid w:val="00F958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CF24"/>
  <w15:chartTrackingRefBased/>
  <w15:docId w15:val="{043DFC69-3A48-432E-BF96-D153BE78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046"/>
    <w:pPr>
      <w:spacing w:after="0" w:line="240" w:lineRule="auto"/>
    </w:pPr>
    <w:rPr>
      <w:rFonts w:ascii="Calibri" w:hAnsi="Calibri"/>
    </w:rPr>
  </w:style>
  <w:style w:type="paragraph" w:styleId="Heading1">
    <w:name w:val="heading 1"/>
    <w:basedOn w:val="Normal"/>
    <w:next w:val="Normal"/>
    <w:link w:val="Heading1Char"/>
    <w:uiPriority w:val="9"/>
    <w:qFormat/>
    <w:rsid w:val="00B52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D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D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2D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2D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2D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2D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2D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D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D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2D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2D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2D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2D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2D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2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D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D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2D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2D93"/>
    <w:rPr>
      <w:rFonts w:ascii="Calibri" w:hAnsi="Calibri"/>
      <w:i/>
      <w:iCs/>
      <w:color w:val="404040" w:themeColor="text1" w:themeTint="BF"/>
    </w:rPr>
  </w:style>
  <w:style w:type="paragraph" w:styleId="ListParagraph">
    <w:name w:val="List Paragraph"/>
    <w:basedOn w:val="Normal"/>
    <w:uiPriority w:val="34"/>
    <w:qFormat/>
    <w:rsid w:val="00B52D93"/>
    <w:pPr>
      <w:ind w:left="720"/>
      <w:contextualSpacing/>
    </w:pPr>
  </w:style>
  <w:style w:type="character" w:styleId="IntenseEmphasis">
    <w:name w:val="Intense Emphasis"/>
    <w:basedOn w:val="DefaultParagraphFont"/>
    <w:uiPriority w:val="21"/>
    <w:qFormat/>
    <w:rsid w:val="00B52D93"/>
    <w:rPr>
      <w:i/>
      <w:iCs/>
      <w:color w:val="0F4761" w:themeColor="accent1" w:themeShade="BF"/>
    </w:rPr>
  </w:style>
  <w:style w:type="paragraph" w:styleId="IntenseQuote">
    <w:name w:val="Intense Quote"/>
    <w:basedOn w:val="Normal"/>
    <w:next w:val="Normal"/>
    <w:link w:val="IntenseQuoteChar"/>
    <w:uiPriority w:val="30"/>
    <w:qFormat/>
    <w:rsid w:val="00B52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D93"/>
    <w:rPr>
      <w:rFonts w:ascii="Calibri" w:hAnsi="Calibri"/>
      <w:i/>
      <w:iCs/>
      <w:color w:val="0F4761" w:themeColor="accent1" w:themeShade="BF"/>
    </w:rPr>
  </w:style>
  <w:style w:type="character" w:styleId="IntenseReference">
    <w:name w:val="Intense Reference"/>
    <w:basedOn w:val="DefaultParagraphFont"/>
    <w:uiPriority w:val="32"/>
    <w:qFormat/>
    <w:rsid w:val="00B52D93"/>
    <w:rPr>
      <w:b/>
      <w:bCs/>
      <w:smallCaps/>
      <w:color w:val="0F4761" w:themeColor="accent1" w:themeShade="BF"/>
      <w:spacing w:val="5"/>
    </w:rPr>
  </w:style>
  <w:style w:type="table" w:styleId="TableGrid">
    <w:name w:val="Table Grid"/>
    <w:basedOn w:val="TableNormal"/>
    <w:uiPriority w:val="39"/>
    <w:rsid w:val="005B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31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93412">
      <w:bodyDiv w:val="1"/>
      <w:marLeft w:val="0"/>
      <w:marRight w:val="0"/>
      <w:marTop w:val="0"/>
      <w:marBottom w:val="0"/>
      <w:divBdr>
        <w:top w:val="none" w:sz="0" w:space="0" w:color="auto"/>
        <w:left w:val="none" w:sz="0" w:space="0" w:color="auto"/>
        <w:bottom w:val="none" w:sz="0" w:space="0" w:color="auto"/>
        <w:right w:val="none" w:sz="0" w:space="0" w:color="auto"/>
      </w:divBdr>
    </w:div>
    <w:div w:id="596133337">
      <w:bodyDiv w:val="1"/>
      <w:marLeft w:val="0"/>
      <w:marRight w:val="0"/>
      <w:marTop w:val="0"/>
      <w:marBottom w:val="0"/>
      <w:divBdr>
        <w:top w:val="none" w:sz="0" w:space="0" w:color="auto"/>
        <w:left w:val="none" w:sz="0" w:space="0" w:color="auto"/>
        <w:bottom w:val="none" w:sz="0" w:space="0" w:color="auto"/>
        <w:right w:val="none" w:sz="0" w:space="0" w:color="auto"/>
      </w:divBdr>
    </w:div>
    <w:div w:id="1124929714">
      <w:bodyDiv w:val="1"/>
      <w:marLeft w:val="0"/>
      <w:marRight w:val="0"/>
      <w:marTop w:val="0"/>
      <w:marBottom w:val="0"/>
      <w:divBdr>
        <w:top w:val="none" w:sz="0" w:space="0" w:color="auto"/>
        <w:left w:val="none" w:sz="0" w:space="0" w:color="auto"/>
        <w:bottom w:val="none" w:sz="0" w:space="0" w:color="auto"/>
        <w:right w:val="none" w:sz="0" w:space="0" w:color="auto"/>
      </w:divBdr>
    </w:div>
    <w:div w:id="1504664509">
      <w:bodyDiv w:val="1"/>
      <w:marLeft w:val="0"/>
      <w:marRight w:val="0"/>
      <w:marTop w:val="0"/>
      <w:marBottom w:val="0"/>
      <w:divBdr>
        <w:top w:val="none" w:sz="0" w:space="0" w:color="auto"/>
        <w:left w:val="none" w:sz="0" w:space="0" w:color="auto"/>
        <w:bottom w:val="none" w:sz="0" w:space="0" w:color="auto"/>
        <w:right w:val="none" w:sz="0" w:space="0" w:color="auto"/>
      </w:divBdr>
    </w:div>
    <w:div w:id="1512989501">
      <w:bodyDiv w:val="1"/>
      <w:marLeft w:val="0"/>
      <w:marRight w:val="0"/>
      <w:marTop w:val="0"/>
      <w:marBottom w:val="0"/>
      <w:divBdr>
        <w:top w:val="none" w:sz="0" w:space="0" w:color="auto"/>
        <w:left w:val="none" w:sz="0" w:space="0" w:color="auto"/>
        <w:bottom w:val="none" w:sz="0" w:space="0" w:color="auto"/>
        <w:right w:val="none" w:sz="0" w:space="0" w:color="auto"/>
      </w:divBdr>
    </w:div>
    <w:div w:id="162098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ervicesaustralia.gov.au/pbs-safety-net-for-pharmacists?context=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bs.gov.au/info/healthpro/explanatory-notes/section1/Section_1_5_Explanatory_Not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29A3-8929-4F34-85C6-CB7A4E21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Steven</dc:creator>
  <cp:keywords/>
  <dc:description/>
  <cp:lastModifiedBy>HAYCRAFT, Chantal</cp:lastModifiedBy>
  <cp:revision>2</cp:revision>
  <dcterms:created xsi:type="dcterms:W3CDTF">2025-04-15T02:22:00Z</dcterms:created>
  <dcterms:modified xsi:type="dcterms:W3CDTF">2025-04-15T02:22:00Z</dcterms:modified>
</cp:coreProperties>
</file>