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36" w:rsidRPr="00432041" w:rsidRDefault="00D51F36" w:rsidP="00D51F36">
      <w:pPr>
        <w:pStyle w:val="Heading1"/>
        <w:rPr>
          <w:rFonts w:asciiTheme="minorHAnsi" w:hAnsiTheme="minorHAnsi"/>
          <w:sz w:val="24"/>
          <w:szCs w:val="24"/>
          <w:u w:val="single"/>
        </w:rPr>
      </w:pPr>
      <w:r w:rsidRPr="00432041">
        <w:rPr>
          <w:rFonts w:asciiTheme="minorHAnsi" w:hAnsiTheme="minorHAnsi"/>
          <w:sz w:val="24"/>
          <w:szCs w:val="24"/>
          <w:u w:val="single"/>
        </w:rPr>
        <w:t>Simplified Price Disclosure</w:t>
      </w:r>
    </w:p>
    <w:p w:rsidR="00BE781B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  <w:lang w:val="en-AU"/>
        </w:rPr>
        <w:t>Reduces the Price Disclosure cycles from three cycles to one rolling cycle</w:t>
      </w:r>
    </w:p>
    <w:p w:rsidR="00BE781B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  <w:lang w:val="en-AU"/>
        </w:rPr>
        <w:t xml:space="preserve">Reduces the Price Disclosure cycle length from 18 to12 months </w:t>
      </w:r>
    </w:p>
    <w:p w:rsidR="00BE781B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  <w:lang w:val="en-AU"/>
        </w:rPr>
        <w:t>Reduces the Price Disclosure price reduction days from three to two</w:t>
      </w:r>
    </w:p>
    <w:p w:rsidR="00BE781B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  <w:lang w:val="en-AU"/>
        </w:rPr>
        <w:t>Brings forward price reductions which are already due to occur</w:t>
      </w:r>
    </w:p>
    <w:p w:rsidR="00BE781B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  <w:lang w:val="en-AU"/>
        </w:rPr>
        <w:t>First price changes start 1 October 2014</w:t>
      </w:r>
    </w:p>
    <w:p w:rsidR="001274FC" w:rsidRPr="00432041" w:rsidRDefault="001274FC">
      <w:pPr>
        <w:rPr>
          <w:rFonts w:asciiTheme="minorHAnsi" w:hAnsiTheme="minorHAnsi"/>
          <w:lang w:val="en-AU"/>
        </w:rPr>
      </w:pPr>
      <w:r w:rsidRPr="00432041">
        <w:rPr>
          <w:rFonts w:asciiTheme="minorHAnsi" w:hAnsiTheme="minorHAnsi"/>
          <w:lang w:val="en-AU"/>
        </w:rPr>
        <w:br w:type="page"/>
      </w:r>
    </w:p>
    <w:p w:rsidR="00D51F36" w:rsidRPr="00432041" w:rsidRDefault="00D51F36" w:rsidP="00A84CCA">
      <w:pPr>
        <w:pStyle w:val="Heading2"/>
      </w:pPr>
      <w:r w:rsidRPr="00432041">
        <w:lastRenderedPageBreak/>
        <w:t>Current and revised arrangements</w:t>
      </w:r>
    </w:p>
    <w:p w:rsidR="00D51F36" w:rsidRPr="00432041" w:rsidRDefault="00D51F36" w:rsidP="00D51F36">
      <w:pPr>
        <w:rPr>
          <w:rFonts w:asciiTheme="minorHAnsi" w:hAnsiTheme="minorHAnsi"/>
          <w:lang w:val="en-AU"/>
        </w:rPr>
      </w:pPr>
    </w:p>
    <w:tbl>
      <w:tblPr>
        <w:tblW w:w="9923" w:type="dxa"/>
        <w:tblInd w:w="-5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Current and revised arrangements"/>
      </w:tblPr>
      <w:tblGrid>
        <w:gridCol w:w="4268"/>
        <w:gridCol w:w="1918"/>
        <w:gridCol w:w="3737"/>
      </w:tblGrid>
      <w:tr w:rsidR="00D007FC" w:rsidRPr="00CA02A0" w:rsidTr="00D007FC">
        <w:trPr>
          <w:trHeight w:val="629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E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A84CCA">
              <w:rPr>
                <w:rFonts w:asciiTheme="minorHAnsi" w:hAnsiTheme="minorHAnsi" w:cstheme="minorHAnsi"/>
                <w:b/>
              </w:rPr>
              <w:t>Existing arrangements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2F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A84CCA">
              <w:rPr>
                <w:rFonts w:asciiTheme="minorHAnsi" w:hAnsiTheme="minorHAnsi" w:cstheme="minorHAnsi"/>
                <w:b/>
              </w:rPr>
              <w:t>New arrangements</w:t>
            </w:r>
          </w:p>
        </w:tc>
      </w:tr>
      <w:tr w:rsidR="00D007FC" w:rsidRPr="00CA02A0" w:rsidTr="00D007FC">
        <w:trPr>
          <w:trHeight w:val="743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A84CCA">
              <w:rPr>
                <w:rFonts w:asciiTheme="minorHAnsi" w:hAnsiTheme="minorHAnsi" w:cstheme="minorHAnsi"/>
                <w:b/>
              </w:rPr>
              <w:t>Number of regular cycles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E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2F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1</w:t>
            </w:r>
          </w:p>
        </w:tc>
      </w:tr>
      <w:tr w:rsidR="00D007FC" w:rsidRPr="00CA02A0" w:rsidTr="00D007FC">
        <w:trPr>
          <w:trHeight w:val="743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A84CCA">
              <w:rPr>
                <w:rFonts w:asciiTheme="minorHAnsi" w:hAnsiTheme="minorHAnsi" w:cstheme="minorHAnsi"/>
                <w:b/>
              </w:rPr>
              <w:t>Price disclosure reduction days per year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E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2F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2</w:t>
            </w:r>
          </w:p>
        </w:tc>
      </w:tr>
      <w:tr w:rsidR="00D007FC" w:rsidRPr="00CA02A0" w:rsidTr="00D007FC">
        <w:trPr>
          <w:trHeight w:val="743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A84CCA">
              <w:rPr>
                <w:rFonts w:asciiTheme="minorHAnsi" w:hAnsiTheme="minorHAnsi" w:cstheme="minorHAnsi"/>
                <w:b/>
              </w:rPr>
              <w:t>Length of regular cycles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E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18 months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2F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12 months</w:t>
            </w:r>
          </w:p>
        </w:tc>
      </w:tr>
      <w:tr w:rsidR="00D007FC" w:rsidRPr="00CA02A0" w:rsidTr="00D007FC">
        <w:trPr>
          <w:trHeight w:val="743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432041" w:rsidP="003860C6">
            <w:pPr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A84CCA">
              <w:rPr>
                <w:rFonts w:asciiTheme="minorHAnsi" w:eastAsiaTheme="minorEastAsia" w:hAnsiTheme="minorHAnsi" w:cstheme="minorHAnsi"/>
                <w:b/>
              </w:rPr>
              <w:t xml:space="preserve">Data collection period </w:t>
            </w:r>
            <w:r w:rsidR="00D51F36" w:rsidRPr="00A84CCA">
              <w:rPr>
                <w:rFonts w:asciiTheme="minorHAnsi" w:eastAsiaTheme="minorEastAsia" w:hAnsiTheme="minorHAnsi" w:cstheme="minorHAnsi"/>
                <w:b/>
              </w:rPr>
              <w:t>for price calculations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E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≥ 12 months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2F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≥ 6 months</w:t>
            </w:r>
          </w:p>
        </w:tc>
      </w:tr>
      <w:tr w:rsidR="00D007FC" w:rsidRPr="00CA02A0" w:rsidTr="00D007FC">
        <w:trPr>
          <w:trHeight w:val="800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A84CCA">
              <w:rPr>
                <w:rFonts w:asciiTheme="minorHAnsi" w:hAnsiTheme="minorHAnsi" w:cstheme="minorHAnsi"/>
                <w:b/>
              </w:rPr>
              <w:t>Price reporting, calculation, notification, dispute resolution period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E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6 months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2F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6 months</w:t>
            </w:r>
          </w:p>
        </w:tc>
      </w:tr>
      <w:tr w:rsidR="00D007FC" w:rsidRPr="00CA02A0" w:rsidTr="00D007FC">
        <w:trPr>
          <w:trHeight w:val="914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A84CCA">
              <w:rPr>
                <w:rFonts w:asciiTheme="minorHAnsi" w:hAnsiTheme="minorHAnsi" w:cstheme="minorHAnsi"/>
                <w:b/>
              </w:rPr>
              <w:t>Reporting period – data batches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E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Every 6 months or as specified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2F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Every 6 months or as specified</w:t>
            </w:r>
          </w:p>
        </w:tc>
      </w:tr>
      <w:tr w:rsidR="00D007FC" w:rsidRPr="00CA02A0" w:rsidTr="00D007FC">
        <w:trPr>
          <w:trHeight w:val="629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A84CCA">
              <w:rPr>
                <w:rFonts w:asciiTheme="minorHAnsi" w:hAnsiTheme="minorHAnsi" w:cstheme="minorHAnsi"/>
                <w:b/>
              </w:rPr>
              <w:t>Report due six weeks after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E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31 March &amp; 30 Sept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2F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31 March &amp; 30 Sept</w:t>
            </w:r>
          </w:p>
        </w:tc>
      </w:tr>
      <w:tr w:rsidR="00D007FC" w:rsidRPr="00CA02A0" w:rsidTr="00D007FC">
        <w:trPr>
          <w:trHeight w:val="629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  <w:b/>
              </w:rPr>
            </w:pPr>
            <w:r w:rsidRPr="00A84CCA">
              <w:rPr>
                <w:rFonts w:asciiTheme="minorHAnsi" w:hAnsiTheme="minorHAnsi" w:cstheme="minorHAnsi"/>
                <w:b/>
              </w:rPr>
              <w:t>≥ 10% price difference test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E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2F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51F36" w:rsidRPr="00A84CCA" w:rsidRDefault="00D51F36" w:rsidP="003860C6">
            <w:pPr>
              <w:spacing w:before="240" w:after="240"/>
              <w:jc w:val="center"/>
              <w:rPr>
                <w:rFonts w:asciiTheme="minorHAnsi" w:hAnsiTheme="minorHAnsi" w:cstheme="minorHAnsi"/>
              </w:rPr>
            </w:pPr>
            <w:r w:rsidRPr="00A84CCA">
              <w:rPr>
                <w:rFonts w:asciiTheme="minorHAnsi" w:hAnsiTheme="minorHAnsi" w:cstheme="minorHAnsi"/>
              </w:rPr>
              <w:t>Yes</w:t>
            </w:r>
          </w:p>
        </w:tc>
      </w:tr>
    </w:tbl>
    <w:p w:rsidR="00D51F36" w:rsidRPr="00CA02A0" w:rsidRDefault="00D51F36" w:rsidP="00D51F36">
      <w:pPr>
        <w:rPr>
          <w:rFonts w:asciiTheme="minorHAnsi" w:hAnsiTheme="minorHAnsi"/>
          <w:lang w:val="en-AU"/>
        </w:rPr>
      </w:pPr>
    </w:p>
    <w:p w:rsidR="00D51F36" w:rsidRPr="00CA02A0" w:rsidRDefault="001274FC" w:rsidP="001274FC">
      <w:pPr>
        <w:rPr>
          <w:rFonts w:asciiTheme="minorHAnsi" w:hAnsiTheme="minorHAnsi"/>
          <w:bCs/>
        </w:rPr>
      </w:pPr>
      <w:r w:rsidRPr="00CA02A0">
        <w:rPr>
          <w:rFonts w:asciiTheme="minorHAnsi" w:hAnsiTheme="minorHAnsi"/>
          <w:bCs/>
        </w:rPr>
        <w:br w:type="page"/>
      </w:r>
    </w:p>
    <w:p w:rsidR="00D51F36" w:rsidRPr="00432041" w:rsidRDefault="00D51F36" w:rsidP="00A84CCA">
      <w:pPr>
        <w:pStyle w:val="Heading2"/>
      </w:pPr>
      <w:r w:rsidRPr="00432041">
        <w:lastRenderedPageBreak/>
        <w:t>EAPD to SPD cycles</w:t>
      </w:r>
    </w:p>
    <w:p w:rsidR="00D51F36" w:rsidRPr="00432041" w:rsidRDefault="00D51F36" w:rsidP="00D51F36">
      <w:pPr>
        <w:rPr>
          <w:rFonts w:asciiTheme="minorHAnsi" w:hAnsiTheme="minorHAnsi"/>
          <w:b/>
          <w:bCs/>
        </w:rPr>
      </w:pPr>
    </w:p>
    <w:tbl>
      <w:tblPr>
        <w:tblW w:w="88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2405"/>
        <w:gridCol w:w="1942"/>
        <w:gridCol w:w="2899"/>
      </w:tblGrid>
      <w:tr w:rsidR="00D51F36" w:rsidRPr="00432041" w:rsidTr="00D51F36">
        <w:trPr>
          <w:trHeight w:val="631"/>
        </w:trPr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b/>
                <w:bCs/>
                <w:color w:val="FFFFFF" w:themeColor="light1"/>
                <w:kern w:val="24"/>
                <w:lang w:val="en-US"/>
              </w:rPr>
              <w:t>Drug</w:t>
            </w:r>
          </w:p>
        </w:tc>
        <w:tc>
          <w:tcPr>
            <w:tcW w:w="24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b/>
                <w:bCs/>
                <w:color w:val="FFFFFF" w:themeColor="light1"/>
                <w:kern w:val="24"/>
                <w:lang w:val="en-US"/>
              </w:rPr>
              <w:t>Current EAPD Cycle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b/>
                <w:bCs/>
                <w:color w:val="FFFFFF" w:themeColor="light1"/>
                <w:kern w:val="24"/>
                <w:lang w:val="en-US"/>
              </w:rPr>
              <w:t>Current Reduction Day</w:t>
            </w:r>
          </w:p>
        </w:tc>
        <w:tc>
          <w:tcPr>
            <w:tcW w:w="28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b/>
                <w:bCs/>
                <w:color w:val="FFFFFF" w:themeColor="light1"/>
                <w:kern w:val="24"/>
                <w:lang w:val="en-US"/>
              </w:rPr>
              <w:t>SPD Reduction Day</w:t>
            </w:r>
          </w:p>
        </w:tc>
      </w:tr>
      <w:tr w:rsidR="00D51F36" w:rsidRPr="00432041" w:rsidTr="00D51F36">
        <w:trPr>
          <w:trHeight w:val="1266"/>
        </w:trPr>
        <w:tc>
          <w:tcPr>
            <w:tcW w:w="15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b/>
                <w:bCs/>
                <w:color w:val="FFFFFF" w:themeColor="light1"/>
                <w:kern w:val="24"/>
                <w:lang w:val="en-US"/>
              </w:rPr>
              <w:t>Atorvastatin</w:t>
            </w:r>
          </w:p>
        </w:tc>
        <w:tc>
          <w:tcPr>
            <w:tcW w:w="24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Formerly 2013 Supplementary B (currently 2015 Main Cycle)</w:t>
            </w:r>
          </w:p>
        </w:tc>
        <w:tc>
          <w:tcPr>
            <w:tcW w:w="19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1 April 2015</w:t>
            </w:r>
          </w:p>
        </w:tc>
        <w:tc>
          <w:tcPr>
            <w:tcW w:w="28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1 October 2014</w:t>
            </w:r>
          </w:p>
        </w:tc>
      </w:tr>
      <w:tr w:rsidR="00D51F36" w:rsidRPr="00432041" w:rsidTr="00D51F36">
        <w:trPr>
          <w:trHeight w:val="316"/>
        </w:trPr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 w:line="313" w:lineRule="atLeast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b/>
                <w:bCs/>
                <w:color w:val="FFFFFF" w:themeColor="light1"/>
                <w:kern w:val="24"/>
                <w:lang w:val="en-US"/>
              </w:rPr>
              <w:t>Aspirin</w:t>
            </w:r>
          </w:p>
        </w:tc>
        <w:tc>
          <w:tcPr>
            <w:tcW w:w="2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 w:line="313" w:lineRule="atLeast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2014 Main Cycle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 w:line="313" w:lineRule="atLeast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1 April 2014 (remains)</w:t>
            </w:r>
          </w:p>
        </w:tc>
        <w:tc>
          <w:tcPr>
            <w:tcW w:w="2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 w:line="313" w:lineRule="atLeast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1 October 2014</w:t>
            </w:r>
          </w:p>
        </w:tc>
      </w:tr>
      <w:tr w:rsidR="00D51F36" w:rsidRPr="00432041" w:rsidTr="00D51F36">
        <w:trPr>
          <w:trHeight w:val="631"/>
        </w:trPr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b/>
                <w:bCs/>
                <w:color w:val="FFFFFF" w:themeColor="light1"/>
                <w:kern w:val="24"/>
                <w:lang w:val="en-US"/>
              </w:rPr>
              <w:t>Candesartan</w:t>
            </w:r>
          </w:p>
        </w:tc>
        <w:tc>
          <w:tcPr>
            <w:tcW w:w="2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2014 Supplementary B Cycle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strike/>
                <w:color w:val="000000" w:themeColor="dark1"/>
                <w:kern w:val="24"/>
                <w:lang w:val="en-US"/>
              </w:rPr>
              <w:t>1 December 2014</w:t>
            </w:r>
          </w:p>
        </w:tc>
        <w:tc>
          <w:tcPr>
            <w:tcW w:w="2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1 October 2014</w:t>
            </w:r>
          </w:p>
        </w:tc>
      </w:tr>
      <w:tr w:rsidR="00D51F36" w:rsidRPr="00432041" w:rsidTr="00D51F36">
        <w:trPr>
          <w:trHeight w:val="455"/>
        </w:trPr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proofErr w:type="spellStart"/>
            <w:r w:rsidRPr="00432041">
              <w:rPr>
                <w:rFonts w:asciiTheme="minorHAnsi" w:hAnsiTheme="minorHAnsi" w:cs="Helvetica"/>
                <w:b/>
                <w:bCs/>
                <w:color w:val="FFFFFF" w:themeColor="light1"/>
                <w:kern w:val="24"/>
                <w:lang w:val="en-US"/>
              </w:rPr>
              <w:t>Zolmitriptan</w:t>
            </w:r>
            <w:proofErr w:type="spellEnd"/>
          </w:p>
        </w:tc>
        <w:tc>
          <w:tcPr>
            <w:tcW w:w="2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2015 Main Cycle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1 April 2015</w:t>
            </w:r>
          </w:p>
        </w:tc>
        <w:tc>
          <w:tcPr>
            <w:tcW w:w="2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1 October 2014</w:t>
            </w:r>
          </w:p>
        </w:tc>
      </w:tr>
      <w:tr w:rsidR="00D51F36" w:rsidRPr="00432041" w:rsidTr="00D51F36">
        <w:trPr>
          <w:trHeight w:val="1257"/>
        </w:trPr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proofErr w:type="spellStart"/>
            <w:r w:rsidRPr="00432041">
              <w:rPr>
                <w:rFonts w:asciiTheme="minorHAnsi" w:hAnsiTheme="minorHAnsi" w:cs="Helvetica"/>
                <w:b/>
                <w:bCs/>
                <w:color w:val="FFFFFF" w:themeColor="light1"/>
                <w:kern w:val="24"/>
                <w:lang w:val="en-US"/>
              </w:rPr>
              <w:t>Riluzole</w:t>
            </w:r>
            <w:proofErr w:type="spellEnd"/>
          </w:p>
        </w:tc>
        <w:tc>
          <w:tcPr>
            <w:tcW w:w="2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2014 Supplementary A Cycle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1 August 2014</w:t>
            </w:r>
          </w:p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eastAsia="Georgia" w:hAnsiTheme="minorHAnsi" w:cs="Helvetica"/>
                <w:color w:val="000000" w:themeColor="text1"/>
                <w:kern w:val="24"/>
                <w:lang w:val="en-US"/>
              </w:rPr>
              <w:t>(remains)</w:t>
            </w:r>
          </w:p>
        </w:tc>
        <w:tc>
          <w:tcPr>
            <w:tcW w:w="2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1 April 2015</w:t>
            </w:r>
          </w:p>
        </w:tc>
      </w:tr>
      <w:tr w:rsidR="00D51F36" w:rsidRPr="00432041" w:rsidTr="00D51F36">
        <w:trPr>
          <w:trHeight w:val="1143"/>
        </w:trPr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proofErr w:type="spellStart"/>
            <w:r w:rsidRPr="00432041">
              <w:rPr>
                <w:rFonts w:asciiTheme="minorHAnsi" w:hAnsiTheme="minorHAnsi" w:cs="Helvetica"/>
                <w:b/>
                <w:bCs/>
                <w:color w:val="FFFFFF" w:themeColor="light1"/>
                <w:kern w:val="24"/>
                <w:lang w:val="en-US"/>
              </w:rPr>
              <w:t>Nevirapine</w:t>
            </w:r>
            <w:proofErr w:type="spellEnd"/>
          </w:p>
        </w:tc>
        <w:tc>
          <w:tcPr>
            <w:tcW w:w="2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2014 Supplementary  A Cycle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1 August 2014</w:t>
            </w:r>
          </w:p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eastAsia="Georgia" w:hAnsiTheme="minorHAnsi" w:cs="Helvetica"/>
                <w:color w:val="000000" w:themeColor="text1"/>
                <w:kern w:val="24"/>
                <w:lang w:val="en-US"/>
              </w:rPr>
              <w:t>(remains)</w:t>
            </w:r>
          </w:p>
        </w:tc>
        <w:tc>
          <w:tcPr>
            <w:tcW w:w="2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F36" w:rsidRPr="00432041" w:rsidRDefault="00D51F36">
            <w:pPr>
              <w:pStyle w:val="NormalWeb"/>
              <w:spacing w:before="0" w:beforeAutospacing="0" w:after="40" w:afterAutospacing="0"/>
              <w:rPr>
                <w:rFonts w:asciiTheme="minorHAnsi" w:hAnsiTheme="minorHAnsi" w:cs="Arial"/>
              </w:rPr>
            </w:pPr>
            <w:r w:rsidRPr="00432041">
              <w:rPr>
                <w:rFonts w:asciiTheme="minorHAnsi" w:hAnsiTheme="minorHAnsi" w:cs="Helvetica"/>
                <w:color w:val="000000" w:themeColor="dark1"/>
                <w:kern w:val="24"/>
                <w:lang w:val="en-US"/>
              </w:rPr>
              <w:t>1 April 2015</w:t>
            </w:r>
          </w:p>
        </w:tc>
      </w:tr>
    </w:tbl>
    <w:p w:rsidR="001274FC" w:rsidRPr="00432041" w:rsidRDefault="001274FC" w:rsidP="00D51F36">
      <w:pPr>
        <w:rPr>
          <w:rFonts w:asciiTheme="minorHAnsi" w:hAnsiTheme="minorHAnsi"/>
          <w:lang w:val="en-AU"/>
        </w:rPr>
      </w:pPr>
    </w:p>
    <w:p w:rsidR="001274FC" w:rsidRPr="00432041" w:rsidRDefault="001274FC" w:rsidP="001274FC">
      <w:pPr>
        <w:rPr>
          <w:rFonts w:asciiTheme="minorHAnsi" w:hAnsiTheme="minorHAnsi"/>
          <w:lang w:val="en-AU"/>
        </w:rPr>
      </w:pPr>
      <w:r w:rsidRPr="00432041">
        <w:rPr>
          <w:rFonts w:asciiTheme="minorHAnsi" w:hAnsiTheme="minorHAnsi"/>
          <w:lang w:val="en-AU"/>
        </w:rPr>
        <w:br w:type="page"/>
      </w:r>
    </w:p>
    <w:p w:rsidR="00D51F36" w:rsidRPr="00432041" w:rsidRDefault="00D51F36" w:rsidP="00A84CCA">
      <w:pPr>
        <w:pStyle w:val="Heading2"/>
      </w:pPr>
      <w:r w:rsidRPr="00432041">
        <w:lastRenderedPageBreak/>
        <w:t>EAPD &amp; SPD timelines comparison</w:t>
      </w:r>
    </w:p>
    <w:p w:rsidR="00BE781B" w:rsidRPr="00A84CCA" w:rsidRDefault="00432041" w:rsidP="00A84CCA">
      <w:pPr>
        <w:spacing w:before="240" w:after="240"/>
        <w:rPr>
          <w:rFonts w:asciiTheme="minorHAnsi" w:eastAsia="+mn-ea" w:hAnsiTheme="minorHAnsi" w:cstheme="minorHAnsi"/>
          <w:b/>
          <w:i/>
          <w:lang w:val="en-AU"/>
        </w:rPr>
      </w:pPr>
      <w:r w:rsidRPr="00A84CCA">
        <w:rPr>
          <w:rFonts w:asciiTheme="minorHAnsi" w:eastAsia="+mn-ea" w:hAnsiTheme="minorHAnsi" w:cstheme="minorHAnsi"/>
          <w:lang w:val="en-AU"/>
        </w:rPr>
        <w:t>The</w:t>
      </w:r>
      <w:r w:rsidR="00CA02A0" w:rsidRPr="00A84CCA">
        <w:rPr>
          <w:rFonts w:asciiTheme="minorHAnsi" w:eastAsia="+mn-ea" w:hAnsiTheme="minorHAnsi" w:cstheme="minorHAnsi"/>
          <w:lang w:val="en-AU"/>
        </w:rPr>
        <w:t xml:space="preserve"> diagram shows how cycles under the current arrangements and SPD would look if compared across the same timeline. </w:t>
      </w:r>
    </w:p>
    <w:p w:rsidR="00BE781B" w:rsidRPr="00A84CCA" w:rsidRDefault="00CA02A0" w:rsidP="00A84CCA">
      <w:pPr>
        <w:spacing w:before="240" w:after="240"/>
        <w:rPr>
          <w:rFonts w:asciiTheme="minorHAnsi" w:eastAsia="+mn-ea" w:hAnsiTheme="minorHAnsi" w:cstheme="minorHAnsi"/>
          <w:b/>
          <w:i/>
          <w:lang w:val="en-AU"/>
        </w:rPr>
      </w:pPr>
      <w:r w:rsidRPr="00A84CCA">
        <w:rPr>
          <w:rFonts w:asciiTheme="minorHAnsi" w:eastAsia="+mn-ea" w:hAnsiTheme="minorHAnsi" w:cstheme="minorHAnsi"/>
          <w:lang w:val="en-AU"/>
        </w:rPr>
        <w:t>Data processing from a previous cycle occurs simultaneously with data collection for the next and so on.</w:t>
      </w:r>
    </w:p>
    <w:p w:rsidR="00BE781B" w:rsidRPr="00A84CCA" w:rsidRDefault="00CA02A0" w:rsidP="00A84CCA">
      <w:pPr>
        <w:spacing w:before="240" w:after="240"/>
        <w:rPr>
          <w:rFonts w:asciiTheme="minorHAnsi" w:eastAsia="+mn-ea" w:hAnsiTheme="minorHAnsi" w:cstheme="minorHAnsi"/>
          <w:b/>
          <w:i/>
          <w:lang w:val="en-AU"/>
        </w:rPr>
      </w:pPr>
      <w:r w:rsidRPr="00A84CCA">
        <w:rPr>
          <w:rFonts w:asciiTheme="minorHAnsi" w:eastAsia="+mn-ea" w:hAnsiTheme="minorHAnsi" w:cstheme="minorHAnsi"/>
          <w:lang w:val="en-AU"/>
        </w:rPr>
        <w:t>Under SPD, the same six monthly (1 April and 1 October) time points are used for all the key activity points.</w:t>
      </w:r>
    </w:p>
    <w:p w:rsidR="001274FC" w:rsidRPr="00432041" w:rsidRDefault="001274FC" w:rsidP="001274FC">
      <w:pPr>
        <w:rPr>
          <w:rFonts w:asciiTheme="minorHAnsi" w:eastAsia="+mn-ea" w:hAnsiTheme="minorHAnsi" w:cs="Arial"/>
          <w:lang w:val="en-AU"/>
        </w:rPr>
      </w:pPr>
      <w:r w:rsidRPr="00432041">
        <w:rPr>
          <w:rFonts w:asciiTheme="minorHAnsi" w:eastAsia="+mn-ea" w:hAnsiTheme="minorHAnsi"/>
          <w:lang w:val="en-AU"/>
        </w:rPr>
        <w:br w:type="page"/>
      </w:r>
    </w:p>
    <w:p w:rsidR="00BE781B" w:rsidRPr="00432041" w:rsidRDefault="00BE781B" w:rsidP="00A84CCA">
      <w:pPr>
        <w:pStyle w:val="Heading2"/>
        <w:rPr>
          <w:rFonts w:eastAsia="+mn-ea"/>
          <w:lang w:val="en-AU"/>
        </w:rPr>
      </w:pPr>
    </w:p>
    <w:p w:rsidR="00D51F36" w:rsidRPr="00432041" w:rsidRDefault="00D51F36" w:rsidP="00A84CCA">
      <w:pPr>
        <w:pStyle w:val="Heading2"/>
        <w:rPr>
          <w:rFonts w:eastAsia="MS PGothic"/>
        </w:rPr>
      </w:pPr>
      <w:r w:rsidRPr="00432041">
        <w:rPr>
          <w:rFonts w:eastAsia="MS PGothic"/>
        </w:rPr>
        <w:t>SPD new entrants – drugs new to price disclosure</w:t>
      </w:r>
    </w:p>
    <w:p w:rsidR="001274FC" w:rsidRPr="00A84CCA" w:rsidRDefault="001274FC" w:rsidP="00A84CCA">
      <w:pPr>
        <w:spacing w:before="240" w:after="240"/>
        <w:rPr>
          <w:rFonts w:asciiTheme="minorHAnsi" w:hAnsiTheme="minorHAnsi" w:cstheme="minorHAnsi"/>
          <w:b/>
          <w:i/>
        </w:rPr>
      </w:pPr>
      <w:r w:rsidRPr="00A84CCA">
        <w:rPr>
          <w:rFonts w:asciiTheme="minorHAnsi" w:eastAsia="MS PGothic" w:hAnsiTheme="minorHAnsi" w:cstheme="minorHAnsi"/>
        </w:rPr>
        <w:t>For new drugs that enter price disclosure on 1 April, the cycle will roll on in neat six monthly blocks from the time they enter.</w:t>
      </w:r>
    </w:p>
    <w:p w:rsidR="001274FC" w:rsidRPr="00A84CCA" w:rsidRDefault="001274FC" w:rsidP="00A84CCA">
      <w:pPr>
        <w:spacing w:before="240" w:after="240"/>
        <w:rPr>
          <w:rFonts w:asciiTheme="minorHAnsi" w:hAnsiTheme="minorHAnsi" w:cstheme="minorHAnsi"/>
          <w:b/>
          <w:i/>
        </w:rPr>
      </w:pPr>
      <w:r w:rsidRPr="00A84CCA">
        <w:rPr>
          <w:rFonts w:asciiTheme="minorHAnsi" w:eastAsia="MS PGothic" w:hAnsiTheme="minorHAnsi" w:cstheme="minorHAnsi"/>
        </w:rPr>
        <w:t xml:space="preserve">For new drugs entering on 1 August, there will be a two month data batch to be provided first which will be combined with the ‘normal’ six month data batch from 1 October. </w:t>
      </w:r>
    </w:p>
    <w:p w:rsidR="001274FC" w:rsidRPr="00A84CCA" w:rsidRDefault="001274FC" w:rsidP="00A84CCA">
      <w:pPr>
        <w:spacing w:before="240" w:after="240"/>
        <w:rPr>
          <w:rFonts w:asciiTheme="minorHAnsi" w:hAnsiTheme="minorHAnsi" w:cstheme="minorHAnsi"/>
          <w:b/>
          <w:i/>
        </w:rPr>
      </w:pPr>
      <w:r w:rsidRPr="00A84CCA">
        <w:rPr>
          <w:rFonts w:asciiTheme="minorHAnsi" w:eastAsia="MS PGothic" w:hAnsiTheme="minorHAnsi" w:cstheme="minorHAnsi"/>
        </w:rPr>
        <w:t xml:space="preserve">This means eight months of data will be used for the first round of price calculations.  Six month batches will be used from then on. </w:t>
      </w:r>
    </w:p>
    <w:p w:rsidR="001274FC" w:rsidRPr="00A84CCA" w:rsidRDefault="001274FC" w:rsidP="00A84CCA">
      <w:pPr>
        <w:spacing w:before="240" w:after="240"/>
        <w:rPr>
          <w:rFonts w:asciiTheme="minorHAnsi" w:hAnsiTheme="minorHAnsi" w:cstheme="minorHAnsi"/>
          <w:b/>
          <w:i/>
        </w:rPr>
      </w:pPr>
      <w:r w:rsidRPr="00A84CCA">
        <w:rPr>
          <w:rFonts w:asciiTheme="minorHAnsi" w:eastAsia="MS PGothic" w:hAnsiTheme="minorHAnsi" w:cstheme="minorHAnsi"/>
        </w:rPr>
        <w:t xml:space="preserve">For new drugs entering on 1 December, there will be a four month data batch to be provided which will be combined with the ‘normal’ six month data batch from 1 April.  </w:t>
      </w:r>
    </w:p>
    <w:p w:rsidR="001274FC" w:rsidRPr="00A84CCA" w:rsidRDefault="001274FC" w:rsidP="00A84CCA">
      <w:pPr>
        <w:spacing w:before="240" w:after="240"/>
        <w:rPr>
          <w:rFonts w:asciiTheme="minorHAnsi" w:hAnsiTheme="minorHAnsi" w:cstheme="minorHAnsi"/>
          <w:b/>
          <w:i/>
        </w:rPr>
      </w:pPr>
      <w:r w:rsidRPr="00A84CCA">
        <w:rPr>
          <w:rFonts w:asciiTheme="minorHAnsi" w:eastAsia="MS PGothic" w:hAnsiTheme="minorHAnsi" w:cstheme="minorHAnsi"/>
        </w:rPr>
        <w:t xml:space="preserve">This means ten months of data is used for the first round of calculations and six months thereafter. </w:t>
      </w:r>
    </w:p>
    <w:p w:rsidR="001274FC" w:rsidRPr="00A84CCA" w:rsidRDefault="001274FC" w:rsidP="00A84CCA">
      <w:pPr>
        <w:spacing w:before="240" w:after="240"/>
        <w:rPr>
          <w:rFonts w:asciiTheme="minorHAnsi" w:hAnsiTheme="minorHAnsi" w:cstheme="minorHAnsi"/>
          <w:b/>
          <w:i/>
        </w:rPr>
      </w:pPr>
      <w:r w:rsidRPr="00A84CCA">
        <w:rPr>
          <w:rFonts w:asciiTheme="minorHAnsi" w:eastAsia="MS PGothic" w:hAnsiTheme="minorHAnsi" w:cstheme="minorHAnsi"/>
        </w:rPr>
        <w:t>Collection of data in short batches for new entrants keeps things simple because data is collected after every 31 March and 30 September – regardless of how long the drug has been subject to price disclosure.</w:t>
      </w:r>
    </w:p>
    <w:p w:rsidR="001274FC" w:rsidRPr="00A84CCA" w:rsidRDefault="001274FC" w:rsidP="00A84CCA">
      <w:pPr>
        <w:spacing w:before="240" w:after="240"/>
        <w:rPr>
          <w:rFonts w:asciiTheme="minorHAnsi" w:eastAsia="MS PGothic" w:hAnsiTheme="minorHAnsi" w:cstheme="minorHAnsi"/>
          <w:b/>
          <w:i/>
        </w:rPr>
      </w:pPr>
      <w:r w:rsidRPr="00A84CCA">
        <w:rPr>
          <w:rFonts w:asciiTheme="minorHAnsi" w:eastAsia="MS PGothic" w:hAnsiTheme="minorHAnsi" w:cstheme="minorHAnsi"/>
        </w:rPr>
        <w:t xml:space="preserve">A drug can enter price disclosure on months other than April, August and December, but this is less likely.  </w:t>
      </w:r>
    </w:p>
    <w:p w:rsidR="001274FC" w:rsidRPr="00A84CCA" w:rsidRDefault="001274FC" w:rsidP="00A84CCA">
      <w:pPr>
        <w:spacing w:before="240" w:after="240"/>
        <w:rPr>
          <w:rFonts w:asciiTheme="minorHAnsi" w:eastAsia="MS PGothic" w:hAnsiTheme="minorHAnsi" w:cstheme="minorHAnsi"/>
        </w:rPr>
      </w:pPr>
      <w:r w:rsidRPr="00A84CCA">
        <w:rPr>
          <w:rFonts w:asciiTheme="minorHAnsi" w:eastAsia="MS PGothic" w:hAnsiTheme="minorHAnsi" w:cstheme="minorHAnsi"/>
        </w:rPr>
        <w:br w:type="page"/>
      </w:r>
    </w:p>
    <w:p w:rsidR="001274FC" w:rsidRPr="00432041" w:rsidRDefault="001274FC" w:rsidP="00A84CCA">
      <w:pPr>
        <w:pStyle w:val="Heading2"/>
      </w:pPr>
    </w:p>
    <w:p w:rsidR="00D51F36" w:rsidRPr="00432041" w:rsidRDefault="00432041" w:rsidP="00A84CCA">
      <w:pPr>
        <w:pStyle w:val="Heading2"/>
        <w:rPr>
          <w:rFonts w:eastAsia="MS PGothic"/>
        </w:rPr>
      </w:pPr>
      <w:r w:rsidRPr="00432041">
        <w:rPr>
          <w:rFonts w:eastAsia="MS PGothic"/>
        </w:rPr>
        <w:t xml:space="preserve">SPD new entrants – brands - </w:t>
      </w:r>
      <w:r w:rsidR="00D51F36" w:rsidRPr="00432041">
        <w:rPr>
          <w:rFonts w:eastAsia="MS PGothic"/>
        </w:rPr>
        <w:t>Medicines already subject to price disclosure</w:t>
      </w:r>
    </w:p>
    <w:p w:rsidR="00BE781B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  <w:lang w:val="en-AU"/>
        </w:rPr>
        <w:t xml:space="preserve">The entry of new brands for </w:t>
      </w:r>
      <w:proofErr w:type="gramStart"/>
      <w:r w:rsidRPr="00A84CCA">
        <w:rPr>
          <w:rFonts w:asciiTheme="minorHAnsi" w:hAnsiTheme="minorHAnsi" w:cstheme="minorHAnsi"/>
          <w:lang w:val="en-AU"/>
        </w:rPr>
        <w:t>drugs,</w:t>
      </w:r>
      <w:proofErr w:type="gramEnd"/>
      <w:r w:rsidRPr="00A84CCA">
        <w:rPr>
          <w:rFonts w:asciiTheme="minorHAnsi" w:hAnsiTheme="minorHAnsi" w:cstheme="minorHAnsi"/>
          <w:lang w:val="en-AU"/>
        </w:rPr>
        <w:t xml:space="preserve"> and new brands for manners of administration, already subject to price disclosure will be handled in a similar fashion as occurs currently.  </w:t>
      </w:r>
    </w:p>
    <w:p w:rsidR="00BE781B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  <w:lang w:val="en-AU"/>
        </w:rPr>
        <w:t>New brands can enter in any month and join the cycle currently underway.   The data for a new brand feeds into the data for the current cycle.</w:t>
      </w:r>
    </w:p>
    <w:p w:rsidR="001274FC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  <w:lang w:val="en-AU"/>
        </w:rPr>
        <w:t xml:space="preserve">Companies will continue to provide sales data for new brands at the usual reporting times. </w:t>
      </w:r>
    </w:p>
    <w:p w:rsidR="00D51F36" w:rsidRPr="00D007FC" w:rsidRDefault="001274FC" w:rsidP="00A84CCA">
      <w:pPr>
        <w:pStyle w:val="Heading2"/>
        <w:rPr>
          <w:lang w:val="en-AU"/>
        </w:rPr>
      </w:pPr>
      <w:r w:rsidRPr="00432041">
        <w:rPr>
          <w:lang w:val="en-AU"/>
        </w:rPr>
        <w:br w:type="page"/>
      </w:r>
      <w:r w:rsidR="00D51F36" w:rsidRPr="00D007FC">
        <w:lastRenderedPageBreak/>
        <w:t>Next steps</w:t>
      </w:r>
      <w:bookmarkStart w:id="0" w:name="_GoBack"/>
      <w:bookmarkEnd w:id="0"/>
      <w:r w:rsidR="00D51F36" w:rsidRPr="00D007FC">
        <w:t xml:space="preserve"> &amp; timing</w:t>
      </w:r>
    </w:p>
    <w:p w:rsidR="00D51F36" w:rsidRPr="00432041" w:rsidRDefault="00D51F36" w:rsidP="00D51F36">
      <w:pPr>
        <w:rPr>
          <w:rFonts w:asciiTheme="minorHAnsi" w:hAnsiTheme="minorHAnsi"/>
          <w:lang w:val="en-AU"/>
        </w:rPr>
      </w:pPr>
    </w:p>
    <w:tbl>
      <w:tblPr>
        <w:tblpPr w:leftFromText="180" w:rightFromText="180" w:vertAnchor="text" w:horzAnchor="page" w:tblpX="1991" w:tblpY="43"/>
        <w:tblW w:w="77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55"/>
        <w:gridCol w:w="5989"/>
      </w:tblGrid>
      <w:tr w:rsidR="00D51F36" w:rsidRPr="00432041" w:rsidTr="00432041">
        <w:trPr>
          <w:trHeight w:val="552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D51F36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  <w:b/>
              </w:rPr>
              <w:t>21 November 2013</w:t>
            </w:r>
          </w:p>
        </w:tc>
        <w:tc>
          <w:tcPr>
            <w:tcW w:w="59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D51F36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</w:rPr>
              <w:t xml:space="preserve">Introduction of Simplified Price Disclosure Bill to </w:t>
            </w:r>
            <w:proofErr w:type="spellStart"/>
            <w:r w:rsidRPr="00A84CCA">
              <w:rPr>
                <w:rFonts w:asciiTheme="minorHAnsi" w:hAnsiTheme="minorHAnsi" w:cstheme="minorHAnsi"/>
              </w:rPr>
              <w:t>HoR</w:t>
            </w:r>
            <w:proofErr w:type="spellEnd"/>
          </w:p>
        </w:tc>
      </w:tr>
      <w:tr w:rsidR="00D51F36" w:rsidRPr="00432041" w:rsidTr="00432041">
        <w:trPr>
          <w:trHeight w:val="552"/>
        </w:trPr>
        <w:tc>
          <w:tcPr>
            <w:tcW w:w="17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D51F36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  <w:b/>
                <w:color w:val="000000" w:themeColor="dark1"/>
              </w:rPr>
              <w:t>Mid to late December 2013</w:t>
            </w:r>
          </w:p>
        </w:tc>
        <w:tc>
          <w:tcPr>
            <w:tcW w:w="59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D51F36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  <w:color w:val="000000" w:themeColor="dark1"/>
              </w:rPr>
              <w:t xml:space="preserve">Debate and passage of legislation through </w:t>
            </w:r>
            <w:proofErr w:type="spellStart"/>
            <w:r w:rsidRPr="00A84CCA">
              <w:rPr>
                <w:rFonts w:asciiTheme="minorHAnsi" w:hAnsiTheme="minorHAnsi" w:cstheme="minorHAnsi"/>
                <w:color w:val="000000" w:themeColor="dark1"/>
              </w:rPr>
              <w:t>HoR</w:t>
            </w:r>
            <w:proofErr w:type="spellEnd"/>
            <w:r w:rsidRPr="00A84CCA">
              <w:rPr>
                <w:rFonts w:asciiTheme="minorHAnsi" w:hAnsiTheme="minorHAnsi" w:cstheme="minorHAnsi"/>
                <w:color w:val="000000" w:themeColor="dark1"/>
              </w:rPr>
              <w:t xml:space="preserve"> and Senate</w:t>
            </w:r>
          </w:p>
        </w:tc>
      </w:tr>
      <w:tr w:rsidR="00D51F36" w:rsidRPr="00432041" w:rsidTr="00432041">
        <w:trPr>
          <w:trHeight w:val="552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D51F36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  <w:b/>
                <w:color w:val="000000" w:themeColor="dark1"/>
              </w:rPr>
              <w:t>Mid to late January 2014</w:t>
            </w:r>
          </w:p>
        </w:tc>
        <w:tc>
          <w:tcPr>
            <w:tcW w:w="5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D51F36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  <w:color w:val="000000" w:themeColor="dark1"/>
              </w:rPr>
              <w:t>Information on PBS website, including transition tables</w:t>
            </w:r>
          </w:p>
        </w:tc>
      </w:tr>
      <w:tr w:rsidR="00D51F36" w:rsidRPr="00432041" w:rsidTr="00432041">
        <w:trPr>
          <w:trHeight w:val="552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CA02A0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  <w:b/>
                <w:color w:val="000000" w:themeColor="dark1"/>
              </w:rPr>
              <w:t xml:space="preserve">Early to </w:t>
            </w:r>
            <w:proofErr w:type="spellStart"/>
            <w:r w:rsidRPr="00A84CCA">
              <w:rPr>
                <w:rFonts w:asciiTheme="minorHAnsi" w:hAnsiTheme="minorHAnsi" w:cstheme="minorHAnsi"/>
                <w:b/>
                <w:color w:val="000000" w:themeColor="dark1"/>
              </w:rPr>
              <w:t xml:space="preserve">mid </w:t>
            </w:r>
            <w:r w:rsidR="00D51F36" w:rsidRPr="00A84CCA">
              <w:rPr>
                <w:rFonts w:asciiTheme="minorHAnsi" w:hAnsiTheme="minorHAnsi" w:cstheme="minorHAnsi"/>
                <w:b/>
                <w:color w:val="000000" w:themeColor="dark1"/>
              </w:rPr>
              <w:t>2014</w:t>
            </w:r>
            <w:proofErr w:type="spellEnd"/>
          </w:p>
        </w:tc>
        <w:tc>
          <w:tcPr>
            <w:tcW w:w="5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D51F36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  <w:color w:val="000000" w:themeColor="dark1"/>
              </w:rPr>
              <w:t>Drafting and promulgation of regulations</w:t>
            </w:r>
          </w:p>
        </w:tc>
      </w:tr>
      <w:tr w:rsidR="00D51F36" w:rsidRPr="00432041" w:rsidTr="00432041">
        <w:trPr>
          <w:trHeight w:val="552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D51F36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  <w:b/>
                <w:color w:val="000000" w:themeColor="dark1"/>
              </w:rPr>
              <w:t>Mid to late June 2014</w:t>
            </w:r>
          </w:p>
        </w:tc>
        <w:tc>
          <w:tcPr>
            <w:tcW w:w="5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D51F36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  <w:color w:val="000000" w:themeColor="dark1"/>
              </w:rPr>
              <w:t>Publication of percentage reductions and new  prices</w:t>
            </w:r>
          </w:p>
        </w:tc>
      </w:tr>
      <w:tr w:rsidR="00D51F36" w:rsidRPr="00432041" w:rsidTr="00432041">
        <w:trPr>
          <w:trHeight w:val="552"/>
        </w:trPr>
        <w:tc>
          <w:tcPr>
            <w:tcW w:w="17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D51F36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  <w:b/>
                <w:color w:val="000000" w:themeColor="dark1"/>
              </w:rPr>
              <w:t>1 October 2014</w:t>
            </w:r>
          </w:p>
        </w:tc>
        <w:tc>
          <w:tcPr>
            <w:tcW w:w="59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F36" w:rsidRPr="00A84CCA" w:rsidRDefault="00D51F36" w:rsidP="00A84CCA">
            <w:pPr>
              <w:spacing w:before="240" w:after="240"/>
              <w:rPr>
                <w:rFonts w:asciiTheme="minorHAnsi" w:hAnsiTheme="minorHAnsi" w:cstheme="minorHAnsi"/>
                <w:b/>
                <w:i/>
              </w:rPr>
            </w:pPr>
            <w:r w:rsidRPr="00A84CCA">
              <w:rPr>
                <w:rFonts w:asciiTheme="minorHAnsi" w:hAnsiTheme="minorHAnsi" w:cstheme="minorHAnsi"/>
                <w:color w:val="000000" w:themeColor="dark1"/>
              </w:rPr>
              <w:t>The first SPD price reductions</w:t>
            </w:r>
          </w:p>
        </w:tc>
      </w:tr>
    </w:tbl>
    <w:p w:rsidR="00D51F36" w:rsidRPr="00432041" w:rsidRDefault="00D51F36" w:rsidP="00D51F36">
      <w:pPr>
        <w:rPr>
          <w:rFonts w:asciiTheme="minorHAnsi" w:hAnsiTheme="minorHAnsi"/>
          <w:lang w:val="en-AU"/>
        </w:rPr>
      </w:pPr>
    </w:p>
    <w:p w:rsidR="00D51F36" w:rsidRPr="00432041" w:rsidRDefault="00D51F36" w:rsidP="00D51F36">
      <w:pPr>
        <w:rPr>
          <w:rFonts w:asciiTheme="minorHAnsi" w:hAnsiTheme="minorHAnsi"/>
          <w:b/>
          <w:bCs/>
        </w:rPr>
      </w:pPr>
    </w:p>
    <w:p w:rsidR="00D51F36" w:rsidRPr="00D007FC" w:rsidRDefault="001274FC" w:rsidP="00A84CCA">
      <w:pPr>
        <w:pStyle w:val="Heading2"/>
      </w:pPr>
      <w:r>
        <w:br w:type="page"/>
      </w:r>
      <w:r w:rsidR="00D51F36" w:rsidRPr="00D007FC">
        <w:lastRenderedPageBreak/>
        <w:t>More information</w:t>
      </w:r>
    </w:p>
    <w:p w:rsidR="00BE781B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</w:rPr>
        <w:t xml:space="preserve">Legislation home page </w:t>
      </w:r>
    </w:p>
    <w:p w:rsidR="00BE781B" w:rsidRPr="00A84CCA" w:rsidRDefault="00817CCF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hyperlink r:id="rId8" w:history="1">
        <w:r w:rsidR="00CA02A0" w:rsidRPr="00A84CCA">
          <w:rPr>
            <w:rStyle w:val="Hyperlink"/>
            <w:rFonts w:asciiTheme="minorHAnsi" w:hAnsiTheme="minorHAnsi" w:cstheme="minorHAnsi"/>
          </w:rPr>
          <w:t>www.aph.gov.au</w:t>
        </w:r>
      </w:hyperlink>
    </w:p>
    <w:p w:rsidR="00BE781B" w:rsidRPr="00A84CCA" w:rsidRDefault="00817CCF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hyperlink r:id="rId9" w:history="1">
        <w:r w:rsidR="00CA02A0" w:rsidRPr="00A84CCA">
          <w:rPr>
            <w:rStyle w:val="Hyperlink"/>
            <w:rFonts w:asciiTheme="minorHAnsi" w:hAnsiTheme="minorHAnsi" w:cstheme="minorHAnsi"/>
          </w:rPr>
          <w:t>www.comlaw.gov.au</w:t>
        </w:r>
      </w:hyperlink>
      <w:r w:rsidR="00CA02A0" w:rsidRPr="00A84CCA">
        <w:rPr>
          <w:rFonts w:asciiTheme="minorHAnsi" w:hAnsiTheme="minorHAnsi" w:cstheme="minorHAnsi"/>
        </w:rPr>
        <w:t xml:space="preserve"> </w:t>
      </w:r>
    </w:p>
    <w:p w:rsidR="00BE781B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</w:rPr>
        <w:t>Available early in 2014 – updated Guidelines and transitional arrangements including cycle details</w:t>
      </w:r>
    </w:p>
    <w:p w:rsidR="00BE781B" w:rsidRPr="00A84CCA" w:rsidRDefault="00817CCF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hyperlink r:id="rId10" w:history="1">
        <w:r w:rsidR="00CA02A0" w:rsidRPr="00A84CCA">
          <w:rPr>
            <w:rStyle w:val="Hyperlink"/>
            <w:rFonts w:asciiTheme="minorHAnsi" w:hAnsiTheme="minorHAnsi" w:cstheme="minorHAnsi"/>
          </w:rPr>
          <w:t>www.pbs.gov.au/info/industry/pricing/</w:t>
        </w:r>
      </w:hyperlink>
    </w:p>
    <w:p w:rsidR="00BE781B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</w:rPr>
        <w:t xml:space="preserve">Available early in 2014 – Fact sheets </w:t>
      </w:r>
    </w:p>
    <w:p w:rsidR="00BE781B" w:rsidRPr="00A84CCA" w:rsidRDefault="00817CCF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hyperlink r:id="rId11" w:history="1">
        <w:r w:rsidR="00CA02A0" w:rsidRPr="00A84CCA">
          <w:rPr>
            <w:rStyle w:val="Hyperlink"/>
            <w:rFonts w:asciiTheme="minorHAnsi" w:hAnsiTheme="minorHAnsi" w:cstheme="minorHAnsi"/>
          </w:rPr>
          <w:t>www.pbs.gov.au</w:t>
        </w:r>
      </w:hyperlink>
      <w:r w:rsidR="00CA02A0" w:rsidRPr="00A84CCA">
        <w:rPr>
          <w:rFonts w:asciiTheme="minorHAnsi" w:hAnsiTheme="minorHAnsi" w:cstheme="minorHAnsi"/>
        </w:rPr>
        <w:t xml:space="preserve"> </w:t>
      </w:r>
    </w:p>
    <w:p w:rsidR="00BE781B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  <w:lang w:val="en-AU"/>
        </w:rPr>
      </w:pPr>
      <w:r w:rsidRPr="00A84CCA">
        <w:rPr>
          <w:rFonts w:asciiTheme="minorHAnsi" w:hAnsiTheme="minorHAnsi" w:cstheme="minorHAnsi"/>
        </w:rPr>
        <w:t>Email notification to company responsible persons</w:t>
      </w:r>
    </w:p>
    <w:p w:rsidR="001274FC" w:rsidRPr="00A84CCA" w:rsidRDefault="00CA02A0" w:rsidP="00A84CCA">
      <w:pPr>
        <w:spacing w:before="240" w:after="240"/>
        <w:rPr>
          <w:rFonts w:asciiTheme="minorHAnsi" w:hAnsiTheme="minorHAnsi" w:cstheme="minorHAnsi"/>
          <w:b/>
          <w:i/>
        </w:rPr>
      </w:pPr>
      <w:r w:rsidRPr="00A84CCA">
        <w:rPr>
          <w:rFonts w:asciiTheme="minorHAnsi" w:hAnsiTheme="minorHAnsi" w:cstheme="minorHAnsi"/>
        </w:rPr>
        <w:t>Updates for registered PBS subscribers</w:t>
      </w:r>
    </w:p>
    <w:p w:rsidR="00D51F36" w:rsidRPr="00F4016F" w:rsidRDefault="00D51F36" w:rsidP="00D51F36">
      <w:pPr>
        <w:rPr>
          <w:rFonts w:cs="Arial"/>
        </w:rPr>
      </w:pPr>
    </w:p>
    <w:sectPr w:rsidR="00D51F36" w:rsidRPr="00F401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38" w:rsidRDefault="00FC0238" w:rsidP="00FC0238">
      <w:r>
        <w:separator/>
      </w:r>
    </w:p>
  </w:endnote>
  <w:endnote w:type="continuationSeparator" w:id="0">
    <w:p w:rsidR="00FC0238" w:rsidRDefault="00FC0238" w:rsidP="00F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38" w:rsidRDefault="00FC0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38" w:rsidRDefault="00FC02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38" w:rsidRDefault="00FC0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38" w:rsidRDefault="00FC0238" w:rsidP="00FC0238">
      <w:r>
        <w:separator/>
      </w:r>
    </w:p>
  </w:footnote>
  <w:footnote w:type="continuationSeparator" w:id="0">
    <w:p w:rsidR="00FC0238" w:rsidRDefault="00FC0238" w:rsidP="00FC0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38" w:rsidRDefault="00FC02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38" w:rsidRDefault="00FC02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38" w:rsidRDefault="00FC02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1C3"/>
    <w:multiLevelType w:val="hybridMultilevel"/>
    <w:tmpl w:val="DD5E0F0C"/>
    <w:lvl w:ilvl="0" w:tplc="A7B2D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49D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6B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A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4B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81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F04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27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8A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34F6544"/>
    <w:multiLevelType w:val="hybridMultilevel"/>
    <w:tmpl w:val="79CC23B6"/>
    <w:lvl w:ilvl="0" w:tplc="4578A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E7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04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6E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A9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B0A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2B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02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68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82D10DA"/>
    <w:multiLevelType w:val="hybridMultilevel"/>
    <w:tmpl w:val="38D49792"/>
    <w:lvl w:ilvl="0" w:tplc="63648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2B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4B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C08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2C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26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CA7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6A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02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A680762"/>
    <w:multiLevelType w:val="hybridMultilevel"/>
    <w:tmpl w:val="EDA80102"/>
    <w:lvl w:ilvl="0" w:tplc="E912E7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6CA069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3053C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C12BA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BA06C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7546C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36C03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CD2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AF8CA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70E43B39"/>
    <w:multiLevelType w:val="hybridMultilevel"/>
    <w:tmpl w:val="7166E2A0"/>
    <w:lvl w:ilvl="0" w:tplc="ACC80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0D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EE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6AF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64B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85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08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47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C8D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5050475"/>
    <w:multiLevelType w:val="hybridMultilevel"/>
    <w:tmpl w:val="655296A2"/>
    <w:lvl w:ilvl="0" w:tplc="3F6EA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62060">
      <w:start w:val="11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0D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A2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E0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2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A7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23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23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36"/>
    <w:rsid w:val="001274FC"/>
    <w:rsid w:val="001B3443"/>
    <w:rsid w:val="0030786C"/>
    <w:rsid w:val="003860C6"/>
    <w:rsid w:val="00432041"/>
    <w:rsid w:val="004867E2"/>
    <w:rsid w:val="008264EB"/>
    <w:rsid w:val="00A84CCA"/>
    <w:rsid w:val="00B42851"/>
    <w:rsid w:val="00BE781B"/>
    <w:rsid w:val="00CA02A0"/>
    <w:rsid w:val="00CB5B1A"/>
    <w:rsid w:val="00D007FC"/>
    <w:rsid w:val="00D51F36"/>
    <w:rsid w:val="00E07DFC"/>
    <w:rsid w:val="00E64BBC"/>
    <w:rsid w:val="00F4016F"/>
    <w:rsid w:val="00FC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84CCA"/>
    <w:pPr>
      <w:outlineLvl w:val="1"/>
    </w:pPr>
    <w:rPr>
      <w:rFonts w:asciiTheme="minorHAnsi" w:hAnsiTheme="minorHAnsi"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F36"/>
    <w:pPr>
      <w:spacing w:before="100" w:beforeAutospacing="1" w:after="100" w:afterAutospacing="1"/>
    </w:pPr>
    <w:rPr>
      <w:lang w:val="en-AU" w:eastAsia="en-AU"/>
    </w:rPr>
  </w:style>
  <w:style w:type="character" w:styleId="Hyperlink">
    <w:name w:val="Hyperlink"/>
    <w:basedOn w:val="DefaultParagraphFont"/>
    <w:rsid w:val="00D51F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74FC"/>
    <w:pPr>
      <w:ind w:left="720"/>
      <w:contextualSpacing/>
    </w:pPr>
    <w:rPr>
      <w:lang w:val="en-AU" w:eastAsia="en-AU"/>
    </w:rPr>
  </w:style>
  <w:style w:type="paragraph" w:styleId="Header">
    <w:name w:val="header"/>
    <w:basedOn w:val="Normal"/>
    <w:link w:val="HeaderChar"/>
    <w:rsid w:val="00FC0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023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C02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C023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84CCA"/>
    <w:pPr>
      <w:outlineLvl w:val="1"/>
    </w:pPr>
    <w:rPr>
      <w:rFonts w:asciiTheme="minorHAnsi" w:hAnsiTheme="minorHAnsi"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F36"/>
    <w:pPr>
      <w:spacing w:before="100" w:beforeAutospacing="1" w:after="100" w:afterAutospacing="1"/>
    </w:pPr>
    <w:rPr>
      <w:lang w:val="en-AU" w:eastAsia="en-AU"/>
    </w:rPr>
  </w:style>
  <w:style w:type="character" w:styleId="Hyperlink">
    <w:name w:val="Hyperlink"/>
    <w:basedOn w:val="DefaultParagraphFont"/>
    <w:rsid w:val="00D51F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74FC"/>
    <w:pPr>
      <w:ind w:left="720"/>
      <w:contextualSpacing/>
    </w:pPr>
    <w:rPr>
      <w:lang w:val="en-AU" w:eastAsia="en-AU"/>
    </w:rPr>
  </w:style>
  <w:style w:type="paragraph" w:styleId="Header">
    <w:name w:val="header"/>
    <w:basedOn w:val="Normal"/>
    <w:link w:val="HeaderChar"/>
    <w:rsid w:val="00FC0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023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C02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C023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22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34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2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763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6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9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57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85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02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3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6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4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39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8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1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2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0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18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2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54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0429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480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062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674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534">
          <w:marLeft w:val="112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.gov.a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bs.gov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bs.gov.au/info/industry/pricin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mlaw.gov.a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676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2013-12-11T03:27:00Z</dcterms:created>
  <dcterms:modified xsi:type="dcterms:W3CDTF">2013-12-11T03:27:00Z</dcterms:modified>
</cp:coreProperties>
</file>