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24E4B" w14:textId="77777777" w:rsidR="00A27AC7" w:rsidRDefault="00A27AC7" w:rsidP="00A27AC7">
      <w:pPr>
        <w:spacing w:before="0"/>
        <w:jc w:val="center"/>
        <w:rPr>
          <w:color w:val="FF0000"/>
        </w:rPr>
      </w:pPr>
      <w:r>
        <w:rPr>
          <w:color w:val="FF0000"/>
        </w:rPr>
        <w:t>This document is no longer current.</w:t>
      </w:r>
    </w:p>
    <w:p w14:paraId="02A24BAC" w14:textId="77777777" w:rsidR="00A27AC7" w:rsidRDefault="00A27AC7" w:rsidP="00A27AC7">
      <w:pPr>
        <w:spacing w:before="0"/>
        <w:jc w:val="center"/>
        <w:rPr>
          <w:color w:val="FF0000"/>
        </w:rPr>
      </w:pPr>
      <w:r>
        <w:rPr>
          <w:color w:val="FF0000"/>
        </w:rPr>
        <w:t>Please refer to the ‘Price Disclosure Guidelines’ page on the PBS website</w:t>
      </w:r>
    </w:p>
    <w:p w14:paraId="273DB058" w14:textId="77777777" w:rsidR="00A27AC7" w:rsidRDefault="00A27AC7" w:rsidP="00A27AC7">
      <w:pPr>
        <w:spacing w:before="0"/>
        <w:jc w:val="center"/>
      </w:pPr>
      <w:hyperlink r:id="rId8" w:history="1">
        <w:r>
          <w:rPr>
            <w:rStyle w:val="Hyperlink"/>
          </w:rPr>
          <w:t>https://www.pbs.gov.au/info/industry/pricing/price-disclosure-spd/price-disclosure-guidelines</w:t>
        </w:r>
      </w:hyperlink>
    </w:p>
    <w:p w14:paraId="1D5FC000" w14:textId="77777777" w:rsidR="00A27AC7" w:rsidRDefault="00A27AC7" w:rsidP="002B65C4">
      <w:pPr>
        <w:jc w:val="center"/>
      </w:pPr>
    </w:p>
    <w:p w14:paraId="0654EBB1" w14:textId="7D5579EB" w:rsidR="005D35C4" w:rsidRPr="00383A1C" w:rsidRDefault="00B02469" w:rsidP="002B65C4">
      <w:pPr>
        <w:jc w:val="center"/>
      </w:pPr>
      <w:r>
        <w:rPr>
          <w:noProof/>
        </w:rPr>
        <w:drawing>
          <wp:inline distT="0" distB="0" distL="0" distR="0" wp14:anchorId="19BDA426" wp14:editId="1B4F0186">
            <wp:extent cx="2030095" cy="1345565"/>
            <wp:effectExtent l="0" t="0" r="8255" b="6985"/>
            <wp:docPr id="2" name="Picture 12" descr="DH_stacke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stacked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0095" cy="1345565"/>
                    </a:xfrm>
                    <a:prstGeom prst="rect">
                      <a:avLst/>
                    </a:prstGeom>
                    <a:noFill/>
                    <a:ln>
                      <a:noFill/>
                    </a:ln>
                  </pic:spPr>
                </pic:pic>
              </a:graphicData>
            </a:graphic>
          </wp:inline>
        </w:drawing>
      </w:r>
    </w:p>
    <w:p w14:paraId="02E29868" w14:textId="77777777" w:rsidR="005D35C4" w:rsidRPr="00BB28F3" w:rsidRDefault="00F31DC4" w:rsidP="002B65C4">
      <w:pPr>
        <w:pStyle w:val="Title"/>
      </w:pPr>
      <w:r w:rsidRPr="00BB28F3">
        <w:t xml:space="preserve">Pharmaceutical Benefits Scheme </w:t>
      </w:r>
      <w:r w:rsidR="00383A1C" w:rsidRPr="00BB28F3">
        <w:t>Price Disclosure Arrangements</w:t>
      </w:r>
    </w:p>
    <w:p w14:paraId="1B7D357B" w14:textId="77777777" w:rsidR="003E0906" w:rsidRPr="003E0906" w:rsidRDefault="00F31DC4" w:rsidP="003E0906">
      <w:pPr>
        <w:spacing w:after="100" w:afterAutospacing="1"/>
        <w:jc w:val="center"/>
        <w:rPr>
          <w:rFonts w:cs="Arial"/>
          <w:color w:val="365F91"/>
        </w:rPr>
      </w:pPr>
      <w:r w:rsidRPr="00BB28F3">
        <w:rPr>
          <w:rFonts w:cs="Arial"/>
          <w:color w:val="365F91"/>
          <w:sz w:val="56"/>
          <w:szCs w:val="56"/>
        </w:rPr>
        <w:t>Procedural and Operational Guidelines</w:t>
      </w:r>
    </w:p>
    <w:tbl>
      <w:tblPr>
        <w:tblStyle w:val="TableGrid"/>
        <w:tblW w:w="0" w:type="auto"/>
        <w:tblLook w:val="04A0" w:firstRow="1" w:lastRow="0" w:firstColumn="1" w:lastColumn="0" w:noHBand="0" w:noVBand="1"/>
      </w:tblPr>
      <w:tblGrid>
        <w:gridCol w:w="9243"/>
      </w:tblGrid>
      <w:tr w:rsidR="003E0906" w14:paraId="7D76FA88" w14:textId="77777777" w:rsidTr="003E0906">
        <w:tc>
          <w:tcPr>
            <w:tcW w:w="9243" w:type="dxa"/>
            <w:tcBorders>
              <w:top w:val="single" w:sz="18" w:space="0" w:color="FF0000"/>
              <w:left w:val="single" w:sz="18" w:space="0" w:color="FF0000"/>
              <w:bottom w:val="single" w:sz="18" w:space="0" w:color="FF0000"/>
              <w:right w:val="single" w:sz="18" w:space="0" w:color="FF0000"/>
            </w:tcBorders>
          </w:tcPr>
          <w:p w14:paraId="2D795D9E" w14:textId="77777777" w:rsidR="003E0906" w:rsidRDefault="003E0906" w:rsidP="003E0906">
            <w:pPr>
              <w:spacing w:after="100" w:afterAutospacing="1"/>
              <w:rPr>
                <w:rFonts w:eastAsia="Calibri" w:cs="Arial"/>
                <w:lang w:eastAsia="en-US"/>
              </w:rPr>
            </w:pPr>
            <w:r w:rsidRPr="003E0906">
              <w:rPr>
                <w:rFonts w:eastAsia="Calibri" w:cs="Arial"/>
                <w:b/>
                <w:bCs/>
                <w:lang w:eastAsia="en-US"/>
              </w:rPr>
              <w:t>Please note</w:t>
            </w:r>
            <w:r w:rsidRPr="003E0906">
              <w:rPr>
                <w:rFonts w:eastAsia="Calibri" w:cs="Arial"/>
                <w:lang w:eastAsia="en-US"/>
              </w:rPr>
              <w:t xml:space="preserve">: Price Disclosure Procedural and Operation Guidelines are currently being updated. A </w:t>
            </w:r>
            <w:hyperlink r:id="rId10" w:history="1">
              <w:r w:rsidRPr="003E0906">
                <w:rPr>
                  <w:rFonts w:eastAsia="Calibri" w:cs="Arial"/>
                  <w:color w:val="0000FF"/>
                  <w:u w:val="single"/>
                  <w:lang w:eastAsia="en-US"/>
                </w:rPr>
                <w:t>PBS News Item will be circulated to subscribers</w:t>
              </w:r>
            </w:hyperlink>
            <w:r w:rsidRPr="003E0906">
              <w:rPr>
                <w:rFonts w:eastAsia="Calibri" w:cs="Arial"/>
                <w:lang w:eastAsia="en-US"/>
              </w:rPr>
              <w:t xml:space="preserve"> when updated Guidelines are published.  </w:t>
            </w:r>
          </w:p>
          <w:p w14:paraId="24093723" w14:textId="77777777" w:rsidR="003E0906" w:rsidRDefault="003E0906" w:rsidP="003E0906">
            <w:pPr>
              <w:spacing w:after="100" w:afterAutospacing="1"/>
              <w:rPr>
                <w:rFonts w:eastAsia="Calibri" w:cs="Arial"/>
                <w:lang w:eastAsia="en-US"/>
              </w:rPr>
            </w:pPr>
            <w:r w:rsidRPr="003E0906">
              <w:rPr>
                <w:rFonts w:eastAsia="Calibri" w:cs="Arial"/>
                <w:lang w:eastAsia="en-US"/>
              </w:rPr>
              <w:t xml:space="preserve">Guidelines have not been updated to reflect amendments to the price disclosure requirements under Division 3B of the </w:t>
            </w:r>
            <w:r w:rsidRPr="003E0906">
              <w:rPr>
                <w:rFonts w:eastAsia="Calibri" w:cs="Arial"/>
                <w:i/>
                <w:iCs/>
                <w:lang w:eastAsia="en-US"/>
              </w:rPr>
              <w:t>National Health Act 1953</w:t>
            </w:r>
            <w:r w:rsidRPr="003E0906">
              <w:rPr>
                <w:rFonts w:eastAsia="Calibri" w:cs="Arial"/>
                <w:lang w:eastAsia="en-US"/>
              </w:rPr>
              <w:t xml:space="preserve"> by the </w:t>
            </w:r>
            <w:hyperlink r:id="rId11" w:history="1">
              <w:r w:rsidRPr="003E0906">
                <w:rPr>
                  <w:rFonts w:eastAsia="Calibri" w:cs="Arial"/>
                  <w:i/>
                  <w:iCs/>
                  <w:color w:val="0000FF"/>
                  <w:u w:val="single"/>
                  <w:lang w:eastAsia="en-US"/>
                </w:rPr>
                <w:t>National Health Amendment (Pharmaceutical Benefits—Budget and Other Measures) Act</w:t>
              </w:r>
              <w:r w:rsidRPr="003E0906">
                <w:rPr>
                  <w:rFonts w:eastAsia="Calibri" w:cs="Arial"/>
                  <w:color w:val="0000FF"/>
                  <w:u w:val="single"/>
                  <w:lang w:eastAsia="en-US"/>
                </w:rPr>
                <w:t xml:space="preserve"> </w:t>
              </w:r>
              <w:r w:rsidRPr="003E0906">
                <w:rPr>
                  <w:rFonts w:eastAsia="Calibri" w:cs="Arial"/>
                  <w:i/>
                  <w:iCs/>
                  <w:color w:val="0000FF"/>
                  <w:u w:val="single"/>
                  <w:lang w:eastAsia="en-US"/>
                </w:rPr>
                <w:t>2018</w:t>
              </w:r>
            </w:hyperlink>
            <w:r w:rsidRPr="003E0906">
              <w:rPr>
                <w:rFonts w:eastAsia="Calibri" w:cs="Arial"/>
                <w:lang w:eastAsia="en-US"/>
              </w:rPr>
              <w:t>. </w:t>
            </w:r>
          </w:p>
          <w:p w14:paraId="10951129" w14:textId="77777777" w:rsidR="003E0906" w:rsidRDefault="003E0906" w:rsidP="003E0906">
            <w:pPr>
              <w:spacing w:after="100" w:afterAutospacing="1"/>
              <w:rPr>
                <w:rFonts w:eastAsia="Calibri" w:cs="Arial"/>
                <w:lang w:eastAsia="en-US"/>
              </w:rPr>
            </w:pPr>
            <w:r w:rsidRPr="003E0906">
              <w:rPr>
                <w:rFonts w:eastAsia="Calibri" w:cs="Arial"/>
                <w:lang w:eastAsia="en-US"/>
              </w:rPr>
              <w:t>Information on changes can be found in the following documents under ‘Explanatory Materials’:</w:t>
            </w:r>
          </w:p>
          <w:p w14:paraId="41C00465" w14:textId="77777777" w:rsidR="003E0906" w:rsidRPr="003E0906" w:rsidRDefault="00A27AC7" w:rsidP="003E0906">
            <w:pPr>
              <w:pStyle w:val="ListParagraph"/>
              <w:numPr>
                <w:ilvl w:val="0"/>
                <w:numId w:val="50"/>
              </w:numPr>
              <w:spacing w:after="100" w:afterAutospacing="1"/>
              <w:rPr>
                <w:rFonts w:eastAsia="Calibri" w:cs="Arial"/>
                <w:color w:val="0070C0"/>
                <w:u w:val="single"/>
                <w:lang w:eastAsia="en-US"/>
              </w:rPr>
            </w:pPr>
            <w:hyperlink r:id="rId12" w:history="1">
              <w:r w:rsidR="003E0906" w:rsidRPr="003E0906">
                <w:rPr>
                  <w:rFonts w:eastAsia="Calibri" w:cs="Arial"/>
                  <w:color w:val="0000FF"/>
                  <w:u w:val="single"/>
                  <w:lang w:eastAsia="en-US"/>
                </w:rPr>
                <w:t>Fact Sheet – 30% Unadjusted Price Reduction</w:t>
              </w:r>
            </w:hyperlink>
          </w:p>
          <w:p w14:paraId="7E7580DC" w14:textId="77777777" w:rsidR="003E0906" w:rsidRPr="003E0906" w:rsidRDefault="00A27AC7" w:rsidP="003E0906">
            <w:pPr>
              <w:pStyle w:val="ListParagraph"/>
              <w:numPr>
                <w:ilvl w:val="0"/>
                <w:numId w:val="50"/>
              </w:numPr>
              <w:spacing w:after="100" w:afterAutospacing="1"/>
              <w:rPr>
                <w:rFonts w:eastAsia="Calibri" w:cs="Arial"/>
                <w:color w:val="0070C0"/>
                <w:u w:val="single"/>
                <w:lang w:eastAsia="en-US"/>
              </w:rPr>
            </w:pPr>
            <w:hyperlink r:id="rId13" w:history="1">
              <w:r w:rsidR="003E0906" w:rsidRPr="003E0906">
                <w:rPr>
                  <w:rFonts w:eastAsia="Calibri" w:cs="Arial"/>
                  <w:color w:val="0000FF"/>
                  <w:u w:val="single"/>
                  <w:lang w:eastAsia="en-US"/>
                </w:rPr>
                <w:t>Price Disclosure – 42 Month Clock Examples</w:t>
              </w:r>
            </w:hyperlink>
          </w:p>
          <w:p w14:paraId="7CDD86E2" w14:textId="77777777" w:rsidR="003E0906" w:rsidRDefault="003E0906" w:rsidP="003E0906">
            <w:pPr>
              <w:spacing w:before="0" w:line="240" w:lineRule="auto"/>
              <w:rPr>
                <w:rFonts w:eastAsia="Calibri" w:cs="Arial"/>
                <w:lang w:eastAsia="en-US"/>
              </w:rPr>
            </w:pPr>
            <w:r w:rsidRPr="003E0906">
              <w:rPr>
                <w:rFonts w:eastAsia="Calibri" w:cs="Arial"/>
                <w:lang w:eastAsia="en-US"/>
              </w:rPr>
              <w:t xml:space="preserve">Also refer to the Explanatory Memorandum for the </w:t>
            </w:r>
            <w:hyperlink r:id="rId14" w:history="1">
              <w:r w:rsidRPr="003E0906">
                <w:rPr>
                  <w:rFonts w:eastAsia="Calibri" w:cs="Arial"/>
                  <w:i/>
                  <w:iCs/>
                  <w:color w:val="0000FF"/>
                  <w:u w:val="single"/>
                  <w:lang w:eastAsia="en-US"/>
                </w:rPr>
                <w:t>National Health Amendment (Pharmaceutical Benefits—Budget and Other Measures) Bill 2017</w:t>
              </w:r>
            </w:hyperlink>
            <w:r w:rsidRPr="003E0906">
              <w:rPr>
                <w:rFonts w:eastAsia="Calibri" w:cs="Arial"/>
                <w:lang w:eastAsia="en-US"/>
              </w:rPr>
              <w:t xml:space="preserve">. </w:t>
            </w:r>
          </w:p>
          <w:p w14:paraId="598C7BD2" w14:textId="77777777" w:rsidR="003E0906" w:rsidRDefault="003E0906" w:rsidP="003E0906">
            <w:pPr>
              <w:spacing w:before="0" w:line="240" w:lineRule="auto"/>
              <w:rPr>
                <w:rFonts w:eastAsia="Calibri" w:cs="Arial"/>
                <w:b/>
                <w:bCs/>
                <w:lang w:eastAsia="en-US"/>
              </w:rPr>
            </w:pPr>
          </w:p>
        </w:tc>
      </w:tr>
    </w:tbl>
    <w:p w14:paraId="58762C0A" w14:textId="77777777" w:rsidR="003E0906" w:rsidRDefault="003E0906" w:rsidP="003E0906">
      <w:pPr>
        <w:spacing w:before="0" w:line="240" w:lineRule="auto"/>
        <w:rPr>
          <w:rFonts w:eastAsia="Calibri" w:cs="Arial"/>
          <w:lang w:eastAsia="en-US"/>
        </w:rPr>
      </w:pPr>
    </w:p>
    <w:p w14:paraId="4884668E" w14:textId="77777777" w:rsidR="003E0906" w:rsidRDefault="003E0906" w:rsidP="003E0906">
      <w:pPr>
        <w:spacing w:before="0" w:line="240" w:lineRule="auto"/>
        <w:rPr>
          <w:rFonts w:eastAsia="Calibri" w:cs="Arial"/>
          <w:lang w:eastAsia="en-US"/>
        </w:rPr>
      </w:pPr>
    </w:p>
    <w:p w14:paraId="1A5F3725" w14:textId="77777777" w:rsidR="003E0906" w:rsidRPr="003E0906" w:rsidRDefault="003E0906" w:rsidP="003E0906">
      <w:pPr>
        <w:spacing w:before="0" w:line="240" w:lineRule="auto"/>
        <w:rPr>
          <w:rFonts w:eastAsia="Calibri" w:cs="Arial"/>
          <w:lang w:eastAsia="en-US"/>
        </w:rPr>
      </w:pPr>
    </w:p>
    <w:p w14:paraId="51D34CF3" w14:textId="77777777" w:rsidR="00D56AD5" w:rsidRPr="003B0997" w:rsidRDefault="00B24A78" w:rsidP="00925E92">
      <w:pPr>
        <w:rPr>
          <w:rFonts w:cs="Arial"/>
        </w:rPr>
      </w:pPr>
      <w:r>
        <w:rPr>
          <w:rFonts w:cs="Arial"/>
        </w:rPr>
        <w:t>June</w:t>
      </w:r>
      <w:r w:rsidR="00F65DE7">
        <w:rPr>
          <w:rFonts w:cs="Arial"/>
        </w:rPr>
        <w:t xml:space="preserve"> 201</w:t>
      </w:r>
      <w:r w:rsidR="00CA6EFF">
        <w:rPr>
          <w:rFonts w:cs="Arial"/>
        </w:rPr>
        <w:t>6</w:t>
      </w:r>
      <w:r w:rsidR="002B65C4">
        <w:rPr>
          <w:rFonts w:cs="Arial"/>
        </w:rPr>
        <w:tab/>
      </w:r>
      <w:r w:rsidR="002B65C4">
        <w:rPr>
          <w:rFonts w:cs="Arial"/>
        </w:rPr>
        <w:tab/>
      </w:r>
      <w:r w:rsidR="002B65C4">
        <w:rPr>
          <w:rFonts w:cs="Arial"/>
        </w:rPr>
        <w:tab/>
      </w:r>
      <w:r w:rsidR="006C63FB">
        <w:rPr>
          <w:rFonts w:cs="Arial"/>
        </w:rPr>
        <w:tab/>
      </w:r>
      <w:r w:rsidR="002B65C4">
        <w:rPr>
          <w:rFonts w:cs="Arial"/>
        </w:rPr>
        <w:tab/>
      </w:r>
      <w:r w:rsidR="006C63FB">
        <w:rPr>
          <w:rFonts w:cs="Arial"/>
        </w:rPr>
        <w:tab/>
      </w:r>
      <w:r w:rsidR="002B65C4">
        <w:rPr>
          <w:rFonts w:cs="Arial"/>
        </w:rPr>
        <w:tab/>
      </w:r>
      <w:r w:rsidR="002B65C4">
        <w:rPr>
          <w:rFonts w:cs="Arial"/>
        </w:rPr>
        <w:tab/>
      </w:r>
      <w:r w:rsidR="002B65C4">
        <w:rPr>
          <w:rFonts w:cs="Arial"/>
        </w:rPr>
        <w:tab/>
      </w:r>
      <w:r w:rsidR="002B65C4">
        <w:rPr>
          <w:rFonts w:cs="Arial"/>
        </w:rPr>
        <w:tab/>
      </w:r>
      <w:r w:rsidR="00D56AD5" w:rsidRPr="003B0997">
        <w:rPr>
          <w:rFonts w:cs="Arial"/>
        </w:rPr>
        <w:t xml:space="preserve">Version </w:t>
      </w:r>
      <w:r w:rsidR="00F65DE7">
        <w:rPr>
          <w:rFonts w:cs="Arial"/>
        </w:rPr>
        <w:t>6</w:t>
      </w:r>
    </w:p>
    <w:p w14:paraId="323BDD32" w14:textId="77777777" w:rsidR="001B1F09" w:rsidRPr="00BB28F3" w:rsidRDefault="001B1F09" w:rsidP="00925E92">
      <w:pPr>
        <w:rPr>
          <w:rFonts w:cs="Arial"/>
          <w:color w:val="365F91"/>
          <w:sz w:val="56"/>
          <w:szCs w:val="56"/>
        </w:rPr>
      </w:pPr>
      <w:r w:rsidRPr="00BB28F3">
        <w:rPr>
          <w:rFonts w:cs="Arial"/>
          <w:color w:val="365F91"/>
          <w:sz w:val="56"/>
          <w:szCs w:val="56"/>
        </w:rPr>
        <w:lastRenderedPageBreak/>
        <w:t>Contents</w:t>
      </w:r>
    </w:p>
    <w:p w14:paraId="3DA1959D" w14:textId="77777777" w:rsidR="004E4CC8" w:rsidRDefault="0082200C">
      <w:pPr>
        <w:pStyle w:val="TOC1"/>
        <w:rPr>
          <w:rFonts w:asciiTheme="minorHAnsi" w:eastAsiaTheme="minorEastAsia" w:hAnsiTheme="minorHAnsi" w:cstheme="minorBidi"/>
          <w:bCs w:val="0"/>
          <w:color w:val="auto"/>
          <w:sz w:val="22"/>
          <w:szCs w:val="22"/>
        </w:rPr>
      </w:pPr>
      <w:r w:rsidRPr="00BB28F3">
        <w:rPr>
          <w:rFonts w:cs="Arial"/>
          <w:caps/>
        </w:rPr>
        <w:fldChar w:fldCharType="begin"/>
      </w:r>
      <w:r>
        <w:rPr>
          <w:rFonts w:cs="Arial"/>
          <w:caps/>
        </w:rPr>
        <w:instrText xml:space="preserve"> TOC \o "1-3" \u </w:instrText>
      </w:r>
      <w:r w:rsidRPr="00BB28F3">
        <w:rPr>
          <w:rFonts w:cs="Arial"/>
          <w:caps/>
        </w:rPr>
        <w:fldChar w:fldCharType="separate"/>
      </w:r>
      <w:r w:rsidR="004E4CC8" w:rsidRPr="00451D27">
        <w:t>Introduction</w:t>
      </w:r>
      <w:r w:rsidR="004E4CC8">
        <w:tab/>
      </w:r>
      <w:r w:rsidR="004E4CC8">
        <w:fldChar w:fldCharType="begin"/>
      </w:r>
      <w:r w:rsidR="004E4CC8">
        <w:instrText xml:space="preserve"> PAGEREF _Toc454283940 \h </w:instrText>
      </w:r>
      <w:r w:rsidR="004E4CC8">
        <w:fldChar w:fldCharType="separate"/>
      </w:r>
      <w:r w:rsidR="00D763F3">
        <w:t>4</w:t>
      </w:r>
      <w:r w:rsidR="004E4CC8">
        <w:fldChar w:fldCharType="end"/>
      </w:r>
    </w:p>
    <w:p w14:paraId="7AF588B0" w14:textId="77777777" w:rsidR="004E4CC8" w:rsidRDefault="004E4CC8">
      <w:pPr>
        <w:pStyle w:val="TOC3"/>
        <w:tabs>
          <w:tab w:val="right" w:pos="9017"/>
        </w:tabs>
        <w:rPr>
          <w:rFonts w:asciiTheme="minorHAnsi" w:eastAsiaTheme="minorEastAsia" w:hAnsiTheme="minorHAnsi" w:cstheme="minorBidi"/>
          <w:noProof/>
          <w:szCs w:val="22"/>
        </w:rPr>
      </w:pPr>
      <w:r>
        <w:rPr>
          <w:noProof/>
        </w:rPr>
        <w:t>Purpose</w:t>
      </w:r>
      <w:r>
        <w:rPr>
          <w:noProof/>
        </w:rPr>
        <w:tab/>
      </w:r>
      <w:r>
        <w:rPr>
          <w:noProof/>
        </w:rPr>
        <w:fldChar w:fldCharType="begin"/>
      </w:r>
      <w:r>
        <w:rPr>
          <w:noProof/>
        </w:rPr>
        <w:instrText xml:space="preserve"> PAGEREF _Toc454283941 \h </w:instrText>
      </w:r>
      <w:r>
        <w:rPr>
          <w:noProof/>
        </w:rPr>
      </w:r>
      <w:r>
        <w:rPr>
          <w:noProof/>
        </w:rPr>
        <w:fldChar w:fldCharType="separate"/>
      </w:r>
      <w:r w:rsidR="00D763F3">
        <w:rPr>
          <w:noProof/>
        </w:rPr>
        <w:t>5</w:t>
      </w:r>
      <w:r>
        <w:rPr>
          <w:noProof/>
        </w:rPr>
        <w:fldChar w:fldCharType="end"/>
      </w:r>
    </w:p>
    <w:p w14:paraId="3889D447" w14:textId="77777777" w:rsidR="004E4CC8" w:rsidRDefault="004E4CC8">
      <w:pPr>
        <w:pStyle w:val="TOC3"/>
        <w:tabs>
          <w:tab w:val="right" w:pos="9017"/>
        </w:tabs>
        <w:rPr>
          <w:rFonts w:asciiTheme="minorHAnsi" w:eastAsiaTheme="minorEastAsia" w:hAnsiTheme="minorHAnsi" w:cstheme="minorBidi"/>
          <w:noProof/>
          <w:szCs w:val="22"/>
        </w:rPr>
      </w:pPr>
      <w:r>
        <w:rPr>
          <w:noProof/>
        </w:rPr>
        <w:t>Name of Guidelines</w:t>
      </w:r>
      <w:r>
        <w:rPr>
          <w:noProof/>
        </w:rPr>
        <w:tab/>
      </w:r>
      <w:r>
        <w:rPr>
          <w:noProof/>
        </w:rPr>
        <w:fldChar w:fldCharType="begin"/>
      </w:r>
      <w:r>
        <w:rPr>
          <w:noProof/>
        </w:rPr>
        <w:instrText xml:space="preserve"> PAGEREF _Toc454283942 \h </w:instrText>
      </w:r>
      <w:r>
        <w:rPr>
          <w:noProof/>
        </w:rPr>
      </w:r>
      <w:r>
        <w:rPr>
          <w:noProof/>
        </w:rPr>
        <w:fldChar w:fldCharType="separate"/>
      </w:r>
      <w:r w:rsidR="00D763F3">
        <w:rPr>
          <w:noProof/>
        </w:rPr>
        <w:t>5</w:t>
      </w:r>
      <w:r>
        <w:rPr>
          <w:noProof/>
        </w:rPr>
        <w:fldChar w:fldCharType="end"/>
      </w:r>
    </w:p>
    <w:p w14:paraId="1AA189E0" w14:textId="77777777" w:rsidR="004E4CC8" w:rsidRDefault="004E4CC8">
      <w:pPr>
        <w:pStyle w:val="TOC3"/>
        <w:tabs>
          <w:tab w:val="right" w:pos="9017"/>
        </w:tabs>
        <w:rPr>
          <w:rFonts w:asciiTheme="minorHAnsi" w:eastAsiaTheme="minorEastAsia" w:hAnsiTheme="minorHAnsi" w:cstheme="minorBidi"/>
          <w:noProof/>
          <w:szCs w:val="22"/>
        </w:rPr>
      </w:pPr>
      <w:r>
        <w:rPr>
          <w:noProof/>
        </w:rPr>
        <w:t>Commencement of price disclosure arrangements</w:t>
      </w:r>
      <w:r>
        <w:rPr>
          <w:noProof/>
        </w:rPr>
        <w:tab/>
      </w:r>
      <w:r>
        <w:rPr>
          <w:noProof/>
        </w:rPr>
        <w:fldChar w:fldCharType="begin"/>
      </w:r>
      <w:r>
        <w:rPr>
          <w:noProof/>
        </w:rPr>
        <w:instrText xml:space="preserve"> PAGEREF _Toc454283943 \h </w:instrText>
      </w:r>
      <w:r>
        <w:rPr>
          <w:noProof/>
        </w:rPr>
      </w:r>
      <w:r>
        <w:rPr>
          <w:noProof/>
        </w:rPr>
        <w:fldChar w:fldCharType="separate"/>
      </w:r>
      <w:r w:rsidR="00D763F3">
        <w:rPr>
          <w:noProof/>
        </w:rPr>
        <w:t>5</w:t>
      </w:r>
      <w:r>
        <w:rPr>
          <w:noProof/>
        </w:rPr>
        <w:fldChar w:fldCharType="end"/>
      </w:r>
    </w:p>
    <w:p w14:paraId="4233274C" w14:textId="77777777" w:rsidR="004E4CC8" w:rsidRDefault="004E4CC8">
      <w:pPr>
        <w:pStyle w:val="TOC3"/>
        <w:tabs>
          <w:tab w:val="right" w:pos="9017"/>
        </w:tabs>
        <w:rPr>
          <w:rFonts w:asciiTheme="minorHAnsi" w:eastAsiaTheme="minorEastAsia" w:hAnsiTheme="minorHAnsi" w:cstheme="minorBidi"/>
          <w:noProof/>
          <w:szCs w:val="22"/>
        </w:rPr>
      </w:pPr>
      <w:r>
        <w:rPr>
          <w:noProof/>
        </w:rPr>
        <w:t>Intended Audience</w:t>
      </w:r>
      <w:r>
        <w:rPr>
          <w:noProof/>
        </w:rPr>
        <w:tab/>
      </w:r>
      <w:r>
        <w:rPr>
          <w:noProof/>
        </w:rPr>
        <w:fldChar w:fldCharType="begin"/>
      </w:r>
      <w:r>
        <w:rPr>
          <w:noProof/>
        </w:rPr>
        <w:instrText xml:space="preserve"> PAGEREF _Toc454283944 \h </w:instrText>
      </w:r>
      <w:r>
        <w:rPr>
          <w:noProof/>
        </w:rPr>
      </w:r>
      <w:r>
        <w:rPr>
          <w:noProof/>
        </w:rPr>
        <w:fldChar w:fldCharType="separate"/>
      </w:r>
      <w:r w:rsidR="00D763F3">
        <w:rPr>
          <w:noProof/>
        </w:rPr>
        <w:t>5</w:t>
      </w:r>
      <w:r>
        <w:rPr>
          <w:noProof/>
        </w:rPr>
        <w:fldChar w:fldCharType="end"/>
      </w:r>
    </w:p>
    <w:p w14:paraId="3F776F0B" w14:textId="77777777" w:rsidR="004E4CC8" w:rsidRDefault="004E4CC8">
      <w:pPr>
        <w:pStyle w:val="TOC3"/>
        <w:tabs>
          <w:tab w:val="right" w:pos="9017"/>
        </w:tabs>
        <w:rPr>
          <w:rFonts w:asciiTheme="minorHAnsi" w:eastAsiaTheme="minorEastAsia" w:hAnsiTheme="minorHAnsi" w:cstheme="minorBidi"/>
          <w:noProof/>
          <w:szCs w:val="22"/>
        </w:rPr>
      </w:pPr>
      <w:r>
        <w:rPr>
          <w:noProof/>
        </w:rPr>
        <w:t>What is covered in this document</w:t>
      </w:r>
      <w:r>
        <w:rPr>
          <w:noProof/>
        </w:rPr>
        <w:tab/>
      </w:r>
      <w:r>
        <w:rPr>
          <w:noProof/>
        </w:rPr>
        <w:fldChar w:fldCharType="begin"/>
      </w:r>
      <w:r>
        <w:rPr>
          <w:noProof/>
        </w:rPr>
        <w:instrText xml:space="preserve"> PAGEREF _Toc454283945 \h </w:instrText>
      </w:r>
      <w:r>
        <w:rPr>
          <w:noProof/>
        </w:rPr>
      </w:r>
      <w:r>
        <w:rPr>
          <w:noProof/>
        </w:rPr>
        <w:fldChar w:fldCharType="separate"/>
      </w:r>
      <w:r w:rsidR="00D763F3">
        <w:rPr>
          <w:noProof/>
        </w:rPr>
        <w:t>5</w:t>
      </w:r>
      <w:r>
        <w:rPr>
          <w:noProof/>
        </w:rPr>
        <w:fldChar w:fldCharType="end"/>
      </w:r>
    </w:p>
    <w:p w14:paraId="63EBCA11" w14:textId="77777777" w:rsidR="004E4CC8" w:rsidRDefault="004E4CC8">
      <w:pPr>
        <w:pStyle w:val="TOC3"/>
        <w:tabs>
          <w:tab w:val="right" w:pos="9017"/>
        </w:tabs>
        <w:rPr>
          <w:rFonts w:asciiTheme="minorHAnsi" w:eastAsiaTheme="minorEastAsia" w:hAnsiTheme="minorHAnsi" w:cstheme="minorBidi"/>
          <w:noProof/>
          <w:szCs w:val="22"/>
        </w:rPr>
      </w:pPr>
      <w:r>
        <w:rPr>
          <w:noProof/>
        </w:rPr>
        <w:t>Relevant legislation, policies and documents</w:t>
      </w:r>
      <w:r>
        <w:rPr>
          <w:noProof/>
        </w:rPr>
        <w:tab/>
      </w:r>
      <w:r>
        <w:rPr>
          <w:noProof/>
        </w:rPr>
        <w:fldChar w:fldCharType="begin"/>
      </w:r>
      <w:r>
        <w:rPr>
          <w:noProof/>
        </w:rPr>
        <w:instrText xml:space="preserve"> PAGEREF _Toc454283946 \h </w:instrText>
      </w:r>
      <w:r>
        <w:rPr>
          <w:noProof/>
        </w:rPr>
      </w:r>
      <w:r>
        <w:rPr>
          <w:noProof/>
        </w:rPr>
        <w:fldChar w:fldCharType="separate"/>
      </w:r>
      <w:r w:rsidR="00D763F3">
        <w:rPr>
          <w:noProof/>
        </w:rPr>
        <w:t>6</w:t>
      </w:r>
      <w:r>
        <w:rPr>
          <w:noProof/>
        </w:rPr>
        <w:fldChar w:fldCharType="end"/>
      </w:r>
    </w:p>
    <w:p w14:paraId="67B3DC8B" w14:textId="77777777" w:rsidR="004E4CC8" w:rsidRDefault="004E4CC8">
      <w:pPr>
        <w:pStyle w:val="TOC3"/>
        <w:tabs>
          <w:tab w:val="right" w:pos="9017"/>
        </w:tabs>
        <w:rPr>
          <w:rFonts w:asciiTheme="minorHAnsi" w:eastAsiaTheme="minorEastAsia" w:hAnsiTheme="minorHAnsi" w:cstheme="minorBidi"/>
          <w:noProof/>
          <w:szCs w:val="22"/>
        </w:rPr>
      </w:pPr>
      <w:r>
        <w:rPr>
          <w:noProof/>
        </w:rPr>
        <w:t>Definitions</w:t>
      </w:r>
      <w:r>
        <w:rPr>
          <w:noProof/>
        </w:rPr>
        <w:tab/>
      </w:r>
      <w:r>
        <w:rPr>
          <w:noProof/>
        </w:rPr>
        <w:fldChar w:fldCharType="begin"/>
      </w:r>
      <w:r>
        <w:rPr>
          <w:noProof/>
        </w:rPr>
        <w:instrText xml:space="preserve"> PAGEREF _Toc454283947 \h </w:instrText>
      </w:r>
      <w:r>
        <w:rPr>
          <w:noProof/>
        </w:rPr>
      </w:r>
      <w:r>
        <w:rPr>
          <w:noProof/>
        </w:rPr>
        <w:fldChar w:fldCharType="separate"/>
      </w:r>
      <w:r w:rsidR="00D763F3">
        <w:rPr>
          <w:noProof/>
        </w:rPr>
        <w:t>6</w:t>
      </w:r>
      <w:r>
        <w:rPr>
          <w:noProof/>
        </w:rPr>
        <w:fldChar w:fldCharType="end"/>
      </w:r>
    </w:p>
    <w:p w14:paraId="7A20AFB0" w14:textId="77777777" w:rsidR="004E4CC8" w:rsidRDefault="004E4CC8">
      <w:pPr>
        <w:pStyle w:val="TOC1"/>
        <w:rPr>
          <w:rFonts w:asciiTheme="minorHAnsi" w:eastAsiaTheme="minorEastAsia" w:hAnsiTheme="minorHAnsi" w:cstheme="minorBidi"/>
          <w:bCs w:val="0"/>
          <w:color w:val="auto"/>
          <w:sz w:val="22"/>
          <w:szCs w:val="22"/>
        </w:rPr>
      </w:pPr>
      <w:r w:rsidRPr="00451D27">
        <w:t>Price Disclosure Arrangements</w:t>
      </w:r>
      <w:r>
        <w:tab/>
      </w:r>
      <w:r>
        <w:fldChar w:fldCharType="begin"/>
      </w:r>
      <w:r>
        <w:instrText xml:space="preserve"> PAGEREF _Toc454283948 \h </w:instrText>
      </w:r>
      <w:r>
        <w:fldChar w:fldCharType="separate"/>
      </w:r>
      <w:r w:rsidR="00D763F3">
        <w:t>7</w:t>
      </w:r>
      <w:r>
        <w:fldChar w:fldCharType="end"/>
      </w:r>
    </w:p>
    <w:p w14:paraId="5300E20E"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Initiation and Overview</w:t>
      </w:r>
      <w:r>
        <w:rPr>
          <w:noProof/>
        </w:rPr>
        <w:tab/>
      </w:r>
      <w:r>
        <w:rPr>
          <w:noProof/>
        </w:rPr>
        <w:fldChar w:fldCharType="begin"/>
      </w:r>
      <w:r>
        <w:rPr>
          <w:noProof/>
        </w:rPr>
        <w:instrText xml:space="preserve"> PAGEREF _Toc454283949 \h </w:instrText>
      </w:r>
      <w:r>
        <w:rPr>
          <w:noProof/>
        </w:rPr>
      </w:r>
      <w:r>
        <w:rPr>
          <w:noProof/>
        </w:rPr>
        <w:fldChar w:fldCharType="separate"/>
      </w:r>
      <w:r w:rsidR="00D763F3">
        <w:rPr>
          <w:noProof/>
        </w:rPr>
        <w:t>8</w:t>
      </w:r>
      <w:r>
        <w:rPr>
          <w:noProof/>
        </w:rPr>
        <w:fldChar w:fldCharType="end"/>
      </w:r>
    </w:p>
    <w:p w14:paraId="63ED1B4F" w14:textId="77777777" w:rsidR="004E4CC8" w:rsidRDefault="004E4CC8">
      <w:pPr>
        <w:pStyle w:val="TOC3"/>
        <w:tabs>
          <w:tab w:val="right" w:pos="9017"/>
        </w:tabs>
        <w:rPr>
          <w:rFonts w:asciiTheme="minorHAnsi" w:eastAsiaTheme="minorEastAsia" w:hAnsiTheme="minorHAnsi" w:cstheme="minorBidi"/>
          <w:noProof/>
          <w:szCs w:val="22"/>
        </w:rPr>
      </w:pPr>
      <w:r>
        <w:rPr>
          <w:noProof/>
        </w:rPr>
        <w:t>What is Price Disclosure?</w:t>
      </w:r>
      <w:r>
        <w:rPr>
          <w:noProof/>
        </w:rPr>
        <w:tab/>
      </w:r>
      <w:r>
        <w:rPr>
          <w:noProof/>
        </w:rPr>
        <w:fldChar w:fldCharType="begin"/>
      </w:r>
      <w:r>
        <w:rPr>
          <w:noProof/>
        </w:rPr>
        <w:instrText xml:space="preserve"> PAGEREF _Toc454283950 \h </w:instrText>
      </w:r>
      <w:r>
        <w:rPr>
          <w:noProof/>
        </w:rPr>
      </w:r>
      <w:r>
        <w:rPr>
          <w:noProof/>
        </w:rPr>
        <w:fldChar w:fldCharType="separate"/>
      </w:r>
      <w:r w:rsidR="00D763F3">
        <w:rPr>
          <w:noProof/>
        </w:rPr>
        <w:t>8</w:t>
      </w:r>
      <w:r>
        <w:rPr>
          <w:noProof/>
        </w:rPr>
        <w:fldChar w:fldCharType="end"/>
      </w:r>
    </w:p>
    <w:p w14:paraId="1A3D98F1" w14:textId="77777777" w:rsidR="004E4CC8" w:rsidRDefault="004E4CC8">
      <w:pPr>
        <w:pStyle w:val="TOC3"/>
        <w:tabs>
          <w:tab w:val="right" w:pos="9017"/>
        </w:tabs>
        <w:rPr>
          <w:rFonts w:asciiTheme="minorHAnsi" w:eastAsiaTheme="minorEastAsia" w:hAnsiTheme="minorHAnsi" w:cstheme="minorBidi"/>
          <w:noProof/>
          <w:szCs w:val="22"/>
        </w:rPr>
      </w:pPr>
      <w:r>
        <w:rPr>
          <w:noProof/>
        </w:rPr>
        <w:t>What medicines are subject to price disclosure?</w:t>
      </w:r>
      <w:r>
        <w:rPr>
          <w:noProof/>
        </w:rPr>
        <w:tab/>
      </w:r>
      <w:r>
        <w:rPr>
          <w:noProof/>
        </w:rPr>
        <w:fldChar w:fldCharType="begin"/>
      </w:r>
      <w:r>
        <w:rPr>
          <w:noProof/>
        </w:rPr>
        <w:instrText xml:space="preserve"> PAGEREF _Toc454283951 \h </w:instrText>
      </w:r>
      <w:r>
        <w:rPr>
          <w:noProof/>
        </w:rPr>
      </w:r>
      <w:r>
        <w:rPr>
          <w:noProof/>
        </w:rPr>
        <w:fldChar w:fldCharType="separate"/>
      </w:r>
      <w:r w:rsidR="00D763F3">
        <w:rPr>
          <w:noProof/>
        </w:rPr>
        <w:t>9</w:t>
      </w:r>
      <w:r>
        <w:rPr>
          <w:noProof/>
        </w:rPr>
        <w:fldChar w:fldCharType="end"/>
      </w:r>
    </w:p>
    <w:p w14:paraId="482116F7" w14:textId="77777777" w:rsidR="004E4CC8" w:rsidRDefault="004E4CC8">
      <w:pPr>
        <w:pStyle w:val="TOC3"/>
        <w:tabs>
          <w:tab w:val="right" w:pos="9017"/>
        </w:tabs>
        <w:rPr>
          <w:rFonts w:asciiTheme="minorHAnsi" w:eastAsiaTheme="minorEastAsia" w:hAnsiTheme="minorHAnsi" w:cstheme="minorBidi"/>
          <w:noProof/>
          <w:szCs w:val="22"/>
        </w:rPr>
      </w:pPr>
      <w:r>
        <w:rPr>
          <w:noProof/>
        </w:rPr>
        <w:t>Entity responsible for meeting Price Disclosure Obligations</w:t>
      </w:r>
      <w:r>
        <w:rPr>
          <w:noProof/>
        </w:rPr>
        <w:tab/>
      </w:r>
      <w:r>
        <w:rPr>
          <w:noProof/>
        </w:rPr>
        <w:fldChar w:fldCharType="begin"/>
      </w:r>
      <w:r>
        <w:rPr>
          <w:noProof/>
        </w:rPr>
        <w:instrText xml:space="preserve"> PAGEREF _Toc454283952 \h </w:instrText>
      </w:r>
      <w:r>
        <w:rPr>
          <w:noProof/>
        </w:rPr>
      </w:r>
      <w:r>
        <w:rPr>
          <w:noProof/>
        </w:rPr>
        <w:fldChar w:fldCharType="separate"/>
      </w:r>
      <w:r w:rsidR="00D763F3">
        <w:rPr>
          <w:noProof/>
        </w:rPr>
        <w:t>9</w:t>
      </w:r>
      <w:r>
        <w:rPr>
          <w:noProof/>
        </w:rPr>
        <w:fldChar w:fldCharType="end"/>
      </w:r>
    </w:p>
    <w:p w14:paraId="387ACB29" w14:textId="77777777" w:rsidR="004E4CC8" w:rsidRDefault="004E4CC8">
      <w:pPr>
        <w:pStyle w:val="TOC3"/>
        <w:tabs>
          <w:tab w:val="right" w:pos="9017"/>
        </w:tabs>
        <w:rPr>
          <w:rFonts w:asciiTheme="minorHAnsi" w:eastAsiaTheme="minorEastAsia" w:hAnsiTheme="minorHAnsi" w:cstheme="minorBidi"/>
          <w:noProof/>
          <w:szCs w:val="22"/>
        </w:rPr>
      </w:pPr>
      <w:r>
        <w:rPr>
          <w:noProof/>
        </w:rPr>
        <w:t>Entity receiving the information to be disclosed</w:t>
      </w:r>
      <w:r>
        <w:rPr>
          <w:noProof/>
        </w:rPr>
        <w:tab/>
      </w:r>
      <w:r>
        <w:rPr>
          <w:noProof/>
        </w:rPr>
        <w:fldChar w:fldCharType="begin"/>
      </w:r>
      <w:r>
        <w:rPr>
          <w:noProof/>
        </w:rPr>
        <w:instrText xml:space="preserve"> PAGEREF _Toc454283953 \h </w:instrText>
      </w:r>
      <w:r>
        <w:rPr>
          <w:noProof/>
        </w:rPr>
      </w:r>
      <w:r>
        <w:rPr>
          <w:noProof/>
        </w:rPr>
        <w:fldChar w:fldCharType="separate"/>
      </w:r>
      <w:r w:rsidR="00D763F3">
        <w:rPr>
          <w:noProof/>
        </w:rPr>
        <w:t>10</w:t>
      </w:r>
      <w:r>
        <w:rPr>
          <w:noProof/>
        </w:rPr>
        <w:fldChar w:fldCharType="end"/>
      </w:r>
    </w:p>
    <w:p w14:paraId="59D0BE08" w14:textId="77777777" w:rsidR="004E4CC8" w:rsidRDefault="004E4CC8">
      <w:pPr>
        <w:pStyle w:val="TOC3"/>
        <w:tabs>
          <w:tab w:val="right" w:pos="9017"/>
        </w:tabs>
        <w:rPr>
          <w:rFonts w:asciiTheme="minorHAnsi" w:eastAsiaTheme="minorEastAsia" w:hAnsiTheme="minorHAnsi" w:cstheme="minorBidi"/>
          <w:noProof/>
          <w:szCs w:val="22"/>
        </w:rPr>
      </w:pPr>
      <w:r>
        <w:rPr>
          <w:noProof/>
        </w:rPr>
        <w:t>Exemptions to the Price Disclosure arrangements</w:t>
      </w:r>
      <w:r>
        <w:rPr>
          <w:noProof/>
        </w:rPr>
        <w:tab/>
      </w:r>
      <w:r>
        <w:rPr>
          <w:noProof/>
        </w:rPr>
        <w:fldChar w:fldCharType="begin"/>
      </w:r>
      <w:r>
        <w:rPr>
          <w:noProof/>
        </w:rPr>
        <w:instrText xml:space="preserve"> PAGEREF _Toc454283954 \h </w:instrText>
      </w:r>
      <w:r>
        <w:rPr>
          <w:noProof/>
        </w:rPr>
      </w:r>
      <w:r>
        <w:rPr>
          <w:noProof/>
        </w:rPr>
        <w:fldChar w:fldCharType="separate"/>
      </w:r>
      <w:r w:rsidR="00D763F3">
        <w:rPr>
          <w:noProof/>
        </w:rPr>
        <w:t>10</w:t>
      </w:r>
      <w:r>
        <w:rPr>
          <w:noProof/>
        </w:rPr>
        <w:fldChar w:fldCharType="end"/>
      </w:r>
    </w:p>
    <w:p w14:paraId="38172674" w14:textId="77777777" w:rsidR="004E4CC8" w:rsidRDefault="004E4CC8">
      <w:pPr>
        <w:pStyle w:val="TOC3"/>
        <w:tabs>
          <w:tab w:val="right" w:pos="9017"/>
        </w:tabs>
        <w:rPr>
          <w:rFonts w:asciiTheme="minorHAnsi" w:eastAsiaTheme="minorEastAsia" w:hAnsiTheme="minorHAnsi" w:cstheme="minorBidi"/>
          <w:noProof/>
          <w:szCs w:val="22"/>
        </w:rPr>
      </w:pPr>
      <w:r>
        <w:rPr>
          <w:noProof/>
        </w:rPr>
        <w:t>Treatment of single branded combination drug list brands</w:t>
      </w:r>
      <w:r>
        <w:rPr>
          <w:noProof/>
        </w:rPr>
        <w:tab/>
      </w:r>
      <w:r>
        <w:rPr>
          <w:noProof/>
        </w:rPr>
        <w:fldChar w:fldCharType="begin"/>
      </w:r>
      <w:r>
        <w:rPr>
          <w:noProof/>
        </w:rPr>
        <w:instrText xml:space="preserve"> PAGEREF _Toc454283955 \h </w:instrText>
      </w:r>
      <w:r>
        <w:rPr>
          <w:noProof/>
        </w:rPr>
      </w:r>
      <w:r>
        <w:rPr>
          <w:noProof/>
        </w:rPr>
        <w:fldChar w:fldCharType="separate"/>
      </w:r>
      <w:r w:rsidR="00D763F3">
        <w:rPr>
          <w:noProof/>
        </w:rPr>
        <w:t>10</w:t>
      </w:r>
      <w:r>
        <w:rPr>
          <w:noProof/>
        </w:rPr>
        <w:fldChar w:fldCharType="end"/>
      </w:r>
    </w:p>
    <w:p w14:paraId="6B2AF90B" w14:textId="77777777" w:rsidR="004E4CC8" w:rsidRDefault="004E4CC8">
      <w:pPr>
        <w:pStyle w:val="TOC3"/>
        <w:tabs>
          <w:tab w:val="right" w:pos="9017"/>
        </w:tabs>
        <w:rPr>
          <w:rFonts w:asciiTheme="minorHAnsi" w:eastAsiaTheme="minorEastAsia" w:hAnsiTheme="minorHAnsi" w:cstheme="minorBidi"/>
          <w:noProof/>
          <w:szCs w:val="22"/>
        </w:rPr>
      </w:pPr>
      <w:r>
        <w:rPr>
          <w:noProof/>
        </w:rPr>
        <w:t>Flow-on Reductions for F2 Combination Items</w:t>
      </w:r>
      <w:r>
        <w:rPr>
          <w:noProof/>
        </w:rPr>
        <w:tab/>
      </w:r>
      <w:r>
        <w:rPr>
          <w:noProof/>
        </w:rPr>
        <w:fldChar w:fldCharType="begin"/>
      </w:r>
      <w:r>
        <w:rPr>
          <w:noProof/>
        </w:rPr>
        <w:instrText xml:space="preserve"> PAGEREF _Toc454283956 \h </w:instrText>
      </w:r>
      <w:r>
        <w:rPr>
          <w:noProof/>
        </w:rPr>
      </w:r>
      <w:r>
        <w:rPr>
          <w:noProof/>
        </w:rPr>
        <w:fldChar w:fldCharType="separate"/>
      </w:r>
      <w:r w:rsidR="00D763F3">
        <w:rPr>
          <w:noProof/>
        </w:rPr>
        <w:t>11</w:t>
      </w:r>
      <w:r>
        <w:rPr>
          <w:noProof/>
        </w:rPr>
        <w:fldChar w:fldCharType="end"/>
      </w:r>
    </w:p>
    <w:p w14:paraId="6AA11115"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Disclosure Cycle - Summary</w:t>
      </w:r>
      <w:r>
        <w:rPr>
          <w:noProof/>
        </w:rPr>
        <w:tab/>
      </w:r>
      <w:r>
        <w:rPr>
          <w:noProof/>
        </w:rPr>
        <w:fldChar w:fldCharType="begin"/>
      </w:r>
      <w:r>
        <w:rPr>
          <w:noProof/>
        </w:rPr>
        <w:instrText xml:space="preserve"> PAGEREF _Toc454283957 \h </w:instrText>
      </w:r>
      <w:r>
        <w:rPr>
          <w:noProof/>
        </w:rPr>
      </w:r>
      <w:r>
        <w:rPr>
          <w:noProof/>
        </w:rPr>
        <w:fldChar w:fldCharType="separate"/>
      </w:r>
      <w:r w:rsidR="00D763F3">
        <w:rPr>
          <w:noProof/>
        </w:rPr>
        <w:t>12</w:t>
      </w:r>
      <w:r>
        <w:rPr>
          <w:noProof/>
        </w:rPr>
        <w:fldChar w:fldCharType="end"/>
      </w:r>
    </w:p>
    <w:p w14:paraId="401936A9" w14:textId="77777777" w:rsidR="004E4CC8" w:rsidRDefault="004E4CC8">
      <w:pPr>
        <w:pStyle w:val="TOC3"/>
        <w:tabs>
          <w:tab w:val="right" w:pos="9017"/>
        </w:tabs>
        <w:rPr>
          <w:rFonts w:asciiTheme="minorHAnsi" w:eastAsiaTheme="minorEastAsia" w:hAnsiTheme="minorHAnsi" w:cstheme="minorBidi"/>
          <w:noProof/>
          <w:szCs w:val="22"/>
        </w:rPr>
      </w:pPr>
      <w:r>
        <w:rPr>
          <w:noProof/>
        </w:rPr>
        <w:t>Data Collection Period</w:t>
      </w:r>
      <w:r>
        <w:rPr>
          <w:noProof/>
        </w:rPr>
        <w:tab/>
      </w:r>
      <w:r>
        <w:rPr>
          <w:noProof/>
        </w:rPr>
        <w:fldChar w:fldCharType="begin"/>
      </w:r>
      <w:r>
        <w:rPr>
          <w:noProof/>
        </w:rPr>
        <w:instrText xml:space="preserve"> PAGEREF _Toc454283958 \h </w:instrText>
      </w:r>
      <w:r>
        <w:rPr>
          <w:noProof/>
        </w:rPr>
      </w:r>
      <w:r>
        <w:rPr>
          <w:noProof/>
        </w:rPr>
        <w:fldChar w:fldCharType="separate"/>
      </w:r>
      <w:r w:rsidR="00D763F3">
        <w:rPr>
          <w:noProof/>
        </w:rPr>
        <w:t>12</w:t>
      </w:r>
      <w:r>
        <w:rPr>
          <w:noProof/>
        </w:rPr>
        <w:fldChar w:fldCharType="end"/>
      </w:r>
    </w:p>
    <w:p w14:paraId="2252B7AE" w14:textId="77777777" w:rsidR="004E4CC8" w:rsidRDefault="004E4CC8">
      <w:pPr>
        <w:pStyle w:val="TOC3"/>
        <w:tabs>
          <w:tab w:val="right" w:pos="9017"/>
        </w:tabs>
        <w:rPr>
          <w:rFonts w:asciiTheme="minorHAnsi" w:eastAsiaTheme="minorEastAsia" w:hAnsiTheme="minorHAnsi" w:cstheme="minorBidi"/>
          <w:noProof/>
          <w:szCs w:val="22"/>
        </w:rPr>
      </w:pPr>
      <w:r>
        <w:rPr>
          <w:noProof/>
        </w:rPr>
        <w:t>Processing Period</w:t>
      </w:r>
      <w:r>
        <w:rPr>
          <w:noProof/>
        </w:rPr>
        <w:tab/>
      </w:r>
      <w:r>
        <w:rPr>
          <w:noProof/>
        </w:rPr>
        <w:fldChar w:fldCharType="begin"/>
      </w:r>
      <w:r>
        <w:rPr>
          <w:noProof/>
        </w:rPr>
        <w:instrText xml:space="preserve"> PAGEREF _Toc454283959 \h </w:instrText>
      </w:r>
      <w:r>
        <w:rPr>
          <w:noProof/>
        </w:rPr>
      </w:r>
      <w:r>
        <w:rPr>
          <w:noProof/>
        </w:rPr>
        <w:fldChar w:fldCharType="separate"/>
      </w:r>
      <w:r w:rsidR="00D763F3">
        <w:rPr>
          <w:noProof/>
        </w:rPr>
        <w:t>12</w:t>
      </w:r>
      <w:r>
        <w:rPr>
          <w:noProof/>
        </w:rPr>
        <w:fldChar w:fldCharType="end"/>
      </w:r>
    </w:p>
    <w:p w14:paraId="5A5D5039" w14:textId="77777777" w:rsidR="004E4CC8" w:rsidRDefault="004E4CC8">
      <w:pPr>
        <w:pStyle w:val="TOC3"/>
        <w:tabs>
          <w:tab w:val="right" w:pos="9017"/>
        </w:tabs>
        <w:rPr>
          <w:rFonts w:asciiTheme="minorHAnsi" w:eastAsiaTheme="minorEastAsia" w:hAnsiTheme="minorHAnsi" w:cstheme="minorBidi"/>
          <w:noProof/>
          <w:szCs w:val="22"/>
        </w:rPr>
      </w:pPr>
      <w:r>
        <w:rPr>
          <w:noProof/>
        </w:rPr>
        <w:t>Reduction Day</w:t>
      </w:r>
      <w:r>
        <w:rPr>
          <w:noProof/>
        </w:rPr>
        <w:tab/>
      </w:r>
      <w:r>
        <w:rPr>
          <w:noProof/>
        </w:rPr>
        <w:fldChar w:fldCharType="begin"/>
      </w:r>
      <w:r>
        <w:rPr>
          <w:noProof/>
        </w:rPr>
        <w:instrText xml:space="preserve"> PAGEREF _Toc454283960 \h </w:instrText>
      </w:r>
      <w:r>
        <w:rPr>
          <w:noProof/>
        </w:rPr>
      </w:r>
      <w:r>
        <w:rPr>
          <w:noProof/>
        </w:rPr>
        <w:fldChar w:fldCharType="separate"/>
      </w:r>
      <w:r w:rsidR="00D763F3">
        <w:rPr>
          <w:noProof/>
        </w:rPr>
        <w:t>12</w:t>
      </w:r>
      <w:r>
        <w:rPr>
          <w:noProof/>
        </w:rPr>
        <w:fldChar w:fldCharType="end"/>
      </w:r>
    </w:p>
    <w:p w14:paraId="48DB7585" w14:textId="77777777" w:rsidR="004E4CC8" w:rsidRDefault="004E4CC8">
      <w:pPr>
        <w:pStyle w:val="TOC3"/>
        <w:tabs>
          <w:tab w:val="right" w:pos="9017"/>
        </w:tabs>
        <w:rPr>
          <w:rFonts w:asciiTheme="minorHAnsi" w:eastAsiaTheme="minorEastAsia" w:hAnsiTheme="minorHAnsi" w:cstheme="minorBidi"/>
          <w:noProof/>
          <w:szCs w:val="22"/>
        </w:rPr>
      </w:pPr>
      <w:r>
        <w:rPr>
          <w:noProof/>
        </w:rPr>
        <w:t>Length of First Cycles</w:t>
      </w:r>
      <w:r>
        <w:rPr>
          <w:noProof/>
        </w:rPr>
        <w:tab/>
      </w:r>
      <w:r>
        <w:rPr>
          <w:noProof/>
        </w:rPr>
        <w:fldChar w:fldCharType="begin"/>
      </w:r>
      <w:r>
        <w:rPr>
          <w:noProof/>
        </w:rPr>
        <w:instrText xml:space="preserve"> PAGEREF _Toc454283961 \h </w:instrText>
      </w:r>
      <w:r>
        <w:rPr>
          <w:noProof/>
        </w:rPr>
      </w:r>
      <w:r>
        <w:rPr>
          <w:noProof/>
        </w:rPr>
        <w:fldChar w:fldCharType="separate"/>
      </w:r>
      <w:r w:rsidR="00D763F3">
        <w:rPr>
          <w:noProof/>
        </w:rPr>
        <w:t>13</w:t>
      </w:r>
      <w:r>
        <w:rPr>
          <w:noProof/>
        </w:rPr>
        <w:fldChar w:fldCharType="end"/>
      </w:r>
    </w:p>
    <w:p w14:paraId="26384EDA" w14:textId="77777777" w:rsidR="004E4CC8" w:rsidRDefault="004E4CC8">
      <w:pPr>
        <w:pStyle w:val="TOC3"/>
        <w:tabs>
          <w:tab w:val="right" w:pos="9017"/>
        </w:tabs>
        <w:rPr>
          <w:rFonts w:asciiTheme="minorHAnsi" w:eastAsiaTheme="minorEastAsia" w:hAnsiTheme="minorHAnsi" w:cstheme="minorBidi"/>
          <w:noProof/>
          <w:szCs w:val="22"/>
        </w:rPr>
      </w:pPr>
      <w:r>
        <w:rPr>
          <w:noProof/>
        </w:rPr>
        <w:t xml:space="preserve">Allocation to First Cycle - Brands becoming subject to price disclosure </w:t>
      </w:r>
      <w:r>
        <w:rPr>
          <w:noProof/>
        </w:rPr>
        <w:br/>
        <w:t>between 2 April and 1 October each year</w:t>
      </w:r>
      <w:r>
        <w:rPr>
          <w:noProof/>
        </w:rPr>
        <w:tab/>
      </w:r>
      <w:r>
        <w:rPr>
          <w:noProof/>
        </w:rPr>
        <w:fldChar w:fldCharType="begin"/>
      </w:r>
      <w:r>
        <w:rPr>
          <w:noProof/>
        </w:rPr>
        <w:instrText xml:space="preserve"> PAGEREF _Toc454283962 \h </w:instrText>
      </w:r>
      <w:r>
        <w:rPr>
          <w:noProof/>
        </w:rPr>
      </w:r>
      <w:r>
        <w:rPr>
          <w:noProof/>
        </w:rPr>
        <w:fldChar w:fldCharType="separate"/>
      </w:r>
      <w:r w:rsidR="00D763F3">
        <w:rPr>
          <w:noProof/>
        </w:rPr>
        <w:t>13</w:t>
      </w:r>
      <w:r>
        <w:rPr>
          <w:noProof/>
        </w:rPr>
        <w:fldChar w:fldCharType="end"/>
      </w:r>
    </w:p>
    <w:p w14:paraId="5935CB60" w14:textId="77777777" w:rsidR="004E4CC8" w:rsidRDefault="004E4CC8">
      <w:pPr>
        <w:pStyle w:val="TOC3"/>
        <w:tabs>
          <w:tab w:val="right" w:pos="9017"/>
        </w:tabs>
        <w:rPr>
          <w:rFonts w:asciiTheme="minorHAnsi" w:eastAsiaTheme="minorEastAsia" w:hAnsiTheme="minorHAnsi" w:cstheme="minorBidi"/>
          <w:noProof/>
          <w:szCs w:val="22"/>
        </w:rPr>
      </w:pPr>
      <w:r>
        <w:rPr>
          <w:noProof/>
        </w:rPr>
        <w:t xml:space="preserve">Allocation to First Cycle - Brands becoming subject to price disclosure </w:t>
      </w:r>
      <w:r>
        <w:rPr>
          <w:noProof/>
        </w:rPr>
        <w:br/>
        <w:t>between 2 October and 1 April each year</w:t>
      </w:r>
      <w:r>
        <w:rPr>
          <w:noProof/>
        </w:rPr>
        <w:tab/>
      </w:r>
      <w:r>
        <w:rPr>
          <w:noProof/>
        </w:rPr>
        <w:fldChar w:fldCharType="begin"/>
      </w:r>
      <w:r>
        <w:rPr>
          <w:noProof/>
        </w:rPr>
        <w:instrText xml:space="preserve"> PAGEREF _Toc454283963 \h </w:instrText>
      </w:r>
      <w:r>
        <w:rPr>
          <w:noProof/>
        </w:rPr>
      </w:r>
      <w:r>
        <w:rPr>
          <w:noProof/>
        </w:rPr>
        <w:fldChar w:fldCharType="separate"/>
      </w:r>
      <w:r w:rsidR="00D763F3">
        <w:rPr>
          <w:noProof/>
        </w:rPr>
        <w:t>13</w:t>
      </w:r>
      <w:r>
        <w:rPr>
          <w:noProof/>
        </w:rPr>
        <w:fldChar w:fldCharType="end"/>
      </w:r>
    </w:p>
    <w:p w14:paraId="7FC7F4F8" w14:textId="77777777" w:rsidR="004E4CC8" w:rsidRDefault="004E4CC8">
      <w:pPr>
        <w:pStyle w:val="TOC3"/>
        <w:tabs>
          <w:tab w:val="right" w:pos="9017"/>
        </w:tabs>
        <w:rPr>
          <w:rFonts w:asciiTheme="minorHAnsi" w:eastAsiaTheme="minorEastAsia" w:hAnsiTheme="minorHAnsi" w:cstheme="minorBidi"/>
          <w:noProof/>
          <w:szCs w:val="22"/>
        </w:rPr>
      </w:pPr>
      <w:r>
        <w:rPr>
          <w:noProof/>
        </w:rPr>
        <w:t>Ongoing Cycle</w:t>
      </w:r>
      <w:r>
        <w:rPr>
          <w:noProof/>
        </w:rPr>
        <w:tab/>
      </w:r>
      <w:r>
        <w:rPr>
          <w:noProof/>
        </w:rPr>
        <w:fldChar w:fldCharType="begin"/>
      </w:r>
      <w:r>
        <w:rPr>
          <w:noProof/>
        </w:rPr>
        <w:instrText xml:space="preserve"> PAGEREF _Toc454283964 \h </w:instrText>
      </w:r>
      <w:r>
        <w:rPr>
          <w:noProof/>
        </w:rPr>
      </w:r>
      <w:r>
        <w:rPr>
          <w:noProof/>
        </w:rPr>
        <w:fldChar w:fldCharType="separate"/>
      </w:r>
      <w:r w:rsidR="00D763F3">
        <w:rPr>
          <w:noProof/>
        </w:rPr>
        <w:t>13</w:t>
      </w:r>
      <w:r>
        <w:rPr>
          <w:noProof/>
        </w:rPr>
        <w:fldChar w:fldCharType="end"/>
      </w:r>
    </w:p>
    <w:p w14:paraId="350DB8CB" w14:textId="77777777" w:rsidR="004E4CC8" w:rsidRDefault="004E4CC8">
      <w:pPr>
        <w:pStyle w:val="TOC3"/>
        <w:tabs>
          <w:tab w:val="right" w:pos="9017"/>
        </w:tabs>
        <w:rPr>
          <w:rFonts w:asciiTheme="minorHAnsi" w:eastAsiaTheme="minorEastAsia" w:hAnsiTheme="minorHAnsi" w:cstheme="minorBidi"/>
          <w:noProof/>
          <w:szCs w:val="22"/>
        </w:rPr>
      </w:pPr>
      <w:r>
        <w:rPr>
          <w:noProof/>
        </w:rPr>
        <w:t>Cycles Table - Relevant Dates</w:t>
      </w:r>
      <w:r>
        <w:rPr>
          <w:noProof/>
        </w:rPr>
        <w:tab/>
      </w:r>
      <w:r>
        <w:rPr>
          <w:noProof/>
        </w:rPr>
        <w:fldChar w:fldCharType="begin"/>
      </w:r>
      <w:r>
        <w:rPr>
          <w:noProof/>
        </w:rPr>
        <w:instrText xml:space="preserve"> PAGEREF _Toc454283965 \h </w:instrText>
      </w:r>
      <w:r>
        <w:rPr>
          <w:noProof/>
        </w:rPr>
      </w:r>
      <w:r>
        <w:rPr>
          <w:noProof/>
        </w:rPr>
        <w:fldChar w:fldCharType="separate"/>
      </w:r>
      <w:r w:rsidR="00D763F3">
        <w:rPr>
          <w:noProof/>
        </w:rPr>
        <w:t>15</w:t>
      </w:r>
      <w:r>
        <w:rPr>
          <w:noProof/>
        </w:rPr>
        <w:fldChar w:fldCharType="end"/>
      </w:r>
    </w:p>
    <w:p w14:paraId="6A771065"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Collection</w:t>
      </w:r>
      <w:r>
        <w:rPr>
          <w:noProof/>
        </w:rPr>
        <w:tab/>
      </w:r>
      <w:r>
        <w:rPr>
          <w:noProof/>
        </w:rPr>
        <w:fldChar w:fldCharType="begin"/>
      </w:r>
      <w:r>
        <w:rPr>
          <w:noProof/>
        </w:rPr>
        <w:instrText xml:space="preserve"> PAGEREF _Toc454283966 \h </w:instrText>
      </w:r>
      <w:r>
        <w:rPr>
          <w:noProof/>
        </w:rPr>
      </w:r>
      <w:r>
        <w:rPr>
          <w:noProof/>
        </w:rPr>
        <w:fldChar w:fldCharType="separate"/>
      </w:r>
      <w:r w:rsidR="00D763F3">
        <w:rPr>
          <w:noProof/>
        </w:rPr>
        <w:t>17</w:t>
      </w:r>
      <w:r>
        <w:rPr>
          <w:noProof/>
        </w:rPr>
        <w:fldChar w:fldCharType="end"/>
      </w:r>
    </w:p>
    <w:p w14:paraId="74BCEBEC" w14:textId="77777777" w:rsidR="004E4CC8" w:rsidRDefault="004E4CC8">
      <w:pPr>
        <w:pStyle w:val="TOC3"/>
        <w:tabs>
          <w:tab w:val="right" w:pos="9017"/>
        </w:tabs>
        <w:rPr>
          <w:rFonts w:asciiTheme="minorHAnsi" w:eastAsiaTheme="minorEastAsia" w:hAnsiTheme="minorHAnsi" w:cstheme="minorBidi"/>
          <w:noProof/>
          <w:szCs w:val="22"/>
        </w:rPr>
      </w:pPr>
      <w:r>
        <w:rPr>
          <w:noProof/>
        </w:rPr>
        <w:t>Information to be collected and submitted</w:t>
      </w:r>
      <w:r>
        <w:rPr>
          <w:noProof/>
        </w:rPr>
        <w:tab/>
      </w:r>
      <w:r>
        <w:rPr>
          <w:noProof/>
        </w:rPr>
        <w:fldChar w:fldCharType="begin"/>
      </w:r>
      <w:r>
        <w:rPr>
          <w:noProof/>
        </w:rPr>
        <w:instrText xml:space="preserve"> PAGEREF _Toc454283967 \h </w:instrText>
      </w:r>
      <w:r>
        <w:rPr>
          <w:noProof/>
        </w:rPr>
      </w:r>
      <w:r>
        <w:rPr>
          <w:noProof/>
        </w:rPr>
        <w:fldChar w:fldCharType="separate"/>
      </w:r>
      <w:r w:rsidR="00D763F3">
        <w:rPr>
          <w:noProof/>
        </w:rPr>
        <w:t>18</w:t>
      </w:r>
      <w:r>
        <w:rPr>
          <w:noProof/>
        </w:rPr>
        <w:fldChar w:fldCharType="end"/>
      </w:r>
    </w:p>
    <w:p w14:paraId="0EB3B8E5" w14:textId="77777777" w:rsidR="004E4CC8" w:rsidRDefault="004E4CC8">
      <w:pPr>
        <w:pStyle w:val="TOC3"/>
        <w:tabs>
          <w:tab w:val="right" w:pos="9017"/>
        </w:tabs>
        <w:rPr>
          <w:rFonts w:asciiTheme="minorHAnsi" w:eastAsiaTheme="minorEastAsia" w:hAnsiTheme="minorHAnsi" w:cstheme="minorBidi"/>
          <w:noProof/>
          <w:szCs w:val="22"/>
        </w:rPr>
      </w:pPr>
      <w:r>
        <w:rPr>
          <w:noProof/>
        </w:rPr>
        <w:t>Data Preparation</w:t>
      </w:r>
      <w:r>
        <w:rPr>
          <w:noProof/>
        </w:rPr>
        <w:tab/>
      </w:r>
      <w:r>
        <w:rPr>
          <w:noProof/>
        </w:rPr>
        <w:fldChar w:fldCharType="begin"/>
      </w:r>
      <w:r>
        <w:rPr>
          <w:noProof/>
        </w:rPr>
        <w:instrText xml:space="preserve"> PAGEREF _Toc454283968 \h </w:instrText>
      </w:r>
      <w:r>
        <w:rPr>
          <w:noProof/>
        </w:rPr>
      </w:r>
      <w:r>
        <w:rPr>
          <w:noProof/>
        </w:rPr>
        <w:fldChar w:fldCharType="separate"/>
      </w:r>
      <w:r w:rsidR="00D763F3">
        <w:rPr>
          <w:noProof/>
        </w:rPr>
        <w:t>23</w:t>
      </w:r>
      <w:r>
        <w:rPr>
          <w:noProof/>
        </w:rPr>
        <w:fldChar w:fldCharType="end"/>
      </w:r>
    </w:p>
    <w:p w14:paraId="1FC8DBEC"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Submission</w:t>
      </w:r>
      <w:r>
        <w:rPr>
          <w:noProof/>
        </w:rPr>
        <w:tab/>
      </w:r>
      <w:r>
        <w:rPr>
          <w:noProof/>
        </w:rPr>
        <w:fldChar w:fldCharType="begin"/>
      </w:r>
      <w:r>
        <w:rPr>
          <w:noProof/>
        </w:rPr>
        <w:instrText xml:space="preserve"> PAGEREF _Toc454283969 \h </w:instrText>
      </w:r>
      <w:r>
        <w:rPr>
          <w:noProof/>
        </w:rPr>
      </w:r>
      <w:r>
        <w:rPr>
          <w:noProof/>
        </w:rPr>
        <w:fldChar w:fldCharType="separate"/>
      </w:r>
      <w:r w:rsidR="00D763F3">
        <w:rPr>
          <w:noProof/>
        </w:rPr>
        <w:t>27</w:t>
      </w:r>
      <w:r>
        <w:rPr>
          <w:noProof/>
        </w:rPr>
        <w:fldChar w:fldCharType="end"/>
      </w:r>
    </w:p>
    <w:p w14:paraId="77A99F15" w14:textId="77777777" w:rsidR="004E4CC8" w:rsidRDefault="004E4CC8">
      <w:pPr>
        <w:pStyle w:val="TOC3"/>
        <w:tabs>
          <w:tab w:val="right" w:pos="9017"/>
        </w:tabs>
        <w:rPr>
          <w:rFonts w:asciiTheme="minorHAnsi" w:eastAsiaTheme="minorEastAsia" w:hAnsiTheme="minorHAnsi" w:cstheme="minorBidi"/>
          <w:noProof/>
          <w:szCs w:val="22"/>
        </w:rPr>
      </w:pPr>
      <w:r>
        <w:rPr>
          <w:noProof/>
        </w:rPr>
        <w:t>Timeframe &amp; responsibility for submission of the information</w:t>
      </w:r>
      <w:r>
        <w:rPr>
          <w:noProof/>
        </w:rPr>
        <w:tab/>
      </w:r>
      <w:r>
        <w:rPr>
          <w:noProof/>
        </w:rPr>
        <w:fldChar w:fldCharType="begin"/>
      </w:r>
      <w:r>
        <w:rPr>
          <w:noProof/>
        </w:rPr>
        <w:instrText xml:space="preserve"> PAGEREF _Toc454283970 \h </w:instrText>
      </w:r>
      <w:r>
        <w:rPr>
          <w:noProof/>
        </w:rPr>
      </w:r>
      <w:r>
        <w:rPr>
          <w:noProof/>
        </w:rPr>
        <w:fldChar w:fldCharType="separate"/>
      </w:r>
      <w:r w:rsidR="00D763F3">
        <w:rPr>
          <w:noProof/>
        </w:rPr>
        <w:t>27</w:t>
      </w:r>
      <w:r>
        <w:rPr>
          <w:noProof/>
        </w:rPr>
        <w:fldChar w:fldCharType="end"/>
      </w:r>
    </w:p>
    <w:p w14:paraId="4148EB3B" w14:textId="77777777" w:rsidR="004E4CC8" w:rsidRDefault="004E4CC8">
      <w:pPr>
        <w:pStyle w:val="TOC3"/>
        <w:tabs>
          <w:tab w:val="right" w:pos="9017"/>
        </w:tabs>
        <w:rPr>
          <w:rFonts w:asciiTheme="minorHAnsi" w:eastAsiaTheme="minorEastAsia" w:hAnsiTheme="minorHAnsi" w:cstheme="minorBidi"/>
          <w:noProof/>
          <w:szCs w:val="22"/>
        </w:rPr>
      </w:pPr>
      <w:r>
        <w:rPr>
          <w:noProof/>
        </w:rPr>
        <w:t>Certification requirements</w:t>
      </w:r>
      <w:r>
        <w:rPr>
          <w:noProof/>
        </w:rPr>
        <w:tab/>
      </w:r>
      <w:r>
        <w:rPr>
          <w:noProof/>
        </w:rPr>
        <w:fldChar w:fldCharType="begin"/>
      </w:r>
      <w:r>
        <w:rPr>
          <w:noProof/>
        </w:rPr>
        <w:instrText xml:space="preserve"> PAGEREF _Toc454283971 \h </w:instrText>
      </w:r>
      <w:r>
        <w:rPr>
          <w:noProof/>
        </w:rPr>
      </w:r>
      <w:r>
        <w:rPr>
          <w:noProof/>
        </w:rPr>
        <w:fldChar w:fldCharType="separate"/>
      </w:r>
      <w:r w:rsidR="00D763F3">
        <w:rPr>
          <w:noProof/>
        </w:rPr>
        <w:t>28</w:t>
      </w:r>
      <w:r>
        <w:rPr>
          <w:noProof/>
        </w:rPr>
        <w:fldChar w:fldCharType="end"/>
      </w:r>
    </w:p>
    <w:p w14:paraId="257500FD"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Calculation</w:t>
      </w:r>
      <w:r>
        <w:rPr>
          <w:noProof/>
        </w:rPr>
        <w:tab/>
      </w:r>
      <w:r>
        <w:rPr>
          <w:noProof/>
        </w:rPr>
        <w:fldChar w:fldCharType="begin"/>
      </w:r>
      <w:r>
        <w:rPr>
          <w:noProof/>
        </w:rPr>
        <w:instrText xml:space="preserve"> PAGEREF _Toc454283972 \h </w:instrText>
      </w:r>
      <w:r>
        <w:rPr>
          <w:noProof/>
        </w:rPr>
      </w:r>
      <w:r>
        <w:rPr>
          <w:noProof/>
        </w:rPr>
        <w:fldChar w:fldCharType="separate"/>
      </w:r>
      <w:r w:rsidR="00D763F3">
        <w:rPr>
          <w:noProof/>
        </w:rPr>
        <w:t>29</w:t>
      </w:r>
      <w:r>
        <w:rPr>
          <w:noProof/>
        </w:rPr>
        <w:fldChar w:fldCharType="end"/>
      </w:r>
    </w:p>
    <w:p w14:paraId="14B3B97D" w14:textId="77777777" w:rsidR="004E4CC8" w:rsidRDefault="004E4CC8">
      <w:pPr>
        <w:pStyle w:val="TOC3"/>
        <w:tabs>
          <w:tab w:val="right" w:pos="9017"/>
        </w:tabs>
        <w:rPr>
          <w:rFonts w:asciiTheme="minorHAnsi" w:eastAsiaTheme="minorEastAsia" w:hAnsiTheme="minorHAnsi" w:cstheme="minorBidi"/>
          <w:noProof/>
          <w:szCs w:val="22"/>
        </w:rPr>
      </w:pPr>
      <w:r>
        <w:rPr>
          <w:noProof/>
        </w:rPr>
        <w:t>The entity responsible for calculations</w:t>
      </w:r>
      <w:r>
        <w:rPr>
          <w:noProof/>
        </w:rPr>
        <w:tab/>
      </w:r>
      <w:r>
        <w:rPr>
          <w:noProof/>
        </w:rPr>
        <w:fldChar w:fldCharType="begin"/>
      </w:r>
      <w:r>
        <w:rPr>
          <w:noProof/>
        </w:rPr>
        <w:instrText xml:space="preserve"> PAGEREF _Toc454283973 \h </w:instrText>
      </w:r>
      <w:r>
        <w:rPr>
          <w:noProof/>
        </w:rPr>
      </w:r>
      <w:r>
        <w:rPr>
          <w:noProof/>
        </w:rPr>
        <w:fldChar w:fldCharType="separate"/>
      </w:r>
      <w:r w:rsidR="00D763F3">
        <w:rPr>
          <w:noProof/>
        </w:rPr>
        <w:t>29</w:t>
      </w:r>
      <w:r>
        <w:rPr>
          <w:noProof/>
        </w:rPr>
        <w:fldChar w:fldCharType="end"/>
      </w:r>
    </w:p>
    <w:p w14:paraId="4DDFA024" w14:textId="77777777" w:rsidR="004E4CC8" w:rsidRDefault="004E4CC8">
      <w:pPr>
        <w:pStyle w:val="TOC3"/>
        <w:tabs>
          <w:tab w:val="right" w:pos="9017"/>
        </w:tabs>
        <w:rPr>
          <w:rFonts w:asciiTheme="minorHAnsi" w:eastAsiaTheme="minorEastAsia" w:hAnsiTheme="minorHAnsi" w:cstheme="minorBidi"/>
          <w:noProof/>
          <w:szCs w:val="22"/>
        </w:rPr>
      </w:pPr>
      <w:r>
        <w:rPr>
          <w:noProof/>
        </w:rPr>
        <w:t>The Weighted Average Disclosed Price Calculations</w:t>
      </w:r>
      <w:r>
        <w:rPr>
          <w:noProof/>
        </w:rPr>
        <w:tab/>
      </w:r>
      <w:r>
        <w:rPr>
          <w:noProof/>
        </w:rPr>
        <w:fldChar w:fldCharType="begin"/>
      </w:r>
      <w:r>
        <w:rPr>
          <w:noProof/>
        </w:rPr>
        <w:instrText xml:space="preserve"> PAGEREF _Toc454283974 \h </w:instrText>
      </w:r>
      <w:r>
        <w:rPr>
          <w:noProof/>
        </w:rPr>
      </w:r>
      <w:r>
        <w:rPr>
          <w:noProof/>
        </w:rPr>
        <w:fldChar w:fldCharType="separate"/>
      </w:r>
      <w:r w:rsidR="00D763F3">
        <w:rPr>
          <w:noProof/>
        </w:rPr>
        <w:t>32</w:t>
      </w:r>
      <w:r>
        <w:rPr>
          <w:noProof/>
        </w:rPr>
        <w:fldChar w:fldCharType="end"/>
      </w:r>
    </w:p>
    <w:p w14:paraId="170F539B"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Method - Weighted average dis</w:t>
      </w:r>
      <w:r w:rsidR="00C40ABF">
        <w:rPr>
          <w:noProof/>
        </w:rPr>
        <w:t>closed price of a listed brand</w:t>
      </w:r>
      <w:r>
        <w:rPr>
          <w:noProof/>
        </w:rPr>
        <w:tab/>
      </w:r>
      <w:r>
        <w:rPr>
          <w:noProof/>
        </w:rPr>
        <w:fldChar w:fldCharType="begin"/>
      </w:r>
      <w:r>
        <w:rPr>
          <w:noProof/>
        </w:rPr>
        <w:instrText xml:space="preserve"> PAGEREF _Toc454283975 \h </w:instrText>
      </w:r>
      <w:r>
        <w:rPr>
          <w:noProof/>
        </w:rPr>
      </w:r>
      <w:r>
        <w:rPr>
          <w:noProof/>
        </w:rPr>
        <w:fldChar w:fldCharType="separate"/>
      </w:r>
      <w:r w:rsidR="00D763F3">
        <w:rPr>
          <w:noProof/>
        </w:rPr>
        <w:t>34</w:t>
      </w:r>
      <w:r>
        <w:rPr>
          <w:noProof/>
        </w:rPr>
        <w:fldChar w:fldCharType="end"/>
      </w:r>
    </w:p>
    <w:p w14:paraId="42072292"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Notification of Outcomes</w:t>
      </w:r>
      <w:r>
        <w:rPr>
          <w:noProof/>
        </w:rPr>
        <w:tab/>
      </w:r>
      <w:r>
        <w:rPr>
          <w:noProof/>
        </w:rPr>
        <w:fldChar w:fldCharType="begin"/>
      </w:r>
      <w:r>
        <w:rPr>
          <w:noProof/>
        </w:rPr>
        <w:instrText xml:space="preserve"> PAGEREF _Toc454283976 \h </w:instrText>
      </w:r>
      <w:r>
        <w:rPr>
          <w:noProof/>
        </w:rPr>
      </w:r>
      <w:r>
        <w:rPr>
          <w:noProof/>
        </w:rPr>
        <w:fldChar w:fldCharType="separate"/>
      </w:r>
      <w:r w:rsidR="00D763F3">
        <w:rPr>
          <w:noProof/>
        </w:rPr>
        <w:t>38</w:t>
      </w:r>
      <w:r>
        <w:rPr>
          <w:noProof/>
        </w:rPr>
        <w:fldChar w:fldCharType="end"/>
      </w:r>
    </w:p>
    <w:p w14:paraId="26C61CE6"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Administrative Disputes Process</w:t>
      </w:r>
      <w:r>
        <w:rPr>
          <w:noProof/>
        </w:rPr>
        <w:tab/>
      </w:r>
      <w:r>
        <w:rPr>
          <w:noProof/>
        </w:rPr>
        <w:fldChar w:fldCharType="begin"/>
      </w:r>
      <w:r>
        <w:rPr>
          <w:noProof/>
        </w:rPr>
        <w:instrText xml:space="preserve"> PAGEREF _Toc454283977 \h </w:instrText>
      </w:r>
      <w:r>
        <w:rPr>
          <w:noProof/>
        </w:rPr>
      </w:r>
      <w:r>
        <w:rPr>
          <w:noProof/>
        </w:rPr>
        <w:fldChar w:fldCharType="separate"/>
      </w:r>
      <w:r w:rsidR="00D763F3">
        <w:rPr>
          <w:noProof/>
        </w:rPr>
        <w:t>39</w:t>
      </w:r>
      <w:r>
        <w:rPr>
          <w:noProof/>
        </w:rPr>
        <w:fldChar w:fldCharType="end"/>
      </w:r>
    </w:p>
    <w:p w14:paraId="194F5F93"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lastRenderedPageBreak/>
        <w:t>Changes to Price as a Result of Price Disclosure</w:t>
      </w:r>
      <w:r>
        <w:rPr>
          <w:noProof/>
        </w:rPr>
        <w:tab/>
      </w:r>
      <w:r>
        <w:rPr>
          <w:noProof/>
        </w:rPr>
        <w:fldChar w:fldCharType="begin"/>
      </w:r>
      <w:r>
        <w:rPr>
          <w:noProof/>
        </w:rPr>
        <w:instrText xml:space="preserve"> PAGEREF _Toc454283978 \h </w:instrText>
      </w:r>
      <w:r>
        <w:rPr>
          <w:noProof/>
        </w:rPr>
      </w:r>
      <w:r>
        <w:rPr>
          <w:noProof/>
        </w:rPr>
        <w:fldChar w:fldCharType="separate"/>
      </w:r>
      <w:r w:rsidR="00D763F3">
        <w:rPr>
          <w:noProof/>
        </w:rPr>
        <w:t>39</w:t>
      </w:r>
      <w:r>
        <w:rPr>
          <w:noProof/>
        </w:rPr>
        <w:fldChar w:fldCharType="end"/>
      </w:r>
    </w:p>
    <w:p w14:paraId="151250D6" w14:textId="77777777" w:rsidR="004E4CC8" w:rsidRDefault="004E4CC8">
      <w:pPr>
        <w:pStyle w:val="TOC3"/>
        <w:tabs>
          <w:tab w:val="right" w:pos="9017"/>
        </w:tabs>
        <w:rPr>
          <w:rFonts w:asciiTheme="minorHAnsi" w:eastAsiaTheme="minorEastAsia" w:hAnsiTheme="minorHAnsi" w:cstheme="minorBidi"/>
          <w:noProof/>
          <w:szCs w:val="22"/>
        </w:rPr>
      </w:pPr>
      <w:r>
        <w:rPr>
          <w:noProof/>
        </w:rPr>
        <w:t>When will price changes take place</w:t>
      </w:r>
      <w:r>
        <w:rPr>
          <w:noProof/>
        </w:rPr>
        <w:tab/>
      </w:r>
      <w:r>
        <w:rPr>
          <w:noProof/>
        </w:rPr>
        <w:fldChar w:fldCharType="begin"/>
      </w:r>
      <w:r>
        <w:rPr>
          <w:noProof/>
        </w:rPr>
        <w:instrText xml:space="preserve"> PAGEREF _Toc454283979 \h </w:instrText>
      </w:r>
      <w:r>
        <w:rPr>
          <w:noProof/>
        </w:rPr>
      </w:r>
      <w:r>
        <w:rPr>
          <w:noProof/>
        </w:rPr>
        <w:fldChar w:fldCharType="separate"/>
      </w:r>
      <w:r w:rsidR="00D763F3">
        <w:rPr>
          <w:noProof/>
        </w:rPr>
        <w:t>39</w:t>
      </w:r>
      <w:r>
        <w:rPr>
          <w:noProof/>
        </w:rPr>
        <w:fldChar w:fldCharType="end"/>
      </w:r>
    </w:p>
    <w:p w14:paraId="7AB3F1B0" w14:textId="77777777" w:rsidR="004E4CC8" w:rsidRDefault="004E4CC8">
      <w:pPr>
        <w:pStyle w:val="TOC3"/>
        <w:tabs>
          <w:tab w:val="right" w:pos="9017"/>
        </w:tabs>
        <w:rPr>
          <w:rFonts w:asciiTheme="minorHAnsi" w:eastAsiaTheme="minorEastAsia" w:hAnsiTheme="minorHAnsi" w:cstheme="minorBidi"/>
          <w:noProof/>
          <w:szCs w:val="22"/>
        </w:rPr>
      </w:pPr>
      <w:r>
        <w:rPr>
          <w:noProof/>
        </w:rPr>
        <w:t>Brands and drugs that will be affected by the change in price</w:t>
      </w:r>
      <w:r>
        <w:rPr>
          <w:noProof/>
        </w:rPr>
        <w:tab/>
      </w:r>
      <w:r>
        <w:rPr>
          <w:noProof/>
        </w:rPr>
        <w:fldChar w:fldCharType="begin"/>
      </w:r>
      <w:r>
        <w:rPr>
          <w:noProof/>
        </w:rPr>
        <w:instrText xml:space="preserve"> PAGEREF _Toc454283980 \h </w:instrText>
      </w:r>
      <w:r>
        <w:rPr>
          <w:noProof/>
        </w:rPr>
      </w:r>
      <w:r>
        <w:rPr>
          <w:noProof/>
        </w:rPr>
        <w:fldChar w:fldCharType="separate"/>
      </w:r>
      <w:r w:rsidR="00D763F3">
        <w:rPr>
          <w:noProof/>
        </w:rPr>
        <w:t>40</w:t>
      </w:r>
      <w:r>
        <w:rPr>
          <w:noProof/>
        </w:rPr>
        <w:fldChar w:fldCharType="end"/>
      </w:r>
    </w:p>
    <w:p w14:paraId="644BE5DF" w14:textId="77777777" w:rsidR="004E4CC8" w:rsidRDefault="004E4CC8">
      <w:pPr>
        <w:pStyle w:val="TOC1"/>
        <w:rPr>
          <w:rFonts w:asciiTheme="minorHAnsi" w:eastAsiaTheme="minorEastAsia" w:hAnsiTheme="minorHAnsi" w:cstheme="minorBidi"/>
          <w:bCs w:val="0"/>
          <w:color w:val="auto"/>
          <w:sz w:val="22"/>
          <w:szCs w:val="22"/>
        </w:rPr>
      </w:pPr>
      <w:r w:rsidRPr="00451D27">
        <w:t>Compliance Guidelines</w:t>
      </w:r>
      <w:r>
        <w:tab/>
      </w:r>
      <w:r>
        <w:fldChar w:fldCharType="begin"/>
      </w:r>
      <w:r>
        <w:instrText xml:space="preserve"> PAGEREF _Toc454283981 \h </w:instrText>
      </w:r>
      <w:r>
        <w:fldChar w:fldCharType="separate"/>
      </w:r>
      <w:r w:rsidR="00D763F3">
        <w:t>45</w:t>
      </w:r>
      <w:r>
        <w:fldChar w:fldCharType="end"/>
      </w:r>
    </w:p>
    <w:p w14:paraId="4EBE7C72"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A compliance culture</w:t>
      </w:r>
      <w:r>
        <w:rPr>
          <w:noProof/>
        </w:rPr>
        <w:tab/>
      </w:r>
      <w:r>
        <w:rPr>
          <w:noProof/>
        </w:rPr>
        <w:fldChar w:fldCharType="begin"/>
      </w:r>
      <w:r>
        <w:rPr>
          <w:noProof/>
        </w:rPr>
        <w:instrText xml:space="preserve"> PAGEREF _Toc454283982 \h </w:instrText>
      </w:r>
      <w:r>
        <w:rPr>
          <w:noProof/>
        </w:rPr>
      </w:r>
      <w:r>
        <w:rPr>
          <w:noProof/>
        </w:rPr>
        <w:fldChar w:fldCharType="separate"/>
      </w:r>
      <w:r w:rsidR="00D763F3">
        <w:rPr>
          <w:noProof/>
        </w:rPr>
        <w:t>46</w:t>
      </w:r>
      <w:r>
        <w:rPr>
          <w:noProof/>
        </w:rPr>
        <w:fldChar w:fldCharType="end"/>
      </w:r>
    </w:p>
    <w:p w14:paraId="7CB8F27C" w14:textId="77777777" w:rsidR="004E4CC8" w:rsidRDefault="004E4CC8">
      <w:pPr>
        <w:pStyle w:val="TOC3"/>
        <w:tabs>
          <w:tab w:val="right" w:pos="9017"/>
        </w:tabs>
        <w:rPr>
          <w:rFonts w:asciiTheme="minorHAnsi" w:eastAsiaTheme="minorEastAsia" w:hAnsiTheme="minorHAnsi" w:cstheme="minorBidi"/>
          <w:noProof/>
          <w:szCs w:val="22"/>
        </w:rPr>
      </w:pPr>
      <w:r>
        <w:rPr>
          <w:noProof/>
        </w:rPr>
        <w:t>Non-compliance</w:t>
      </w:r>
      <w:r>
        <w:rPr>
          <w:noProof/>
        </w:rPr>
        <w:tab/>
      </w:r>
      <w:r>
        <w:rPr>
          <w:noProof/>
        </w:rPr>
        <w:fldChar w:fldCharType="begin"/>
      </w:r>
      <w:r>
        <w:rPr>
          <w:noProof/>
        </w:rPr>
        <w:instrText xml:space="preserve"> PAGEREF _Toc454283983 \h </w:instrText>
      </w:r>
      <w:r>
        <w:rPr>
          <w:noProof/>
        </w:rPr>
      </w:r>
      <w:r>
        <w:rPr>
          <w:noProof/>
        </w:rPr>
        <w:fldChar w:fldCharType="separate"/>
      </w:r>
      <w:r w:rsidR="00D763F3">
        <w:rPr>
          <w:noProof/>
        </w:rPr>
        <w:t>47</w:t>
      </w:r>
      <w:r>
        <w:rPr>
          <w:noProof/>
        </w:rPr>
        <w:fldChar w:fldCharType="end"/>
      </w:r>
    </w:p>
    <w:p w14:paraId="5E3B6D6A" w14:textId="77777777" w:rsidR="004E4CC8" w:rsidRDefault="004E4CC8">
      <w:pPr>
        <w:pStyle w:val="TOC3"/>
        <w:tabs>
          <w:tab w:val="right" w:pos="9017"/>
        </w:tabs>
        <w:rPr>
          <w:rFonts w:asciiTheme="minorHAnsi" w:eastAsiaTheme="minorEastAsia" w:hAnsiTheme="minorHAnsi" w:cstheme="minorBidi"/>
          <w:noProof/>
          <w:szCs w:val="22"/>
        </w:rPr>
      </w:pPr>
      <w:r>
        <w:rPr>
          <w:noProof/>
        </w:rPr>
        <w:t>Consequences of non-compliance with disclosure requirements</w:t>
      </w:r>
      <w:r>
        <w:rPr>
          <w:noProof/>
        </w:rPr>
        <w:tab/>
      </w:r>
      <w:r>
        <w:rPr>
          <w:noProof/>
        </w:rPr>
        <w:fldChar w:fldCharType="begin"/>
      </w:r>
      <w:r>
        <w:rPr>
          <w:noProof/>
        </w:rPr>
        <w:instrText xml:space="preserve"> PAGEREF _Toc454283984 \h </w:instrText>
      </w:r>
      <w:r>
        <w:rPr>
          <w:noProof/>
        </w:rPr>
      </w:r>
      <w:r>
        <w:rPr>
          <w:noProof/>
        </w:rPr>
        <w:fldChar w:fldCharType="separate"/>
      </w:r>
      <w:r w:rsidR="00D763F3">
        <w:rPr>
          <w:noProof/>
        </w:rPr>
        <w:t>48</w:t>
      </w:r>
      <w:r>
        <w:rPr>
          <w:noProof/>
        </w:rPr>
        <w:fldChar w:fldCharType="end"/>
      </w:r>
    </w:p>
    <w:p w14:paraId="28E16AC7" w14:textId="77777777" w:rsidR="004E4CC8" w:rsidRDefault="004E4CC8">
      <w:pPr>
        <w:pStyle w:val="TOC1"/>
        <w:rPr>
          <w:rFonts w:asciiTheme="minorHAnsi" w:eastAsiaTheme="minorEastAsia" w:hAnsiTheme="minorHAnsi" w:cstheme="minorBidi"/>
          <w:bCs w:val="0"/>
          <w:color w:val="auto"/>
          <w:sz w:val="22"/>
          <w:szCs w:val="22"/>
        </w:rPr>
      </w:pPr>
      <w:r w:rsidRPr="00451D27">
        <w:t>Security Arrangements for Commercial in Confidence Material</w:t>
      </w:r>
      <w:r>
        <w:tab/>
      </w:r>
      <w:r>
        <w:fldChar w:fldCharType="begin"/>
      </w:r>
      <w:r>
        <w:instrText xml:space="preserve"> PAGEREF _Toc454283985 \h </w:instrText>
      </w:r>
      <w:r>
        <w:fldChar w:fldCharType="separate"/>
      </w:r>
      <w:r w:rsidR="00D763F3">
        <w:t>49</w:t>
      </w:r>
      <w:r>
        <w:fldChar w:fldCharType="end"/>
      </w:r>
    </w:p>
    <w:p w14:paraId="6ACA2404"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Confidentiality of the responsible persons’ disclosed price information</w:t>
      </w:r>
      <w:r>
        <w:rPr>
          <w:noProof/>
        </w:rPr>
        <w:tab/>
      </w:r>
      <w:r>
        <w:rPr>
          <w:noProof/>
        </w:rPr>
        <w:fldChar w:fldCharType="begin"/>
      </w:r>
      <w:r>
        <w:rPr>
          <w:noProof/>
        </w:rPr>
        <w:instrText xml:space="preserve"> PAGEREF _Toc454283986 \h </w:instrText>
      </w:r>
      <w:r>
        <w:rPr>
          <w:noProof/>
        </w:rPr>
      </w:r>
      <w:r>
        <w:rPr>
          <w:noProof/>
        </w:rPr>
        <w:fldChar w:fldCharType="separate"/>
      </w:r>
      <w:r w:rsidR="00D763F3">
        <w:rPr>
          <w:noProof/>
        </w:rPr>
        <w:t>50</w:t>
      </w:r>
      <w:r>
        <w:rPr>
          <w:noProof/>
        </w:rPr>
        <w:fldChar w:fldCharType="end"/>
      </w:r>
    </w:p>
    <w:p w14:paraId="67D4917B" w14:textId="77777777" w:rsidR="004E4CC8" w:rsidRDefault="004E4CC8">
      <w:pPr>
        <w:pStyle w:val="TOC1"/>
        <w:rPr>
          <w:rFonts w:asciiTheme="minorHAnsi" w:eastAsiaTheme="minorEastAsia" w:hAnsiTheme="minorHAnsi" w:cstheme="minorBidi"/>
          <w:bCs w:val="0"/>
          <w:color w:val="auto"/>
          <w:sz w:val="22"/>
          <w:szCs w:val="22"/>
        </w:rPr>
      </w:pPr>
      <w:r w:rsidRPr="00451D27">
        <w:t>Definitions</w:t>
      </w:r>
      <w:r>
        <w:tab/>
      </w:r>
      <w:r>
        <w:fldChar w:fldCharType="begin"/>
      </w:r>
      <w:r>
        <w:instrText xml:space="preserve"> PAGEREF _Toc454283987 \h </w:instrText>
      </w:r>
      <w:r>
        <w:fldChar w:fldCharType="separate"/>
      </w:r>
      <w:r w:rsidR="00D763F3">
        <w:t>51</w:t>
      </w:r>
      <w:r>
        <w:fldChar w:fldCharType="end"/>
      </w:r>
    </w:p>
    <w:p w14:paraId="60DE0867" w14:textId="77777777" w:rsidR="004E4CC8" w:rsidRDefault="004E4CC8">
      <w:pPr>
        <w:pStyle w:val="TOC1"/>
        <w:rPr>
          <w:rFonts w:asciiTheme="minorHAnsi" w:eastAsiaTheme="minorEastAsia" w:hAnsiTheme="minorHAnsi" w:cstheme="minorBidi"/>
          <w:bCs w:val="0"/>
          <w:color w:val="auto"/>
          <w:sz w:val="22"/>
          <w:szCs w:val="22"/>
        </w:rPr>
      </w:pPr>
      <w:r w:rsidRPr="00451D27">
        <w:t>Related Information</w:t>
      </w:r>
      <w:r>
        <w:tab/>
      </w:r>
      <w:r>
        <w:fldChar w:fldCharType="begin"/>
      </w:r>
      <w:r>
        <w:instrText xml:space="preserve"> PAGEREF _Toc454283988 \h </w:instrText>
      </w:r>
      <w:r>
        <w:fldChar w:fldCharType="separate"/>
      </w:r>
      <w:r w:rsidR="00D763F3">
        <w:t>61</w:t>
      </w:r>
      <w:r>
        <w:fldChar w:fldCharType="end"/>
      </w:r>
    </w:p>
    <w:p w14:paraId="40F546C3"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Where to go for further information</w:t>
      </w:r>
      <w:r>
        <w:rPr>
          <w:noProof/>
        </w:rPr>
        <w:tab/>
      </w:r>
      <w:r>
        <w:rPr>
          <w:noProof/>
        </w:rPr>
        <w:fldChar w:fldCharType="begin"/>
      </w:r>
      <w:r>
        <w:rPr>
          <w:noProof/>
        </w:rPr>
        <w:instrText xml:space="preserve"> PAGEREF _Toc454283989 \h </w:instrText>
      </w:r>
      <w:r>
        <w:rPr>
          <w:noProof/>
        </w:rPr>
      </w:r>
      <w:r>
        <w:rPr>
          <w:noProof/>
        </w:rPr>
        <w:fldChar w:fldCharType="separate"/>
      </w:r>
      <w:r w:rsidR="00D763F3">
        <w:rPr>
          <w:noProof/>
        </w:rPr>
        <w:t>62</w:t>
      </w:r>
      <w:r>
        <w:rPr>
          <w:noProof/>
        </w:rPr>
        <w:fldChar w:fldCharType="end"/>
      </w:r>
    </w:p>
    <w:p w14:paraId="1CA87D89" w14:textId="77777777" w:rsidR="004E4CC8" w:rsidRDefault="004E4CC8">
      <w:pPr>
        <w:pStyle w:val="TOC2"/>
        <w:tabs>
          <w:tab w:val="right" w:pos="9017"/>
        </w:tabs>
        <w:rPr>
          <w:rFonts w:asciiTheme="minorHAnsi" w:eastAsiaTheme="minorEastAsia" w:hAnsiTheme="minorHAnsi" w:cstheme="minorBidi"/>
          <w:bCs w:val="0"/>
          <w:noProof/>
          <w:color w:val="auto"/>
          <w:sz w:val="22"/>
          <w:szCs w:val="22"/>
        </w:rPr>
      </w:pPr>
      <w:r>
        <w:rPr>
          <w:noProof/>
        </w:rPr>
        <w:t>Contact Details</w:t>
      </w:r>
      <w:r>
        <w:rPr>
          <w:noProof/>
        </w:rPr>
        <w:tab/>
      </w:r>
      <w:r>
        <w:rPr>
          <w:noProof/>
        </w:rPr>
        <w:fldChar w:fldCharType="begin"/>
      </w:r>
      <w:r>
        <w:rPr>
          <w:noProof/>
        </w:rPr>
        <w:instrText xml:space="preserve"> PAGEREF _Toc454283990 \h </w:instrText>
      </w:r>
      <w:r>
        <w:rPr>
          <w:noProof/>
        </w:rPr>
      </w:r>
      <w:r>
        <w:rPr>
          <w:noProof/>
        </w:rPr>
        <w:fldChar w:fldCharType="separate"/>
      </w:r>
      <w:r w:rsidR="00D763F3">
        <w:rPr>
          <w:noProof/>
        </w:rPr>
        <w:t>62</w:t>
      </w:r>
      <w:r>
        <w:rPr>
          <w:noProof/>
        </w:rPr>
        <w:fldChar w:fldCharType="end"/>
      </w:r>
    </w:p>
    <w:p w14:paraId="06E4AA51" w14:textId="77777777" w:rsidR="00E03B52" w:rsidRPr="00BB28F3" w:rsidRDefault="0082200C" w:rsidP="00925E92">
      <w:pPr>
        <w:rPr>
          <w:rFonts w:cs="Arial"/>
          <w:b/>
          <w:caps/>
          <w:color w:val="365F91"/>
          <w:sz w:val="24"/>
          <w:szCs w:val="24"/>
        </w:rPr>
      </w:pPr>
      <w:r w:rsidRPr="00BB28F3">
        <w:rPr>
          <w:rFonts w:cs="Arial"/>
          <w:b/>
          <w:caps/>
          <w:color w:val="365F91"/>
          <w:sz w:val="24"/>
          <w:szCs w:val="24"/>
        </w:rPr>
        <w:fldChar w:fldCharType="end"/>
      </w:r>
    </w:p>
    <w:p w14:paraId="0D66AC16" w14:textId="77777777" w:rsidR="00E03B52" w:rsidRPr="00BB28F3" w:rsidRDefault="00E03B52" w:rsidP="00925E92">
      <w:pPr>
        <w:rPr>
          <w:rFonts w:cs="Arial"/>
          <w:b/>
          <w:caps/>
          <w:color w:val="365F91"/>
          <w:sz w:val="24"/>
          <w:szCs w:val="24"/>
        </w:rPr>
      </w:pPr>
      <w:r w:rsidRPr="00BB28F3">
        <w:rPr>
          <w:rFonts w:cs="Arial"/>
          <w:b/>
          <w:caps/>
          <w:color w:val="365F91"/>
          <w:sz w:val="24"/>
          <w:szCs w:val="24"/>
        </w:rPr>
        <w:br w:type="page"/>
      </w:r>
    </w:p>
    <w:p w14:paraId="36E4867C" w14:textId="77777777" w:rsidR="00260F73" w:rsidRDefault="00260F73" w:rsidP="00925E92">
      <w:pPr>
        <w:rPr>
          <w:rFonts w:ascii="Times New Roman" w:hAnsi="Times New Roman"/>
          <w:b/>
          <w:sz w:val="24"/>
          <w:szCs w:val="24"/>
        </w:rPr>
      </w:pPr>
    </w:p>
    <w:p w14:paraId="78080940" w14:textId="77777777" w:rsidR="00604984" w:rsidRPr="003615BD" w:rsidRDefault="00604984" w:rsidP="002B65C4">
      <w:pPr>
        <w:spacing w:before="4000"/>
        <w:jc w:val="right"/>
        <w:rPr>
          <w:rFonts w:cs="Arial"/>
          <w:color w:val="00B0F0"/>
          <w:sz w:val="144"/>
          <w:szCs w:val="144"/>
        </w:rPr>
      </w:pPr>
      <w:r w:rsidRPr="003615BD">
        <w:rPr>
          <w:rFonts w:cs="Arial"/>
          <w:color w:val="00B0F0"/>
          <w:sz w:val="144"/>
          <w:szCs w:val="144"/>
        </w:rPr>
        <w:t>1</w:t>
      </w:r>
    </w:p>
    <w:p w14:paraId="6757E405" w14:textId="77777777" w:rsidR="005D35C4" w:rsidRPr="00BB28F3" w:rsidRDefault="00F31DC4" w:rsidP="00925E92">
      <w:pPr>
        <w:pStyle w:val="Heading1"/>
        <w:spacing w:before="120"/>
        <w:rPr>
          <w:color w:val="365F91"/>
          <w:sz w:val="40"/>
          <w:szCs w:val="40"/>
        </w:rPr>
      </w:pPr>
      <w:bookmarkStart w:id="0" w:name="_Toc367914198"/>
      <w:bookmarkStart w:id="1" w:name="_Toc454283940"/>
      <w:r w:rsidRPr="00BB28F3">
        <w:rPr>
          <w:color w:val="365F91"/>
          <w:sz w:val="40"/>
          <w:szCs w:val="40"/>
        </w:rPr>
        <w:t>Introduction</w:t>
      </w:r>
      <w:bookmarkEnd w:id="0"/>
      <w:bookmarkEnd w:id="1"/>
    </w:p>
    <w:p w14:paraId="31D372C0" w14:textId="77777777" w:rsidR="005D35C4" w:rsidRPr="00383A1C" w:rsidRDefault="005D35C4" w:rsidP="00925E92">
      <w:pPr>
        <w:tabs>
          <w:tab w:val="left" w:pos="6614"/>
        </w:tabs>
        <w:rPr>
          <w:rFonts w:ascii="Times New Roman" w:hAnsi="Times New Roman"/>
          <w:sz w:val="24"/>
          <w:szCs w:val="24"/>
        </w:rPr>
      </w:pPr>
    </w:p>
    <w:p w14:paraId="17E60EE9" w14:textId="77777777" w:rsidR="005D35C4" w:rsidRPr="00BD5E06" w:rsidRDefault="00604984" w:rsidP="00585F54">
      <w:pPr>
        <w:pStyle w:val="Heading3"/>
        <w:spacing w:before="0"/>
      </w:pPr>
      <w:r>
        <w:rPr>
          <w:rFonts w:ascii="Times New Roman" w:hAnsi="Times New Roman"/>
          <w:b/>
          <w:sz w:val="24"/>
          <w:szCs w:val="24"/>
        </w:rPr>
        <w:br w:type="page"/>
      </w:r>
      <w:bookmarkStart w:id="2" w:name="_Toc367914199"/>
      <w:bookmarkStart w:id="3" w:name="_Toc454283941"/>
      <w:r w:rsidR="00383A1C" w:rsidRPr="008E0F23">
        <w:lastRenderedPageBreak/>
        <w:t>Purpose</w:t>
      </w:r>
      <w:bookmarkEnd w:id="2"/>
      <w:bookmarkEnd w:id="3"/>
    </w:p>
    <w:p w14:paraId="6FD6CE58" w14:textId="77777777" w:rsidR="005D35C4" w:rsidRDefault="00F31DC4" w:rsidP="00585F54">
      <w:pPr>
        <w:pStyle w:val="ListParagraph"/>
        <w:numPr>
          <w:ilvl w:val="0"/>
          <w:numId w:val="24"/>
        </w:numPr>
        <w:rPr>
          <w:rFonts w:cs="Arial"/>
        </w:rPr>
      </w:pPr>
      <w:r w:rsidRPr="006E1064">
        <w:rPr>
          <w:rFonts w:cs="Arial"/>
        </w:rPr>
        <w:t xml:space="preserve">The purpose of these Guidelines is to provide operational and procedural guidelines on the implementation of the Pharmaceutical Benefits Scheme (PBS) </w:t>
      </w:r>
      <w:r w:rsidR="00E33B06">
        <w:rPr>
          <w:rFonts w:cs="Arial"/>
        </w:rPr>
        <w:t>P</w:t>
      </w:r>
      <w:r w:rsidRPr="006E1064">
        <w:rPr>
          <w:rFonts w:cs="Arial"/>
        </w:rPr>
        <w:t>rice Disclosure arrangements.</w:t>
      </w:r>
    </w:p>
    <w:p w14:paraId="1EB6EDAC" w14:textId="77777777" w:rsidR="005D35C4" w:rsidRPr="001B1F09" w:rsidRDefault="00F31DC4" w:rsidP="00585F54">
      <w:pPr>
        <w:pStyle w:val="Heading3"/>
        <w:spacing w:before="120"/>
      </w:pPr>
      <w:bookmarkStart w:id="4" w:name="_Toc367914200"/>
      <w:bookmarkStart w:id="5" w:name="_Toc454283942"/>
      <w:r w:rsidRPr="001B1F09">
        <w:t xml:space="preserve">Name of </w:t>
      </w:r>
      <w:r w:rsidRPr="008E0F23">
        <w:t>Guidelines</w:t>
      </w:r>
      <w:bookmarkEnd w:id="4"/>
      <w:bookmarkEnd w:id="5"/>
      <w:r w:rsidRPr="001B1F09">
        <w:t xml:space="preserve"> </w:t>
      </w:r>
    </w:p>
    <w:p w14:paraId="6AC8A1F2" w14:textId="77777777" w:rsidR="005D35C4" w:rsidRDefault="00F31DC4" w:rsidP="00585F54">
      <w:pPr>
        <w:pStyle w:val="ListParagraph"/>
        <w:numPr>
          <w:ilvl w:val="0"/>
          <w:numId w:val="24"/>
        </w:numPr>
        <w:rPr>
          <w:rFonts w:cs="Arial"/>
        </w:rPr>
      </w:pPr>
      <w:r w:rsidRPr="006E1064">
        <w:rPr>
          <w:rFonts w:cs="Arial"/>
        </w:rPr>
        <w:t xml:space="preserve">These guidelines are the Pharmaceutical Benefits Scheme Price Disclosure </w:t>
      </w:r>
      <w:r w:rsidR="005C4525" w:rsidRPr="006E1064">
        <w:rPr>
          <w:rFonts w:cs="Arial"/>
        </w:rPr>
        <w:t xml:space="preserve">Arrangements </w:t>
      </w:r>
      <w:r w:rsidRPr="006E1064">
        <w:rPr>
          <w:rFonts w:cs="Arial"/>
        </w:rPr>
        <w:t>Procedural and Operational Guidel</w:t>
      </w:r>
      <w:r w:rsidR="00BD5E06" w:rsidRPr="006E1064">
        <w:rPr>
          <w:rFonts w:cs="Arial"/>
        </w:rPr>
        <w:t>ines (“Guidelines”).</w:t>
      </w:r>
    </w:p>
    <w:p w14:paraId="2DF99F2D" w14:textId="77777777" w:rsidR="005D35C4" w:rsidRPr="001B1F09" w:rsidRDefault="00F31DC4" w:rsidP="00925E92">
      <w:pPr>
        <w:pStyle w:val="Heading3"/>
        <w:spacing w:before="120"/>
      </w:pPr>
      <w:bookmarkStart w:id="6" w:name="_Toc367914201"/>
      <w:bookmarkStart w:id="7" w:name="_Toc454283943"/>
      <w:r w:rsidRPr="008E0F23">
        <w:t>Commencement</w:t>
      </w:r>
      <w:r w:rsidRPr="001B1F09">
        <w:t xml:space="preserve"> of </w:t>
      </w:r>
      <w:r w:rsidR="00990599">
        <w:t xml:space="preserve">price </w:t>
      </w:r>
      <w:r w:rsidRPr="001B1F09">
        <w:t>disclosure arrangements</w:t>
      </w:r>
      <w:bookmarkEnd w:id="6"/>
      <w:bookmarkEnd w:id="7"/>
      <w:r w:rsidRPr="001B1F09">
        <w:t xml:space="preserve"> </w:t>
      </w:r>
    </w:p>
    <w:p w14:paraId="5C5C484E" w14:textId="77777777" w:rsidR="005D35C4" w:rsidRPr="00B44948" w:rsidRDefault="00D166D5" w:rsidP="00B44948">
      <w:pPr>
        <w:pStyle w:val="ListParagraph"/>
        <w:numPr>
          <w:ilvl w:val="0"/>
          <w:numId w:val="24"/>
        </w:numPr>
        <w:rPr>
          <w:rFonts w:cs="Arial"/>
        </w:rPr>
      </w:pPr>
      <w:r w:rsidRPr="00B44948">
        <w:rPr>
          <w:rFonts w:cs="Arial"/>
        </w:rPr>
        <w:t xml:space="preserve">Price disclosure arrangements first commenced </w:t>
      </w:r>
      <w:r w:rsidR="00F0551C" w:rsidRPr="00B44948">
        <w:rPr>
          <w:rFonts w:cs="Arial"/>
        </w:rPr>
        <w:t xml:space="preserve">as part of </w:t>
      </w:r>
      <w:r w:rsidRPr="00B44948">
        <w:rPr>
          <w:rFonts w:cs="Arial"/>
        </w:rPr>
        <w:t>the 2007 PBS Reforms</w:t>
      </w:r>
      <w:r w:rsidR="00C852EF" w:rsidRPr="00B44948">
        <w:rPr>
          <w:rFonts w:cs="Arial"/>
        </w:rPr>
        <w:t xml:space="preserve">. </w:t>
      </w:r>
      <w:r w:rsidR="00DD357A" w:rsidRPr="00B44948">
        <w:rPr>
          <w:rFonts w:cs="Arial"/>
        </w:rPr>
        <w:t>The arrangements</w:t>
      </w:r>
      <w:r w:rsidR="000A4FA9" w:rsidRPr="00B44948">
        <w:rPr>
          <w:rFonts w:cs="Arial"/>
        </w:rPr>
        <w:t xml:space="preserve"> </w:t>
      </w:r>
      <w:r w:rsidR="006827D4" w:rsidRPr="00B44948">
        <w:rPr>
          <w:rFonts w:cs="Arial"/>
        </w:rPr>
        <w:t xml:space="preserve">were </w:t>
      </w:r>
      <w:r w:rsidR="00AF1EE8" w:rsidRPr="00B44948">
        <w:rPr>
          <w:rFonts w:cs="Arial"/>
        </w:rPr>
        <w:t>expanded and a</w:t>
      </w:r>
      <w:r w:rsidR="000A4FA9" w:rsidRPr="00B44948">
        <w:rPr>
          <w:rFonts w:cs="Arial"/>
        </w:rPr>
        <w:t>ccelerated from 1</w:t>
      </w:r>
      <w:r w:rsidR="00F0551C" w:rsidRPr="00B44948">
        <w:rPr>
          <w:rFonts w:cs="Arial"/>
        </w:rPr>
        <w:t> </w:t>
      </w:r>
      <w:r w:rsidR="000A4FA9" w:rsidRPr="00B44948">
        <w:rPr>
          <w:rFonts w:cs="Arial"/>
        </w:rPr>
        <w:t>December</w:t>
      </w:r>
      <w:r w:rsidR="00F0551C" w:rsidRPr="00B44948">
        <w:rPr>
          <w:rFonts w:cs="Arial"/>
        </w:rPr>
        <w:t> </w:t>
      </w:r>
      <w:r w:rsidR="000A4FA9" w:rsidRPr="00B44948">
        <w:rPr>
          <w:rFonts w:cs="Arial"/>
        </w:rPr>
        <w:t>2010</w:t>
      </w:r>
      <w:r w:rsidR="00AF1EE8" w:rsidRPr="00B44948">
        <w:rPr>
          <w:rFonts w:cs="Arial"/>
        </w:rPr>
        <w:t>, modified by</w:t>
      </w:r>
      <w:r w:rsidR="000A4FA9" w:rsidRPr="00B44948">
        <w:rPr>
          <w:rFonts w:cs="Arial"/>
        </w:rPr>
        <w:t xml:space="preserve"> </w:t>
      </w:r>
      <w:r w:rsidR="00DD357A" w:rsidRPr="00B44948">
        <w:rPr>
          <w:rFonts w:cs="Arial"/>
        </w:rPr>
        <w:t>Simplified Price Disclosure (SPD) amendments</w:t>
      </w:r>
      <w:r w:rsidR="00AF1EE8" w:rsidRPr="00B44948">
        <w:rPr>
          <w:rFonts w:cs="Arial"/>
        </w:rPr>
        <w:t xml:space="preserve"> in 2014</w:t>
      </w:r>
      <w:r w:rsidR="007E2AEC" w:rsidRPr="00B44948">
        <w:rPr>
          <w:rFonts w:cs="Arial"/>
        </w:rPr>
        <w:t xml:space="preserve"> and further </w:t>
      </w:r>
      <w:r w:rsidR="00460B96" w:rsidRPr="00B44948">
        <w:rPr>
          <w:rFonts w:cs="Arial"/>
        </w:rPr>
        <w:t>modified</w:t>
      </w:r>
      <w:r w:rsidR="007E2AEC" w:rsidRPr="00B44948">
        <w:rPr>
          <w:rFonts w:cs="Arial"/>
        </w:rPr>
        <w:t xml:space="preserve"> by </w:t>
      </w:r>
      <w:r w:rsidR="005F4F2E" w:rsidRPr="00B44948">
        <w:rPr>
          <w:rFonts w:cs="Arial"/>
        </w:rPr>
        <w:t xml:space="preserve">changes from </w:t>
      </w:r>
      <w:r w:rsidR="007E2AEC" w:rsidRPr="00B44948">
        <w:rPr>
          <w:rFonts w:cs="Arial"/>
        </w:rPr>
        <w:t xml:space="preserve">the PBS </w:t>
      </w:r>
      <w:r w:rsidR="004C17D2">
        <w:rPr>
          <w:rFonts w:cs="Arial"/>
        </w:rPr>
        <w:t>Access and Sustainability p</w:t>
      </w:r>
      <w:r w:rsidR="007E2AEC" w:rsidRPr="00B44948">
        <w:rPr>
          <w:rFonts w:cs="Arial"/>
        </w:rPr>
        <w:t>ackage</w:t>
      </w:r>
      <w:r w:rsidR="005F4F2E" w:rsidRPr="00B44948">
        <w:rPr>
          <w:rFonts w:cs="Arial"/>
        </w:rPr>
        <w:t xml:space="preserve"> </w:t>
      </w:r>
      <w:r w:rsidR="00BD1A1A" w:rsidRPr="00B44948">
        <w:rPr>
          <w:rFonts w:cs="Arial"/>
        </w:rPr>
        <w:t>in</w:t>
      </w:r>
      <w:r w:rsidR="007E2AEC" w:rsidRPr="00B44948">
        <w:rPr>
          <w:rFonts w:cs="Arial"/>
        </w:rPr>
        <w:t> 2015</w:t>
      </w:r>
      <w:r w:rsidR="00F0551C" w:rsidRPr="00B44948">
        <w:rPr>
          <w:rFonts w:cs="Arial"/>
        </w:rPr>
        <w:t xml:space="preserve">. </w:t>
      </w:r>
      <w:r w:rsidR="00033670" w:rsidRPr="00B44948">
        <w:rPr>
          <w:rFonts w:cs="Arial"/>
        </w:rPr>
        <w:t>A</w:t>
      </w:r>
      <w:r w:rsidR="005F4F2E" w:rsidRPr="00B44948">
        <w:rPr>
          <w:rFonts w:cs="Arial"/>
        </w:rPr>
        <w:t xml:space="preserve">mendments to </w:t>
      </w:r>
      <w:r w:rsidR="00033670" w:rsidRPr="00B44948">
        <w:rPr>
          <w:rFonts w:cs="Arial"/>
        </w:rPr>
        <w:t xml:space="preserve">support the 2015 changes were made to </w:t>
      </w:r>
      <w:r w:rsidR="00460B96" w:rsidRPr="00B44948">
        <w:rPr>
          <w:rFonts w:cs="Arial"/>
        </w:rPr>
        <w:t xml:space="preserve">the </w:t>
      </w:r>
      <w:r w:rsidR="00460B96" w:rsidRPr="00B44948">
        <w:rPr>
          <w:rFonts w:cs="Arial"/>
          <w:i/>
        </w:rPr>
        <w:t>National Health Act 1953</w:t>
      </w:r>
      <w:r w:rsidR="00460B96" w:rsidRPr="00B44948">
        <w:rPr>
          <w:rFonts w:cs="Arial"/>
        </w:rPr>
        <w:t xml:space="preserve"> </w:t>
      </w:r>
      <w:r w:rsidR="00033670" w:rsidRPr="00B44948">
        <w:rPr>
          <w:rFonts w:cs="Arial"/>
        </w:rPr>
        <w:t xml:space="preserve">(the Act) and </w:t>
      </w:r>
      <w:r w:rsidR="00C145D4" w:rsidRPr="00B44948">
        <w:rPr>
          <w:rFonts w:cs="Arial"/>
          <w:i/>
        </w:rPr>
        <w:t>National Health (Pharmaceutical Benefits) Regulations 1960</w:t>
      </w:r>
      <w:r w:rsidR="00C145D4" w:rsidRPr="00B44948">
        <w:rPr>
          <w:rFonts w:cs="Arial"/>
        </w:rPr>
        <w:t xml:space="preserve"> </w:t>
      </w:r>
      <w:r w:rsidR="00033670" w:rsidRPr="00B44948">
        <w:rPr>
          <w:rFonts w:cs="Arial"/>
        </w:rPr>
        <w:t>(the Regulations) and commenced on 26 June 2015 and 18 September 2015 respectively</w:t>
      </w:r>
      <w:r w:rsidR="005F4F2E" w:rsidRPr="00B44948">
        <w:rPr>
          <w:rFonts w:cs="Arial"/>
        </w:rPr>
        <w:t xml:space="preserve">. </w:t>
      </w:r>
      <w:r w:rsidR="00F0551C" w:rsidRPr="00B44948">
        <w:rPr>
          <w:rFonts w:cs="Arial"/>
        </w:rPr>
        <w:t>For</w:t>
      </w:r>
      <w:r w:rsidR="00C145D4" w:rsidRPr="00B44948">
        <w:rPr>
          <w:rFonts w:cs="Arial"/>
        </w:rPr>
        <w:t xml:space="preserve"> </w:t>
      </w:r>
      <w:r w:rsidR="00F0551C" w:rsidRPr="00B44948">
        <w:rPr>
          <w:rFonts w:cs="Arial"/>
        </w:rPr>
        <w:t xml:space="preserve">more information about </w:t>
      </w:r>
      <w:r w:rsidR="00B44948" w:rsidRPr="00B44948">
        <w:rPr>
          <w:rFonts w:cs="Arial"/>
        </w:rPr>
        <w:t>the 2015</w:t>
      </w:r>
      <w:r w:rsidR="00F0551C" w:rsidRPr="00B44948">
        <w:rPr>
          <w:rFonts w:cs="Arial"/>
        </w:rPr>
        <w:t xml:space="preserve"> changes to the price disclosure arrangements, see</w:t>
      </w:r>
      <w:r w:rsidR="00AF6C98" w:rsidRPr="00B44948">
        <w:rPr>
          <w:rFonts w:cs="Arial"/>
        </w:rPr>
        <w:t>:</w:t>
      </w:r>
      <w:r w:rsidR="00F0551C" w:rsidRPr="00B44948">
        <w:rPr>
          <w:rFonts w:cs="Arial"/>
        </w:rPr>
        <w:t xml:space="preserve"> </w:t>
      </w:r>
      <w:hyperlink r:id="rId15" w:history="1">
        <w:r w:rsidR="00FE7373" w:rsidRPr="00836B20">
          <w:rPr>
            <w:rStyle w:val="Hyperlink"/>
            <w:rFonts w:cs="Arial"/>
          </w:rPr>
          <w:t>www.pbs.gov.au/info/industry/pricing/price-disclosure-spd/pbs-pricing-fact-sheet-2015-price-disclosure-changes</w:t>
        </w:r>
      </w:hyperlink>
      <w:hyperlink r:id="rId16" w:history="1"/>
    </w:p>
    <w:p w14:paraId="5B4EB2B3" w14:textId="77777777" w:rsidR="00AF6C98" w:rsidRPr="00586DD8" w:rsidRDefault="00B26EB7" w:rsidP="00585F54">
      <w:pPr>
        <w:pStyle w:val="ListParagraph"/>
        <w:numPr>
          <w:ilvl w:val="0"/>
          <w:numId w:val="24"/>
        </w:numPr>
        <w:ind w:left="681" w:hanging="244"/>
        <w:contextualSpacing w:val="0"/>
        <w:rPr>
          <w:rStyle w:val="Hyperlink"/>
          <w:rFonts w:cs="Arial"/>
          <w:color w:val="auto"/>
          <w:u w:val="none"/>
        </w:rPr>
      </w:pPr>
      <w:r w:rsidRPr="006E1064">
        <w:rPr>
          <w:rFonts w:cs="Arial"/>
        </w:rPr>
        <w:t>T</w:t>
      </w:r>
      <w:r w:rsidR="00C145D4" w:rsidRPr="006E1064">
        <w:rPr>
          <w:rFonts w:cs="Arial"/>
        </w:rPr>
        <w:t>he method for working out</w:t>
      </w:r>
      <w:r w:rsidR="00F0551C" w:rsidRPr="006E1064">
        <w:rPr>
          <w:rFonts w:cs="Arial"/>
        </w:rPr>
        <w:t xml:space="preserve"> potential price disclosure </w:t>
      </w:r>
      <w:r w:rsidR="00C145D4" w:rsidRPr="006E1064">
        <w:rPr>
          <w:rFonts w:cs="Arial"/>
        </w:rPr>
        <w:t>reductions</w:t>
      </w:r>
      <w:r w:rsidRPr="006E1064">
        <w:rPr>
          <w:rFonts w:cs="Arial"/>
        </w:rPr>
        <w:t xml:space="preserve"> is set out in </w:t>
      </w:r>
      <w:r w:rsidR="00E33B06">
        <w:rPr>
          <w:rFonts w:cs="Arial"/>
        </w:rPr>
        <w:t xml:space="preserve">detail later in </w:t>
      </w:r>
      <w:r w:rsidRPr="006E1064">
        <w:rPr>
          <w:rFonts w:cs="Arial"/>
        </w:rPr>
        <w:t>these Guidelines. A step by step guide and a sample calculation, is also</w:t>
      </w:r>
      <w:r w:rsidR="00E33B06">
        <w:rPr>
          <w:rFonts w:cs="Arial"/>
        </w:rPr>
        <w:t xml:space="preserve"> available </w:t>
      </w:r>
      <w:r w:rsidRPr="006E1064">
        <w:rPr>
          <w:rFonts w:cs="Arial"/>
        </w:rPr>
        <w:t>on the price disclosure web page, see</w:t>
      </w:r>
      <w:r w:rsidR="00AF6C98" w:rsidRPr="006E1064">
        <w:rPr>
          <w:rFonts w:cs="Arial"/>
        </w:rPr>
        <w:t>:</w:t>
      </w:r>
      <w:r w:rsidRPr="006E1064">
        <w:rPr>
          <w:rFonts w:cs="Arial"/>
        </w:rPr>
        <w:t xml:space="preserve"> </w:t>
      </w:r>
      <w:hyperlink r:id="rId17" w:history="1">
        <w:r w:rsidR="00AF6C98" w:rsidRPr="006E1064">
          <w:rPr>
            <w:rStyle w:val="Hyperlink"/>
            <w:rFonts w:cs="Arial"/>
          </w:rPr>
          <w:t>www.pbs.gov.au/info/industry/pricing/price-disclosure-spd</w:t>
        </w:r>
      </w:hyperlink>
    </w:p>
    <w:p w14:paraId="752A591C" w14:textId="77777777" w:rsidR="005D35C4" w:rsidRPr="001B1F09" w:rsidRDefault="00F31DC4" w:rsidP="00925E92">
      <w:pPr>
        <w:pStyle w:val="Heading3"/>
        <w:spacing w:before="120"/>
      </w:pPr>
      <w:bookmarkStart w:id="8" w:name="_Toc367914202"/>
      <w:bookmarkStart w:id="9" w:name="_Toc454283944"/>
      <w:r w:rsidRPr="001B1F09">
        <w:t xml:space="preserve">Intended </w:t>
      </w:r>
      <w:r w:rsidRPr="008E0F23">
        <w:t>Audience</w:t>
      </w:r>
      <w:bookmarkEnd w:id="8"/>
      <w:bookmarkEnd w:id="9"/>
      <w:r w:rsidRPr="001B1F09">
        <w:t xml:space="preserve"> </w:t>
      </w:r>
    </w:p>
    <w:p w14:paraId="74A99070" w14:textId="77777777" w:rsidR="00780AAE" w:rsidRPr="006E1064" w:rsidRDefault="00F31DC4" w:rsidP="00585F54">
      <w:pPr>
        <w:pStyle w:val="ListParagraph"/>
        <w:numPr>
          <w:ilvl w:val="0"/>
          <w:numId w:val="24"/>
        </w:numPr>
        <w:rPr>
          <w:rFonts w:cs="Arial"/>
        </w:rPr>
      </w:pPr>
      <w:r w:rsidRPr="006E1064">
        <w:rPr>
          <w:rFonts w:cs="Arial"/>
        </w:rPr>
        <w:t xml:space="preserve">These Guidelines are intended for use by: </w:t>
      </w:r>
      <w:r w:rsidR="00780AAE" w:rsidRPr="006E1064">
        <w:rPr>
          <w:rFonts w:cs="Arial"/>
        </w:rPr>
        <w:tab/>
      </w:r>
    </w:p>
    <w:p w14:paraId="28170FE6" w14:textId="77777777" w:rsidR="00780AAE" w:rsidRPr="00965C31" w:rsidRDefault="008A6E71" w:rsidP="00585F54">
      <w:pPr>
        <w:pStyle w:val="ListParagraph"/>
        <w:numPr>
          <w:ilvl w:val="1"/>
          <w:numId w:val="25"/>
        </w:numPr>
      </w:pPr>
      <w:r>
        <w:t>r</w:t>
      </w:r>
      <w:r w:rsidR="00F31DC4" w:rsidRPr="00965C31">
        <w:t xml:space="preserve">esponsible persons for products </w:t>
      </w:r>
      <w:r w:rsidR="00B26EB7">
        <w:t>listed on</w:t>
      </w:r>
      <w:r w:rsidR="00F31DC4" w:rsidRPr="00965C31">
        <w:t xml:space="preserve"> the PBS</w:t>
      </w:r>
      <w:r w:rsidR="00B26EB7">
        <w:t xml:space="preserve">, and particularly those with a brand, or soon to be listed brand, </w:t>
      </w:r>
      <w:r w:rsidR="00F31DC4" w:rsidRPr="00965C31">
        <w:t xml:space="preserve">of a drug on the PBS </w:t>
      </w:r>
      <w:r w:rsidR="00264CE7">
        <w:t xml:space="preserve">F2 Formulary </w:t>
      </w:r>
      <w:r w:rsidR="00F31DC4" w:rsidRPr="00965C31">
        <w:t>(pharmaceutical</w:t>
      </w:r>
      <w:r w:rsidR="00B26EB7">
        <w:t xml:space="preserve"> companies</w:t>
      </w:r>
      <w:r w:rsidR="00F31DC4" w:rsidRPr="00965C31">
        <w:t xml:space="preserve">); </w:t>
      </w:r>
    </w:p>
    <w:p w14:paraId="17C9C419" w14:textId="77777777" w:rsidR="00780AAE" w:rsidRPr="00780AAE" w:rsidRDefault="008A6E71" w:rsidP="00585F54">
      <w:pPr>
        <w:pStyle w:val="ListParagraph"/>
        <w:numPr>
          <w:ilvl w:val="1"/>
          <w:numId w:val="25"/>
        </w:numPr>
        <w:rPr>
          <w:rFonts w:cs="Arial"/>
        </w:rPr>
      </w:pPr>
      <w:r>
        <w:rPr>
          <w:rFonts w:cs="Arial"/>
        </w:rPr>
        <w:t>D</w:t>
      </w:r>
      <w:r w:rsidR="00F31DC4" w:rsidRPr="00780AAE">
        <w:rPr>
          <w:rFonts w:cs="Arial"/>
        </w:rPr>
        <w:t xml:space="preserve">epartmental staff </w:t>
      </w:r>
      <w:r w:rsidR="00BD5E06" w:rsidRPr="00780AAE">
        <w:rPr>
          <w:rFonts w:cs="Arial"/>
        </w:rPr>
        <w:t xml:space="preserve">and other government agencies; </w:t>
      </w:r>
    </w:p>
    <w:p w14:paraId="3274A8E2" w14:textId="77777777" w:rsidR="00780AAE" w:rsidRPr="00780AAE" w:rsidRDefault="008A6E71" w:rsidP="00585F54">
      <w:pPr>
        <w:pStyle w:val="ListParagraph"/>
        <w:numPr>
          <w:ilvl w:val="1"/>
          <w:numId w:val="25"/>
        </w:numPr>
        <w:rPr>
          <w:rFonts w:cs="Arial"/>
        </w:rPr>
      </w:pPr>
      <w:r>
        <w:rPr>
          <w:rFonts w:cs="Arial"/>
        </w:rPr>
        <w:t>t</w:t>
      </w:r>
      <w:r w:rsidR="00F31DC4" w:rsidRPr="00780AAE">
        <w:rPr>
          <w:rFonts w:cs="Arial"/>
        </w:rPr>
        <w:t xml:space="preserve">he independent </w:t>
      </w:r>
      <w:r w:rsidR="00873CF1" w:rsidRPr="00780AAE">
        <w:rPr>
          <w:rFonts w:cs="Arial"/>
        </w:rPr>
        <w:t>Price Disclosure Data Administrator (PDDA)</w:t>
      </w:r>
      <w:r w:rsidR="00F31DC4" w:rsidRPr="00780AAE">
        <w:rPr>
          <w:rFonts w:cs="Arial"/>
        </w:rPr>
        <w:t xml:space="preserve">; and </w:t>
      </w:r>
    </w:p>
    <w:p w14:paraId="407FA99D" w14:textId="77777777" w:rsidR="005D35C4" w:rsidRDefault="008A6E71" w:rsidP="00585F54">
      <w:pPr>
        <w:pStyle w:val="ListParagraph"/>
        <w:numPr>
          <w:ilvl w:val="1"/>
          <w:numId w:val="25"/>
        </w:numPr>
        <w:rPr>
          <w:rFonts w:cs="Arial"/>
        </w:rPr>
      </w:pPr>
      <w:r>
        <w:rPr>
          <w:rFonts w:cs="Arial"/>
        </w:rPr>
        <w:t>o</w:t>
      </w:r>
      <w:r w:rsidR="00F31DC4" w:rsidRPr="00780AAE">
        <w:rPr>
          <w:rFonts w:cs="Arial"/>
        </w:rPr>
        <w:t xml:space="preserve">ther relevant stakeholders. </w:t>
      </w:r>
    </w:p>
    <w:p w14:paraId="7C9AB8C2" w14:textId="77777777" w:rsidR="005D35C4" w:rsidRPr="001B1F09" w:rsidRDefault="00F31DC4" w:rsidP="00925E92">
      <w:pPr>
        <w:pStyle w:val="Heading3"/>
        <w:spacing w:before="120"/>
      </w:pPr>
      <w:bookmarkStart w:id="10" w:name="_Toc367914203"/>
      <w:bookmarkStart w:id="11" w:name="_Toc454283945"/>
      <w:r w:rsidRPr="001B1F09">
        <w:t xml:space="preserve">What </w:t>
      </w:r>
      <w:r w:rsidRPr="008E0F23">
        <w:t>is</w:t>
      </w:r>
      <w:r w:rsidRPr="001B1F09">
        <w:t xml:space="preserve"> covered in this document</w:t>
      </w:r>
      <w:bookmarkEnd w:id="10"/>
      <w:bookmarkEnd w:id="11"/>
      <w:r w:rsidRPr="001B1F09">
        <w:t xml:space="preserve"> </w:t>
      </w:r>
    </w:p>
    <w:p w14:paraId="56AEEAAE" w14:textId="77777777" w:rsidR="00586DD8" w:rsidRDefault="00F31DC4" w:rsidP="00585F54">
      <w:pPr>
        <w:pStyle w:val="ListParagraph"/>
        <w:numPr>
          <w:ilvl w:val="0"/>
          <w:numId w:val="24"/>
        </w:numPr>
        <w:rPr>
          <w:rFonts w:cs="Arial"/>
        </w:rPr>
      </w:pPr>
      <w:r w:rsidRPr="006E1064">
        <w:rPr>
          <w:rFonts w:cs="Arial"/>
        </w:rPr>
        <w:t xml:space="preserve">This document covers procedural guidelines, standard operating procedures, </w:t>
      </w:r>
      <w:r w:rsidR="00D05D72" w:rsidRPr="006E1064">
        <w:rPr>
          <w:rFonts w:cs="Arial"/>
        </w:rPr>
        <w:t>compliance guidelines</w:t>
      </w:r>
      <w:r w:rsidRPr="006E1064">
        <w:rPr>
          <w:rFonts w:cs="Arial"/>
        </w:rPr>
        <w:t xml:space="preserve"> and security arrangements for commercial in confidence material for: </w:t>
      </w:r>
    </w:p>
    <w:p w14:paraId="0F6DE6F6" w14:textId="77777777" w:rsidR="00586DD8" w:rsidRDefault="008A6E71" w:rsidP="00585F54">
      <w:pPr>
        <w:pStyle w:val="ListParagraph"/>
        <w:numPr>
          <w:ilvl w:val="1"/>
          <w:numId w:val="24"/>
        </w:numPr>
        <w:rPr>
          <w:rFonts w:cs="Arial"/>
        </w:rPr>
      </w:pPr>
      <w:r>
        <w:rPr>
          <w:rFonts w:cs="Arial"/>
        </w:rPr>
        <w:t>p</w:t>
      </w:r>
      <w:r w:rsidR="009473ED" w:rsidRPr="00586DD8">
        <w:rPr>
          <w:rFonts w:cs="Arial"/>
        </w:rPr>
        <w:t>rice disclosure</w:t>
      </w:r>
      <w:r w:rsidR="00F31DC4" w:rsidRPr="00586DD8">
        <w:rPr>
          <w:rFonts w:cs="Arial"/>
        </w:rPr>
        <w:t xml:space="preserve">; </w:t>
      </w:r>
    </w:p>
    <w:p w14:paraId="0642255E" w14:textId="77777777" w:rsidR="00586DD8" w:rsidRDefault="008A6E71" w:rsidP="00585F54">
      <w:pPr>
        <w:pStyle w:val="ListParagraph"/>
        <w:numPr>
          <w:ilvl w:val="1"/>
          <w:numId w:val="24"/>
        </w:numPr>
        <w:rPr>
          <w:rFonts w:cs="Arial"/>
        </w:rPr>
      </w:pPr>
      <w:r>
        <w:rPr>
          <w:rFonts w:cs="Arial"/>
        </w:rPr>
        <w:t>u</w:t>
      </w:r>
      <w:r w:rsidR="00F31DC4" w:rsidRPr="00586DD8">
        <w:rPr>
          <w:rFonts w:cs="Arial"/>
        </w:rPr>
        <w:t xml:space="preserve">se of the </w:t>
      </w:r>
      <w:r w:rsidR="009473ED" w:rsidRPr="00586DD8">
        <w:rPr>
          <w:rFonts w:cs="Arial"/>
        </w:rPr>
        <w:t>price disclosure</w:t>
      </w:r>
      <w:r w:rsidR="006827D4" w:rsidRPr="00586DD8">
        <w:rPr>
          <w:rFonts w:cs="Arial"/>
        </w:rPr>
        <w:t xml:space="preserve"> </w:t>
      </w:r>
      <w:r w:rsidR="00F31DC4" w:rsidRPr="00586DD8">
        <w:rPr>
          <w:rFonts w:cs="Arial"/>
        </w:rPr>
        <w:t xml:space="preserve">information; and </w:t>
      </w:r>
    </w:p>
    <w:p w14:paraId="32A02AE4" w14:textId="77777777" w:rsidR="005D35C4" w:rsidRPr="00586DD8" w:rsidRDefault="008A6E71" w:rsidP="00585F54">
      <w:pPr>
        <w:pStyle w:val="ListParagraph"/>
        <w:numPr>
          <w:ilvl w:val="1"/>
          <w:numId w:val="24"/>
        </w:numPr>
        <w:rPr>
          <w:rFonts w:cs="Arial"/>
        </w:rPr>
      </w:pPr>
      <w:r>
        <w:rPr>
          <w:rFonts w:cs="Arial"/>
        </w:rPr>
        <w:t>c</w:t>
      </w:r>
      <w:r w:rsidR="00F31DC4" w:rsidRPr="00586DD8">
        <w:rPr>
          <w:rFonts w:cs="Arial"/>
        </w:rPr>
        <w:t xml:space="preserve">hanges to price as a result of </w:t>
      </w:r>
      <w:r w:rsidR="009473ED" w:rsidRPr="00586DD8">
        <w:rPr>
          <w:rFonts w:cs="Arial"/>
        </w:rPr>
        <w:t>price disclosure</w:t>
      </w:r>
      <w:r w:rsidR="00F31DC4" w:rsidRPr="00586DD8">
        <w:rPr>
          <w:rFonts w:cs="Arial"/>
        </w:rPr>
        <w:t xml:space="preserve">. </w:t>
      </w:r>
    </w:p>
    <w:p w14:paraId="459A38F5" w14:textId="77777777" w:rsidR="005D35C4" w:rsidRPr="001B1F09" w:rsidRDefault="00F31DC4" w:rsidP="0018413E">
      <w:pPr>
        <w:pStyle w:val="Heading3"/>
      </w:pPr>
      <w:bookmarkStart w:id="12" w:name="_Toc367914204"/>
      <w:bookmarkStart w:id="13" w:name="_Toc454283946"/>
      <w:r w:rsidRPr="001B1F09">
        <w:lastRenderedPageBreak/>
        <w:t xml:space="preserve">Relevant </w:t>
      </w:r>
      <w:r w:rsidRPr="008E0F23">
        <w:t>legislation</w:t>
      </w:r>
      <w:r w:rsidRPr="001B1F09">
        <w:t>, policies and documents</w:t>
      </w:r>
      <w:bookmarkEnd w:id="12"/>
      <w:bookmarkEnd w:id="13"/>
      <w:r w:rsidRPr="001B1F09">
        <w:t xml:space="preserve"> </w:t>
      </w:r>
    </w:p>
    <w:p w14:paraId="4887D776" w14:textId="77777777" w:rsidR="00D166D5" w:rsidRPr="00586DD8" w:rsidRDefault="00F31DC4" w:rsidP="00585F54">
      <w:pPr>
        <w:pStyle w:val="ListParagraph"/>
        <w:numPr>
          <w:ilvl w:val="0"/>
          <w:numId w:val="24"/>
        </w:numPr>
        <w:rPr>
          <w:rFonts w:cs="Arial"/>
        </w:rPr>
      </w:pPr>
      <w:r w:rsidRPr="00586DD8">
        <w:rPr>
          <w:rFonts w:cs="Arial"/>
        </w:rPr>
        <w:t xml:space="preserve">Legislation governing these Guidelines is the </w:t>
      </w:r>
      <w:r w:rsidRPr="00586DD8">
        <w:rPr>
          <w:rFonts w:cs="Arial"/>
          <w:i/>
        </w:rPr>
        <w:t>National Health Act 1953</w:t>
      </w:r>
      <w:r w:rsidRPr="00586DD8">
        <w:rPr>
          <w:rFonts w:cs="Arial"/>
        </w:rPr>
        <w:t xml:space="preserve"> </w:t>
      </w:r>
      <w:r w:rsidR="00264CE7" w:rsidRPr="00586DD8">
        <w:rPr>
          <w:rFonts w:cs="Arial"/>
        </w:rPr>
        <w:br/>
        <w:t xml:space="preserve">(the Act) </w:t>
      </w:r>
      <w:r w:rsidRPr="00586DD8">
        <w:rPr>
          <w:rFonts w:cs="Arial"/>
        </w:rPr>
        <w:t xml:space="preserve">and </w:t>
      </w:r>
      <w:r w:rsidRPr="00586DD8">
        <w:rPr>
          <w:rFonts w:cs="Arial"/>
          <w:i/>
        </w:rPr>
        <w:t>National Health (Pharmaceutical Benefits) Regulations 1960</w:t>
      </w:r>
      <w:r w:rsidR="00264CE7" w:rsidRPr="00586DD8">
        <w:rPr>
          <w:rFonts w:cs="Arial"/>
          <w:i/>
        </w:rPr>
        <w:t xml:space="preserve"> </w:t>
      </w:r>
      <w:r w:rsidR="00264CE7" w:rsidRPr="00586DD8">
        <w:rPr>
          <w:rFonts w:cs="Arial"/>
          <w:i/>
        </w:rPr>
        <w:br/>
      </w:r>
      <w:r w:rsidR="00264CE7" w:rsidRPr="00586DD8">
        <w:rPr>
          <w:rFonts w:cs="Arial"/>
        </w:rPr>
        <w:t xml:space="preserve">(the Regulations). </w:t>
      </w:r>
    </w:p>
    <w:p w14:paraId="1E619626" w14:textId="77777777" w:rsidR="00D166D5" w:rsidRPr="00586DD8" w:rsidRDefault="00D166D5" w:rsidP="00585F54">
      <w:pPr>
        <w:pStyle w:val="ListParagraph"/>
        <w:numPr>
          <w:ilvl w:val="0"/>
          <w:numId w:val="24"/>
        </w:numPr>
        <w:ind w:left="681" w:hanging="244"/>
        <w:contextualSpacing w:val="0"/>
        <w:rPr>
          <w:rFonts w:cs="Arial"/>
        </w:rPr>
      </w:pPr>
      <w:r w:rsidRPr="00586DD8">
        <w:rPr>
          <w:rFonts w:cs="Arial"/>
        </w:rPr>
        <w:t xml:space="preserve">Other useful information is available on the </w:t>
      </w:r>
      <w:r w:rsidR="00DD357A" w:rsidRPr="00586DD8">
        <w:rPr>
          <w:rFonts w:cs="Arial"/>
        </w:rPr>
        <w:t>Price Disclosure</w:t>
      </w:r>
      <w:r w:rsidR="006827D4" w:rsidRPr="00586DD8">
        <w:rPr>
          <w:rFonts w:cs="Arial"/>
        </w:rPr>
        <w:t xml:space="preserve"> </w:t>
      </w:r>
      <w:r w:rsidRPr="00586DD8">
        <w:rPr>
          <w:rFonts w:cs="Arial"/>
        </w:rPr>
        <w:t>web</w:t>
      </w:r>
      <w:r w:rsidR="006F1E6D" w:rsidRPr="00586DD8">
        <w:rPr>
          <w:rFonts w:cs="Arial"/>
        </w:rPr>
        <w:t xml:space="preserve"> </w:t>
      </w:r>
      <w:r w:rsidRPr="00586DD8">
        <w:rPr>
          <w:rFonts w:cs="Arial"/>
        </w:rPr>
        <w:t>page</w:t>
      </w:r>
      <w:r w:rsidR="00AF6C98" w:rsidRPr="00586DD8">
        <w:rPr>
          <w:rFonts w:cs="Arial"/>
        </w:rPr>
        <w:t>:</w:t>
      </w:r>
      <w:r w:rsidRPr="00586DD8">
        <w:rPr>
          <w:rFonts w:cs="Arial"/>
        </w:rPr>
        <w:t xml:space="preserve"> </w:t>
      </w:r>
      <w:hyperlink r:id="rId18" w:history="1">
        <w:r w:rsidR="00AF6C98" w:rsidRPr="00586DD8">
          <w:rPr>
            <w:rStyle w:val="Hyperlink"/>
            <w:rFonts w:cs="Arial"/>
          </w:rPr>
          <w:t>www.pbs.gov.au/info/industry/pricing/price-disclosure-spd</w:t>
        </w:r>
      </w:hyperlink>
    </w:p>
    <w:p w14:paraId="20C9DFD6" w14:textId="77777777" w:rsidR="006642E2" w:rsidRDefault="00D0481A" w:rsidP="00D0481A">
      <w:pPr>
        <w:pStyle w:val="Heading3"/>
      </w:pPr>
      <w:bookmarkStart w:id="14" w:name="_Toc454283947"/>
      <w:bookmarkStart w:id="15" w:name="_Toc367914205"/>
      <w:r>
        <w:t>Definitions</w:t>
      </w:r>
      <w:bookmarkEnd w:id="14"/>
      <w:r>
        <w:t xml:space="preserve"> </w:t>
      </w:r>
    </w:p>
    <w:p w14:paraId="7B9CD8C6" w14:textId="77777777" w:rsidR="00D0481A" w:rsidRPr="00D0481A" w:rsidRDefault="00D0481A" w:rsidP="00D0481A">
      <w:pPr>
        <w:pStyle w:val="ListParagraph"/>
        <w:numPr>
          <w:ilvl w:val="0"/>
          <w:numId w:val="24"/>
        </w:numPr>
      </w:pPr>
      <w:r>
        <w:t xml:space="preserve"> Definitions for the Guidelines are</w:t>
      </w:r>
      <w:r w:rsidR="00E33B06">
        <w:t xml:space="preserve"> in Chapter 5 at the back of this</w:t>
      </w:r>
      <w:r>
        <w:t xml:space="preserve"> document. </w:t>
      </w:r>
    </w:p>
    <w:bookmarkEnd w:id="15"/>
    <w:p w14:paraId="4B35216F" w14:textId="77777777" w:rsidR="005313A6" w:rsidRPr="00BB28F3" w:rsidRDefault="00243F3F" w:rsidP="00925E92">
      <w:pPr>
        <w:rPr>
          <w:rFonts w:cs="Arial"/>
          <w:color w:val="365F91"/>
          <w:sz w:val="96"/>
          <w:szCs w:val="96"/>
        </w:rPr>
      </w:pPr>
      <w:r>
        <w:br w:type="page"/>
      </w:r>
    </w:p>
    <w:p w14:paraId="505082C1" w14:textId="77777777" w:rsidR="00861F85" w:rsidRDefault="00861F85" w:rsidP="00925E92">
      <w:pPr>
        <w:jc w:val="right"/>
        <w:rPr>
          <w:rFonts w:cs="Arial"/>
          <w:color w:val="00B0F0"/>
          <w:sz w:val="144"/>
          <w:szCs w:val="144"/>
        </w:rPr>
      </w:pPr>
    </w:p>
    <w:p w14:paraId="3BB50160" w14:textId="77777777" w:rsidR="00861F85" w:rsidRDefault="00861F85" w:rsidP="00925E92">
      <w:pPr>
        <w:jc w:val="right"/>
        <w:rPr>
          <w:rFonts w:cs="Arial"/>
          <w:color w:val="00B0F0"/>
          <w:sz w:val="144"/>
          <w:szCs w:val="144"/>
        </w:rPr>
      </w:pPr>
    </w:p>
    <w:p w14:paraId="2A02A2DB" w14:textId="77777777" w:rsidR="008E0F23" w:rsidRPr="003615BD" w:rsidRDefault="008E0F23" w:rsidP="00925E92">
      <w:pPr>
        <w:jc w:val="right"/>
        <w:rPr>
          <w:rFonts w:cs="Arial"/>
          <w:color w:val="00B0F0"/>
          <w:sz w:val="144"/>
          <w:szCs w:val="144"/>
        </w:rPr>
      </w:pPr>
      <w:r w:rsidRPr="003615BD">
        <w:rPr>
          <w:rFonts w:cs="Arial"/>
          <w:color w:val="00B0F0"/>
          <w:sz w:val="144"/>
          <w:szCs w:val="144"/>
        </w:rPr>
        <w:t>2</w:t>
      </w:r>
    </w:p>
    <w:p w14:paraId="422E8360" w14:textId="77777777" w:rsidR="005D35C4" w:rsidRPr="00BB28F3" w:rsidRDefault="00F31DC4" w:rsidP="00925E92">
      <w:pPr>
        <w:pStyle w:val="Heading1"/>
        <w:spacing w:before="120"/>
        <w:rPr>
          <w:color w:val="365F91"/>
          <w:sz w:val="40"/>
          <w:szCs w:val="40"/>
        </w:rPr>
      </w:pPr>
      <w:bookmarkStart w:id="16" w:name="_Toc367914206"/>
      <w:bookmarkStart w:id="17" w:name="_Toc454283948"/>
      <w:r w:rsidRPr="00BB28F3">
        <w:rPr>
          <w:color w:val="365F91"/>
          <w:sz w:val="40"/>
          <w:szCs w:val="40"/>
        </w:rPr>
        <w:t>P</w:t>
      </w:r>
      <w:r w:rsidR="00C15688" w:rsidRPr="00BB28F3">
        <w:rPr>
          <w:color w:val="365F91"/>
          <w:sz w:val="40"/>
          <w:szCs w:val="40"/>
        </w:rPr>
        <w:t>rice Disclosure</w:t>
      </w:r>
      <w:r w:rsidRPr="00BB28F3">
        <w:rPr>
          <w:color w:val="365F91"/>
          <w:sz w:val="40"/>
          <w:szCs w:val="40"/>
        </w:rPr>
        <w:t xml:space="preserve"> Arrangements</w:t>
      </w:r>
      <w:bookmarkEnd w:id="16"/>
      <w:bookmarkEnd w:id="17"/>
    </w:p>
    <w:p w14:paraId="0D72CF39" w14:textId="77777777" w:rsidR="005D35C4" w:rsidRPr="001B1F09" w:rsidRDefault="008E0F23" w:rsidP="0018413E">
      <w:pPr>
        <w:pStyle w:val="Heading2"/>
      </w:pPr>
      <w:r>
        <w:rPr>
          <w:rFonts w:cs="Arial"/>
          <w:b/>
          <w:sz w:val="24"/>
          <w:szCs w:val="24"/>
        </w:rPr>
        <w:br w:type="page"/>
      </w:r>
      <w:bookmarkStart w:id="18" w:name="_Toc367914207"/>
      <w:bookmarkStart w:id="19" w:name="_Toc454283949"/>
      <w:r w:rsidR="00F31DC4" w:rsidRPr="008E0F23">
        <w:lastRenderedPageBreak/>
        <w:t>Initiation</w:t>
      </w:r>
      <w:bookmarkEnd w:id="18"/>
      <w:r w:rsidR="00C83FC8">
        <w:t xml:space="preserve"> </w:t>
      </w:r>
      <w:r w:rsidR="001764A1">
        <w:t xml:space="preserve">and </w:t>
      </w:r>
      <w:r w:rsidR="002E69C5">
        <w:t>Overview</w:t>
      </w:r>
      <w:bookmarkEnd w:id="19"/>
    </w:p>
    <w:p w14:paraId="08846CEA" w14:textId="77777777" w:rsidR="005D35C4" w:rsidRPr="001B1F09" w:rsidRDefault="00F31DC4" w:rsidP="00925E92">
      <w:pPr>
        <w:pStyle w:val="Heading3"/>
        <w:spacing w:before="120"/>
      </w:pPr>
      <w:bookmarkStart w:id="20" w:name="_Toc367914208"/>
      <w:bookmarkStart w:id="21" w:name="_Toc454283950"/>
      <w:r w:rsidRPr="001B1F09">
        <w:t>What is Price Disclosure?</w:t>
      </w:r>
      <w:bookmarkEnd w:id="20"/>
      <w:bookmarkEnd w:id="21"/>
      <w:r w:rsidRPr="001B1F09">
        <w:t xml:space="preserve"> </w:t>
      </w:r>
    </w:p>
    <w:p w14:paraId="5B53111E" w14:textId="77777777" w:rsidR="003F4CA1" w:rsidRPr="003F4CA1" w:rsidRDefault="00BF1AC5" w:rsidP="00AC34F8">
      <w:pPr>
        <w:pStyle w:val="ListParagraph"/>
        <w:numPr>
          <w:ilvl w:val="0"/>
          <w:numId w:val="24"/>
        </w:numPr>
        <w:ind w:left="714" w:hanging="357"/>
        <w:contextualSpacing w:val="0"/>
        <w:rPr>
          <w:rFonts w:cs="Arial"/>
        </w:rPr>
      </w:pPr>
      <w:r w:rsidRPr="00980D72">
        <w:rPr>
          <w:rFonts w:cs="Arial"/>
        </w:rPr>
        <w:t xml:space="preserve">Price </w:t>
      </w:r>
      <w:r w:rsidR="00B450D1" w:rsidRPr="00980D72">
        <w:rPr>
          <w:rFonts w:cs="Arial"/>
        </w:rPr>
        <w:t>Disclosure</w:t>
      </w:r>
      <w:r w:rsidRPr="00980D72">
        <w:rPr>
          <w:rFonts w:cs="Arial"/>
        </w:rPr>
        <w:t xml:space="preserve"> for PBS listed medicines was introduced as part of PBS Reforms in 2007.  </w:t>
      </w:r>
    </w:p>
    <w:p w14:paraId="1CC48A03" w14:textId="77777777" w:rsidR="00BF1AC5" w:rsidRPr="00980D72" w:rsidRDefault="00CE5060" w:rsidP="00AC34F8">
      <w:pPr>
        <w:pStyle w:val="ListParagraph"/>
        <w:numPr>
          <w:ilvl w:val="0"/>
          <w:numId w:val="24"/>
        </w:numPr>
        <w:ind w:left="714" w:hanging="357"/>
        <w:contextualSpacing w:val="0"/>
        <w:rPr>
          <w:rFonts w:cs="Arial"/>
        </w:rPr>
      </w:pPr>
      <w:r w:rsidRPr="00980D72">
        <w:rPr>
          <w:rFonts w:cs="Arial"/>
        </w:rPr>
        <w:t xml:space="preserve">Suppliers of </w:t>
      </w:r>
      <w:r w:rsidR="000F0185" w:rsidRPr="00980D72">
        <w:rPr>
          <w:rFonts w:cs="Arial"/>
        </w:rPr>
        <w:t xml:space="preserve">certain </w:t>
      </w:r>
      <w:r w:rsidRPr="00980D72">
        <w:rPr>
          <w:rFonts w:cs="Arial"/>
        </w:rPr>
        <w:t xml:space="preserve">PBS listed brands of medicines </w:t>
      </w:r>
      <w:r w:rsidR="00BF1AC5" w:rsidRPr="00980D72">
        <w:rPr>
          <w:rFonts w:cs="Arial"/>
        </w:rPr>
        <w:t>are required to advise the Department</w:t>
      </w:r>
      <w:r w:rsidR="005C1BFA">
        <w:rPr>
          <w:rFonts w:cs="Arial"/>
        </w:rPr>
        <w:t xml:space="preserve"> of information, </w:t>
      </w:r>
      <w:r w:rsidR="00BF1AC5" w:rsidRPr="00980D72">
        <w:rPr>
          <w:rFonts w:cs="Arial"/>
        </w:rPr>
        <w:t xml:space="preserve">via the </w:t>
      </w:r>
      <w:r w:rsidR="00E965B3" w:rsidRPr="00980D72">
        <w:rPr>
          <w:rFonts w:cs="Arial"/>
        </w:rPr>
        <w:t>P</w:t>
      </w:r>
      <w:r w:rsidR="00CB286F" w:rsidRPr="00980D72">
        <w:rPr>
          <w:rFonts w:cs="Arial"/>
        </w:rPr>
        <w:t xml:space="preserve">rice </w:t>
      </w:r>
      <w:r w:rsidR="00E965B3" w:rsidRPr="00980D72">
        <w:rPr>
          <w:rFonts w:cs="Arial"/>
        </w:rPr>
        <w:t>D</w:t>
      </w:r>
      <w:r w:rsidR="00CB286F" w:rsidRPr="00980D72">
        <w:rPr>
          <w:rFonts w:cs="Arial"/>
        </w:rPr>
        <w:t xml:space="preserve">isclosure </w:t>
      </w:r>
      <w:r w:rsidR="00E965B3" w:rsidRPr="00980D72">
        <w:rPr>
          <w:rFonts w:cs="Arial"/>
        </w:rPr>
        <w:t>D</w:t>
      </w:r>
      <w:r w:rsidR="00CB286F" w:rsidRPr="00980D72">
        <w:rPr>
          <w:rFonts w:cs="Arial"/>
        </w:rPr>
        <w:t xml:space="preserve">ata </w:t>
      </w:r>
      <w:r w:rsidR="00E965B3" w:rsidRPr="00980D72">
        <w:rPr>
          <w:rFonts w:cs="Arial"/>
        </w:rPr>
        <w:t>A</w:t>
      </w:r>
      <w:r w:rsidR="00CB286F" w:rsidRPr="00980D72">
        <w:rPr>
          <w:rFonts w:cs="Arial"/>
        </w:rPr>
        <w:t>dministrator</w:t>
      </w:r>
      <w:r w:rsidR="002F27B8" w:rsidRPr="00980D72">
        <w:rPr>
          <w:rFonts w:cs="Arial"/>
        </w:rPr>
        <w:t xml:space="preserve"> (PDDA</w:t>
      </w:r>
      <w:r w:rsidR="005C1BFA">
        <w:rPr>
          <w:rFonts w:cs="Arial"/>
        </w:rPr>
        <w:t xml:space="preserve">), in relation to supply of their brands </w:t>
      </w:r>
      <w:r w:rsidR="006C17EA">
        <w:rPr>
          <w:rFonts w:cs="Arial"/>
        </w:rPr>
        <w:t>for</w:t>
      </w:r>
      <w:r w:rsidR="005C1BFA">
        <w:rPr>
          <w:rFonts w:cs="Arial"/>
        </w:rPr>
        <w:t xml:space="preserve"> data collection period</w:t>
      </w:r>
      <w:r w:rsidR="006C17EA">
        <w:rPr>
          <w:rFonts w:cs="Arial"/>
        </w:rPr>
        <w:t>s</w:t>
      </w:r>
      <w:r w:rsidR="005C1BFA">
        <w:rPr>
          <w:rFonts w:cs="Arial"/>
        </w:rPr>
        <w:t>. Th</w:t>
      </w:r>
      <w:r w:rsidR="006C17EA">
        <w:rPr>
          <w:rFonts w:cs="Arial"/>
        </w:rPr>
        <w:t>e disclosed information is used to w</w:t>
      </w:r>
      <w:r w:rsidR="005C1BFA">
        <w:rPr>
          <w:rFonts w:cs="Arial"/>
        </w:rPr>
        <w:t>ork out the</w:t>
      </w:r>
      <w:r w:rsidR="00BF1AC5" w:rsidRPr="00980D72">
        <w:rPr>
          <w:rFonts w:cs="Arial"/>
        </w:rPr>
        <w:t xml:space="preserve"> price at which </w:t>
      </w:r>
      <w:r w:rsidR="006C17EA">
        <w:rPr>
          <w:rFonts w:cs="Arial"/>
        </w:rPr>
        <w:t>their brands</w:t>
      </w:r>
      <w:r w:rsidR="00BF1AC5" w:rsidRPr="00980D72">
        <w:rPr>
          <w:rFonts w:cs="Arial"/>
        </w:rPr>
        <w:t xml:space="preserve"> are sold. Under arrangements in the Act and Regulations the price Government pays for </w:t>
      </w:r>
      <w:r w:rsidR="000F0185" w:rsidRPr="00980D72">
        <w:rPr>
          <w:rFonts w:cs="Arial"/>
        </w:rPr>
        <w:t xml:space="preserve">the </w:t>
      </w:r>
      <w:r w:rsidR="00BF1AC5" w:rsidRPr="00980D72">
        <w:rPr>
          <w:rFonts w:cs="Arial"/>
        </w:rPr>
        <w:t xml:space="preserve">PBS listed </w:t>
      </w:r>
      <w:r w:rsidR="000F0185" w:rsidRPr="00980D72">
        <w:rPr>
          <w:rFonts w:cs="Arial"/>
        </w:rPr>
        <w:t>medicines</w:t>
      </w:r>
      <w:r w:rsidR="00BF1AC5" w:rsidRPr="00980D72">
        <w:rPr>
          <w:rFonts w:cs="Arial"/>
        </w:rPr>
        <w:t xml:space="preserve"> will move closer to the price at </w:t>
      </w:r>
      <w:r w:rsidR="000F0185" w:rsidRPr="00980D72">
        <w:rPr>
          <w:rFonts w:cs="Arial"/>
        </w:rPr>
        <w:t>which they</w:t>
      </w:r>
      <w:r w:rsidR="00BF1AC5" w:rsidRPr="00980D72">
        <w:rPr>
          <w:rFonts w:cs="Arial"/>
        </w:rPr>
        <w:t xml:space="preserve"> are supplied in the market</w:t>
      </w:r>
      <w:r w:rsidR="000F0185" w:rsidRPr="00980D72">
        <w:rPr>
          <w:rFonts w:cs="Arial"/>
        </w:rPr>
        <w:t>, based on the information disclosed by suppliers</w:t>
      </w:r>
      <w:r w:rsidR="000B09B0" w:rsidRPr="00980D72">
        <w:rPr>
          <w:rFonts w:cs="Arial"/>
        </w:rPr>
        <w:t>.</w:t>
      </w:r>
      <w:r w:rsidR="00994264">
        <w:rPr>
          <w:rFonts w:cs="Arial"/>
        </w:rPr>
        <w:t xml:space="preserve">  </w:t>
      </w:r>
      <w:r w:rsidR="006A717C">
        <w:rPr>
          <w:rFonts w:cs="Arial"/>
        </w:rPr>
        <w:t>Following</w:t>
      </w:r>
      <w:r w:rsidR="00994264">
        <w:rPr>
          <w:rFonts w:cs="Arial"/>
        </w:rPr>
        <w:t xml:space="preserve"> 2015 changes</w:t>
      </w:r>
      <w:r w:rsidR="006A717C">
        <w:rPr>
          <w:rFonts w:cs="Arial"/>
        </w:rPr>
        <w:t>,</w:t>
      </w:r>
      <w:r w:rsidR="00994264">
        <w:rPr>
          <w:rFonts w:cs="Arial"/>
        </w:rPr>
        <w:t xml:space="preserve"> </w:t>
      </w:r>
      <w:r w:rsidR="00994264">
        <w:rPr>
          <w:color w:val="000000"/>
          <w:shd w:val="clear" w:color="auto" w:fill="FFFFFF"/>
        </w:rPr>
        <w:t xml:space="preserve">in some cases </w:t>
      </w:r>
      <w:r w:rsidR="006A717C">
        <w:rPr>
          <w:color w:val="000000"/>
          <w:shd w:val="clear" w:color="auto" w:fill="FFFFFF"/>
        </w:rPr>
        <w:t xml:space="preserve">the price </w:t>
      </w:r>
      <w:r w:rsidR="00994264">
        <w:rPr>
          <w:color w:val="000000"/>
          <w:shd w:val="clear" w:color="auto" w:fill="FFFFFF"/>
        </w:rPr>
        <w:t xml:space="preserve">the Government pays will move closer to the prices at which generic brands of the medicine are </w:t>
      </w:r>
      <w:r w:rsidR="006A717C">
        <w:rPr>
          <w:color w:val="000000"/>
          <w:shd w:val="clear" w:color="auto" w:fill="FFFFFF"/>
        </w:rPr>
        <w:t>supplied</w:t>
      </w:r>
      <w:r w:rsidR="00994264">
        <w:rPr>
          <w:color w:val="000000"/>
          <w:shd w:val="clear" w:color="auto" w:fill="FFFFFF"/>
        </w:rPr>
        <w:t xml:space="preserve">, not </w:t>
      </w:r>
      <w:r w:rsidR="006A717C">
        <w:rPr>
          <w:color w:val="000000"/>
          <w:shd w:val="clear" w:color="auto" w:fill="FFFFFF"/>
        </w:rPr>
        <w:t xml:space="preserve">necessarily </w:t>
      </w:r>
      <w:r w:rsidR="00994264">
        <w:rPr>
          <w:color w:val="000000"/>
          <w:shd w:val="clear" w:color="auto" w:fill="FFFFFF"/>
        </w:rPr>
        <w:t>the prices of all brands.  More detail</w:t>
      </w:r>
      <w:r w:rsidR="006A717C">
        <w:rPr>
          <w:color w:val="000000"/>
          <w:shd w:val="clear" w:color="auto" w:fill="FFFFFF"/>
        </w:rPr>
        <w:t>s</w:t>
      </w:r>
      <w:r w:rsidR="00994264">
        <w:rPr>
          <w:color w:val="000000"/>
          <w:shd w:val="clear" w:color="auto" w:fill="FFFFFF"/>
        </w:rPr>
        <w:t xml:space="preserve"> about </w:t>
      </w:r>
      <w:r w:rsidR="006A717C">
        <w:rPr>
          <w:color w:val="000000"/>
          <w:shd w:val="clear" w:color="auto" w:fill="FFFFFF"/>
        </w:rPr>
        <w:t>these changes are provided later</w:t>
      </w:r>
      <w:r w:rsidR="00994264">
        <w:rPr>
          <w:color w:val="000000"/>
          <w:shd w:val="clear" w:color="auto" w:fill="FFFFFF"/>
        </w:rPr>
        <w:t>.</w:t>
      </w:r>
    </w:p>
    <w:p w14:paraId="3AEF4DF6" w14:textId="77777777" w:rsidR="0077089E" w:rsidRPr="00980D72" w:rsidRDefault="00A20527" w:rsidP="00AC34F8">
      <w:pPr>
        <w:pStyle w:val="ListParagraph"/>
        <w:numPr>
          <w:ilvl w:val="0"/>
          <w:numId w:val="24"/>
        </w:numPr>
        <w:ind w:left="714" w:hanging="357"/>
        <w:contextualSpacing w:val="0"/>
        <w:rPr>
          <w:rFonts w:cs="Arial"/>
        </w:rPr>
      </w:pPr>
      <w:r w:rsidRPr="00980D72">
        <w:rPr>
          <w:rFonts w:cs="Arial"/>
        </w:rPr>
        <w:t xml:space="preserve">Initially </w:t>
      </w:r>
      <w:r w:rsidR="00E965B3" w:rsidRPr="00980D72">
        <w:rPr>
          <w:rFonts w:cs="Arial"/>
        </w:rPr>
        <w:t>the</w:t>
      </w:r>
      <w:r w:rsidR="00BF1AC5" w:rsidRPr="00980D72">
        <w:rPr>
          <w:rFonts w:cs="Arial"/>
        </w:rPr>
        <w:t xml:space="preserve"> price disclosure</w:t>
      </w:r>
      <w:r w:rsidRPr="00980D72">
        <w:rPr>
          <w:rFonts w:cs="Arial"/>
        </w:rPr>
        <w:t xml:space="preserve"> obligation only applied</w:t>
      </w:r>
      <w:r w:rsidR="00994264">
        <w:rPr>
          <w:rFonts w:cs="Arial"/>
        </w:rPr>
        <w:t xml:space="preserve"> for each drug</w:t>
      </w:r>
      <w:r w:rsidR="00F31DC4" w:rsidRPr="00980D72">
        <w:rPr>
          <w:rFonts w:cs="Arial"/>
        </w:rPr>
        <w:t xml:space="preserve"> </w:t>
      </w:r>
      <w:r w:rsidR="00994264">
        <w:rPr>
          <w:rFonts w:cs="Arial"/>
        </w:rPr>
        <w:t>after</w:t>
      </w:r>
      <w:r w:rsidR="00F31DC4" w:rsidRPr="00980D72">
        <w:rPr>
          <w:rFonts w:cs="Arial"/>
        </w:rPr>
        <w:t xml:space="preserve"> </w:t>
      </w:r>
      <w:r w:rsidR="005F4AF4" w:rsidRPr="00980D72">
        <w:rPr>
          <w:rFonts w:cs="Arial"/>
        </w:rPr>
        <w:t xml:space="preserve">a new brand of an existing pharmaceutical </w:t>
      </w:r>
      <w:r w:rsidR="00F31DC4" w:rsidRPr="00980D72">
        <w:rPr>
          <w:rFonts w:cs="Arial"/>
        </w:rPr>
        <w:t>item</w:t>
      </w:r>
      <w:r w:rsidR="00994264">
        <w:rPr>
          <w:rFonts w:cs="Arial"/>
        </w:rPr>
        <w:t xml:space="preserve"> </w:t>
      </w:r>
      <w:r w:rsidR="006A717C">
        <w:rPr>
          <w:rFonts w:cs="Arial"/>
        </w:rPr>
        <w:t>with</w:t>
      </w:r>
      <w:r w:rsidR="00994264">
        <w:rPr>
          <w:rFonts w:cs="Arial"/>
        </w:rPr>
        <w:t xml:space="preserve"> the </w:t>
      </w:r>
      <w:r w:rsidR="006A717C">
        <w:rPr>
          <w:rFonts w:cs="Arial"/>
        </w:rPr>
        <w:t xml:space="preserve">same </w:t>
      </w:r>
      <w:r w:rsidR="00994264">
        <w:rPr>
          <w:rFonts w:cs="Arial"/>
        </w:rPr>
        <w:t xml:space="preserve">drug was listed </w:t>
      </w:r>
      <w:r w:rsidR="006A717C">
        <w:rPr>
          <w:rFonts w:cs="Arial"/>
        </w:rPr>
        <w:t xml:space="preserve">following </w:t>
      </w:r>
      <w:r w:rsidR="00994264">
        <w:rPr>
          <w:rFonts w:cs="Arial"/>
        </w:rPr>
        <w:t>commencement of</w:t>
      </w:r>
      <w:r w:rsidR="006A717C">
        <w:rPr>
          <w:rFonts w:cs="Arial"/>
        </w:rPr>
        <w:t xml:space="preserve"> the 2007</w:t>
      </w:r>
      <w:r w:rsidR="00994264">
        <w:rPr>
          <w:rFonts w:cs="Arial"/>
        </w:rPr>
        <w:t xml:space="preserve"> PBS reforms</w:t>
      </w:r>
      <w:r w:rsidR="00F31DC4" w:rsidRPr="00980D72">
        <w:rPr>
          <w:rFonts w:cs="Arial"/>
        </w:rPr>
        <w:t xml:space="preserve">. </w:t>
      </w:r>
      <w:r w:rsidR="000B09B0" w:rsidRPr="00980D72">
        <w:rPr>
          <w:rFonts w:cs="Arial"/>
        </w:rPr>
        <w:t xml:space="preserve">Disclosure was voluntary for some brands. More details about </w:t>
      </w:r>
      <w:r w:rsidR="00732D04" w:rsidRPr="00980D72">
        <w:rPr>
          <w:rFonts w:cs="Arial"/>
        </w:rPr>
        <w:t xml:space="preserve">the </w:t>
      </w:r>
      <w:r w:rsidR="000B09B0" w:rsidRPr="00980D72">
        <w:rPr>
          <w:rFonts w:cs="Arial"/>
        </w:rPr>
        <w:t>original price disclosure</w:t>
      </w:r>
      <w:r w:rsidR="00732D04" w:rsidRPr="00980D72">
        <w:rPr>
          <w:rFonts w:cs="Arial"/>
        </w:rPr>
        <w:t xml:space="preserve"> arrangements</w:t>
      </w:r>
      <w:r w:rsidR="000B09B0" w:rsidRPr="00980D72">
        <w:rPr>
          <w:rFonts w:cs="Arial"/>
        </w:rPr>
        <w:t xml:space="preserve"> are available at</w:t>
      </w:r>
      <w:r w:rsidR="00E965B3" w:rsidRPr="00980D72">
        <w:rPr>
          <w:rFonts w:cs="Arial"/>
        </w:rPr>
        <w:t xml:space="preserve">: </w:t>
      </w:r>
      <w:hyperlink r:id="rId19" w:history="1">
        <w:r w:rsidR="00EC5A65" w:rsidRPr="00980D72">
          <w:rPr>
            <w:rStyle w:val="Hyperlink"/>
            <w:rFonts w:cs="Arial"/>
          </w:rPr>
          <w:t>www.pbs.gov.au/info/industry/pricing/disclosure</w:t>
        </w:r>
      </w:hyperlink>
      <w:r w:rsidR="000B09B0" w:rsidRPr="00980D72">
        <w:rPr>
          <w:rFonts w:cs="Arial"/>
        </w:rPr>
        <w:t xml:space="preserve"> </w:t>
      </w:r>
    </w:p>
    <w:p w14:paraId="098EAB0A" w14:textId="77777777" w:rsidR="00E965B3" w:rsidRPr="00980D72" w:rsidRDefault="00CE5060" w:rsidP="00AC34F8">
      <w:pPr>
        <w:pStyle w:val="ListParagraph"/>
        <w:numPr>
          <w:ilvl w:val="0"/>
          <w:numId w:val="24"/>
        </w:numPr>
        <w:ind w:left="714" w:hanging="357"/>
        <w:contextualSpacing w:val="0"/>
        <w:rPr>
          <w:rFonts w:cs="Arial"/>
        </w:rPr>
      </w:pPr>
      <w:r w:rsidRPr="00980D72">
        <w:rPr>
          <w:rFonts w:cs="Arial"/>
        </w:rPr>
        <w:t>Under t</w:t>
      </w:r>
      <w:r w:rsidR="00F31DC4" w:rsidRPr="00980D72">
        <w:rPr>
          <w:rFonts w:cs="Arial"/>
        </w:rPr>
        <w:t xml:space="preserve">he </w:t>
      </w:r>
      <w:r w:rsidR="00FD22F4" w:rsidRPr="00980D72">
        <w:rPr>
          <w:rFonts w:cs="Arial"/>
        </w:rPr>
        <w:t xml:space="preserve">first </w:t>
      </w:r>
      <w:r w:rsidR="00F31DC4" w:rsidRPr="00980D72">
        <w:rPr>
          <w:rFonts w:cs="Arial"/>
        </w:rPr>
        <w:t xml:space="preserve">extension of the price disclosure </w:t>
      </w:r>
      <w:r w:rsidR="00FD22F4" w:rsidRPr="00980D72">
        <w:rPr>
          <w:rFonts w:cs="Arial"/>
        </w:rPr>
        <w:t xml:space="preserve">arrangements, known as </w:t>
      </w:r>
      <w:r w:rsidR="0077089E" w:rsidRPr="00980D72">
        <w:rPr>
          <w:rFonts w:cs="Arial"/>
        </w:rPr>
        <w:t>Expanded and Accelerated Price Disclosure (</w:t>
      </w:r>
      <w:r w:rsidR="00FD22F4" w:rsidRPr="00980D72">
        <w:rPr>
          <w:rFonts w:cs="Arial"/>
        </w:rPr>
        <w:t>EAPD</w:t>
      </w:r>
      <w:r w:rsidR="0077089E" w:rsidRPr="00980D72">
        <w:rPr>
          <w:rFonts w:cs="Arial"/>
        </w:rPr>
        <w:t>)</w:t>
      </w:r>
      <w:r w:rsidR="00FD22F4" w:rsidRPr="00980D72">
        <w:rPr>
          <w:rFonts w:cs="Arial"/>
        </w:rPr>
        <w:t>,</w:t>
      </w:r>
      <w:r w:rsidR="00FF7C85" w:rsidRPr="00980D72">
        <w:rPr>
          <w:rFonts w:cs="Arial"/>
        </w:rPr>
        <w:t xml:space="preserve"> </w:t>
      </w:r>
      <w:r w:rsidRPr="00980D72">
        <w:rPr>
          <w:rFonts w:cs="Arial"/>
        </w:rPr>
        <w:t>from</w:t>
      </w:r>
      <w:r w:rsidR="00F31DC4" w:rsidRPr="00980D72">
        <w:rPr>
          <w:rFonts w:cs="Arial"/>
        </w:rPr>
        <w:t xml:space="preserve"> 1</w:t>
      </w:r>
      <w:r w:rsidR="0031599C" w:rsidRPr="00980D72">
        <w:rPr>
          <w:rFonts w:cs="Arial"/>
        </w:rPr>
        <w:t> </w:t>
      </w:r>
      <w:r w:rsidR="00F31DC4" w:rsidRPr="00980D72">
        <w:rPr>
          <w:rFonts w:cs="Arial"/>
        </w:rPr>
        <w:t>December</w:t>
      </w:r>
      <w:r w:rsidR="0031599C" w:rsidRPr="00980D72">
        <w:rPr>
          <w:rFonts w:cs="Arial"/>
        </w:rPr>
        <w:t> </w:t>
      </w:r>
      <w:r w:rsidR="00F31DC4" w:rsidRPr="00980D72">
        <w:rPr>
          <w:rFonts w:cs="Arial"/>
        </w:rPr>
        <w:t xml:space="preserve">2010 all </w:t>
      </w:r>
      <w:r w:rsidR="00FC32C5" w:rsidRPr="00980D72">
        <w:rPr>
          <w:rFonts w:cs="Arial"/>
        </w:rPr>
        <w:t xml:space="preserve">brands of </w:t>
      </w:r>
      <w:r w:rsidR="00FF7C85" w:rsidRPr="00980D72">
        <w:rPr>
          <w:rFonts w:cs="Arial"/>
        </w:rPr>
        <w:t>non-exempt</w:t>
      </w:r>
      <w:r w:rsidR="00FC32C5" w:rsidRPr="00980D72">
        <w:rPr>
          <w:rFonts w:cs="Arial"/>
        </w:rPr>
        <w:t xml:space="preserve"> pharmaceutical items containing</w:t>
      </w:r>
      <w:r w:rsidR="00F31DC4" w:rsidRPr="00980D72">
        <w:rPr>
          <w:rFonts w:cs="Arial"/>
        </w:rPr>
        <w:t xml:space="preserve"> F2 </w:t>
      </w:r>
      <w:r w:rsidR="00D166D5" w:rsidRPr="00980D72">
        <w:rPr>
          <w:rFonts w:cs="Arial"/>
        </w:rPr>
        <w:t>drug</w:t>
      </w:r>
      <w:r w:rsidR="00F31DC4" w:rsidRPr="00980D72">
        <w:rPr>
          <w:rFonts w:cs="Arial"/>
        </w:rPr>
        <w:t>s bec</w:t>
      </w:r>
      <w:r w:rsidR="00A20527" w:rsidRPr="00980D72">
        <w:rPr>
          <w:rFonts w:cs="Arial"/>
        </w:rPr>
        <w:t>a</w:t>
      </w:r>
      <w:r w:rsidR="00F31DC4" w:rsidRPr="00980D72">
        <w:rPr>
          <w:rFonts w:cs="Arial"/>
        </w:rPr>
        <w:t xml:space="preserve">me subject to price disclosure </w:t>
      </w:r>
      <w:r w:rsidRPr="00980D72">
        <w:rPr>
          <w:rFonts w:cs="Arial"/>
        </w:rPr>
        <w:t>provisions.</w:t>
      </w:r>
      <w:r w:rsidR="00CB286F" w:rsidRPr="00980D72">
        <w:rPr>
          <w:rFonts w:cs="Arial"/>
        </w:rPr>
        <w:t xml:space="preserve"> Under EAPD t</w:t>
      </w:r>
      <w:r w:rsidR="000B09B0" w:rsidRPr="00980D72">
        <w:rPr>
          <w:rFonts w:cs="Arial"/>
        </w:rPr>
        <w:t>he data collection period fo</w:t>
      </w:r>
      <w:r w:rsidR="00F3601C">
        <w:rPr>
          <w:rFonts w:cs="Arial"/>
        </w:rPr>
        <w:t>r regular ongoing cycles was 12 </w:t>
      </w:r>
      <w:r w:rsidR="000B09B0" w:rsidRPr="00980D72">
        <w:rPr>
          <w:rFonts w:cs="Arial"/>
        </w:rPr>
        <w:t xml:space="preserve">months, with a 6 month processing period. There was a main cycle which covered most medicines subject to the arrangements, </w:t>
      </w:r>
      <w:r w:rsidR="00BF42A9" w:rsidRPr="00980D72">
        <w:rPr>
          <w:rFonts w:cs="Arial"/>
        </w:rPr>
        <w:t xml:space="preserve">with a </w:t>
      </w:r>
      <w:r w:rsidR="000B09B0" w:rsidRPr="00980D72">
        <w:rPr>
          <w:rFonts w:cs="Arial"/>
        </w:rPr>
        <w:t>potential reduction day on 1 April each year. There were</w:t>
      </w:r>
      <w:r w:rsidR="00E965B3" w:rsidRPr="00980D72">
        <w:rPr>
          <w:rFonts w:cs="Arial"/>
        </w:rPr>
        <w:t xml:space="preserve"> also</w:t>
      </w:r>
      <w:r w:rsidR="000B09B0" w:rsidRPr="00980D72">
        <w:rPr>
          <w:rFonts w:cs="Arial"/>
        </w:rPr>
        <w:t xml:space="preserve"> two supplementary cycles each year for</w:t>
      </w:r>
      <w:r w:rsidR="00CB286F" w:rsidRPr="00980D72">
        <w:rPr>
          <w:rFonts w:cs="Arial"/>
        </w:rPr>
        <w:t xml:space="preserve"> some</w:t>
      </w:r>
      <w:r w:rsidR="000B09B0" w:rsidRPr="00980D72">
        <w:rPr>
          <w:rFonts w:cs="Arial"/>
        </w:rPr>
        <w:t xml:space="preserve"> drug/MoAs new to price </w:t>
      </w:r>
      <w:r w:rsidR="00E965B3" w:rsidRPr="00980D72">
        <w:rPr>
          <w:rFonts w:cs="Arial"/>
        </w:rPr>
        <w:t>disclosure</w:t>
      </w:r>
      <w:r w:rsidR="000B09B0" w:rsidRPr="00980D72">
        <w:rPr>
          <w:rFonts w:cs="Arial"/>
        </w:rPr>
        <w:t>, with potential r</w:t>
      </w:r>
      <w:r w:rsidR="00F3601C">
        <w:rPr>
          <w:rFonts w:cs="Arial"/>
        </w:rPr>
        <w:t>eduction days on 1 August and 1 </w:t>
      </w:r>
      <w:r w:rsidR="000B09B0" w:rsidRPr="00980D72">
        <w:rPr>
          <w:rFonts w:cs="Arial"/>
        </w:rPr>
        <w:t>December each year. After their first supplementary cycle, drugs merge</w:t>
      </w:r>
      <w:r w:rsidR="007A7244" w:rsidRPr="00980D72">
        <w:rPr>
          <w:rFonts w:cs="Arial"/>
        </w:rPr>
        <w:t>d</w:t>
      </w:r>
      <w:r w:rsidR="000B09B0" w:rsidRPr="00980D72">
        <w:rPr>
          <w:rFonts w:cs="Arial"/>
        </w:rPr>
        <w:t xml:space="preserve"> into the main cycle.</w:t>
      </w:r>
      <w:r w:rsidR="00CB286F" w:rsidRPr="00980D72">
        <w:rPr>
          <w:rFonts w:cs="Arial"/>
        </w:rPr>
        <w:t xml:space="preserve"> The last reduction under EAPD occurred on 1 August 2014. </w:t>
      </w:r>
      <w:r w:rsidR="000B09B0" w:rsidRPr="00980D72">
        <w:rPr>
          <w:rFonts w:cs="Arial"/>
        </w:rPr>
        <w:t xml:space="preserve">More details about </w:t>
      </w:r>
      <w:r w:rsidR="00CB286F" w:rsidRPr="00980D72">
        <w:rPr>
          <w:rFonts w:cs="Arial"/>
        </w:rPr>
        <w:t xml:space="preserve">the price disclosure arrangement under </w:t>
      </w:r>
      <w:r w:rsidR="000B09B0" w:rsidRPr="00980D72">
        <w:rPr>
          <w:rFonts w:cs="Arial"/>
        </w:rPr>
        <w:t>EAPD are available at</w:t>
      </w:r>
      <w:r w:rsidR="00E965B3" w:rsidRPr="00980D72">
        <w:rPr>
          <w:rFonts w:cs="Arial"/>
        </w:rPr>
        <w:t xml:space="preserve">: </w:t>
      </w:r>
      <w:hyperlink r:id="rId20" w:history="1">
        <w:r w:rsidR="00EC5A65" w:rsidRPr="00980D72">
          <w:rPr>
            <w:rStyle w:val="Hyperlink"/>
            <w:rFonts w:cs="Arial"/>
          </w:rPr>
          <w:t>www.pbs.gov.au/info/industry/pricing/eapd</w:t>
        </w:r>
      </w:hyperlink>
    </w:p>
    <w:p w14:paraId="41445BD9" w14:textId="77777777" w:rsidR="007A7244" w:rsidRPr="00980D72" w:rsidRDefault="007A7244" w:rsidP="00AC34F8">
      <w:pPr>
        <w:pStyle w:val="ListParagraph"/>
        <w:numPr>
          <w:ilvl w:val="0"/>
          <w:numId w:val="24"/>
        </w:numPr>
        <w:ind w:left="714" w:hanging="357"/>
        <w:contextualSpacing w:val="0"/>
        <w:rPr>
          <w:rFonts w:cs="Arial"/>
        </w:rPr>
      </w:pPr>
      <w:r w:rsidRPr="00980D72">
        <w:rPr>
          <w:rFonts w:cs="Arial"/>
        </w:rPr>
        <w:t xml:space="preserve">Further amendments to the price disclosure arrangements were made under the </w:t>
      </w:r>
      <w:r w:rsidR="00BF1AC5" w:rsidRPr="00980D72">
        <w:rPr>
          <w:rFonts w:cs="Arial"/>
        </w:rPr>
        <w:t>S</w:t>
      </w:r>
      <w:r w:rsidRPr="00980D72">
        <w:rPr>
          <w:rFonts w:cs="Arial"/>
        </w:rPr>
        <w:t xml:space="preserve">implified </w:t>
      </w:r>
      <w:r w:rsidR="00BF1AC5" w:rsidRPr="00980D72">
        <w:rPr>
          <w:rFonts w:cs="Arial"/>
        </w:rPr>
        <w:t>P</w:t>
      </w:r>
      <w:r w:rsidRPr="00980D72">
        <w:rPr>
          <w:rFonts w:cs="Arial"/>
        </w:rPr>
        <w:t>rice Disclosure (SPD) initiative</w:t>
      </w:r>
      <w:r w:rsidR="00497EFF" w:rsidRPr="00980D72">
        <w:rPr>
          <w:rFonts w:cs="Arial"/>
        </w:rPr>
        <w:t xml:space="preserve"> in 2014</w:t>
      </w:r>
      <w:r w:rsidR="0077089E" w:rsidRPr="00980D72">
        <w:rPr>
          <w:rFonts w:cs="Arial"/>
        </w:rPr>
        <w:t xml:space="preserve">. </w:t>
      </w:r>
      <w:r w:rsidRPr="00980D72">
        <w:rPr>
          <w:rFonts w:cs="Arial"/>
        </w:rPr>
        <w:t>The first price disclosure reductions based on the SPD modifications occur</w:t>
      </w:r>
      <w:r w:rsidR="00231498">
        <w:rPr>
          <w:rFonts w:cs="Arial"/>
        </w:rPr>
        <w:t>r</w:t>
      </w:r>
      <w:r w:rsidR="00164924">
        <w:rPr>
          <w:rFonts w:cs="Arial"/>
        </w:rPr>
        <w:t>ed</w:t>
      </w:r>
      <w:r w:rsidRPr="00980D72">
        <w:rPr>
          <w:rFonts w:cs="Arial"/>
        </w:rPr>
        <w:t xml:space="preserve"> on 1 October 2014, based on </w:t>
      </w:r>
      <w:r w:rsidR="00497EFF" w:rsidRPr="00980D72">
        <w:rPr>
          <w:rFonts w:cs="Arial"/>
        </w:rPr>
        <w:t>information</w:t>
      </w:r>
      <w:r w:rsidRPr="00980D72">
        <w:rPr>
          <w:rFonts w:cs="Arial"/>
        </w:rPr>
        <w:t xml:space="preserve"> submitted for data collection periods ending 31 March 2014</w:t>
      </w:r>
      <w:r w:rsidR="00E4318C" w:rsidRPr="00980D72">
        <w:rPr>
          <w:rFonts w:cs="Arial"/>
        </w:rPr>
        <w:t>.</w:t>
      </w:r>
    </w:p>
    <w:p w14:paraId="76847D07" w14:textId="77777777" w:rsidR="003F4CA1" w:rsidRDefault="006F1606" w:rsidP="00AC34F8">
      <w:pPr>
        <w:pStyle w:val="ListParagraph"/>
        <w:numPr>
          <w:ilvl w:val="0"/>
          <w:numId w:val="24"/>
        </w:numPr>
        <w:ind w:left="714" w:hanging="357"/>
        <w:contextualSpacing w:val="0"/>
        <w:rPr>
          <w:rFonts w:cs="Arial"/>
        </w:rPr>
      </w:pPr>
      <w:r>
        <w:rPr>
          <w:rFonts w:cs="Arial"/>
        </w:rPr>
        <w:t>Since the</w:t>
      </w:r>
      <w:r w:rsidRPr="00980D72">
        <w:rPr>
          <w:rFonts w:cs="Arial"/>
        </w:rPr>
        <w:t xml:space="preserve"> </w:t>
      </w:r>
      <w:r w:rsidR="000B09B0" w:rsidRPr="00980D72">
        <w:rPr>
          <w:rFonts w:cs="Arial"/>
        </w:rPr>
        <w:t xml:space="preserve">SPD </w:t>
      </w:r>
      <w:r w:rsidR="000F0185" w:rsidRPr="00980D72">
        <w:rPr>
          <w:rFonts w:cs="Arial"/>
        </w:rPr>
        <w:t xml:space="preserve">amendments, price disclosure </w:t>
      </w:r>
      <w:r w:rsidR="000B09B0" w:rsidRPr="00980D72">
        <w:rPr>
          <w:rFonts w:cs="Arial"/>
        </w:rPr>
        <w:t>operate</w:t>
      </w:r>
      <w:r w:rsidR="00CB286F" w:rsidRPr="00980D72">
        <w:rPr>
          <w:rFonts w:cs="Arial"/>
        </w:rPr>
        <w:t>s</w:t>
      </w:r>
      <w:r w:rsidR="000B09B0" w:rsidRPr="00980D72">
        <w:rPr>
          <w:rFonts w:cs="Arial"/>
        </w:rPr>
        <w:t xml:space="preserve"> </w:t>
      </w:r>
      <w:r w:rsidR="000F0185" w:rsidRPr="00980D72">
        <w:rPr>
          <w:rFonts w:cs="Arial"/>
        </w:rPr>
        <w:t>with</w:t>
      </w:r>
      <w:r w:rsidR="000B09B0" w:rsidRPr="00980D72">
        <w:rPr>
          <w:rFonts w:cs="Arial"/>
        </w:rPr>
        <w:t>:</w:t>
      </w:r>
    </w:p>
    <w:p w14:paraId="53BD76A5" w14:textId="77777777" w:rsidR="000B09B0" w:rsidRPr="003F4CA1" w:rsidRDefault="008A6E71" w:rsidP="00AD36A8">
      <w:pPr>
        <w:pStyle w:val="ListParagraph"/>
        <w:numPr>
          <w:ilvl w:val="1"/>
          <w:numId w:val="24"/>
        </w:numPr>
        <w:rPr>
          <w:rFonts w:cs="Arial"/>
        </w:rPr>
      </w:pPr>
      <w:r>
        <w:rPr>
          <w:rFonts w:cs="Arial"/>
        </w:rPr>
        <w:t>s</w:t>
      </w:r>
      <w:r w:rsidR="00E33B06">
        <w:rPr>
          <w:rFonts w:cs="Arial"/>
        </w:rPr>
        <w:t>ix</w:t>
      </w:r>
      <w:r w:rsidR="00CB286F" w:rsidRPr="003F4CA1">
        <w:rPr>
          <w:rFonts w:cs="Arial"/>
        </w:rPr>
        <w:t xml:space="preserve"> monthly </w:t>
      </w:r>
      <w:r w:rsidR="000B09B0" w:rsidRPr="003F4CA1">
        <w:rPr>
          <w:rFonts w:cs="Arial"/>
        </w:rPr>
        <w:t>data collection period</w:t>
      </w:r>
      <w:r w:rsidR="00CB286F" w:rsidRPr="003F4CA1">
        <w:rPr>
          <w:rFonts w:cs="Arial"/>
        </w:rPr>
        <w:t>s*</w:t>
      </w:r>
      <w:r w:rsidR="002504A4" w:rsidRPr="003F4CA1">
        <w:rPr>
          <w:rFonts w:cs="Arial"/>
        </w:rPr>
        <w:t>;</w:t>
      </w:r>
    </w:p>
    <w:p w14:paraId="267D7095" w14:textId="77777777" w:rsidR="000B09B0" w:rsidRPr="00BF1AC5" w:rsidRDefault="008A6E71" w:rsidP="00AD36A8">
      <w:pPr>
        <w:pStyle w:val="ListParagraph"/>
        <w:numPr>
          <w:ilvl w:val="1"/>
          <w:numId w:val="24"/>
        </w:numPr>
        <w:spacing w:line="240" w:lineRule="auto"/>
        <w:rPr>
          <w:rFonts w:cs="Arial"/>
        </w:rPr>
      </w:pPr>
      <w:r>
        <w:rPr>
          <w:rFonts w:cs="Arial"/>
        </w:rPr>
        <w:t>a</w:t>
      </w:r>
      <w:r w:rsidR="000B09B0" w:rsidRPr="00BF1AC5">
        <w:rPr>
          <w:rFonts w:cs="Arial"/>
        </w:rPr>
        <w:t xml:space="preserve"> single</w:t>
      </w:r>
      <w:r w:rsidR="000F0185">
        <w:rPr>
          <w:rFonts w:cs="Arial"/>
        </w:rPr>
        <w:t xml:space="preserve"> ongoing</w:t>
      </w:r>
      <w:r w:rsidR="000B09B0" w:rsidRPr="00BF1AC5">
        <w:rPr>
          <w:rFonts w:cs="Arial"/>
        </w:rPr>
        <w:t xml:space="preserve"> </w:t>
      </w:r>
      <w:r w:rsidR="000F0185">
        <w:rPr>
          <w:rFonts w:cs="Arial"/>
        </w:rPr>
        <w:t xml:space="preserve">rolling </w:t>
      </w:r>
      <w:r w:rsidR="000B09B0" w:rsidRPr="00BF1AC5">
        <w:rPr>
          <w:rFonts w:cs="Arial"/>
        </w:rPr>
        <w:t>cycle</w:t>
      </w:r>
      <w:r w:rsidR="00E4318C">
        <w:rPr>
          <w:rFonts w:cs="Arial"/>
        </w:rPr>
        <w:t xml:space="preserve"> of </w:t>
      </w:r>
      <w:r w:rsidR="000B09B0">
        <w:rPr>
          <w:rFonts w:cs="Arial"/>
        </w:rPr>
        <w:t>12 month</w:t>
      </w:r>
      <w:r w:rsidR="00E4318C">
        <w:rPr>
          <w:rFonts w:cs="Arial"/>
        </w:rPr>
        <w:t>s</w:t>
      </w:r>
      <w:r w:rsidR="000B09B0">
        <w:rPr>
          <w:rFonts w:cs="Arial"/>
        </w:rPr>
        <w:t>**</w:t>
      </w:r>
      <w:r w:rsidR="002504A4">
        <w:rPr>
          <w:rFonts w:cs="Arial"/>
        </w:rPr>
        <w:t>;</w:t>
      </w:r>
    </w:p>
    <w:p w14:paraId="3554D966" w14:textId="77777777" w:rsidR="000B09B0" w:rsidRPr="00BF1AC5" w:rsidRDefault="008A6E71" w:rsidP="00AD36A8">
      <w:pPr>
        <w:pStyle w:val="ListParagraph"/>
        <w:numPr>
          <w:ilvl w:val="1"/>
          <w:numId w:val="24"/>
        </w:numPr>
        <w:spacing w:line="240" w:lineRule="auto"/>
        <w:rPr>
          <w:rFonts w:cs="Arial"/>
        </w:rPr>
      </w:pPr>
      <w:r>
        <w:rPr>
          <w:rFonts w:cs="Arial"/>
        </w:rPr>
        <w:t>t</w:t>
      </w:r>
      <w:r w:rsidR="00CB286F">
        <w:rPr>
          <w:rFonts w:cs="Arial"/>
        </w:rPr>
        <w:t>wo</w:t>
      </w:r>
      <w:r w:rsidR="000B09B0" w:rsidRPr="00BF1AC5">
        <w:rPr>
          <w:rFonts w:cs="Arial"/>
        </w:rPr>
        <w:t xml:space="preserve"> regular reduction day</w:t>
      </w:r>
      <w:r w:rsidR="000B09B0">
        <w:rPr>
          <w:rFonts w:cs="Arial"/>
        </w:rPr>
        <w:t>s</w:t>
      </w:r>
      <w:r w:rsidR="000B09B0" w:rsidRPr="00BF1AC5">
        <w:rPr>
          <w:rFonts w:cs="Arial"/>
        </w:rPr>
        <w:t xml:space="preserve"> </w:t>
      </w:r>
      <w:r w:rsidR="00E4318C">
        <w:rPr>
          <w:rFonts w:cs="Arial"/>
        </w:rPr>
        <w:t xml:space="preserve">each year </w:t>
      </w:r>
      <w:r w:rsidR="000B09B0" w:rsidRPr="00BF1AC5">
        <w:rPr>
          <w:rFonts w:cs="Arial"/>
        </w:rPr>
        <w:t>(1 April and 1 October)</w:t>
      </w:r>
      <w:r w:rsidR="000B09B0">
        <w:rPr>
          <w:rFonts w:cs="Arial"/>
        </w:rPr>
        <w:t>***</w:t>
      </w:r>
      <w:r w:rsidR="002504A4">
        <w:rPr>
          <w:rFonts w:cs="Arial"/>
        </w:rPr>
        <w:t>; and</w:t>
      </w:r>
    </w:p>
    <w:p w14:paraId="1324ECA8" w14:textId="77777777" w:rsidR="00E4318C" w:rsidRDefault="008A6E71" w:rsidP="00AD36A8">
      <w:pPr>
        <w:pStyle w:val="ListParagraph"/>
        <w:numPr>
          <w:ilvl w:val="1"/>
          <w:numId w:val="24"/>
        </w:numPr>
        <w:spacing w:line="240" w:lineRule="auto"/>
        <w:rPr>
          <w:rFonts w:cs="Arial"/>
        </w:rPr>
      </w:pPr>
      <w:r>
        <w:rPr>
          <w:rFonts w:cs="Arial"/>
        </w:rPr>
        <w:t>t</w:t>
      </w:r>
      <w:r w:rsidR="00497EFF">
        <w:rPr>
          <w:rFonts w:cs="Arial"/>
        </w:rPr>
        <w:t xml:space="preserve">he price </w:t>
      </w:r>
      <w:r w:rsidR="000B09B0" w:rsidRPr="00BF1AC5">
        <w:rPr>
          <w:rFonts w:cs="Arial"/>
        </w:rPr>
        <w:t xml:space="preserve">disclosed </w:t>
      </w:r>
      <w:r w:rsidR="00497EFF">
        <w:rPr>
          <w:rFonts w:cs="Arial"/>
        </w:rPr>
        <w:t>by companies for a data collection period being compared to an</w:t>
      </w:r>
      <w:r w:rsidR="000B09B0" w:rsidRPr="00BF1AC5">
        <w:rPr>
          <w:rFonts w:cs="Arial"/>
        </w:rPr>
        <w:t xml:space="preserve"> average PBS</w:t>
      </w:r>
      <w:r w:rsidR="00497EFF">
        <w:rPr>
          <w:rFonts w:cs="Arial"/>
        </w:rPr>
        <w:t xml:space="preserve"> ex-manufacturer </w:t>
      </w:r>
      <w:r w:rsidR="0070559D">
        <w:rPr>
          <w:rFonts w:cs="Arial"/>
        </w:rPr>
        <w:t>p</w:t>
      </w:r>
      <w:r w:rsidR="000B09B0" w:rsidRPr="00BF1AC5">
        <w:rPr>
          <w:rFonts w:cs="Arial"/>
        </w:rPr>
        <w:t>rice</w:t>
      </w:r>
      <w:r w:rsidR="00497EFF">
        <w:rPr>
          <w:rFonts w:cs="Arial"/>
        </w:rPr>
        <w:t xml:space="preserve"> for brands of a pharmaceutical item durin</w:t>
      </w:r>
      <w:r w:rsidR="0070559D">
        <w:rPr>
          <w:rFonts w:cs="Arial"/>
        </w:rPr>
        <w:t>g the</w:t>
      </w:r>
      <w:r w:rsidR="00497EFF">
        <w:rPr>
          <w:rFonts w:cs="Arial"/>
        </w:rPr>
        <w:t xml:space="preserve"> period</w:t>
      </w:r>
      <w:r w:rsidR="0070559D">
        <w:rPr>
          <w:rFonts w:cs="Arial"/>
        </w:rPr>
        <w:t>.</w:t>
      </w:r>
    </w:p>
    <w:p w14:paraId="0A97B144" w14:textId="77777777" w:rsidR="000B09B0" w:rsidRPr="003F4CA1" w:rsidRDefault="003F4CA1" w:rsidP="00925E92">
      <w:pPr>
        <w:ind w:left="1080"/>
        <w:rPr>
          <w:rFonts w:cs="Arial"/>
          <w:sz w:val="18"/>
        </w:rPr>
      </w:pPr>
      <w:r w:rsidRPr="003F4CA1">
        <w:rPr>
          <w:rFonts w:cs="Arial"/>
          <w:sz w:val="18"/>
        </w:rPr>
        <w:t xml:space="preserve">* </w:t>
      </w:r>
      <w:r w:rsidR="000B09B0" w:rsidRPr="003F4CA1">
        <w:rPr>
          <w:rFonts w:cs="Arial"/>
          <w:sz w:val="18"/>
        </w:rPr>
        <w:t>The first data collection period may be longer than 6 months</w:t>
      </w:r>
      <w:r w:rsidR="0070559D" w:rsidRPr="003F4CA1">
        <w:rPr>
          <w:rFonts w:cs="Arial"/>
          <w:sz w:val="18"/>
        </w:rPr>
        <w:t xml:space="preserve"> (more information </w:t>
      </w:r>
      <w:r w:rsidR="0077089E" w:rsidRPr="003F4CA1">
        <w:rPr>
          <w:rFonts w:cs="Arial"/>
          <w:sz w:val="18"/>
        </w:rPr>
        <w:t xml:space="preserve">is </w:t>
      </w:r>
      <w:r w:rsidR="000F0185" w:rsidRPr="003F4CA1">
        <w:rPr>
          <w:rFonts w:cs="Arial"/>
          <w:sz w:val="18"/>
        </w:rPr>
        <w:t xml:space="preserve">available </w:t>
      </w:r>
      <w:r w:rsidR="0070559D" w:rsidRPr="003F4CA1">
        <w:rPr>
          <w:rFonts w:cs="Arial"/>
          <w:sz w:val="18"/>
        </w:rPr>
        <w:t xml:space="preserve">under </w:t>
      </w:r>
      <w:r w:rsidR="00CB286F" w:rsidRPr="003F4CA1">
        <w:rPr>
          <w:rFonts w:cs="Arial"/>
          <w:sz w:val="18"/>
        </w:rPr>
        <w:t xml:space="preserve">the heading </w:t>
      </w:r>
      <w:r w:rsidR="0070559D" w:rsidRPr="003F4CA1">
        <w:rPr>
          <w:rFonts w:cs="Arial"/>
          <w:b/>
          <w:sz w:val="18"/>
        </w:rPr>
        <w:t>Collection</w:t>
      </w:r>
      <w:r w:rsidR="0070559D" w:rsidRPr="003F4CA1">
        <w:rPr>
          <w:rFonts w:cs="Arial"/>
          <w:sz w:val="18"/>
        </w:rPr>
        <w:t xml:space="preserve"> below)</w:t>
      </w:r>
      <w:r w:rsidR="000B09B0" w:rsidRPr="003F4CA1">
        <w:rPr>
          <w:rFonts w:cs="Arial"/>
          <w:sz w:val="18"/>
        </w:rPr>
        <w:t>.</w:t>
      </w:r>
    </w:p>
    <w:p w14:paraId="78783512" w14:textId="77777777" w:rsidR="000B09B0" w:rsidRPr="00980D72" w:rsidRDefault="000B09B0" w:rsidP="00925E92">
      <w:pPr>
        <w:pStyle w:val="ListParagraph"/>
        <w:ind w:left="1080"/>
        <w:rPr>
          <w:rFonts w:cs="Arial"/>
          <w:sz w:val="18"/>
        </w:rPr>
      </w:pPr>
      <w:r w:rsidRPr="00980D72">
        <w:rPr>
          <w:rFonts w:cs="Arial"/>
          <w:sz w:val="18"/>
        </w:rPr>
        <w:lastRenderedPageBreak/>
        <w:t>** The first cycle may be longer than 12 months</w:t>
      </w:r>
      <w:r w:rsidR="0070559D" w:rsidRPr="00980D72">
        <w:rPr>
          <w:rFonts w:cs="Arial"/>
          <w:sz w:val="18"/>
        </w:rPr>
        <w:t xml:space="preserve"> (more information</w:t>
      </w:r>
      <w:r w:rsidR="000F0185" w:rsidRPr="00980D72">
        <w:rPr>
          <w:rFonts w:cs="Arial"/>
          <w:sz w:val="18"/>
        </w:rPr>
        <w:t xml:space="preserve"> available </w:t>
      </w:r>
      <w:r w:rsidR="0070559D" w:rsidRPr="00980D72">
        <w:rPr>
          <w:rFonts w:cs="Arial"/>
          <w:sz w:val="18"/>
        </w:rPr>
        <w:t xml:space="preserve">under </w:t>
      </w:r>
      <w:r w:rsidR="00CB286F" w:rsidRPr="00980D72">
        <w:rPr>
          <w:rFonts w:cs="Arial"/>
          <w:sz w:val="18"/>
        </w:rPr>
        <w:t xml:space="preserve">the section describing the </w:t>
      </w:r>
      <w:r w:rsidR="0070559D" w:rsidRPr="00980D72">
        <w:rPr>
          <w:rFonts w:cs="Arial"/>
          <w:b/>
          <w:sz w:val="18"/>
        </w:rPr>
        <w:t>Disclosure Cycle – Summary</w:t>
      </w:r>
      <w:r w:rsidR="0070559D" w:rsidRPr="00980D72">
        <w:rPr>
          <w:rFonts w:cs="Arial"/>
          <w:sz w:val="18"/>
        </w:rPr>
        <w:t xml:space="preserve"> below)</w:t>
      </w:r>
      <w:r w:rsidRPr="00980D72">
        <w:rPr>
          <w:rFonts w:cs="Arial"/>
          <w:sz w:val="18"/>
        </w:rPr>
        <w:t>.</w:t>
      </w:r>
    </w:p>
    <w:p w14:paraId="3698FCA9" w14:textId="77777777" w:rsidR="00DC06A3" w:rsidRPr="00980D72" w:rsidRDefault="00DE5578" w:rsidP="00925E92">
      <w:pPr>
        <w:pStyle w:val="ListParagraph"/>
        <w:ind w:left="1080"/>
        <w:rPr>
          <w:rFonts w:cs="Arial"/>
        </w:rPr>
      </w:pPr>
      <w:r w:rsidRPr="00980D72">
        <w:rPr>
          <w:sz w:val="18"/>
        </w:rPr>
        <w:t>*** There is also provision in the Regulations for reduction days on 1 August and 1 December each year if required.</w:t>
      </w:r>
    </w:p>
    <w:p w14:paraId="2621A275" w14:textId="77777777" w:rsidR="005D35C4" w:rsidRPr="009F7D5D" w:rsidRDefault="007A0825" w:rsidP="00AC34F8">
      <w:pPr>
        <w:pStyle w:val="ListParagraph"/>
        <w:numPr>
          <w:ilvl w:val="0"/>
          <w:numId w:val="24"/>
        </w:numPr>
        <w:ind w:left="714" w:hanging="357"/>
        <w:contextualSpacing w:val="0"/>
        <w:rPr>
          <w:rStyle w:val="Hyperlink"/>
          <w:rFonts w:cs="Arial"/>
          <w:color w:val="auto"/>
          <w:u w:val="none"/>
        </w:rPr>
      </w:pPr>
      <w:r w:rsidRPr="00831538">
        <w:rPr>
          <w:rFonts w:cs="Arial"/>
        </w:rPr>
        <w:t>More details about the SPD amendments to price disclosure are available at</w:t>
      </w:r>
      <w:r w:rsidR="00ED0486" w:rsidRPr="00831538">
        <w:rPr>
          <w:rFonts w:cs="Arial"/>
        </w:rPr>
        <w:t xml:space="preserve">: </w:t>
      </w:r>
      <w:hyperlink r:id="rId21" w:history="1">
        <w:r w:rsidR="00831538" w:rsidRPr="00815948">
          <w:rPr>
            <w:rStyle w:val="Hyperlink"/>
            <w:rFonts w:cs="Arial"/>
          </w:rPr>
          <w:t>www.pbs.gov.au/info/industry/pricing/price-disclosure-spd</w:t>
        </w:r>
      </w:hyperlink>
    </w:p>
    <w:p w14:paraId="73622BC8" w14:textId="77777777" w:rsidR="00164924" w:rsidRDefault="004C17D2" w:rsidP="00AC34F8">
      <w:pPr>
        <w:pStyle w:val="ListParagraph"/>
        <w:numPr>
          <w:ilvl w:val="0"/>
          <w:numId w:val="24"/>
        </w:numPr>
        <w:ind w:left="714" w:hanging="357"/>
        <w:contextualSpacing w:val="0"/>
        <w:rPr>
          <w:rStyle w:val="Hyperlink"/>
          <w:rFonts w:cs="Arial"/>
          <w:color w:val="auto"/>
          <w:u w:val="none"/>
        </w:rPr>
      </w:pPr>
      <w:r>
        <w:rPr>
          <w:rStyle w:val="Hyperlink"/>
          <w:rFonts w:cs="Arial"/>
          <w:color w:val="auto"/>
          <w:u w:val="none"/>
        </w:rPr>
        <w:t xml:space="preserve">In 2015, the PBS </w:t>
      </w:r>
      <w:r w:rsidRPr="009F7D5D">
        <w:rPr>
          <w:rStyle w:val="Hyperlink"/>
          <w:rFonts w:cs="Arial"/>
          <w:color w:val="auto"/>
          <w:u w:val="none"/>
        </w:rPr>
        <w:t>Access and Sustainability package</w:t>
      </w:r>
      <w:r>
        <w:rPr>
          <w:rStyle w:val="Hyperlink"/>
          <w:rFonts w:cs="Arial"/>
          <w:color w:val="auto"/>
          <w:u w:val="none"/>
        </w:rPr>
        <w:t xml:space="preserve"> included amendments to the price disclosure arrangements that: </w:t>
      </w:r>
    </w:p>
    <w:p w14:paraId="18368A39" w14:textId="77777777" w:rsidR="00AC3275" w:rsidDel="006F1606" w:rsidRDefault="00AC3275" w:rsidP="00AC3275">
      <w:pPr>
        <w:pStyle w:val="ListParagraph"/>
        <w:numPr>
          <w:ilvl w:val="1"/>
          <w:numId w:val="24"/>
        </w:numPr>
        <w:contextualSpacing w:val="0"/>
        <w:rPr>
          <w:rStyle w:val="Hyperlink"/>
          <w:rFonts w:cs="Arial"/>
          <w:color w:val="auto"/>
          <w:u w:val="none"/>
        </w:rPr>
      </w:pPr>
      <w:r w:rsidDel="006F1606">
        <w:rPr>
          <w:rStyle w:val="Hyperlink"/>
          <w:rFonts w:cs="Arial"/>
          <w:color w:val="auto"/>
          <w:u w:val="none"/>
        </w:rPr>
        <w:t xml:space="preserve">provide for price disclosure </w:t>
      </w:r>
      <w:r w:rsidRPr="004C17D2" w:rsidDel="006F1606">
        <w:rPr>
          <w:rStyle w:val="Hyperlink"/>
          <w:rFonts w:cs="Arial"/>
          <w:color w:val="auto"/>
          <w:u w:val="none"/>
        </w:rPr>
        <w:t>reductions to component ingredient drugs to be applied to F2 combination items where this results in a lower price than direct application of price disclosure to the F2 combination item.  Flow-on reductions from component ingredient drugs are already applied to combination items that have a drug on the single brand Combination Drug List (CDL);</w:t>
      </w:r>
      <w:r w:rsidDel="006F1606">
        <w:rPr>
          <w:rStyle w:val="Hyperlink"/>
          <w:rFonts w:cs="Arial"/>
          <w:color w:val="auto"/>
          <w:u w:val="none"/>
        </w:rPr>
        <w:t xml:space="preserve"> </w:t>
      </w:r>
    </w:p>
    <w:p w14:paraId="7F617C34" w14:textId="77777777" w:rsidR="00AC3275" w:rsidRDefault="00AC3275" w:rsidP="00AC3275">
      <w:pPr>
        <w:pStyle w:val="ListParagraph"/>
        <w:numPr>
          <w:ilvl w:val="1"/>
          <w:numId w:val="24"/>
        </w:numPr>
        <w:contextualSpacing w:val="0"/>
        <w:rPr>
          <w:rStyle w:val="Hyperlink"/>
          <w:rFonts w:cs="Arial"/>
          <w:color w:val="auto"/>
          <w:u w:val="none"/>
        </w:rPr>
      </w:pPr>
      <w:r>
        <w:rPr>
          <w:rStyle w:val="Hyperlink"/>
          <w:rFonts w:cs="Arial"/>
          <w:color w:val="auto"/>
          <w:u w:val="none"/>
        </w:rPr>
        <w:t xml:space="preserve">accelerate </w:t>
      </w:r>
      <w:r w:rsidRPr="004C17D2">
        <w:rPr>
          <w:rStyle w:val="Hyperlink"/>
          <w:rFonts w:cs="Arial"/>
          <w:color w:val="auto"/>
          <w:u w:val="none"/>
        </w:rPr>
        <w:t>price disclosure arrangements through removal of originator brands as part of the calculation of the weighted average disclosed price (WADP) for medicines listed on the F2 formulary for 3 years or more where this results in a lower adjusted price</w:t>
      </w:r>
      <w:r w:rsidR="00886378">
        <w:rPr>
          <w:rStyle w:val="Hyperlink"/>
          <w:rFonts w:cs="Arial"/>
          <w:color w:val="auto"/>
          <w:u w:val="none"/>
        </w:rPr>
        <w:t>; and</w:t>
      </w:r>
    </w:p>
    <w:p w14:paraId="59E6CC60" w14:textId="77777777" w:rsidR="00AC3275" w:rsidRDefault="00AC3275" w:rsidP="00AC3275">
      <w:pPr>
        <w:pStyle w:val="ListParagraph"/>
        <w:numPr>
          <w:ilvl w:val="1"/>
          <w:numId w:val="24"/>
        </w:numPr>
        <w:contextualSpacing w:val="0"/>
        <w:rPr>
          <w:rStyle w:val="Hyperlink"/>
          <w:rFonts w:cs="Arial"/>
          <w:color w:val="auto"/>
          <w:u w:val="none"/>
        </w:rPr>
      </w:pPr>
      <w:r>
        <w:rPr>
          <w:rStyle w:val="Hyperlink"/>
          <w:rFonts w:cs="Arial"/>
          <w:color w:val="auto"/>
          <w:u w:val="none"/>
        </w:rPr>
        <w:t>p</w:t>
      </w:r>
      <w:r w:rsidRPr="004C17D2">
        <w:rPr>
          <w:rStyle w:val="Hyperlink"/>
          <w:rFonts w:cs="Arial"/>
          <w:color w:val="auto"/>
          <w:u w:val="none"/>
        </w:rPr>
        <w:t>rovide</w:t>
      </w:r>
      <w:r>
        <w:rPr>
          <w:rStyle w:val="Hyperlink"/>
          <w:rFonts w:cs="Arial"/>
          <w:color w:val="auto"/>
          <w:u w:val="none"/>
        </w:rPr>
        <w:t xml:space="preserve"> </w:t>
      </w:r>
      <w:r w:rsidRPr="004C17D2">
        <w:rPr>
          <w:rStyle w:val="Hyperlink"/>
          <w:rFonts w:cs="Arial"/>
          <w:color w:val="auto"/>
          <w:u w:val="none"/>
        </w:rPr>
        <w:t>for certain pharmaceutical items not to take a price disclosure reduction despite other pharmaceutical items with the same drug and manner of administration taking the reduction</w:t>
      </w:r>
      <w:r>
        <w:rPr>
          <w:rStyle w:val="Hyperlink"/>
          <w:rFonts w:cs="Arial"/>
          <w:color w:val="auto"/>
          <w:u w:val="none"/>
        </w:rPr>
        <w:t>.</w:t>
      </w:r>
    </w:p>
    <w:p w14:paraId="063B77E3" w14:textId="77777777" w:rsidR="00AC3275" w:rsidRDefault="00AC3275" w:rsidP="00AC34F8">
      <w:pPr>
        <w:pStyle w:val="ListParagraph"/>
        <w:numPr>
          <w:ilvl w:val="0"/>
          <w:numId w:val="24"/>
        </w:numPr>
        <w:ind w:left="714" w:hanging="357"/>
        <w:contextualSpacing w:val="0"/>
        <w:rPr>
          <w:rStyle w:val="Hyperlink"/>
          <w:rFonts w:cs="Arial"/>
          <w:color w:val="auto"/>
          <w:u w:val="none"/>
        </w:rPr>
      </w:pPr>
      <w:r>
        <w:rPr>
          <w:rStyle w:val="Hyperlink"/>
          <w:rFonts w:cs="Arial"/>
          <w:color w:val="auto"/>
          <w:u w:val="none"/>
        </w:rPr>
        <w:t>These changes were applied through amendments to the Act and Regulations. The first price disclosure reductions incorporating item a) and c) occur</w:t>
      </w:r>
      <w:r w:rsidR="00220E93">
        <w:rPr>
          <w:rStyle w:val="Hyperlink"/>
          <w:rFonts w:cs="Arial"/>
          <w:color w:val="auto"/>
          <w:u w:val="none"/>
        </w:rPr>
        <w:t>red</w:t>
      </w:r>
      <w:r>
        <w:rPr>
          <w:rStyle w:val="Hyperlink"/>
          <w:rFonts w:cs="Arial"/>
          <w:color w:val="auto"/>
          <w:u w:val="none"/>
        </w:rPr>
        <w:t xml:space="preserve"> on 1 April 2016 and for item b)</w:t>
      </w:r>
      <w:r w:rsidR="00220E93">
        <w:rPr>
          <w:rStyle w:val="Hyperlink"/>
          <w:rFonts w:cs="Arial"/>
          <w:color w:val="auto"/>
          <w:u w:val="none"/>
        </w:rPr>
        <w:t xml:space="preserve"> will occur</w:t>
      </w:r>
      <w:r>
        <w:rPr>
          <w:rStyle w:val="Hyperlink"/>
          <w:rFonts w:cs="Arial"/>
          <w:color w:val="auto"/>
          <w:u w:val="none"/>
        </w:rPr>
        <w:t xml:space="preserve"> on 1 October 2016. </w:t>
      </w:r>
    </w:p>
    <w:p w14:paraId="3273005B" w14:textId="77777777" w:rsidR="001764A1" w:rsidRDefault="001764A1" w:rsidP="00925E92">
      <w:pPr>
        <w:pStyle w:val="Heading3"/>
        <w:spacing w:before="120"/>
      </w:pPr>
      <w:bookmarkStart w:id="22" w:name="_Toc454283951"/>
      <w:r>
        <w:t>What medicines are subject to price disclosure?</w:t>
      </w:r>
      <w:bookmarkEnd w:id="22"/>
    </w:p>
    <w:p w14:paraId="00E16214" w14:textId="77777777" w:rsidR="001764A1" w:rsidRPr="00980D72" w:rsidRDefault="001764A1" w:rsidP="00AC34F8">
      <w:pPr>
        <w:pStyle w:val="ListParagraph"/>
        <w:numPr>
          <w:ilvl w:val="0"/>
          <w:numId w:val="24"/>
        </w:numPr>
        <w:ind w:left="714" w:hanging="357"/>
        <w:rPr>
          <w:rFonts w:cs="Arial"/>
        </w:rPr>
      </w:pPr>
      <w:r w:rsidRPr="00980D72">
        <w:rPr>
          <w:rFonts w:cs="Arial"/>
        </w:rPr>
        <w:t>All brands of</w:t>
      </w:r>
      <w:r w:rsidR="0070559D" w:rsidRPr="00980D72">
        <w:rPr>
          <w:rFonts w:cs="Arial"/>
        </w:rPr>
        <w:t xml:space="preserve"> </w:t>
      </w:r>
      <w:r w:rsidRPr="00980D72">
        <w:rPr>
          <w:rFonts w:cs="Arial"/>
        </w:rPr>
        <w:t>pharmaceutical items containing a drug on the F2 formulary are subject to price disclosure</w:t>
      </w:r>
      <w:r w:rsidR="0070559D" w:rsidRPr="00980D72">
        <w:rPr>
          <w:rFonts w:cs="Arial"/>
        </w:rPr>
        <w:t xml:space="preserve"> (except brands of exempt items)</w:t>
      </w:r>
      <w:r w:rsidRPr="00980D72">
        <w:rPr>
          <w:rFonts w:cs="Arial"/>
        </w:rPr>
        <w:t xml:space="preserve">. </w:t>
      </w:r>
      <w:r w:rsidR="0075090D" w:rsidRPr="00980D72">
        <w:rPr>
          <w:rFonts w:cs="Arial"/>
        </w:rPr>
        <w:t>This means information must be disclosed for those brands and they are subject to potential pric</w:t>
      </w:r>
      <w:r w:rsidR="00267B99" w:rsidRPr="00980D72">
        <w:rPr>
          <w:rFonts w:cs="Arial"/>
        </w:rPr>
        <w:t xml:space="preserve">e disclosure price reductions. </w:t>
      </w:r>
      <w:r w:rsidRPr="00980D72">
        <w:rPr>
          <w:rFonts w:cs="Arial"/>
        </w:rPr>
        <w:t>The method for calculating price disclosure outcomes is applied to groupings of related brands (</w:t>
      </w:r>
      <w:r w:rsidR="00E03B52" w:rsidRPr="00980D72">
        <w:rPr>
          <w:rFonts w:cs="Arial"/>
        </w:rPr>
        <w:t>i.e.,</w:t>
      </w:r>
      <w:r w:rsidRPr="00980D72">
        <w:rPr>
          <w:rFonts w:cs="Arial"/>
        </w:rPr>
        <w:t xml:space="preserve"> brands of pharmaceutical items that contain the same F2 drug with the same man</w:t>
      </w:r>
      <w:r w:rsidR="00267B99" w:rsidRPr="00980D72">
        <w:rPr>
          <w:rFonts w:cs="Arial"/>
        </w:rPr>
        <w:t>ner of administration - drug/MoA</w:t>
      </w:r>
      <w:r w:rsidRPr="00980D72">
        <w:rPr>
          <w:rFonts w:cs="Arial"/>
        </w:rPr>
        <w:t xml:space="preserve">). </w:t>
      </w:r>
    </w:p>
    <w:p w14:paraId="617C4386" w14:textId="77777777" w:rsidR="00C83FC8" w:rsidRPr="00C83FC8" w:rsidRDefault="00C83FC8" w:rsidP="00925E92">
      <w:pPr>
        <w:pStyle w:val="Heading3"/>
        <w:spacing w:before="120"/>
      </w:pPr>
      <w:bookmarkStart w:id="23" w:name="_Toc454283952"/>
      <w:r>
        <w:t>Entity responsible for</w:t>
      </w:r>
      <w:r w:rsidRPr="00C83FC8">
        <w:t xml:space="preserve"> meet</w:t>
      </w:r>
      <w:r>
        <w:t>ing</w:t>
      </w:r>
      <w:r w:rsidRPr="00C83FC8">
        <w:t xml:space="preserve"> Price Disclos</w:t>
      </w:r>
      <w:r>
        <w:t>u</w:t>
      </w:r>
      <w:r w:rsidRPr="00C83FC8">
        <w:t>re Obligations</w:t>
      </w:r>
      <w:bookmarkEnd w:id="23"/>
    </w:p>
    <w:p w14:paraId="7737569A" w14:textId="77777777" w:rsidR="005D35C4" w:rsidRPr="0031599C" w:rsidRDefault="0031599C" w:rsidP="00AC34F8">
      <w:pPr>
        <w:pStyle w:val="ListParagraph"/>
        <w:numPr>
          <w:ilvl w:val="0"/>
          <w:numId w:val="24"/>
        </w:numPr>
        <w:ind w:left="714" w:hanging="357"/>
        <w:contextualSpacing w:val="0"/>
        <w:rPr>
          <w:rFonts w:cs="Arial"/>
        </w:rPr>
      </w:pPr>
      <w:r>
        <w:rPr>
          <w:rFonts w:cs="Arial"/>
        </w:rPr>
        <w:t xml:space="preserve">The </w:t>
      </w:r>
      <w:r w:rsidR="00C83FC8">
        <w:rPr>
          <w:rFonts w:cs="Arial"/>
        </w:rPr>
        <w:t>R</w:t>
      </w:r>
      <w:r w:rsidR="00F31DC4" w:rsidRPr="0031599C">
        <w:rPr>
          <w:rFonts w:cs="Arial"/>
        </w:rPr>
        <w:t xml:space="preserve">esponsible </w:t>
      </w:r>
      <w:r w:rsidR="00C83FC8">
        <w:rPr>
          <w:rFonts w:cs="Arial"/>
        </w:rPr>
        <w:t>P</w:t>
      </w:r>
      <w:r w:rsidR="00F31DC4" w:rsidRPr="0031599C">
        <w:rPr>
          <w:rFonts w:cs="Arial"/>
        </w:rPr>
        <w:t xml:space="preserve">erson is the entity responsible for meeting the requirements of </w:t>
      </w:r>
      <w:r w:rsidR="00AB3312">
        <w:rPr>
          <w:rFonts w:cs="Arial"/>
        </w:rPr>
        <w:t>price disclosure</w:t>
      </w:r>
      <w:r w:rsidR="00F31DC4" w:rsidRPr="0031599C">
        <w:rPr>
          <w:rFonts w:cs="Arial"/>
        </w:rPr>
        <w:t xml:space="preserve">. </w:t>
      </w:r>
      <w:r w:rsidR="0040749D">
        <w:rPr>
          <w:rFonts w:cs="Arial"/>
        </w:rPr>
        <w:t>This responsibility continues in relation to a brand</w:t>
      </w:r>
      <w:r w:rsidR="00886378">
        <w:rPr>
          <w:rFonts w:cs="Arial"/>
        </w:rPr>
        <w:t xml:space="preserve"> delisted from the PBS</w:t>
      </w:r>
      <w:r w:rsidR="0040749D">
        <w:rPr>
          <w:rFonts w:cs="Arial"/>
        </w:rPr>
        <w:t xml:space="preserve"> until the responsible person has fulfilled the reporting obligations </w:t>
      </w:r>
      <w:r w:rsidR="0070559D">
        <w:rPr>
          <w:rFonts w:cs="Arial"/>
        </w:rPr>
        <w:t xml:space="preserve">for the </w:t>
      </w:r>
      <w:r w:rsidR="005E1A9E">
        <w:rPr>
          <w:rFonts w:cs="Arial"/>
        </w:rPr>
        <w:t xml:space="preserve">data collection </w:t>
      </w:r>
      <w:r w:rsidR="0040749D">
        <w:rPr>
          <w:rFonts w:cs="Arial"/>
        </w:rPr>
        <w:t>period</w:t>
      </w:r>
      <w:r w:rsidR="0070559D">
        <w:rPr>
          <w:rFonts w:cs="Arial"/>
        </w:rPr>
        <w:t xml:space="preserve"> in which the brand delisted</w:t>
      </w:r>
      <w:r w:rsidR="0040749D">
        <w:rPr>
          <w:rFonts w:cs="Arial"/>
        </w:rPr>
        <w:t xml:space="preserve">. </w:t>
      </w:r>
    </w:p>
    <w:p w14:paraId="21023EF8" w14:textId="77777777" w:rsidR="00190A06" w:rsidRDefault="00190A06">
      <w:pPr>
        <w:spacing w:before="0" w:line="240" w:lineRule="auto"/>
        <w:rPr>
          <w:bCs/>
          <w:color w:val="365F91"/>
          <w:sz w:val="26"/>
        </w:rPr>
      </w:pPr>
      <w:bookmarkStart w:id="24" w:name="_Toc367914210"/>
      <w:r>
        <w:br w:type="page"/>
      </w:r>
    </w:p>
    <w:p w14:paraId="6E366EA8" w14:textId="77777777" w:rsidR="005D35C4" w:rsidRPr="001B1F09" w:rsidRDefault="00F31DC4" w:rsidP="00925E92">
      <w:pPr>
        <w:pStyle w:val="Heading3"/>
        <w:spacing w:before="120"/>
      </w:pPr>
      <w:bookmarkStart w:id="25" w:name="_Toc454283953"/>
      <w:r w:rsidRPr="001B1F09">
        <w:lastRenderedPageBreak/>
        <w:t>Entity receiving the information to be disclosed</w:t>
      </w:r>
      <w:bookmarkEnd w:id="24"/>
      <w:bookmarkEnd w:id="25"/>
      <w:r w:rsidRPr="001B1F09">
        <w:t xml:space="preserve"> </w:t>
      </w:r>
    </w:p>
    <w:p w14:paraId="39401692" w14:textId="77777777" w:rsidR="005D35C4" w:rsidRPr="0030524A" w:rsidRDefault="00F31DC4" w:rsidP="00AC34F8">
      <w:pPr>
        <w:pStyle w:val="ListParagraph"/>
        <w:numPr>
          <w:ilvl w:val="0"/>
          <w:numId w:val="24"/>
        </w:numPr>
        <w:ind w:left="714" w:hanging="357"/>
        <w:contextualSpacing w:val="0"/>
        <w:rPr>
          <w:rFonts w:cs="Arial"/>
        </w:rPr>
      </w:pPr>
      <w:r w:rsidRPr="00F54289">
        <w:rPr>
          <w:rFonts w:cs="Arial"/>
        </w:rPr>
        <w:t>P</w:t>
      </w:r>
      <w:r w:rsidR="00CB4140" w:rsidRPr="00F54289">
        <w:rPr>
          <w:rFonts w:cs="Arial"/>
        </w:rPr>
        <w:t>rice disclosure</w:t>
      </w:r>
      <w:r w:rsidRPr="00F54289">
        <w:rPr>
          <w:rFonts w:cs="Arial"/>
        </w:rPr>
        <w:t xml:space="preserve"> data </w:t>
      </w:r>
      <w:r w:rsidR="0070559D">
        <w:rPr>
          <w:rFonts w:cs="Arial"/>
        </w:rPr>
        <w:t>is</w:t>
      </w:r>
      <w:r w:rsidRPr="00F54289">
        <w:rPr>
          <w:rFonts w:cs="Arial"/>
        </w:rPr>
        <w:t xml:space="preserve"> submitted electronically to the P</w:t>
      </w:r>
      <w:r w:rsidR="00B7359D">
        <w:rPr>
          <w:rFonts w:cs="Arial"/>
        </w:rPr>
        <w:t xml:space="preserve">rice Disclosure </w:t>
      </w:r>
      <w:r w:rsidRPr="00F54289">
        <w:rPr>
          <w:rFonts w:cs="Arial"/>
        </w:rPr>
        <w:t>D</w:t>
      </w:r>
      <w:r w:rsidR="00B7359D">
        <w:rPr>
          <w:rFonts w:cs="Arial"/>
        </w:rPr>
        <w:t xml:space="preserve">ata </w:t>
      </w:r>
      <w:r w:rsidRPr="00F54289">
        <w:rPr>
          <w:rFonts w:cs="Arial"/>
        </w:rPr>
        <w:t>A</w:t>
      </w:r>
      <w:r w:rsidR="00B7359D">
        <w:rPr>
          <w:rFonts w:cs="Arial"/>
        </w:rPr>
        <w:t>dministrator (PDDA)</w:t>
      </w:r>
      <w:r w:rsidRPr="00F54289">
        <w:rPr>
          <w:rFonts w:cs="Arial"/>
        </w:rPr>
        <w:t>, through the Price Disclos</w:t>
      </w:r>
      <w:r w:rsidR="007F79FE" w:rsidRPr="00F54289">
        <w:rPr>
          <w:rFonts w:cs="Arial"/>
        </w:rPr>
        <w:t xml:space="preserve">ure Submission Utility (PDSU). </w:t>
      </w:r>
      <w:r w:rsidRPr="00F54289">
        <w:rPr>
          <w:rFonts w:cs="Arial"/>
        </w:rPr>
        <w:t xml:space="preserve">The PDDA is an independent service provider contracted by the Department to provide data services for </w:t>
      </w:r>
      <w:r w:rsidR="00CB4140" w:rsidRPr="00F54289">
        <w:rPr>
          <w:rFonts w:cs="Arial"/>
        </w:rPr>
        <w:t>price disclosure</w:t>
      </w:r>
      <w:r w:rsidRPr="00F54289">
        <w:rPr>
          <w:rFonts w:cs="Arial"/>
        </w:rPr>
        <w:t>.</w:t>
      </w:r>
      <w:r w:rsidR="00744708" w:rsidRPr="00F54289">
        <w:rPr>
          <w:rFonts w:cs="Arial"/>
        </w:rPr>
        <w:t xml:space="preserve"> More </w:t>
      </w:r>
      <w:r w:rsidR="00744708" w:rsidRPr="0030524A">
        <w:rPr>
          <w:rFonts w:cs="Arial"/>
        </w:rPr>
        <w:t>information about data</w:t>
      </w:r>
      <w:r w:rsidR="006A0255" w:rsidRPr="0030524A">
        <w:rPr>
          <w:rFonts w:cs="Arial"/>
        </w:rPr>
        <w:t xml:space="preserve"> that is</w:t>
      </w:r>
      <w:r w:rsidR="00744708" w:rsidRPr="0030524A">
        <w:rPr>
          <w:rFonts w:cs="Arial"/>
        </w:rPr>
        <w:t xml:space="preserve"> require</w:t>
      </w:r>
      <w:r w:rsidR="00E74405" w:rsidRPr="0030524A">
        <w:rPr>
          <w:rFonts w:cs="Arial"/>
        </w:rPr>
        <w:t xml:space="preserve">d </w:t>
      </w:r>
      <w:r w:rsidR="006A0255" w:rsidRPr="0030524A">
        <w:rPr>
          <w:rFonts w:cs="Arial"/>
        </w:rPr>
        <w:t xml:space="preserve">to be </w:t>
      </w:r>
      <w:r w:rsidR="00F54289" w:rsidRPr="0030524A">
        <w:rPr>
          <w:rFonts w:cs="Arial"/>
        </w:rPr>
        <w:t xml:space="preserve">disclosed </w:t>
      </w:r>
      <w:r w:rsidR="00744708" w:rsidRPr="0030524A">
        <w:rPr>
          <w:rFonts w:cs="Arial"/>
        </w:rPr>
        <w:t xml:space="preserve">is set out </w:t>
      </w:r>
      <w:r w:rsidR="0030524A" w:rsidRPr="0030524A">
        <w:rPr>
          <w:rFonts w:cs="Arial"/>
        </w:rPr>
        <w:t xml:space="preserve">under the </w:t>
      </w:r>
      <w:r w:rsidR="007D0355" w:rsidRPr="000B186E">
        <w:rPr>
          <w:rFonts w:cs="Arial"/>
          <w:b/>
        </w:rPr>
        <w:t>Collection</w:t>
      </w:r>
      <w:r w:rsidR="00744708" w:rsidRPr="0030524A">
        <w:rPr>
          <w:rFonts w:cs="Arial"/>
        </w:rPr>
        <w:t xml:space="preserve"> </w:t>
      </w:r>
      <w:r w:rsidR="0030524A">
        <w:rPr>
          <w:rFonts w:cs="Arial"/>
        </w:rPr>
        <w:t xml:space="preserve">heading </w:t>
      </w:r>
      <w:r w:rsidR="0030524A" w:rsidRPr="000B186E">
        <w:rPr>
          <w:rFonts w:cs="Arial"/>
        </w:rPr>
        <w:t>below</w:t>
      </w:r>
      <w:r w:rsidR="00744708" w:rsidRPr="0030524A">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Caption w:val="&quot;&quot;"/>
      </w:tblPr>
      <w:tblGrid>
        <w:gridCol w:w="9243"/>
      </w:tblGrid>
      <w:tr w:rsidR="00B579AA" w:rsidRPr="00BB28F3" w14:paraId="4C815B34" w14:textId="77777777" w:rsidTr="00BB28F3">
        <w:tc>
          <w:tcPr>
            <w:tcW w:w="9243" w:type="dxa"/>
            <w:shd w:val="clear" w:color="auto" w:fill="8DB3E2"/>
          </w:tcPr>
          <w:p w14:paraId="6AAEBC79" w14:textId="77777777" w:rsidR="00B579AA" w:rsidRPr="00BB28F3" w:rsidRDefault="00B579AA">
            <w:pPr>
              <w:spacing w:after="120" w:line="240" w:lineRule="auto"/>
              <w:rPr>
                <w:rFonts w:cs="Arial"/>
              </w:rPr>
            </w:pPr>
            <w:r w:rsidRPr="00BB28F3">
              <w:rPr>
                <w:rFonts w:cs="Arial"/>
                <w:b/>
              </w:rPr>
              <w:t>NOTE:</w:t>
            </w:r>
            <w:r w:rsidRPr="00BB28F3">
              <w:rPr>
                <w:rFonts w:cs="Arial"/>
              </w:rPr>
              <w:t xml:space="preserve"> </w:t>
            </w:r>
            <w:r w:rsidR="00195AE1" w:rsidRPr="00BB28F3">
              <w:rPr>
                <w:rFonts w:cs="Arial"/>
              </w:rPr>
              <w:t xml:space="preserve">The </w:t>
            </w:r>
            <w:r w:rsidRPr="00BB28F3">
              <w:rPr>
                <w:rFonts w:cs="Arial"/>
              </w:rPr>
              <w:t xml:space="preserve">PDSU software </w:t>
            </w:r>
            <w:r w:rsidR="00DB2162">
              <w:rPr>
                <w:rFonts w:cs="Arial"/>
              </w:rPr>
              <w:t>is</w:t>
            </w:r>
            <w:r w:rsidRPr="00BB28F3">
              <w:rPr>
                <w:rFonts w:cs="Arial"/>
              </w:rPr>
              <w:t xml:space="preserve"> provided by the PDDA</w:t>
            </w:r>
            <w:r w:rsidR="00F24D84" w:rsidRPr="00BB28F3">
              <w:rPr>
                <w:rFonts w:cs="Arial"/>
              </w:rPr>
              <w:t xml:space="preserve"> immediately </w:t>
            </w:r>
            <w:r w:rsidR="002438D2" w:rsidRPr="00BB28F3">
              <w:rPr>
                <w:rFonts w:cs="Arial"/>
              </w:rPr>
              <w:t>before</w:t>
            </w:r>
            <w:r w:rsidR="00F24D84" w:rsidRPr="00BB28F3">
              <w:rPr>
                <w:rFonts w:cs="Arial"/>
              </w:rPr>
              <w:t xml:space="preserve"> the end of the first period</w:t>
            </w:r>
            <w:r w:rsidR="001E7867" w:rsidRPr="00BB28F3">
              <w:rPr>
                <w:rFonts w:cs="Arial"/>
              </w:rPr>
              <w:t xml:space="preserve"> </w:t>
            </w:r>
            <w:r w:rsidR="00C83FC8" w:rsidRPr="00BB28F3">
              <w:rPr>
                <w:rFonts w:cs="Arial"/>
              </w:rPr>
              <w:t>for which</w:t>
            </w:r>
            <w:r w:rsidR="001E7867" w:rsidRPr="00BB28F3">
              <w:rPr>
                <w:rFonts w:cs="Arial"/>
              </w:rPr>
              <w:t xml:space="preserve"> a responsible p</w:t>
            </w:r>
            <w:r w:rsidRPr="00BB28F3">
              <w:rPr>
                <w:rFonts w:cs="Arial"/>
              </w:rPr>
              <w:t xml:space="preserve">erson </w:t>
            </w:r>
            <w:r w:rsidR="00744708" w:rsidRPr="00BB28F3">
              <w:rPr>
                <w:rFonts w:cs="Arial"/>
              </w:rPr>
              <w:t xml:space="preserve">will be </w:t>
            </w:r>
            <w:r w:rsidR="00195AE1" w:rsidRPr="00BB28F3">
              <w:rPr>
                <w:rFonts w:cs="Arial"/>
              </w:rPr>
              <w:t>required</w:t>
            </w:r>
            <w:r w:rsidR="00744708" w:rsidRPr="00BB28F3">
              <w:rPr>
                <w:rFonts w:cs="Arial"/>
              </w:rPr>
              <w:t xml:space="preserve"> to submit data after it has a brand of pharmaceutical item that </w:t>
            </w:r>
            <w:r w:rsidRPr="00BB28F3">
              <w:rPr>
                <w:rFonts w:cs="Arial"/>
              </w:rPr>
              <w:t xml:space="preserve">becomes subject to </w:t>
            </w:r>
            <w:r w:rsidR="00CB4140" w:rsidRPr="00BB28F3">
              <w:rPr>
                <w:rFonts w:cs="Arial"/>
              </w:rPr>
              <w:t xml:space="preserve">price disclosure </w:t>
            </w:r>
            <w:r w:rsidRPr="00BB28F3">
              <w:rPr>
                <w:rFonts w:cs="Arial"/>
              </w:rPr>
              <w:t xml:space="preserve">requirements. </w:t>
            </w:r>
            <w:r w:rsidR="002438D2" w:rsidRPr="00BB28F3">
              <w:rPr>
                <w:rFonts w:cs="Arial"/>
              </w:rPr>
              <w:t>Responsible persons</w:t>
            </w:r>
            <w:r w:rsidR="00F41E46" w:rsidRPr="00BB28F3">
              <w:rPr>
                <w:rFonts w:cs="Arial"/>
              </w:rPr>
              <w:t xml:space="preserve"> wish</w:t>
            </w:r>
            <w:r w:rsidR="002438D2" w:rsidRPr="00BB28F3">
              <w:rPr>
                <w:rFonts w:cs="Arial"/>
              </w:rPr>
              <w:t>ing</w:t>
            </w:r>
            <w:r w:rsidR="00F41E46" w:rsidRPr="00BB28F3">
              <w:rPr>
                <w:rFonts w:cs="Arial"/>
              </w:rPr>
              <w:t xml:space="preserve"> to discuss what is required for the data submission </w:t>
            </w:r>
            <w:r w:rsidR="00CD7CF0" w:rsidRPr="00BB28F3">
              <w:rPr>
                <w:rFonts w:cs="Arial"/>
              </w:rPr>
              <w:t xml:space="preserve">process </w:t>
            </w:r>
            <w:r w:rsidR="002438D2" w:rsidRPr="00BB28F3">
              <w:rPr>
                <w:rFonts w:cs="Arial"/>
              </w:rPr>
              <w:t>should</w:t>
            </w:r>
            <w:r w:rsidR="00CD7CF0" w:rsidRPr="00BB28F3">
              <w:rPr>
                <w:rFonts w:cs="Arial"/>
              </w:rPr>
              <w:t xml:space="preserve"> contact the PDDA</w:t>
            </w:r>
            <w:r w:rsidR="00F41E46" w:rsidRPr="00BB28F3">
              <w:rPr>
                <w:rFonts w:cs="Arial"/>
              </w:rPr>
              <w:t xml:space="preserve">. </w:t>
            </w:r>
            <w:r w:rsidR="002438D2" w:rsidRPr="00BB28F3">
              <w:rPr>
                <w:rFonts w:cs="Arial"/>
              </w:rPr>
              <w:t>C</w:t>
            </w:r>
            <w:r w:rsidR="00CD7CF0" w:rsidRPr="00BB28F3">
              <w:rPr>
                <w:rFonts w:cs="Arial"/>
              </w:rPr>
              <w:t xml:space="preserve">ontact details can be found on the last page of this document. </w:t>
            </w:r>
          </w:p>
        </w:tc>
      </w:tr>
    </w:tbl>
    <w:p w14:paraId="1994AD4A" w14:textId="77777777" w:rsidR="00BF0653" w:rsidRPr="00B579AA" w:rsidRDefault="00BF0653" w:rsidP="00BF0653">
      <w:pPr>
        <w:pStyle w:val="Heading3"/>
        <w:spacing w:before="120"/>
      </w:pPr>
      <w:bookmarkStart w:id="26" w:name="_Toc454283954"/>
      <w:bookmarkStart w:id="27" w:name="_Toc367914211"/>
      <w:r w:rsidRPr="00B579AA">
        <w:t xml:space="preserve">Exemptions to the </w:t>
      </w:r>
      <w:r>
        <w:t>Price Disclosure</w:t>
      </w:r>
      <w:r w:rsidRPr="00B579AA">
        <w:t xml:space="preserve"> arrangements</w:t>
      </w:r>
      <w:bookmarkEnd w:id="26"/>
      <w:r>
        <w:t xml:space="preserve"> </w:t>
      </w:r>
    </w:p>
    <w:p w14:paraId="77C8A9B9" w14:textId="77777777" w:rsidR="00BF0653" w:rsidRPr="0023512E" w:rsidRDefault="00BF0653" w:rsidP="00CF6792">
      <w:pPr>
        <w:pStyle w:val="ListParagraph"/>
        <w:numPr>
          <w:ilvl w:val="0"/>
          <w:numId w:val="24"/>
        </w:numPr>
        <w:ind w:left="714" w:hanging="357"/>
        <w:contextualSpacing w:val="0"/>
        <w:rPr>
          <w:rFonts w:cs="Arial"/>
        </w:rPr>
      </w:pPr>
      <w:r w:rsidRPr="0023512E">
        <w:rPr>
          <w:rFonts w:cs="Arial"/>
        </w:rPr>
        <w:t>Pharmaceutical items determined under section 84AH of the</w:t>
      </w:r>
      <w:r w:rsidRPr="00BB64A2">
        <w:rPr>
          <w:rFonts w:cs="Arial"/>
        </w:rPr>
        <w:t xml:space="preserve"> Act are exempt from price disclosure arrangements. The full list of these exempt pharmaceutical items is available on the website: </w:t>
      </w:r>
      <w:hyperlink r:id="rId22" w:history="1">
        <w:r w:rsidRPr="00F767A5">
          <w:rPr>
            <w:rStyle w:val="Hyperlink"/>
            <w:rFonts w:cs="Arial"/>
          </w:rPr>
          <w:t>www.pbs.gov.au/info/industry/pricing/pbs-items/items-exempt-price-reductions</w:t>
        </w:r>
      </w:hyperlink>
    </w:p>
    <w:p w14:paraId="68242719" w14:textId="77777777" w:rsidR="005D35C4" w:rsidRPr="00B579AA" w:rsidRDefault="005F4AF4" w:rsidP="00925E92">
      <w:pPr>
        <w:pStyle w:val="Heading3"/>
        <w:spacing w:before="120"/>
      </w:pPr>
      <w:bookmarkStart w:id="28" w:name="_Toc454283955"/>
      <w:r>
        <w:t xml:space="preserve">Treatment of </w:t>
      </w:r>
      <w:r w:rsidR="00624BFC">
        <w:t xml:space="preserve">single branded </w:t>
      </w:r>
      <w:r w:rsidR="00F31DC4" w:rsidRPr="00B579AA">
        <w:t xml:space="preserve">combination </w:t>
      </w:r>
      <w:r w:rsidR="007A38E1">
        <w:t>drug list brands</w:t>
      </w:r>
      <w:bookmarkEnd w:id="28"/>
      <w:r w:rsidR="00F31DC4" w:rsidRPr="00B579AA">
        <w:t xml:space="preserve"> </w:t>
      </w:r>
      <w:bookmarkEnd w:id="27"/>
    </w:p>
    <w:p w14:paraId="4DFCE4E4" w14:textId="77777777" w:rsidR="00AE7AF1" w:rsidRDefault="007A38E1" w:rsidP="00AC34F8">
      <w:pPr>
        <w:pStyle w:val="ListParagraph"/>
        <w:numPr>
          <w:ilvl w:val="0"/>
          <w:numId w:val="24"/>
        </w:numPr>
        <w:ind w:left="714" w:hanging="357"/>
        <w:contextualSpacing w:val="0"/>
        <w:rPr>
          <w:rFonts w:cs="Arial"/>
        </w:rPr>
      </w:pPr>
      <w:r>
        <w:rPr>
          <w:rFonts w:cs="Arial"/>
        </w:rPr>
        <w:t>Brands containing drugs</w:t>
      </w:r>
      <w:r w:rsidR="00F31DC4" w:rsidRPr="0031599C">
        <w:rPr>
          <w:rFonts w:cs="Arial"/>
        </w:rPr>
        <w:t xml:space="preserve"> on the </w:t>
      </w:r>
      <w:r w:rsidR="00886378">
        <w:rPr>
          <w:rFonts w:cs="Arial"/>
        </w:rPr>
        <w:t>C</w:t>
      </w:r>
      <w:r w:rsidR="00F31DC4" w:rsidRPr="0031599C">
        <w:rPr>
          <w:rFonts w:cs="Arial"/>
        </w:rPr>
        <w:t>ombination</w:t>
      </w:r>
      <w:r w:rsidR="005F4AF4">
        <w:rPr>
          <w:rFonts w:cs="Arial"/>
        </w:rPr>
        <w:t xml:space="preserve"> </w:t>
      </w:r>
      <w:r w:rsidR="00886378">
        <w:rPr>
          <w:rFonts w:cs="Arial"/>
        </w:rPr>
        <w:t>D</w:t>
      </w:r>
      <w:r w:rsidR="005F4AF4">
        <w:rPr>
          <w:rFonts w:cs="Arial"/>
        </w:rPr>
        <w:t>rug</w:t>
      </w:r>
      <w:r w:rsidR="00323174">
        <w:rPr>
          <w:rFonts w:cs="Arial"/>
        </w:rPr>
        <w:t xml:space="preserve"> </w:t>
      </w:r>
      <w:r w:rsidR="00886378">
        <w:rPr>
          <w:rFonts w:cs="Arial"/>
        </w:rPr>
        <w:t>L</w:t>
      </w:r>
      <w:r w:rsidR="00F31DC4" w:rsidRPr="0031599C">
        <w:rPr>
          <w:rFonts w:cs="Arial"/>
        </w:rPr>
        <w:t xml:space="preserve">ist </w:t>
      </w:r>
      <w:r w:rsidR="00886378">
        <w:rPr>
          <w:rFonts w:cs="Arial"/>
        </w:rPr>
        <w:t xml:space="preserve">(CDL) </w:t>
      </w:r>
      <w:r w:rsidR="00F31DC4" w:rsidRPr="0031599C">
        <w:rPr>
          <w:rFonts w:cs="Arial"/>
        </w:rPr>
        <w:t xml:space="preserve">will not be subject to </w:t>
      </w:r>
      <w:r w:rsidR="00AB3312">
        <w:rPr>
          <w:rFonts w:cs="Arial"/>
        </w:rPr>
        <w:t>price disclosure</w:t>
      </w:r>
      <w:r w:rsidR="00AB3312" w:rsidRPr="0031599C">
        <w:rPr>
          <w:rFonts w:cs="Arial"/>
        </w:rPr>
        <w:t xml:space="preserve"> </w:t>
      </w:r>
      <w:r>
        <w:rPr>
          <w:rFonts w:cs="Arial"/>
        </w:rPr>
        <w:t xml:space="preserve">data collection </w:t>
      </w:r>
      <w:r w:rsidR="00F31DC4" w:rsidRPr="0031599C">
        <w:rPr>
          <w:rFonts w:cs="Arial"/>
        </w:rPr>
        <w:t xml:space="preserve">requirements. </w:t>
      </w:r>
      <w:r w:rsidR="00D4445A">
        <w:rPr>
          <w:rFonts w:cs="Arial"/>
        </w:rPr>
        <w:t>H</w:t>
      </w:r>
      <w:r w:rsidR="00F31DC4" w:rsidRPr="0031599C">
        <w:rPr>
          <w:rFonts w:cs="Arial"/>
        </w:rPr>
        <w:t>owever,</w:t>
      </w:r>
      <w:r w:rsidR="00D4445A">
        <w:rPr>
          <w:rFonts w:cs="Arial"/>
        </w:rPr>
        <w:t xml:space="preserve"> brands containing a drug on</w:t>
      </w:r>
      <w:r w:rsidR="00E33B06">
        <w:rPr>
          <w:rFonts w:cs="Arial"/>
        </w:rPr>
        <w:t xml:space="preserve"> the</w:t>
      </w:r>
      <w:r w:rsidR="00D4445A">
        <w:rPr>
          <w:rFonts w:cs="Arial"/>
        </w:rPr>
        <w:t xml:space="preserve"> </w:t>
      </w:r>
      <w:r w:rsidR="00886378">
        <w:rPr>
          <w:rFonts w:cs="Arial"/>
        </w:rPr>
        <w:t>CDL</w:t>
      </w:r>
      <w:r w:rsidR="00D4445A">
        <w:rPr>
          <w:rFonts w:cs="Arial"/>
        </w:rPr>
        <w:t xml:space="preserve"> are subject to price reductions based on the reductions to a component drug (und</w:t>
      </w:r>
      <w:r w:rsidR="00AE7AF1">
        <w:rPr>
          <w:rFonts w:cs="Arial"/>
        </w:rPr>
        <w:t>er s</w:t>
      </w:r>
      <w:r w:rsidR="00AE7AF1" w:rsidRPr="00AE7AF1">
        <w:rPr>
          <w:rFonts w:cs="Arial"/>
        </w:rPr>
        <w:t>ection 99ACC of the Act</w:t>
      </w:r>
      <w:r w:rsidR="00E05127">
        <w:rPr>
          <w:rFonts w:cs="Arial"/>
        </w:rPr>
        <w:t>)</w:t>
      </w:r>
      <w:r w:rsidR="00AE7AF1" w:rsidRPr="00AE7AF1">
        <w:rPr>
          <w:rFonts w:cs="Arial"/>
        </w:rPr>
        <w:t xml:space="preserve">. </w:t>
      </w:r>
    </w:p>
    <w:p w14:paraId="79E5CD80" w14:textId="77777777" w:rsidR="00690FD7" w:rsidRDefault="00886378" w:rsidP="00AC34F8">
      <w:pPr>
        <w:pStyle w:val="ListParagraph"/>
        <w:numPr>
          <w:ilvl w:val="0"/>
          <w:numId w:val="24"/>
        </w:numPr>
        <w:ind w:left="714" w:hanging="357"/>
        <w:contextualSpacing w:val="0"/>
        <w:rPr>
          <w:rFonts w:cs="Arial"/>
        </w:rPr>
      </w:pPr>
      <w:r>
        <w:rPr>
          <w:rFonts w:cs="Arial"/>
        </w:rPr>
        <w:t>A drug is on the CDL if</w:t>
      </w:r>
      <w:r w:rsidR="00BF0653">
        <w:rPr>
          <w:rFonts w:cs="Arial"/>
        </w:rPr>
        <w:t>:</w:t>
      </w:r>
    </w:p>
    <w:p w14:paraId="00099D11" w14:textId="77777777" w:rsidR="00690FD7" w:rsidRDefault="00BF0653" w:rsidP="00CF6792">
      <w:pPr>
        <w:pStyle w:val="ListParagraph"/>
        <w:numPr>
          <w:ilvl w:val="1"/>
          <w:numId w:val="24"/>
        </w:numPr>
        <w:contextualSpacing w:val="0"/>
        <w:rPr>
          <w:rFonts w:cs="Arial"/>
        </w:rPr>
      </w:pPr>
      <w:r>
        <w:rPr>
          <w:rFonts w:cs="Arial"/>
        </w:rPr>
        <w:t xml:space="preserve">its pharmaceutical items have </w:t>
      </w:r>
      <w:r w:rsidR="00886378">
        <w:rPr>
          <w:rFonts w:cs="Arial"/>
        </w:rPr>
        <w:t>component drugs, at least on</w:t>
      </w:r>
      <w:r w:rsidR="00690FD7">
        <w:rPr>
          <w:rFonts w:cs="Arial"/>
        </w:rPr>
        <w:t>e of which is PBS listed;</w:t>
      </w:r>
      <w:r w:rsidR="00886378">
        <w:rPr>
          <w:rFonts w:cs="Arial"/>
        </w:rPr>
        <w:t xml:space="preserve"> and </w:t>
      </w:r>
    </w:p>
    <w:p w14:paraId="0BDB4881" w14:textId="77777777" w:rsidR="00886378" w:rsidRDefault="00BF0653" w:rsidP="00CF6792">
      <w:pPr>
        <w:pStyle w:val="ListParagraph"/>
        <w:numPr>
          <w:ilvl w:val="1"/>
          <w:numId w:val="24"/>
        </w:numPr>
        <w:contextualSpacing w:val="0"/>
        <w:rPr>
          <w:rFonts w:cs="Arial"/>
        </w:rPr>
      </w:pPr>
      <w:r>
        <w:rPr>
          <w:rFonts w:cs="Arial"/>
        </w:rPr>
        <w:t xml:space="preserve">it </w:t>
      </w:r>
      <w:r w:rsidR="00886378">
        <w:rPr>
          <w:rFonts w:cs="Arial"/>
        </w:rPr>
        <w:t>is single branded (i</w:t>
      </w:r>
      <w:r w:rsidR="00CF6792">
        <w:rPr>
          <w:rFonts w:cs="Arial"/>
        </w:rPr>
        <w:t>.</w:t>
      </w:r>
      <w:r w:rsidR="00886378">
        <w:rPr>
          <w:rFonts w:cs="Arial"/>
        </w:rPr>
        <w:t>e</w:t>
      </w:r>
      <w:r w:rsidR="00CF6792">
        <w:rPr>
          <w:rFonts w:cs="Arial"/>
        </w:rPr>
        <w:t>.,</w:t>
      </w:r>
      <w:r w:rsidR="00886378">
        <w:rPr>
          <w:rFonts w:cs="Arial"/>
        </w:rPr>
        <w:t xml:space="preserve"> does not have</w:t>
      </w:r>
      <w:r w:rsidR="00886378" w:rsidRPr="000B186E">
        <w:rPr>
          <w:rFonts w:cs="Arial"/>
        </w:rPr>
        <w:t xml:space="preserve"> bioequivalent</w:t>
      </w:r>
      <w:r w:rsidR="00886378">
        <w:rPr>
          <w:rFonts w:cs="Arial"/>
        </w:rPr>
        <w:t xml:space="preserve"> </w:t>
      </w:r>
      <w:r w:rsidR="00886378" w:rsidRPr="000B186E">
        <w:rPr>
          <w:rFonts w:cs="Arial"/>
        </w:rPr>
        <w:t>/</w:t>
      </w:r>
      <w:r w:rsidR="00886378">
        <w:rPr>
          <w:rFonts w:cs="Arial"/>
        </w:rPr>
        <w:t xml:space="preserve"> </w:t>
      </w:r>
      <w:r w:rsidR="00886378" w:rsidRPr="000B186E">
        <w:rPr>
          <w:rFonts w:cs="Arial"/>
        </w:rPr>
        <w:t>biosimilar</w:t>
      </w:r>
      <w:r w:rsidR="00886378" w:rsidRPr="00492DA5">
        <w:rPr>
          <w:rFonts w:cs="Arial"/>
        </w:rPr>
        <w:t xml:space="preserve"> brand</w:t>
      </w:r>
      <w:r w:rsidR="00886378">
        <w:rPr>
          <w:rFonts w:cs="Arial"/>
        </w:rPr>
        <w:t xml:space="preserve">s and </w:t>
      </w:r>
      <w:r w:rsidR="00886378" w:rsidRPr="00492DA5">
        <w:rPr>
          <w:rFonts w:cs="Arial"/>
        </w:rPr>
        <w:t xml:space="preserve">is </w:t>
      </w:r>
      <w:r w:rsidR="00886378">
        <w:rPr>
          <w:rFonts w:cs="Arial"/>
        </w:rPr>
        <w:t xml:space="preserve">not </w:t>
      </w:r>
      <w:r w:rsidR="00886378" w:rsidRPr="00CA64E5">
        <w:rPr>
          <w:rFonts w:cs="Arial"/>
        </w:rPr>
        <w:t xml:space="preserve">in a therapeutic group with </w:t>
      </w:r>
      <w:r w:rsidR="00886378" w:rsidRPr="000B186E">
        <w:rPr>
          <w:rFonts w:cs="Arial"/>
        </w:rPr>
        <w:t xml:space="preserve">a drug that has </w:t>
      </w:r>
      <w:r w:rsidR="00886378">
        <w:rPr>
          <w:rFonts w:cs="Arial"/>
        </w:rPr>
        <w:t>b</w:t>
      </w:r>
      <w:r w:rsidR="00886378" w:rsidRPr="000B186E">
        <w:rPr>
          <w:rFonts w:cs="Arial"/>
        </w:rPr>
        <w:t>ioequivalent</w:t>
      </w:r>
      <w:r w:rsidR="00886378">
        <w:rPr>
          <w:rFonts w:cs="Arial"/>
        </w:rPr>
        <w:t xml:space="preserve"> </w:t>
      </w:r>
      <w:r w:rsidR="00886378" w:rsidRPr="000B186E">
        <w:rPr>
          <w:rFonts w:cs="Arial"/>
        </w:rPr>
        <w:t>/</w:t>
      </w:r>
      <w:r w:rsidR="00886378">
        <w:rPr>
          <w:rFonts w:cs="Arial"/>
        </w:rPr>
        <w:t xml:space="preserve"> </w:t>
      </w:r>
      <w:r w:rsidR="00886378" w:rsidRPr="000B186E">
        <w:rPr>
          <w:rFonts w:cs="Arial"/>
        </w:rPr>
        <w:t xml:space="preserve">biosimilar </w:t>
      </w:r>
      <w:r w:rsidR="00886378" w:rsidRPr="00492DA5">
        <w:rPr>
          <w:rFonts w:cs="Arial"/>
        </w:rPr>
        <w:t>brand</w:t>
      </w:r>
      <w:r w:rsidR="00886378">
        <w:rPr>
          <w:rFonts w:cs="Arial"/>
        </w:rPr>
        <w:t>s).</w:t>
      </w:r>
    </w:p>
    <w:p w14:paraId="76794099" w14:textId="77777777" w:rsidR="00A4624A" w:rsidRPr="00980D72" w:rsidRDefault="005F4AF4" w:rsidP="00AC34F8">
      <w:pPr>
        <w:pStyle w:val="ListParagraph"/>
        <w:numPr>
          <w:ilvl w:val="0"/>
          <w:numId w:val="24"/>
        </w:numPr>
        <w:ind w:left="714" w:hanging="357"/>
        <w:contextualSpacing w:val="0"/>
        <w:rPr>
          <w:rFonts w:cs="Arial"/>
        </w:rPr>
      </w:pPr>
      <w:r>
        <w:rPr>
          <w:rFonts w:cs="Arial"/>
        </w:rPr>
        <w:t xml:space="preserve">There is a discretion </w:t>
      </w:r>
      <w:r w:rsidR="002E69C5">
        <w:rPr>
          <w:rFonts w:cs="Arial"/>
        </w:rPr>
        <w:t xml:space="preserve">for the Minister or pricing delegate </w:t>
      </w:r>
      <w:r>
        <w:rPr>
          <w:rFonts w:cs="Arial"/>
        </w:rPr>
        <w:t>not to apply</w:t>
      </w:r>
      <w:r w:rsidR="00134E0B">
        <w:rPr>
          <w:rFonts w:cs="Arial"/>
        </w:rPr>
        <w:t>, or to partially apply,</w:t>
      </w:r>
      <w:r>
        <w:rPr>
          <w:rFonts w:cs="Arial"/>
        </w:rPr>
        <w:t xml:space="preserve"> the component drug reduction </w:t>
      </w:r>
      <w:r w:rsidR="00E05127">
        <w:rPr>
          <w:rFonts w:cs="Arial"/>
        </w:rPr>
        <w:t xml:space="preserve">to a combination list drug </w:t>
      </w:r>
      <w:r>
        <w:rPr>
          <w:rFonts w:cs="Arial"/>
        </w:rPr>
        <w:t xml:space="preserve">if relevant </w:t>
      </w:r>
      <w:r w:rsidR="00134E0B">
        <w:t>Pharmaceutical Benefits Advisory Committee (</w:t>
      </w:r>
      <w:r>
        <w:rPr>
          <w:rFonts w:cs="Arial"/>
        </w:rPr>
        <w:t>PBAC</w:t>
      </w:r>
      <w:r w:rsidR="00134E0B">
        <w:rPr>
          <w:rFonts w:cs="Arial"/>
        </w:rPr>
        <w:t>)</w:t>
      </w:r>
      <w:r>
        <w:rPr>
          <w:rFonts w:cs="Arial"/>
        </w:rPr>
        <w:t xml:space="preserve"> advice is in place under </w:t>
      </w:r>
      <w:r w:rsidRPr="00F9665B">
        <w:rPr>
          <w:rFonts w:cs="Arial"/>
        </w:rPr>
        <w:t>subsection 101(4AC)</w:t>
      </w:r>
      <w:r w:rsidR="00F9665B">
        <w:rPr>
          <w:rFonts w:cs="Arial"/>
        </w:rPr>
        <w:t xml:space="preserve"> of the Act</w:t>
      </w:r>
      <w:r w:rsidR="00F31DC4" w:rsidRPr="0031599C">
        <w:rPr>
          <w:rFonts w:cs="Arial"/>
        </w:rPr>
        <w:t>.</w:t>
      </w:r>
      <w:r w:rsidR="00B579AA" w:rsidRPr="0031599C">
        <w:rPr>
          <w:rFonts w:cs="Arial"/>
        </w:rPr>
        <w:t xml:space="preserve"> </w:t>
      </w:r>
      <w:r w:rsidR="002E69C5">
        <w:rPr>
          <w:rFonts w:cs="Arial"/>
        </w:rPr>
        <w:t xml:space="preserve"> </w:t>
      </w:r>
    </w:p>
    <w:p w14:paraId="24B01CDF" w14:textId="77777777" w:rsidR="005D35C4" w:rsidRPr="0031599C" w:rsidRDefault="002E69C5" w:rsidP="00AC34F8">
      <w:pPr>
        <w:pStyle w:val="ListParagraph"/>
        <w:numPr>
          <w:ilvl w:val="0"/>
          <w:numId w:val="24"/>
        </w:numPr>
        <w:ind w:left="714" w:hanging="357"/>
        <w:contextualSpacing w:val="0"/>
        <w:rPr>
          <w:rFonts w:cs="Arial"/>
        </w:rPr>
      </w:pPr>
      <w:r>
        <w:rPr>
          <w:rFonts w:cs="Arial"/>
        </w:rPr>
        <w:t xml:space="preserve">When the price of a component drug is reduced due to price disclosure, any price agreement for a brand </w:t>
      </w:r>
      <w:r w:rsidR="00690FD7">
        <w:rPr>
          <w:rFonts w:cs="Arial"/>
        </w:rPr>
        <w:t xml:space="preserve">of a CDL drug </w:t>
      </w:r>
      <w:r>
        <w:rPr>
          <w:rFonts w:cs="Arial"/>
        </w:rPr>
        <w:t xml:space="preserve">will cease to apply on the reduction day.  New agreements are required before the reduction day for brands of </w:t>
      </w:r>
      <w:r w:rsidR="00690FD7">
        <w:rPr>
          <w:rFonts w:cs="Arial"/>
        </w:rPr>
        <w:t xml:space="preserve">drugs </w:t>
      </w:r>
      <w:r>
        <w:rPr>
          <w:rFonts w:cs="Arial"/>
        </w:rPr>
        <w:t xml:space="preserve">on the </w:t>
      </w:r>
      <w:r w:rsidR="00690FD7">
        <w:rPr>
          <w:rFonts w:cs="Arial"/>
        </w:rPr>
        <w:t>CDL</w:t>
      </w:r>
      <w:r>
        <w:rPr>
          <w:rFonts w:cs="Arial"/>
        </w:rPr>
        <w:t xml:space="preserve"> that have a component drug with a reduction.</w:t>
      </w:r>
      <w:r w:rsidR="00E05127">
        <w:rPr>
          <w:rFonts w:cs="Arial"/>
        </w:rPr>
        <w:t xml:space="preserve"> </w:t>
      </w:r>
      <w:r w:rsidR="004A13AF">
        <w:rPr>
          <w:rFonts w:cs="Arial"/>
        </w:rPr>
        <w:t xml:space="preserve"> </w:t>
      </w:r>
      <w:r w:rsidR="00E05127">
        <w:rPr>
          <w:rFonts w:cs="Arial"/>
        </w:rPr>
        <w:t xml:space="preserve">A new agreement is required even if the Minister or delegate decides not to apply the component price reduction to the </w:t>
      </w:r>
      <w:r w:rsidR="00690FD7">
        <w:rPr>
          <w:rFonts w:cs="Arial"/>
        </w:rPr>
        <w:t>CDL</w:t>
      </w:r>
      <w:r w:rsidR="00E05127">
        <w:rPr>
          <w:rFonts w:cs="Arial"/>
        </w:rPr>
        <w:t xml:space="preserve"> brand.</w:t>
      </w:r>
    </w:p>
    <w:p w14:paraId="13505F05" w14:textId="77777777" w:rsidR="006A717A" w:rsidRPr="00492DA5" w:rsidRDefault="006A717A" w:rsidP="00AC34F8">
      <w:pPr>
        <w:pStyle w:val="ListParagraph"/>
        <w:numPr>
          <w:ilvl w:val="0"/>
          <w:numId w:val="24"/>
        </w:numPr>
        <w:ind w:left="714" w:hanging="357"/>
        <w:contextualSpacing w:val="0"/>
        <w:rPr>
          <w:rFonts w:cs="Arial"/>
        </w:rPr>
      </w:pPr>
      <w:r w:rsidRPr="00CA64E5">
        <w:rPr>
          <w:rFonts w:cs="Arial"/>
        </w:rPr>
        <w:t xml:space="preserve">A </w:t>
      </w:r>
      <w:r w:rsidR="00744708" w:rsidRPr="000B186E">
        <w:rPr>
          <w:rFonts w:cs="Arial"/>
        </w:rPr>
        <w:t xml:space="preserve">drug on the </w:t>
      </w:r>
      <w:r w:rsidR="00690FD7">
        <w:rPr>
          <w:rFonts w:cs="Arial"/>
        </w:rPr>
        <w:t>CDL</w:t>
      </w:r>
      <w:r w:rsidRPr="00492DA5">
        <w:rPr>
          <w:rFonts w:cs="Arial"/>
        </w:rPr>
        <w:t xml:space="preserve"> will move to the F2 formulary when it no lo</w:t>
      </w:r>
      <w:r w:rsidRPr="00CA64E5">
        <w:rPr>
          <w:rFonts w:cs="Arial"/>
        </w:rPr>
        <w:t>nger meets the criteria under subsection 85AB (5) of the Act (</w:t>
      </w:r>
      <w:r w:rsidR="00E03B52">
        <w:rPr>
          <w:rFonts w:cs="Arial"/>
        </w:rPr>
        <w:t>i.e.,</w:t>
      </w:r>
      <w:r w:rsidRPr="00CA64E5">
        <w:rPr>
          <w:rFonts w:cs="Arial"/>
        </w:rPr>
        <w:t xml:space="preserve"> </w:t>
      </w:r>
      <w:r w:rsidR="00744708" w:rsidRPr="000B186E">
        <w:rPr>
          <w:rFonts w:cs="Arial"/>
        </w:rPr>
        <w:t xml:space="preserve">it </w:t>
      </w:r>
      <w:r w:rsidRPr="00492DA5">
        <w:rPr>
          <w:rFonts w:cs="Arial"/>
        </w:rPr>
        <w:t>has more than one</w:t>
      </w:r>
      <w:r w:rsidR="00744708" w:rsidRPr="000B186E">
        <w:rPr>
          <w:rFonts w:cs="Arial"/>
        </w:rPr>
        <w:t xml:space="preserve"> bioequivalent</w:t>
      </w:r>
      <w:r w:rsidR="00BB32A3">
        <w:rPr>
          <w:rFonts w:cs="Arial"/>
        </w:rPr>
        <w:t xml:space="preserve"> </w:t>
      </w:r>
      <w:r w:rsidR="00744708" w:rsidRPr="000B186E">
        <w:rPr>
          <w:rFonts w:cs="Arial"/>
        </w:rPr>
        <w:t>/</w:t>
      </w:r>
      <w:r w:rsidR="00BB32A3">
        <w:rPr>
          <w:rFonts w:cs="Arial"/>
        </w:rPr>
        <w:t xml:space="preserve"> </w:t>
      </w:r>
      <w:r w:rsidR="00744708" w:rsidRPr="000B186E">
        <w:rPr>
          <w:rFonts w:cs="Arial"/>
        </w:rPr>
        <w:t>biosimilar</w:t>
      </w:r>
      <w:r w:rsidRPr="00492DA5">
        <w:rPr>
          <w:rFonts w:cs="Arial"/>
        </w:rPr>
        <w:t xml:space="preserve"> brand or is </w:t>
      </w:r>
      <w:r w:rsidRPr="00CA64E5">
        <w:rPr>
          <w:rFonts w:cs="Arial"/>
        </w:rPr>
        <w:t xml:space="preserve">in a therapeutic group with </w:t>
      </w:r>
      <w:r w:rsidR="00744708" w:rsidRPr="000B186E">
        <w:rPr>
          <w:rFonts w:cs="Arial"/>
        </w:rPr>
        <w:t xml:space="preserve">a drug that has </w:t>
      </w:r>
      <w:r w:rsidRPr="00492DA5">
        <w:rPr>
          <w:rFonts w:cs="Arial"/>
        </w:rPr>
        <w:t xml:space="preserve">more than one </w:t>
      </w:r>
      <w:r w:rsidR="00744708" w:rsidRPr="000B186E">
        <w:rPr>
          <w:rFonts w:cs="Arial"/>
        </w:rPr>
        <w:t>bioequivalent</w:t>
      </w:r>
      <w:r w:rsidR="00BB32A3">
        <w:rPr>
          <w:rFonts w:cs="Arial"/>
        </w:rPr>
        <w:t xml:space="preserve"> </w:t>
      </w:r>
      <w:r w:rsidR="00744708" w:rsidRPr="000B186E">
        <w:rPr>
          <w:rFonts w:cs="Arial"/>
        </w:rPr>
        <w:t>/</w:t>
      </w:r>
      <w:r w:rsidR="00BB32A3">
        <w:rPr>
          <w:rFonts w:cs="Arial"/>
        </w:rPr>
        <w:t xml:space="preserve"> </w:t>
      </w:r>
      <w:r w:rsidR="00744708" w:rsidRPr="000B186E">
        <w:rPr>
          <w:rFonts w:cs="Arial"/>
        </w:rPr>
        <w:t xml:space="preserve">biosimilar </w:t>
      </w:r>
      <w:r w:rsidRPr="00492DA5">
        <w:rPr>
          <w:rFonts w:cs="Arial"/>
        </w:rPr>
        <w:t xml:space="preserve">brand). </w:t>
      </w:r>
    </w:p>
    <w:p w14:paraId="0D5A0BA6" w14:textId="77777777" w:rsidR="00190A06" w:rsidRPr="0023512E" w:rsidRDefault="00744708" w:rsidP="00893442">
      <w:pPr>
        <w:pStyle w:val="ListParagraph"/>
        <w:numPr>
          <w:ilvl w:val="0"/>
          <w:numId w:val="24"/>
        </w:numPr>
        <w:spacing w:before="0" w:line="240" w:lineRule="auto"/>
        <w:ind w:left="714" w:hanging="357"/>
        <w:contextualSpacing w:val="0"/>
        <w:rPr>
          <w:bCs/>
          <w:color w:val="365F91"/>
          <w:sz w:val="26"/>
        </w:rPr>
      </w:pPr>
      <w:r w:rsidRPr="0023512E">
        <w:rPr>
          <w:rFonts w:cs="Arial"/>
        </w:rPr>
        <w:lastRenderedPageBreak/>
        <w:t>Brands containing the combination drug will then become subject to p</w:t>
      </w:r>
      <w:r w:rsidR="00BE0593" w:rsidRPr="0023512E">
        <w:rPr>
          <w:rFonts w:cs="Arial"/>
        </w:rPr>
        <w:t>rice disclosure</w:t>
      </w:r>
      <w:r w:rsidR="00F31DC4" w:rsidRPr="0023512E">
        <w:rPr>
          <w:rFonts w:cs="Arial"/>
        </w:rPr>
        <w:t xml:space="preserve"> </w:t>
      </w:r>
      <w:r w:rsidRPr="00BB64A2">
        <w:rPr>
          <w:rFonts w:cs="Arial"/>
        </w:rPr>
        <w:t xml:space="preserve">– </w:t>
      </w:r>
      <w:r w:rsidR="00E03B52" w:rsidRPr="00BB64A2">
        <w:rPr>
          <w:rFonts w:cs="Arial"/>
        </w:rPr>
        <w:t>i.e.,</w:t>
      </w:r>
      <w:r w:rsidRPr="00BB64A2">
        <w:rPr>
          <w:rFonts w:cs="Arial"/>
        </w:rPr>
        <w:t xml:space="preserve"> </w:t>
      </w:r>
      <w:r w:rsidR="007A38E1" w:rsidRPr="00BB64A2">
        <w:rPr>
          <w:rFonts w:cs="Arial"/>
        </w:rPr>
        <w:t xml:space="preserve">data collection and </w:t>
      </w:r>
      <w:r w:rsidR="00254FF1" w:rsidRPr="00BB64A2">
        <w:rPr>
          <w:rFonts w:cs="Arial"/>
        </w:rPr>
        <w:t>potential</w:t>
      </w:r>
      <w:r w:rsidRPr="00BB64A2">
        <w:rPr>
          <w:rFonts w:cs="Arial"/>
        </w:rPr>
        <w:t xml:space="preserve"> </w:t>
      </w:r>
      <w:r w:rsidR="00690FD7" w:rsidRPr="00BB64A2">
        <w:rPr>
          <w:rFonts w:cs="Arial"/>
        </w:rPr>
        <w:t xml:space="preserve">direct price disclosure </w:t>
      </w:r>
      <w:r w:rsidRPr="00BB64A2">
        <w:rPr>
          <w:rFonts w:cs="Arial"/>
        </w:rPr>
        <w:t>reductions</w:t>
      </w:r>
      <w:r w:rsidR="00F31DC4" w:rsidRPr="00BB64A2">
        <w:rPr>
          <w:rFonts w:cs="Arial"/>
        </w:rPr>
        <w:t xml:space="preserve"> will then apply to the combination item</w:t>
      </w:r>
      <w:r w:rsidR="00D11F1C" w:rsidRPr="00BB64A2">
        <w:rPr>
          <w:rFonts w:cs="Arial"/>
        </w:rPr>
        <w:t xml:space="preserve">. </w:t>
      </w:r>
      <w:bookmarkStart w:id="29" w:name="_Toc367914213"/>
    </w:p>
    <w:p w14:paraId="527DA80F" w14:textId="77777777" w:rsidR="00624BFC" w:rsidRPr="00B579AA" w:rsidRDefault="0005624B" w:rsidP="00624BFC">
      <w:pPr>
        <w:pStyle w:val="Heading3"/>
        <w:spacing w:before="120"/>
      </w:pPr>
      <w:bookmarkStart w:id="30" w:name="_Toc454283956"/>
      <w:r>
        <w:t>Flow</w:t>
      </w:r>
      <w:r w:rsidR="00A919B8">
        <w:t>-</w:t>
      </w:r>
      <w:r>
        <w:t>on Reductions for F2 Combination Items</w:t>
      </w:r>
      <w:bookmarkEnd w:id="30"/>
    </w:p>
    <w:p w14:paraId="39A52F9A" w14:textId="77777777" w:rsidR="00624BFC" w:rsidRDefault="007556B2">
      <w:pPr>
        <w:pStyle w:val="ListParagraph"/>
        <w:numPr>
          <w:ilvl w:val="0"/>
          <w:numId w:val="24"/>
        </w:numPr>
        <w:ind w:left="714" w:hanging="357"/>
        <w:contextualSpacing w:val="0"/>
      </w:pPr>
      <w:r>
        <w:t>For the 2016 April cycle onward, a</w:t>
      </w:r>
      <w:r w:rsidR="0005624B">
        <w:t xml:space="preserve">fter announcement of outcomes for each price disclosure cycle, </w:t>
      </w:r>
      <w:r w:rsidR="00BF0653">
        <w:t xml:space="preserve">potential </w:t>
      </w:r>
      <w:r w:rsidR="0005624B">
        <w:t xml:space="preserve">flow-on reductions will be calculated from component drugs to any related F2 combination items. The flow-on reduction will be applied where it would result in a lower adjusted price for the combination item than applying the direct price disclosure outcome for the F2 combination item. </w:t>
      </w:r>
      <w:r>
        <w:t xml:space="preserve"> The calculation method for potential direct price disclosure reductions is described </w:t>
      </w:r>
      <w:r w:rsidR="00B02706">
        <w:t xml:space="preserve">under the </w:t>
      </w:r>
      <w:r w:rsidR="00B02706" w:rsidRPr="00CF6792">
        <w:rPr>
          <w:b/>
        </w:rPr>
        <w:t>Calculation</w:t>
      </w:r>
      <w:r w:rsidR="00B02706">
        <w:t xml:space="preserve"> heading below</w:t>
      </w:r>
      <w:r>
        <w:t>.</w:t>
      </w:r>
    </w:p>
    <w:p w14:paraId="111FECDB" w14:textId="77777777" w:rsidR="0005624B" w:rsidRDefault="0005624B">
      <w:pPr>
        <w:pStyle w:val="ListParagraph"/>
        <w:numPr>
          <w:ilvl w:val="0"/>
          <w:numId w:val="24"/>
        </w:numPr>
        <w:ind w:left="714" w:hanging="357"/>
        <w:contextualSpacing w:val="0"/>
      </w:pPr>
      <w:r>
        <w:t xml:space="preserve">The process for applying </w:t>
      </w:r>
      <w:r w:rsidR="007556B2">
        <w:t xml:space="preserve">these F2 flow-on </w:t>
      </w:r>
      <w:r>
        <w:t xml:space="preserve">combination item price disclosure reductions is similar to that already in operation for flowing on price disclosure reductions to single brand combination items on the CDL. </w:t>
      </w:r>
    </w:p>
    <w:p w14:paraId="10CE5318" w14:textId="77777777" w:rsidR="00097231" w:rsidRDefault="00097231">
      <w:pPr>
        <w:pStyle w:val="ListParagraph"/>
        <w:numPr>
          <w:ilvl w:val="0"/>
          <w:numId w:val="24"/>
        </w:numPr>
        <w:ind w:left="714" w:hanging="357"/>
        <w:contextualSpacing w:val="0"/>
      </w:pPr>
      <w:r>
        <w:t xml:space="preserve">That is, the Act provides for prices of combination items that have component drugs taking a reduction to cease operation at the end of the day before reduction day. So, for a 1 October reduction day, prices cease </w:t>
      </w:r>
      <w:r w:rsidR="00134E0B">
        <w:t>at the last moment of</w:t>
      </w:r>
      <w:r w:rsidR="00220E93">
        <w:t xml:space="preserve"> 30</w:t>
      </w:r>
      <w:r w:rsidR="00CF6792">
        <w:t> </w:t>
      </w:r>
      <w:r>
        <w:t>September. That is, there is no automatic price on which a subsidy could be calculated for payment for a combination item that has a component taking a price disclosure reduction. However, new prices are approved (agreed with companies or determined) in advance of 1 October reduction day, to come into operation on 1</w:t>
      </w:r>
      <w:r w:rsidR="00134E0B">
        <w:t> </w:t>
      </w:r>
      <w:r>
        <w:t xml:space="preserve">October, reflecting either the flow-on reductions or the direct F2 price disclosure reduction for the combination item. </w:t>
      </w:r>
      <w:r w:rsidR="00134E0B">
        <w:t xml:space="preserve"> The same applies for each other reduction day, for example 1 April each year.</w:t>
      </w:r>
    </w:p>
    <w:p w14:paraId="565688C6" w14:textId="77777777" w:rsidR="00134E0B" w:rsidRDefault="009A45AD">
      <w:pPr>
        <w:pStyle w:val="ListParagraph"/>
        <w:numPr>
          <w:ilvl w:val="0"/>
          <w:numId w:val="24"/>
        </w:numPr>
        <w:ind w:left="714" w:hanging="357"/>
        <w:contextualSpacing w:val="0"/>
      </w:pPr>
      <w:r>
        <w:t>C</w:t>
      </w:r>
      <w:r w:rsidR="006D6B91">
        <w:t xml:space="preserve">ombination items </w:t>
      </w:r>
      <w:r w:rsidR="00134E0B">
        <w:t xml:space="preserve">that are exempt items </w:t>
      </w:r>
      <w:r w:rsidR="006D6B91">
        <w:t xml:space="preserve">do not take the reduction. </w:t>
      </w:r>
    </w:p>
    <w:p w14:paraId="50C9F197" w14:textId="77777777" w:rsidR="00097231" w:rsidRDefault="006D6B91">
      <w:pPr>
        <w:pStyle w:val="ListParagraph"/>
        <w:numPr>
          <w:ilvl w:val="0"/>
          <w:numId w:val="24"/>
        </w:numPr>
        <w:ind w:left="714" w:hanging="357"/>
        <w:contextualSpacing w:val="0"/>
      </w:pPr>
      <w:r>
        <w:t xml:space="preserve">Combination items with s101(4AC) </w:t>
      </w:r>
      <w:r w:rsidR="00134E0B">
        <w:t>PBAC</w:t>
      </w:r>
      <w:r>
        <w:t xml:space="preserve"> advice (significant improvement advice for combination items) will be considered under the discretion which allows the Minister or delegate to flow-on only part o</w:t>
      </w:r>
      <w:r w:rsidR="00134E0B">
        <w:t>r</w:t>
      </w:r>
      <w:r>
        <w:t xml:space="preserve"> none of the component drug reduction. </w:t>
      </w:r>
    </w:p>
    <w:p w14:paraId="6E4609A4" w14:textId="77777777" w:rsidR="006D6B91" w:rsidRDefault="006D6B91">
      <w:pPr>
        <w:pStyle w:val="ListParagraph"/>
        <w:numPr>
          <w:ilvl w:val="0"/>
          <w:numId w:val="24"/>
        </w:numPr>
        <w:ind w:left="714" w:hanging="357"/>
        <w:contextualSpacing w:val="0"/>
      </w:pPr>
      <w:r>
        <w:t>The flow</w:t>
      </w:r>
      <w:r w:rsidR="00A919B8">
        <w:t>-</w:t>
      </w:r>
      <w:r>
        <w:t>on of F2 component drug price disclosure reductions to F2 combination items commence</w:t>
      </w:r>
      <w:r w:rsidR="00220E93">
        <w:t>d</w:t>
      </w:r>
      <w:r>
        <w:t xml:space="preserve"> for the 1 April 2016 reduction day and continue</w:t>
      </w:r>
      <w:r w:rsidR="007022F0">
        <w:t>s</w:t>
      </w:r>
      <w:r>
        <w:t xml:space="preserve"> for each price disclosure cycle. </w:t>
      </w:r>
    </w:p>
    <w:p w14:paraId="0FECC5FA" w14:textId="77777777" w:rsidR="00B1532C" w:rsidRDefault="006D6B91">
      <w:pPr>
        <w:pStyle w:val="ListParagraph"/>
        <w:numPr>
          <w:ilvl w:val="0"/>
          <w:numId w:val="24"/>
        </w:numPr>
        <w:ind w:left="714" w:hanging="357"/>
        <w:contextualSpacing w:val="0"/>
      </w:pPr>
      <w:r>
        <w:t>There will be a back-capture reduction day</w:t>
      </w:r>
      <w:r w:rsidR="00543591">
        <w:t xml:space="preserve"> for F2 combination item medicines</w:t>
      </w:r>
      <w:r w:rsidR="007022F0">
        <w:t xml:space="preserve"> </w:t>
      </w:r>
      <w:r w:rsidR="00543591">
        <w:t>on 1</w:t>
      </w:r>
      <w:r w:rsidR="007022F0">
        <w:t> </w:t>
      </w:r>
      <w:r w:rsidR="00543591">
        <w:t>October</w:t>
      </w:r>
      <w:r w:rsidR="007022F0">
        <w:t> </w:t>
      </w:r>
      <w:r w:rsidR="00543591">
        <w:t>2016</w:t>
      </w:r>
      <w:r w:rsidR="007022F0">
        <w:t xml:space="preserve"> to ensure that</w:t>
      </w:r>
      <w:r w:rsidR="007022F0" w:rsidRPr="007022F0">
        <w:t xml:space="preserve"> </w:t>
      </w:r>
      <w:r w:rsidR="007022F0">
        <w:t>all F2 combination items have been considered for application of component pricing</w:t>
      </w:r>
      <w:r w:rsidR="00543591">
        <w:t xml:space="preserve">. </w:t>
      </w:r>
      <w:r w:rsidR="00B1532C">
        <w:t>A</w:t>
      </w:r>
      <w:r w:rsidR="00543591">
        <w:t xml:space="preserve">ny F2 combination item which does not have a component drug price reduction on 1 April 2016, or scheduled for 1 October 2016, will have a back-capture calculation done for the 1 October 2016 reduction day. </w:t>
      </w:r>
      <w:r w:rsidR="007022F0">
        <w:t xml:space="preserve"> </w:t>
      </w:r>
      <w:r w:rsidR="00543591">
        <w:t xml:space="preserve">The back-capture calculation will work out whether flowing on the F2 component drug price from the most recent price disclosure reduction (if any reduction has occurred) would result in a lower price than the current price for the combination item. If so, the flow-on reduction will be </w:t>
      </w:r>
      <w:r w:rsidR="009A45AD">
        <w:t>considered for application</w:t>
      </w:r>
      <w:r w:rsidR="00543591">
        <w:t xml:space="preserve"> on 1 October 2016.</w:t>
      </w:r>
    </w:p>
    <w:p w14:paraId="0973C2CB" w14:textId="77777777" w:rsidR="00B1532C" w:rsidRDefault="00B1532C">
      <w:pPr>
        <w:spacing w:before="0" w:line="240" w:lineRule="auto"/>
      </w:pPr>
      <w:r>
        <w:br w:type="page"/>
      </w:r>
    </w:p>
    <w:p w14:paraId="39049759" w14:textId="77777777" w:rsidR="001764A1" w:rsidRPr="00D1251E" w:rsidRDefault="001764A1" w:rsidP="000379B0">
      <w:pPr>
        <w:pStyle w:val="Heading2"/>
      </w:pPr>
      <w:bookmarkStart w:id="31" w:name="_Toc454283957"/>
      <w:r w:rsidRPr="00D1251E">
        <w:lastRenderedPageBreak/>
        <w:t>Disclosure Cycle</w:t>
      </w:r>
      <w:r w:rsidR="009064A4">
        <w:t xml:space="preserve"> - Summary</w:t>
      </w:r>
      <w:bookmarkEnd w:id="31"/>
    </w:p>
    <w:p w14:paraId="002F149E" w14:textId="77777777" w:rsidR="006738D2" w:rsidRDefault="007748AE" w:rsidP="00AC34F8">
      <w:pPr>
        <w:pStyle w:val="ListParagraph"/>
        <w:numPr>
          <w:ilvl w:val="0"/>
          <w:numId w:val="24"/>
        </w:numPr>
        <w:ind w:left="714" w:hanging="357"/>
        <w:contextualSpacing w:val="0"/>
        <w:rPr>
          <w:rFonts w:cs="Arial"/>
        </w:rPr>
      </w:pPr>
      <w:r>
        <w:rPr>
          <w:rFonts w:cs="Arial"/>
        </w:rPr>
        <w:t>T</w:t>
      </w:r>
      <w:r w:rsidR="001764A1">
        <w:rPr>
          <w:rFonts w:cs="Arial"/>
        </w:rPr>
        <w:t xml:space="preserve">he </w:t>
      </w:r>
      <w:r w:rsidR="001764A1" w:rsidRPr="00332E8F">
        <w:rPr>
          <w:rFonts w:cs="Arial"/>
          <w:b/>
        </w:rPr>
        <w:t xml:space="preserve">ongoing </w:t>
      </w:r>
      <w:r w:rsidR="006738D2">
        <w:rPr>
          <w:rFonts w:cs="Arial"/>
          <w:b/>
        </w:rPr>
        <w:t xml:space="preserve">regular </w:t>
      </w:r>
      <w:r w:rsidR="001764A1" w:rsidRPr="005879D2">
        <w:rPr>
          <w:rFonts w:cs="Arial"/>
        </w:rPr>
        <w:t>disclosure cycle</w:t>
      </w:r>
      <w:r w:rsidR="001764A1">
        <w:rPr>
          <w:rFonts w:cs="Arial"/>
        </w:rPr>
        <w:t xml:space="preserve"> consist</w:t>
      </w:r>
      <w:r>
        <w:rPr>
          <w:rFonts w:cs="Arial"/>
        </w:rPr>
        <w:t>s</w:t>
      </w:r>
      <w:r w:rsidR="001764A1">
        <w:rPr>
          <w:rFonts w:cs="Arial"/>
        </w:rPr>
        <w:t xml:space="preserve"> of</w:t>
      </w:r>
      <w:r w:rsidR="00660635">
        <w:rPr>
          <w:rFonts w:cs="Arial"/>
        </w:rPr>
        <w:t xml:space="preserve">: </w:t>
      </w:r>
      <w:r w:rsidR="001764A1">
        <w:rPr>
          <w:rFonts w:cs="Arial"/>
        </w:rPr>
        <w:t xml:space="preserve"> </w:t>
      </w:r>
    </w:p>
    <w:p w14:paraId="2936985D" w14:textId="77777777" w:rsidR="00FC49DB" w:rsidRDefault="00FC49DB" w:rsidP="00D0481A">
      <w:pPr>
        <w:pStyle w:val="ListParagraph"/>
        <w:numPr>
          <w:ilvl w:val="1"/>
          <w:numId w:val="24"/>
        </w:numPr>
        <w:contextualSpacing w:val="0"/>
        <w:rPr>
          <w:rFonts w:cs="Arial"/>
        </w:rPr>
      </w:pPr>
      <w:r>
        <w:rPr>
          <w:rFonts w:cs="Arial"/>
        </w:rPr>
        <w:t>a data collection period of six months;</w:t>
      </w:r>
    </w:p>
    <w:p w14:paraId="2E7FECA6" w14:textId="77777777" w:rsidR="00FC49DB" w:rsidRDefault="00FC49DB" w:rsidP="00D0481A">
      <w:pPr>
        <w:pStyle w:val="ListParagraph"/>
        <w:numPr>
          <w:ilvl w:val="1"/>
          <w:numId w:val="24"/>
        </w:numPr>
        <w:contextualSpacing w:val="0"/>
        <w:rPr>
          <w:rFonts w:cs="Arial"/>
        </w:rPr>
      </w:pPr>
      <w:r>
        <w:rPr>
          <w:rFonts w:cs="Arial"/>
        </w:rPr>
        <w:t>a processing period (intended to be six months); and</w:t>
      </w:r>
    </w:p>
    <w:p w14:paraId="7CA65B64" w14:textId="77777777" w:rsidR="00FC49DB" w:rsidRDefault="00FC49DB" w:rsidP="00D0481A">
      <w:pPr>
        <w:pStyle w:val="ListParagraph"/>
        <w:numPr>
          <w:ilvl w:val="1"/>
          <w:numId w:val="24"/>
        </w:numPr>
        <w:contextualSpacing w:val="0"/>
        <w:rPr>
          <w:rFonts w:cs="Arial"/>
        </w:rPr>
      </w:pPr>
      <w:r>
        <w:rPr>
          <w:rFonts w:cs="Arial"/>
        </w:rPr>
        <w:t xml:space="preserve">a reduction day(s). </w:t>
      </w:r>
    </w:p>
    <w:p w14:paraId="150D0949" w14:textId="77777777" w:rsidR="00FC49DB" w:rsidRDefault="00FC49DB" w:rsidP="00AC34F8">
      <w:pPr>
        <w:pStyle w:val="ListParagraph"/>
        <w:numPr>
          <w:ilvl w:val="0"/>
          <w:numId w:val="24"/>
        </w:numPr>
        <w:ind w:left="714" w:hanging="357"/>
        <w:contextualSpacing w:val="0"/>
        <w:rPr>
          <w:rFonts w:cs="Arial"/>
        </w:rPr>
      </w:pPr>
      <w:r>
        <w:rPr>
          <w:rFonts w:cs="Arial"/>
        </w:rPr>
        <w:t xml:space="preserve">A </w:t>
      </w:r>
      <w:r w:rsidRPr="003D7357">
        <w:rPr>
          <w:rFonts w:cs="Arial"/>
        </w:rPr>
        <w:t xml:space="preserve">list of drug/MoAs subject to price disclosure, and their relevant cycles, is available </w:t>
      </w:r>
      <w:r>
        <w:rPr>
          <w:rFonts w:cs="Arial"/>
        </w:rPr>
        <w:t xml:space="preserve">under the Primary Sources heading </w:t>
      </w:r>
      <w:r w:rsidRPr="003D7357">
        <w:rPr>
          <w:rFonts w:cs="Arial"/>
        </w:rPr>
        <w:t xml:space="preserve">at: </w:t>
      </w:r>
      <w:hyperlink r:id="rId23" w:history="1">
        <w:r w:rsidRPr="00815948">
          <w:rPr>
            <w:rStyle w:val="Hyperlink"/>
            <w:rFonts w:cs="Arial"/>
          </w:rPr>
          <w:t>www.pbs.gov.au/info/industry/pricing/price-disclosure-spd</w:t>
        </w:r>
      </w:hyperlink>
    </w:p>
    <w:p w14:paraId="3029F609" w14:textId="77777777" w:rsidR="00E06334" w:rsidRPr="000B186E" w:rsidRDefault="00711841" w:rsidP="000379B0">
      <w:pPr>
        <w:pStyle w:val="Heading3"/>
      </w:pPr>
      <w:bookmarkStart w:id="32" w:name="_Toc454283958"/>
      <w:r w:rsidRPr="000B186E">
        <w:t xml:space="preserve">Data </w:t>
      </w:r>
      <w:r w:rsidR="00E06334" w:rsidRPr="000B186E">
        <w:t>Collection</w:t>
      </w:r>
      <w:r>
        <w:t xml:space="preserve"> Period</w:t>
      </w:r>
      <w:bookmarkEnd w:id="32"/>
    </w:p>
    <w:p w14:paraId="54D079CE" w14:textId="77777777" w:rsidR="005C1BFA" w:rsidRDefault="001B66D8" w:rsidP="00AC34F8">
      <w:pPr>
        <w:pStyle w:val="ListParagraph"/>
        <w:numPr>
          <w:ilvl w:val="0"/>
          <w:numId w:val="24"/>
        </w:numPr>
        <w:ind w:left="714" w:hanging="357"/>
        <w:contextualSpacing w:val="0"/>
        <w:rPr>
          <w:rFonts w:cs="Arial"/>
        </w:rPr>
      </w:pPr>
      <w:r>
        <w:rPr>
          <w:rFonts w:cs="Arial"/>
        </w:rPr>
        <w:t xml:space="preserve">Sales revenue, incentives and volume data is to be collected for ongoing six monthly data collection periods for each cycle. </w:t>
      </w:r>
      <w:r w:rsidR="00D23059">
        <w:rPr>
          <w:rFonts w:cs="Arial"/>
        </w:rPr>
        <w:t>Details of the information to be collected</w:t>
      </w:r>
      <w:r w:rsidR="005C1BFA" w:rsidRPr="005C1BFA">
        <w:rPr>
          <w:rFonts w:cs="Arial"/>
        </w:rPr>
        <w:t xml:space="preserve"> </w:t>
      </w:r>
      <w:r w:rsidR="005C1BFA">
        <w:rPr>
          <w:rFonts w:cs="Arial"/>
        </w:rPr>
        <w:t xml:space="preserve">are set out under the </w:t>
      </w:r>
      <w:r w:rsidR="005C1BFA" w:rsidRPr="00F3381A">
        <w:rPr>
          <w:rFonts w:cs="Arial"/>
          <w:b/>
        </w:rPr>
        <w:t>Collection</w:t>
      </w:r>
      <w:r w:rsidR="005C1BFA">
        <w:rPr>
          <w:rFonts w:cs="Arial"/>
        </w:rPr>
        <w:t xml:space="preserve"> heading below.</w:t>
      </w:r>
    </w:p>
    <w:p w14:paraId="5CDDB910" w14:textId="77777777" w:rsidR="007742BA" w:rsidRDefault="005C1BFA" w:rsidP="00587FC2">
      <w:pPr>
        <w:pStyle w:val="ListParagraph"/>
        <w:numPr>
          <w:ilvl w:val="0"/>
          <w:numId w:val="24"/>
        </w:numPr>
        <w:ind w:left="714" w:hanging="357"/>
        <w:contextualSpacing w:val="0"/>
      </w:pPr>
      <w:r w:rsidRPr="007742BA">
        <w:rPr>
          <w:rFonts w:cs="Arial"/>
        </w:rPr>
        <w:t xml:space="preserve">First data collection periods can be longer or shorter than six months.  </w:t>
      </w:r>
      <w:r w:rsidR="000379B0" w:rsidRPr="0054311E">
        <w:rPr>
          <w:rFonts w:cs="Arial"/>
        </w:rPr>
        <w:t>In summary, w</w:t>
      </w:r>
      <w:r w:rsidR="005626CE" w:rsidRPr="00BC6399">
        <w:rPr>
          <w:rFonts w:cs="Arial"/>
        </w:rPr>
        <w:t xml:space="preserve">hen a </w:t>
      </w:r>
      <w:r w:rsidR="005626CE" w:rsidRPr="007742BA">
        <w:rPr>
          <w:rFonts w:cs="Arial"/>
          <w:i/>
        </w:rPr>
        <w:t>drug/MoA</w:t>
      </w:r>
      <w:r w:rsidR="005626CE" w:rsidRPr="007742BA">
        <w:rPr>
          <w:rFonts w:cs="Arial"/>
        </w:rPr>
        <w:t xml:space="preserve"> </w:t>
      </w:r>
      <w:r w:rsidR="005626CE" w:rsidRPr="007742BA">
        <w:rPr>
          <w:rFonts w:cs="Arial"/>
          <w:i/>
        </w:rPr>
        <w:t>first becomes subject to price disclosure</w:t>
      </w:r>
      <w:r w:rsidR="005626CE" w:rsidRPr="007742BA">
        <w:rPr>
          <w:rFonts w:cs="Arial"/>
        </w:rPr>
        <w:t xml:space="preserve"> (</w:t>
      </w:r>
      <w:r w:rsidR="00E03B52" w:rsidRPr="007742BA">
        <w:rPr>
          <w:rFonts w:cs="Arial"/>
        </w:rPr>
        <w:t>i.e.,</w:t>
      </w:r>
      <w:r w:rsidR="005626CE" w:rsidRPr="007742BA">
        <w:rPr>
          <w:rFonts w:cs="Arial"/>
        </w:rPr>
        <w:t xml:space="preserve"> brands of a drug/MoA first enter F2 or there is a new MoA for an F2 drug), the first data collec</w:t>
      </w:r>
      <w:r w:rsidR="000379B0" w:rsidRPr="007742BA">
        <w:rPr>
          <w:rFonts w:cs="Arial"/>
        </w:rPr>
        <w:t xml:space="preserve">tion period for the first new brands </w:t>
      </w:r>
      <w:r w:rsidRPr="007742BA">
        <w:rPr>
          <w:rFonts w:cs="Arial"/>
        </w:rPr>
        <w:t>can be longer</w:t>
      </w:r>
      <w:r w:rsidR="007742BA" w:rsidRPr="007742BA">
        <w:rPr>
          <w:rFonts w:cs="Arial"/>
        </w:rPr>
        <w:t xml:space="preserve"> than</w:t>
      </w:r>
      <w:r w:rsidR="000379B0" w:rsidRPr="007742BA">
        <w:rPr>
          <w:rFonts w:cs="Arial"/>
        </w:rPr>
        <w:t xml:space="preserve"> six months</w:t>
      </w:r>
      <w:r w:rsidR="005626CE" w:rsidRPr="007742BA">
        <w:rPr>
          <w:rFonts w:cs="Arial"/>
        </w:rPr>
        <w:t xml:space="preserve">. </w:t>
      </w:r>
      <w:r w:rsidR="001764A1" w:rsidRPr="007742BA">
        <w:rPr>
          <w:rFonts w:cs="Arial"/>
        </w:rPr>
        <w:t xml:space="preserve">New brands of a </w:t>
      </w:r>
      <w:r w:rsidR="001764A1" w:rsidRPr="007742BA">
        <w:rPr>
          <w:rFonts w:cs="Arial"/>
          <w:i/>
        </w:rPr>
        <w:t xml:space="preserve">drug/MoA already subject to price disclosure </w:t>
      </w:r>
      <w:r w:rsidR="001764A1" w:rsidRPr="007742BA">
        <w:rPr>
          <w:rFonts w:cs="Arial"/>
        </w:rPr>
        <w:t xml:space="preserve">can have a shorter </w:t>
      </w:r>
      <w:r w:rsidR="00245911" w:rsidRPr="007742BA">
        <w:rPr>
          <w:rFonts w:cs="Arial"/>
        </w:rPr>
        <w:t xml:space="preserve">first </w:t>
      </w:r>
      <w:r w:rsidR="00F54289" w:rsidRPr="007742BA">
        <w:rPr>
          <w:rFonts w:cs="Arial"/>
        </w:rPr>
        <w:t xml:space="preserve">data </w:t>
      </w:r>
      <w:r w:rsidR="001764A1" w:rsidRPr="007742BA">
        <w:rPr>
          <w:rFonts w:cs="Arial"/>
        </w:rPr>
        <w:t xml:space="preserve">collection period as they join the </w:t>
      </w:r>
      <w:r w:rsidR="005626CE" w:rsidRPr="007742BA">
        <w:rPr>
          <w:rFonts w:cs="Arial"/>
        </w:rPr>
        <w:t xml:space="preserve">data collection </w:t>
      </w:r>
      <w:r w:rsidR="001764A1" w:rsidRPr="007742BA">
        <w:rPr>
          <w:rFonts w:cs="Arial"/>
        </w:rPr>
        <w:t>period</w:t>
      </w:r>
      <w:r w:rsidR="005626CE" w:rsidRPr="007742BA">
        <w:rPr>
          <w:rFonts w:cs="Arial"/>
        </w:rPr>
        <w:t xml:space="preserve"> that is</w:t>
      </w:r>
      <w:r w:rsidR="001764A1" w:rsidRPr="007742BA">
        <w:rPr>
          <w:rFonts w:cs="Arial"/>
        </w:rPr>
        <w:t xml:space="preserve"> in progress for related brands (</w:t>
      </w:r>
      <w:r w:rsidR="00E03B52" w:rsidRPr="007742BA">
        <w:rPr>
          <w:rFonts w:cs="Arial"/>
        </w:rPr>
        <w:t>i.e.,</w:t>
      </w:r>
      <w:r w:rsidR="001764A1" w:rsidRPr="007742BA">
        <w:rPr>
          <w:rFonts w:cs="Arial"/>
        </w:rPr>
        <w:t xml:space="preserve"> brands with the same drug/MoA).</w:t>
      </w:r>
      <w:r w:rsidRPr="007742BA">
        <w:rPr>
          <w:rFonts w:cs="Arial"/>
        </w:rPr>
        <w:t xml:space="preserve"> </w:t>
      </w:r>
      <w:r w:rsidR="00942A8F" w:rsidRPr="007742BA">
        <w:rPr>
          <w:rFonts w:cs="Arial"/>
        </w:rPr>
        <w:t>Information</w:t>
      </w:r>
      <w:r w:rsidRPr="007742BA">
        <w:rPr>
          <w:rFonts w:cs="Arial"/>
        </w:rPr>
        <w:t xml:space="preserve"> about the first data collection period </w:t>
      </w:r>
      <w:r w:rsidR="00942A8F" w:rsidRPr="007742BA">
        <w:rPr>
          <w:rFonts w:cs="Arial"/>
        </w:rPr>
        <w:t>is</w:t>
      </w:r>
      <w:r w:rsidRPr="007742BA">
        <w:rPr>
          <w:rFonts w:cs="Arial"/>
        </w:rPr>
        <w:t xml:space="preserve"> set out under the </w:t>
      </w:r>
      <w:r w:rsidRPr="007742BA">
        <w:rPr>
          <w:rFonts w:cs="Arial"/>
          <w:b/>
        </w:rPr>
        <w:t>Collection</w:t>
      </w:r>
      <w:r w:rsidRPr="007742BA">
        <w:rPr>
          <w:rFonts w:cs="Arial"/>
        </w:rPr>
        <w:t xml:space="preserve"> heading below</w:t>
      </w:r>
      <w:r w:rsidR="00942A8F" w:rsidRPr="007742BA">
        <w:rPr>
          <w:rFonts w:cs="Arial"/>
        </w:rPr>
        <w:t>.</w:t>
      </w:r>
    </w:p>
    <w:p w14:paraId="411183DD" w14:textId="77777777" w:rsidR="00E06334" w:rsidRPr="000B186E" w:rsidRDefault="00E06334" w:rsidP="000379B0">
      <w:pPr>
        <w:pStyle w:val="Heading3"/>
      </w:pPr>
      <w:bookmarkStart w:id="33" w:name="_Toc454283959"/>
      <w:r w:rsidRPr="000B186E">
        <w:t>Processing</w:t>
      </w:r>
      <w:r w:rsidR="00711841">
        <w:t xml:space="preserve"> Period</w:t>
      </w:r>
      <w:bookmarkEnd w:id="33"/>
    </w:p>
    <w:p w14:paraId="57FC8216" w14:textId="77777777" w:rsidR="006738D2" w:rsidRDefault="006738D2" w:rsidP="00F97297">
      <w:pPr>
        <w:pStyle w:val="ListParagraph"/>
        <w:numPr>
          <w:ilvl w:val="0"/>
          <w:numId w:val="24"/>
        </w:numPr>
        <w:ind w:left="714" w:hanging="357"/>
        <w:contextualSpacing w:val="0"/>
        <w:rPr>
          <w:rFonts w:cs="Arial"/>
        </w:rPr>
      </w:pPr>
      <w:r>
        <w:rPr>
          <w:rFonts w:cs="Arial"/>
        </w:rPr>
        <w:t>The processing period is intended to be six months – including:</w:t>
      </w:r>
    </w:p>
    <w:p w14:paraId="0D1766CE" w14:textId="77777777" w:rsidR="006738D2" w:rsidRDefault="006738D2" w:rsidP="00B93854">
      <w:pPr>
        <w:pStyle w:val="ListParagraph"/>
        <w:numPr>
          <w:ilvl w:val="1"/>
          <w:numId w:val="18"/>
        </w:numPr>
        <w:contextualSpacing w:val="0"/>
        <w:rPr>
          <w:rFonts w:cs="Arial"/>
        </w:rPr>
      </w:pPr>
      <w:r>
        <w:rPr>
          <w:rFonts w:cs="Arial"/>
        </w:rPr>
        <w:t xml:space="preserve">six weeks for submission of data (see </w:t>
      </w:r>
      <w:r w:rsidR="006C17EA">
        <w:rPr>
          <w:rFonts w:cs="Arial"/>
        </w:rPr>
        <w:t xml:space="preserve">the Cycles Table </w:t>
      </w:r>
      <w:r w:rsidR="00B7359D">
        <w:rPr>
          <w:rFonts w:cs="Arial"/>
        </w:rPr>
        <w:t>below</w:t>
      </w:r>
      <w:r w:rsidR="006C17EA">
        <w:rPr>
          <w:rFonts w:cs="Arial"/>
        </w:rPr>
        <w:t>,</w:t>
      </w:r>
      <w:r w:rsidR="00B7359D">
        <w:rPr>
          <w:rFonts w:cs="Arial"/>
        </w:rPr>
        <w:t xml:space="preserve"> </w:t>
      </w:r>
      <w:r w:rsidR="006C17EA">
        <w:rPr>
          <w:rFonts w:cs="Arial"/>
        </w:rPr>
        <w:t xml:space="preserve">and </w:t>
      </w:r>
      <w:r w:rsidR="00942A8F">
        <w:rPr>
          <w:rFonts w:cs="Arial"/>
        </w:rPr>
        <w:t xml:space="preserve">details under the </w:t>
      </w:r>
      <w:r>
        <w:rPr>
          <w:rFonts w:cs="Arial"/>
        </w:rPr>
        <w:t xml:space="preserve">heading </w:t>
      </w:r>
      <w:r w:rsidRPr="000B186E">
        <w:rPr>
          <w:rFonts w:cs="Arial"/>
          <w:b/>
        </w:rPr>
        <w:t>Submission</w:t>
      </w:r>
      <w:r>
        <w:rPr>
          <w:rFonts w:cs="Arial"/>
        </w:rPr>
        <w:t xml:space="preserve"> for exact dates)</w:t>
      </w:r>
      <w:r w:rsidR="00660635">
        <w:rPr>
          <w:rFonts w:cs="Arial"/>
        </w:rPr>
        <w:t xml:space="preserve">; </w:t>
      </w:r>
    </w:p>
    <w:p w14:paraId="55CF9406" w14:textId="77777777" w:rsidR="006738D2" w:rsidRDefault="006738D2" w:rsidP="00B93854">
      <w:pPr>
        <w:pStyle w:val="ListParagraph"/>
        <w:numPr>
          <w:ilvl w:val="1"/>
          <w:numId w:val="18"/>
        </w:numPr>
        <w:contextualSpacing w:val="0"/>
        <w:rPr>
          <w:rFonts w:cs="Arial"/>
        </w:rPr>
      </w:pPr>
      <w:r>
        <w:rPr>
          <w:rFonts w:cs="Arial"/>
        </w:rPr>
        <w:t>calculations and preparation of the relevant legal instrument</w:t>
      </w:r>
      <w:r w:rsidR="00457B33">
        <w:rPr>
          <w:rFonts w:cs="Arial"/>
        </w:rPr>
        <w:t>s</w:t>
      </w:r>
      <w:r w:rsidR="0030524A">
        <w:rPr>
          <w:rFonts w:cs="Arial"/>
        </w:rPr>
        <w:t xml:space="preserve"> (see below under </w:t>
      </w:r>
      <w:r w:rsidR="00D23059">
        <w:rPr>
          <w:rFonts w:cs="Arial"/>
        </w:rPr>
        <w:t xml:space="preserve">the heading </w:t>
      </w:r>
      <w:r w:rsidR="0030524A" w:rsidRPr="000B186E">
        <w:rPr>
          <w:rFonts w:cs="Arial"/>
          <w:b/>
        </w:rPr>
        <w:t>Calculations</w:t>
      </w:r>
      <w:r w:rsidR="0030524A">
        <w:rPr>
          <w:rFonts w:cs="Arial"/>
        </w:rPr>
        <w:t xml:space="preserve"> for </w:t>
      </w:r>
      <w:r w:rsidR="00942A8F">
        <w:rPr>
          <w:rFonts w:cs="Arial"/>
        </w:rPr>
        <w:t>details</w:t>
      </w:r>
      <w:r w:rsidR="0030524A">
        <w:rPr>
          <w:rFonts w:cs="Arial"/>
        </w:rPr>
        <w:t xml:space="preserve"> of the </w:t>
      </w:r>
      <w:r w:rsidR="00D23059">
        <w:rPr>
          <w:rFonts w:cs="Arial"/>
        </w:rPr>
        <w:t xml:space="preserve">calculation </w:t>
      </w:r>
      <w:r w:rsidR="0030524A">
        <w:rPr>
          <w:rFonts w:cs="Arial"/>
        </w:rPr>
        <w:t>method)</w:t>
      </w:r>
      <w:r w:rsidR="00660635">
        <w:rPr>
          <w:rFonts w:cs="Arial"/>
        </w:rPr>
        <w:t xml:space="preserve">; </w:t>
      </w:r>
    </w:p>
    <w:p w14:paraId="176E83F2" w14:textId="77777777" w:rsidR="006738D2" w:rsidRDefault="006738D2" w:rsidP="00B93854">
      <w:pPr>
        <w:pStyle w:val="ListParagraph"/>
        <w:numPr>
          <w:ilvl w:val="1"/>
          <w:numId w:val="18"/>
        </w:numPr>
        <w:contextualSpacing w:val="0"/>
        <w:rPr>
          <w:rFonts w:cs="Arial"/>
        </w:rPr>
      </w:pPr>
      <w:r>
        <w:rPr>
          <w:rFonts w:cs="Arial"/>
        </w:rPr>
        <w:t>notification of outcomes for a cycle, which is intended to occur at least three months in advance of reduction day</w:t>
      </w:r>
      <w:r w:rsidR="00D23059">
        <w:rPr>
          <w:rFonts w:cs="Arial"/>
        </w:rPr>
        <w:t xml:space="preserve"> (see below under the heading </w:t>
      </w:r>
      <w:r w:rsidR="00D23059" w:rsidRPr="000B186E">
        <w:rPr>
          <w:rFonts w:cs="Arial"/>
          <w:b/>
        </w:rPr>
        <w:t>Notification of Outcomes</w:t>
      </w:r>
      <w:r w:rsidR="00942A8F" w:rsidRPr="00942A8F">
        <w:rPr>
          <w:rFonts w:cs="Arial"/>
        </w:rPr>
        <w:t xml:space="preserve"> for details</w:t>
      </w:r>
      <w:r w:rsidR="00D23059">
        <w:rPr>
          <w:rFonts w:cs="Arial"/>
        </w:rPr>
        <w:t>)</w:t>
      </w:r>
      <w:r w:rsidR="00660635">
        <w:rPr>
          <w:rFonts w:cs="Arial"/>
        </w:rPr>
        <w:t xml:space="preserve">; </w:t>
      </w:r>
    </w:p>
    <w:p w14:paraId="05C8A59F" w14:textId="77777777" w:rsidR="006738D2" w:rsidRDefault="006738D2" w:rsidP="00B93854">
      <w:pPr>
        <w:pStyle w:val="ListParagraph"/>
        <w:numPr>
          <w:ilvl w:val="1"/>
          <w:numId w:val="18"/>
        </w:numPr>
        <w:contextualSpacing w:val="0"/>
        <w:rPr>
          <w:rFonts w:cs="Arial"/>
        </w:rPr>
      </w:pPr>
      <w:r>
        <w:rPr>
          <w:rFonts w:cs="Arial"/>
        </w:rPr>
        <w:t>a period for administrative dispute resolution</w:t>
      </w:r>
      <w:r w:rsidR="00D23059">
        <w:rPr>
          <w:rFonts w:cs="Arial"/>
        </w:rPr>
        <w:t xml:space="preserve"> (see below under the heading </w:t>
      </w:r>
      <w:r w:rsidR="00D23059" w:rsidRPr="000B186E">
        <w:rPr>
          <w:rFonts w:cs="Arial"/>
          <w:b/>
        </w:rPr>
        <w:t>Administrative Dispute Resolution</w:t>
      </w:r>
      <w:r w:rsidR="00942A8F" w:rsidRPr="00942A8F">
        <w:rPr>
          <w:rFonts w:cs="Arial"/>
        </w:rPr>
        <w:t xml:space="preserve"> for details</w:t>
      </w:r>
      <w:r w:rsidR="00D23059">
        <w:rPr>
          <w:rFonts w:cs="Arial"/>
        </w:rPr>
        <w:t>)</w:t>
      </w:r>
      <w:r w:rsidR="00660635">
        <w:rPr>
          <w:rFonts w:cs="Arial"/>
        </w:rPr>
        <w:t xml:space="preserve">; </w:t>
      </w:r>
    </w:p>
    <w:p w14:paraId="7D867BE8" w14:textId="77777777" w:rsidR="003D1CEB" w:rsidRPr="00E06334" w:rsidRDefault="003D1CEB" w:rsidP="00B93854">
      <w:pPr>
        <w:pStyle w:val="ListParagraph"/>
        <w:numPr>
          <w:ilvl w:val="1"/>
          <w:numId w:val="18"/>
        </w:numPr>
        <w:contextualSpacing w:val="0"/>
        <w:rPr>
          <w:rFonts w:cs="Arial"/>
        </w:rPr>
      </w:pPr>
      <w:r w:rsidRPr="00E06334">
        <w:rPr>
          <w:rFonts w:cs="Arial"/>
        </w:rPr>
        <w:t>publication processes</w:t>
      </w:r>
      <w:r w:rsidR="00E06334">
        <w:rPr>
          <w:rFonts w:cs="Arial"/>
        </w:rPr>
        <w:t>.</w:t>
      </w:r>
      <w:r w:rsidRPr="00E06334">
        <w:rPr>
          <w:rFonts w:cs="Arial"/>
        </w:rPr>
        <w:t xml:space="preserve"> </w:t>
      </w:r>
    </w:p>
    <w:p w14:paraId="2B4C677F" w14:textId="77777777" w:rsidR="00E06334" w:rsidRPr="000B186E" w:rsidRDefault="00E06334" w:rsidP="000379B0">
      <w:pPr>
        <w:pStyle w:val="Heading3"/>
      </w:pPr>
      <w:bookmarkStart w:id="34" w:name="_Toc454283960"/>
      <w:r w:rsidRPr="000B186E">
        <w:t>Reduction Day</w:t>
      </w:r>
      <w:bookmarkEnd w:id="34"/>
    </w:p>
    <w:p w14:paraId="2D2B427D" w14:textId="77777777" w:rsidR="003D7357" w:rsidRPr="00E4318C" w:rsidRDefault="003D1CEB" w:rsidP="00F97297">
      <w:pPr>
        <w:pStyle w:val="ListParagraph"/>
        <w:numPr>
          <w:ilvl w:val="0"/>
          <w:numId w:val="24"/>
        </w:numPr>
        <w:ind w:left="714" w:hanging="357"/>
        <w:contextualSpacing w:val="0"/>
        <w:rPr>
          <w:rFonts w:cs="Arial"/>
        </w:rPr>
      </w:pPr>
      <w:r w:rsidRPr="00E4318C">
        <w:rPr>
          <w:rFonts w:cs="Arial"/>
        </w:rPr>
        <w:t>It is expected that each cycle have only one reduction day</w:t>
      </w:r>
      <w:r w:rsidR="00AE300D" w:rsidRPr="00E4318C">
        <w:rPr>
          <w:rFonts w:cs="Arial"/>
        </w:rPr>
        <w:t xml:space="preserve"> (1 April </w:t>
      </w:r>
      <w:r w:rsidR="00457B33">
        <w:rPr>
          <w:rFonts w:cs="Arial"/>
        </w:rPr>
        <w:t>and</w:t>
      </w:r>
      <w:r w:rsidR="00E06334" w:rsidRPr="00E4318C">
        <w:rPr>
          <w:rFonts w:cs="Arial"/>
        </w:rPr>
        <w:t xml:space="preserve"> 1 October</w:t>
      </w:r>
      <w:r w:rsidR="00457B33">
        <w:rPr>
          <w:rFonts w:cs="Arial"/>
        </w:rPr>
        <w:t xml:space="preserve"> each year</w:t>
      </w:r>
      <w:r w:rsidR="00E06334" w:rsidRPr="00E4318C">
        <w:rPr>
          <w:rFonts w:cs="Arial"/>
        </w:rPr>
        <w:t>)</w:t>
      </w:r>
      <w:r w:rsidR="00A776EE">
        <w:rPr>
          <w:rFonts w:cs="Arial"/>
        </w:rPr>
        <w:t xml:space="preserve">. </w:t>
      </w:r>
      <w:r w:rsidR="00AE300D" w:rsidRPr="00E4318C">
        <w:rPr>
          <w:rFonts w:cs="Arial"/>
        </w:rPr>
        <w:t>However,</w:t>
      </w:r>
      <w:r w:rsidR="00E4318C" w:rsidRPr="00E4318C">
        <w:rPr>
          <w:rFonts w:cs="Arial"/>
        </w:rPr>
        <w:t xml:space="preserve"> </w:t>
      </w:r>
      <w:r w:rsidRPr="00E4318C">
        <w:rPr>
          <w:rFonts w:cs="Arial"/>
        </w:rPr>
        <w:t xml:space="preserve">there is potential for reductions to occur </w:t>
      </w:r>
      <w:r w:rsidR="00457B33">
        <w:rPr>
          <w:rFonts w:cs="Arial"/>
        </w:rPr>
        <w:t xml:space="preserve">on different reduction days </w:t>
      </w:r>
      <w:r w:rsidR="00E4318C" w:rsidRPr="00E4318C">
        <w:rPr>
          <w:rFonts w:cs="Arial"/>
        </w:rPr>
        <w:t xml:space="preserve">for a cycle </w:t>
      </w:r>
      <w:r w:rsidRPr="00E4318C">
        <w:rPr>
          <w:rFonts w:cs="Arial"/>
        </w:rPr>
        <w:t>if necessary</w:t>
      </w:r>
      <w:r w:rsidR="00E4318C" w:rsidRPr="00E4318C">
        <w:rPr>
          <w:rFonts w:cs="Arial"/>
        </w:rPr>
        <w:t xml:space="preserve"> (the Regulations prescribe 1</w:t>
      </w:r>
      <w:r w:rsidR="00E65801">
        <w:rPr>
          <w:rFonts w:cs="Arial"/>
        </w:rPr>
        <w:t> </w:t>
      </w:r>
      <w:r w:rsidR="00E4318C" w:rsidRPr="00E4318C">
        <w:rPr>
          <w:rFonts w:cs="Arial"/>
        </w:rPr>
        <w:t>August and 1</w:t>
      </w:r>
      <w:r w:rsidR="00E65801">
        <w:rPr>
          <w:rFonts w:cs="Arial"/>
        </w:rPr>
        <w:t> </w:t>
      </w:r>
      <w:r w:rsidR="00E4318C" w:rsidRPr="00E4318C">
        <w:rPr>
          <w:rFonts w:cs="Arial"/>
        </w:rPr>
        <w:t xml:space="preserve">December as </w:t>
      </w:r>
      <w:r w:rsidR="00E4318C">
        <w:rPr>
          <w:rFonts w:cs="Arial"/>
        </w:rPr>
        <w:t xml:space="preserve">additional </w:t>
      </w:r>
      <w:r w:rsidR="00E4318C" w:rsidRPr="00E4318C">
        <w:rPr>
          <w:rFonts w:cs="Arial"/>
        </w:rPr>
        <w:t>reduction days</w:t>
      </w:r>
      <w:r w:rsidR="00942A8F">
        <w:rPr>
          <w:rFonts w:cs="Arial"/>
        </w:rPr>
        <w:t xml:space="preserve"> in case it becomes necessary to use either of these instead of the usual reduction day - e.g. delay associated with legal proceedings).</w:t>
      </w:r>
    </w:p>
    <w:p w14:paraId="6FA27698" w14:textId="77777777" w:rsidR="001764A1" w:rsidRPr="00BB64A2" w:rsidRDefault="00390F55" w:rsidP="009F4642">
      <w:pPr>
        <w:pStyle w:val="ListParagraph"/>
        <w:numPr>
          <w:ilvl w:val="0"/>
          <w:numId w:val="24"/>
        </w:numPr>
        <w:ind w:left="714" w:hanging="357"/>
        <w:contextualSpacing w:val="0"/>
        <w:rPr>
          <w:rFonts w:cs="Arial"/>
        </w:rPr>
      </w:pPr>
      <w:r w:rsidRPr="00BB64A2">
        <w:rPr>
          <w:rFonts w:cs="Arial"/>
        </w:rPr>
        <w:lastRenderedPageBreak/>
        <w:t>Once a brand</w:t>
      </w:r>
      <w:r w:rsidR="001764A1" w:rsidRPr="00BB64A2">
        <w:rPr>
          <w:rFonts w:cs="Arial"/>
        </w:rPr>
        <w:t xml:space="preserve"> finishes its first disclosure cycle it </w:t>
      </w:r>
      <w:r w:rsidRPr="00BB64A2">
        <w:rPr>
          <w:rFonts w:cs="Arial"/>
        </w:rPr>
        <w:t xml:space="preserve">continues in rolling cycles, being subject to </w:t>
      </w:r>
      <w:r w:rsidR="001764A1" w:rsidRPr="00BB64A2">
        <w:rPr>
          <w:rFonts w:cs="Arial"/>
        </w:rPr>
        <w:t xml:space="preserve">potential reductions every six months thereafter. </w:t>
      </w:r>
      <w:r w:rsidRPr="00BB64A2">
        <w:rPr>
          <w:rFonts w:cs="Arial"/>
        </w:rPr>
        <w:t>A diagram explaining the ongoing nature of</w:t>
      </w:r>
      <w:r w:rsidR="003D7357" w:rsidRPr="00BB64A2">
        <w:rPr>
          <w:rFonts w:cs="Arial"/>
        </w:rPr>
        <w:t xml:space="preserve"> </w:t>
      </w:r>
      <w:r w:rsidRPr="00BB64A2">
        <w:rPr>
          <w:rFonts w:cs="Arial"/>
        </w:rPr>
        <w:t>cycle</w:t>
      </w:r>
      <w:r w:rsidR="003D7357" w:rsidRPr="00BB64A2">
        <w:rPr>
          <w:rFonts w:cs="Arial"/>
        </w:rPr>
        <w:t>s</w:t>
      </w:r>
      <w:r w:rsidRPr="00BB64A2">
        <w:rPr>
          <w:rFonts w:cs="Arial"/>
        </w:rPr>
        <w:t xml:space="preserve"> is </w:t>
      </w:r>
      <w:r w:rsidR="00E65801" w:rsidRPr="00BB64A2">
        <w:rPr>
          <w:rFonts w:cs="Arial"/>
        </w:rPr>
        <w:t xml:space="preserve">in the presentation slides for the </w:t>
      </w:r>
      <w:r w:rsidR="00457B33" w:rsidRPr="00BB64A2">
        <w:rPr>
          <w:rFonts w:cs="Arial"/>
        </w:rPr>
        <w:t xml:space="preserve">SPD </w:t>
      </w:r>
      <w:r w:rsidR="00E65801" w:rsidRPr="00BB64A2">
        <w:rPr>
          <w:rFonts w:cs="Arial"/>
        </w:rPr>
        <w:t>stakeholder information sessions</w:t>
      </w:r>
      <w:r w:rsidR="00BD77A2" w:rsidRPr="00BB64A2">
        <w:rPr>
          <w:rFonts w:cs="Arial"/>
        </w:rPr>
        <w:t xml:space="preserve"> </w:t>
      </w:r>
      <w:r w:rsidRPr="00BB64A2">
        <w:rPr>
          <w:rFonts w:cs="Arial"/>
        </w:rPr>
        <w:t>at</w:t>
      </w:r>
      <w:r w:rsidR="003D7357" w:rsidRPr="00BB64A2">
        <w:rPr>
          <w:rFonts w:cs="Arial"/>
        </w:rPr>
        <w:t xml:space="preserve">: </w:t>
      </w:r>
      <w:hyperlink r:id="rId24" w:history="1">
        <w:r w:rsidR="00B02706" w:rsidRPr="00760AF6">
          <w:rPr>
            <w:rStyle w:val="Hyperlink"/>
          </w:rPr>
          <w:t>http://www.pbs.gov.au/industry/pricing/price-disclosure-spd/spd-presentation-slides-6-12-2013.pdf</w:t>
        </w:r>
      </w:hyperlink>
    </w:p>
    <w:p w14:paraId="46ACA678" w14:textId="77777777" w:rsidR="00996709" w:rsidRPr="000B186E" w:rsidRDefault="00996709" w:rsidP="00996709">
      <w:pPr>
        <w:pStyle w:val="Heading3"/>
        <w:spacing w:before="120"/>
      </w:pPr>
      <w:bookmarkStart w:id="35" w:name="_Toc454283961"/>
      <w:r w:rsidRPr="000B186E">
        <w:t>Length of First Cycles</w:t>
      </w:r>
      <w:bookmarkEnd w:id="35"/>
    </w:p>
    <w:p w14:paraId="687B302B" w14:textId="77777777" w:rsidR="00996709" w:rsidRPr="000B186E" w:rsidRDefault="00996709" w:rsidP="00F97297">
      <w:pPr>
        <w:pStyle w:val="ListParagraph"/>
        <w:numPr>
          <w:ilvl w:val="0"/>
          <w:numId w:val="24"/>
        </w:numPr>
        <w:ind w:left="714" w:hanging="357"/>
        <w:contextualSpacing w:val="0"/>
        <w:rPr>
          <w:rFonts w:cs="Arial"/>
        </w:rPr>
      </w:pPr>
      <w:r>
        <w:rPr>
          <w:rFonts w:cs="Arial"/>
        </w:rPr>
        <w:t>Drug/MoAs may become subject to price disclosure on any month</w:t>
      </w:r>
      <w:r w:rsidR="00377F36">
        <w:rPr>
          <w:rFonts w:cs="Arial"/>
        </w:rPr>
        <w:t>,</w:t>
      </w:r>
      <w:r>
        <w:rPr>
          <w:rFonts w:cs="Arial"/>
        </w:rPr>
        <w:t xml:space="preserve"> </w:t>
      </w:r>
      <w:r w:rsidR="00377F36">
        <w:rPr>
          <w:rFonts w:cs="Arial"/>
        </w:rPr>
        <w:t>h</w:t>
      </w:r>
      <w:r>
        <w:rPr>
          <w:rFonts w:cs="Arial"/>
        </w:rPr>
        <w:t>owever, there will be a data collection period</w:t>
      </w:r>
      <w:r w:rsidR="00B02706">
        <w:rPr>
          <w:rFonts w:cs="Arial"/>
        </w:rPr>
        <w:t xml:space="preserve"> of at least six months</w:t>
      </w:r>
      <w:r>
        <w:rPr>
          <w:rFonts w:cs="Arial"/>
        </w:rPr>
        <w:t xml:space="preserve"> </w:t>
      </w:r>
      <w:r w:rsidR="00B02706">
        <w:rPr>
          <w:rFonts w:cs="Arial"/>
        </w:rPr>
        <w:t xml:space="preserve">for </w:t>
      </w:r>
      <w:r>
        <w:rPr>
          <w:rFonts w:cs="Arial"/>
        </w:rPr>
        <w:t>a drug/MoA. As a result, a first price disclosure cycle can be up to 17 months long (</w:t>
      </w:r>
      <w:r w:rsidR="00942A8F">
        <w:rPr>
          <w:rFonts w:cs="Arial"/>
        </w:rPr>
        <w:t>i</w:t>
      </w:r>
      <w:r w:rsidR="00377F36">
        <w:rPr>
          <w:rFonts w:cs="Arial"/>
        </w:rPr>
        <w:t>.</w:t>
      </w:r>
      <w:r w:rsidR="00942A8F">
        <w:rPr>
          <w:rFonts w:cs="Arial"/>
        </w:rPr>
        <w:t>e</w:t>
      </w:r>
      <w:r w:rsidR="00377F36">
        <w:rPr>
          <w:rFonts w:cs="Arial"/>
        </w:rPr>
        <w:t>.,</w:t>
      </w:r>
      <w:r w:rsidR="00942A8F">
        <w:rPr>
          <w:rFonts w:cs="Arial"/>
        </w:rPr>
        <w:t xml:space="preserve"> up to </w:t>
      </w:r>
      <w:r>
        <w:rPr>
          <w:rFonts w:cs="Arial"/>
        </w:rPr>
        <w:t>11 months of data collection plus six months processing).</w:t>
      </w:r>
      <w:r w:rsidR="00942A8F">
        <w:rPr>
          <w:rFonts w:cs="Arial"/>
        </w:rPr>
        <w:t xml:space="preserve"> Information about the first data collection period</w:t>
      </w:r>
      <w:r w:rsidR="00942A8F" w:rsidRPr="005C1BFA">
        <w:rPr>
          <w:rFonts w:cs="Arial"/>
        </w:rPr>
        <w:t xml:space="preserve"> </w:t>
      </w:r>
      <w:r w:rsidR="00942A8F">
        <w:rPr>
          <w:rFonts w:cs="Arial"/>
        </w:rPr>
        <w:t xml:space="preserve">is provided under the </w:t>
      </w:r>
      <w:r w:rsidR="00942A8F" w:rsidRPr="00F3381A">
        <w:rPr>
          <w:rFonts w:cs="Arial"/>
          <w:b/>
        </w:rPr>
        <w:t>Collection</w:t>
      </w:r>
      <w:r w:rsidR="00942A8F">
        <w:rPr>
          <w:rFonts w:cs="Arial"/>
        </w:rPr>
        <w:t xml:space="preserve"> heading below.</w:t>
      </w:r>
    </w:p>
    <w:p w14:paraId="58F3D502" w14:textId="77777777" w:rsidR="001764A1" w:rsidRPr="00386CF4" w:rsidRDefault="007E469F" w:rsidP="00925E92">
      <w:pPr>
        <w:pStyle w:val="Heading3"/>
        <w:spacing w:before="120"/>
      </w:pPr>
      <w:bookmarkStart w:id="36" w:name="_Toc454283962"/>
      <w:r>
        <w:t xml:space="preserve">Allocation to </w:t>
      </w:r>
      <w:r w:rsidR="0030524A">
        <w:t xml:space="preserve">First </w:t>
      </w:r>
      <w:r>
        <w:t>Cycle</w:t>
      </w:r>
      <w:r w:rsidR="0030524A">
        <w:t xml:space="preserve"> </w:t>
      </w:r>
      <w:r w:rsidR="000527A5">
        <w:t xml:space="preserve">- </w:t>
      </w:r>
      <w:r w:rsidR="001764A1">
        <w:t xml:space="preserve">Brands </w:t>
      </w:r>
      <w:r w:rsidR="000527A5">
        <w:t>becoming s</w:t>
      </w:r>
      <w:r w:rsidR="00245911">
        <w:t xml:space="preserve">ubject to </w:t>
      </w:r>
      <w:r w:rsidR="000527A5">
        <w:t>p</w:t>
      </w:r>
      <w:r w:rsidR="00245911">
        <w:t xml:space="preserve">rice </w:t>
      </w:r>
      <w:r w:rsidR="000527A5">
        <w:t>disclosure</w:t>
      </w:r>
      <w:r w:rsidR="001764A1">
        <w:t xml:space="preserve"> between 2</w:t>
      </w:r>
      <w:r w:rsidR="000527A5">
        <w:t> </w:t>
      </w:r>
      <w:r w:rsidR="001764A1">
        <w:t>April and 1</w:t>
      </w:r>
      <w:r w:rsidR="000527A5">
        <w:t> </w:t>
      </w:r>
      <w:r w:rsidR="001764A1">
        <w:t>October</w:t>
      </w:r>
      <w:r w:rsidR="001764A1" w:rsidRPr="00386CF4">
        <w:t xml:space="preserve"> </w:t>
      </w:r>
      <w:r w:rsidR="000527A5">
        <w:t>each year</w:t>
      </w:r>
      <w:bookmarkEnd w:id="36"/>
    </w:p>
    <w:p w14:paraId="1D3FA371" w14:textId="77777777" w:rsidR="00462434" w:rsidRDefault="008F27A3" w:rsidP="00F97297">
      <w:pPr>
        <w:pStyle w:val="ListParagraph"/>
        <w:numPr>
          <w:ilvl w:val="0"/>
          <w:numId w:val="24"/>
        </w:numPr>
        <w:ind w:left="714" w:hanging="357"/>
        <w:contextualSpacing w:val="0"/>
        <w:rPr>
          <w:rFonts w:cs="Arial"/>
        </w:rPr>
      </w:pPr>
      <w:r>
        <w:rPr>
          <w:rFonts w:cs="Arial"/>
        </w:rPr>
        <w:t xml:space="preserve">Any brand of a drug/MoA that </w:t>
      </w:r>
      <w:r w:rsidR="001764A1">
        <w:rPr>
          <w:rFonts w:cs="Arial"/>
        </w:rPr>
        <w:t>becomes su</w:t>
      </w:r>
      <w:r>
        <w:rPr>
          <w:rFonts w:cs="Arial"/>
        </w:rPr>
        <w:t>bject to price disclosure (</w:t>
      </w:r>
      <w:r w:rsidR="00E03B52">
        <w:rPr>
          <w:rFonts w:cs="Arial"/>
        </w:rPr>
        <w:t>i.e.,</w:t>
      </w:r>
      <w:r>
        <w:rPr>
          <w:rFonts w:cs="Arial"/>
        </w:rPr>
        <w:t xml:space="preserve"> </w:t>
      </w:r>
      <w:r w:rsidR="001764A1">
        <w:rPr>
          <w:rFonts w:cs="Arial"/>
        </w:rPr>
        <w:t>moves to F2</w:t>
      </w:r>
      <w:r w:rsidR="000527A5">
        <w:rPr>
          <w:rFonts w:cs="Arial"/>
        </w:rPr>
        <w:t>)</w:t>
      </w:r>
      <w:r w:rsidR="001764A1">
        <w:rPr>
          <w:rFonts w:cs="Arial"/>
        </w:rPr>
        <w:t xml:space="preserve"> </w:t>
      </w:r>
      <w:r w:rsidR="001764A1" w:rsidRPr="00332E8F">
        <w:rPr>
          <w:rFonts w:cs="Arial"/>
          <w:b/>
        </w:rPr>
        <w:t>between 2 April and 1 October</w:t>
      </w:r>
      <w:r w:rsidR="001764A1">
        <w:rPr>
          <w:rFonts w:cs="Arial"/>
        </w:rPr>
        <w:t xml:space="preserve"> </w:t>
      </w:r>
      <w:r w:rsidR="000527A5">
        <w:rPr>
          <w:rFonts w:cs="Arial"/>
        </w:rPr>
        <w:t xml:space="preserve">each year </w:t>
      </w:r>
      <w:r w:rsidR="001764A1">
        <w:rPr>
          <w:rFonts w:cs="Arial"/>
        </w:rPr>
        <w:t xml:space="preserve">will </w:t>
      </w:r>
      <w:r w:rsidR="000527A5">
        <w:rPr>
          <w:rFonts w:cs="Arial"/>
        </w:rPr>
        <w:t xml:space="preserve">be in a cycle with </w:t>
      </w:r>
      <w:r w:rsidR="001764A1">
        <w:rPr>
          <w:rFonts w:cs="Arial"/>
        </w:rPr>
        <w:t xml:space="preserve">its </w:t>
      </w:r>
      <w:r w:rsidR="001764A1" w:rsidRPr="00332E8F">
        <w:rPr>
          <w:rFonts w:cs="Arial"/>
          <w:i/>
        </w:rPr>
        <w:t>first</w:t>
      </w:r>
      <w:r w:rsidR="001764A1">
        <w:rPr>
          <w:rFonts w:cs="Arial"/>
        </w:rPr>
        <w:t xml:space="preserve"> data collection period end</w:t>
      </w:r>
      <w:r w:rsidR="000527A5">
        <w:rPr>
          <w:rFonts w:cs="Arial"/>
        </w:rPr>
        <w:t>ing</w:t>
      </w:r>
      <w:r w:rsidR="001764A1">
        <w:rPr>
          <w:rFonts w:cs="Arial"/>
        </w:rPr>
        <w:t xml:space="preserve"> on the next 31 March</w:t>
      </w:r>
      <w:r w:rsidR="0030524A">
        <w:rPr>
          <w:rFonts w:cs="Arial"/>
        </w:rPr>
        <w:t xml:space="preserve">. </w:t>
      </w:r>
      <w:r w:rsidR="0062047E">
        <w:rPr>
          <w:rFonts w:cs="Arial"/>
        </w:rPr>
        <w:t>Its</w:t>
      </w:r>
      <w:r w:rsidR="001764A1">
        <w:rPr>
          <w:rFonts w:cs="Arial"/>
        </w:rPr>
        <w:t xml:space="preserve"> first potential reduction day </w:t>
      </w:r>
      <w:r w:rsidR="0030524A">
        <w:rPr>
          <w:rFonts w:cs="Arial"/>
        </w:rPr>
        <w:t>is</w:t>
      </w:r>
      <w:r w:rsidR="001764A1">
        <w:rPr>
          <w:rFonts w:cs="Arial"/>
        </w:rPr>
        <w:t xml:space="preserve"> 1</w:t>
      </w:r>
      <w:r w:rsidR="0030524A">
        <w:rPr>
          <w:rFonts w:cs="Arial"/>
        </w:rPr>
        <w:t> </w:t>
      </w:r>
      <w:r w:rsidR="001764A1" w:rsidRPr="00332E8F">
        <w:rPr>
          <w:rFonts w:cs="Arial"/>
        </w:rPr>
        <w:t>October</w:t>
      </w:r>
      <w:r>
        <w:rPr>
          <w:rFonts w:cs="Arial"/>
        </w:rPr>
        <w:t xml:space="preserve"> </w:t>
      </w:r>
      <w:r w:rsidR="0030524A">
        <w:rPr>
          <w:rFonts w:cs="Arial"/>
        </w:rPr>
        <w:t xml:space="preserve">of </w:t>
      </w:r>
      <w:r w:rsidR="00A4624A">
        <w:rPr>
          <w:rFonts w:cs="Arial"/>
        </w:rPr>
        <w:t>the year during which the data collection period finishes.</w:t>
      </w:r>
      <w:r>
        <w:rPr>
          <w:rFonts w:cs="Arial"/>
        </w:rPr>
        <w:t xml:space="preserve">  </w:t>
      </w:r>
    </w:p>
    <w:p w14:paraId="2D6DE73D" w14:textId="77777777" w:rsidR="001764A1" w:rsidRDefault="000A7989" w:rsidP="00F97297">
      <w:pPr>
        <w:pStyle w:val="ListParagraph"/>
        <w:numPr>
          <w:ilvl w:val="0"/>
          <w:numId w:val="24"/>
        </w:numPr>
        <w:ind w:left="714" w:hanging="357"/>
        <w:contextualSpacing w:val="0"/>
        <w:rPr>
          <w:rFonts w:cs="Arial"/>
        </w:rPr>
      </w:pPr>
      <w:r>
        <w:rPr>
          <w:rFonts w:cs="Arial"/>
        </w:rPr>
        <w:t xml:space="preserve">Information about </w:t>
      </w:r>
      <w:r w:rsidR="007E469F">
        <w:rPr>
          <w:rFonts w:cs="Arial"/>
        </w:rPr>
        <w:t xml:space="preserve">collection and </w:t>
      </w:r>
      <w:r w:rsidR="00462434">
        <w:rPr>
          <w:rFonts w:cs="Arial"/>
        </w:rPr>
        <w:t xml:space="preserve">submissions of data for the first </w:t>
      </w:r>
      <w:r>
        <w:rPr>
          <w:rFonts w:cs="Arial"/>
        </w:rPr>
        <w:t>cycle</w:t>
      </w:r>
      <w:r w:rsidR="00462434">
        <w:rPr>
          <w:rFonts w:cs="Arial"/>
        </w:rPr>
        <w:t xml:space="preserve"> </w:t>
      </w:r>
      <w:r>
        <w:rPr>
          <w:rFonts w:cs="Arial"/>
        </w:rPr>
        <w:t xml:space="preserve">is </w:t>
      </w:r>
      <w:r w:rsidR="00462434">
        <w:rPr>
          <w:rFonts w:cs="Arial"/>
        </w:rPr>
        <w:t>provided</w:t>
      </w:r>
      <w:r w:rsidR="007E469F">
        <w:rPr>
          <w:rFonts w:cs="Arial"/>
        </w:rPr>
        <w:t xml:space="preserve"> under the </w:t>
      </w:r>
      <w:r w:rsidR="007E469F" w:rsidRPr="000B186E">
        <w:rPr>
          <w:rFonts w:cs="Arial"/>
          <w:b/>
        </w:rPr>
        <w:t>Collection</w:t>
      </w:r>
      <w:r w:rsidR="007E469F">
        <w:rPr>
          <w:rFonts w:cs="Arial"/>
        </w:rPr>
        <w:t xml:space="preserve"> and </w:t>
      </w:r>
      <w:r w:rsidR="007E469F" w:rsidRPr="000B186E">
        <w:rPr>
          <w:rFonts w:cs="Arial"/>
          <w:b/>
        </w:rPr>
        <w:t>Submission</w:t>
      </w:r>
      <w:r w:rsidR="007E469F">
        <w:rPr>
          <w:rFonts w:cs="Arial"/>
        </w:rPr>
        <w:t xml:space="preserve"> headings </w:t>
      </w:r>
      <w:r w:rsidR="0030524A">
        <w:rPr>
          <w:rFonts w:cs="Arial"/>
        </w:rPr>
        <w:t>below</w:t>
      </w:r>
      <w:r w:rsidR="00462434">
        <w:rPr>
          <w:rFonts w:cs="Arial"/>
        </w:rPr>
        <w:t xml:space="preserve">. </w:t>
      </w:r>
    </w:p>
    <w:p w14:paraId="6C4CEA0C" w14:textId="77777777" w:rsidR="001764A1" w:rsidRPr="00D23902" w:rsidRDefault="007E469F" w:rsidP="00925E92">
      <w:pPr>
        <w:pStyle w:val="Heading3"/>
        <w:spacing w:before="120"/>
      </w:pPr>
      <w:bookmarkStart w:id="37" w:name="_Toc454283963"/>
      <w:r>
        <w:t xml:space="preserve">Allocation to </w:t>
      </w:r>
      <w:r w:rsidR="0030524A">
        <w:t xml:space="preserve">First </w:t>
      </w:r>
      <w:r>
        <w:t>Cycle</w:t>
      </w:r>
      <w:r w:rsidR="000527A5">
        <w:t xml:space="preserve"> - Brands becoming subject to price disclosure between 2 October and 1 April each year</w:t>
      </w:r>
      <w:bookmarkEnd w:id="37"/>
    </w:p>
    <w:p w14:paraId="5DBBB4DC" w14:textId="77777777" w:rsidR="006C2903" w:rsidRDefault="001764A1" w:rsidP="00F97297">
      <w:pPr>
        <w:pStyle w:val="ListParagraph"/>
        <w:numPr>
          <w:ilvl w:val="0"/>
          <w:numId w:val="24"/>
        </w:numPr>
        <w:ind w:left="714" w:hanging="357"/>
        <w:contextualSpacing w:val="0"/>
        <w:rPr>
          <w:rFonts w:cs="Arial"/>
        </w:rPr>
      </w:pPr>
      <w:r>
        <w:rPr>
          <w:rFonts w:cs="Arial"/>
        </w:rPr>
        <w:t>Any brand of drug/MoA that becomes subject to price disclosure (</w:t>
      </w:r>
      <w:r w:rsidR="00E03B52">
        <w:rPr>
          <w:rFonts w:cs="Arial"/>
        </w:rPr>
        <w:t>i.e.,</w:t>
      </w:r>
      <w:r>
        <w:rPr>
          <w:rFonts w:cs="Arial"/>
        </w:rPr>
        <w:t xml:space="preserve"> moves to F2) </w:t>
      </w:r>
      <w:r w:rsidRPr="00332E8F">
        <w:rPr>
          <w:rFonts w:cs="Arial"/>
          <w:b/>
        </w:rPr>
        <w:t>between 2 October and 1 April</w:t>
      </w:r>
      <w:r>
        <w:rPr>
          <w:rFonts w:cs="Arial"/>
        </w:rPr>
        <w:t xml:space="preserve"> </w:t>
      </w:r>
      <w:r w:rsidR="006738D2">
        <w:rPr>
          <w:rFonts w:cs="Arial"/>
        </w:rPr>
        <w:t xml:space="preserve">each year will be in a cycle with its </w:t>
      </w:r>
      <w:r w:rsidR="006738D2" w:rsidRPr="00332E8F">
        <w:rPr>
          <w:rFonts w:cs="Arial"/>
          <w:i/>
        </w:rPr>
        <w:t>first</w:t>
      </w:r>
      <w:r w:rsidR="006738D2">
        <w:rPr>
          <w:rFonts w:cs="Arial"/>
        </w:rPr>
        <w:t xml:space="preserve"> data collection period ending on the next 30 September</w:t>
      </w:r>
      <w:r w:rsidR="0030524A">
        <w:rPr>
          <w:rFonts w:cs="Arial"/>
        </w:rPr>
        <w:t xml:space="preserve">. Its </w:t>
      </w:r>
      <w:r w:rsidR="006738D2">
        <w:rPr>
          <w:rFonts w:cs="Arial"/>
        </w:rPr>
        <w:t xml:space="preserve">first potential reduction day </w:t>
      </w:r>
      <w:r w:rsidR="0030524A">
        <w:rPr>
          <w:rFonts w:cs="Arial"/>
        </w:rPr>
        <w:t>is</w:t>
      </w:r>
      <w:r w:rsidR="006738D2">
        <w:rPr>
          <w:rFonts w:cs="Arial"/>
        </w:rPr>
        <w:t xml:space="preserve"> 1 April</w:t>
      </w:r>
      <w:r w:rsidR="0030524A">
        <w:rPr>
          <w:rFonts w:cs="Arial"/>
        </w:rPr>
        <w:t xml:space="preserve"> of</w:t>
      </w:r>
      <w:r>
        <w:rPr>
          <w:rFonts w:cs="Arial"/>
        </w:rPr>
        <w:t xml:space="preserve"> the next year. </w:t>
      </w:r>
    </w:p>
    <w:p w14:paraId="05164859" w14:textId="77777777" w:rsidR="003F4CA1" w:rsidRPr="006C2903" w:rsidRDefault="000A7989" w:rsidP="00F97297">
      <w:pPr>
        <w:pStyle w:val="ListParagraph"/>
        <w:numPr>
          <w:ilvl w:val="0"/>
          <w:numId w:val="24"/>
        </w:numPr>
        <w:ind w:left="714" w:hanging="357"/>
        <w:contextualSpacing w:val="0"/>
        <w:rPr>
          <w:rFonts w:cs="Arial"/>
        </w:rPr>
      </w:pPr>
      <w:r w:rsidRPr="006C2903">
        <w:rPr>
          <w:rFonts w:cs="Arial"/>
        </w:rPr>
        <w:t xml:space="preserve">Information about collection and submissions of data for the first cycle is provided under the </w:t>
      </w:r>
      <w:r w:rsidRPr="006C2903">
        <w:rPr>
          <w:rFonts w:cs="Arial"/>
          <w:b/>
        </w:rPr>
        <w:t>Collection</w:t>
      </w:r>
      <w:r w:rsidRPr="006C2903">
        <w:rPr>
          <w:rFonts w:cs="Arial"/>
        </w:rPr>
        <w:t xml:space="preserve"> and </w:t>
      </w:r>
      <w:r w:rsidRPr="006C2903">
        <w:rPr>
          <w:rFonts w:cs="Arial"/>
          <w:b/>
        </w:rPr>
        <w:t>Submission</w:t>
      </w:r>
      <w:r w:rsidRPr="006C2903">
        <w:rPr>
          <w:rFonts w:cs="Arial"/>
        </w:rPr>
        <w:t xml:space="preserve"> headings below</w:t>
      </w:r>
      <w:r w:rsidR="00462434" w:rsidRPr="006C2903">
        <w:rPr>
          <w:rFonts w:cs="Arial"/>
        </w:rPr>
        <w:t xml:space="preserve">. </w:t>
      </w:r>
    </w:p>
    <w:p w14:paraId="42E22B70" w14:textId="77777777" w:rsidR="006738D2" w:rsidRPr="006738D2" w:rsidRDefault="006738D2" w:rsidP="00925E92">
      <w:pPr>
        <w:pStyle w:val="Heading3"/>
        <w:spacing w:before="120"/>
      </w:pPr>
      <w:bookmarkStart w:id="38" w:name="_Toc454283964"/>
      <w:r>
        <w:t>Ongoing Cycle</w:t>
      </w:r>
      <w:bookmarkEnd w:id="38"/>
    </w:p>
    <w:p w14:paraId="79A94EDC" w14:textId="77777777" w:rsidR="00190A06" w:rsidRDefault="006738D2" w:rsidP="00F97297">
      <w:pPr>
        <w:pStyle w:val="ListParagraph"/>
        <w:numPr>
          <w:ilvl w:val="0"/>
          <w:numId w:val="24"/>
        </w:numPr>
        <w:ind w:left="714" w:hanging="357"/>
        <w:contextualSpacing w:val="0"/>
        <w:rPr>
          <w:rFonts w:cs="Arial"/>
        </w:rPr>
      </w:pPr>
      <w:r w:rsidRPr="008E1A96">
        <w:rPr>
          <w:rFonts w:cs="Arial"/>
        </w:rPr>
        <w:t xml:space="preserve">Immediately at the end of each data collection period the brand commences collecting data in its next cycle. The previous cycle continues with a processing period and ends with its reduction day, which is intended to occur immediately after the six month processing period. </w:t>
      </w:r>
    </w:p>
    <w:p w14:paraId="6F4352B1" w14:textId="77777777" w:rsidR="00190A06" w:rsidRDefault="00190A06">
      <w:pPr>
        <w:spacing w:before="0" w:line="240" w:lineRule="auto"/>
        <w:rPr>
          <w:rFonts w:cs="Arial"/>
        </w:rPr>
      </w:pPr>
      <w:r>
        <w:rPr>
          <w:rFonts w:cs="Arial"/>
        </w:rPr>
        <w:br w:type="page"/>
      </w:r>
    </w:p>
    <w:p w14:paraId="04C84B69" w14:textId="77777777" w:rsidR="00B7359D" w:rsidRDefault="00F108D0" w:rsidP="00F97297">
      <w:pPr>
        <w:pStyle w:val="ListParagraph"/>
        <w:numPr>
          <w:ilvl w:val="0"/>
          <w:numId w:val="24"/>
        </w:numPr>
        <w:ind w:left="714" w:hanging="357"/>
        <w:contextualSpacing w:val="0"/>
        <w:rPr>
          <w:rFonts w:cs="Arial"/>
        </w:rPr>
      </w:pPr>
      <w:r w:rsidRPr="000B186E">
        <w:rPr>
          <w:rFonts w:cs="Arial"/>
        </w:rPr>
        <w:lastRenderedPageBreak/>
        <w:t>Six monthly d</w:t>
      </w:r>
      <w:r w:rsidR="006738D2" w:rsidRPr="00F108D0">
        <w:rPr>
          <w:rFonts w:cs="Arial"/>
        </w:rPr>
        <w:t>ata collection</w:t>
      </w:r>
      <w:r w:rsidR="00B7359D">
        <w:rPr>
          <w:rFonts w:cs="Arial"/>
        </w:rPr>
        <w:t xml:space="preserve">, plus six months </w:t>
      </w:r>
      <w:r w:rsidR="006738D2" w:rsidRPr="008E1A96">
        <w:rPr>
          <w:rFonts w:cs="Arial"/>
        </w:rPr>
        <w:t xml:space="preserve">processing </w:t>
      </w:r>
      <w:r w:rsidR="009E21F7">
        <w:rPr>
          <w:rFonts w:cs="Arial"/>
        </w:rPr>
        <w:t xml:space="preserve">periods </w:t>
      </w:r>
      <w:r w:rsidR="006738D2" w:rsidRPr="008E1A96">
        <w:rPr>
          <w:rFonts w:cs="Arial"/>
        </w:rPr>
        <w:t xml:space="preserve">continue in </w:t>
      </w:r>
      <w:r w:rsidR="00B7359D">
        <w:rPr>
          <w:rFonts w:cs="Arial"/>
        </w:rPr>
        <w:t>12 mont</w:t>
      </w:r>
      <w:r w:rsidR="00867F72">
        <w:rPr>
          <w:rFonts w:cs="Arial"/>
        </w:rPr>
        <w:t>h</w:t>
      </w:r>
      <w:r w:rsidR="00B7359D">
        <w:rPr>
          <w:rFonts w:cs="Arial"/>
        </w:rPr>
        <w:t xml:space="preserve"> </w:t>
      </w:r>
      <w:r w:rsidR="006738D2" w:rsidRPr="008E1A96">
        <w:rPr>
          <w:rFonts w:cs="Arial"/>
        </w:rPr>
        <w:t>cycles</w:t>
      </w:r>
      <w:r w:rsidR="00B7359D">
        <w:rPr>
          <w:rFonts w:cs="Arial"/>
        </w:rPr>
        <w:t>. As the rolling data collection and processing periods overlap,</w:t>
      </w:r>
      <w:r w:rsidR="00867F72">
        <w:rPr>
          <w:rFonts w:cs="Arial"/>
        </w:rPr>
        <w:t xml:space="preserve"> </w:t>
      </w:r>
      <w:r w:rsidR="00B7359D">
        <w:rPr>
          <w:rFonts w:cs="Arial"/>
        </w:rPr>
        <w:t xml:space="preserve">there is a reduction day </w:t>
      </w:r>
      <w:r w:rsidR="006738D2" w:rsidRPr="008E1A96">
        <w:rPr>
          <w:rFonts w:cs="Arial"/>
        </w:rPr>
        <w:t xml:space="preserve">every 6 months. </w:t>
      </w:r>
      <w:r w:rsidR="00B7359D" w:rsidRPr="008E1A96">
        <w:rPr>
          <w:rFonts w:cs="Arial"/>
        </w:rPr>
        <w:t xml:space="preserve">A diagram explaining the ongoing nature of cycles is </w:t>
      </w:r>
      <w:r w:rsidR="00B7359D">
        <w:rPr>
          <w:rFonts w:cs="Arial"/>
        </w:rPr>
        <w:t>in the presentation slides for the SPD stakeholder information session a</w:t>
      </w:r>
      <w:r w:rsidR="00B7359D" w:rsidRPr="008E1A96">
        <w:rPr>
          <w:rFonts w:cs="Arial"/>
        </w:rPr>
        <w:t>t</w:t>
      </w:r>
      <w:r w:rsidR="00B7359D">
        <w:rPr>
          <w:rFonts w:cs="Arial"/>
        </w:rPr>
        <w:t>:</w:t>
      </w:r>
      <w:r w:rsidR="00B7359D" w:rsidRPr="008E1A96">
        <w:rPr>
          <w:rFonts w:cs="Arial"/>
        </w:rPr>
        <w:t xml:space="preserve"> </w:t>
      </w:r>
      <w:hyperlink r:id="rId25" w:history="1">
        <w:r w:rsidR="00BB64A2" w:rsidRPr="00760AF6">
          <w:rPr>
            <w:rStyle w:val="Hyperlink"/>
          </w:rPr>
          <w:t>http://www.pbs.gov.au/industry/pricing/price-disclosure-spd/spd-presentation-slides-6-12-2013.pdf</w:t>
        </w:r>
      </w:hyperlink>
    </w:p>
    <w:p w14:paraId="1301BF68" w14:textId="77777777" w:rsidR="006738D2" w:rsidRDefault="00867F72" w:rsidP="00F97297">
      <w:pPr>
        <w:pStyle w:val="ListParagraph"/>
        <w:numPr>
          <w:ilvl w:val="0"/>
          <w:numId w:val="24"/>
        </w:numPr>
        <w:ind w:left="714" w:hanging="357"/>
        <w:contextualSpacing w:val="0"/>
        <w:rPr>
          <w:rFonts w:cs="Arial"/>
        </w:rPr>
      </w:pPr>
      <w:r>
        <w:rPr>
          <w:rFonts w:cs="Arial"/>
        </w:rPr>
        <w:t xml:space="preserve">The example under the heading </w:t>
      </w:r>
      <w:r w:rsidRPr="000B186E">
        <w:rPr>
          <w:rFonts w:cs="Arial"/>
          <w:b/>
        </w:rPr>
        <w:t>Cycles Table</w:t>
      </w:r>
      <w:r>
        <w:rPr>
          <w:rFonts w:cs="Arial"/>
          <w:b/>
        </w:rPr>
        <w:t xml:space="preserve"> – Relevant Dates</w:t>
      </w:r>
      <w:r>
        <w:rPr>
          <w:rFonts w:cs="Arial"/>
        </w:rPr>
        <w:t xml:space="preserve"> below also demonstrates the rolling cycle with six monthly reduction days.</w:t>
      </w:r>
    </w:p>
    <w:p w14:paraId="4518BE77" w14:textId="77777777" w:rsidR="00E555DE" w:rsidRPr="000B186E" w:rsidRDefault="00F97297" w:rsidP="00925E92">
      <w:pPr>
        <w:pStyle w:val="Heading3"/>
        <w:spacing w:before="120"/>
      </w:pPr>
      <w:r>
        <w:br w:type="page"/>
      </w:r>
      <w:bookmarkStart w:id="39" w:name="_Toc454283965"/>
      <w:r w:rsidR="007E6778">
        <w:lastRenderedPageBreak/>
        <w:t>Cycles</w:t>
      </w:r>
      <w:r w:rsidR="00BD77A2">
        <w:t xml:space="preserve"> </w:t>
      </w:r>
      <w:r w:rsidR="00E555DE" w:rsidRPr="000B186E">
        <w:t xml:space="preserve">Table </w:t>
      </w:r>
      <w:r w:rsidR="00BD77A2">
        <w:t>-</w:t>
      </w:r>
      <w:r w:rsidR="00E555DE" w:rsidRPr="000B186E">
        <w:t xml:space="preserve"> Relevant Dates</w:t>
      </w:r>
      <w:bookmarkEnd w:id="39"/>
    </w:p>
    <w:p w14:paraId="614FB238" w14:textId="77777777" w:rsidR="00980D72" w:rsidRPr="00B93854" w:rsidRDefault="00E555DE" w:rsidP="00074BE7">
      <w:pPr>
        <w:pStyle w:val="ListParagraph"/>
        <w:numPr>
          <w:ilvl w:val="0"/>
          <w:numId w:val="24"/>
        </w:numPr>
        <w:spacing w:after="120"/>
        <w:ind w:left="714" w:hanging="357"/>
        <w:contextualSpacing w:val="0"/>
        <w:rPr>
          <w:rFonts w:cs="Arial"/>
        </w:rPr>
      </w:pPr>
      <w:r w:rsidRPr="00B93854">
        <w:rPr>
          <w:rFonts w:cs="Arial"/>
        </w:rPr>
        <w:t xml:space="preserve">The </w:t>
      </w:r>
      <w:r w:rsidR="00100AD4">
        <w:rPr>
          <w:rFonts w:cs="Arial"/>
        </w:rPr>
        <w:t xml:space="preserve">First </w:t>
      </w:r>
      <w:r w:rsidR="007E6778" w:rsidRPr="00B93854">
        <w:rPr>
          <w:rFonts w:cs="Arial"/>
        </w:rPr>
        <w:t>Cycles T</w:t>
      </w:r>
      <w:r w:rsidRPr="00B93854">
        <w:rPr>
          <w:rFonts w:cs="Arial"/>
        </w:rPr>
        <w:t xml:space="preserve">able below sets out the </w:t>
      </w:r>
      <w:r w:rsidR="00124D04" w:rsidRPr="00B93854">
        <w:rPr>
          <w:rFonts w:cs="Arial"/>
        </w:rPr>
        <w:t xml:space="preserve">first </w:t>
      </w:r>
      <w:r w:rsidRPr="00B93854">
        <w:rPr>
          <w:rFonts w:cs="Arial"/>
        </w:rPr>
        <w:t xml:space="preserve">price disclosure cycle and relevant dates for brands with </w:t>
      </w:r>
      <w:r w:rsidR="00943A5B" w:rsidRPr="00B93854">
        <w:rPr>
          <w:rFonts w:cs="Arial"/>
        </w:rPr>
        <w:t xml:space="preserve">a </w:t>
      </w:r>
      <w:r w:rsidRPr="00B93854">
        <w:rPr>
          <w:rFonts w:cs="Arial"/>
        </w:rPr>
        <w:t>drug/MoA join</w:t>
      </w:r>
      <w:r w:rsidR="00943A5B" w:rsidRPr="00B93854">
        <w:rPr>
          <w:rFonts w:cs="Arial"/>
        </w:rPr>
        <w:t>ing</w:t>
      </w:r>
      <w:r w:rsidRPr="00B93854">
        <w:rPr>
          <w:rFonts w:cs="Arial"/>
        </w:rPr>
        <w:t xml:space="preserve"> price disclosure in the month in the first column of the table</w:t>
      </w:r>
      <w:r w:rsidR="00BA46D4" w:rsidRPr="00B93854">
        <w:rPr>
          <w:rFonts w:cs="Arial"/>
        </w:rPr>
        <w:t xml:space="preserve"> (usually the day a drug moves to F2)</w:t>
      </w:r>
      <w:r w:rsidRPr="00B93854">
        <w:rPr>
          <w:rFonts w:cs="Arial"/>
        </w:rPr>
        <w:t>.</w:t>
      </w:r>
      <w:r w:rsidR="00BD77A2" w:rsidRPr="00B93854">
        <w:rPr>
          <w:rFonts w:cs="Arial"/>
        </w:rPr>
        <w:t xml:space="preserve"> The months when most drug/MoAs will join price disclosure are highlighted</w:t>
      </w:r>
      <w:r w:rsidR="00BA46D4" w:rsidRPr="00B93854">
        <w:rPr>
          <w:rFonts w:cs="Arial"/>
        </w:rPr>
        <w:t xml:space="preserve"> (</w:t>
      </w:r>
      <w:r w:rsidR="00BB64A2">
        <w:rPr>
          <w:rFonts w:cs="Arial"/>
        </w:rPr>
        <w:t xml:space="preserve">February, </w:t>
      </w:r>
      <w:r w:rsidR="00BA46D4" w:rsidRPr="00B93854">
        <w:rPr>
          <w:rFonts w:cs="Arial"/>
        </w:rPr>
        <w:t>April,</w:t>
      </w:r>
      <w:r w:rsidR="00BB64A2">
        <w:rPr>
          <w:rFonts w:cs="Arial"/>
        </w:rPr>
        <w:t xml:space="preserve"> June,</w:t>
      </w:r>
      <w:r w:rsidR="00BA46D4" w:rsidRPr="00B93854">
        <w:rPr>
          <w:rFonts w:cs="Arial"/>
        </w:rPr>
        <w:t xml:space="preserve"> August, </w:t>
      </w:r>
      <w:r w:rsidR="00BB64A2">
        <w:rPr>
          <w:rFonts w:cs="Arial"/>
        </w:rPr>
        <w:t xml:space="preserve">October </w:t>
      </w:r>
      <w:r w:rsidR="00BA46D4" w:rsidRPr="00B93854">
        <w:rPr>
          <w:rFonts w:cs="Arial"/>
        </w:rPr>
        <w:t>and December each year)</w:t>
      </w:r>
      <w:r w:rsidR="00BD77A2" w:rsidRPr="00B93854">
        <w:rPr>
          <w:rFonts w:cs="Arial"/>
        </w:rPr>
        <w:t>.</w:t>
      </w:r>
    </w:p>
    <w:p w14:paraId="49750A20" w14:textId="77777777" w:rsidR="006C63FB" w:rsidRDefault="00124D04" w:rsidP="00F97297">
      <w:pPr>
        <w:pStyle w:val="ListParagraph"/>
        <w:numPr>
          <w:ilvl w:val="0"/>
          <w:numId w:val="24"/>
        </w:numPr>
        <w:spacing w:before="0" w:after="200"/>
        <w:ind w:left="714" w:hanging="357"/>
        <w:contextualSpacing w:val="0"/>
        <w:rPr>
          <w:rFonts w:cs="Arial"/>
        </w:rPr>
      </w:pPr>
      <w:r w:rsidRPr="00942A8F">
        <w:rPr>
          <w:rFonts w:cs="Arial"/>
        </w:rPr>
        <w:t>To assist in understanding the</w:t>
      </w:r>
      <w:r w:rsidR="006C63FB">
        <w:rPr>
          <w:rFonts w:cs="Arial"/>
        </w:rPr>
        <w:t xml:space="preserve"> First Cycles Ta</w:t>
      </w:r>
      <w:r w:rsidRPr="00942A8F">
        <w:rPr>
          <w:rFonts w:cs="Arial"/>
        </w:rPr>
        <w:t>ble, a</w:t>
      </w:r>
      <w:r w:rsidR="00B9042D" w:rsidRPr="00942A8F">
        <w:rPr>
          <w:rFonts w:cs="Arial"/>
        </w:rPr>
        <w:t xml:space="preserve"> sample </w:t>
      </w:r>
      <w:r w:rsidR="00E04B9F" w:rsidRPr="00942A8F">
        <w:rPr>
          <w:rFonts w:cs="Arial"/>
        </w:rPr>
        <w:t xml:space="preserve">first </w:t>
      </w:r>
      <w:r w:rsidR="00100AD4">
        <w:rPr>
          <w:rFonts w:cs="Arial"/>
        </w:rPr>
        <w:t xml:space="preserve">cycle </w:t>
      </w:r>
      <w:r w:rsidR="00E04B9F" w:rsidRPr="00942A8F">
        <w:rPr>
          <w:rFonts w:cs="Arial"/>
        </w:rPr>
        <w:t xml:space="preserve">and ongoing </w:t>
      </w:r>
      <w:r w:rsidR="00BA46D4" w:rsidRPr="00942A8F">
        <w:rPr>
          <w:rFonts w:cs="Arial"/>
        </w:rPr>
        <w:t>cycle</w:t>
      </w:r>
      <w:r w:rsidR="00100AD4">
        <w:rPr>
          <w:rFonts w:cs="Arial"/>
        </w:rPr>
        <w:t>s are</w:t>
      </w:r>
      <w:r w:rsidR="00E504D9" w:rsidRPr="00942A8F">
        <w:rPr>
          <w:rFonts w:cs="Arial"/>
        </w:rPr>
        <w:t xml:space="preserve"> </w:t>
      </w:r>
      <w:r w:rsidR="00100AD4">
        <w:rPr>
          <w:rFonts w:cs="Arial"/>
        </w:rPr>
        <w:t>described</w:t>
      </w:r>
      <w:r w:rsidR="00E504D9" w:rsidRPr="00942A8F">
        <w:rPr>
          <w:rFonts w:cs="Arial"/>
        </w:rPr>
        <w:t xml:space="preserve"> below</w:t>
      </w:r>
      <w:r w:rsidR="007E6778" w:rsidRPr="00942A8F">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EXAMPLE – First and ongoing cycle "/>
      </w:tblPr>
      <w:tblGrid>
        <w:gridCol w:w="9243"/>
      </w:tblGrid>
      <w:tr w:rsidR="00EE21FB" w:rsidRPr="00BB28F3" w14:paraId="1AB3ED40" w14:textId="77777777" w:rsidTr="00BB28F3">
        <w:tc>
          <w:tcPr>
            <w:tcW w:w="9243" w:type="dxa"/>
            <w:shd w:val="clear" w:color="auto" w:fill="17365D"/>
          </w:tcPr>
          <w:p w14:paraId="2A124A2A" w14:textId="77777777" w:rsidR="00EE21FB" w:rsidRPr="00BB28F3" w:rsidRDefault="00EE21FB" w:rsidP="00F97297">
            <w:pPr>
              <w:spacing w:after="120" w:line="240" w:lineRule="auto"/>
              <w:rPr>
                <w:rFonts w:cs="Arial"/>
                <w:b/>
              </w:rPr>
            </w:pPr>
            <w:r w:rsidRPr="00BB28F3">
              <w:rPr>
                <w:rFonts w:cs="Arial"/>
                <w:b/>
                <w:color w:val="FFFFFF"/>
              </w:rPr>
              <w:t xml:space="preserve">EXAMPLE – </w:t>
            </w:r>
            <w:r w:rsidRPr="00BB28F3">
              <w:rPr>
                <w:rFonts w:cs="Arial"/>
                <w:b/>
                <w:i/>
                <w:color w:val="FFFFFF"/>
              </w:rPr>
              <w:t>First and ongoing cycle</w:t>
            </w:r>
            <w:r w:rsidRPr="00BB28F3">
              <w:rPr>
                <w:rFonts w:cs="Arial"/>
                <w:b/>
                <w:color w:val="FFFFFF"/>
              </w:rPr>
              <w:t xml:space="preserve"> </w:t>
            </w:r>
          </w:p>
        </w:tc>
      </w:tr>
      <w:tr w:rsidR="00EE21FB" w:rsidRPr="00BB28F3" w14:paraId="12EB2271" w14:textId="77777777" w:rsidTr="00BB28F3">
        <w:tblPrEx>
          <w:shd w:val="clear" w:color="auto" w:fill="C6D9F1"/>
        </w:tblPrEx>
        <w:trPr>
          <w:trHeight w:val="8207"/>
        </w:trPr>
        <w:tc>
          <w:tcPr>
            <w:tcW w:w="9243" w:type="dxa"/>
            <w:shd w:val="clear" w:color="auto" w:fill="C6D9F1"/>
          </w:tcPr>
          <w:p w14:paraId="03A16860" w14:textId="77777777" w:rsidR="00EE21FB" w:rsidRPr="00BB28F3" w:rsidRDefault="00EE21FB" w:rsidP="00F97297">
            <w:pPr>
              <w:spacing w:after="240" w:line="240" w:lineRule="auto"/>
              <w:rPr>
                <w:rFonts w:cs="Arial"/>
              </w:rPr>
            </w:pPr>
            <w:r w:rsidRPr="00BB28F3">
              <w:rPr>
                <w:rFonts w:cs="Arial"/>
              </w:rPr>
              <w:t>Dionysius Pty Ltd is the responsible person for the originator Zeus brand of the drug Cronus (two strengths of tablet - 25mg and 40mg, and a 25mg/100mL injection). Prior to 1 August 201</w:t>
            </w:r>
            <w:r w:rsidR="00BA6A38">
              <w:rPr>
                <w:rFonts w:cs="Arial"/>
              </w:rPr>
              <w:t>5</w:t>
            </w:r>
            <w:r w:rsidRPr="00BB28F3">
              <w:rPr>
                <w:rFonts w:cs="Arial"/>
              </w:rPr>
              <w:t xml:space="preserve"> Cronus has been on the F1 formulary on the PBS. </w:t>
            </w:r>
          </w:p>
          <w:p w14:paraId="622DE039" w14:textId="77777777" w:rsidR="006D7F2E" w:rsidRPr="00BB28F3" w:rsidRDefault="00EE21FB" w:rsidP="00F97297">
            <w:pPr>
              <w:spacing w:after="240" w:line="240" w:lineRule="auto"/>
              <w:rPr>
                <w:rFonts w:cs="Arial"/>
              </w:rPr>
            </w:pPr>
            <w:r w:rsidRPr="00BB28F3">
              <w:rPr>
                <w:rFonts w:cs="Arial"/>
              </w:rPr>
              <w:t>On 1 August 201</w:t>
            </w:r>
            <w:r w:rsidR="00BA6A38">
              <w:rPr>
                <w:rFonts w:cs="Arial"/>
              </w:rPr>
              <w:t>5</w:t>
            </w:r>
            <w:r w:rsidRPr="00BB28F3">
              <w:rPr>
                <w:rFonts w:cs="Arial"/>
              </w:rPr>
              <w:t xml:space="preserve"> Athenia Pty Ltd lists the </w:t>
            </w:r>
            <w:r w:rsidRPr="00BB28F3">
              <w:t>Poseidon</w:t>
            </w:r>
            <w:r w:rsidRPr="00BB28F3">
              <w:rPr>
                <w:rFonts w:cs="Arial"/>
              </w:rPr>
              <w:t xml:space="preserve"> brand of the drug Cronus (25 mg tablet only). The drug Cronus moves to F2 on 1 August 201</w:t>
            </w:r>
            <w:r w:rsidR="00BA6A38">
              <w:rPr>
                <w:rFonts w:cs="Arial"/>
              </w:rPr>
              <w:t>5</w:t>
            </w:r>
            <w:r w:rsidRPr="00BB28F3">
              <w:rPr>
                <w:rFonts w:cs="Arial"/>
              </w:rPr>
              <w:t xml:space="preserve"> and all brands containing Cronus are subject to price disclosure from that date. The Cronus oral brands (Zeus and Poseidon 25mg tablets and Zeus 40mg tablet) will be in one price disclosure calculation grouping (drug/MoA related brands) and the Cronus injection brand (Zeus 25mg/100mL injection) will be in a second price di</w:t>
            </w:r>
            <w:r w:rsidR="004D45B6" w:rsidRPr="00BB28F3">
              <w:rPr>
                <w:rFonts w:cs="Arial"/>
              </w:rPr>
              <w:t xml:space="preserve">sclosure calculation grouping. </w:t>
            </w:r>
          </w:p>
          <w:p w14:paraId="14FFD123" w14:textId="77777777" w:rsidR="00EE21FB" w:rsidRPr="00BB28F3" w:rsidRDefault="00EE21FB" w:rsidP="00F97297">
            <w:pPr>
              <w:spacing w:after="240" w:line="240" w:lineRule="auto"/>
              <w:rPr>
                <w:rFonts w:cs="Arial"/>
              </w:rPr>
            </w:pPr>
            <w:r w:rsidRPr="00BB28F3">
              <w:rPr>
                <w:rFonts w:cs="Arial"/>
              </w:rPr>
              <w:t>The first cycle is the 201</w:t>
            </w:r>
            <w:r w:rsidR="00BA6A38">
              <w:rPr>
                <w:rFonts w:cs="Arial"/>
              </w:rPr>
              <w:t>6</w:t>
            </w:r>
            <w:r w:rsidRPr="00BB28F3">
              <w:rPr>
                <w:rFonts w:cs="Arial"/>
              </w:rPr>
              <w:t xml:space="preserve"> October Cycle, named for its expected reduction day. T</w:t>
            </w:r>
            <w:r w:rsidR="00B23FB7" w:rsidRPr="00BB28F3">
              <w:rPr>
                <w:rFonts w:cs="Arial"/>
              </w:rPr>
              <w:t xml:space="preserve">he first data collection period </w:t>
            </w:r>
            <w:r w:rsidRPr="00BB28F3">
              <w:rPr>
                <w:rFonts w:cs="Arial"/>
              </w:rPr>
              <w:t>starts on 1 August 201</w:t>
            </w:r>
            <w:r w:rsidR="00BA6A38">
              <w:rPr>
                <w:rFonts w:cs="Arial"/>
              </w:rPr>
              <w:t>5</w:t>
            </w:r>
            <w:r w:rsidRPr="00BB28F3">
              <w:rPr>
                <w:rFonts w:cs="Arial"/>
              </w:rPr>
              <w:t xml:space="preserve"> and ends 31 March 201</w:t>
            </w:r>
            <w:r w:rsidR="00BA6A38">
              <w:rPr>
                <w:rFonts w:cs="Arial"/>
              </w:rPr>
              <w:t>6</w:t>
            </w:r>
            <w:r w:rsidRPr="00BB28F3">
              <w:rPr>
                <w:rFonts w:cs="Arial"/>
              </w:rPr>
              <w:t>.</w:t>
            </w:r>
          </w:p>
          <w:p w14:paraId="3506EACE" w14:textId="77777777" w:rsidR="00EE21FB" w:rsidRPr="00BB28F3" w:rsidRDefault="00EE21FB" w:rsidP="00F97297">
            <w:pPr>
              <w:spacing w:after="120" w:line="240" w:lineRule="auto"/>
              <w:rPr>
                <w:rFonts w:cs="Arial"/>
              </w:rPr>
            </w:pPr>
            <w:r w:rsidRPr="00BB28F3">
              <w:rPr>
                <w:rFonts w:cs="Arial"/>
              </w:rPr>
              <w:t>Dionysius Pty Ltd and Athenia Pty Ltd are required to disclose data for their first data collection period for their Zeus (tablet and injection) and Poseidon (tablet) brands respectively:</w:t>
            </w:r>
          </w:p>
          <w:p w14:paraId="656AB86D" w14:textId="77777777" w:rsidR="00EE21FB" w:rsidRPr="00BB28F3" w:rsidRDefault="00EE21FB" w:rsidP="00F97297">
            <w:pPr>
              <w:pStyle w:val="ListParagraph"/>
              <w:numPr>
                <w:ilvl w:val="0"/>
                <w:numId w:val="21"/>
              </w:numPr>
              <w:spacing w:after="120" w:line="240" w:lineRule="auto"/>
              <w:rPr>
                <w:rFonts w:cs="Arial"/>
              </w:rPr>
            </w:pPr>
            <w:r w:rsidRPr="00BB28F3">
              <w:rPr>
                <w:rFonts w:cs="Arial"/>
              </w:rPr>
              <w:t xml:space="preserve">for the period 1 August </w:t>
            </w:r>
            <w:r w:rsidR="00E31A49" w:rsidRPr="00BB28F3">
              <w:rPr>
                <w:rFonts w:cs="Arial"/>
              </w:rPr>
              <w:t>201</w:t>
            </w:r>
            <w:r w:rsidR="00BA6A38">
              <w:rPr>
                <w:rFonts w:cs="Arial"/>
              </w:rPr>
              <w:t>5</w:t>
            </w:r>
            <w:r w:rsidR="00E31A49" w:rsidRPr="00BB28F3">
              <w:rPr>
                <w:rFonts w:cs="Arial"/>
              </w:rPr>
              <w:t xml:space="preserve"> </w:t>
            </w:r>
            <w:r w:rsidRPr="00BB28F3">
              <w:rPr>
                <w:rFonts w:cs="Arial"/>
              </w:rPr>
              <w:t>to 30 September</w:t>
            </w:r>
            <w:r w:rsidR="00E31A49" w:rsidRPr="00BB28F3">
              <w:rPr>
                <w:rFonts w:cs="Arial"/>
              </w:rPr>
              <w:t xml:space="preserve"> 201</w:t>
            </w:r>
            <w:r w:rsidR="00BA6A38">
              <w:rPr>
                <w:rFonts w:cs="Arial"/>
              </w:rPr>
              <w:t>5</w:t>
            </w:r>
            <w:r w:rsidRPr="00BB28F3">
              <w:rPr>
                <w:rFonts w:cs="Arial"/>
              </w:rPr>
              <w:t xml:space="preserve"> - by 11 November 201</w:t>
            </w:r>
            <w:r w:rsidR="00BA6A38">
              <w:rPr>
                <w:rFonts w:cs="Arial"/>
              </w:rPr>
              <w:t>5</w:t>
            </w:r>
            <w:r w:rsidRPr="00BB28F3">
              <w:rPr>
                <w:rFonts w:cs="Arial"/>
              </w:rPr>
              <w:t xml:space="preserve">, and </w:t>
            </w:r>
          </w:p>
          <w:p w14:paraId="4A321466" w14:textId="77777777" w:rsidR="00EE21FB" w:rsidRPr="00BB28F3" w:rsidRDefault="00EE21FB" w:rsidP="00F97297">
            <w:pPr>
              <w:pStyle w:val="ListParagraph"/>
              <w:numPr>
                <w:ilvl w:val="0"/>
                <w:numId w:val="21"/>
              </w:numPr>
              <w:spacing w:after="120" w:line="240" w:lineRule="auto"/>
              <w:rPr>
                <w:rFonts w:cs="Arial"/>
              </w:rPr>
            </w:pPr>
            <w:r w:rsidRPr="00BB28F3">
              <w:rPr>
                <w:rFonts w:cs="Arial"/>
              </w:rPr>
              <w:t>for the period 1 October 201</w:t>
            </w:r>
            <w:r w:rsidR="00BA6A38">
              <w:rPr>
                <w:rFonts w:cs="Arial"/>
              </w:rPr>
              <w:t>5</w:t>
            </w:r>
            <w:r w:rsidRPr="00BB28F3">
              <w:rPr>
                <w:rFonts w:cs="Arial"/>
              </w:rPr>
              <w:t xml:space="preserve"> to 31 March 201</w:t>
            </w:r>
            <w:r w:rsidR="00BA6A38">
              <w:rPr>
                <w:rFonts w:cs="Arial"/>
              </w:rPr>
              <w:t>6</w:t>
            </w:r>
            <w:r w:rsidRPr="00BB28F3">
              <w:rPr>
                <w:rFonts w:cs="Arial"/>
              </w:rPr>
              <w:t xml:space="preserve"> - by 12 May 201</w:t>
            </w:r>
            <w:r w:rsidR="00BA6A38">
              <w:rPr>
                <w:rFonts w:cs="Arial"/>
              </w:rPr>
              <w:t>6</w:t>
            </w:r>
            <w:r w:rsidRPr="00BB28F3">
              <w:rPr>
                <w:rFonts w:cs="Arial"/>
              </w:rPr>
              <w:t>.</w:t>
            </w:r>
          </w:p>
          <w:p w14:paraId="7E456EFC" w14:textId="77777777" w:rsidR="00EE21FB" w:rsidRPr="00BB28F3" w:rsidRDefault="00EE21FB" w:rsidP="00F97297">
            <w:pPr>
              <w:spacing w:after="240" w:line="240" w:lineRule="auto"/>
              <w:rPr>
                <w:rFonts w:cs="Arial"/>
              </w:rPr>
            </w:pPr>
            <w:r w:rsidRPr="00BB28F3">
              <w:rPr>
                <w:rFonts w:cs="Arial"/>
              </w:rPr>
              <w:t>The processing period for the first cycle (the 201</w:t>
            </w:r>
            <w:r w:rsidR="00BA6A38">
              <w:rPr>
                <w:rFonts w:cs="Arial"/>
              </w:rPr>
              <w:t>6</w:t>
            </w:r>
            <w:r w:rsidRPr="00BB28F3">
              <w:rPr>
                <w:rFonts w:cs="Arial"/>
              </w:rPr>
              <w:t xml:space="preserve"> October Cycle) commences 1 April 201</w:t>
            </w:r>
            <w:r w:rsidR="00BA6A38">
              <w:rPr>
                <w:rFonts w:cs="Arial"/>
              </w:rPr>
              <w:t>6</w:t>
            </w:r>
            <w:r w:rsidRPr="00BB28F3">
              <w:rPr>
                <w:rFonts w:cs="Arial"/>
              </w:rPr>
              <w:t xml:space="preserve"> and concludes with its reduction day on 1 October 201</w:t>
            </w:r>
            <w:r w:rsidR="00BA6A38">
              <w:rPr>
                <w:rFonts w:cs="Arial"/>
              </w:rPr>
              <w:t>6</w:t>
            </w:r>
            <w:r w:rsidRPr="00BB28F3">
              <w:rPr>
                <w:rFonts w:cs="Arial"/>
              </w:rPr>
              <w:t>.</w:t>
            </w:r>
          </w:p>
          <w:p w14:paraId="48BFA2E5" w14:textId="77777777" w:rsidR="006D7F2E" w:rsidRPr="00BB28F3" w:rsidRDefault="00EE21FB" w:rsidP="00F97297">
            <w:pPr>
              <w:spacing w:after="240" w:line="240" w:lineRule="auto"/>
              <w:rPr>
                <w:rFonts w:cs="Arial"/>
              </w:rPr>
            </w:pPr>
            <w:r w:rsidRPr="00BB28F3">
              <w:rPr>
                <w:rFonts w:cs="Arial"/>
              </w:rPr>
              <w:t>The second cy</w:t>
            </w:r>
            <w:r w:rsidR="004D45B6" w:rsidRPr="00BB28F3">
              <w:rPr>
                <w:rFonts w:cs="Arial"/>
              </w:rPr>
              <w:t>cle for Cronus Oral and Cronus I</w:t>
            </w:r>
            <w:r w:rsidRPr="00BB28F3">
              <w:rPr>
                <w:rFonts w:cs="Arial"/>
              </w:rPr>
              <w:t>njection brands is the 201</w:t>
            </w:r>
            <w:r w:rsidR="00BA6A38">
              <w:rPr>
                <w:rFonts w:cs="Arial"/>
              </w:rPr>
              <w:t>7</w:t>
            </w:r>
            <w:r w:rsidRPr="00BB28F3">
              <w:rPr>
                <w:rFonts w:cs="Arial"/>
              </w:rPr>
              <w:t xml:space="preserve"> April Cycle. It commences 1 April 201</w:t>
            </w:r>
            <w:r w:rsidR="00BA6A38">
              <w:rPr>
                <w:rFonts w:cs="Arial"/>
              </w:rPr>
              <w:t>6</w:t>
            </w:r>
            <w:r w:rsidRPr="00BB28F3">
              <w:rPr>
                <w:rFonts w:cs="Arial"/>
              </w:rPr>
              <w:t xml:space="preserve"> and has a six</w:t>
            </w:r>
            <w:r w:rsidR="007742BA">
              <w:rPr>
                <w:rFonts w:cs="Arial"/>
              </w:rPr>
              <w:t xml:space="preserve"> month</w:t>
            </w:r>
            <w:r w:rsidRPr="00BB28F3">
              <w:rPr>
                <w:rFonts w:cs="Arial"/>
              </w:rPr>
              <w:t xml:space="preserve"> data collection period running from 1</w:t>
            </w:r>
            <w:r w:rsidR="00BB64A2">
              <w:rPr>
                <w:rFonts w:cs="Arial"/>
              </w:rPr>
              <w:t> </w:t>
            </w:r>
            <w:r w:rsidRPr="00BB28F3">
              <w:rPr>
                <w:rFonts w:cs="Arial"/>
              </w:rPr>
              <w:t>April</w:t>
            </w:r>
            <w:r w:rsidR="00BB64A2">
              <w:rPr>
                <w:rFonts w:cs="Arial"/>
              </w:rPr>
              <w:t> </w:t>
            </w:r>
            <w:r w:rsidRPr="00BB28F3">
              <w:rPr>
                <w:rFonts w:cs="Arial"/>
              </w:rPr>
              <w:t>201</w:t>
            </w:r>
            <w:r w:rsidR="00BA6A38">
              <w:rPr>
                <w:rFonts w:cs="Arial"/>
              </w:rPr>
              <w:t>6</w:t>
            </w:r>
            <w:r w:rsidRPr="00BB28F3">
              <w:rPr>
                <w:rFonts w:cs="Arial"/>
              </w:rPr>
              <w:t xml:space="preserve"> to 30 September 201</w:t>
            </w:r>
            <w:r w:rsidR="00BA6A38">
              <w:rPr>
                <w:rFonts w:cs="Arial"/>
              </w:rPr>
              <w:t>6</w:t>
            </w:r>
            <w:r w:rsidRPr="00BB28F3">
              <w:rPr>
                <w:rFonts w:cs="Arial"/>
              </w:rPr>
              <w:t xml:space="preserve"> (coinciding with the six month processing period for the first cycle). The processing period for the second cycle commences 1 October 201</w:t>
            </w:r>
            <w:r w:rsidR="00BA6A38">
              <w:rPr>
                <w:rFonts w:cs="Arial"/>
              </w:rPr>
              <w:t>6</w:t>
            </w:r>
            <w:r w:rsidRPr="00BB28F3">
              <w:rPr>
                <w:rFonts w:cs="Arial"/>
              </w:rPr>
              <w:t xml:space="preserve"> and concludes with its reduction day on 1 April 201</w:t>
            </w:r>
            <w:r w:rsidR="00BA6A38">
              <w:rPr>
                <w:rFonts w:cs="Arial"/>
              </w:rPr>
              <w:t>7</w:t>
            </w:r>
            <w:r w:rsidRPr="00BB28F3">
              <w:rPr>
                <w:rFonts w:cs="Arial"/>
              </w:rPr>
              <w:t>.</w:t>
            </w:r>
          </w:p>
          <w:p w14:paraId="7AD91403" w14:textId="77777777" w:rsidR="006D7F2E" w:rsidRPr="00BB28F3" w:rsidRDefault="00EE21FB" w:rsidP="00F97297">
            <w:pPr>
              <w:spacing w:after="240" w:line="240" w:lineRule="auto"/>
              <w:rPr>
                <w:rFonts w:cs="Arial"/>
              </w:rPr>
            </w:pPr>
            <w:r w:rsidRPr="00BB28F3">
              <w:rPr>
                <w:rFonts w:cs="Arial"/>
              </w:rPr>
              <w:t>The third cy</w:t>
            </w:r>
            <w:r w:rsidR="004D45B6" w:rsidRPr="00BB28F3">
              <w:rPr>
                <w:rFonts w:cs="Arial"/>
              </w:rPr>
              <w:t>cle for Cronus Oral and Cronus I</w:t>
            </w:r>
            <w:r w:rsidRPr="00BB28F3">
              <w:rPr>
                <w:rFonts w:cs="Arial"/>
              </w:rPr>
              <w:t>njection brands is the 201</w:t>
            </w:r>
            <w:r w:rsidR="00BA6A38">
              <w:rPr>
                <w:rFonts w:cs="Arial"/>
              </w:rPr>
              <w:t>7</w:t>
            </w:r>
            <w:r w:rsidRPr="00BB28F3">
              <w:rPr>
                <w:rFonts w:cs="Arial"/>
              </w:rPr>
              <w:t xml:space="preserve"> October Cycle. It commences 1 October 201</w:t>
            </w:r>
            <w:r w:rsidR="00BA6A38">
              <w:rPr>
                <w:rFonts w:cs="Arial"/>
              </w:rPr>
              <w:t>6</w:t>
            </w:r>
            <w:r w:rsidRPr="00BB28F3">
              <w:rPr>
                <w:rFonts w:cs="Arial"/>
              </w:rPr>
              <w:t xml:space="preserve"> and has a six month data collection period running from 1 October 201</w:t>
            </w:r>
            <w:r w:rsidR="00BA6A38">
              <w:rPr>
                <w:rFonts w:cs="Arial"/>
              </w:rPr>
              <w:t>6</w:t>
            </w:r>
            <w:r w:rsidRPr="00BB28F3">
              <w:rPr>
                <w:rFonts w:cs="Arial"/>
              </w:rPr>
              <w:t xml:space="preserve"> to 31 March 201</w:t>
            </w:r>
            <w:r w:rsidR="00BA6A38">
              <w:rPr>
                <w:rFonts w:cs="Arial"/>
              </w:rPr>
              <w:t>7</w:t>
            </w:r>
            <w:r w:rsidRPr="00BB28F3">
              <w:rPr>
                <w:rFonts w:cs="Arial"/>
              </w:rPr>
              <w:t xml:space="preserve"> (coinciding with the six month processing period for the second cycle). The processing period for the third cycle commences 1 April 201</w:t>
            </w:r>
            <w:r w:rsidR="00BA6A38">
              <w:rPr>
                <w:rFonts w:cs="Arial"/>
              </w:rPr>
              <w:t>7</w:t>
            </w:r>
            <w:r w:rsidRPr="00BB28F3">
              <w:rPr>
                <w:rFonts w:cs="Arial"/>
              </w:rPr>
              <w:t xml:space="preserve"> and concludes with its reduction day on 1 October 201</w:t>
            </w:r>
            <w:r w:rsidR="00BA6A38">
              <w:rPr>
                <w:rFonts w:cs="Arial"/>
              </w:rPr>
              <w:t>7</w:t>
            </w:r>
            <w:r w:rsidRPr="00BB28F3">
              <w:rPr>
                <w:rFonts w:cs="Arial"/>
              </w:rPr>
              <w:t>.</w:t>
            </w:r>
          </w:p>
          <w:p w14:paraId="74E1BBB6" w14:textId="77777777" w:rsidR="00EE21FB" w:rsidRPr="00BB28F3" w:rsidRDefault="00EE21FB" w:rsidP="00F97297">
            <w:pPr>
              <w:spacing w:after="120" w:line="240" w:lineRule="auto"/>
              <w:rPr>
                <w:rFonts w:cs="Arial"/>
              </w:rPr>
            </w:pPr>
            <w:r w:rsidRPr="00BB28F3">
              <w:rPr>
                <w:rFonts w:cs="Arial"/>
              </w:rPr>
              <w:t>Twelve month rolling cycles continue thereafter with six monthly data collection and reduction days.</w:t>
            </w:r>
          </w:p>
        </w:tc>
      </w:tr>
    </w:tbl>
    <w:p w14:paraId="6194FD20" w14:textId="77777777" w:rsidR="00980D72" w:rsidRDefault="00980D72" w:rsidP="00925E92">
      <w:pPr>
        <w:rPr>
          <w:rFonts w:cs="Arial"/>
        </w:rPr>
      </w:pPr>
    </w:p>
    <w:p w14:paraId="2BBF97AF" w14:textId="77777777" w:rsidR="00980D72" w:rsidRDefault="00980D72" w:rsidP="00925E92">
      <w:pPr>
        <w:rPr>
          <w:rFonts w:cs="Arial"/>
        </w:rPr>
      </w:pPr>
    </w:p>
    <w:p w14:paraId="702ACCFE" w14:textId="77777777" w:rsidR="00B93854" w:rsidRDefault="00B93854">
      <w:pPr>
        <w:spacing w:before="0" w:after="200"/>
        <w:rPr>
          <w:rFonts w:cs="Arial"/>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First Cycles Table"/>
      </w:tblPr>
      <w:tblGrid>
        <w:gridCol w:w="1706"/>
        <w:gridCol w:w="1559"/>
        <w:gridCol w:w="2410"/>
        <w:gridCol w:w="2126"/>
        <w:gridCol w:w="1981"/>
      </w:tblGrid>
      <w:tr w:rsidR="00EE21FB" w:rsidRPr="00BB28F3" w14:paraId="6DF784DD" w14:textId="77777777" w:rsidTr="00D570A5">
        <w:tc>
          <w:tcPr>
            <w:tcW w:w="9782" w:type="dxa"/>
            <w:gridSpan w:val="5"/>
            <w:tcBorders>
              <w:bottom w:val="single" w:sz="4" w:space="0" w:color="auto"/>
            </w:tcBorders>
            <w:shd w:val="clear" w:color="auto" w:fill="17365D"/>
          </w:tcPr>
          <w:p w14:paraId="350723DC" w14:textId="77777777" w:rsidR="00EE21FB" w:rsidRPr="00BB28F3" w:rsidRDefault="00942A8F" w:rsidP="00F97297">
            <w:pPr>
              <w:spacing w:after="120" w:line="240" w:lineRule="auto"/>
              <w:rPr>
                <w:rFonts w:cs="Arial"/>
                <w:b/>
              </w:rPr>
            </w:pPr>
            <w:r w:rsidRPr="00BB28F3">
              <w:rPr>
                <w:rFonts w:cs="Arial"/>
                <w:b/>
                <w:color w:val="FFFFFF"/>
              </w:rPr>
              <w:t xml:space="preserve">First </w:t>
            </w:r>
            <w:r w:rsidR="00EE21FB" w:rsidRPr="00BB28F3">
              <w:rPr>
                <w:rFonts w:cs="Arial"/>
                <w:b/>
                <w:color w:val="FFFFFF"/>
              </w:rPr>
              <w:t>Cycles</w:t>
            </w:r>
            <w:r w:rsidR="00BE41C2">
              <w:rPr>
                <w:rFonts w:cs="Arial"/>
                <w:b/>
                <w:color w:val="FFFFFF"/>
              </w:rPr>
              <w:t xml:space="preserve"> </w:t>
            </w:r>
            <w:r w:rsidRPr="00BB28F3">
              <w:rPr>
                <w:rFonts w:cs="Arial"/>
                <w:b/>
                <w:color w:val="FFFFFF"/>
              </w:rPr>
              <w:t>T</w:t>
            </w:r>
            <w:r w:rsidR="00EE21FB" w:rsidRPr="00BB28F3">
              <w:rPr>
                <w:rFonts w:cs="Arial"/>
                <w:b/>
                <w:color w:val="FFFFFF"/>
              </w:rPr>
              <w:t xml:space="preserve">able </w:t>
            </w:r>
            <w:r w:rsidR="00BE41C2">
              <w:rPr>
                <w:rFonts w:cs="Arial"/>
                <w:b/>
                <w:color w:val="FFFFFF"/>
              </w:rPr>
              <w:t xml:space="preserve"> </w:t>
            </w:r>
          </w:p>
        </w:tc>
      </w:tr>
      <w:tr w:rsidR="00D252CC" w:rsidRPr="00BB28F3" w14:paraId="06777A00"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945"/>
        </w:trPr>
        <w:tc>
          <w:tcPr>
            <w:tcW w:w="1706"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4BB0F93C" w14:textId="77777777" w:rsidR="00D252CC" w:rsidRPr="00640D72" w:rsidRDefault="00D252CC" w:rsidP="00925E92">
            <w:pPr>
              <w:spacing w:line="240" w:lineRule="auto"/>
              <w:rPr>
                <w:b/>
                <w:bCs/>
                <w:color w:val="FFFFFF"/>
                <w:szCs w:val="24"/>
              </w:rPr>
            </w:pPr>
            <w:r w:rsidRPr="00640D72">
              <w:rPr>
                <w:b/>
                <w:bCs/>
                <w:color w:val="FFFFFF"/>
                <w:szCs w:val="24"/>
              </w:rPr>
              <w:t>Start of Price Disclosure for Drug/MoA</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5F5662D0" w14:textId="77777777" w:rsidR="00D252CC" w:rsidRPr="00640D72" w:rsidRDefault="00D252CC" w:rsidP="00925E92">
            <w:pPr>
              <w:spacing w:line="240" w:lineRule="auto"/>
              <w:rPr>
                <w:b/>
                <w:bCs/>
                <w:color w:val="FFFFFF"/>
                <w:szCs w:val="24"/>
              </w:rPr>
            </w:pPr>
            <w:r w:rsidRPr="00640D72">
              <w:rPr>
                <w:b/>
                <w:bCs/>
                <w:color w:val="FFFFFF"/>
                <w:szCs w:val="24"/>
              </w:rPr>
              <w:t>First Cycle</w:t>
            </w:r>
          </w:p>
        </w:tc>
        <w:tc>
          <w:tcPr>
            <w:tcW w:w="2410" w:type="dxa"/>
            <w:tcBorders>
              <w:top w:val="single" w:sz="4" w:space="0" w:color="auto"/>
              <w:left w:val="nil"/>
              <w:bottom w:val="single" w:sz="4" w:space="0" w:color="auto"/>
              <w:right w:val="single" w:sz="4" w:space="0" w:color="auto"/>
            </w:tcBorders>
            <w:shd w:val="clear" w:color="000000" w:fill="4F81BD"/>
            <w:vAlign w:val="center"/>
            <w:hideMark/>
          </w:tcPr>
          <w:p w14:paraId="1019B49C" w14:textId="77777777" w:rsidR="00D252CC" w:rsidRPr="00640D72" w:rsidRDefault="00D252CC" w:rsidP="00925E92">
            <w:pPr>
              <w:spacing w:line="240" w:lineRule="auto"/>
              <w:rPr>
                <w:b/>
                <w:bCs/>
                <w:color w:val="FFFFFF"/>
                <w:szCs w:val="24"/>
              </w:rPr>
            </w:pPr>
            <w:r w:rsidRPr="00640D72">
              <w:rPr>
                <w:b/>
                <w:bCs/>
                <w:color w:val="FFFFFF"/>
                <w:szCs w:val="24"/>
              </w:rPr>
              <w:t>First Data Collection Period</w:t>
            </w:r>
          </w:p>
        </w:tc>
        <w:tc>
          <w:tcPr>
            <w:tcW w:w="2126" w:type="dxa"/>
            <w:tcBorders>
              <w:top w:val="single" w:sz="4" w:space="0" w:color="auto"/>
              <w:left w:val="nil"/>
              <w:bottom w:val="single" w:sz="4" w:space="0" w:color="auto"/>
              <w:right w:val="single" w:sz="4" w:space="0" w:color="auto"/>
            </w:tcBorders>
            <w:shd w:val="clear" w:color="000000" w:fill="4F81BD"/>
            <w:vAlign w:val="center"/>
            <w:hideMark/>
          </w:tcPr>
          <w:p w14:paraId="45327F7E" w14:textId="77777777" w:rsidR="00D252CC" w:rsidRPr="00640D72" w:rsidRDefault="00D252CC" w:rsidP="00BE41C2">
            <w:pPr>
              <w:spacing w:line="240" w:lineRule="auto"/>
              <w:rPr>
                <w:b/>
                <w:bCs/>
                <w:color w:val="FFFFFF"/>
                <w:szCs w:val="24"/>
              </w:rPr>
            </w:pPr>
            <w:r w:rsidRPr="00640D72">
              <w:rPr>
                <w:b/>
                <w:bCs/>
                <w:color w:val="FFFFFF"/>
                <w:szCs w:val="24"/>
              </w:rPr>
              <w:t>Data Due Date(s) for First Data Collection Period</w:t>
            </w:r>
            <w:r w:rsidR="00BE41C2" w:rsidRPr="00BE41C2">
              <w:rPr>
                <w:b/>
                <w:bCs/>
                <w:color w:val="FF0000"/>
                <w:sz w:val="24"/>
                <w:szCs w:val="24"/>
              </w:rPr>
              <w:t>*</w:t>
            </w:r>
          </w:p>
        </w:tc>
        <w:tc>
          <w:tcPr>
            <w:tcW w:w="1981" w:type="dxa"/>
            <w:tcBorders>
              <w:top w:val="single" w:sz="4" w:space="0" w:color="auto"/>
              <w:left w:val="nil"/>
              <w:bottom w:val="single" w:sz="4" w:space="0" w:color="auto"/>
              <w:right w:val="single" w:sz="4" w:space="0" w:color="auto"/>
            </w:tcBorders>
            <w:shd w:val="clear" w:color="000000" w:fill="4F81BD"/>
            <w:vAlign w:val="center"/>
            <w:hideMark/>
          </w:tcPr>
          <w:p w14:paraId="3D51CECE" w14:textId="77777777" w:rsidR="00D252CC" w:rsidRPr="00640D72" w:rsidRDefault="00D252CC" w:rsidP="00925E92">
            <w:pPr>
              <w:spacing w:line="240" w:lineRule="auto"/>
              <w:rPr>
                <w:b/>
                <w:bCs/>
                <w:color w:val="FFFFFF"/>
                <w:szCs w:val="24"/>
              </w:rPr>
            </w:pPr>
            <w:r w:rsidRPr="00640D72">
              <w:rPr>
                <w:b/>
                <w:bCs/>
                <w:color w:val="FFFFFF"/>
                <w:szCs w:val="24"/>
              </w:rPr>
              <w:t>First Potential Reduction Day</w:t>
            </w:r>
          </w:p>
        </w:tc>
      </w:tr>
      <w:tr w:rsidR="00CF6792" w:rsidRPr="00BB28F3" w14:paraId="3AEE5C83" w14:textId="77777777" w:rsidTr="00937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tcPr>
          <w:p w14:paraId="308FF837" w14:textId="77777777" w:rsidR="00CF6792" w:rsidRPr="00640D72" w:rsidRDefault="00CF6792" w:rsidP="00925E92">
            <w:pPr>
              <w:spacing w:line="240" w:lineRule="auto"/>
              <w:jc w:val="right"/>
              <w:rPr>
                <w:b/>
                <w:bCs/>
                <w:color w:val="000000"/>
                <w:szCs w:val="24"/>
              </w:rPr>
            </w:pPr>
            <w:r w:rsidRPr="00640D72">
              <w:rPr>
                <w:b/>
                <w:bCs/>
                <w:color w:val="000000"/>
                <w:szCs w:val="24"/>
              </w:rPr>
              <w:t>Nov-2015</w:t>
            </w:r>
          </w:p>
        </w:tc>
        <w:tc>
          <w:tcPr>
            <w:tcW w:w="1559" w:type="dxa"/>
            <w:tcBorders>
              <w:top w:val="nil"/>
              <w:left w:val="nil"/>
              <w:bottom w:val="single" w:sz="4" w:space="0" w:color="auto"/>
              <w:right w:val="single" w:sz="4" w:space="0" w:color="auto"/>
            </w:tcBorders>
            <w:shd w:val="clear" w:color="000000" w:fill="FFFFFF"/>
            <w:vAlign w:val="center"/>
          </w:tcPr>
          <w:p w14:paraId="1E3221E3" w14:textId="77777777" w:rsidR="00CF6792" w:rsidRPr="00640D72" w:rsidRDefault="00CF6792"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tcPr>
          <w:p w14:paraId="044AB505" w14:textId="77777777" w:rsidR="00CF6792" w:rsidRPr="00640D72" w:rsidRDefault="00CF6792" w:rsidP="00925E92">
            <w:pPr>
              <w:spacing w:line="240" w:lineRule="auto"/>
              <w:rPr>
                <w:color w:val="000000"/>
                <w:szCs w:val="24"/>
              </w:rPr>
            </w:pPr>
            <w:r w:rsidRPr="00640D72">
              <w:rPr>
                <w:color w:val="000000"/>
                <w:szCs w:val="24"/>
              </w:rPr>
              <w:t xml:space="preserve">1 November 2015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tcPr>
          <w:p w14:paraId="410F3318" w14:textId="77777777" w:rsidR="00CF6792" w:rsidRPr="00640D72" w:rsidRDefault="00CF6792"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tcPr>
          <w:p w14:paraId="7F27F4FC" w14:textId="77777777" w:rsidR="00CF6792" w:rsidRPr="00640D72" w:rsidRDefault="00CF6792" w:rsidP="00925E92">
            <w:pPr>
              <w:spacing w:line="240" w:lineRule="auto"/>
              <w:rPr>
                <w:color w:val="000000"/>
                <w:szCs w:val="24"/>
              </w:rPr>
            </w:pPr>
            <w:r w:rsidRPr="00640D72">
              <w:rPr>
                <w:color w:val="000000"/>
                <w:szCs w:val="24"/>
              </w:rPr>
              <w:t>1 April 2017</w:t>
            </w:r>
          </w:p>
        </w:tc>
      </w:tr>
      <w:tr w:rsidR="00CF6792" w:rsidRPr="00BB28F3" w14:paraId="3264D5BC" w14:textId="77777777" w:rsidTr="0093737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5FD5E5" w14:textId="77777777" w:rsidR="00CF6792" w:rsidRPr="00640D72" w:rsidRDefault="00CF6792" w:rsidP="00925E92">
            <w:pPr>
              <w:spacing w:line="240" w:lineRule="auto"/>
              <w:jc w:val="right"/>
              <w:rPr>
                <w:b/>
                <w:bCs/>
                <w:color w:val="000000"/>
                <w:szCs w:val="24"/>
              </w:rPr>
            </w:pPr>
            <w:r w:rsidRPr="00640D72">
              <w:rPr>
                <w:b/>
                <w:bCs/>
                <w:color w:val="000000"/>
                <w:szCs w:val="24"/>
              </w:rPr>
              <w:t>Dec-2015</w:t>
            </w:r>
          </w:p>
        </w:tc>
        <w:tc>
          <w:tcPr>
            <w:tcW w:w="1559" w:type="dxa"/>
            <w:tcBorders>
              <w:top w:val="single" w:sz="4" w:space="0" w:color="auto"/>
              <w:left w:val="nil"/>
              <w:bottom w:val="single" w:sz="4" w:space="0" w:color="auto"/>
              <w:right w:val="single" w:sz="4" w:space="0" w:color="auto"/>
            </w:tcBorders>
            <w:shd w:val="clear" w:color="auto" w:fill="EEECE1" w:themeFill="background2"/>
            <w:vAlign w:val="center"/>
          </w:tcPr>
          <w:p w14:paraId="289D96E6" w14:textId="77777777" w:rsidR="00CF6792" w:rsidRPr="00640D72" w:rsidRDefault="00CF6792" w:rsidP="00925E92">
            <w:pPr>
              <w:spacing w:line="240" w:lineRule="auto"/>
              <w:rPr>
                <w:color w:val="000000"/>
                <w:szCs w:val="24"/>
              </w:rPr>
            </w:pPr>
            <w:r w:rsidRPr="00640D72">
              <w:rPr>
                <w:color w:val="000000"/>
                <w:szCs w:val="24"/>
              </w:rPr>
              <w:t>2017 April Cycle</w:t>
            </w:r>
          </w:p>
        </w:tc>
        <w:tc>
          <w:tcPr>
            <w:tcW w:w="2410" w:type="dxa"/>
            <w:tcBorders>
              <w:top w:val="single" w:sz="4" w:space="0" w:color="auto"/>
              <w:left w:val="nil"/>
              <w:bottom w:val="single" w:sz="4" w:space="0" w:color="auto"/>
              <w:right w:val="single" w:sz="4" w:space="0" w:color="auto"/>
            </w:tcBorders>
            <w:shd w:val="clear" w:color="auto" w:fill="EEECE1" w:themeFill="background2"/>
            <w:vAlign w:val="center"/>
          </w:tcPr>
          <w:p w14:paraId="40B2ADD3" w14:textId="77777777" w:rsidR="00CF6792" w:rsidRPr="00640D72" w:rsidRDefault="00CF6792" w:rsidP="00925E92">
            <w:pPr>
              <w:spacing w:line="240" w:lineRule="auto"/>
              <w:rPr>
                <w:color w:val="000000"/>
                <w:szCs w:val="24"/>
              </w:rPr>
            </w:pPr>
            <w:r w:rsidRPr="00640D72">
              <w:rPr>
                <w:color w:val="000000"/>
                <w:szCs w:val="24"/>
              </w:rPr>
              <w:t xml:space="preserve">1 December 2015 to </w:t>
            </w:r>
            <w:r w:rsidRPr="00640D72">
              <w:rPr>
                <w:color w:val="000000"/>
                <w:szCs w:val="24"/>
              </w:rPr>
              <w:br/>
              <w:t>30 September 2016</w:t>
            </w:r>
          </w:p>
        </w:tc>
        <w:tc>
          <w:tcPr>
            <w:tcW w:w="2126" w:type="dxa"/>
            <w:tcBorders>
              <w:top w:val="single" w:sz="4" w:space="0" w:color="auto"/>
              <w:left w:val="nil"/>
              <w:bottom w:val="single" w:sz="4" w:space="0" w:color="auto"/>
              <w:right w:val="single" w:sz="4" w:space="0" w:color="auto"/>
            </w:tcBorders>
            <w:shd w:val="clear" w:color="auto" w:fill="EEECE1" w:themeFill="background2"/>
            <w:vAlign w:val="center"/>
          </w:tcPr>
          <w:p w14:paraId="21C3614E" w14:textId="77777777" w:rsidR="00CF6792" w:rsidRPr="00640D72" w:rsidRDefault="00CF6792" w:rsidP="00925E92">
            <w:pPr>
              <w:spacing w:line="240" w:lineRule="auto"/>
              <w:rPr>
                <w:color w:val="000000"/>
                <w:szCs w:val="24"/>
              </w:rPr>
            </w:pPr>
            <w:r w:rsidRPr="00640D72">
              <w:rPr>
                <w:color w:val="000000"/>
                <w:szCs w:val="24"/>
              </w:rPr>
              <w:t>12 May 2016 and 11 November 2016</w:t>
            </w:r>
          </w:p>
        </w:tc>
        <w:tc>
          <w:tcPr>
            <w:tcW w:w="1981" w:type="dxa"/>
            <w:tcBorders>
              <w:top w:val="single" w:sz="4" w:space="0" w:color="auto"/>
              <w:left w:val="nil"/>
              <w:bottom w:val="single" w:sz="4" w:space="0" w:color="auto"/>
              <w:right w:val="single" w:sz="4" w:space="0" w:color="auto"/>
            </w:tcBorders>
            <w:shd w:val="clear" w:color="auto" w:fill="EEECE1" w:themeFill="background2"/>
            <w:vAlign w:val="center"/>
          </w:tcPr>
          <w:p w14:paraId="5F78A528" w14:textId="77777777" w:rsidR="00CF6792" w:rsidRPr="00640D72" w:rsidRDefault="00CF6792" w:rsidP="00925E92">
            <w:pPr>
              <w:spacing w:line="240" w:lineRule="auto"/>
              <w:rPr>
                <w:color w:val="000000"/>
                <w:szCs w:val="24"/>
              </w:rPr>
            </w:pPr>
            <w:r w:rsidRPr="00640D72">
              <w:rPr>
                <w:color w:val="000000"/>
                <w:szCs w:val="24"/>
              </w:rPr>
              <w:t>1 April 2017</w:t>
            </w:r>
          </w:p>
        </w:tc>
      </w:tr>
      <w:tr w:rsidR="00D252CC" w:rsidRPr="00BB28F3" w14:paraId="104925E7"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61685DD8" w14:textId="77777777" w:rsidR="00D252CC" w:rsidRPr="00640D72" w:rsidRDefault="00D252CC" w:rsidP="00925E92">
            <w:pPr>
              <w:spacing w:line="240" w:lineRule="auto"/>
              <w:jc w:val="right"/>
              <w:rPr>
                <w:b/>
                <w:bCs/>
                <w:color w:val="000000"/>
                <w:szCs w:val="24"/>
              </w:rPr>
            </w:pPr>
            <w:r w:rsidRPr="00640D72">
              <w:rPr>
                <w:b/>
                <w:bCs/>
                <w:color w:val="000000"/>
                <w:szCs w:val="24"/>
              </w:rPr>
              <w:t>Jan-2016</w:t>
            </w:r>
          </w:p>
        </w:tc>
        <w:tc>
          <w:tcPr>
            <w:tcW w:w="1559" w:type="dxa"/>
            <w:tcBorders>
              <w:top w:val="nil"/>
              <w:left w:val="nil"/>
              <w:bottom w:val="single" w:sz="4" w:space="0" w:color="auto"/>
              <w:right w:val="single" w:sz="4" w:space="0" w:color="auto"/>
            </w:tcBorders>
            <w:shd w:val="clear" w:color="000000" w:fill="FFFFFF"/>
            <w:vAlign w:val="center"/>
            <w:hideMark/>
          </w:tcPr>
          <w:p w14:paraId="7BE50B6B"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hideMark/>
          </w:tcPr>
          <w:p w14:paraId="1CF413EA" w14:textId="77777777" w:rsidR="00D252CC" w:rsidRPr="00640D72" w:rsidRDefault="00D252CC" w:rsidP="00925E92">
            <w:pPr>
              <w:spacing w:line="240" w:lineRule="auto"/>
              <w:rPr>
                <w:color w:val="000000"/>
                <w:szCs w:val="24"/>
              </w:rPr>
            </w:pPr>
            <w:r w:rsidRPr="00640D72">
              <w:rPr>
                <w:color w:val="000000"/>
                <w:szCs w:val="24"/>
              </w:rPr>
              <w:t xml:space="preserve">1 January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hideMark/>
          </w:tcPr>
          <w:p w14:paraId="5AACBE37"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hideMark/>
          </w:tcPr>
          <w:p w14:paraId="300A2563"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1227A705" w14:textId="77777777" w:rsidTr="00937377">
        <w:trPr>
          <w:trHeight w:val="630"/>
        </w:trPr>
        <w:tc>
          <w:tcPr>
            <w:tcW w:w="1706" w:type="dxa"/>
            <w:tcBorders>
              <w:top w:val="nil"/>
              <w:left w:val="single" w:sz="4" w:space="0" w:color="auto"/>
              <w:bottom w:val="single" w:sz="4" w:space="0" w:color="auto"/>
              <w:right w:val="single" w:sz="4" w:space="0" w:color="auto"/>
            </w:tcBorders>
            <w:shd w:val="clear" w:color="auto" w:fill="EEECE1" w:themeFill="background2"/>
            <w:vAlign w:val="center"/>
            <w:hideMark/>
          </w:tcPr>
          <w:p w14:paraId="613FC7B6" w14:textId="77777777" w:rsidR="00D252CC" w:rsidRPr="00640D72" w:rsidRDefault="00D252CC" w:rsidP="00925E92">
            <w:pPr>
              <w:spacing w:line="240" w:lineRule="auto"/>
              <w:jc w:val="right"/>
              <w:rPr>
                <w:b/>
                <w:bCs/>
                <w:color w:val="000000"/>
                <w:szCs w:val="24"/>
              </w:rPr>
            </w:pPr>
            <w:r w:rsidRPr="00640D72">
              <w:rPr>
                <w:b/>
                <w:bCs/>
                <w:color w:val="000000"/>
                <w:szCs w:val="24"/>
              </w:rPr>
              <w:t>Feb-2016</w:t>
            </w:r>
          </w:p>
        </w:tc>
        <w:tc>
          <w:tcPr>
            <w:tcW w:w="1559" w:type="dxa"/>
            <w:tcBorders>
              <w:top w:val="nil"/>
              <w:left w:val="nil"/>
              <w:bottom w:val="single" w:sz="4" w:space="0" w:color="auto"/>
              <w:right w:val="single" w:sz="4" w:space="0" w:color="auto"/>
            </w:tcBorders>
            <w:shd w:val="clear" w:color="auto" w:fill="EEECE1" w:themeFill="background2"/>
            <w:vAlign w:val="center"/>
            <w:hideMark/>
          </w:tcPr>
          <w:p w14:paraId="66DD852E"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auto" w:fill="EEECE1" w:themeFill="background2"/>
            <w:vAlign w:val="center"/>
            <w:hideMark/>
          </w:tcPr>
          <w:p w14:paraId="5B4B1D69" w14:textId="77777777" w:rsidR="00D252CC" w:rsidRPr="00640D72" w:rsidRDefault="00D252CC" w:rsidP="00925E92">
            <w:pPr>
              <w:spacing w:line="240" w:lineRule="auto"/>
              <w:rPr>
                <w:color w:val="000000"/>
                <w:szCs w:val="24"/>
              </w:rPr>
            </w:pPr>
            <w:r w:rsidRPr="00640D72">
              <w:rPr>
                <w:color w:val="000000"/>
                <w:szCs w:val="24"/>
              </w:rPr>
              <w:t xml:space="preserve">1 February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auto" w:fill="EEECE1" w:themeFill="background2"/>
            <w:vAlign w:val="center"/>
            <w:hideMark/>
          </w:tcPr>
          <w:p w14:paraId="6BB42DF8"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EEECE1" w:themeFill="background2"/>
            <w:vAlign w:val="center"/>
            <w:hideMark/>
          </w:tcPr>
          <w:p w14:paraId="7A54615A"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35362BB1"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163F1EE5" w14:textId="77777777" w:rsidR="00D252CC" w:rsidRPr="00640D72" w:rsidRDefault="00D252CC" w:rsidP="00925E92">
            <w:pPr>
              <w:spacing w:line="240" w:lineRule="auto"/>
              <w:jc w:val="right"/>
              <w:rPr>
                <w:b/>
                <w:bCs/>
                <w:color w:val="000000"/>
                <w:szCs w:val="24"/>
              </w:rPr>
            </w:pPr>
            <w:r w:rsidRPr="00640D72">
              <w:rPr>
                <w:b/>
                <w:bCs/>
                <w:color w:val="000000"/>
                <w:szCs w:val="24"/>
              </w:rPr>
              <w:t>Mar-2016</w:t>
            </w:r>
          </w:p>
        </w:tc>
        <w:tc>
          <w:tcPr>
            <w:tcW w:w="1559" w:type="dxa"/>
            <w:tcBorders>
              <w:top w:val="nil"/>
              <w:left w:val="nil"/>
              <w:bottom w:val="single" w:sz="4" w:space="0" w:color="auto"/>
              <w:right w:val="single" w:sz="4" w:space="0" w:color="auto"/>
            </w:tcBorders>
            <w:shd w:val="clear" w:color="000000" w:fill="FFFFFF"/>
            <w:vAlign w:val="center"/>
            <w:hideMark/>
          </w:tcPr>
          <w:p w14:paraId="0E90F3E3"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FFFFFF"/>
            <w:vAlign w:val="center"/>
            <w:hideMark/>
          </w:tcPr>
          <w:p w14:paraId="69E903E2" w14:textId="77777777" w:rsidR="00D252CC" w:rsidRPr="00640D72" w:rsidRDefault="00D252CC" w:rsidP="00925E92">
            <w:pPr>
              <w:spacing w:line="240" w:lineRule="auto"/>
              <w:rPr>
                <w:color w:val="000000"/>
                <w:szCs w:val="24"/>
              </w:rPr>
            </w:pPr>
            <w:r w:rsidRPr="00640D72">
              <w:rPr>
                <w:color w:val="000000"/>
                <w:szCs w:val="24"/>
              </w:rPr>
              <w:t xml:space="preserve">1 March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FFFFFF"/>
            <w:vAlign w:val="center"/>
            <w:hideMark/>
          </w:tcPr>
          <w:p w14:paraId="2B46ECB0" w14:textId="77777777" w:rsidR="00D252CC" w:rsidRPr="00640D72" w:rsidRDefault="00D252CC" w:rsidP="00925E92">
            <w:pPr>
              <w:spacing w:line="240" w:lineRule="auto"/>
              <w:rPr>
                <w:color w:val="000000"/>
                <w:szCs w:val="24"/>
              </w:rPr>
            </w:pPr>
            <w:r w:rsidRPr="00640D72">
              <w:rPr>
                <w:color w:val="000000"/>
                <w:szCs w:val="24"/>
              </w:rPr>
              <w:t>12 May 2016 and 11 November 2016</w:t>
            </w:r>
          </w:p>
        </w:tc>
        <w:tc>
          <w:tcPr>
            <w:tcW w:w="1981" w:type="dxa"/>
            <w:tcBorders>
              <w:top w:val="nil"/>
              <w:left w:val="nil"/>
              <w:bottom w:val="single" w:sz="4" w:space="0" w:color="auto"/>
              <w:right w:val="single" w:sz="4" w:space="0" w:color="auto"/>
            </w:tcBorders>
            <w:shd w:val="clear" w:color="auto" w:fill="auto"/>
            <w:vAlign w:val="center"/>
            <w:hideMark/>
          </w:tcPr>
          <w:p w14:paraId="5AF2F1E1"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4D079FB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7A36EECD" w14:textId="77777777" w:rsidR="00D252CC" w:rsidRPr="00640D72" w:rsidRDefault="00D252CC" w:rsidP="00925E92">
            <w:pPr>
              <w:spacing w:line="240" w:lineRule="auto"/>
              <w:jc w:val="right"/>
              <w:rPr>
                <w:b/>
                <w:bCs/>
                <w:color w:val="000000"/>
                <w:szCs w:val="24"/>
              </w:rPr>
            </w:pPr>
            <w:r w:rsidRPr="00640D72">
              <w:rPr>
                <w:b/>
                <w:bCs/>
                <w:color w:val="000000"/>
                <w:szCs w:val="24"/>
              </w:rPr>
              <w:t>Apr-2016</w:t>
            </w:r>
          </w:p>
        </w:tc>
        <w:tc>
          <w:tcPr>
            <w:tcW w:w="1559" w:type="dxa"/>
            <w:tcBorders>
              <w:top w:val="nil"/>
              <w:left w:val="nil"/>
              <w:bottom w:val="single" w:sz="4" w:space="0" w:color="auto"/>
              <w:right w:val="single" w:sz="4" w:space="0" w:color="auto"/>
            </w:tcBorders>
            <w:shd w:val="clear" w:color="000000" w:fill="EEECE1"/>
            <w:vAlign w:val="center"/>
            <w:hideMark/>
          </w:tcPr>
          <w:p w14:paraId="287435F2" w14:textId="77777777" w:rsidR="00D252CC" w:rsidRPr="00640D72" w:rsidRDefault="00D252CC" w:rsidP="00925E92">
            <w:pPr>
              <w:spacing w:line="240" w:lineRule="auto"/>
              <w:rPr>
                <w:color w:val="000000"/>
                <w:szCs w:val="24"/>
              </w:rPr>
            </w:pPr>
            <w:r w:rsidRPr="00640D72">
              <w:rPr>
                <w:color w:val="000000"/>
                <w:szCs w:val="24"/>
              </w:rPr>
              <w:t>2017 April Cycle</w:t>
            </w:r>
          </w:p>
        </w:tc>
        <w:tc>
          <w:tcPr>
            <w:tcW w:w="2410" w:type="dxa"/>
            <w:tcBorders>
              <w:top w:val="nil"/>
              <w:left w:val="nil"/>
              <w:bottom w:val="single" w:sz="4" w:space="0" w:color="auto"/>
              <w:right w:val="single" w:sz="4" w:space="0" w:color="auto"/>
            </w:tcBorders>
            <w:shd w:val="clear" w:color="000000" w:fill="EEECE1"/>
            <w:vAlign w:val="center"/>
            <w:hideMark/>
          </w:tcPr>
          <w:p w14:paraId="0D4647FA" w14:textId="77777777" w:rsidR="00D252CC" w:rsidRPr="00640D72" w:rsidRDefault="00D252CC" w:rsidP="00925E92">
            <w:pPr>
              <w:spacing w:line="240" w:lineRule="auto"/>
              <w:rPr>
                <w:color w:val="000000"/>
                <w:szCs w:val="24"/>
              </w:rPr>
            </w:pPr>
            <w:r w:rsidRPr="00640D72">
              <w:rPr>
                <w:color w:val="000000"/>
                <w:szCs w:val="24"/>
              </w:rPr>
              <w:t xml:space="preserve">1 April 2016 to </w:t>
            </w:r>
            <w:r w:rsidRPr="00640D72">
              <w:rPr>
                <w:color w:val="000000"/>
                <w:szCs w:val="24"/>
              </w:rPr>
              <w:br/>
              <w:t>30 September 2016</w:t>
            </w:r>
          </w:p>
        </w:tc>
        <w:tc>
          <w:tcPr>
            <w:tcW w:w="2126" w:type="dxa"/>
            <w:tcBorders>
              <w:top w:val="nil"/>
              <w:left w:val="nil"/>
              <w:bottom w:val="single" w:sz="4" w:space="0" w:color="auto"/>
              <w:right w:val="single" w:sz="4" w:space="0" w:color="auto"/>
            </w:tcBorders>
            <w:shd w:val="clear" w:color="000000" w:fill="EEECE1"/>
            <w:noWrap/>
            <w:vAlign w:val="center"/>
            <w:hideMark/>
          </w:tcPr>
          <w:p w14:paraId="5C440B19" w14:textId="77777777" w:rsidR="00D252CC" w:rsidRPr="00640D72" w:rsidRDefault="00D252CC" w:rsidP="00925E92">
            <w:pPr>
              <w:spacing w:line="240" w:lineRule="auto"/>
              <w:rPr>
                <w:color w:val="000000"/>
                <w:szCs w:val="24"/>
              </w:rPr>
            </w:pPr>
            <w:r w:rsidRPr="00640D72">
              <w:rPr>
                <w:color w:val="000000"/>
                <w:szCs w:val="24"/>
              </w:rPr>
              <w:t>11 November 2016</w:t>
            </w:r>
          </w:p>
        </w:tc>
        <w:tc>
          <w:tcPr>
            <w:tcW w:w="1981" w:type="dxa"/>
            <w:tcBorders>
              <w:top w:val="nil"/>
              <w:left w:val="nil"/>
              <w:bottom w:val="single" w:sz="4" w:space="0" w:color="auto"/>
              <w:right w:val="single" w:sz="4" w:space="0" w:color="auto"/>
            </w:tcBorders>
            <w:shd w:val="clear" w:color="000000" w:fill="EEECE1"/>
            <w:vAlign w:val="center"/>
            <w:hideMark/>
          </w:tcPr>
          <w:p w14:paraId="396AB0A6" w14:textId="77777777" w:rsidR="00D252CC" w:rsidRPr="00640D72" w:rsidRDefault="00D252CC" w:rsidP="00925E92">
            <w:pPr>
              <w:spacing w:line="240" w:lineRule="auto"/>
              <w:rPr>
                <w:color w:val="000000"/>
                <w:szCs w:val="24"/>
              </w:rPr>
            </w:pPr>
            <w:r w:rsidRPr="00640D72">
              <w:rPr>
                <w:color w:val="000000"/>
                <w:szCs w:val="24"/>
              </w:rPr>
              <w:t>1 April 2017</w:t>
            </w:r>
          </w:p>
        </w:tc>
      </w:tr>
      <w:tr w:rsidR="00D252CC" w:rsidRPr="00BB28F3" w14:paraId="78C57764"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8879117" w14:textId="77777777" w:rsidR="00D252CC" w:rsidRPr="00640D72" w:rsidRDefault="00D252CC" w:rsidP="00925E92">
            <w:pPr>
              <w:spacing w:line="240" w:lineRule="auto"/>
              <w:jc w:val="right"/>
              <w:rPr>
                <w:b/>
                <w:bCs/>
                <w:color w:val="000000"/>
                <w:szCs w:val="24"/>
              </w:rPr>
            </w:pPr>
            <w:r w:rsidRPr="00640D72">
              <w:rPr>
                <w:b/>
                <w:bCs/>
                <w:color w:val="000000"/>
                <w:szCs w:val="24"/>
              </w:rPr>
              <w:t>May-2016</w:t>
            </w:r>
          </w:p>
        </w:tc>
        <w:tc>
          <w:tcPr>
            <w:tcW w:w="1559" w:type="dxa"/>
            <w:tcBorders>
              <w:top w:val="nil"/>
              <w:left w:val="nil"/>
              <w:bottom w:val="single" w:sz="4" w:space="0" w:color="auto"/>
              <w:right w:val="single" w:sz="4" w:space="0" w:color="auto"/>
            </w:tcBorders>
            <w:shd w:val="clear" w:color="auto" w:fill="auto"/>
            <w:vAlign w:val="center"/>
            <w:hideMark/>
          </w:tcPr>
          <w:p w14:paraId="43D5F61F"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auto" w:fill="auto"/>
            <w:vAlign w:val="center"/>
            <w:hideMark/>
          </w:tcPr>
          <w:p w14:paraId="024FEA24" w14:textId="77777777" w:rsidR="00D252CC" w:rsidRPr="00640D72" w:rsidRDefault="00D252CC" w:rsidP="00925E92">
            <w:pPr>
              <w:spacing w:line="240" w:lineRule="auto"/>
              <w:rPr>
                <w:color w:val="000000"/>
                <w:szCs w:val="24"/>
              </w:rPr>
            </w:pPr>
            <w:r w:rsidRPr="00640D72">
              <w:rPr>
                <w:color w:val="000000"/>
                <w:szCs w:val="24"/>
              </w:rPr>
              <w:t xml:space="preserve">1 May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auto" w:fill="auto"/>
            <w:vAlign w:val="center"/>
            <w:hideMark/>
          </w:tcPr>
          <w:p w14:paraId="4ED6299D"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09075145"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2DD9D82A" w14:textId="77777777" w:rsidTr="00937377">
        <w:trPr>
          <w:trHeight w:val="630"/>
        </w:trPr>
        <w:tc>
          <w:tcPr>
            <w:tcW w:w="1706" w:type="dxa"/>
            <w:tcBorders>
              <w:top w:val="nil"/>
              <w:left w:val="single" w:sz="4" w:space="0" w:color="auto"/>
              <w:bottom w:val="single" w:sz="4" w:space="0" w:color="auto"/>
              <w:right w:val="single" w:sz="4" w:space="0" w:color="auto"/>
            </w:tcBorders>
            <w:shd w:val="clear" w:color="auto" w:fill="EEECE1" w:themeFill="background2"/>
            <w:vAlign w:val="center"/>
            <w:hideMark/>
          </w:tcPr>
          <w:p w14:paraId="4A82216D" w14:textId="77777777" w:rsidR="00D252CC" w:rsidRPr="00640D72" w:rsidRDefault="00D252CC" w:rsidP="00925E92">
            <w:pPr>
              <w:spacing w:line="240" w:lineRule="auto"/>
              <w:jc w:val="right"/>
              <w:rPr>
                <w:b/>
                <w:bCs/>
                <w:color w:val="000000"/>
                <w:szCs w:val="24"/>
              </w:rPr>
            </w:pPr>
            <w:r w:rsidRPr="00640D72">
              <w:rPr>
                <w:b/>
                <w:bCs/>
                <w:color w:val="000000"/>
                <w:szCs w:val="24"/>
              </w:rPr>
              <w:t>Jun-2016</w:t>
            </w:r>
          </w:p>
        </w:tc>
        <w:tc>
          <w:tcPr>
            <w:tcW w:w="1559" w:type="dxa"/>
            <w:tcBorders>
              <w:top w:val="nil"/>
              <w:left w:val="nil"/>
              <w:bottom w:val="single" w:sz="4" w:space="0" w:color="auto"/>
              <w:right w:val="single" w:sz="4" w:space="0" w:color="auto"/>
            </w:tcBorders>
            <w:shd w:val="clear" w:color="auto" w:fill="EEECE1" w:themeFill="background2"/>
            <w:vAlign w:val="center"/>
            <w:hideMark/>
          </w:tcPr>
          <w:p w14:paraId="7D49343A"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auto" w:fill="EEECE1" w:themeFill="background2"/>
            <w:vAlign w:val="center"/>
            <w:hideMark/>
          </w:tcPr>
          <w:p w14:paraId="7C6588E8" w14:textId="77777777" w:rsidR="00D252CC" w:rsidRPr="00640D72" w:rsidRDefault="00D252CC" w:rsidP="00925E92">
            <w:pPr>
              <w:spacing w:line="240" w:lineRule="auto"/>
              <w:rPr>
                <w:color w:val="000000"/>
                <w:szCs w:val="24"/>
              </w:rPr>
            </w:pPr>
            <w:r w:rsidRPr="00640D72">
              <w:rPr>
                <w:color w:val="000000"/>
                <w:szCs w:val="24"/>
              </w:rPr>
              <w:t xml:space="preserve">1 June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auto" w:fill="EEECE1" w:themeFill="background2"/>
            <w:vAlign w:val="center"/>
            <w:hideMark/>
          </w:tcPr>
          <w:p w14:paraId="5E422597"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EEECE1" w:themeFill="background2"/>
            <w:vAlign w:val="center"/>
            <w:hideMark/>
          </w:tcPr>
          <w:p w14:paraId="2AA8EEB1"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100035A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19469143" w14:textId="77777777" w:rsidR="00D252CC" w:rsidRPr="00640D72" w:rsidRDefault="00D252CC" w:rsidP="00925E92">
            <w:pPr>
              <w:spacing w:line="240" w:lineRule="auto"/>
              <w:jc w:val="right"/>
              <w:rPr>
                <w:b/>
                <w:bCs/>
                <w:color w:val="000000"/>
                <w:szCs w:val="24"/>
              </w:rPr>
            </w:pPr>
            <w:r w:rsidRPr="00640D72">
              <w:rPr>
                <w:b/>
                <w:bCs/>
                <w:color w:val="000000"/>
                <w:szCs w:val="24"/>
              </w:rPr>
              <w:t>Jul-2016</w:t>
            </w:r>
          </w:p>
        </w:tc>
        <w:tc>
          <w:tcPr>
            <w:tcW w:w="1559" w:type="dxa"/>
            <w:tcBorders>
              <w:top w:val="nil"/>
              <w:left w:val="nil"/>
              <w:bottom w:val="single" w:sz="4" w:space="0" w:color="auto"/>
              <w:right w:val="single" w:sz="4" w:space="0" w:color="auto"/>
            </w:tcBorders>
            <w:shd w:val="clear" w:color="000000" w:fill="FFFFFF"/>
            <w:vAlign w:val="center"/>
            <w:hideMark/>
          </w:tcPr>
          <w:p w14:paraId="433F6E30"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7372FFC6" w14:textId="77777777" w:rsidR="00D252CC" w:rsidRPr="00640D72" w:rsidRDefault="00D252CC" w:rsidP="00925E92">
            <w:pPr>
              <w:spacing w:line="240" w:lineRule="auto"/>
              <w:rPr>
                <w:color w:val="000000"/>
                <w:szCs w:val="24"/>
              </w:rPr>
            </w:pPr>
            <w:r w:rsidRPr="00640D72">
              <w:rPr>
                <w:color w:val="000000"/>
                <w:szCs w:val="24"/>
              </w:rPr>
              <w:t xml:space="preserve">1 July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vAlign w:val="center"/>
            <w:hideMark/>
          </w:tcPr>
          <w:p w14:paraId="1DCB550E"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1C8AB2F6"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5F8EE692"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7317EB10" w14:textId="77777777" w:rsidR="00D252CC" w:rsidRPr="00640D72" w:rsidRDefault="00D252CC" w:rsidP="00925E92">
            <w:pPr>
              <w:spacing w:line="240" w:lineRule="auto"/>
              <w:jc w:val="right"/>
              <w:rPr>
                <w:b/>
                <w:bCs/>
                <w:color w:val="000000"/>
                <w:szCs w:val="24"/>
              </w:rPr>
            </w:pPr>
            <w:r w:rsidRPr="00640D72">
              <w:rPr>
                <w:b/>
                <w:bCs/>
                <w:color w:val="000000"/>
                <w:szCs w:val="24"/>
              </w:rPr>
              <w:t>Aug-2016</w:t>
            </w:r>
          </w:p>
        </w:tc>
        <w:tc>
          <w:tcPr>
            <w:tcW w:w="1559" w:type="dxa"/>
            <w:tcBorders>
              <w:top w:val="nil"/>
              <w:left w:val="nil"/>
              <w:bottom w:val="single" w:sz="4" w:space="0" w:color="auto"/>
              <w:right w:val="single" w:sz="4" w:space="0" w:color="auto"/>
            </w:tcBorders>
            <w:shd w:val="clear" w:color="000000" w:fill="EEECE1"/>
            <w:vAlign w:val="center"/>
            <w:hideMark/>
          </w:tcPr>
          <w:p w14:paraId="77A1AE02"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EEECE1"/>
            <w:vAlign w:val="center"/>
            <w:hideMark/>
          </w:tcPr>
          <w:p w14:paraId="109D83D5" w14:textId="77777777" w:rsidR="00D252CC" w:rsidRPr="00640D72" w:rsidRDefault="00D252CC" w:rsidP="00925E92">
            <w:pPr>
              <w:spacing w:line="240" w:lineRule="auto"/>
              <w:rPr>
                <w:color w:val="000000"/>
                <w:szCs w:val="24"/>
              </w:rPr>
            </w:pPr>
            <w:r w:rsidRPr="00640D72">
              <w:rPr>
                <w:color w:val="000000"/>
                <w:szCs w:val="24"/>
              </w:rPr>
              <w:t xml:space="preserve">1 August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EEECE1"/>
            <w:vAlign w:val="center"/>
            <w:hideMark/>
          </w:tcPr>
          <w:p w14:paraId="05D734A9"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000000" w:fill="EEECE1"/>
            <w:vAlign w:val="center"/>
            <w:hideMark/>
          </w:tcPr>
          <w:p w14:paraId="2C0BE64D"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682919DA"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08305DA3" w14:textId="77777777" w:rsidR="00D252CC" w:rsidRPr="00640D72" w:rsidRDefault="00D252CC" w:rsidP="00925E92">
            <w:pPr>
              <w:spacing w:line="240" w:lineRule="auto"/>
              <w:jc w:val="right"/>
              <w:rPr>
                <w:b/>
                <w:bCs/>
                <w:color w:val="000000"/>
                <w:szCs w:val="24"/>
              </w:rPr>
            </w:pPr>
            <w:r w:rsidRPr="00640D72">
              <w:rPr>
                <w:b/>
                <w:bCs/>
                <w:color w:val="000000"/>
                <w:szCs w:val="24"/>
              </w:rPr>
              <w:t>Sep-2016</w:t>
            </w:r>
          </w:p>
        </w:tc>
        <w:tc>
          <w:tcPr>
            <w:tcW w:w="1559" w:type="dxa"/>
            <w:tcBorders>
              <w:top w:val="nil"/>
              <w:left w:val="nil"/>
              <w:bottom w:val="single" w:sz="4" w:space="0" w:color="auto"/>
              <w:right w:val="single" w:sz="4" w:space="0" w:color="auto"/>
            </w:tcBorders>
            <w:shd w:val="clear" w:color="000000" w:fill="FFFFFF"/>
            <w:vAlign w:val="center"/>
            <w:hideMark/>
          </w:tcPr>
          <w:p w14:paraId="4284ED96"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000000" w:fill="FFFFFF"/>
            <w:vAlign w:val="center"/>
            <w:hideMark/>
          </w:tcPr>
          <w:p w14:paraId="009B7640" w14:textId="77777777" w:rsidR="00D252CC" w:rsidRPr="00640D72" w:rsidRDefault="00D252CC" w:rsidP="00925E92">
            <w:pPr>
              <w:spacing w:line="240" w:lineRule="auto"/>
              <w:rPr>
                <w:color w:val="000000"/>
                <w:szCs w:val="24"/>
              </w:rPr>
            </w:pPr>
            <w:r w:rsidRPr="00640D72">
              <w:rPr>
                <w:color w:val="000000"/>
                <w:szCs w:val="24"/>
              </w:rPr>
              <w:t xml:space="preserve">1 September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000000" w:fill="FFFFFF"/>
            <w:vAlign w:val="center"/>
            <w:hideMark/>
          </w:tcPr>
          <w:p w14:paraId="67143829" w14:textId="77777777" w:rsidR="00D252CC" w:rsidRPr="00640D72" w:rsidRDefault="00D252CC" w:rsidP="00925E92">
            <w:pPr>
              <w:spacing w:line="240" w:lineRule="auto"/>
              <w:rPr>
                <w:color w:val="000000"/>
                <w:szCs w:val="24"/>
              </w:rPr>
            </w:pPr>
            <w:r w:rsidRPr="00640D72">
              <w:rPr>
                <w:color w:val="000000"/>
                <w:szCs w:val="24"/>
              </w:rPr>
              <w:t>11 November 2016 and 12 May 2017</w:t>
            </w:r>
          </w:p>
        </w:tc>
        <w:tc>
          <w:tcPr>
            <w:tcW w:w="1981" w:type="dxa"/>
            <w:tcBorders>
              <w:top w:val="nil"/>
              <w:left w:val="nil"/>
              <w:bottom w:val="single" w:sz="4" w:space="0" w:color="auto"/>
              <w:right w:val="single" w:sz="4" w:space="0" w:color="auto"/>
            </w:tcBorders>
            <w:shd w:val="clear" w:color="auto" w:fill="auto"/>
            <w:vAlign w:val="center"/>
            <w:hideMark/>
          </w:tcPr>
          <w:p w14:paraId="0DBB5E9B"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1CE71376" w14:textId="77777777" w:rsidTr="00937377">
        <w:trPr>
          <w:trHeight w:val="630"/>
        </w:trPr>
        <w:tc>
          <w:tcPr>
            <w:tcW w:w="1706" w:type="dxa"/>
            <w:tcBorders>
              <w:top w:val="nil"/>
              <w:left w:val="single" w:sz="4" w:space="0" w:color="auto"/>
              <w:bottom w:val="single" w:sz="4" w:space="0" w:color="auto"/>
              <w:right w:val="single" w:sz="4" w:space="0" w:color="auto"/>
            </w:tcBorders>
            <w:shd w:val="clear" w:color="auto" w:fill="EEECE1" w:themeFill="background2"/>
            <w:vAlign w:val="center"/>
            <w:hideMark/>
          </w:tcPr>
          <w:p w14:paraId="0BD1AD38" w14:textId="77777777" w:rsidR="00D252CC" w:rsidRPr="00640D72" w:rsidRDefault="00D252CC" w:rsidP="00925E92">
            <w:pPr>
              <w:spacing w:line="240" w:lineRule="auto"/>
              <w:jc w:val="right"/>
              <w:rPr>
                <w:b/>
                <w:bCs/>
                <w:color w:val="000000"/>
                <w:szCs w:val="24"/>
              </w:rPr>
            </w:pPr>
            <w:r w:rsidRPr="00640D72">
              <w:rPr>
                <w:b/>
                <w:bCs/>
                <w:color w:val="000000"/>
                <w:szCs w:val="24"/>
              </w:rPr>
              <w:t>Oct-2016</w:t>
            </w:r>
          </w:p>
        </w:tc>
        <w:tc>
          <w:tcPr>
            <w:tcW w:w="1559" w:type="dxa"/>
            <w:tcBorders>
              <w:top w:val="nil"/>
              <w:left w:val="nil"/>
              <w:bottom w:val="single" w:sz="4" w:space="0" w:color="auto"/>
              <w:right w:val="single" w:sz="4" w:space="0" w:color="auto"/>
            </w:tcBorders>
            <w:shd w:val="clear" w:color="auto" w:fill="EEECE1" w:themeFill="background2"/>
            <w:vAlign w:val="center"/>
            <w:hideMark/>
          </w:tcPr>
          <w:p w14:paraId="05EEFBD6" w14:textId="77777777" w:rsidR="00D252CC" w:rsidRPr="00640D72" w:rsidRDefault="00D252CC" w:rsidP="00925E92">
            <w:pPr>
              <w:spacing w:line="240" w:lineRule="auto"/>
              <w:rPr>
                <w:color w:val="000000"/>
                <w:szCs w:val="24"/>
              </w:rPr>
            </w:pPr>
            <w:r w:rsidRPr="00640D72">
              <w:rPr>
                <w:color w:val="000000"/>
                <w:szCs w:val="24"/>
              </w:rPr>
              <w:t>2017 October Cycle</w:t>
            </w:r>
          </w:p>
        </w:tc>
        <w:tc>
          <w:tcPr>
            <w:tcW w:w="2410" w:type="dxa"/>
            <w:tcBorders>
              <w:top w:val="nil"/>
              <w:left w:val="nil"/>
              <w:bottom w:val="single" w:sz="4" w:space="0" w:color="auto"/>
              <w:right w:val="single" w:sz="4" w:space="0" w:color="auto"/>
            </w:tcBorders>
            <w:shd w:val="clear" w:color="auto" w:fill="EEECE1" w:themeFill="background2"/>
            <w:vAlign w:val="center"/>
            <w:hideMark/>
          </w:tcPr>
          <w:p w14:paraId="3C4006F3" w14:textId="77777777" w:rsidR="00D252CC" w:rsidRPr="00640D72" w:rsidRDefault="00D252CC" w:rsidP="00925E92">
            <w:pPr>
              <w:spacing w:line="240" w:lineRule="auto"/>
              <w:rPr>
                <w:color w:val="000000"/>
                <w:szCs w:val="24"/>
              </w:rPr>
            </w:pPr>
            <w:r w:rsidRPr="00640D72">
              <w:rPr>
                <w:color w:val="000000"/>
                <w:szCs w:val="24"/>
              </w:rPr>
              <w:t xml:space="preserve">1 October 2016 to </w:t>
            </w:r>
            <w:r w:rsidRPr="00640D72">
              <w:rPr>
                <w:color w:val="000000"/>
                <w:szCs w:val="24"/>
              </w:rPr>
              <w:br/>
              <w:t>31 March 2017</w:t>
            </w:r>
          </w:p>
        </w:tc>
        <w:tc>
          <w:tcPr>
            <w:tcW w:w="2126" w:type="dxa"/>
            <w:tcBorders>
              <w:top w:val="nil"/>
              <w:left w:val="nil"/>
              <w:bottom w:val="single" w:sz="4" w:space="0" w:color="auto"/>
              <w:right w:val="single" w:sz="4" w:space="0" w:color="auto"/>
            </w:tcBorders>
            <w:shd w:val="clear" w:color="auto" w:fill="EEECE1" w:themeFill="background2"/>
            <w:noWrap/>
            <w:vAlign w:val="center"/>
            <w:hideMark/>
          </w:tcPr>
          <w:p w14:paraId="7F5779AE" w14:textId="77777777" w:rsidR="00D252CC" w:rsidRPr="00640D72" w:rsidRDefault="00D252CC" w:rsidP="00925E92">
            <w:pPr>
              <w:spacing w:line="240" w:lineRule="auto"/>
              <w:rPr>
                <w:color w:val="000000"/>
                <w:szCs w:val="24"/>
              </w:rPr>
            </w:pPr>
            <w:r w:rsidRPr="00640D72">
              <w:rPr>
                <w:color w:val="000000"/>
                <w:szCs w:val="24"/>
              </w:rPr>
              <w:t xml:space="preserve">12 May 2017 </w:t>
            </w:r>
          </w:p>
        </w:tc>
        <w:tc>
          <w:tcPr>
            <w:tcW w:w="1981" w:type="dxa"/>
            <w:tcBorders>
              <w:top w:val="nil"/>
              <w:left w:val="nil"/>
              <w:bottom w:val="single" w:sz="4" w:space="0" w:color="auto"/>
              <w:right w:val="single" w:sz="4" w:space="0" w:color="auto"/>
            </w:tcBorders>
            <w:shd w:val="clear" w:color="auto" w:fill="EEECE1" w:themeFill="background2"/>
            <w:vAlign w:val="center"/>
            <w:hideMark/>
          </w:tcPr>
          <w:p w14:paraId="59E40D82" w14:textId="77777777" w:rsidR="00D252CC" w:rsidRPr="00640D72" w:rsidRDefault="00D252CC" w:rsidP="00925E92">
            <w:pPr>
              <w:spacing w:line="240" w:lineRule="auto"/>
              <w:rPr>
                <w:color w:val="000000"/>
                <w:szCs w:val="24"/>
              </w:rPr>
            </w:pPr>
            <w:r w:rsidRPr="00640D72">
              <w:rPr>
                <w:color w:val="000000"/>
                <w:szCs w:val="24"/>
              </w:rPr>
              <w:t>1 October 2017</w:t>
            </w:r>
          </w:p>
        </w:tc>
      </w:tr>
      <w:tr w:rsidR="00D252CC" w:rsidRPr="00BB28F3" w14:paraId="327C432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7E26A89" w14:textId="77777777" w:rsidR="00D252CC" w:rsidRPr="00640D72" w:rsidRDefault="00D252CC" w:rsidP="00925E92">
            <w:pPr>
              <w:spacing w:line="240" w:lineRule="auto"/>
              <w:jc w:val="right"/>
              <w:rPr>
                <w:b/>
                <w:bCs/>
                <w:color w:val="000000"/>
                <w:szCs w:val="24"/>
              </w:rPr>
            </w:pPr>
            <w:r w:rsidRPr="00640D72">
              <w:rPr>
                <w:b/>
                <w:bCs/>
                <w:color w:val="000000"/>
                <w:szCs w:val="24"/>
              </w:rPr>
              <w:t>Nov-2016</w:t>
            </w:r>
          </w:p>
        </w:tc>
        <w:tc>
          <w:tcPr>
            <w:tcW w:w="1559" w:type="dxa"/>
            <w:tcBorders>
              <w:top w:val="nil"/>
              <w:left w:val="nil"/>
              <w:bottom w:val="single" w:sz="4" w:space="0" w:color="auto"/>
              <w:right w:val="single" w:sz="4" w:space="0" w:color="auto"/>
            </w:tcBorders>
            <w:shd w:val="clear" w:color="auto" w:fill="auto"/>
            <w:vAlign w:val="center"/>
            <w:hideMark/>
          </w:tcPr>
          <w:p w14:paraId="741DED59"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auto" w:fill="auto"/>
            <w:vAlign w:val="center"/>
            <w:hideMark/>
          </w:tcPr>
          <w:p w14:paraId="3B275888" w14:textId="77777777" w:rsidR="00D252CC" w:rsidRPr="00640D72" w:rsidRDefault="00D252CC" w:rsidP="00925E92">
            <w:pPr>
              <w:spacing w:line="240" w:lineRule="auto"/>
              <w:rPr>
                <w:color w:val="000000"/>
                <w:szCs w:val="24"/>
              </w:rPr>
            </w:pPr>
            <w:r w:rsidRPr="00640D72">
              <w:rPr>
                <w:color w:val="000000"/>
                <w:szCs w:val="24"/>
              </w:rPr>
              <w:t xml:space="preserve">1 November 2016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auto" w:fill="auto"/>
            <w:vAlign w:val="center"/>
            <w:hideMark/>
          </w:tcPr>
          <w:p w14:paraId="6F7C3424"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auto" w:fill="auto"/>
            <w:vAlign w:val="center"/>
            <w:hideMark/>
          </w:tcPr>
          <w:p w14:paraId="0AE94803"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62CF6CED"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6429F601" w14:textId="77777777" w:rsidR="00D252CC" w:rsidRPr="00640D72" w:rsidRDefault="00D252CC" w:rsidP="00925E92">
            <w:pPr>
              <w:spacing w:line="240" w:lineRule="auto"/>
              <w:jc w:val="right"/>
              <w:rPr>
                <w:b/>
                <w:bCs/>
                <w:color w:val="000000"/>
                <w:szCs w:val="24"/>
              </w:rPr>
            </w:pPr>
            <w:r w:rsidRPr="00640D72">
              <w:rPr>
                <w:b/>
                <w:bCs/>
                <w:color w:val="000000"/>
                <w:szCs w:val="24"/>
              </w:rPr>
              <w:t>Dec-2016</w:t>
            </w:r>
          </w:p>
        </w:tc>
        <w:tc>
          <w:tcPr>
            <w:tcW w:w="1559"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38CF6A57"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082F6D9E" w14:textId="77777777" w:rsidR="00D252CC" w:rsidRPr="00640D72" w:rsidRDefault="00D252CC" w:rsidP="00925E92">
            <w:pPr>
              <w:spacing w:line="240" w:lineRule="auto"/>
              <w:rPr>
                <w:color w:val="000000"/>
                <w:szCs w:val="24"/>
              </w:rPr>
            </w:pPr>
            <w:r w:rsidRPr="00640D72">
              <w:rPr>
                <w:color w:val="000000"/>
                <w:szCs w:val="24"/>
              </w:rPr>
              <w:t xml:space="preserve">1 December 2016 to </w:t>
            </w:r>
            <w:r w:rsidRPr="00640D72">
              <w:rPr>
                <w:color w:val="000000"/>
                <w:szCs w:val="24"/>
              </w:rPr>
              <w:br/>
              <w:t xml:space="preserve">30 September 2017 </w:t>
            </w:r>
          </w:p>
        </w:tc>
        <w:tc>
          <w:tcPr>
            <w:tcW w:w="2126"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E8CE9FE"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single" w:sz="4" w:space="0" w:color="auto"/>
              <w:left w:val="single" w:sz="4" w:space="0" w:color="auto"/>
              <w:bottom w:val="single" w:sz="4" w:space="0" w:color="auto"/>
              <w:right w:val="single" w:sz="4" w:space="0" w:color="auto"/>
            </w:tcBorders>
            <w:shd w:val="clear" w:color="000000" w:fill="EEECE1"/>
            <w:vAlign w:val="center"/>
            <w:hideMark/>
          </w:tcPr>
          <w:p w14:paraId="1EF97377"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460A50D0"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92B1FD" w14:textId="77777777" w:rsidR="00D252CC" w:rsidRPr="00640D72" w:rsidRDefault="00D252CC" w:rsidP="00925E92">
            <w:pPr>
              <w:spacing w:line="240" w:lineRule="auto"/>
              <w:jc w:val="right"/>
              <w:rPr>
                <w:b/>
                <w:bCs/>
                <w:color w:val="000000"/>
                <w:szCs w:val="24"/>
              </w:rPr>
            </w:pPr>
            <w:r w:rsidRPr="00640D72">
              <w:rPr>
                <w:b/>
                <w:bCs/>
                <w:color w:val="000000"/>
                <w:szCs w:val="24"/>
              </w:rPr>
              <w:t>Jan-2017</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8C31458"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6EF06136" w14:textId="77777777" w:rsidR="00D252CC" w:rsidRPr="00640D72" w:rsidRDefault="00D252CC" w:rsidP="00925E92">
            <w:pPr>
              <w:spacing w:line="240" w:lineRule="auto"/>
              <w:rPr>
                <w:color w:val="000000"/>
                <w:szCs w:val="24"/>
              </w:rPr>
            </w:pPr>
            <w:r w:rsidRPr="00640D72">
              <w:rPr>
                <w:color w:val="000000"/>
                <w:szCs w:val="24"/>
              </w:rPr>
              <w:t xml:space="preserve">1 January 2017 to </w:t>
            </w:r>
            <w:r w:rsidRPr="00640D72">
              <w:rPr>
                <w:color w:val="000000"/>
                <w:szCs w:val="24"/>
              </w:rPr>
              <w:br/>
              <w:t>30 September 2017</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6CE4E87"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03A758E7"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14F59267" w14:textId="77777777" w:rsidTr="00937377">
        <w:trPr>
          <w:trHeight w:val="630"/>
        </w:trPr>
        <w:tc>
          <w:tcPr>
            <w:tcW w:w="1706" w:type="dxa"/>
            <w:tcBorders>
              <w:top w:val="nil"/>
              <w:left w:val="single" w:sz="4" w:space="0" w:color="auto"/>
              <w:bottom w:val="single" w:sz="4" w:space="0" w:color="auto"/>
              <w:right w:val="single" w:sz="4" w:space="0" w:color="auto"/>
            </w:tcBorders>
            <w:shd w:val="clear" w:color="auto" w:fill="EEECE1" w:themeFill="background2"/>
            <w:vAlign w:val="center"/>
            <w:hideMark/>
          </w:tcPr>
          <w:p w14:paraId="14CB0C90" w14:textId="77777777" w:rsidR="00D252CC" w:rsidRPr="00640D72" w:rsidRDefault="00D252CC" w:rsidP="00925E92">
            <w:pPr>
              <w:spacing w:line="240" w:lineRule="auto"/>
              <w:jc w:val="right"/>
              <w:rPr>
                <w:b/>
                <w:bCs/>
                <w:color w:val="000000"/>
                <w:szCs w:val="24"/>
              </w:rPr>
            </w:pPr>
            <w:r w:rsidRPr="00640D72">
              <w:rPr>
                <w:b/>
                <w:bCs/>
                <w:color w:val="000000"/>
                <w:szCs w:val="24"/>
              </w:rPr>
              <w:t>Feb-2017</w:t>
            </w:r>
          </w:p>
        </w:tc>
        <w:tc>
          <w:tcPr>
            <w:tcW w:w="1559" w:type="dxa"/>
            <w:tcBorders>
              <w:top w:val="nil"/>
              <w:left w:val="nil"/>
              <w:bottom w:val="single" w:sz="4" w:space="0" w:color="auto"/>
              <w:right w:val="single" w:sz="4" w:space="0" w:color="auto"/>
            </w:tcBorders>
            <w:shd w:val="clear" w:color="auto" w:fill="EEECE1" w:themeFill="background2"/>
            <w:vAlign w:val="center"/>
            <w:hideMark/>
          </w:tcPr>
          <w:p w14:paraId="4CADB15A"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auto" w:fill="EEECE1" w:themeFill="background2"/>
            <w:vAlign w:val="center"/>
            <w:hideMark/>
          </w:tcPr>
          <w:p w14:paraId="3E7996A6" w14:textId="77777777" w:rsidR="00D252CC" w:rsidRPr="00640D72" w:rsidRDefault="00D252CC" w:rsidP="00925E92">
            <w:pPr>
              <w:spacing w:line="240" w:lineRule="auto"/>
              <w:rPr>
                <w:color w:val="000000"/>
                <w:szCs w:val="24"/>
              </w:rPr>
            </w:pPr>
            <w:r w:rsidRPr="00640D72">
              <w:rPr>
                <w:color w:val="000000"/>
                <w:szCs w:val="24"/>
              </w:rPr>
              <w:t xml:space="preserve">1 February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auto" w:fill="EEECE1" w:themeFill="background2"/>
            <w:vAlign w:val="center"/>
            <w:hideMark/>
          </w:tcPr>
          <w:p w14:paraId="599526AF"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auto" w:fill="EEECE1" w:themeFill="background2"/>
            <w:vAlign w:val="center"/>
            <w:hideMark/>
          </w:tcPr>
          <w:p w14:paraId="49F9F33F"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7F9224CC" w14:textId="77777777" w:rsidTr="00D570A5">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FFFFFF"/>
            <w:vAlign w:val="center"/>
            <w:hideMark/>
          </w:tcPr>
          <w:p w14:paraId="2BFE3D14" w14:textId="77777777" w:rsidR="00D252CC" w:rsidRPr="00640D72" w:rsidRDefault="00D252CC" w:rsidP="00925E92">
            <w:pPr>
              <w:spacing w:line="240" w:lineRule="auto"/>
              <w:jc w:val="right"/>
              <w:rPr>
                <w:b/>
                <w:bCs/>
                <w:color w:val="000000"/>
                <w:szCs w:val="24"/>
              </w:rPr>
            </w:pPr>
            <w:r w:rsidRPr="00640D72">
              <w:rPr>
                <w:b/>
                <w:bCs/>
                <w:color w:val="000000"/>
                <w:szCs w:val="24"/>
              </w:rPr>
              <w:t>Mar-2017</w:t>
            </w:r>
          </w:p>
        </w:tc>
        <w:tc>
          <w:tcPr>
            <w:tcW w:w="1559" w:type="dxa"/>
            <w:tcBorders>
              <w:top w:val="nil"/>
              <w:left w:val="nil"/>
              <w:bottom w:val="single" w:sz="4" w:space="0" w:color="auto"/>
              <w:right w:val="single" w:sz="4" w:space="0" w:color="auto"/>
            </w:tcBorders>
            <w:shd w:val="clear" w:color="000000" w:fill="FFFFFF"/>
            <w:vAlign w:val="center"/>
            <w:hideMark/>
          </w:tcPr>
          <w:p w14:paraId="537A02EE"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000000" w:fill="FFFFFF"/>
            <w:vAlign w:val="center"/>
            <w:hideMark/>
          </w:tcPr>
          <w:p w14:paraId="0ACF3610" w14:textId="77777777" w:rsidR="00D252CC" w:rsidRPr="00640D72" w:rsidRDefault="00D252CC" w:rsidP="00925E92">
            <w:pPr>
              <w:spacing w:line="240" w:lineRule="auto"/>
              <w:rPr>
                <w:color w:val="000000"/>
                <w:szCs w:val="24"/>
              </w:rPr>
            </w:pPr>
            <w:r w:rsidRPr="00640D72">
              <w:rPr>
                <w:color w:val="000000"/>
                <w:szCs w:val="24"/>
              </w:rPr>
              <w:t xml:space="preserve">1 March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000000" w:fill="FFFFFF"/>
            <w:vAlign w:val="center"/>
            <w:hideMark/>
          </w:tcPr>
          <w:p w14:paraId="4A59AFDF" w14:textId="77777777" w:rsidR="00D252CC" w:rsidRPr="00640D72" w:rsidRDefault="00D252CC" w:rsidP="00925E92">
            <w:pPr>
              <w:spacing w:line="240" w:lineRule="auto"/>
              <w:rPr>
                <w:color w:val="000000"/>
                <w:szCs w:val="24"/>
              </w:rPr>
            </w:pPr>
            <w:r w:rsidRPr="00640D72">
              <w:rPr>
                <w:color w:val="000000"/>
                <w:szCs w:val="24"/>
              </w:rPr>
              <w:t>12 May 2017 and 11 November 2017</w:t>
            </w:r>
          </w:p>
        </w:tc>
        <w:tc>
          <w:tcPr>
            <w:tcW w:w="1981" w:type="dxa"/>
            <w:tcBorders>
              <w:top w:val="nil"/>
              <w:left w:val="nil"/>
              <w:bottom w:val="single" w:sz="4" w:space="0" w:color="auto"/>
              <w:right w:val="single" w:sz="4" w:space="0" w:color="auto"/>
            </w:tcBorders>
            <w:shd w:val="clear" w:color="000000" w:fill="FFFFFF"/>
            <w:vAlign w:val="center"/>
            <w:hideMark/>
          </w:tcPr>
          <w:p w14:paraId="6DBCD05B" w14:textId="77777777" w:rsidR="00D252CC" w:rsidRPr="00640D72" w:rsidRDefault="00D252CC" w:rsidP="00925E92">
            <w:pPr>
              <w:spacing w:line="240" w:lineRule="auto"/>
              <w:rPr>
                <w:color w:val="000000"/>
                <w:szCs w:val="24"/>
              </w:rPr>
            </w:pPr>
            <w:r w:rsidRPr="00640D72">
              <w:rPr>
                <w:color w:val="000000"/>
                <w:szCs w:val="24"/>
              </w:rPr>
              <w:t>1 April 2018</w:t>
            </w:r>
          </w:p>
        </w:tc>
      </w:tr>
      <w:tr w:rsidR="00D252CC" w:rsidRPr="00BB28F3" w14:paraId="3D57F929"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249A9C20" w14:textId="77777777" w:rsidR="00D252CC" w:rsidRPr="00640D72" w:rsidRDefault="00D252CC" w:rsidP="00925E92">
            <w:pPr>
              <w:spacing w:line="240" w:lineRule="auto"/>
              <w:jc w:val="right"/>
              <w:rPr>
                <w:b/>
                <w:bCs/>
                <w:color w:val="000000"/>
                <w:szCs w:val="24"/>
              </w:rPr>
            </w:pPr>
            <w:r w:rsidRPr="00640D72">
              <w:rPr>
                <w:b/>
                <w:bCs/>
                <w:color w:val="000000"/>
                <w:szCs w:val="24"/>
              </w:rPr>
              <w:t>Apr-2017</w:t>
            </w:r>
          </w:p>
        </w:tc>
        <w:tc>
          <w:tcPr>
            <w:tcW w:w="1559" w:type="dxa"/>
            <w:tcBorders>
              <w:top w:val="nil"/>
              <w:left w:val="nil"/>
              <w:bottom w:val="single" w:sz="4" w:space="0" w:color="auto"/>
              <w:right w:val="single" w:sz="4" w:space="0" w:color="auto"/>
            </w:tcBorders>
            <w:shd w:val="clear" w:color="000000" w:fill="EEECE1"/>
            <w:noWrap/>
            <w:vAlign w:val="center"/>
            <w:hideMark/>
          </w:tcPr>
          <w:p w14:paraId="5A642E65" w14:textId="77777777" w:rsidR="00D252CC" w:rsidRPr="00640D72" w:rsidRDefault="00D252CC" w:rsidP="00925E92">
            <w:pPr>
              <w:spacing w:line="240" w:lineRule="auto"/>
              <w:rPr>
                <w:color w:val="000000"/>
                <w:szCs w:val="24"/>
              </w:rPr>
            </w:pPr>
            <w:r w:rsidRPr="00640D72">
              <w:rPr>
                <w:color w:val="000000"/>
                <w:szCs w:val="24"/>
              </w:rPr>
              <w:t>2018 April Cycle</w:t>
            </w:r>
          </w:p>
        </w:tc>
        <w:tc>
          <w:tcPr>
            <w:tcW w:w="2410" w:type="dxa"/>
            <w:tcBorders>
              <w:top w:val="nil"/>
              <w:left w:val="nil"/>
              <w:bottom w:val="single" w:sz="4" w:space="0" w:color="auto"/>
              <w:right w:val="single" w:sz="4" w:space="0" w:color="auto"/>
            </w:tcBorders>
            <w:shd w:val="clear" w:color="000000" w:fill="EEECE1"/>
            <w:vAlign w:val="center"/>
            <w:hideMark/>
          </w:tcPr>
          <w:p w14:paraId="5054D06D" w14:textId="77777777" w:rsidR="00D252CC" w:rsidRPr="00640D72" w:rsidRDefault="00D252CC" w:rsidP="00925E92">
            <w:pPr>
              <w:spacing w:line="240" w:lineRule="auto"/>
              <w:rPr>
                <w:color w:val="000000"/>
                <w:szCs w:val="24"/>
              </w:rPr>
            </w:pPr>
            <w:r w:rsidRPr="00640D72">
              <w:rPr>
                <w:color w:val="000000"/>
                <w:szCs w:val="24"/>
              </w:rPr>
              <w:t xml:space="preserve">1 April 2017 to </w:t>
            </w:r>
            <w:r w:rsidRPr="00640D72">
              <w:rPr>
                <w:color w:val="000000"/>
                <w:szCs w:val="24"/>
              </w:rPr>
              <w:br/>
              <w:t>30 September 2017</w:t>
            </w:r>
          </w:p>
        </w:tc>
        <w:tc>
          <w:tcPr>
            <w:tcW w:w="2126" w:type="dxa"/>
            <w:tcBorders>
              <w:top w:val="nil"/>
              <w:left w:val="nil"/>
              <w:bottom w:val="single" w:sz="4" w:space="0" w:color="auto"/>
              <w:right w:val="single" w:sz="4" w:space="0" w:color="auto"/>
            </w:tcBorders>
            <w:shd w:val="clear" w:color="000000" w:fill="EEECE1"/>
            <w:noWrap/>
            <w:vAlign w:val="center"/>
            <w:hideMark/>
          </w:tcPr>
          <w:p w14:paraId="60CCC97A" w14:textId="77777777" w:rsidR="00D252CC" w:rsidRPr="00640D72" w:rsidRDefault="00D252CC" w:rsidP="00925E92">
            <w:pPr>
              <w:spacing w:line="240" w:lineRule="auto"/>
              <w:rPr>
                <w:color w:val="000000"/>
                <w:szCs w:val="24"/>
              </w:rPr>
            </w:pPr>
            <w:r w:rsidRPr="00640D72">
              <w:rPr>
                <w:color w:val="000000"/>
                <w:szCs w:val="24"/>
              </w:rPr>
              <w:t>11 November 2017</w:t>
            </w:r>
          </w:p>
        </w:tc>
        <w:tc>
          <w:tcPr>
            <w:tcW w:w="1981" w:type="dxa"/>
            <w:tcBorders>
              <w:top w:val="nil"/>
              <w:left w:val="nil"/>
              <w:bottom w:val="single" w:sz="4" w:space="0" w:color="auto"/>
              <w:right w:val="single" w:sz="4" w:space="0" w:color="auto"/>
            </w:tcBorders>
            <w:shd w:val="clear" w:color="000000" w:fill="EEECE1"/>
            <w:vAlign w:val="center"/>
            <w:hideMark/>
          </w:tcPr>
          <w:p w14:paraId="2B5A2C08" w14:textId="77777777" w:rsidR="00D252CC" w:rsidRPr="00640D72" w:rsidRDefault="00D252CC" w:rsidP="00925E92">
            <w:pPr>
              <w:spacing w:line="240" w:lineRule="auto"/>
              <w:rPr>
                <w:color w:val="000000"/>
                <w:szCs w:val="24"/>
              </w:rPr>
            </w:pPr>
            <w:r w:rsidRPr="00640D72">
              <w:rPr>
                <w:color w:val="000000"/>
                <w:szCs w:val="24"/>
              </w:rPr>
              <w:t>1 April 2018</w:t>
            </w:r>
          </w:p>
        </w:tc>
      </w:tr>
      <w:tr w:rsidR="00893442" w:rsidRPr="00640D72" w14:paraId="723242F9"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4F81BD" w:themeFill="accent1"/>
            <w:vAlign w:val="center"/>
            <w:hideMark/>
          </w:tcPr>
          <w:p w14:paraId="72FE73F5" w14:textId="77777777" w:rsidR="00893442" w:rsidRPr="00640D72" w:rsidRDefault="00893442" w:rsidP="004E4CC8">
            <w:pPr>
              <w:spacing w:line="240" w:lineRule="auto"/>
              <w:jc w:val="right"/>
              <w:rPr>
                <w:b/>
                <w:bCs/>
                <w:color w:val="000000"/>
                <w:szCs w:val="24"/>
              </w:rPr>
            </w:pPr>
            <w:r w:rsidRPr="00640D72">
              <w:rPr>
                <w:b/>
                <w:bCs/>
                <w:color w:val="FFFFFF"/>
                <w:szCs w:val="24"/>
              </w:rPr>
              <w:lastRenderedPageBreak/>
              <w:t>Start of Price Disclosure for Drug/MoA</w:t>
            </w:r>
          </w:p>
        </w:tc>
        <w:tc>
          <w:tcPr>
            <w:tcW w:w="1559" w:type="dxa"/>
            <w:tcBorders>
              <w:top w:val="single" w:sz="4" w:space="0" w:color="auto"/>
              <w:left w:val="nil"/>
              <w:bottom w:val="single" w:sz="4" w:space="0" w:color="auto"/>
              <w:right w:val="single" w:sz="4" w:space="0" w:color="auto"/>
            </w:tcBorders>
            <w:shd w:val="clear" w:color="000000" w:fill="4F81BD" w:themeFill="accent1"/>
            <w:noWrap/>
            <w:vAlign w:val="center"/>
            <w:hideMark/>
          </w:tcPr>
          <w:p w14:paraId="26B36495" w14:textId="77777777" w:rsidR="00893442" w:rsidRPr="00640D72" w:rsidRDefault="00893442" w:rsidP="004E4CC8">
            <w:pPr>
              <w:spacing w:line="240" w:lineRule="auto"/>
              <w:rPr>
                <w:color w:val="000000"/>
                <w:szCs w:val="24"/>
              </w:rPr>
            </w:pPr>
            <w:r w:rsidRPr="00640D72">
              <w:rPr>
                <w:b/>
                <w:bCs/>
                <w:color w:val="FFFFFF"/>
                <w:szCs w:val="24"/>
              </w:rPr>
              <w:t>First Cycle</w:t>
            </w:r>
          </w:p>
        </w:tc>
        <w:tc>
          <w:tcPr>
            <w:tcW w:w="2410" w:type="dxa"/>
            <w:tcBorders>
              <w:top w:val="single" w:sz="4" w:space="0" w:color="auto"/>
              <w:left w:val="nil"/>
              <w:bottom w:val="single" w:sz="4" w:space="0" w:color="auto"/>
              <w:right w:val="single" w:sz="4" w:space="0" w:color="auto"/>
            </w:tcBorders>
            <w:shd w:val="clear" w:color="000000" w:fill="4F81BD" w:themeFill="accent1"/>
            <w:vAlign w:val="center"/>
            <w:hideMark/>
          </w:tcPr>
          <w:p w14:paraId="4B26753B" w14:textId="77777777" w:rsidR="00893442" w:rsidRPr="00640D72" w:rsidRDefault="00893442" w:rsidP="004E4CC8">
            <w:pPr>
              <w:spacing w:line="240" w:lineRule="auto"/>
              <w:rPr>
                <w:color w:val="000000"/>
                <w:szCs w:val="24"/>
              </w:rPr>
            </w:pPr>
            <w:r w:rsidRPr="00640D72">
              <w:rPr>
                <w:b/>
                <w:bCs/>
                <w:color w:val="FFFFFF"/>
                <w:szCs w:val="24"/>
              </w:rPr>
              <w:t>First Data Collection Period</w:t>
            </w:r>
          </w:p>
        </w:tc>
        <w:tc>
          <w:tcPr>
            <w:tcW w:w="2126" w:type="dxa"/>
            <w:tcBorders>
              <w:top w:val="single" w:sz="4" w:space="0" w:color="auto"/>
              <w:left w:val="nil"/>
              <w:bottom w:val="single" w:sz="4" w:space="0" w:color="auto"/>
              <w:right w:val="single" w:sz="4" w:space="0" w:color="auto"/>
            </w:tcBorders>
            <w:shd w:val="clear" w:color="000000" w:fill="4F81BD" w:themeFill="accent1"/>
            <w:noWrap/>
            <w:vAlign w:val="center"/>
            <w:hideMark/>
          </w:tcPr>
          <w:p w14:paraId="1D6C2EC1" w14:textId="77777777" w:rsidR="00893442" w:rsidRPr="00640D72" w:rsidRDefault="00893442" w:rsidP="004E4CC8">
            <w:pPr>
              <w:spacing w:line="240" w:lineRule="auto"/>
              <w:rPr>
                <w:color w:val="000000"/>
                <w:szCs w:val="24"/>
              </w:rPr>
            </w:pPr>
            <w:r w:rsidRPr="00640D72">
              <w:rPr>
                <w:b/>
                <w:bCs/>
                <w:color w:val="FFFFFF"/>
                <w:szCs w:val="24"/>
              </w:rPr>
              <w:t>Data Due Date(s) for First Data Collection Period</w:t>
            </w:r>
            <w:r w:rsidRPr="00BE41C2">
              <w:rPr>
                <w:b/>
                <w:bCs/>
                <w:color w:val="FF0000"/>
                <w:sz w:val="24"/>
                <w:szCs w:val="24"/>
              </w:rPr>
              <w:t>*</w:t>
            </w:r>
          </w:p>
        </w:tc>
        <w:tc>
          <w:tcPr>
            <w:tcW w:w="1981" w:type="dxa"/>
            <w:tcBorders>
              <w:top w:val="single" w:sz="4" w:space="0" w:color="auto"/>
              <w:left w:val="nil"/>
              <w:bottom w:val="single" w:sz="4" w:space="0" w:color="auto"/>
              <w:right w:val="single" w:sz="4" w:space="0" w:color="auto"/>
            </w:tcBorders>
            <w:shd w:val="clear" w:color="000000" w:fill="4F81BD" w:themeFill="accent1"/>
            <w:vAlign w:val="center"/>
            <w:hideMark/>
          </w:tcPr>
          <w:p w14:paraId="5A4A5F2E" w14:textId="77777777" w:rsidR="00893442" w:rsidRPr="00640D72" w:rsidRDefault="00893442" w:rsidP="004E4CC8">
            <w:pPr>
              <w:spacing w:line="240" w:lineRule="auto"/>
              <w:rPr>
                <w:color w:val="000000"/>
                <w:szCs w:val="24"/>
              </w:rPr>
            </w:pPr>
            <w:r w:rsidRPr="00640D72">
              <w:rPr>
                <w:b/>
                <w:bCs/>
                <w:color w:val="FFFFFF"/>
                <w:szCs w:val="24"/>
              </w:rPr>
              <w:t>First Potential Reduction Day</w:t>
            </w:r>
          </w:p>
        </w:tc>
      </w:tr>
      <w:tr w:rsidR="00893442" w:rsidRPr="00640D72" w14:paraId="3B6A1952"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0D402D71" w14:textId="77777777" w:rsidR="00893442" w:rsidRPr="00640D72" w:rsidRDefault="00893442" w:rsidP="004E4CC8">
            <w:pPr>
              <w:spacing w:line="240" w:lineRule="auto"/>
              <w:jc w:val="right"/>
              <w:rPr>
                <w:b/>
                <w:bCs/>
                <w:color w:val="000000"/>
                <w:szCs w:val="24"/>
              </w:rPr>
            </w:pPr>
            <w:r>
              <w:rPr>
                <w:b/>
                <w:bCs/>
                <w:color w:val="000000"/>
                <w:szCs w:val="24"/>
              </w:rPr>
              <w:t>May-2017</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21BF993"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6427F14" w14:textId="77777777" w:rsidR="00893442" w:rsidRPr="00640D72" w:rsidRDefault="00893442" w:rsidP="004E4CC8">
            <w:pPr>
              <w:spacing w:line="240" w:lineRule="auto"/>
              <w:rPr>
                <w:color w:val="000000"/>
                <w:szCs w:val="24"/>
              </w:rPr>
            </w:pPr>
            <w:r>
              <w:rPr>
                <w:color w:val="000000"/>
                <w:szCs w:val="24"/>
              </w:rPr>
              <w:t xml:space="preserve">1 May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011F3B7" w14:textId="77777777" w:rsidR="00893442" w:rsidRPr="00640D72" w:rsidRDefault="00893442" w:rsidP="004E4CC8">
            <w:pPr>
              <w:spacing w:line="240" w:lineRule="auto"/>
              <w:rPr>
                <w:color w:val="000000"/>
                <w:szCs w:val="24"/>
              </w:rPr>
            </w:pPr>
            <w:r w:rsidRPr="00640D72">
              <w:rPr>
                <w:color w:val="000000"/>
                <w:szCs w:val="24"/>
              </w:rPr>
              <w:t>11 November 2017</w:t>
            </w:r>
            <w:r>
              <w:rPr>
                <w:color w:val="000000"/>
                <w:szCs w:val="24"/>
              </w:rPr>
              <w:t xml:space="preserve"> and 12 May 2018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3BBF77F7"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1B1BE041"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705A296A" w14:textId="77777777" w:rsidR="00893442" w:rsidRPr="00640D72" w:rsidRDefault="00893442" w:rsidP="004E4CC8">
            <w:pPr>
              <w:spacing w:line="240" w:lineRule="auto"/>
              <w:jc w:val="right"/>
              <w:rPr>
                <w:b/>
                <w:bCs/>
                <w:color w:val="000000"/>
                <w:szCs w:val="24"/>
              </w:rPr>
            </w:pPr>
            <w:r>
              <w:rPr>
                <w:b/>
                <w:bCs/>
                <w:color w:val="000000"/>
                <w:szCs w:val="24"/>
              </w:rPr>
              <w:t>Jun-2017</w:t>
            </w:r>
          </w:p>
        </w:tc>
        <w:tc>
          <w:tcPr>
            <w:tcW w:w="1559" w:type="dxa"/>
            <w:tcBorders>
              <w:top w:val="nil"/>
              <w:left w:val="nil"/>
              <w:bottom w:val="single" w:sz="4" w:space="0" w:color="auto"/>
              <w:right w:val="single" w:sz="4" w:space="0" w:color="auto"/>
            </w:tcBorders>
            <w:shd w:val="clear" w:color="000000" w:fill="EEECE1"/>
            <w:noWrap/>
            <w:vAlign w:val="center"/>
            <w:hideMark/>
          </w:tcPr>
          <w:p w14:paraId="4DF3C46A"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nil"/>
              <w:left w:val="nil"/>
              <w:bottom w:val="single" w:sz="4" w:space="0" w:color="auto"/>
              <w:right w:val="single" w:sz="4" w:space="0" w:color="auto"/>
            </w:tcBorders>
            <w:shd w:val="clear" w:color="000000" w:fill="EEECE1"/>
            <w:vAlign w:val="center"/>
            <w:hideMark/>
          </w:tcPr>
          <w:p w14:paraId="1BC2E88F" w14:textId="77777777" w:rsidR="00893442" w:rsidRPr="00640D72" w:rsidRDefault="00893442" w:rsidP="004E4CC8">
            <w:pPr>
              <w:spacing w:line="240" w:lineRule="auto"/>
              <w:rPr>
                <w:color w:val="000000"/>
                <w:szCs w:val="24"/>
              </w:rPr>
            </w:pPr>
            <w:r>
              <w:rPr>
                <w:color w:val="000000"/>
                <w:szCs w:val="24"/>
              </w:rPr>
              <w:t xml:space="preserve">1 June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nil"/>
              <w:left w:val="nil"/>
              <w:bottom w:val="single" w:sz="4" w:space="0" w:color="auto"/>
              <w:right w:val="single" w:sz="4" w:space="0" w:color="auto"/>
            </w:tcBorders>
            <w:shd w:val="clear" w:color="000000" w:fill="EEECE1"/>
            <w:noWrap/>
            <w:vAlign w:val="center"/>
            <w:hideMark/>
          </w:tcPr>
          <w:p w14:paraId="1F606575" w14:textId="77777777" w:rsidR="00893442" w:rsidRPr="00640D72" w:rsidRDefault="00893442" w:rsidP="004E4CC8">
            <w:pPr>
              <w:spacing w:line="240" w:lineRule="auto"/>
              <w:rPr>
                <w:color w:val="000000"/>
                <w:szCs w:val="24"/>
              </w:rPr>
            </w:pPr>
            <w:r w:rsidRPr="00640D72">
              <w:rPr>
                <w:color w:val="000000"/>
                <w:szCs w:val="24"/>
              </w:rPr>
              <w:t>11 November 2017</w:t>
            </w:r>
            <w:r>
              <w:rPr>
                <w:color w:val="000000"/>
                <w:szCs w:val="24"/>
              </w:rPr>
              <w:t xml:space="preserve"> and 12 May 2018</w:t>
            </w:r>
          </w:p>
        </w:tc>
        <w:tc>
          <w:tcPr>
            <w:tcW w:w="1981" w:type="dxa"/>
            <w:tcBorders>
              <w:top w:val="nil"/>
              <w:left w:val="nil"/>
              <w:bottom w:val="single" w:sz="4" w:space="0" w:color="auto"/>
              <w:right w:val="single" w:sz="4" w:space="0" w:color="auto"/>
            </w:tcBorders>
            <w:shd w:val="clear" w:color="000000" w:fill="EEECE1"/>
            <w:vAlign w:val="center"/>
            <w:hideMark/>
          </w:tcPr>
          <w:p w14:paraId="5020F320"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514A76B0"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776D7FC" w14:textId="77777777" w:rsidR="00893442" w:rsidRPr="00640D72" w:rsidRDefault="00893442" w:rsidP="004E4CC8">
            <w:pPr>
              <w:spacing w:line="240" w:lineRule="auto"/>
              <w:jc w:val="right"/>
              <w:rPr>
                <w:b/>
                <w:bCs/>
                <w:color w:val="000000"/>
                <w:szCs w:val="24"/>
              </w:rPr>
            </w:pPr>
            <w:r>
              <w:rPr>
                <w:b/>
                <w:bCs/>
                <w:color w:val="000000"/>
                <w:szCs w:val="24"/>
              </w:rPr>
              <w:t>Jul-2017</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548A521"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EF3C0E0" w14:textId="77777777" w:rsidR="00893442" w:rsidRPr="00640D72" w:rsidRDefault="00893442" w:rsidP="004E4CC8">
            <w:pPr>
              <w:spacing w:line="240" w:lineRule="auto"/>
              <w:rPr>
                <w:color w:val="000000"/>
                <w:szCs w:val="24"/>
              </w:rPr>
            </w:pPr>
            <w:r>
              <w:rPr>
                <w:color w:val="000000"/>
                <w:szCs w:val="24"/>
              </w:rPr>
              <w:t xml:space="preserve">1 July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83B1BB4" w14:textId="77777777" w:rsidR="00893442" w:rsidRPr="00640D72" w:rsidRDefault="00893442" w:rsidP="004E4CC8">
            <w:pPr>
              <w:spacing w:line="240" w:lineRule="auto"/>
              <w:rPr>
                <w:color w:val="000000"/>
                <w:szCs w:val="24"/>
              </w:rPr>
            </w:pPr>
            <w:r w:rsidRPr="00640D72">
              <w:rPr>
                <w:color w:val="000000"/>
                <w:szCs w:val="24"/>
              </w:rPr>
              <w:t>11 November 2017</w:t>
            </w:r>
            <w:r>
              <w:rPr>
                <w:color w:val="000000"/>
                <w:szCs w:val="24"/>
              </w:rPr>
              <w:t xml:space="preserve"> and 12 May 2018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EA2A96C"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33B889F1"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30B831B4" w14:textId="77777777" w:rsidR="00893442" w:rsidRPr="00640D72" w:rsidRDefault="00893442" w:rsidP="004E4CC8">
            <w:pPr>
              <w:spacing w:line="240" w:lineRule="auto"/>
              <w:jc w:val="right"/>
              <w:rPr>
                <w:b/>
                <w:bCs/>
                <w:color w:val="000000"/>
                <w:szCs w:val="24"/>
              </w:rPr>
            </w:pPr>
            <w:r>
              <w:rPr>
                <w:b/>
                <w:bCs/>
                <w:color w:val="000000"/>
                <w:szCs w:val="24"/>
              </w:rPr>
              <w:t>Aug-2017</w:t>
            </w:r>
          </w:p>
        </w:tc>
        <w:tc>
          <w:tcPr>
            <w:tcW w:w="1559" w:type="dxa"/>
            <w:tcBorders>
              <w:top w:val="nil"/>
              <w:left w:val="nil"/>
              <w:bottom w:val="single" w:sz="4" w:space="0" w:color="auto"/>
              <w:right w:val="single" w:sz="4" w:space="0" w:color="auto"/>
            </w:tcBorders>
            <w:shd w:val="clear" w:color="000000" w:fill="EEECE1"/>
            <w:noWrap/>
            <w:vAlign w:val="center"/>
            <w:hideMark/>
          </w:tcPr>
          <w:p w14:paraId="25579238"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nil"/>
              <w:left w:val="nil"/>
              <w:bottom w:val="single" w:sz="4" w:space="0" w:color="auto"/>
              <w:right w:val="single" w:sz="4" w:space="0" w:color="auto"/>
            </w:tcBorders>
            <w:shd w:val="clear" w:color="000000" w:fill="EEECE1"/>
            <w:vAlign w:val="center"/>
            <w:hideMark/>
          </w:tcPr>
          <w:p w14:paraId="2B91414A" w14:textId="77777777" w:rsidR="00893442" w:rsidRPr="00640D72" w:rsidRDefault="00893442" w:rsidP="004E4CC8">
            <w:pPr>
              <w:spacing w:line="240" w:lineRule="auto"/>
              <w:rPr>
                <w:color w:val="000000"/>
                <w:szCs w:val="24"/>
              </w:rPr>
            </w:pPr>
            <w:r>
              <w:rPr>
                <w:color w:val="000000"/>
                <w:szCs w:val="24"/>
              </w:rPr>
              <w:t xml:space="preserve">1 August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nil"/>
              <w:left w:val="nil"/>
              <w:bottom w:val="single" w:sz="4" w:space="0" w:color="auto"/>
              <w:right w:val="single" w:sz="4" w:space="0" w:color="auto"/>
            </w:tcBorders>
            <w:shd w:val="clear" w:color="000000" w:fill="EEECE1"/>
            <w:noWrap/>
            <w:vAlign w:val="center"/>
            <w:hideMark/>
          </w:tcPr>
          <w:p w14:paraId="7E8290A4" w14:textId="77777777" w:rsidR="00893442" w:rsidRPr="00640D72" w:rsidRDefault="00893442" w:rsidP="004E4CC8">
            <w:pPr>
              <w:spacing w:line="240" w:lineRule="auto"/>
              <w:rPr>
                <w:color w:val="000000"/>
                <w:szCs w:val="24"/>
              </w:rPr>
            </w:pPr>
            <w:r w:rsidRPr="00640D72">
              <w:rPr>
                <w:color w:val="000000"/>
                <w:szCs w:val="24"/>
              </w:rPr>
              <w:t>11 November 2017</w:t>
            </w:r>
            <w:r>
              <w:rPr>
                <w:color w:val="000000"/>
                <w:szCs w:val="24"/>
              </w:rPr>
              <w:t xml:space="preserve"> and 12 May 2018</w:t>
            </w:r>
          </w:p>
        </w:tc>
        <w:tc>
          <w:tcPr>
            <w:tcW w:w="1981" w:type="dxa"/>
            <w:tcBorders>
              <w:top w:val="nil"/>
              <w:left w:val="nil"/>
              <w:bottom w:val="single" w:sz="4" w:space="0" w:color="auto"/>
              <w:right w:val="single" w:sz="4" w:space="0" w:color="auto"/>
            </w:tcBorders>
            <w:shd w:val="clear" w:color="000000" w:fill="EEECE1"/>
            <w:vAlign w:val="center"/>
            <w:hideMark/>
          </w:tcPr>
          <w:p w14:paraId="71F3DED5"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4BAD0306"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4990A011" w14:textId="77777777" w:rsidR="00893442" w:rsidRPr="00640D72" w:rsidRDefault="00893442" w:rsidP="004E4CC8">
            <w:pPr>
              <w:spacing w:line="240" w:lineRule="auto"/>
              <w:jc w:val="right"/>
              <w:rPr>
                <w:b/>
                <w:bCs/>
                <w:color w:val="000000"/>
                <w:szCs w:val="24"/>
              </w:rPr>
            </w:pPr>
            <w:r>
              <w:rPr>
                <w:b/>
                <w:bCs/>
                <w:color w:val="000000"/>
                <w:szCs w:val="24"/>
              </w:rPr>
              <w:t>Sep-2017</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C598AE2"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231F0B9" w14:textId="77777777" w:rsidR="00893442" w:rsidRPr="00640D72" w:rsidRDefault="00893442" w:rsidP="004E4CC8">
            <w:pPr>
              <w:spacing w:line="240" w:lineRule="auto"/>
              <w:rPr>
                <w:color w:val="000000"/>
                <w:szCs w:val="24"/>
              </w:rPr>
            </w:pPr>
            <w:r>
              <w:rPr>
                <w:color w:val="000000"/>
                <w:szCs w:val="24"/>
              </w:rPr>
              <w:t xml:space="preserve">1 September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0EC9CE8" w14:textId="77777777" w:rsidR="00893442" w:rsidRPr="00640D72" w:rsidRDefault="00893442" w:rsidP="004E4CC8">
            <w:pPr>
              <w:spacing w:line="240" w:lineRule="auto"/>
              <w:rPr>
                <w:color w:val="000000"/>
                <w:szCs w:val="24"/>
              </w:rPr>
            </w:pPr>
            <w:r w:rsidRPr="00640D72">
              <w:rPr>
                <w:color w:val="000000"/>
                <w:szCs w:val="24"/>
              </w:rPr>
              <w:t>11 November 2017</w:t>
            </w:r>
            <w:r>
              <w:rPr>
                <w:color w:val="000000"/>
                <w:szCs w:val="24"/>
              </w:rPr>
              <w:t xml:space="preserve"> and 12 May 2018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04C56DC"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051247E8"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4759D37F" w14:textId="77777777" w:rsidR="00893442" w:rsidRPr="00640D72" w:rsidRDefault="00893442" w:rsidP="004E4CC8">
            <w:pPr>
              <w:spacing w:line="240" w:lineRule="auto"/>
              <w:jc w:val="right"/>
              <w:rPr>
                <w:b/>
                <w:bCs/>
                <w:color w:val="000000"/>
                <w:szCs w:val="24"/>
              </w:rPr>
            </w:pPr>
            <w:r>
              <w:rPr>
                <w:b/>
                <w:bCs/>
                <w:color w:val="000000"/>
                <w:szCs w:val="24"/>
              </w:rPr>
              <w:t>Oct-2017</w:t>
            </w:r>
          </w:p>
        </w:tc>
        <w:tc>
          <w:tcPr>
            <w:tcW w:w="1559" w:type="dxa"/>
            <w:tcBorders>
              <w:top w:val="nil"/>
              <w:left w:val="nil"/>
              <w:bottom w:val="single" w:sz="4" w:space="0" w:color="auto"/>
              <w:right w:val="single" w:sz="4" w:space="0" w:color="auto"/>
            </w:tcBorders>
            <w:shd w:val="clear" w:color="000000" w:fill="EEECE1"/>
            <w:noWrap/>
            <w:vAlign w:val="center"/>
            <w:hideMark/>
          </w:tcPr>
          <w:p w14:paraId="5C139291" w14:textId="77777777" w:rsidR="00893442" w:rsidRPr="00640D72" w:rsidRDefault="00893442" w:rsidP="004E4CC8">
            <w:pPr>
              <w:spacing w:line="240" w:lineRule="auto"/>
              <w:rPr>
                <w:color w:val="000000"/>
                <w:szCs w:val="24"/>
              </w:rPr>
            </w:pPr>
            <w:r>
              <w:rPr>
                <w:color w:val="000000"/>
                <w:szCs w:val="24"/>
              </w:rPr>
              <w:t>2018 October Cycle</w:t>
            </w:r>
          </w:p>
        </w:tc>
        <w:tc>
          <w:tcPr>
            <w:tcW w:w="2410" w:type="dxa"/>
            <w:tcBorders>
              <w:top w:val="nil"/>
              <w:left w:val="nil"/>
              <w:bottom w:val="single" w:sz="4" w:space="0" w:color="auto"/>
              <w:right w:val="single" w:sz="4" w:space="0" w:color="auto"/>
            </w:tcBorders>
            <w:shd w:val="clear" w:color="000000" w:fill="EEECE1"/>
            <w:vAlign w:val="center"/>
            <w:hideMark/>
          </w:tcPr>
          <w:p w14:paraId="75EA9FEF" w14:textId="77777777" w:rsidR="00893442" w:rsidRPr="00640D72" w:rsidRDefault="00893442" w:rsidP="004E4CC8">
            <w:pPr>
              <w:spacing w:line="240" w:lineRule="auto"/>
              <w:rPr>
                <w:color w:val="000000"/>
                <w:szCs w:val="24"/>
              </w:rPr>
            </w:pPr>
            <w:r>
              <w:rPr>
                <w:color w:val="000000"/>
                <w:szCs w:val="24"/>
              </w:rPr>
              <w:t xml:space="preserve">1 October 2017 to </w:t>
            </w:r>
            <w:r>
              <w:rPr>
                <w:color w:val="000000"/>
                <w:szCs w:val="24"/>
              </w:rPr>
              <w:br/>
              <w:t>31</w:t>
            </w:r>
            <w:r w:rsidRPr="00640D72">
              <w:rPr>
                <w:color w:val="000000"/>
                <w:szCs w:val="24"/>
              </w:rPr>
              <w:t xml:space="preserve"> </w:t>
            </w:r>
            <w:r>
              <w:rPr>
                <w:color w:val="000000"/>
                <w:szCs w:val="24"/>
              </w:rPr>
              <w:t>March 2018</w:t>
            </w:r>
          </w:p>
        </w:tc>
        <w:tc>
          <w:tcPr>
            <w:tcW w:w="2126" w:type="dxa"/>
            <w:tcBorders>
              <w:top w:val="nil"/>
              <w:left w:val="nil"/>
              <w:bottom w:val="single" w:sz="4" w:space="0" w:color="auto"/>
              <w:right w:val="single" w:sz="4" w:space="0" w:color="auto"/>
            </w:tcBorders>
            <w:shd w:val="clear" w:color="000000" w:fill="EEECE1"/>
            <w:noWrap/>
            <w:vAlign w:val="center"/>
            <w:hideMark/>
          </w:tcPr>
          <w:p w14:paraId="45069D2B" w14:textId="77777777" w:rsidR="00893442" w:rsidRPr="00640D72" w:rsidRDefault="00893442" w:rsidP="004E4CC8">
            <w:pPr>
              <w:spacing w:line="240" w:lineRule="auto"/>
              <w:rPr>
                <w:color w:val="000000"/>
                <w:szCs w:val="24"/>
              </w:rPr>
            </w:pPr>
            <w:r>
              <w:rPr>
                <w:color w:val="000000"/>
                <w:szCs w:val="24"/>
              </w:rPr>
              <w:t>12 May 2018</w:t>
            </w:r>
          </w:p>
        </w:tc>
        <w:tc>
          <w:tcPr>
            <w:tcW w:w="1981" w:type="dxa"/>
            <w:tcBorders>
              <w:top w:val="nil"/>
              <w:left w:val="nil"/>
              <w:bottom w:val="single" w:sz="4" w:space="0" w:color="auto"/>
              <w:right w:val="single" w:sz="4" w:space="0" w:color="auto"/>
            </w:tcBorders>
            <w:shd w:val="clear" w:color="000000" w:fill="EEECE1"/>
            <w:vAlign w:val="center"/>
            <w:hideMark/>
          </w:tcPr>
          <w:p w14:paraId="29C85283" w14:textId="77777777" w:rsidR="00893442" w:rsidRPr="00640D72" w:rsidRDefault="00893442" w:rsidP="004E4CC8">
            <w:pPr>
              <w:spacing w:line="240" w:lineRule="auto"/>
              <w:rPr>
                <w:color w:val="000000"/>
                <w:szCs w:val="24"/>
              </w:rPr>
            </w:pPr>
            <w:r>
              <w:rPr>
                <w:color w:val="000000"/>
                <w:szCs w:val="24"/>
              </w:rPr>
              <w:t>1 October 2018</w:t>
            </w:r>
          </w:p>
        </w:tc>
      </w:tr>
      <w:tr w:rsidR="00893442" w:rsidRPr="00640D72" w14:paraId="091E5EFB"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95D3A5E" w14:textId="77777777" w:rsidR="00893442" w:rsidRPr="00640D72" w:rsidRDefault="00893442" w:rsidP="004E4CC8">
            <w:pPr>
              <w:spacing w:line="240" w:lineRule="auto"/>
              <w:jc w:val="right"/>
              <w:rPr>
                <w:b/>
                <w:bCs/>
                <w:color w:val="000000"/>
                <w:szCs w:val="24"/>
              </w:rPr>
            </w:pPr>
            <w:r>
              <w:rPr>
                <w:b/>
                <w:bCs/>
                <w:color w:val="000000"/>
                <w:szCs w:val="24"/>
              </w:rPr>
              <w:t>Nov-2017</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894ECA1"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446DD72" w14:textId="77777777" w:rsidR="00893442" w:rsidRPr="00640D72" w:rsidRDefault="00893442" w:rsidP="004E4CC8">
            <w:pPr>
              <w:spacing w:line="240" w:lineRule="auto"/>
              <w:rPr>
                <w:color w:val="000000"/>
                <w:szCs w:val="24"/>
              </w:rPr>
            </w:pPr>
            <w:r>
              <w:rPr>
                <w:color w:val="000000"/>
                <w:szCs w:val="24"/>
              </w:rPr>
              <w:t xml:space="preserve">1 November 2017 to </w:t>
            </w:r>
            <w:r>
              <w:rPr>
                <w:color w:val="000000"/>
                <w:szCs w:val="24"/>
              </w:rPr>
              <w:br/>
              <w:t>30</w:t>
            </w:r>
            <w:r w:rsidRPr="00640D72">
              <w:rPr>
                <w:color w:val="000000"/>
                <w:szCs w:val="24"/>
              </w:rPr>
              <w:t xml:space="preserve"> </w:t>
            </w:r>
            <w:r>
              <w:rPr>
                <w:color w:val="000000"/>
                <w:szCs w:val="24"/>
              </w:rPr>
              <w:t>September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DAA02C1" w14:textId="77777777" w:rsidR="00893442" w:rsidRPr="00640D72" w:rsidRDefault="00893442" w:rsidP="004E4CC8">
            <w:pPr>
              <w:spacing w:line="240" w:lineRule="auto"/>
              <w:rPr>
                <w:color w:val="000000"/>
                <w:szCs w:val="24"/>
              </w:rPr>
            </w:pPr>
            <w:r>
              <w:rPr>
                <w:color w:val="000000"/>
                <w:szCs w:val="24"/>
              </w:rPr>
              <w:t>12 May 2018</w:t>
            </w:r>
            <w:r w:rsidRPr="00640D72">
              <w:rPr>
                <w:color w:val="000000"/>
                <w:szCs w:val="24"/>
              </w:rPr>
              <w:t xml:space="preserve"> and 11 November 201</w:t>
            </w:r>
            <w:r>
              <w:rPr>
                <w:color w:val="000000"/>
                <w:szCs w:val="24"/>
              </w:rPr>
              <w:t>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6E38839F"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0F0DF4F8"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6D2E6C2B" w14:textId="77777777" w:rsidR="00893442" w:rsidRPr="00640D72" w:rsidRDefault="00893442" w:rsidP="004E4CC8">
            <w:pPr>
              <w:spacing w:line="240" w:lineRule="auto"/>
              <w:jc w:val="right"/>
              <w:rPr>
                <w:b/>
                <w:bCs/>
                <w:color w:val="000000"/>
                <w:szCs w:val="24"/>
              </w:rPr>
            </w:pPr>
            <w:r>
              <w:rPr>
                <w:b/>
                <w:bCs/>
                <w:color w:val="000000"/>
                <w:szCs w:val="24"/>
              </w:rPr>
              <w:t>Dec-2017</w:t>
            </w:r>
          </w:p>
        </w:tc>
        <w:tc>
          <w:tcPr>
            <w:tcW w:w="1559" w:type="dxa"/>
            <w:tcBorders>
              <w:top w:val="nil"/>
              <w:left w:val="nil"/>
              <w:bottom w:val="single" w:sz="4" w:space="0" w:color="auto"/>
              <w:right w:val="single" w:sz="4" w:space="0" w:color="auto"/>
            </w:tcBorders>
            <w:shd w:val="clear" w:color="000000" w:fill="EEECE1"/>
            <w:noWrap/>
            <w:vAlign w:val="center"/>
            <w:hideMark/>
          </w:tcPr>
          <w:p w14:paraId="28F8952C"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nil"/>
              <w:left w:val="nil"/>
              <w:bottom w:val="single" w:sz="4" w:space="0" w:color="auto"/>
              <w:right w:val="single" w:sz="4" w:space="0" w:color="auto"/>
            </w:tcBorders>
            <w:shd w:val="clear" w:color="000000" w:fill="EEECE1"/>
            <w:vAlign w:val="center"/>
            <w:hideMark/>
          </w:tcPr>
          <w:p w14:paraId="637F9405" w14:textId="77777777" w:rsidR="00893442" w:rsidRPr="00640D72" w:rsidRDefault="00893442" w:rsidP="004E4CC8">
            <w:pPr>
              <w:spacing w:line="240" w:lineRule="auto"/>
              <w:rPr>
                <w:color w:val="000000"/>
                <w:szCs w:val="24"/>
              </w:rPr>
            </w:pPr>
            <w:r>
              <w:rPr>
                <w:color w:val="000000"/>
                <w:szCs w:val="24"/>
              </w:rPr>
              <w:t xml:space="preserve">1 December 2017 to </w:t>
            </w:r>
            <w:r>
              <w:rPr>
                <w:color w:val="000000"/>
                <w:szCs w:val="24"/>
              </w:rPr>
              <w:br/>
              <w:t>30</w:t>
            </w:r>
            <w:r w:rsidRPr="00640D72">
              <w:rPr>
                <w:color w:val="000000"/>
                <w:szCs w:val="24"/>
              </w:rPr>
              <w:t xml:space="preserve"> </w:t>
            </w:r>
            <w:r>
              <w:rPr>
                <w:color w:val="000000"/>
                <w:szCs w:val="24"/>
              </w:rPr>
              <w:t>September 2018</w:t>
            </w:r>
          </w:p>
        </w:tc>
        <w:tc>
          <w:tcPr>
            <w:tcW w:w="2126" w:type="dxa"/>
            <w:tcBorders>
              <w:top w:val="nil"/>
              <w:left w:val="nil"/>
              <w:bottom w:val="single" w:sz="4" w:space="0" w:color="auto"/>
              <w:right w:val="single" w:sz="4" w:space="0" w:color="auto"/>
            </w:tcBorders>
            <w:shd w:val="clear" w:color="000000" w:fill="EEECE1"/>
            <w:noWrap/>
            <w:vAlign w:val="center"/>
            <w:hideMark/>
          </w:tcPr>
          <w:p w14:paraId="305E7842" w14:textId="77777777" w:rsidR="00893442" w:rsidRPr="00640D72" w:rsidRDefault="00893442" w:rsidP="004E4CC8">
            <w:pPr>
              <w:spacing w:line="240" w:lineRule="auto"/>
              <w:rPr>
                <w:color w:val="000000"/>
                <w:szCs w:val="24"/>
              </w:rPr>
            </w:pPr>
            <w:r>
              <w:rPr>
                <w:color w:val="000000"/>
                <w:szCs w:val="24"/>
              </w:rPr>
              <w:t>12 May 2018</w:t>
            </w:r>
            <w:r w:rsidRPr="00640D72">
              <w:rPr>
                <w:color w:val="000000"/>
                <w:szCs w:val="24"/>
              </w:rPr>
              <w:t xml:space="preserve"> and 11 November 201</w:t>
            </w:r>
            <w:r>
              <w:rPr>
                <w:color w:val="000000"/>
                <w:szCs w:val="24"/>
              </w:rPr>
              <w:t>8</w:t>
            </w:r>
          </w:p>
        </w:tc>
        <w:tc>
          <w:tcPr>
            <w:tcW w:w="1981" w:type="dxa"/>
            <w:tcBorders>
              <w:top w:val="nil"/>
              <w:left w:val="nil"/>
              <w:bottom w:val="single" w:sz="4" w:space="0" w:color="auto"/>
              <w:right w:val="single" w:sz="4" w:space="0" w:color="auto"/>
            </w:tcBorders>
            <w:shd w:val="clear" w:color="000000" w:fill="EEECE1"/>
            <w:vAlign w:val="center"/>
            <w:hideMark/>
          </w:tcPr>
          <w:p w14:paraId="333839CB"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28A41550"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257B87DE" w14:textId="77777777" w:rsidR="00893442" w:rsidRPr="00640D72" w:rsidRDefault="00893442" w:rsidP="004E4CC8">
            <w:pPr>
              <w:spacing w:line="240" w:lineRule="auto"/>
              <w:jc w:val="right"/>
              <w:rPr>
                <w:b/>
                <w:bCs/>
                <w:color w:val="000000"/>
                <w:szCs w:val="24"/>
              </w:rPr>
            </w:pPr>
            <w:r>
              <w:rPr>
                <w:b/>
                <w:bCs/>
                <w:color w:val="000000"/>
                <w:szCs w:val="24"/>
              </w:rPr>
              <w:t>Jan-2018</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0F1804DA"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277ED153" w14:textId="77777777" w:rsidR="00893442" w:rsidRPr="00640D72" w:rsidRDefault="00893442" w:rsidP="004E4CC8">
            <w:pPr>
              <w:spacing w:line="240" w:lineRule="auto"/>
              <w:rPr>
                <w:color w:val="000000"/>
                <w:szCs w:val="24"/>
              </w:rPr>
            </w:pPr>
            <w:r>
              <w:rPr>
                <w:color w:val="000000"/>
                <w:szCs w:val="24"/>
              </w:rPr>
              <w:t xml:space="preserve">1 January 2018 to </w:t>
            </w:r>
            <w:r>
              <w:rPr>
                <w:color w:val="000000"/>
                <w:szCs w:val="24"/>
              </w:rPr>
              <w:br/>
              <w:t>30</w:t>
            </w:r>
            <w:r w:rsidRPr="00640D72">
              <w:rPr>
                <w:color w:val="000000"/>
                <w:szCs w:val="24"/>
              </w:rPr>
              <w:t xml:space="preserve"> </w:t>
            </w:r>
            <w:r>
              <w:rPr>
                <w:color w:val="000000"/>
                <w:szCs w:val="24"/>
              </w:rPr>
              <w:t>September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731247C" w14:textId="77777777" w:rsidR="00893442" w:rsidRPr="00640D72" w:rsidRDefault="00893442" w:rsidP="004E4CC8">
            <w:pPr>
              <w:spacing w:line="240" w:lineRule="auto"/>
              <w:rPr>
                <w:color w:val="000000"/>
                <w:szCs w:val="24"/>
              </w:rPr>
            </w:pPr>
            <w:r>
              <w:rPr>
                <w:color w:val="000000"/>
                <w:szCs w:val="24"/>
              </w:rPr>
              <w:t>12 May 2018</w:t>
            </w:r>
            <w:r w:rsidRPr="00640D72">
              <w:rPr>
                <w:color w:val="000000"/>
                <w:szCs w:val="24"/>
              </w:rPr>
              <w:t xml:space="preserve"> and 11 November 201</w:t>
            </w:r>
            <w:r>
              <w:rPr>
                <w:color w:val="000000"/>
                <w:szCs w:val="24"/>
              </w:rPr>
              <w:t>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3517FE4"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1916B1D9"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39D25C7A" w14:textId="77777777" w:rsidR="00893442" w:rsidRPr="00640D72" w:rsidRDefault="00893442" w:rsidP="004E4CC8">
            <w:pPr>
              <w:spacing w:line="240" w:lineRule="auto"/>
              <w:jc w:val="right"/>
              <w:rPr>
                <w:b/>
                <w:bCs/>
                <w:color w:val="000000"/>
                <w:szCs w:val="24"/>
              </w:rPr>
            </w:pPr>
            <w:r>
              <w:rPr>
                <w:b/>
                <w:bCs/>
                <w:color w:val="000000"/>
                <w:szCs w:val="24"/>
              </w:rPr>
              <w:t>Feb-2018</w:t>
            </w:r>
          </w:p>
        </w:tc>
        <w:tc>
          <w:tcPr>
            <w:tcW w:w="1559" w:type="dxa"/>
            <w:tcBorders>
              <w:top w:val="nil"/>
              <w:left w:val="nil"/>
              <w:bottom w:val="single" w:sz="4" w:space="0" w:color="auto"/>
              <w:right w:val="single" w:sz="4" w:space="0" w:color="auto"/>
            </w:tcBorders>
            <w:shd w:val="clear" w:color="000000" w:fill="EEECE1"/>
            <w:noWrap/>
            <w:vAlign w:val="center"/>
            <w:hideMark/>
          </w:tcPr>
          <w:p w14:paraId="563299EC"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nil"/>
              <w:left w:val="nil"/>
              <w:bottom w:val="single" w:sz="4" w:space="0" w:color="auto"/>
              <w:right w:val="single" w:sz="4" w:space="0" w:color="auto"/>
            </w:tcBorders>
            <w:shd w:val="clear" w:color="000000" w:fill="EEECE1"/>
            <w:vAlign w:val="center"/>
            <w:hideMark/>
          </w:tcPr>
          <w:p w14:paraId="6E47D842" w14:textId="77777777" w:rsidR="00893442" w:rsidRPr="00640D72" w:rsidRDefault="00893442" w:rsidP="004E4CC8">
            <w:pPr>
              <w:spacing w:line="240" w:lineRule="auto"/>
              <w:rPr>
                <w:color w:val="000000"/>
                <w:szCs w:val="24"/>
              </w:rPr>
            </w:pPr>
            <w:r>
              <w:rPr>
                <w:color w:val="000000"/>
                <w:szCs w:val="24"/>
              </w:rPr>
              <w:t xml:space="preserve">1 February 2018 to </w:t>
            </w:r>
            <w:r>
              <w:rPr>
                <w:color w:val="000000"/>
                <w:szCs w:val="24"/>
              </w:rPr>
              <w:br/>
              <w:t>30</w:t>
            </w:r>
            <w:r w:rsidRPr="00640D72">
              <w:rPr>
                <w:color w:val="000000"/>
                <w:szCs w:val="24"/>
              </w:rPr>
              <w:t xml:space="preserve"> </w:t>
            </w:r>
            <w:r>
              <w:rPr>
                <w:color w:val="000000"/>
                <w:szCs w:val="24"/>
              </w:rPr>
              <w:t>September 2018</w:t>
            </w:r>
          </w:p>
        </w:tc>
        <w:tc>
          <w:tcPr>
            <w:tcW w:w="2126" w:type="dxa"/>
            <w:tcBorders>
              <w:top w:val="nil"/>
              <w:left w:val="nil"/>
              <w:bottom w:val="single" w:sz="4" w:space="0" w:color="auto"/>
              <w:right w:val="single" w:sz="4" w:space="0" w:color="auto"/>
            </w:tcBorders>
            <w:shd w:val="clear" w:color="000000" w:fill="EEECE1"/>
            <w:noWrap/>
            <w:vAlign w:val="center"/>
            <w:hideMark/>
          </w:tcPr>
          <w:p w14:paraId="554060E6" w14:textId="77777777" w:rsidR="00893442" w:rsidRPr="00640D72" w:rsidRDefault="00893442" w:rsidP="004E4CC8">
            <w:pPr>
              <w:spacing w:line="240" w:lineRule="auto"/>
              <w:rPr>
                <w:color w:val="000000"/>
                <w:szCs w:val="24"/>
              </w:rPr>
            </w:pPr>
            <w:r>
              <w:rPr>
                <w:color w:val="000000"/>
                <w:szCs w:val="24"/>
              </w:rPr>
              <w:t>12 May 2018</w:t>
            </w:r>
            <w:r w:rsidRPr="00640D72">
              <w:rPr>
                <w:color w:val="000000"/>
                <w:szCs w:val="24"/>
              </w:rPr>
              <w:t xml:space="preserve"> and 11 November 201</w:t>
            </w:r>
            <w:r>
              <w:rPr>
                <w:color w:val="000000"/>
                <w:szCs w:val="24"/>
              </w:rPr>
              <w:t>8</w:t>
            </w:r>
          </w:p>
        </w:tc>
        <w:tc>
          <w:tcPr>
            <w:tcW w:w="1981" w:type="dxa"/>
            <w:tcBorders>
              <w:top w:val="nil"/>
              <w:left w:val="nil"/>
              <w:bottom w:val="single" w:sz="4" w:space="0" w:color="auto"/>
              <w:right w:val="single" w:sz="4" w:space="0" w:color="auto"/>
            </w:tcBorders>
            <w:shd w:val="clear" w:color="000000" w:fill="EEECE1"/>
            <w:vAlign w:val="center"/>
            <w:hideMark/>
          </w:tcPr>
          <w:p w14:paraId="21D23A63"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0C457478"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16B1890F" w14:textId="77777777" w:rsidR="00893442" w:rsidRPr="00640D72" w:rsidRDefault="00893442" w:rsidP="004E4CC8">
            <w:pPr>
              <w:spacing w:line="240" w:lineRule="auto"/>
              <w:jc w:val="right"/>
              <w:rPr>
                <w:b/>
                <w:bCs/>
                <w:color w:val="000000"/>
                <w:szCs w:val="24"/>
              </w:rPr>
            </w:pPr>
            <w:r>
              <w:rPr>
                <w:b/>
                <w:bCs/>
                <w:color w:val="000000"/>
                <w:szCs w:val="24"/>
              </w:rPr>
              <w:t>Mar-2018</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3E3B2E8"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4153396F" w14:textId="77777777" w:rsidR="00893442" w:rsidRPr="00640D72" w:rsidRDefault="00893442" w:rsidP="004E4CC8">
            <w:pPr>
              <w:spacing w:line="240" w:lineRule="auto"/>
              <w:rPr>
                <w:color w:val="000000"/>
                <w:szCs w:val="24"/>
              </w:rPr>
            </w:pPr>
            <w:r>
              <w:rPr>
                <w:color w:val="000000"/>
                <w:szCs w:val="24"/>
              </w:rPr>
              <w:t xml:space="preserve">1 March 2018 to </w:t>
            </w:r>
            <w:r>
              <w:rPr>
                <w:color w:val="000000"/>
                <w:szCs w:val="24"/>
              </w:rPr>
              <w:br/>
              <w:t>30</w:t>
            </w:r>
            <w:r w:rsidRPr="00640D72">
              <w:rPr>
                <w:color w:val="000000"/>
                <w:szCs w:val="24"/>
              </w:rPr>
              <w:t xml:space="preserve"> </w:t>
            </w:r>
            <w:r>
              <w:rPr>
                <w:color w:val="000000"/>
                <w:szCs w:val="24"/>
              </w:rPr>
              <w:t>September 2018</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30CF3848" w14:textId="77777777" w:rsidR="00893442" w:rsidRPr="00640D72" w:rsidRDefault="00893442" w:rsidP="004E4CC8">
            <w:pPr>
              <w:spacing w:line="240" w:lineRule="auto"/>
              <w:rPr>
                <w:color w:val="000000"/>
                <w:szCs w:val="24"/>
              </w:rPr>
            </w:pPr>
            <w:r>
              <w:rPr>
                <w:color w:val="000000"/>
                <w:szCs w:val="24"/>
              </w:rPr>
              <w:t>12 May 2018</w:t>
            </w:r>
            <w:r w:rsidRPr="00640D72">
              <w:rPr>
                <w:color w:val="000000"/>
                <w:szCs w:val="24"/>
              </w:rPr>
              <w:t xml:space="preserve"> and 11 November 201</w:t>
            </w:r>
            <w:r>
              <w:rPr>
                <w:color w:val="000000"/>
                <w:szCs w:val="24"/>
              </w:rPr>
              <w:t>8</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8AEFDA5"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182DD087"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5F91C4AF" w14:textId="77777777" w:rsidR="00893442" w:rsidRPr="00640D72" w:rsidRDefault="00893442" w:rsidP="004E4CC8">
            <w:pPr>
              <w:spacing w:line="240" w:lineRule="auto"/>
              <w:jc w:val="right"/>
              <w:rPr>
                <w:b/>
                <w:bCs/>
                <w:color w:val="000000"/>
                <w:szCs w:val="24"/>
              </w:rPr>
            </w:pPr>
            <w:r>
              <w:rPr>
                <w:b/>
                <w:bCs/>
                <w:color w:val="000000"/>
                <w:szCs w:val="24"/>
              </w:rPr>
              <w:t>Apr-2018</w:t>
            </w:r>
          </w:p>
        </w:tc>
        <w:tc>
          <w:tcPr>
            <w:tcW w:w="1559" w:type="dxa"/>
            <w:tcBorders>
              <w:top w:val="nil"/>
              <w:left w:val="nil"/>
              <w:bottom w:val="single" w:sz="4" w:space="0" w:color="auto"/>
              <w:right w:val="single" w:sz="4" w:space="0" w:color="auto"/>
            </w:tcBorders>
            <w:shd w:val="clear" w:color="000000" w:fill="EEECE1"/>
            <w:noWrap/>
            <w:vAlign w:val="center"/>
            <w:hideMark/>
          </w:tcPr>
          <w:p w14:paraId="7633440A" w14:textId="77777777" w:rsidR="00893442" w:rsidRPr="00640D72" w:rsidRDefault="00893442" w:rsidP="004E4CC8">
            <w:pPr>
              <w:spacing w:line="240" w:lineRule="auto"/>
              <w:rPr>
                <w:color w:val="000000"/>
                <w:szCs w:val="24"/>
              </w:rPr>
            </w:pPr>
            <w:r>
              <w:rPr>
                <w:color w:val="000000"/>
                <w:szCs w:val="24"/>
              </w:rPr>
              <w:t>2019 April Cycle</w:t>
            </w:r>
          </w:p>
        </w:tc>
        <w:tc>
          <w:tcPr>
            <w:tcW w:w="2410" w:type="dxa"/>
            <w:tcBorders>
              <w:top w:val="nil"/>
              <w:left w:val="nil"/>
              <w:bottom w:val="single" w:sz="4" w:space="0" w:color="auto"/>
              <w:right w:val="single" w:sz="4" w:space="0" w:color="auto"/>
            </w:tcBorders>
            <w:shd w:val="clear" w:color="000000" w:fill="EEECE1"/>
            <w:vAlign w:val="center"/>
            <w:hideMark/>
          </w:tcPr>
          <w:p w14:paraId="27C62500" w14:textId="77777777" w:rsidR="00893442" w:rsidRPr="00640D72" w:rsidRDefault="00893442" w:rsidP="004E4CC8">
            <w:pPr>
              <w:spacing w:line="240" w:lineRule="auto"/>
              <w:rPr>
                <w:color w:val="000000"/>
                <w:szCs w:val="24"/>
              </w:rPr>
            </w:pPr>
            <w:r>
              <w:rPr>
                <w:color w:val="000000"/>
                <w:szCs w:val="24"/>
              </w:rPr>
              <w:t xml:space="preserve">1 April 2018 to </w:t>
            </w:r>
            <w:r>
              <w:rPr>
                <w:color w:val="000000"/>
                <w:szCs w:val="24"/>
              </w:rPr>
              <w:br/>
              <w:t>30</w:t>
            </w:r>
            <w:r w:rsidRPr="00640D72">
              <w:rPr>
                <w:color w:val="000000"/>
                <w:szCs w:val="24"/>
              </w:rPr>
              <w:t xml:space="preserve"> </w:t>
            </w:r>
            <w:r>
              <w:rPr>
                <w:color w:val="000000"/>
                <w:szCs w:val="24"/>
              </w:rPr>
              <w:t>September 2018</w:t>
            </w:r>
          </w:p>
        </w:tc>
        <w:tc>
          <w:tcPr>
            <w:tcW w:w="2126" w:type="dxa"/>
            <w:tcBorders>
              <w:top w:val="nil"/>
              <w:left w:val="nil"/>
              <w:bottom w:val="single" w:sz="4" w:space="0" w:color="auto"/>
              <w:right w:val="single" w:sz="4" w:space="0" w:color="auto"/>
            </w:tcBorders>
            <w:shd w:val="clear" w:color="000000" w:fill="EEECE1"/>
            <w:noWrap/>
            <w:vAlign w:val="center"/>
            <w:hideMark/>
          </w:tcPr>
          <w:p w14:paraId="77864418"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w:t>
            </w:r>
          </w:p>
        </w:tc>
        <w:tc>
          <w:tcPr>
            <w:tcW w:w="1981" w:type="dxa"/>
            <w:tcBorders>
              <w:top w:val="nil"/>
              <w:left w:val="nil"/>
              <w:bottom w:val="single" w:sz="4" w:space="0" w:color="auto"/>
              <w:right w:val="single" w:sz="4" w:space="0" w:color="auto"/>
            </w:tcBorders>
            <w:shd w:val="clear" w:color="000000" w:fill="EEECE1"/>
            <w:vAlign w:val="center"/>
            <w:hideMark/>
          </w:tcPr>
          <w:p w14:paraId="74EF376A" w14:textId="77777777" w:rsidR="00893442" w:rsidRPr="00640D72" w:rsidRDefault="00893442" w:rsidP="004E4CC8">
            <w:pPr>
              <w:spacing w:line="240" w:lineRule="auto"/>
              <w:rPr>
                <w:color w:val="000000"/>
                <w:szCs w:val="24"/>
              </w:rPr>
            </w:pPr>
            <w:r>
              <w:rPr>
                <w:color w:val="000000"/>
                <w:szCs w:val="24"/>
              </w:rPr>
              <w:t>1 April 2019</w:t>
            </w:r>
          </w:p>
        </w:tc>
      </w:tr>
      <w:tr w:rsidR="00893442" w:rsidRPr="00640D72" w14:paraId="2E21B6BE"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0A577A0" w14:textId="77777777" w:rsidR="00893442" w:rsidRPr="00640D72" w:rsidRDefault="00893442" w:rsidP="004E4CC8">
            <w:pPr>
              <w:spacing w:line="240" w:lineRule="auto"/>
              <w:jc w:val="right"/>
              <w:rPr>
                <w:b/>
                <w:bCs/>
                <w:color w:val="000000"/>
                <w:szCs w:val="24"/>
              </w:rPr>
            </w:pPr>
            <w:r>
              <w:rPr>
                <w:b/>
                <w:bCs/>
                <w:color w:val="000000"/>
                <w:szCs w:val="24"/>
              </w:rPr>
              <w:t>May-2018</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56EB11E3"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31A065D" w14:textId="77777777" w:rsidR="00893442" w:rsidRPr="00640D72" w:rsidRDefault="00893442" w:rsidP="004E4CC8">
            <w:pPr>
              <w:spacing w:line="240" w:lineRule="auto"/>
              <w:rPr>
                <w:color w:val="000000"/>
                <w:szCs w:val="24"/>
              </w:rPr>
            </w:pPr>
            <w:r>
              <w:rPr>
                <w:color w:val="000000"/>
                <w:szCs w:val="24"/>
              </w:rPr>
              <w:t xml:space="preserve">1 May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6872C98B"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 and 12 May 2019</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6AAB656" w14:textId="77777777" w:rsidR="00893442" w:rsidRPr="00640D72" w:rsidRDefault="00893442" w:rsidP="004E4CC8">
            <w:pPr>
              <w:spacing w:line="240" w:lineRule="auto"/>
              <w:rPr>
                <w:color w:val="000000"/>
                <w:szCs w:val="24"/>
              </w:rPr>
            </w:pPr>
            <w:r>
              <w:rPr>
                <w:color w:val="000000"/>
                <w:szCs w:val="24"/>
              </w:rPr>
              <w:t>1 October 2019</w:t>
            </w:r>
          </w:p>
        </w:tc>
      </w:tr>
      <w:tr w:rsidR="00893442" w:rsidRPr="00640D72" w14:paraId="7D04BC25"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5E6C6506" w14:textId="77777777" w:rsidR="00893442" w:rsidRPr="00640D72" w:rsidRDefault="00893442" w:rsidP="004E4CC8">
            <w:pPr>
              <w:spacing w:line="240" w:lineRule="auto"/>
              <w:jc w:val="right"/>
              <w:rPr>
                <w:b/>
                <w:bCs/>
                <w:color w:val="000000"/>
                <w:szCs w:val="24"/>
              </w:rPr>
            </w:pPr>
            <w:r>
              <w:rPr>
                <w:b/>
                <w:bCs/>
                <w:color w:val="000000"/>
                <w:szCs w:val="24"/>
              </w:rPr>
              <w:t>Jun-2018</w:t>
            </w:r>
          </w:p>
        </w:tc>
        <w:tc>
          <w:tcPr>
            <w:tcW w:w="1559" w:type="dxa"/>
            <w:tcBorders>
              <w:top w:val="nil"/>
              <w:left w:val="nil"/>
              <w:bottom w:val="single" w:sz="4" w:space="0" w:color="auto"/>
              <w:right w:val="single" w:sz="4" w:space="0" w:color="auto"/>
            </w:tcBorders>
            <w:shd w:val="clear" w:color="000000" w:fill="EEECE1"/>
            <w:noWrap/>
            <w:vAlign w:val="center"/>
            <w:hideMark/>
          </w:tcPr>
          <w:p w14:paraId="7F6C7463"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nil"/>
              <w:left w:val="nil"/>
              <w:bottom w:val="single" w:sz="4" w:space="0" w:color="auto"/>
              <w:right w:val="single" w:sz="4" w:space="0" w:color="auto"/>
            </w:tcBorders>
            <w:shd w:val="clear" w:color="000000" w:fill="EEECE1"/>
            <w:vAlign w:val="center"/>
            <w:hideMark/>
          </w:tcPr>
          <w:p w14:paraId="7EB9F8AA" w14:textId="77777777" w:rsidR="00893442" w:rsidRPr="00640D72" w:rsidRDefault="00893442" w:rsidP="004E4CC8">
            <w:pPr>
              <w:spacing w:line="240" w:lineRule="auto"/>
              <w:rPr>
                <w:color w:val="000000"/>
                <w:szCs w:val="24"/>
              </w:rPr>
            </w:pPr>
            <w:r>
              <w:rPr>
                <w:color w:val="000000"/>
                <w:szCs w:val="24"/>
              </w:rPr>
              <w:t xml:space="preserve">1 June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nil"/>
              <w:left w:val="nil"/>
              <w:bottom w:val="single" w:sz="4" w:space="0" w:color="auto"/>
              <w:right w:val="single" w:sz="4" w:space="0" w:color="auto"/>
            </w:tcBorders>
            <w:shd w:val="clear" w:color="000000" w:fill="EEECE1"/>
            <w:noWrap/>
            <w:vAlign w:val="center"/>
            <w:hideMark/>
          </w:tcPr>
          <w:p w14:paraId="3F8597F4"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 and 12 May 2019</w:t>
            </w:r>
          </w:p>
        </w:tc>
        <w:tc>
          <w:tcPr>
            <w:tcW w:w="1981" w:type="dxa"/>
            <w:tcBorders>
              <w:top w:val="nil"/>
              <w:left w:val="nil"/>
              <w:bottom w:val="single" w:sz="4" w:space="0" w:color="auto"/>
              <w:right w:val="single" w:sz="4" w:space="0" w:color="auto"/>
            </w:tcBorders>
            <w:shd w:val="clear" w:color="000000" w:fill="EEECE1"/>
            <w:vAlign w:val="center"/>
            <w:hideMark/>
          </w:tcPr>
          <w:p w14:paraId="032351C6" w14:textId="77777777" w:rsidR="00893442" w:rsidRPr="00640D72" w:rsidRDefault="00893442" w:rsidP="004E4CC8">
            <w:pPr>
              <w:spacing w:line="240" w:lineRule="auto"/>
              <w:rPr>
                <w:color w:val="000000"/>
                <w:szCs w:val="24"/>
              </w:rPr>
            </w:pPr>
            <w:r>
              <w:rPr>
                <w:color w:val="000000"/>
                <w:szCs w:val="24"/>
              </w:rPr>
              <w:t>1 October 2019</w:t>
            </w:r>
          </w:p>
        </w:tc>
      </w:tr>
      <w:tr w:rsidR="00893442" w:rsidRPr="00640D72" w14:paraId="77B2E32A"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39B2BF85" w14:textId="77777777" w:rsidR="00893442" w:rsidRPr="00640D72" w:rsidRDefault="00893442" w:rsidP="004E4CC8">
            <w:pPr>
              <w:spacing w:line="240" w:lineRule="auto"/>
              <w:jc w:val="right"/>
              <w:rPr>
                <w:b/>
                <w:bCs/>
                <w:color w:val="000000"/>
                <w:szCs w:val="24"/>
              </w:rPr>
            </w:pPr>
            <w:r>
              <w:rPr>
                <w:b/>
                <w:bCs/>
                <w:color w:val="000000"/>
                <w:szCs w:val="24"/>
              </w:rPr>
              <w:t>Jul-2018</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196A2743"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1870F5EE" w14:textId="77777777" w:rsidR="00893442" w:rsidRPr="00640D72" w:rsidRDefault="00893442" w:rsidP="004E4CC8">
            <w:pPr>
              <w:spacing w:line="240" w:lineRule="auto"/>
              <w:rPr>
                <w:color w:val="000000"/>
                <w:szCs w:val="24"/>
              </w:rPr>
            </w:pPr>
            <w:r>
              <w:rPr>
                <w:color w:val="000000"/>
                <w:szCs w:val="24"/>
              </w:rPr>
              <w:t xml:space="preserve">1 July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409774F7"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 and 12 May 2019</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D6F08D7" w14:textId="77777777" w:rsidR="00893442" w:rsidRPr="00640D72" w:rsidRDefault="00893442" w:rsidP="004E4CC8">
            <w:pPr>
              <w:spacing w:line="240" w:lineRule="auto"/>
              <w:rPr>
                <w:color w:val="000000"/>
                <w:szCs w:val="24"/>
              </w:rPr>
            </w:pPr>
            <w:r>
              <w:rPr>
                <w:color w:val="000000"/>
                <w:szCs w:val="24"/>
              </w:rPr>
              <w:t>1 October 2019</w:t>
            </w:r>
          </w:p>
        </w:tc>
      </w:tr>
      <w:tr w:rsidR="00893442" w:rsidRPr="00640D72" w14:paraId="5EBC7088"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24C1B1E7" w14:textId="77777777" w:rsidR="00893442" w:rsidRPr="00640D72" w:rsidRDefault="00893442" w:rsidP="004E4CC8">
            <w:pPr>
              <w:spacing w:line="240" w:lineRule="auto"/>
              <w:jc w:val="right"/>
              <w:rPr>
                <w:b/>
                <w:bCs/>
                <w:color w:val="000000"/>
                <w:szCs w:val="24"/>
              </w:rPr>
            </w:pPr>
            <w:r>
              <w:rPr>
                <w:b/>
                <w:bCs/>
                <w:color w:val="000000"/>
                <w:szCs w:val="24"/>
              </w:rPr>
              <w:t>Aug-2018</w:t>
            </w:r>
          </w:p>
        </w:tc>
        <w:tc>
          <w:tcPr>
            <w:tcW w:w="1559" w:type="dxa"/>
            <w:tcBorders>
              <w:top w:val="nil"/>
              <w:left w:val="nil"/>
              <w:bottom w:val="single" w:sz="4" w:space="0" w:color="auto"/>
              <w:right w:val="single" w:sz="4" w:space="0" w:color="auto"/>
            </w:tcBorders>
            <w:shd w:val="clear" w:color="000000" w:fill="EEECE1"/>
            <w:noWrap/>
            <w:vAlign w:val="center"/>
            <w:hideMark/>
          </w:tcPr>
          <w:p w14:paraId="35D2B745"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nil"/>
              <w:left w:val="nil"/>
              <w:bottom w:val="single" w:sz="4" w:space="0" w:color="auto"/>
              <w:right w:val="single" w:sz="4" w:space="0" w:color="auto"/>
            </w:tcBorders>
            <w:shd w:val="clear" w:color="000000" w:fill="EEECE1"/>
            <w:vAlign w:val="center"/>
            <w:hideMark/>
          </w:tcPr>
          <w:p w14:paraId="6FCDAF6D" w14:textId="77777777" w:rsidR="00893442" w:rsidRPr="00640D72" w:rsidRDefault="00893442" w:rsidP="004E4CC8">
            <w:pPr>
              <w:spacing w:line="240" w:lineRule="auto"/>
              <w:rPr>
                <w:color w:val="000000"/>
                <w:szCs w:val="24"/>
              </w:rPr>
            </w:pPr>
            <w:r>
              <w:rPr>
                <w:color w:val="000000"/>
                <w:szCs w:val="24"/>
              </w:rPr>
              <w:t xml:space="preserve">1 August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nil"/>
              <w:left w:val="nil"/>
              <w:bottom w:val="single" w:sz="4" w:space="0" w:color="auto"/>
              <w:right w:val="single" w:sz="4" w:space="0" w:color="auto"/>
            </w:tcBorders>
            <w:shd w:val="clear" w:color="000000" w:fill="EEECE1"/>
            <w:noWrap/>
            <w:vAlign w:val="center"/>
            <w:hideMark/>
          </w:tcPr>
          <w:p w14:paraId="40CFCEE0"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 and 12 May 2019</w:t>
            </w:r>
          </w:p>
        </w:tc>
        <w:tc>
          <w:tcPr>
            <w:tcW w:w="1981" w:type="dxa"/>
            <w:tcBorders>
              <w:top w:val="nil"/>
              <w:left w:val="nil"/>
              <w:bottom w:val="single" w:sz="4" w:space="0" w:color="auto"/>
              <w:right w:val="single" w:sz="4" w:space="0" w:color="auto"/>
            </w:tcBorders>
            <w:shd w:val="clear" w:color="000000" w:fill="EEECE1"/>
            <w:vAlign w:val="center"/>
            <w:hideMark/>
          </w:tcPr>
          <w:p w14:paraId="7F403EF6" w14:textId="77777777" w:rsidR="00893442" w:rsidRPr="00640D72" w:rsidRDefault="00893442" w:rsidP="004E4CC8">
            <w:pPr>
              <w:spacing w:line="240" w:lineRule="auto"/>
              <w:rPr>
                <w:color w:val="000000"/>
                <w:szCs w:val="24"/>
              </w:rPr>
            </w:pPr>
            <w:r>
              <w:rPr>
                <w:color w:val="000000"/>
                <w:szCs w:val="24"/>
              </w:rPr>
              <w:t>1 October 2019</w:t>
            </w:r>
          </w:p>
        </w:tc>
      </w:tr>
      <w:tr w:rsidR="00893442" w:rsidRPr="00640D72" w14:paraId="31DE5206"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14:paraId="7E35F356" w14:textId="77777777" w:rsidR="00893442" w:rsidRPr="00640D72" w:rsidRDefault="00893442" w:rsidP="004E4CC8">
            <w:pPr>
              <w:spacing w:line="240" w:lineRule="auto"/>
              <w:jc w:val="right"/>
              <w:rPr>
                <w:b/>
                <w:bCs/>
                <w:color w:val="000000"/>
                <w:szCs w:val="24"/>
              </w:rPr>
            </w:pPr>
            <w:r>
              <w:rPr>
                <w:b/>
                <w:bCs/>
                <w:color w:val="000000"/>
                <w:szCs w:val="24"/>
              </w:rPr>
              <w:t>Sep-2018</w:t>
            </w:r>
          </w:p>
        </w:tc>
        <w:tc>
          <w:tcPr>
            <w:tcW w:w="1559"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76C51397"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018D70AF" w14:textId="77777777" w:rsidR="00893442" w:rsidRPr="00640D72" w:rsidRDefault="00893442" w:rsidP="004E4CC8">
            <w:pPr>
              <w:spacing w:line="240" w:lineRule="auto"/>
              <w:rPr>
                <w:color w:val="000000"/>
                <w:szCs w:val="24"/>
              </w:rPr>
            </w:pPr>
            <w:r>
              <w:rPr>
                <w:color w:val="000000"/>
                <w:szCs w:val="24"/>
              </w:rPr>
              <w:t xml:space="preserve">1 September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single" w:sz="4" w:space="0" w:color="auto"/>
              <w:left w:val="nil"/>
              <w:bottom w:val="single" w:sz="4" w:space="0" w:color="auto"/>
              <w:right w:val="single" w:sz="4" w:space="0" w:color="auto"/>
            </w:tcBorders>
            <w:shd w:val="clear" w:color="000000" w:fill="FFFFFF" w:themeFill="background1"/>
            <w:noWrap/>
            <w:vAlign w:val="center"/>
            <w:hideMark/>
          </w:tcPr>
          <w:p w14:paraId="2A28A18C" w14:textId="77777777" w:rsidR="00893442" w:rsidRPr="00640D72" w:rsidRDefault="00893442" w:rsidP="004E4CC8">
            <w:pPr>
              <w:spacing w:line="240" w:lineRule="auto"/>
              <w:rPr>
                <w:color w:val="000000"/>
                <w:szCs w:val="24"/>
              </w:rPr>
            </w:pPr>
            <w:r w:rsidRPr="00640D72">
              <w:rPr>
                <w:color w:val="000000"/>
                <w:szCs w:val="24"/>
              </w:rPr>
              <w:t>11 November 201</w:t>
            </w:r>
            <w:r>
              <w:rPr>
                <w:color w:val="000000"/>
                <w:szCs w:val="24"/>
              </w:rPr>
              <w:t>8 and 12 May 2019</w:t>
            </w:r>
          </w:p>
        </w:tc>
        <w:tc>
          <w:tcPr>
            <w:tcW w:w="1981" w:type="dxa"/>
            <w:tcBorders>
              <w:top w:val="single" w:sz="4" w:space="0" w:color="auto"/>
              <w:left w:val="nil"/>
              <w:bottom w:val="single" w:sz="4" w:space="0" w:color="auto"/>
              <w:right w:val="single" w:sz="4" w:space="0" w:color="auto"/>
            </w:tcBorders>
            <w:shd w:val="clear" w:color="000000" w:fill="FFFFFF" w:themeFill="background1"/>
            <w:vAlign w:val="center"/>
            <w:hideMark/>
          </w:tcPr>
          <w:p w14:paraId="73CA45A2" w14:textId="77777777" w:rsidR="00893442" w:rsidRPr="00640D72" w:rsidRDefault="00893442" w:rsidP="004E4CC8">
            <w:pPr>
              <w:spacing w:line="240" w:lineRule="auto"/>
              <w:rPr>
                <w:color w:val="000000"/>
                <w:szCs w:val="24"/>
              </w:rPr>
            </w:pPr>
            <w:r>
              <w:rPr>
                <w:color w:val="000000"/>
                <w:szCs w:val="24"/>
              </w:rPr>
              <w:t>1 October 2019</w:t>
            </w:r>
          </w:p>
        </w:tc>
      </w:tr>
      <w:tr w:rsidR="00893442" w:rsidRPr="00640D72" w14:paraId="4034636E" w14:textId="77777777" w:rsidTr="0089344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30"/>
        </w:trPr>
        <w:tc>
          <w:tcPr>
            <w:tcW w:w="1706" w:type="dxa"/>
            <w:tcBorders>
              <w:top w:val="nil"/>
              <w:left w:val="single" w:sz="4" w:space="0" w:color="auto"/>
              <w:bottom w:val="single" w:sz="4" w:space="0" w:color="auto"/>
              <w:right w:val="single" w:sz="4" w:space="0" w:color="auto"/>
            </w:tcBorders>
            <w:shd w:val="clear" w:color="000000" w:fill="EEECE1"/>
            <w:vAlign w:val="center"/>
            <w:hideMark/>
          </w:tcPr>
          <w:p w14:paraId="38FD7D48" w14:textId="77777777" w:rsidR="00893442" w:rsidRPr="00640D72" w:rsidRDefault="00893442" w:rsidP="004E4CC8">
            <w:pPr>
              <w:spacing w:line="240" w:lineRule="auto"/>
              <w:jc w:val="right"/>
              <w:rPr>
                <w:b/>
                <w:bCs/>
                <w:color w:val="000000"/>
                <w:szCs w:val="24"/>
              </w:rPr>
            </w:pPr>
            <w:r>
              <w:rPr>
                <w:b/>
                <w:bCs/>
                <w:color w:val="000000"/>
                <w:szCs w:val="24"/>
              </w:rPr>
              <w:t>Oct-2018</w:t>
            </w:r>
          </w:p>
        </w:tc>
        <w:tc>
          <w:tcPr>
            <w:tcW w:w="1559" w:type="dxa"/>
            <w:tcBorders>
              <w:top w:val="nil"/>
              <w:left w:val="nil"/>
              <w:bottom w:val="single" w:sz="4" w:space="0" w:color="auto"/>
              <w:right w:val="single" w:sz="4" w:space="0" w:color="auto"/>
            </w:tcBorders>
            <w:shd w:val="clear" w:color="000000" w:fill="EEECE1"/>
            <w:noWrap/>
            <w:vAlign w:val="center"/>
            <w:hideMark/>
          </w:tcPr>
          <w:p w14:paraId="6FBC0979" w14:textId="77777777" w:rsidR="00893442" w:rsidRPr="00640D72" w:rsidRDefault="00893442" w:rsidP="004E4CC8">
            <w:pPr>
              <w:spacing w:line="240" w:lineRule="auto"/>
              <w:rPr>
                <w:color w:val="000000"/>
                <w:szCs w:val="24"/>
              </w:rPr>
            </w:pPr>
            <w:r>
              <w:rPr>
                <w:color w:val="000000"/>
                <w:szCs w:val="24"/>
              </w:rPr>
              <w:t>2019 October Cycle</w:t>
            </w:r>
          </w:p>
        </w:tc>
        <w:tc>
          <w:tcPr>
            <w:tcW w:w="2410" w:type="dxa"/>
            <w:tcBorders>
              <w:top w:val="nil"/>
              <w:left w:val="nil"/>
              <w:bottom w:val="single" w:sz="4" w:space="0" w:color="auto"/>
              <w:right w:val="single" w:sz="4" w:space="0" w:color="auto"/>
            </w:tcBorders>
            <w:shd w:val="clear" w:color="000000" w:fill="EEECE1"/>
            <w:vAlign w:val="center"/>
            <w:hideMark/>
          </w:tcPr>
          <w:p w14:paraId="1BC44A64" w14:textId="77777777" w:rsidR="00893442" w:rsidRPr="00640D72" w:rsidRDefault="00893442" w:rsidP="004E4CC8">
            <w:pPr>
              <w:spacing w:line="240" w:lineRule="auto"/>
              <w:rPr>
                <w:color w:val="000000"/>
                <w:szCs w:val="24"/>
              </w:rPr>
            </w:pPr>
            <w:r>
              <w:rPr>
                <w:color w:val="000000"/>
                <w:szCs w:val="24"/>
              </w:rPr>
              <w:t xml:space="preserve">1 October 2018 to </w:t>
            </w:r>
            <w:r>
              <w:rPr>
                <w:color w:val="000000"/>
                <w:szCs w:val="24"/>
              </w:rPr>
              <w:br/>
              <w:t>31</w:t>
            </w:r>
            <w:r w:rsidRPr="00640D72">
              <w:rPr>
                <w:color w:val="000000"/>
                <w:szCs w:val="24"/>
              </w:rPr>
              <w:t xml:space="preserve"> </w:t>
            </w:r>
            <w:r>
              <w:rPr>
                <w:color w:val="000000"/>
                <w:szCs w:val="24"/>
              </w:rPr>
              <w:t>March 2019</w:t>
            </w:r>
          </w:p>
        </w:tc>
        <w:tc>
          <w:tcPr>
            <w:tcW w:w="2126" w:type="dxa"/>
            <w:tcBorders>
              <w:top w:val="nil"/>
              <w:left w:val="nil"/>
              <w:bottom w:val="single" w:sz="4" w:space="0" w:color="auto"/>
              <w:right w:val="single" w:sz="4" w:space="0" w:color="auto"/>
            </w:tcBorders>
            <w:shd w:val="clear" w:color="000000" w:fill="EEECE1"/>
            <w:noWrap/>
            <w:vAlign w:val="center"/>
            <w:hideMark/>
          </w:tcPr>
          <w:p w14:paraId="5466934D" w14:textId="77777777" w:rsidR="00893442" w:rsidRPr="00640D72" w:rsidRDefault="00893442" w:rsidP="004E4CC8">
            <w:pPr>
              <w:spacing w:line="240" w:lineRule="auto"/>
              <w:rPr>
                <w:color w:val="000000"/>
                <w:szCs w:val="24"/>
              </w:rPr>
            </w:pPr>
            <w:r>
              <w:rPr>
                <w:color w:val="000000"/>
                <w:szCs w:val="24"/>
              </w:rPr>
              <w:t>12 May 2019</w:t>
            </w:r>
          </w:p>
        </w:tc>
        <w:tc>
          <w:tcPr>
            <w:tcW w:w="1981" w:type="dxa"/>
            <w:tcBorders>
              <w:top w:val="nil"/>
              <w:left w:val="nil"/>
              <w:bottom w:val="single" w:sz="4" w:space="0" w:color="auto"/>
              <w:right w:val="single" w:sz="4" w:space="0" w:color="auto"/>
            </w:tcBorders>
            <w:shd w:val="clear" w:color="000000" w:fill="EEECE1"/>
            <w:vAlign w:val="center"/>
            <w:hideMark/>
          </w:tcPr>
          <w:p w14:paraId="7E2DDAEB" w14:textId="77777777" w:rsidR="00893442" w:rsidRPr="00640D72" w:rsidRDefault="00893442" w:rsidP="004E4CC8">
            <w:pPr>
              <w:spacing w:line="240" w:lineRule="auto"/>
              <w:rPr>
                <w:color w:val="000000"/>
                <w:szCs w:val="24"/>
              </w:rPr>
            </w:pPr>
            <w:r>
              <w:rPr>
                <w:color w:val="000000"/>
                <w:szCs w:val="24"/>
              </w:rPr>
              <w:t>1 October 2019</w:t>
            </w:r>
          </w:p>
        </w:tc>
      </w:tr>
    </w:tbl>
    <w:p w14:paraId="34D748C1" w14:textId="77777777" w:rsidR="005D35C4" w:rsidRPr="00B579AA" w:rsidRDefault="00BE41C2" w:rsidP="00BE41C2">
      <w:pPr>
        <w:pStyle w:val="Heading2"/>
        <w:spacing w:before="120"/>
        <w:ind w:left="142" w:hanging="142"/>
      </w:pPr>
      <w:bookmarkStart w:id="40" w:name="_Toc454283966"/>
      <w:r w:rsidRPr="00BE41C2">
        <w:rPr>
          <w:b/>
          <w:color w:val="FF0000"/>
          <w:sz w:val="28"/>
          <w:szCs w:val="28"/>
        </w:rPr>
        <w:t>*</w:t>
      </w:r>
      <w:r w:rsidRPr="00BE41C2">
        <w:rPr>
          <w:color w:val="auto"/>
          <w:sz w:val="22"/>
          <w:szCs w:val="22"/>
        </w:rPr>
        <w:t xml:space="preserve"> </w:t>
      </w:r>
      <w:r w:rsidRPr="00BE41C2">
        <w:rPr>
          <w:bCs w:val="0"/>
          <w:color w:val="auto"/>
          <w:sz w:val="22"/>
          <w:szCs w:val="22"/>
        </w:rPr>
        <w:t>Data due date of 12 May is for a period ending 31 March and data due date of 11 November is for a period ending 30 September</w:t>
      </w:r>
      <w:r w:rsidRPr="00BE41C2">
        <w:rPr>
          <w:color w:val="auto"/>
          <w:sz w:val="22"/>
          <w:szCs w:val="22"/>
        </w:rPr>
        <w:t xml:space="preserve"> </w:t>
      </w:r>
      <w:r w:rsidR="00B93854">
        <w:br w:type="page"/>
      </w:r>
      <w:r w:rsidR="00F31DC4" w:rsidRPr="00B579AA">
        <w:lastRenderedPageBreak/>
        <w:t>Collection</w:t>
      </w:r>
      <w:bookmarkEnd w:id="29"/>
      <w:bookmarkEnd w:id="40"/>
      <w:r w:rsidR="00F31DC4" w:rsidRPr="00B579AA">
        <w:t xml:space="preserve"> </w:t>
      </w:r>
    </w:p>
    <w:p w14:paraId="420EED21" w14:textId="77777777" w:rsidR="005D35C4" w:rsidRPr="00B579AA" w:rsidRDefault="00F31DC4" w:rsidP="00925E92">
      <w:pPr>
        <w:pStyle w:val="Heading3"/>
        <w:spacing w:before="120"/>
      </w:pPr>
      <w:bookmarkStart w:id="41" w:name="_Toc367914214"/>
      <w:bookmarkStart w:id="42" w:name="_Toc454283967"/>
      <w:r w:rsidRPr="00B579AA">
        <w:t>Information to be collected and submitted</w:t>
      </w:r>
      <w:bookmarkEnd w:id="41"/>
      <w:bookmarkEnd w:id="42"/>
      <w:r w:rsidRPr="00B579AA">
        <w:t xml:space="preserve"> </w:t>
      </w:r>
    </w:p>
    <w:p w14:paraId="51ABDCBC" w14:textId="77777777" w:rsidR="005D35C4" w:rsidRPr="00E855E0" w:rsidRDefault="0088351C" w:rsidP="00865740">
      <w:pPr>
        <w:pStyle w:val="ListParagraph"/>
        <w:numPr>
          <w:ilvl w:val="0"/>
          <w:numId w:val="24"/>
        </w:numPr>
        <w:ind w:left="714" w:hanging="357"/>
        <w:contextualSpacing w:val="0"/>
        <w:rPr>
          <w:rFonts w:cs="Arial"/>
        </w:rPr>
      </w:pPr>
      <w:r>
        <w:rPr>
          <w:rFonts w:cs="Arial"/>
        </w:rPr>
        <w:t>F</w:t>
      </w:r>
      <w:r w:rsidR="00F31DC4" w:rsidRPr="0031599C">
        <w:rPr>
          <w:rFonts w:cs="Arial"/>
        </w:rPr>
        <w:t xml:space="preserve">or each brand </w:t>
      </w:r>
      <w:r w:rsidR="002B1CCB">
        <w:rPr>
          <w:rFonts w:cs="Arial"/>
        </w:rPr>
        <w:t>that</w:t>
      </w:r>
      <w:r w:rsidR="002B1CCB" w:rsidRPr="0031599C">
        <w:rPr>
          <w:rFonts w:cs="Arial"/>
        </w:rPr>
        <w:t xml:space="preserve"> </w:t>
      </w:r>
      <w:r w:rsidR="00F31DC4" w:rsidRPr="0031599C">
        <w:rPr>
          <w:rFonts w:cs="Arial"/>
        </w:rPr>
        <w:t xml:space="preserve">is subject to </w:t>
      </w:r>
      <w:r w:rsidR="00155DDA">
        <w:rPr>
          <w:rFonts w:cs="Arial"/>
        </w:rPr>
        <w:t>price disclosure</w:t>
      </w:r>
      <w:r w:rsidR="002B1CCB">
        <w:rPr>
          <w:rFonts w:cs="Arial"/>
        </w:rPr>
        <w:t xml:space="preserve"> (all brands of</w:t>
      </w:r>
      <w:r w:rsidR="00A07630">
        <w:rPr>
          <w:rFonts w:cs="Arial"/>
        </w:rPr>
        <w:t xml:space="preserve"> non-exempt</w:t>
      </w:r>
      <w:r w:rsidR="002B1CCB">
        <w:rPr>
          <w:rFonts w:cs="Arial"/>
        </w:rPr>
        <w:t xml:space="preserve"> pharmaceutical items containing a drug on the F2 formulary)</w:t>
      </w:r>
      <w:r w:rsidR="00155DDA" w:rsidRPr="0031599C">
        <w:rPr>
          <w:rFonts w:cs="Arial"/>
        </w:rPr>
        <w:t xml:space="preserve"> </w:t>
      </w:r>
      <w:r w:rsidR="00F31DC4" w:rsidRPr="0031599C">
        <w:rPr>
          <w:rFonts w:cs="Arial"/>
        </w:rPr>
        <w:t>the responsible person is required to disclose information about sales revenue</w:t>
      </w:r>
      <w:r w:rsidR="008C4D07">
        <w:rPr>
          <w:rFonts w:cs="Arial"/>
        </w:rPr>
        <w:t>, incentives</w:t>
      </w:r>
      <w:r w:rsidR="00F31DC4" w:rsidRPr="0031599C">
        <w:rPr>
          <w:rFonts w:cs="Arial"/>
        </w:rPr>
        <w:t xml:space="preserve"> and volume of sales</w:t>
      </w:r>
      <w:r w:rsidR="00110787">
        <w:rPr>
          <w:rFonts w:cs="Arial"/>
        </w:rPr>
        <w:t xml:space="preserve"> (</w:t>
      </w:r>
      <w:r w:rsidR="00FD5DF4">
        <w:rPr>
          <w:rFonts w:cs="Arial"/>
        </w:rPr>
        <w:t>f</w:t>
      </w:r>
      <w:r w:rsidR="00443408">
        <w:rPr>
          <w:rFonts w:cs="Arial"/>
        </w:rPr>
        <w:t>or</w:t>
      </w:r>
      <w:r w:rsidR="00FD5DF4">
        <w:rPr>
          <w:rFonts w:cs="Arial"/>
        </w:rPr>
        <w:t xml:space="preserve"> each</w:t>
      </w:r>
      <w:r w:rsidR="00A07630">
        <w:rPr>
          <w:rFonts w:cs="Arial"/>
        </w:rPr>
        <w:t xml:space="preserve"> </w:t>
      </w:r>
      <w:r w:rsidR="00110787">
        <w:rPr>
          <w:rFonts w:cs="Arial"/>
        </w:rPr>
        <w:t>pack size)</w:t>
      </w:r>
      <w:r w:rsidR="00F31DC4" w:rsidRPr="0031599C">
        <w:rPr>
          <w:rFonts w:cs="Arial"/>
        </w:rPr>
        <w:t xml:space="preserve">. </w:t>
      </w:r>
      <w:r w:rsidR="00022066">
        <w:rPr>
          <w:rFonts w:cs="Arial"/>
        </w:rPr>
        <w:t xml:space="preserve">The content of information required is set out at regulation </w:t>
      </w:r>
      <w:r w:rsidR="00022066" w:rsidRPr="00E855E0">
        <w:rPr>
          <w:rFonts w:cs="Arial"/>
        </w:rPr>
        <w:t>37</w:t>
      </w:r>
      <w:r w:rsidR="000B47B1" w:rsidRPr="00E855E0">
        <w:rPr>
          <w:rFonts w:cs="Arial"/>
        </w:rPr>
        <w:t>T</w:t>
      </w:r>
      <w:r w:rsidR="00DC28D4">
        <w:rPr>
          <w:rFonts w:cs="Arial"/>
        </w:rPr>
        <w:t xml:space="preserve"> and more detail is provided below</w:t>
      </w:r>
      <w:r w:rsidR="00022066" w:rsidRPr="00E855E0">
        <w:rPr>
          <w:rFonts w:cs="Arial"/>
        </w:rPr>
        <w:t>.</w:t>
      </w:r>
    </w:p>
    <w:p w14:paraId="493FF8A8" w14:textId="77777777" w:rsidR="00980D72" w:rsidRDefault="00F31DC4" w:rsidP="00865740">
      <w:pPr>
        <w:pStyle w:val="ListParagraph"/>
        <w:numPr>
          <w:ilvl w:val="0"/>
          <w:numId w:val="24"/>
        </w:numPr>
        <w:ind w:left="714" w:hanging="357"/>
        <w:contextualSpacing w:val="0"/>
        <w:rPr>
          <w:rFonts w:cs="Arial"/>
        </w:rPr>
      </w:pPr>
      <w:r w:rsidRPr="0031599C">
        <w:rPr>
          <w:rFonts w:cs="Arial"/>
        </w:rPr>
        <w:t>This</w:t>
      </w:r>
      <w:r w:rsidR="00022066">
        <w:rPr>
          <w:rFonts w:cs="Arial"/>
        </w:rPr>
        <w:t xml:space="preserve"> information</w:t>
      </w:r>
      <w:r w:rsidRPr="0031599C">
        <w:rPr>
          <w:rFonts w:cs="Arial"/>
        </w:rPr>
        <w:t xml:space="preserve"> is required: </w:t>
      </w:r>
    </w:p>
    <w:p w14:paraId="36330F23" w14:textId="77777777" w:rsidR="00980D72" w:rsidRDefault="00022066" w:rsidP="00996709">
      <w:pPr>
        <w:pStyle w:val="ListParagraph"/>
        <w:numPr>
          <w:ilvl w:val="1"/>
          <w:numId w:val="24"/>
        </w:numPr>
        <w:contextualSpacing w:val="0"/>
        <w:rPr>
          <w:rFonts w:cs="Arial"/>
        </w:rPr>
      </w:pPr>
      <w:r w:rsidRPr="00980D72">
        <w:rPr>
          <w:rFonts w:cs="Arial"/>
        </w:rPr>
        <w:t>f</w:t>
      </w:r>
      <w:r w:rsidR="00F31DC4" w:rsidRPr="00980D72">
        <w:rPr>
          <w:rFonts w:cs="Arial"/>
        </w:rPr>
        <w:t xml:space="preserve">or all brands of all </w:t>
      </w:r>
      <w:r w:rsidR="002C0F41" w:rsidRPr="00980D72">
        <w:rPr>
          <w:rFonts w:cs="Arial"/>
        </w:rPr>
        <w:t xml:space="preserve">pharmaceutical </w:t>
      </w:r>
      <w:r w:rsidR="004C53CA" w:rsidRPr="00980D72">
        <w:rPr>
          <w:rFonts w:cs="Arial"/>
        </w:rPr>
        <w:t>items</w:t>
      </w:r>
      <w:r w:rsidR="002B1CCB" w:rsidRPr="00980D72">
        <w:rPr>
          <w:rFonts w:cs="Arial"/>
        </w:rPr>
        <w:t xml:space="preserve"> subject to price disclosure that are</w:t>
      </w:r>
      <w:r w:rsidR="00F31DC4" w:rsidRPr="00980D72">
        <w:rPr>
          <w:rFonts w:cs="Arial"/>
        </w:rPr>
        <w:t xml:space="preserve"> supplied by th</w:t>
      </w:r>
      <w:r w:rsidR="00DC28D4" w:rsidRPr="00980D72">
        <w:rPr>
          <w:rFonts w:cs="Arial"/>
        </w:rPr>
        <w:t>e</w:t>
      </w:r>
      <w:r w:rsidR="00F31DC4" w:rsidRPr="00980D72">
        <w:rPr>
          <w:rFonts w:cs="Arial"/>
        </w:rPr>
        <w:t xml:space="preserve"> responsible person</w:t>
      </w:r>
      <w:r w:rsidR="009F2B26" w:rsidRPr="00980D72">
        <w:rPr>
          <w:rFonts w:cs="Arial"/>
        </w:rPr>
        <w:t xml:space="preserve">. </w:t>
      </w:r>
      <w:r w:rsidR="00D07335" w:rsidRPr="00980D72">
        <w:rPr>
          <w:rFonts w:cs="Arial"/>
        </w:rPr>
        <w:t xml:space="preserve">This includes both listed brands and any brands </w:t>
      </w:r>
      <w:r w:rsidR="002B1CCB" w:rsidRPr="00980D72">
        <w:rPr>
          <w:rFonts w:cs="Arial"/>
        </w:rPr>
        <w:t xml:space="preserve">that </w:t>
      </w:r>
      <w:r w:rsidR="00D07335" w:rsidRPr="00980D72">
        <w:rPr>
          <w:rFonts w:cs="Arial"/>
        </w:rPr>
        <w:t>deliste</w:t>
      </w:r>
      <w:r w:rsidR="009F2B26" w:rsidRPr="00980D72">
        <w:rPr>
          <w:rFonts w:cs="Arial"/>
        </w:rPr>
        <w:t xml:space="preserve">d during the </w:t>
      </w:r>
      <w:r w:rsidR="006D56BF" w:rsidRPr="00980D72">
        <w:rPr>
          <w:rFonts w:cs="Arial"/>
        </w:rPr>
        <w:t>data collection</w:t>
      </w:r>
      <w:r w:rsidR="009F2B26" w:rsidRPr="00980D72">
        <w:rPr>
          <w:rFonts w:cs="Arial"/>
        </w:rPr>
        <w:t xml:space="preserve"> period. </w:t>
      </w:r>
      <w:r w:rsidR="00D71B1D" w:rsidRPr="00980D72">
        <w:rPr>
          <w:rFonts w:cs="Arial"/>
        </w:rPr>
        <w:t>T</w:t>
      </w:r>
      <w:r w:rsidR="00D07335" w:rsidRPr="00980D72">
        <w:rPr>
          <w:rFonts w:cs="Arial"/>
        </w:rPr>
        <w:t>his obligation continues until the price disclosure requirements have been completed</w:t>
      </w:r>
      <w:r w:rsidR="007E469F" w:rsidRPr="00980D72">
        <w:rPr>
          <w:rFonts w:cs="Arial"/>
        </w:rPr>
        <w:t xml:space="preserve"> for the data collection period in which the brand was delisted</w:t>
      </w:r>
      <w:r w:rsidR="00D07335" w:rsidRPr="00980D72">
        <w:rPr>
          <w:rFonts w:cs="Arial"/>
        </w:rPr>
        <w:t>, even after the responsible person ceases to be a respon</w:t>
      </w:r>
      <w:r w:rsidR="00CD33CE" w:rsidRPr="00980D72">
        <w:rPr>
          <w:rFonts w:cs="Arial"/>
        </w:rPr>
        <w:t xml:space="preserve">sible person for the brand. </w:t>
      </w:r>
    </w:p>
    <w:p w14:paraId="5FD87DD7" w14:textId="77777777" w:rsidR="005D35C4" w:rsidRPr="00980D72" w:rsidRDefault="00022066" w:rsidP="00996709">
      <w:pPr>
        <w:pStyle w:val="ListParagraph"/>
        <w:numPr>
          <w:ilvl w:val="1"/>
          <w:numId w:val="24"/>
        </w:numPr>
        <w:contextualSpacing w:val="0"/>
        <w:rPr>
          <w:rFonts w:cs="Arial"/>
        </w:rPr>
      </w:pPr>
      <w:r w:rsidRPr="00980D72">
        <w:rPr>
          <w:rFonts w:cs="Arial"/>
        </w:rPr>
        <w:t>t</w:t>
      </w:r>
      <w:r w:rsidR="00F31DC4" w:rsidRPr="00980D72">
        <w:rPr>
          <w:rFonts w:cs="Arial"/>
        </w:rPr>
        <w:t xml:space="preserve">o be submitted separately for each brand and each </w:t>
      </w:r>
      <w:r w:rsidR="00D11F1C" w:rsidRPr="00980D72">
        <w:rPr>
          <w:rFonts w:cs="Arial"/>
        </w:rPr>
        <w:t>pharmaceutical item</w:t>
      </w:r>
      <w:r w:rsidR="00F31DC4" w:rsidRPr="00980D72">
        <w:rPr>
          <w:rFonts w:cs="Arial"/>
        </w:rPr>
        <w:t xml:space="preserve">. </w:t>
      </w:r>
    </w:p>
    <w:p w14:paraId="0F608FED" w14:textId="77777777" w:rsidR="00100AD4" w:rsidRDefault="00F31DC4" w:rsidP="00587FC2">
      <w:pPr>
        <w:pStyle w:val="ListParagraph"/>
        <w:numPr>
          <w:ilvl w:val="0"/>
          <w:numId w:val="24"/>
        </w:numPr>
        <w:ind w:left="714" w:hanging="357"/>
        <w:contextualSpacing w:val="0"/>
      </w:pPr>
      <w:r w:rsidRPr="0031599C">
        <w:rPr>
          <w:rFonts w:cs="Arial"/>
        </w:rPr>
        <w:t>This information will be used to calculate the weighted average disclosed price</w:t>
      </w:r>
      <w:r w:rsidR="00FD5DF4">
        <w:rPr>
          <w:rFonts w:cs="Arial"/>
        </w:rPr>
        <w:t xml:space="preserve">, which </w:t>
      </w:r>
      <w:r w:rsidR="00443408">
        <w:rPr>
          <w:rFonts w:cs="Arial"/>
        </w:rPr>
        <w:t xml:space="preserve">is </w:t>
      </w:r>
      <w:r w:rsidR="00FD5DF4">
        <w:rPr>
          <w:rFonts w:cs="Arial"/>
        </w:rPr>
        <w:t>the basis for any price disclosure reduction</w:t>
      </w:r>
      <w:r w:rsidRPr="0031599C">
        <w:rPr>
          <w:rFonts w:cs="Arial"/>
        </w:rPr>
        <w:t xml:space="preserve">. </w:t>
      </w:r>
    </w:p>
    <w:p w14:paraId="067E4361" w14:textId="77777777" w:rsidR="00100AD4" w:rsidRPr="00CA64E5" w:rsidRDefault="00100AD4" w:rsidP="00100AD4">
      <w:pPr>
        <w:pStyle w:val="Heading4"/>
        <w:spacing w:before="120"/>
      </w:pPr>
      <w:r w:rsidRPr="00C434AA">
        <w:t xml:space="preserve">Brand specific information that responsible persons are required to collect for each period </w:t>
      </w:r>
    </w:p>
    <w:p w14:paraId="34EB9045" w14:textId="77777777" w:rsidR="00100AD4" w:rsidRDefault="00100AD4" w:rsidP="00865740">
      <w:pPr>
        <w:pStyle w:val="ListParagraph"/>
        <w:numPr>
          <w:ilvl w:val="0"/>
          <w:numId w:val="24"/>
        </w:numPr>
        <w:autoSpaceDE w:val="0"/>
        <w:autoSpaceDN w:val="0"/>
        <w:adjustRightInd w:val="0"/>
        <w:spacing w:line="240" w:lineRule="auto"/>
        <w:ind w:left="714" w:hanging="357"/>
        <w:rPr>
          <w:rFonts w:cs="Arial"/>
        </w:rPr>
      </w:pPr>
      <w:r w:rsidRPr="00980D72">
        <w:rPr>
          <w:rFonts w:cs="Arial"/>
        </w:rPr>
        <w:t xml:space="preserve">Responsible persons will need to </w:t>
      </w:r>
      <w:r w:rsidRPr="00980D72">
        <w:rPr>
          <w:rFonts w:cs="Arial"/>
          <w:b/>
        </w:rPr>
        <w:t>collect</w:t>
      </w:r>
      <w:r w:rsidRPr="00980D72">
        <w:rPr>
          <w:rFonts w:cs="Arial"/>
        </w:rPr>
        <w:t xml:space="preserve"> and </w:t>
      </w:r>
      <w:r w:rsidRPr="00980D72">
        <w:rPr>
          <w:rFonts w:cs="Arial"/>
          <w:b/>
        </w:rPr>
        <w:t>submit</w:t>
      </w:r>
      <w:r w:rsidRPr="00980D72">
        <w:rPr>
          <w:rFonts w:cs="Arial"/>
        </w:rPr>
        <w:t xml:space="preserve"> the following brand specific information</w:t>
      </w:r>
      <w:r w:rsidRPr="00980D72">
        <w:rPr>
          <w:rFonts w:ascii="Times New Roman" w:hAnsi="Times New Roman"/>
        </w:rPr>
        <w:t xml:space="preserve"> </w:t>
      </w:r>
      <w:r w:rsidRPr="00980D72">
        <w:rPr>
          <w:rFonts w:cs="Arial"/>
        </w:rPr>
        <w:t xml:space="preserve">in relation to the supply of a brand of a pharmaceutical item (other than supply to a public hospital): </w:t>
      </w:r>
    </w:p>
    <w:p w14:paraId="4C0A6B1A"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the sales revenue;</w:t>
      </w:r>
    </w:p>
    <w:p w14:paraId="46BB9B96"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 xml:space="preserve">the </w:t>
      </w:r>
      <w:r w:rsidRPr="00FE7373">
        <w:rPr>
          <w:rFonts w:cs="Arial"/>
        </w:rPr>
        <w:t>volume sold, based on the number of packs sold (for</w:t>
      </w:r>
      <w:r w:rsidRPr="00980D72">
        <w:rPr>
          <w:rFonts w:cs="Arial"/>
        </w:rPr>
        <w:t xml:space="preserve"> all pack sizes of a brand of pharmaceutical item, including packs of the brand of pharmaceutical item that are not pack quantities in the PBS listing instrument);</w:t>
      </w:r>
    </w:p>
    <w:p w14:paraId="264CACD9" w14:textId="77777777" w:rsidR="00100AD4"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 xml:space="preserve">the kind of incentives (if any) given for the brand for the relevant period; and </w:t>
      </w:r>
    </w:p>
    <w:p w14:paraId="668FD520" w14:textId="77777777" w:rsidR="00100AD4" w:rsidRPr="00980D72" w:rsidRDefault="00100AD4" w:rsidP="0094356B">
      <w:pPr>
        <w:pStyle w:val="ListParagraph"/>
        <w:numPr>
          <w:ilvl w:val="1"/>
          <w:numId w:val="24"/>
        </w:numPr>
        <w:autoSpaceDE w:val="0"/>
        <w:autoSpaceDN w:val="0"/>
        <w:adjustRightInd w:val="0"/>
        <w:spacing w:line="240" w:lineRule="auto"/>
        <w:rPr>
          <w:rFonts w:cs="Arial"/>
        </w:rPr>
      </w:pPr>
      <w:r w:rsidRPr="00980D72">
        <w:rPr>
          <w:rFonts w:cs="Arial"/>
        </w:rPr>
        <w:t>the value of the incentives given for the brand for the relevant period.</w:t>
      </w:r>
      <w:r w:rsidRPr="00980D72">
        <w:rPr>
          <w:rFonts w:ascii="Times New Roman" w:hAnsi="Times New Roman"/>
          <w:sz w:val="24"/>
          <w:szCs w:val="24"/>
        </w:rPr>
        <w:t xml:space="preserve"> </w:t>
      </w:r>
    </w:p>
    <w:p w14:paraId="36F013BA" w14:textId="77777777" w:rsidR="00100AD4" w:rsidRDefault="00100AD4" w:rsidP="00865740">
      <w:pPr>
        <w:pStyle w:val="ListParagraph"/>
        <w:numPr>
          <w:ilvl w:val="0"/>
          <w:numId w:val="24"/>
        </w:numPr>
        <w:ind w:left="714" w:hanging="357"/>
        <w:contextualSpacing w:val="0"/>
        <w:rPr>
          <w:rFonts w:cs="Arial"/>
        </w:rPr>
      </w:pPr>
      <w:r w:rsidRPr="0031599C">
        <w:rPr>
          <w:rFonts w:cs="Arial"/>
        </w:rPr>
        <w:t xml:space="preserve">All monetary amounts should be expressed in Australian dollars and be exclusive of GST. The sales revenue disclosed in the data </w:t>
      </w:r>
      <w:r>
        <w:rPr>
          <w:rFonts w:cs="Arial"/>
        </w:rPr>
        <w:t>will generally</w:t>
      </w:r>
      <w:r w:rsidRPr="0031599C">
        <w:rPr>
          <w:rFonts w:cs="Arial"/>
        </w:rPr>
        <w:t xml:space="preserve"> reflect the prices charged according to invoices or order forms</w:t>
      </w:r>
      <w:r>
        <w:rPr>
          <w:rFonts w:cs="Arial"/>
        </w:rPr>
        <w:t>, but may also reflect a rebated price</w:t>
      </w:r>
      <w:r w:rsidRPr="0031599C">
        <w:rPr>
          <w:rFonts w:cs="Arial"/>
        </w:rPr>
        <w:t xml:space="preserve">. Any incentives related to sales of the brand must be provided in the data submission for the </w:t>
      </w:r>
      <w:r>
        <w:rPr>
          <w:rFonts w:cs="Arial"/>
        </w:rPr>
        <w:t>relevant</w:t>
      </w:r>
      <w:r w:rsidRPr="0031599C">
        <w:rPr>
          <w:rFonts w:cs="Arial"/>
        </w:rPr>
        <w:t xml:space="preserve"> period. Details about</w:t>
      </w:r>
      <w:r>
        <w:rPr>
          <w:rFonts w:cs="Arial"/>
        </w:rPr>
        <w:t xml:space="preserve"> periods for which data is required to be submitted and about</w:t>
      </w:r>
      <w:r w:rsidRPr="0031599C">
        <w:rPr>
          <w:rFonts w:cs="Arial"/>
        </w:rPr>
        <w:t xml:space="preserve"> incentives are set out below. </w:t>
      </w:r>
    </w:p>
    <w:p w14:paraId="33319E03" w14:textId="77777777" w:rsidR="00100AD4" w:rsidRDefault="00100AD4">
      <w:pPr>
        <w:spacing w:before="0" w:after="200"/>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EXAMPLE - Data collection and submission for a brand that is subject to price disclosure "/>
      </w:tblPr>
      <w:tblGrid>
        <w:gridCol w:w="9243"/>
      </w:tblGrid>
      <w:tr w:rsidR="00B579AA" w:rsidRPr="00BB28F3" w14:paraId="1DC2C7D1" w14:textId="77777777" w:rsidTr="00BB28F3">
        <w:tc>
          <w:tcPr>
            <w:tcW w:w="9243" w:type="dxa"/>
            <w:shd w:val="clear" w:color="auto" w:fill="17365D"/>
          </w:tcPr>
          <w:p w14:paraId="1187B1F5" w14:textId="77777777" w:rsidR="00B579AA" w:rsidRPr="00BB28F3" w:rsidRDefault="00FC7922" w:rsidP="00865740">
            <w:pPr>
              <w:spacing w:after="120" w:line="240" w:lineRule="auto"/>
              <w:rPr>
                <w:rFonts w:cs="Arial"/>
                <w:b/>
              </w:rPr>
            </w:pPr>
            <w:r w:rsidRPr="00BB28F3">
              <w:rPr>
                <w:rFonts w:cs="Arial"/>
                <w:b/>
                <w:color w:val="FFFFFF"/>
              </w:rPr>
              <w:lastRenderedPageBreak/>
              <w:t xml:space="preserve">EXAMPLE - </w:t>
            </w:r>
            <w:r w:rsidR="00B579AA" w:rsidRPr="00BB28F3">
              <w:rPr>
                <w:rFonts w:cs="Arial"/>
                <w:b/>
                <w:i/>
                <w:color w:val="FFFFFF"/>
              </w:rPr>
              <w:t xml:space="preserve">Data collection and submission for a brand that is subject to </w:t>
            </w:r>
            <w:r w:rsidR="00DE4501" w:rsidRPr="00BB28F3">
              <w:rPr>
                <w:rFonts w:cs="Arial"/>
                <w:b/>
                <w:i/>
                <w:color w:val="FFFFFF"/>
              </w:rPr>
              <w:t>price disclosure</w:t>
            </w:r>
            <w:r w:rsidR="00B579AA" w:rsidRPr="00BB28F3">
              <w:rPr>
                <w:rFonts w:cs="Arial"/>
                <w:b/>
                <w:color w:val="FFFFFF"/>
              </w:rPr>
              <w:t xml:space="preserve"> </w:t>
            </w:r>
          </w:p>
        </w:tc>
      </w:tr>
      <w:tr w:rsidR="00FC7922" w:rsidRPr="00BB28F3" w14:paraId="02B00992" w14:textId="77777777" w:rsidTr="00BB28F3">
        <w:tblPrEx>
          <w:shd w:val="clear" w:color="auto" w:fill="C6D9F1"/>
        </w:tblPrEx>
        <w:trPr>
          <w:trHeight w:val="5740"/>
        </w:trPr>
        <w:tc>
          <w:tcPr>
            <w:tcW w:w="9243" w:type="dxa"/>
            <w:shd w:val="clear" w:color="auto" w:fill="C6D9F1"/>
          </w:tcPr>
          <w:p w14:paraId="54785F29" w14:textId="77777777" w:rsidR="009E7B70" w:rsidRPr="00BB28F3" w:rsidRDefault="00FC7922" w:rsidP="00BB28F3">
            <w:pPr>
              <w:spacing w:line="240" w:lineRule="auto"/>
              <w:rPr>
                <w:rFonts w:cs="Arial"/>
              </w:rPr>
            </w:pPr>
            <w:r w:rsidRPr="00BB28F3">
              <w:rPr>
                <w:rFonts w:cs="Arial"/>
              </w:rPr>
              <w:t xml:space="preserve">Based on </w:t>
            </w:r>
            <w:r w:rsidR="00155DDA" w:rsidRPr="00BB28F3">
              <w:rPr>
                <w:rFonts w:cs="Arial"/>
              </w:rPr>
              <w:t xml:space="preserve">price disclosure </w:t>
            </w:r>
            <w:r w:rsidRPr="00BB28F3">
              <w:rPr>
                <w:rFonts w:cs="Arial"/>
              </w:rPr>
              <w:t>requirements, Dionysius Pty Ltd has to disclose price information for a drug with brand name Zeus that has two strengths</w:t>
            </w:r>
            <w:r w:rsidR="00D854FF" w:rsidRPr="00BB28F3">
              <w:rPr>
                <w:rFonts w:cs="Arial"/>
              </w:rPr>
              <w:t xml:space="preserve"> of tablet and one of injection</w:t>
            </w:r>
            <w:r w:rsidRPr="00BB28F3">
              <w:rPr>
                <w:rFonts w:cs="Arial"/>
              </w:rPr>
              <w:t xml:space="preserve">: </w:t>
            </w:r>
          </w:p>
          <w:p w14:paraId="28E7979D" w14:textId="77777777" w:rsidR="00FC7922" w:rsidRPr="00BB28F3" w:rsidRDefault="00B904AB" w:rsidP="00BB28F3">
            <w:pPr>
              <w:pStyle w:val="ListParagraph"/>
              <w:numPr>
                <w:ilvl w:val="0"/>
                <w:numId w:val="3"/>
              </w:numPr>
              <w:spacing w:line="240" w:lineRule="auto"/>
              <w:ind w:left="714" w:hanging="357"/>
              <w:rPr>
                <w:rFonts w:cs="Arial"/>
                <w:b/>
              </w:rPr>
            </w:pPr>
            <w:r w:rsidRPr="00BB28F3">
              <w:rPr>
                <w:rFonts w:cs="Arial"/>
                <w:b/>
              </w:rPr>
              <w:t>Zeus t</w:t>
            </w:r>
            <w:r w:rsidR="00FC7922" w:rsidRPr="00BB28F3">
              <w:rPr>
                <w:rFonts w:cs="Arial"/>
                <w:b/>
              </w:rPr>
              <w:t>ablet 25 mg</w:t>
            </w:r>
            <w:r w:rsidR="00D854FF" w:rsidRPr="00BB28F3">
              <w:rPr>
                <w:rFonts w:cs="Arial"/>
                <w:b/>
              </w:rPr>
              <w:t xml:space="preserve"> (28 pack)</w:t>
            </w:r>
            <w:r w:rsidR="00FC7922" w:rsidRPr="00BB28F3">
              <w:rPr>
                <w:rFonts w:cs="Arial"/>
                <w:b/>
              </w:rPr>
              <w:t xml:space="preserve">; and </w:t>
            </w:r>
          </w:p>
          <w:p w14:paraId="57B03534" w14:textId="77777777" w:rsidR="00D854FF" w:rsidRPr="00BB28F3" w:rsidRDefault="00B904AB" w:rsidP="00BB28F3">
            <w:pPr>
              <w:pStyle w:val="ListParagraph"/>
              <w:numPr>
                <w:ilvl w:val="0"/>
                <w:numId w:val="3"/>
              </w:numPr>
              <w:spacing w:line="240" w:lineRule="auto"/>
              <w:ind w:left="714" w:hanging="357"/>
              <w:rPr>
                <w:rFonts w:cs="Arial"/>
                <w:b/>
              </w:rPr>
            </w:pPr>
            <w:r w:rsidRPr="00BB28F3">
              <w:rPr>
                <w:rFonts w:cs="Arial"/>
                <w:b/>
              </w:rPr>
              <w:t>Zeus t</w:t>
            </w:r>
            <w:r w:rsidR="00FC7922" w:rsidRPr="00BB28F3">
              <w:rPr>
                <w:rFonts w:cs="Arial"/>
                <w:b/>
              </w:rPr>
              <w:t>ablet 40 mg</w:t>
            </w:r>
            <w:r w:rsidR="00D854FF" w:rsidRPr="00BB28F3">
              <w:rPr>
                <w:rFonts w:cs="Arial"/>
                <w:b/>
              </w:rPr>
              <w:t xml:space="preserve"> (14 pack)</w:t>
            </w:r>
          </w:p>
          <w:p w14:paraId="1DF5FD8F" w14:textId="77777777" w:rsidR="00FC7922" w:rsidRPr="00BB28F3" w:rsidRDefault="00D854FF" w:rsidP="00BB28F3">
            <w:pPr>
              <w:pStyle w:val="ListParagraph"/>
              <w:numPr>
                <w:ilvl w:val="0"/>
                <w:numId w:val="3"/>
              </w:numPr>
              <w:spacing w:line="240" w:lineRule="auto"/>
              <w:ind w:left="714" w:hanging="357"/>
              <w:rPr>
                <w:rFonts w:cs="Arial"/>
                <w:b/>
              </w:rPr>
            </w:pPr>
            <w:r w:rsidRPr="00BB28F3">
              <w:rPr>
                <w:rFonts w:cs="Arial"/>
                <w:b/>
              </w:rPr>
              <w:t>Zeus injection 25mg/100mL (4 vial pack)</w:t>
            </w:r>
            <w:r w:rsidR="00FC7922" w:rsidRPr="00BB28F3">
              <w:rPr>
                <w:rFonts w:cs="Arial"/>
                <w:b/>
              </w:rPr>
              <w:t xml:space="preserve">. </w:t>
            </w:r>
          </w:p>
          <w:p w14:paraId="010D1F7C" w14:textId="77777777" w:rsidR="00FC7922" w:rsidRPr="00BB28F3" w:rsidRDefault="00FC7922" w:rsidP="00BB28F3">
            <w:pPr>
              <w:spacing w:line="240" w:lineRule="auto"/>
              <w:rPr>
                <w:rFonts w:cs="Arial"/>
              </w:rPr>
            </w:pPr>
            <w:r w:rsidRPr="00BB28F3">
              <w:rPr>
                <w:rFonts w:cs="Arial"/>
              </w:rPr>
              <w:t xml:space="preserve">Dionysius Pty Ltd starts collecting sales revenue, volume and incentive data from the day </w:t>
            </w:r>
            <w:r w:rsidR="00D854FF" w:rsidRPr="00BB28F3">
              <w:rPr>
                <w:rFonts w:cs="Arial"/>
              </w:rPr>
              <w:t xml:space="preserve">its </w:t>
            </w:r>
            <w:r w:rsidRPr="00BB28F3">
              <w:rPr>
                <w:rFonts w:cs="Arial"/>
              </w:rPr>
              <w:t>Zeus</w:t>
            </w:r>
            <w:r w:rsidR="00D854FF" w:rsidRPr="00BB28F3">
              <w:rPr>
                <w:rFonts w:cs="Arial"/>
              </w:rPr>
              <w:t xml:space="preserve"> brands </w:t>
            </w:r>
            <w:r w:rsidRPr="00BB28F3">
              <w:rPr>
                <w:rFonts w:cs="Arial"/>
              </w:rPr>
              <w:t xml:space="preserve">became subject to </w:t>
            </w:r>
            <w:r w:rsidR="00155DDA" w:rsidRPr="00BB28F3">
              <w:rPr>
                <w:rFonts w:cs="Arial"/>
              </w:rPr>
              <w:t xml:space="preserve">price disclosure </w:t>
            </w:r>
            <w:r w:rsidRPr="00BB28F3">
              <w:rPr>
                <w:rFonts w:cs="Arial"/>
              </w:rPr>
              <w:t xml:space="preserve">(e.g. 1 </w:t>
            </w:r>
            <w:r w:rsidR="00FD5DF4" w:rsidRPr="00BB336D">
              <w:rPr>
                <w:rFonts w:cs="Arial"/>
              </w:rPr>
              <w:t>August</w:t>
            </w:r>
            <w:r w:rsidR="00155DDA" w:rsidRPr="00BB336D">
              <w:rPr>
                <w:rFonts w:cs="Arial"/>
              </w:rPr>
              <w:t xml:space="preserve"> 201</w:t>
            </w:r>
            <w:r w:rsidR="007E41E4">
              <w:rPr>
                <w:rFonts w:cs="Arial"/>
              </w:rPr>
              <w:t>5</w:t>
            </w:r>
            <w:r w:rsidRPr="00BB336D">
              <w:rPr>
                <w:rFonts w:cs="Arial"/>
              </w:rPr>
              <w:t>)</w:t>
            </w:r>
            <w:r w:rsidRPr="00BB28F3">
              <w:rPr>
                <w:rFonts w:cs="Arial"/>
              </w:rPr>
              <w:t xml:space="preserve"> for all </w:t>
            </w:r>
            <w:r w:rsidR="00D11F1C" w:rsidRPr="00BB28F3">
              <w:rPr>
                <w:rFonts w:cs="Arial"/>
              </w:rPr>
              <w:t>pharmaceutical items containing</w:t>
            </w:r>
            <w:r w:rsidRPr="00BB28F3">
              <w:rPr>
                <w:rFonts w:cs="Arial"/>
              </w:rPr>
              <w:t xml:space="preserve"> Zeus</w:t>
            </w:r>
            <w:r w:rsidR="00D854FF" w:rsidRPr="00BB28F3">
              <w:rPr>
                <w:rFonts w:cs="Arial"/>
              </w:rPr>
              <w:t xml:space="preserve">, </w:t>
            </w:r>
            <w:r w:rsidR="00400D9E" w:rsidRPr="00BB28F3">
              <w:rPr>
                <w:rFonts w:cs="Arial"/>
              </w:rPr>
              <w:t>i.e.</w:t>
            </w:r>
            <w:r w:rsidR="00E200ED">
              <w:rPr>
                <w:rFonts w:cs="Arial"/>
              </w:rPr>
              <w:t>,</w:t>
            </w:r>
            <w:r w:rsidR="00D854FF" w:rsidRPr="00BB28F3">
              <w:rPr>
                <w:rFonts w:cs="Arial"/>
              </w:rPr>
              <w:t xml:space="preserve"> both t</w:t>
            </w:r>
            <w:r w:rsidRPr="00BB28F3">
              <w:rPr>
                <w:rFonts w:cs="Arial"/>
              </w:rPr>
              <w:t xml:space="preserve">he </w:t>
            </w:r>
            <w:r w:rsidR="00D854FF" w:rsidRPr="00BB28F3">
              <w:rPr>
                <w:rFonts w:cs="Arial"/>
              </w:rPr>
              <w:t xml:space="preserve">oral and the injection </w:t>
            </w:r>
            <w:r w:rsidR="004C53CA" w:rsidRPr="00BB28F3">
              <w:rPr>
                <w:rFonts w:cs="Arial"/>
              </w:rPr>
              <w:t>MoA</w:t>
            </w:r>
            <w:r w:rsidRPr="00BB28F3">
              <w:rPr>
                <w:rFonts w:cs="Arial"/>
              </w:rPr>
              <w:t xml:space="preserve">. </w:t>
            </w:r>
          </w:p>
          <w:p w14:paraId="6F7D84ED" w14:textId="77777777" w:rsidR="00FC7922" w:rsidRPr="00BB28F3" w:rsidRDefault="00FC7922" w:rsidP="00BB28F3">
            <w:pPr>
              <w:spacing w:line="240" w:lineRule="auto"/>
              <w:rPr>
                <w:rFonts w:cs="Arial"/>
              </w:rPr>
            </w:pPr>
            <w:r w:rsidRPr="00BB28F3">
              <w:rPr>
                <w:rFonts w:cs="Arial"/>
              </w:rPr>
              <w:t xml:space="preserve">Dionysius Pty Ltd will use its own internal methodology for extracting the required data. </w:t>
            </w:r>
          </w:p>
          <w:p w14:paraId="3D6170BC" w14:textId="77777777" w:rsidR="00FC7922" w:rsidRPr="00BB28F3" w:rsidRDefault="002C0F41" w:rsidP="00BB28F3">
            <w:pPr>
              <w:spacing w:line="240" w:lineRule="auto"/>
              <w:rPr>
                <w:rFonts w:cs="Arial"/>
              </w:rPr>
            </w:pPr>
            <w:r w:rsidRPr="00BB28F3">
              <w:rPr>
                <w:rFonts w:cs="Arial"/>
              </w:rPr>
              <w:t xml:space="preserve">Dionysius Pty Ltd </w:t>
            </w:r>
            <w:r w:rsidR="00FC7922" w:rsidRPr="00BB28F3">
              <w:rPr>
                <w:rFonts w:cs="Arial"/>
              </w:rPr>
              <w:t xml:space="preserve">submits </w:t>
            </w:r>
            <w:r w:rsidR="00D854FF" w:rsidRPr="00BB28F3">
              <w:rPr>
                <w:rFonts w:cs="Arial"/>
              </w:rPr>
              <w:t xml:space="preserve">separate </w:t>
            </w:r>
            <w:r w:rsidR="00FC7922" w:rsidRPr="00BB28F3">
              <w:rPr>
                <w:rFonts w:cs="Arial"/>
              </w:rPr>
              <w:t xml:space="preserve">sets of data to the PDDA </w:t>
            </w:r>
            <w:r w:rsidR="00D854FF" w:rsidRPr="00BB28F3">
              <w:rPr>
                <w:rFonts w:cs="Arial"/>
              </w:rPr>
              <w:t xml:space="preserve">via the PDSU </w:t>
            </w:r>
            <w:r w:rsidR="00FC7922" w:rsidRPr="00BB28F3">
              <w:rPr>
                <w:rFonts w:cs="Arial"/>
              </w:rPr>
              <w:t>for</w:t>
            </w:r>
            <w:r w:rsidR="00D854FF" w:rsidRPr="00BB28F3">
              <w:rPr>
                <w:rFonts w:cs="Arial"/>
              </w:rPr>
              <w:t xml:space="preserve"> sales of the</w:t>
            </w:r>
            <w:r w:rsidR="00FC7922" w:rsidRPr="00BB28F3">
              <w:rPr>
                <w:rFonts w:cs="Arial"/>
              </w:rPr>
              <w:t xml:space="preserve"> Zeus 25 mg and 40 mg</w:t>
            </w:r>
            <w:r w:rsidR="00D854FF" w:rsidRPr="00BB28F3">
              <w:rPr>
                <w:rFonts w:cs="Arial"/>
              </w:rPr>
              <w:t xml:space="preserve"> tablet packs and the Zeus 25mg/100mL injection packs</w:t>
            </w:r>
            <w:r w:rsidR="00FC7922" w:rsidRPr="00BB28F3">
              <w:rPr>
                <w:rFonts w:cs="Arial"/>
              </w:rPr>
              <w:t xml:space="preserve"> for each period</w:t>
            </w:r>
            <w:r w:rsidR="002B1CCB" w:rsidRPr="00BB28F3">
              <w:rPr>
                <w:rFonts w:cs="Arial"/>
              </w:rPr>
              <w:t xml:space="preserve"> when data is required to be submitted</w:t>
            </w:r>
            <w:r w:rsidR="00FD5DF4" w:rsidRPr="00BB28F3">
              <w:rPr>
                <w:rFonts w:cs="Arial"/>
              </w:rPr>
              <w:t>.  T</w:t>
            </w:r>
            <w:r w:rsidR="00FC7922" w:rsidRPr="00BB28F3">
              <w:rPr>
                <w:rFonts w:cs="Arial"/>
              </w:rPr>
              <w:t xml:space="preserve">his data includes: </w:t>
            </w:r>
          </w:p>
          <w:p w14:paraId="5E2EAC3E" w14:textId="77777777" w:rsidR="00FC7922" w:rsidRPr="00BB28F3" w:rsidRDefault="00FC7922" w:rsidP="00BB28F3">
            <w:pPr>
              <w:pStyle w:val="ListParagraph"/>
              <w:numPr>
                <w:ilvl w:val="0"/>
                <w:numId w:val="4"/>
              </w:numPr>
              <w:spacing w:line="240" w:lineRule="auto"/>
              <w:rPr>
                <w:rFonts w:cs="Arial"/>
              </w:rPr>
            </w:pPr>
            <w:r w:rsidRPr="00BB28F3">
              <w:rPr>
                <w:rFonts w:cs="Arial"/>
              </w:rPr>
              <w:t xml:space="preserve">Total sales revenue and volume of sales; and </w:t>
            </w:r>
          </w:p>
          <w:p w14:paraId="3F92BF75" w14:textId="77777777" w:rsidR="00FC7922" w:rsidRPr="00BB28F3" w:rsidRDefault="00FC7922" w:rsidP="00BB28F3">
            <w:pPr>
              <w:pStyle w:val="ListParagraph"/>
              <w:numPr>
                <w:ilvl w:val="0"/>
                <w:numId w:val="4"/>
              </w:numPr>
              <w:spacing w:line="240" w:lineRule="auto"/>
              <w:rPr>
                <w:rFonts w:cs="Arial"/>
              </w:rPr>
            </w:pPr>
            <w:r w:rsidRPr="00BB28F3">
              <w:rPr>
                <w:rFonts w:cs="Arial"/>
              </w:rPr>
              <w:t xml:space="preserve">Total incentive data and type of incentive. </w:t>
            </w:r>
          </w:p>
          <w:p w14:paraId="7BC7CBC9" w14:textId="77777777" w:rsidR="00FC7922" w:rsidRPr="00BB28F3" w:rsidRDefault="00FC7922" w:rsidP="00BB28F3">
            <w:pPr>
              <w:spacing w:line="240" w:lineRule="auto"/>
              <w:rPr>
                <w:rFonts w:cs="Arial"/>
              </w:rPr>
            </w:pPr>
            <w:r w:rsidRPr="00BB28F3">
              <w:rPr>
                <w:rFonts w:cs="Arial"/>
              </w:rPr>
              <w:t xml:space="preserve">Data provided should be aggregated over the duration of </w:t>
            </w:r>
            <w:r w:rsidR="002B1CCB" w:rsidRPr="00BB28F3">
              <w:rPr>
                <w:rFonts w:cs="Arial"/>
              </w:rPr>
              <w:t xml:space="preserve">each </w:t>
            </w:r>
            <w:r w:rsidRPr="00BB28F3">
              <w:rPr>
                <w:rFonts w:cs="Arial"/>
              </w:rPr>
              <w:t>period</w:t>
            </w:r>
            <w:r w:rsidR="002B1CCB" w:rsidRPr="00BB28F3">
              <w:rPr>
                <w:rFonts w:cs="Arial"/>
              </w:rPr>
              <w:t xml:space="preserve"> for which data is being submitted</w:t>
            </w:r>
            <w:r w:rsidRPr="00BB28F3">
              <w:rPr>
                <w:rFonts w:cs="Arial"/>
              </w:rPr>
              <w:t>.</w:t>
            </w:r>
            <w:r w:rsidR="00D11F1C" w:rsidRPr="00BB28F3">
              <w:rPr>
                <w:rFonts w:cs="Arial"/>
              </w:rPr>
              <w:t xml:space="preserve"> However, the first month of data is supplied separately for</w:t>
            </w:r>
            <w:r w:rsidR="00083B4A" w:rsidRPr="00BB28F3">
              <w:rPr>
                <w:rFonts w:cs="Arial"/>
              </w:rPr>
              <w:t xml:space="preserve"> brands</w:t>
            </w:r>
            <w:r w:rsidR="00D11F1C" w:rsidRPr="00BB28F3">
              <w:rPr>
                <w:rFonts w:cs="Arial"/>
              </w:rPr>
              <w:t xml:space="preserve"> </w:t>
            </w:r>
            <w:r w:rsidR="00D11F1C" w:rsidRPr="00BB28F3">
              <w:rPr>
                <w:rFonts w:cs="Arial"/>
                <w:i/>
              </w:rPr>
              <w:t xml:space="preserve">new </w:t>
            </w:r>
            <w:r w:rsidR="00083B4A" w:rsidRPr="00BB28F3">
              <w:rPr>
                <w:rFonts w:cs="Arial"/>
                <w:i/>
              </w:rPr>
              <w:t>to the PBS</w:t>
            </w:r>
            <w:r w:rsidR="00D11F1C" w:rsidRPr="00BB28F3">
              <w:rPr>
                <w:rFonts w:cs="Arial"/>
              </w:rPr>
              <w:t xml:space="preserve">. </w:t>
            </w:r>
          </w:p>
          <w:p w14:paraId="3AE1C785" w14:textId="77777777" w:rsidR="00742ACD" w:rsidRPr="00BB28F3" w:rsidRDefault="00FC7922" w:rsidP="0029443C">
            <w:pPr>
              <w:spacing w:after="120" w:line="240" w:lineRule="auto"/>
              <w:rPr>
                <w:rFonts w:cs="Arial"/>
              </w:rPr>
            </w:pPr>
            <w:r w:rsidRPr="00BB28F3">
              <w:rPr>
                <w:rFonts w:cs="Arial"/>
              </w:rPr>
              <w:t xml:space="preserve">For detailed instructions on how to make a data submission to the PDDA, please refer to the user guide in </w:t>
            </w:r>
            <w:r w:rsidR="00F41E46" w:rsidRPr="00BB28F3">
              <w:rPr>
                <w:rFonts w:cs="Arial"/>
              </w:rPr>
              <w:t xml:space="preserve">the </w:t>
            </w:r>
            <w:r w:rsidR="00CD33CE" w:rsidRPr="00BB28F3">
              <w:rPr>
                <w:rFonts w:cs="Arial"/>
              </w:rPr>
              <w:t>PDSU.</w:t>
            </w:r>
            <w:r w:rsidRPr="00BB28F3">
              <w:rPr>
                <w:rFonts w:cs="Arial"/>
              </w:rPr>
              <w:t xml:space="preserve"> </w:t>
            </w:r>
          </w:p>
        </w:tc>
      </w:tr>
    </w:tbl>
    <w:p w14:paraId="366BC7C2" w14:textId="77777777" w:rsidR="001C5A6D" w:rsidRPr="00D079BF" w:rsidRDefault="00E74405" w:rsidP="00100AD4">
      <w:pPr>
        <w:pStyle w:val="Heading4"/>
        <w:spacing w:before="240"/>
      </w:pPr>
      <w:r>
        <w:t>Commencement</w:t>
      </w:r>
      <w:r w:rsidR="001C5A6D">
        <w:t xml:space="preserve"> </w:t>
      </w:r>
      <w:r w:rsidR="001B4FC6">
        <w:t xml:space="preserve">and timing for </w:t>
      </w:r>
      <w:r w:rsidR="001C5A6D">
        <w:t>data collection</w:t>
      </w:r>
    </w:p>
    <w:p w14:paraId="5FDB2D47" w14:textId="77777777" w:rsidR="00980D72" w:rsidRDefault="001C5A6D" w:rsidP="00865740">
      <w:pPr>
        <w:pStyle w:val="ListParagraph"/>
        <w:numPr>
          <w:ilvl w:val="0"/>
          <w:numId w:val="24"/>
        </w:numPr>
        <w:ind w:left="714" w:hanging="357"/>
        <w:rPr>
          <w:rFonts w:cs="Arial"/>
        </w:rPr>
      </w:pPr>
      <w:r w:rsidRPr="00980D72">
        <w:rPr>
          <w:rFonts w:cs="Arial"/>
        </w:rPr>
        <w:t>Re</w:t>
      </w:r>
      <w:r w:rsidR="00F31DC4" w:rsidRPr="00980D72">
        <w:rPr>
          <w:rFonts w:cs="Arial"/>
        </w:rPr>
        <w:t>sponsible persons must begin collecting data</w:t>
      </w:r>
      <w:r w:rsidR="00FD5DF4" w:rsidRPr="00980D72">
        <w:rPr>
          <w:rFonts w:cs="Arial"/>
        </w:rPr>
        <w:t xml:space="preserve"> on the start day for a brand, which is</w:t>
      </w:r>
      <w:r w:rsidR="00F31DC4" w:rsidRPr="00980D72">
        <w:rPr>
          <w:rFonts w:cs="Arial"/>
        </w:rPr>
        <w:t xml:space="preserve">: </w:t>
      </w:r>
    </w:p>
    <w:p w14:paraId="7664D86D" w14:textId="77777777" w:rsidR="00980D72" w:rsidRDefault="001917C8" w:rsidP="0094356B">
      <w:pPr>
        <w:pStyle w:val="ListParagraph"/>
        <w:numPr>
          <w:ilvl w:val="1"/>
          <w:numId w:val="24"/>
        </w:numPr>
        <w:rPr>
          <w:rFonts w:cs="Arial"/>
        </w:rPr>
      </w:pPr>
      <w:r w:rsidRPr="00980D72">
        <w:rPr>
          <w:rFonts w:cs="Arial"/>
        </w:rPr>
        <w:t>f</w:t>
      </w:r>
      <w:r w:rsidR="00F31DC4" w:rsidRPr="00980D72">
        <w:rPr>
          <w:rFonts w:cs="Arial"/>
        </w:rPr>
        <w:t>or new brands</w:t>
      </w:r>
      <w:r w:rsidR="00742ACD" w:rsidRPr="00980D72">
        <w:rPr>
          <w:rFonts w:cs="Arial"/>
        </w:rPr>
        <w:t xml:space="preserve"> containing a</w:t>
      </w:r>
      <w:r w:rsidR="00443408" w:rsidRPr="00980D72">
        <w:rPr>
          <w:rFonts w:cs="Arial"/>
        </w:rPr>
        <w:t>n</w:t>
      </w:r>
      <w:r w:rsidR="00742ACD" w:rsidRPr="00980D72">
        <w:rPr>
          <w:rFonts w:cs="Arial"/>
        </w:rPr>
        <w:t xml:space="preserve"> F2</w:t>
      </w:r>
      <w:r w:rsidR="00443408" w:rsidRPr="00980D72">
        <w:rPr>
          <w:rFonts w:cs="Arial"/>
        </w:rPr>
        <w:t xml:space="preserve"> drug</w:t>
      </w:r>
      <w:r w:rsidR="00F31DC4" w:rsidRPr="00980D72">
        <w:rPr>
          <w:rFonts w:cs="Arial"/>
        </w:rPr>
        <w:t>: the day that th</w:t>
      </w:r>
      <w:r w:rsidR="00DC7C92" w:rsidRPr="00980D72">
        <w:rPr>
          <w:rFonts w:cs="Arial"/>
        </w:rPr>
        <w:t>e brand listed on the PBS;</w:t>
      </w:r>
    </w:p>
    <w:p w14:paraId="15CFD36C" w14:textId="77777777" w:rsidR="00980D72" w:rsidRDefault="001917C8" w:rsidP="00074BE7">
      <w:pPr>
        <w:pStyle w:val="ListParagraph"/>
        <w:numPr>
          <w:ilvl w:val="1"/>
          <w:numId w:val="24"/>
        </w:numPr>
        <w:ind w:left="1361"/>
        <w:rPr>
          <w:rFonts w:cs="Arial"/>
        </w:rPr>
      </w:pPr>
      <w:r w:rsidRPr="00980D72">
        <w:rPr>
          <w:rFonts w:cs="Arial"/>
        </w:rPr>
        <w:t>f</w:t>
      </w:r>
      <w:r w:rsidR="00F31DC4" w:rsidRPr="00980D72">
        <w:rPr>
          <w:rFonts w:cs="Arial"/>
        </w:rPr>
        <w:t xml:space="preserve">or </w:t>
      </w:r>
      <w:r w:rsidR="00F013AF" w:rsidRPr="00980D72">
        <w:rPr>
          <w:rFonts w:cs="Arial"/>
        </w:rPr>
        <w:t>brands already listed on the PBS when they become subject to price disclosure</w:t>
      </w:r>
      <w:r w:rsidR="00F31DC4" w:rsidRPr="00980D72">
        <w:rPr>
          <w:rFonts w:cs="Arial"/>
        </w:rPr>
        <w:t xml:space="preserve">: the day that the brand became subject to </w:t>
      </w:r>
      <w:r w:rsidR="00840934" w:rsidRPr="00980D72">
        <w:rPr>
          <w:rFonts w:cs="Arial"/>
        </w:rPr>
        <w:t xml:space="preserve">price disclosure </w:t>
      </w:r>
      <w:r w:rsidR="00F31DC4" w:rsidRPr="00980D72">
        <w:rPr>
          <w:rFonts w:cs="Arial"/>
        </w:rPr>
        <w:t xml:space="preserve">(usually on the day </w:t>
      </w:r>
      <w:r w:rsidR="00443408" w:rsidRPr="00980D72">
        <w:rPr>
          <w:rFonts w:cs="Arial"/>
        </w:rPr>
        <w:t xml:space="preserve">its </w:t>
      </w:r>
      <w:r w:rsidR="00F31DC4" w:rsidRPr="00980D72">
        <w:rPr>
          <w:rFonts w:cs="Arial"/>
        </w:rPr>
        <w:t>drug/</w:t>
      </w:r>
      <w:r w:rsidR="004C53CA" w:rsidRPr="00980D72">
        <w:rPr>
          <w:rFonts w:cs="Arial"/>
        </w:rPr>
        <w:t>MoA</w:t>
      </w:r>
      <w:r w:rsidR="00F31DC4" w:rsidRPr="00980D72">
        <w:rPr>
          <w:rFonts w:cs="Arial"/>
        </w:rPr>
        <w:t xml:space="preserve"> moved to F2</w:t>
      </w:r>
      <w:r w:rsidRPr="00980D72">
        <w:rPr>
          <w:rFonts w:cs="Arial"/>
        </w:rPr>
        <w:t>)</w:t>
      </w:r>
      <w:r w:rsidR="002C0F41" w:rsidRPr="00980D72">
        <w:rPr>
          <w:rFonts w:cs="Arial"/>
        </w:rPr>
        <w:t xml:space="preserve">. </w:t>
      </w:r>
    </w:p>
    <w:p w14:paraId="60EE9998" w14:textId="77777777" w:rsidR="00980D72" w:rsidRDefault="002C0F41" w:rsidP="00074BE7">
      <w:pPr>
        <w:pStyle w:val="ListParagraph"/>
        <w:numPr>
          <w:ilvl w:val="0"/>
          <w:numId w:val="24"/>
        </w:numPr>
        <w:ind w:left="714" w:hanging="357"/>
        <w:contextualSpacing w:val="0"/>
        <w:rPr>
          <w:rFonts w:cs="Arial"/>
        </w:rPr>
      </w:pPr>
      <w:r w:rsidRPr="00980D72">
        <w:rPr>
          <w:rFonts w:cs="Arial"/>
        </w:rPr>
        <w:t>Data is not required to be collected for brands of exempt items</w:t>
      </w:r>
      <w:r w:rsidR="00F31DC4" w:rsidRPr="00980D72">
        <w:rPr>
          <w:rFonts w:cs="Arial"/>
        </w:rPr>
        <w:t xml:space="preserve">. </w:t>
      </w:r>
      <w:r w:rsidR="00C84A54" w:rsidRPr="00980D72">
        <w:rPr>
          <w:rFonts w:cs="Arial"/>
        </w:rPr>
        <w:t xml:space="preserve">If </w:t>
      </w:r>
      <w:r w:rsidR="00D83929" w:rsidRPr="00980D72">
        <w:rPr>
          <w:rFonts w:cs="Arial"/>
        </w:rPr>
        <w:t xml:space="preserve">an exempt item </w:t>
      </w:r>
      <w:r w:rsidR="00C84A54" w:rsidRPr="00980D72">
        <w:rPr>
          <w:rFonts w:cs="Arial"/>
        </w:rPr>
        <w:t>becomes no longer exempt during a data collection period, then brands of that pharmaceutical item will be required to collect data from the date the pharmaceutical item became no longer exempt.</w:t>
      </w:r>
    </w:p>
    <w:p w14:paraId="3C87415F" w14:textId="77777777" w:rsidR="0029443C" w:rsidRDefault="00E57437" w:rsidP="00074BE7">
      <w:pPr>
        <w:pStyle w:val="ListParagraph"/>
        <w:numPr>
          <w:ilvl w:val="0"/>
          <w:numId w:val="24"/>
        </w:numPr>
        <w:ind w:left="714" w:hanging="357"/>
        <w:contextualSpacing w:val="0"/>
        <w:rPr>
          <w:rFonts w:cs="Arial"/>
        </w:rPr>
      </w:pPr>
      <w:r w:rsidRPr="00980D72">
        <w:rPr>
          <w:rFonts w:cs="Arial"/>
        </w:rPr>
        <w:t xml:space="preserve">All data is required to be submitted </w:t>
      </w:r>
      <w:r w:rsidR="001B4FC6" w:rsidRPr="00980D72">
        <w:rPr>
          <w:rFonts w:cs="Arial"/>
        </w:rPr>
        <w:t>after each 31</w:t>
      </w:r>
      <w:r w:rsidR="00443408" w:rsidRPr="00980D72">
        <w:rPr>
          <w:rFonts w:cs="Arial"/>
        </w:rPr>
        <w:t> </w:t>
      </w:r>
      <w:r w:rsidR="001B4FC6" w:rsidRPr="00980D72">
        <w:rPr>
          <w:rFonts w:cs="Arial"/>
        </w:rPr>
        <w:t>March (by 12</w:t>
      </w:r>
      <w:r w:rsidR="00443408" w:rsidRPr="00980D72">
        <w:rPr>
          <w:rFonts w:cs="Arial"/>
        </w:rPr>
        <w:t> </w:t>
      </w:r>
      <w:r w:rsidR="001B4FC6" w:rsidRPr="00980D72">
        <w:rPr>
          <w:rFonts w:cs="Arial"/>
        </w:rPr>
        <w:t>May) and 30</w:t>
      </w:r>
      <w:r w:rsidR="00443408" w:rsidRPr="00980D72">
        <w:rPr>
          <w:rFonts w:cs="Arial"/>
        </w:rPr>
        <w:t> </w:t>
      </w:r>
      <w:r w:rsidR="001B4FC6" w:rsidRPr="00980D72">
        <w:rPr>
          <w:rFonts w:cs="Arial"/>
        </w:rPr>
        <w:t>September (by 11</w:t>
      </w:r>
      <w:r w:rsidR="00443408" w:rsidRPr="00980D72">
        <w:rPr>
          <w:rFonts w:cs="Arial"/>
        </w:rPr>
        <w:t> </w:t>
      </w:r>
      <w:r w:rsidR="001B4FC6" w:rsidRPr="00980D72">
        <w:rPr>
          <w:rFonts w:cs="Arial"/>
        </w:rPr>
        <w:t>November</w:t>
      </w:r>
      <w:r w:rsidR="00CA64E5" w:rsidRPr="00980D72">
        <w:rPr>
          <w:rFonts w:cs="Arial"/>
        </w:rPr>
        <w:t>).</w:t>
      </w:r>
      <w:r w:rsidR="0027550B" w:rsidRPr="00980D72">
        <w:rPr>
          <w:rFonts w:cs="Arial"/>
        </w:rPr>
        <w:t xml:space="preserve"> More information about submission of data is provided </w:t>
      </w:r>
      <w:r w:rsidR="00FD5DF4" w:rsidRPr="00980D72">
        <w:rPr>
          <w:rFonts w:cs="Arial"/>
        </w:rPr>
        <w:t xml:space="preserve">under the heading </w:t>
      </w:r>
      <w:r w:rsidR="008E1A96" w:rsidRPr="00980D72">
        <w:rPr>
          <w:rFonts w:cs="Arial"/>
          <w:b/>
        </w:rPr>
        <w:t>Submission</w:t>
      </w:r>
      <w:r w:rsidR="007A1097" w:rsidRPr="00980D72">
        <w:rPr>
          <w:rFonts w:cs="Arial"/>
        </w:rPr>
        <w:t xml:space="preserve"> below</w:t>
      </w:r>
      <w:r w:rsidR="0027550B" w:rsidRPr="00980D72">
        <w:rPr>
          <w:rFonts w:cs="Arial"/>
        </w:rPr>
        <w:t>.</w:t>
      </w:r>
    </w:p>
    <w:p w14:paraId="2BE3BB98" w14:textId="77777777" w:rsidR="00980D72" w:rsidRDefault="0029443C" w:rsidP="0029443C">
      <w:pPr>
        <w:pStyle w:val="ListParagraph"/>
        <w:ind w:left="357"/>
        <w:contextualSpacing w:val="0"/>
        <w:rPr>
          <w:rFonts w:cs="Arial"/>
        </w:rPr>
      </w:pPr>
      <w:r>
        <w:rPr>
          <w:rFonts w:cs="Arial"/>
        </w:rPr>
        <w:br w:type="page"/>
      </w:r>
    </w:p>
    <w:p w14:paraId="5AA08724" w14:textId="77777777" w:rsidR="00E57437" w:rsidRPr="00980D72" w:rsidRDefault="00E57437" w:rsidP="00074BE7">
      <w:pPr>
        <w:pStyle w:val="ListParagraph"/>
        <w:numPr>
          <w:ilvl w:val="0"/>
          <w:numId w:val="24"/>
        </w:numPr>
        <w:ind w:left="714" w:hanging="357"/>
        <w:contextualSpacing w:val="0"/>
        <w:rPr>
          <w:rFonts w:cs="Arial"/>
        </w:rPr>
      </w:pPr>
      <w:r w:rsidRPr="00980D72">
        <w:rPr>
          <w:rFonts w:cs="Arial"/>
        </w:rPr>
        <w:lastRenderedPageBreak/>
        <w:t xml:space="preserve">If a brand is delisted during </w:t>
      </w:r>
      <w:r w:rsidR="001B4FC6" w:rsidRPr="00980D72">
        <w:rPr>
          <w:rFonts w:cs="Arial"/>
        </w:rPr>
        <w:t>a period for which data is required to be submitted</w:t>
      </w:r>
      <w:r w:rsidRPr="00980D72">
        <w:rPr>
          <w:rFonts w:cs="Arial"/>
        </w:rPr>
        <w:t xml:space="preserve">, </w:t>
      </w:r>
      <w:r w:rsidR="001B4FC6" w:rsidRPr="00980D72">
        <w:rPr>
          <w:rFonts w:cs="Arial"/>
        </w:rPr>
        <w:t xml:space="preserve">then </w:t>
      </w:r>
      <w:r w:rsidRPr="00980D72">
        <w:rPr>
          <w:rFonts w:cs="Arial"/>
        </w:rPr>
        <w:t xml:space="preserve">data is required to be collected and submitted for the period until delisting. </w:t>
      </w:r>
      <w:r w:rsidR="001B4FC6" w:rsidRPr="00980D72">
        <w:rPr>
          <w:rFonts w:cs="Arial"/>
        </w:rPr>
        <w:t xml:space="preserve">The deadline for submitting data is the same as for all other continuing brands. </w:t>
      </w:r>
      <w:r w:rsidRPr="00980D72">
        <w:rPr>
          <w:rFonts w:cs="Arial"/>
        </w:rPr>
        <w:t xml:space="preserve">If a brand delists during a data collection period, that is the last data collection period for which disclosure is required. </w:t>
      </w:r>
    </w:p>
    <w:p w14:paraId="5B6D5082" w14:textId="77777777" w:rsidR="00E57437" w:rsidRPr="0014096F" w:rsidRDefault="00E57437" w:rsidP="00925E92">
      <w:pPr>
        <w:pStyle w:val="Heading4"/>
        <w:spacing w:before="120"/>
      </w:pPr>
      <w:r>
        <w:t>First data collection period</w:t>
      </w:r>
    </w:p>
    <w:p w14:paraId="0BB682AA" w14:textId="77777777" w:rsidR="00B93854" w:rsidRDefault="006C481C" w:rsidP="00074BE7">
      <w:pPr>
        <w:pStyle w:val="ListParagraph"/>
        <w:numPr>
          <w:ilvl w:val="0"/>
          <w:numId w:val="24"/>
        </w:numPr>
        <w:ind w:left="714" w:hanging="357"/>
        <w:contextualSpacing w:val="0"/>
        <w:rPr>
          <w:rFonts w:cs="Arial"/>
        </w:rPr>
      </w:pPr>
      <w:r w:rsidRPr="00980D72">
        <w:rPr>
          <w:rFonts w:cs="Arial"/>
        </w:rPr>
        <w:t>Ongoing d</w:t>
      </w:r>
      <w:r w:rsidR="00E57437" w:rsidRPr="00980D72">
        <w:rPr>
          <w:rFonts w:cs="Arial"/>
        </w:rPr>
        <w:t>ata collection periods will generally involve only one submission of data</w:t>
      </w:r>
      <w:r w:rsidR="00443408" w:rsidRPr="00980D72">
        <w:rPr>
          <w:rFonts w:cs="Arial"/>
        </w:rPr>
        <w:t xml:space="preserve"> (every six months). However, for the first data collection period</w:t>
      </w:r>
      <w:r w:rsidR="00E57437" w:rsidRPr="00980D72">
        <w:rPr>
          <w:rFonts w:cs="Arial"/>
        </w:rPr>
        <w:t xml:space="preserve"> </w:t>
      </w:r>
      <w:r w:rsidR="00443408" w:rsidRPr="00980D72">
        <w:rPr>
          <w:rFonts w:cs="Arial"/>
        </w:rPr>
        <w:t>there may be two submissions of data if</w:t>
      </w:r>
      <w:r w:rsidR="00E57437" w:rsidRPr="00980D72">
        <w:rPr>
          <w:rFonts w:cs="Arial"/>
        </w:rPr>
        <w:t xml:space="preserve"> </w:t>
      </w:r>
      <w:r w:rsidR="00061FC9" w:rsidRPr="00980D72">
        <w:rPr>
          <w:rFonts w:cs="Arial"/>
        </w:rPr>
        <w:t>no brand</w:t>
      </w:r>
      <w:r w:rsidR="00C7048F" w:rsidRPr="00980D72">
        <w:rPr>
          <w:rFonts w:cs="Arial"/>
        </w:rPr>
        <w:t>s</w:t>
      </w:r>
      <w:r w:rsidR="00061FC9" w:rsidRPr="00980D72">
        <w:rPr>
          <w:rFonts w:cs="Arial"/>
        </w:rPr>
        <w:t xml:space="preserve"> of a drug/MoA </w:t>
      </w:r>
      <w:r w:rsidR="00D83929" w:rsidRPr="00980D72">
        <w:rPr>
          <w:rFonts w:cs="Arial"/>
        </w:rPr>
        <w:t>w</w:t>
      </w:r>
      <w:r w:rsidR="00C7048F" w:rsidRPr="00980D72">
        <w:rPr>
          <w:rFonts w:cs="Arial"/>
        </w:rPr>
        <w:t>ere</w:t>
      </w:r>
      <w:r w:rsidR="00D83929" w:rsidRPr="00980D72">
        <w:rPr>
          <w:rFonts w:cs="Arial"/>
        </w:rPr>
        <w:t xml:space="preserve"> </w:t>
      </w:r>
      <w:r w:rsidR="007A1097" w:rsidRPr="00980D72">
        <w:rPr>
          <w:rFonts w:cs="Arial"/>
        </w:rPr>
        <w:t xml:space="preserve">subject to price disclosure </w:t>
      </w:r>
      <w:r w:rsidR="00061FC9" w:rsidRPr="00980D72">
        <w:rPr>
          <w:rFonts w:cs="Arial"/>
        </w:rPr>
        <w:t xml:space="preserve">for </w:t>
      </w:r>
      <w:r w:rsidR="00E57437" w:rsidRPr="00980D72">
        <w:rPr>
          <w:rFonts w:cs="Arial"/>
        </w:rPr>
        <w:t>six months before</w:t>
      </w:r>
      <w:r w:rsidR="00A0160D" w:rsidRPr="00980D72">
        <w:rPr>
          <w:rFonts w:cs="Arial"/>
        </w:rPr>
        <w:t xml:space="preserve"> the next</w:t>
      </w:r>
      <w:r w:rsidR="00E57437" w:rsidRPr="00980D72">
        <w:rPr>
          <w:rFonts w:cs="Arial"/>
        </w:rPr>
        <w:t xml:space="preserve"> 31</w:t>
      </w:r>
      <w:r w:rsidR="00A0160D" w:rsidRPr="00980D72">
        <w:rPr>
          <w:rFonts w:cs="Arial"/>
        </w:rPr>
        <w:t> </w:t>
      </w:r>
      <w:r w:rsidR="00E57437" w:rsidRPr="00980D72">
        <w:rPr>
          <w:rFonts w:cs="Arial"/>
        </w:rPr>
        <w:t>March or 30 September</w:t>
      </w:r>
      <w:r w:rsidR="00100AD4">
        <w:rPr>
          <w:rFonts w:cs="Arial"/>
        </w:rPr>
        <w:t xml:space="preserve"> (see Data c</w:t>
      </w:r>
      <w:r w:rsidR="007A1097" w:rsidRPr="00980D72">
        <w:rPr>
          <w:rFonts w:cs="Arial"/>
        </w:rPr>
        <w:t xml:space="preserve">ollection </w:t>
      </w:r>
      <w:r w:rsidR="00100AD4">
        <w:rPr>
          <w:rFonts w:cs="Arial"/>
        </w:rPr>
        <w:t>t</w:t>
      </w:r>
      <w:r w:rsidR="007A1097" w:rsidRPr="00980D72">
        <w:rPr>
          <w:rFonts w:cs="Arial"/>
        </w:rPr>
        <w:t>imelines example below)</w:t>
      </w:r>
      <w:r w:rsidR="00E57437" w:rsidRPr="00980D72">
        <w:rPr>
          <w:rFonts w:cs="Arial"/>
        </w:rPr>
        <w:t xml:space="preserve">. </w:t>
      </w:r>
    </w:p>
    <w:p w14:paraId="73BF7BC3" w14:textId="77777777" w:rsidR="003F4CA1" w:rsidRDefault="00E57437" w:rsidP="00074BE7">
      <w:pPr>
        <w:pStyle w:val="ListParagraph"/>
        <w:numPr>
          <w:ilvl w:val="0"/>
          <w:numId w:val="24"/>
        </w:numPr>
        <w:ind w:left="714" w:hanging="357"/>
        <w:contextualSpacing w:val="0"/>
        <w:rPr>
          <w:rFonts w:cs="Arial"/>
        </w:rPr>
      </w:pPr>
      <w:r w:rsidRPr="00980D72">
        <w:rPr>
          <w:rFonts w:cs="Arial"/>
        </w:rPr>
        <w:t xml:space="preserve">The maximum </w:t>
      </w:r>
      <w:r w:rsidRPr="00980D72">
        <w:rPr>
          <w:rFonts w:cs="Arial"/>
          <w:i/>
        </w:rPr>
        <w:t>first</w:t>
      </w:r>
      <w:r w:rsidRPr="00980D72">
        <w:rPr>
          <w:rFonts w:cs="Arial"/>
        </w:rPr>
        <w:t xml:space="preserve"> data collection for a brand is 11 months</w:t>
      </w:r>
      <w:r w:rsidR="00D83929" w:rsidRPr="00980D72">
        <w:rPr>
          <w:rFonts w:cs="Arial"/>
        </w:rPr>
        <w:t xml:space="preserve">. </w:t>
      </w:r>
      <w:r w:rsidR="00C7048F" w:rsidRPr="00980D72">
        <w:rPr>
          <w:rFonts w:cs="Arial"/>
        </w:rPr>
        <w:t>An 11 month collection period</w:t>
      </w:r>
      <w:r w:rsidRPr="00980D72">
        <w:rPr>
          <w:rFonts w:cs="Arial"/>
        </w:rPr>
        <w:t xml:space="preserve"> </w:t>
      </w:r>
      <w:r w:rsidR="00D83929" w:rsidRPr="00980D72">
        <w:rPr>
          <w:rFonts w:cs="Arial"/>
        </w:rPr>
        <w:t xml:space="preserve">will </w:t>
      </w:r>
      <w:r w:rsidRPr="00980D72">
        <w:rPr>
          <w:rFonts w:cs="Arial"/>
        </w:rPr>
        <w:t xml:space="preserve">only occur </w:t>
      </w:r>
      <w:r w:rsidR="00F013AF" w:rsidRPr="00980D72">
        <w:rPr>
          <w:rFonts w:cs="Arial"/>
        </w:rPr>
        <w:t>for</w:t>
      </w:r>
      <w:r w:rsidRPr="00980D72">
        <w:rPr>
          <w:rFonts w:cs="Arial"/>
        </w:rPr>
        <w:t xml:space="preserve"> a brand </w:t>
      </w:r>
      <w:r w:rsidR="00F013AF" w:rsidRPr="00980D72">
        <w:rPr>
          <w:rFonts w:cs="Arial"/>
        </w:rPr>
        <w:t xml:space="preserve">of a drug/MoA </w:t>
      </w:r>
      <w:r w:rsidRPr="00980D72">
        <w:rPr>
          <w:rFonts w:cs="Arial"/>
        </w:rPr>
        <w:t>first becom</w:t>
      </w:r>
      <w:r w:rsidR="00F013AF" w:rsidRPr="00980D72">
        <w:rPr>
          <w:rFonts w:cs="Arial"/>
        </w:rPr>
        <w:t>ing</w:t>
      </w:r>
      <w:r w:rsidRPr="00980D72">
        <w:rPr>
          <w:rFonts w:cs="Arial"/>
        </w:rPr>
        <w:t xml:space="preserve"> subject to price disclosure (</w:t>
      </w:r>
      <w:r w:rsidR="00E03B52" w:rsidRPr="00980D72">
        <w:rPr>
          <w:rFonts w:cs="Arial"/>
        </w:rPr>
        <w:t>i.e.,</w:t>
      </w:r>
      <w:r w:rsidRPr="00980D72">
        <w:rPr>
          <w:rFonts w:cs="Arial"/>
        </w:rPr>
        <w:t xml:space="preserve"> mov</w:t>
      </w:r>
      <w:r w:rsidR="00D83929" w:rsidRPr="00980D72">
        <w:rPr>
          <w:rFonts w:cs="Arial"/>
        </w:rPr>
        <w:t>ing</w:t>
      </w:r>
      <w:r w:rsidRPr="00980D72">
        <w:rPr>
          <w:rFonts w:cs="Arial"/>
        </w:rPr>
        <w:t xml:space="preserve"> to F2) on 1</w:t>
      </w:r>
      <w:r w:rsidR="00F013AF" w:rsidRPr="00980D72">
        <w:rPr>
          <w:rFonts w:cs="Arial"/>
        </w:rPr>
        <w:t> </w:t>
      </w:r>
      <w:r w:rsidRPr="00980D72">
        <w:rPr>
          <w:rFonts w:cs="Arial"/>
        </w:rPr>
        <w:t xml:space="preserve">November or 1 May. Brands </w:t>
      </w:r>
      <w:r w:rsidR="00F013AF" w:rsidRPr="00980D72">
        <w:rPr>
          <w:rFonts w:cs="Arial"/>
        </w:rPr>
        <w:t xml:space="preserve">of a drug/MoA </w:t>
      </w:r>
      <w:r w:rsidRPr="00980D72">
        <w:rPr>
          <w:rFonts w:cs="Arial"/>
        </w:rPr>
        <w:t xml:space="preserve">that become subject to price disclosure on 1 December or 1 June will have a first data collection period of 10 months. </w:t>
      </w:r>
      <w:r w:rsidR="00C7048F" w:rsidRPr="00980D72">
        <w:rPr>
          <w:rFonts w:cs="Arial"/>
        </w:rPr>
        <w:t xml:space="preserve">Brands of a drug/MoA that become subject to price disclosure on 1 April or 1 October will have a first data collection period of </w:t>
      </w:r>
      <w:r w:rsidR="00E04B9F" w:rsidRPr="00980D72">
        <w:rPr>
          <w:rFonts w:cs="Arial"/>
        </w:rPr>
        <w:t>six</w:t>
      </w:r>
      <w:r w:rsidR="00C7048F" w:rsidRPr="00980D72">
        <w:rPr>
          <w:rFonts w:cs="Arial"/>
        </w:rPr>
        <w:t xml:space="preserve"> months.  </w:t>
      </w:r>
      <w:r w:rsidR="00D83929" w:rsidRPr="00980D72">
        <w:rPr>
          <w:rFonts w:cs="Arial"/>
        </w:rPr>
        <w:t xml:space="preserve">See examples 2 and 3 </w:t>
      </w:r>
      <w:r w:rsidR="006C481C" w:rsidRPr="00980D72">
        <w:rPr>
          <w:rFonts w:cs="Arial"/>
        </w:rPr>
        <w:t xml:space="preserve">in the Data Collection Timelines example </w:t>
      </w:r>
      <w:r w:rsidR="00D83929" w:rsidRPr="00980D72">
        <w:rPr>
          <w:rFonts w:cs="Arial"/>
        </w:rPr>
        <w:t>below.</w:t>
      </w:r>
    </w:p>
    <w:p w14:paraId="13FBD709" w14:textId="77777777" w:rsidR="003F4CA1" w:rsidRDefault="00F013AF" w:rsidP="00074BE7">
      <w:pPr>
        <w:pStyle w:val="ListParagraph"/>
        <w:numPr>
          <w:ilvl w:val="0"/>
          <w:numId w:val="24"/>
        </w:numPr>
        <w:ind w:left="714" w:hanging="357"/>
        <w:contextualSpacing w:val="0"/>
        <w:rPr>
          <w:rFonts w:cs="Arial"/>
        </w:rPr>
      </w:pPr>
      <w:r w:rsidRPr="003F4CA1">
        <w:rPr>
          <w:rFonts w:cs="Arial"/>
        </w:rPr>
        <w:t xml:space="preserve">A new brand, where there are already related brands subject to price disclosure, does not need to collect six months of data </w:t>
      </w:r>
      <w:r w:rsidR="00D83929" w:rsidRPr="003F4CA1">
        <w:rPr>
          <w:rFonts w:cs="Arial"/>
        </w:rPr>
        <w:t xml:space="preserve">for its first collection period </w:t>
      </w:r>
      <w:r w:rsidRPr="003F4CA1">
        <w:rPr>
          <w:rFonts w:cs="Arial"/>
        </w:rPr>
        <w:t xml:space="preserve">– the first data collection period ends at the same time as the data collection period for related brands. </w:t>
      </w:r>
      <w:r w:rsidR="00D83929" w:rsidRPr="003F4CA1">
        <w:rPr>
          <w:rFonts w:cs="Arial"/>
        </w:rPr>
        <w:t xml:space="preserve"> See example 1 </w:t>
      </w:r>
      <w:r w:rsidR="006C481C" w:rsidRPr="003F4CA1">
        <w:rPr>
          <w:rFonts w:cs="Arial"/>
        </w:rPr>
        <w:t xml:space="preserve">in the Data Collection Timelines example </w:t>
      </w:r>
      <w:r w:rsidR="00D83929" w:rsidRPr="003F4CA1">
        <w:rPr>
          <w:rFonts w:cs="Arial"/>
        </w:rPr>
        <w:t>below.</w:t>
      </w:r>
    </w:p>
    <w:p w14:paraId="3F753D06" w14:textId="77777777" w:rsidR="00B93854" w:rsidRDefault="00D83929" w:rsidP="00074BE7">
      <w:pPr>
        <w:pStyle w:val="ListParagraph"/>
        <w:numPr>
          <w:ilvl w:val="0"/>
          <w:numId w:val="24"/>
        </w:numPr>
        <w:ind w:left="714" w:hanging="357"/>
        <w:contextualSpacing w:val="0"/>
        <w:rPr>
          <w:rFonts w:cs="Arial"/>
        </w:rPr>
      </w:pPr>
      <w:r w:rsidRPr="003F4CA1">
        <w:rPr>
          <w:rFonts w:cs="Arial"/>
        </w:rPr>
        <w:t>Thereafter the responsible person is required to collect and submit data for all subsequent data collection periods (</w:t>
      </w:r>
      <w:r w:rsidR="00E03B52" w:rsidRPr="003F4CA1">
        <w:rPr>
          <w:rFonts w:cs="Arial"/>
        </w:rPr>
        <w:t>i.e.,</w:t>
      </w:r>
      <w:r w:rsidRPr="003F4CA1">
        <w:rPr>
          <w:rFonts w:cs="Arial"/>
        </w:rPr>
        <w:t xml:space="preserve"> every six months). </w:t>
      </w:r>
    </w:p>
    <w:p w14:paraId="0FB2F755" w14:textId="77777777" w:rsidR="006C63FB" w:rsidRDefault="006C63FB" w:rsidP="006C63FB">
      <w:pPr>
        <w:pStyle w:val="ListParagraph"/>
        <w:rPr>
          <w:rFonts w:cs="Arial"/>
        </w:rPr>
      </w:pPr>
    </w:p>
    <w:p w14:paraId="5FC73DC9" w14:textId="77777777" w:rsidR="006C63FB" w:rsidRDefault="006C63FB" w:rsidP="006C63FB">
      <w:pPr>
        <w:pStyle w:val="ListParagraph"/>
        <w:rPr>
          <w:rFonts w:cs="Arial"/>
        </w:rPr>
      </w:pPr>
      <w:r>
        <w:rPr>
          <w:rFonts w:cs="Arial"/>
        </w:rPr>
        <w:t>Examples of first data collection period timelines are on the next page.</w:t>
      </w:r>
    </w:p>
    <w:p w14:paraId="799A33EA" w14:textId="77777777" w:rsidR="006C63FB" w:rsidRDefault="006C63FB" w:rsidP="006C63FB">
      <w:pPr>
        <w:pStyle w:val="ListParagraph"/>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EXAMPLE - Data collection timelines "/>
      </w:tblPr>
      <w:tblGrid>
        <w:gridCol w:w="9243"/>
      </w:tblGrid>
      <w:tr w:rsidR="00EE21FB" w:rsidRPr="00BB28F3" w14:paraId="7A463E54" w14:textId="77777777" w:rsidTr="00BB28F3">
        <w:tc>
          <w:tcPr>
            <w:tcW w:w="9243" w:type="dxa"/>
            <w:shd w:val="clear" w:color="auto" w:fill="17365D"/>
          </w:tcPr>
          <w:p w14:paraId="2BC6876E" w14:textId="77777777" w:rsidR="00EE21FB" w:rsidRPr="00BB28F3" w:rsidRDefault="003F4CA1" w:rsidP="00074BE7">
            <w:pPr>
              <w:spacing w:after="120" w:line="240" w:lineRule="auto"/>
              <w:rPr>
                <w:rFonts w:cs="Arial"/>
                <w:b/>
              </w:rPr>
            </w:pPr>
            <w:r w:rsidRPr="00BB28F3">
              <w:rPr>
                <w:rFonts w:cs="Arial"/>
              </w:rPr>
              <w:lastRenderedPageBreak/>
              <w:br w:type="page"/>
            </w:r>
            <w:r w:rsidR="00EE21FB" w:rsidRPr="00BB28F3">
              <w:rPr>
                <w:rFonts w:cs="Arial"/>
                <w:b/>
                <w:color w:val="FFFFFF"/>
              </w:rPr>
              <w:t xml:space="preserve">EXAMPLE - </w:t>
            </w:r>
            <w:r w:rsidR="00EE21FB" w:rsidRPr="00BB28F3">
              <w:rPr>
                <w:rFonts w:cs="Arial"/>
                <w:b/>
                <w:i/>
                <w:color w:val="FFFFFF"/>
              </w:rPr>
              <w:t>Data collection timelines</w:t>
            </w:r>
            <w:r w:rsidR="00EE21FB" w:rsidRPr="00BB28F3">
              <w:rPr>
                <w:rFonts w:cs="Arial"/>
                <w:b/>
                <w:color w:val="FFFFFF"/>
              </w:rPr>
              <w:t xml:space="preserve"> </w:t>
            </w:r>
          </w:p>
        </w:tc>
      </w:tr>
      <w:tr w:rsidR="007A196D" w:rsidRPr="00BB28F3" w14:paraId="7CF756D9" w14:textId="77777777" w:rsidTr="006C63FB">
        <w:tblPrEx>
          <w:shd w:val="clear" w:color="auto" w:fill="C6D9F1"/>
        </w:tblPrEx>
        <w:trPr>
          <w:trHeight w:val="8070"/>
        </w:trPr>
        <w:tc>
          <w:tcPr>
            <w:tcW w:w="9243" w:type="dxa"/>
            <w:shd w:val="clear" w:color="auto" w:fill="C6D9F1"/>
          </w:tcPr>
          <w:p w14:paraId="73D225A2" w14:textId="77777777" w:rsidR="007A196D" w:rsidRPr="00BB28F3" w:rsidRDefault="007A196D" w:rsidP="00BB28F3">
            <w:pPr>
              <w:spacing w:line="240" w:lineRule="auto"/>
              <w:rPr>
                <w:b/>
              </w:rPr>
            </w:pPr>
            <w:r w:rsidRPr="00BB28F3">
              <w:rPr>
                <w:b/>
              </w:rPr>
              <w:t xml:space="preserve">Example 1: New brand where there are already related brands subject to price disclosure  </w:t>
            </w:r>
          </w:p>
          <w:p w14:paraId="5FFAA146" w14:textId="77777777" w:rsidR="007A196D" w:rsidRPr="00BB28F3" w:rsidRDefault="007A196D" w:rsidP="00BB28F3">
            <w:pPr>
              <w:spacing w:line="240" w:lineRule="auto"/>
            </w:pPr>
            <w:r w:rsidRPr="00BB28F3">
              <w:t>New brand start day of 1 July 201</w:t>
            </w:r>
            <w:r w:rsidR="00377F36">
              <w:t>6</w:t>
            </w:r>
            <w:r w:rsidRPr="00BB28F3">
              <w:t xml:space="preserve">, and the data collection period for a related brand ends </w:t>
            </w:r>
            <w:r w:rsidRPr="00BB28F3">
              <w:br/>
              <w:t>on 30 September 201</w:t>
            </w:r>
            <w:r w:rsidR="00377F36">
              <w:t>6</w:t>
            </w:r>
            <w:r w:rsidRPr="00BB28F3">
              <w:t>:</w:t>
            </w:r>
          </w:p>
          <w:p w14:paraId="2D09EA26" w14:textId="77777777" w:rsidR="007A196D" w:rsidRPr="00BB28F3" w:rsidRDefault="007A196D" w:rsidP="00BB28F3">
            <w:pPr>
              <w:spacing w:line="240" w:lineRule="auto"/>
              <w:ind w:firstLine="284"/>
            </w:pPr>
            <w:r w:rsidRPr="00BB28F3">
              <w:t>(a)</w:t>
            </w:r>
            <w:r w:rsidRPr="00BB28F3">
              <w:tab/>
              <w:t>the first data collection period starts on 1 July 201</w:t>
            </w:r>
            <w:r w:rsidR="00377F36">
              <w:t>6</w:t>
            </w:r>
            <w:r w:rsidRPr="00BB28F3">
              <w:t>; and</w:t>
            </w:r>
          </w:p>
          <w:p w14:paraId="706886F9" w14:textId="77777777" w:rsidR="007A196D" w:rsidRPr="00BB28F3" w:rsidRDefault="007A196D" w:rsidP="00BB28F3">
            <w:pPr>
              <w:spacing w:line="240" w:lineRule="auto"/>
              <w:ind w:firstLine="284"/>
            </w:pPr>
            <w:r w:rsidRPr="00BB28F3">
              <w:t>(b)</w:t>
            </w:r>
            <w:r w:rsidRPr="00BB28F3">
              <w:tab/>
              <w:t>the first data collection period ends on 30 September 201</w:t>
            </w:r>
            <w:r w:rsidR="00377F36">
              <w:t>6</w:t>
            </w:r>
            <w:r w:rsidRPr="00BB28F3">
              <w:t>; and</w:t>
            </w:r>
          </w:p>
          <w:p w14:paraId="750EF01F" w14:textId="77777777" w:rsidR="007A196D" w:rsidRPr="00BB28F3" w:rsidRDefault="007A196D" w:rsidP="00BB28F3">
            <w:pPr>
              <w:spacing w:line="240" w:lineRule="auto"/>
              <w:ind w:left="720" w:hanging="436"/>
            </w:pPr>
            <w:r w:rsidRPr="00BB28F3">
              <w:t>(c)</w:t>
            </w:r>
            <w:r w:rsidRPr="00BB28F3">
              <w:tab/>
              <w:t xml:space="preserve">subsequent data collection periods will be the </w:t>
            </w:r>
            <w:r w:rsidR="00064A56" w:rsidRPr="00BB28F3">
              <w:t>six</w:t>
            </w:r>
            <w:r w:rsidRPr="00BB28F3">
              <w:t xml:space="preserve"> month periods that start on 1 October 201</w:t>
            </w:r>
            <w:r w:rsidR="00377F36">
              <w:t>6</w:t>
            </w:r>
            <w:r w:rsidRPr="00BB28F3">
              <w:t>, 1 April 201</w:t>
            </w:r>
            <w:r w:rsidR="00377F36">
              <w:t>7</w:t>
            </w:r>
            <w:r w:rsidRPr="00BB28F3">
              <w:t>, 1 October 201</w:t>
            </w:r>
            <w:r w:rsidR="00377F36">
              <w:t>7</w:t>
            </w:r>
            <w:r w:rsidRPr="00BB28F3">
              <w:t xml:space="preserve"> and so on.</w:t>
            </w:r>
          </w:p>
          <w:p w14:paraId="591EC43B" w14:textId="77777777" w:rsidR="007A196D" w:rsidRPr="00BB28F3" w:rsidRDefault="007A196D" w:rsidP="00BB28F3">
            <w:pPr>
              <w:spacing w:line="240" w:lineRule="auto"/>
              <w:rPr>
                <w:b/>
              </w:rPr>
            </w:pPr>
            <w:r w:rsidRPr="00BB28F3">
              <w:rPr>
                <w:b/>
              </w:rPr>
              <w:t xml:space="preserve">Example 2: New brand where there is no related brands subject to price disclosure  </w:t>
            </w:r>
          </w:p>
          <w:p w14:paraId="0C5AE5BA" w14:textId="77777777" w:rsidR="007A196D" w:rsidRPr="00BB28F3" w:rsidRDefault="007A196D" w:rsidP="00BB28F3">
            <w:pPr>
              <w:spacing w:line="240" w:lineRule="auto"/>
            </w:pPr>
            <w:r w:rsidRPr="00BB28F3">
              <w:t>New brand start day of 1 August 201</w:t>
            </w:r>
            <w:r w:rsidR="00377F36">
              <w:t>6</w:t>
            </w:r>
            <w:r w:rsidRPr="00BB28F3">
              <w:t>:</w:t>
            </w:r>
          </w:p>
          <w:p w14:paraId="162BBF54" w14:textId="77777777" w:rsidR="007A196D" w:rsidRPr="00BB28F3" w:rsidRDefault="007A196D" w:rsidP="00BB28F3">
            <w:pPr>
              <w:spacing w:line="240" w:lineRule="auto"/>
              <w:ind w:firstLine="284"/>
            </w:pPr>
            <w:r w:rsidRPr="00BB28F3">
              <w:t>(a)</w:t>
            </w:r>
            <w:r w:rsidRPr="00BB28F3">
              <w:tab/>
              <w:t>the first data collection period starts on 1 August 201</w:t>
            </w:r>
            <w:r w:rsidR="005C1EA0">
              <w:t>6</w:t>
            </w:r>
            <w:r w:rsidRPr="00BB28F3">
              <w:t>; and</w:t>
            </w:r>
          </w:p>
          <w:p w14:paraId="2757BA2E" w14:textId="77777777" w:rsidR="007A196D" w:rsidRPr="00BB28F3" w:rsidRDefault="007A196D" w:rsidP="00BB28F3">
            <w:pPr>
              <w:spacing w:line="240" w:lineRule="auto"/>
              <w:ind w:firstLine="284"/>
            </w:pPr>
            <w:r w:rsidRPr="00BB28F3">
              <w:t>(b)</w:t>
            </w:r>
            <w:r w:rsidRPr="00BB28F3">
              <w:tab/>
              <w:t>the first data collection period ends on 31 March 201</w:t>
            </w:r>
            <w:r w:rsidR="005C1EA0">
              <w:t>7</w:t>
            </w:r>
            <w:r w:rsidRPr="00BB28F3">
              <w:t>; and</w:t>
            </w:r>
          </w:p>
          <w:p w14:paraId="6B8E472E" w14:textId="77777777" w:rsidR="00C202E8" w:rsidRPr="00BB28F3" w:rsidRDefault="00C202E8" w:rsidP="00BB28F3">
            <w:pPr>
              <w:spacing w:line="240" w:lineRule="auto"/>
              <w:ind w:left="720"/>
              <w:rPr>
                <w:i/>
                <w:sz w:val="20"/>
              </w:rPr>
            </w:pPr>
            <w:r w:rsidRPr="00BB28F3">
              <w:rPr>
                <w:i/>
                <w:sz w:val="20"/>
              </w:rPr>
              <w:t xml:space="preserve">[there will be </w:t>
            </w:r>
            <w:r w:rsidR="00E04B9F" w:rsidRPr="00BB28F3">
              <w:rPr>
                <w:i/>
                <w:sz w:val="20"/>
              </w:rPr>
              <w:t>two</w:t>
            </w:r>
            <w:r w:rsidRPr="00BB28F3">
              <w:rPr>
                <w:i/>
                <w:sz w:val="20"/>
              </w:rPr>
              <w:t xml:space="preserve"> data submissions for the first data collection period (</w:t>
            </w:r>
            <w:r w:rsidR="00E03B52" w:rsidRPr="00BB28F3">
              <w:rPr>
                <w:i/>
                <w:sz w:val="20"/>
              </w:rPr>
              <w:t>i.e.,</w:t>
            </w:r>
            <w:r w:rsidRPr="00BB28F3">
              <w:rPr>
                <w:i/>
                <w:sz w:val="20"/>
              </w:rPr>
              <w:t xml:space="preserve"> after 30 Sept 201</w:t>
            </w:r>
            <w:r w:rsidR="005C1EA0">
              <w:rPr>
                <w:i/>
                <w:sz w:val="20"/>
              </w:rPr>
              <w:t>6</w:t>
            </w:r>
            <w:r w:rsidRPr="00BB28F3">
              <w:rPr>
                <w:i/>
                <w:sz w:val="20"/>
              </w:rPr>
              <w:t xml:space="preserve"> and after 31 March 201</w:t>
            </w:r>
            <w:r w:rsidR="005C1EA0">
              <w:rPr>
                <w:i/>
                <w:sz w:val="20"/>
              </w:rPr>
              <w:t>7</w:t>
            </w:r>
            <w:r w:rsidRPr="00BB28F3">
              <w:rPr>
                <w:i/>
                <w:sz w:val="20"/>
              </w:rPr>
              <w:t>)]</w:t>
            </w:r>
          </w:p>
          <w:p w14:paraId="4C4DB30F" w14:textId="77777777" w:rsidR="007A196D" w:rsidRPr="00BB28F3" w:rsidRDefault="007A196D" w:rsidP="00BB28F3">
            <w:pPr>
              <w:spacing w:line="240" w:lineRule="auto"/>
              <w:ind w:left="720" w:hanging="436"/>
            </w:pPr>
            <w:r w:rsidRPr="00BB28F3">
              <w:t>(c)</w:t>
            </w:r>
            <w:r w:rsidRPr="00BB28F3">
              <w:tab/>
              <w:t xml:space="preserve">subsequent data collection periods will be the </w:t>
            </w:r>
            <w:r w:rsidR="00E04B9F" w:rsidRPr="00BB28F3">
              <w:t>six</w:t>
            </w:r>
            <w:r w:rsidRPr="00BB28F3">
              <w:t xml:space="preserve"> month periods that start on 1 April 201</w:t>
            </w:r>
            <w:r w:rsidR="005C1EA0">
              <w:t>7</w:t>
            </w:r>
            <w:r w:rsidRPr="00BB28F3">
              <w:t>, 1 October 201</w:t>
            </w:r>
            <w:r w:rsidR="005C1EA0">
              <w:t>7</w:t>
            </w:r>
            <w:r w:rsidRPr="00BB28F3">
              <w:t>, 1 April 201</w:t>
            </w:r>
            <w:r w:rsidR="005C1EA0">
              <w:t>8</w:t>
            </w:r>
            <w:r w:rsidRPr="00BB28F3">
              <w:t xml:space="preserve"> and so on.</w:t>
            </w:r>
          </w:p>
          <w:p w14:paraId="5BDB3052" w14:textId="77777777" w:rsidR="007A196D" w:rsidRPr="00BB28F3" w:rsidRDefault="007A196D" w:rsidP="00BB28F3">
            <w:pPr>
              <w:spacing w:line="240" w:lineRule="auto"/>
              <w:rPr>
                <w:b/>
              </w:rPr>
            </w:pPr>
            <w:r w:rsidRPr="00BB28F3">
              <w:rPr>
                <w:b/>
              </w:rPr>
              <w:t xml:space="preserve">Example 3: New brand where there is no related brands subject to price disclosure  </w:t>
            </w:r>
          </w:p>
          <w:p w14:paraId="02D9ACE2" w14:textId="77777777" w:rsidR="007A196D" w:rsidRPr="00BB28F3" w:rsidRDefault="007A196D" w:rsidP="00BB28F3">
            <w:pPr>
              <w:spacing w:line="240" w:lineRule="auto"/>
            </w:pPr>
            <w:r w:rsidRPr="00BB28F3">
              <w:t>New brand start day of 1 December 201</w:t>
            </w:r>
            <w:r w:rsidR="005C1EA0">
              <w:t>6</w:t>
            </w:r>
            <w:r w:rsidRPr="00BB28F3">
              <w:t>:</w:t>
            </w:r>
          </w:p>
          <w:p w14:paraId="73CA0D93" w14:textId="77777777" w:rsidR="007A196D" w:rsidRPr="00BB28F3" w:rsidRDefault="007A196D" w:rsidP="00BB28F3">
            <w:pPr>
              <w:spacing w:line="240" w:lineRule="auto"/>
              <w:ind w:firstLine="284"/>
            </w:pPr>
            <w:r w:rsidRPr="00BB28F3">
              <w:t>(a)</w:t>
            </w:r>
            <w:r w:rsidRPr="00BB28F3">
              <w:tab/>
              <w:t>the first data collection period starts on 1 December 201</w:t>
            </w:r>
            <w:r w:rsidR="005C1EA0">
              <w:t>6</w:t>
            </w:r>
            <w:r w:rsidRPr="00BB28F3">
              <w:t>; and</w:t>
            </w:r>
          </w:p>
          <w:p w14:paraId="2977B871" w14:textId="77777777" w:rsidR="007A196D" w:rsidRPr="00BB28F3" w:rsidRDefault="007A196D" w:rsidP="00BB28F3">
            <w:pPr>
              <w:spacing w:line="240" w:lineRule="auto"/>
              <w:ind w:firstLine="284"/>
            </w:pPr>
            <w:r w:rsidRPr="00BB28F3">
              <w:t>(b)</w:t>
            </w:r>
            <w:r w:rsidRPr="00BB28F3">
              <w:tab/>
              <w:t>the first data collection period ends on 30 September 201</w:t>
            </w:r>
            <w:r w:rsidR="005C1EA0">
              <w:t>7</w:t>
            </w:r>
            <w:r w:rsidRPr="00BB28F3">
              <w:t>; and</w:t>
            </w:r>
          </w:p>
          <w:p w14:paraId="70EB9127" w14:textId="77777777" w:rsidR="00C202E8" w:rsidRPr="00BB28F3" w:rsidRDefault="00C202E8" w:rsidP="00BB28F3">
            <w:pPr>
              <w:spacing w:line="240" w:lineRule="auto"/>
              <w:ind w:left="720"/>
              <w:rPr>
                <w:i/>
                <w:sz w:val="20"/>
              </w:rPr>
            </w:pPr>
            <w:r w:rsidRPr="00BB28F3">
              <w:rPr>
                <w:i/>
                <w:sz w:val="20"/>
              </w:rPr>
              <w:t xml:space="preserve">[there will be </w:t>
            </w:r>
            <w:r w:rsidR="00E04B9F" w:rsidRPr="00BB28F3">
              <w:rPr>
                <w:i/>
                <w:sz w:val="20"/>
              </w:rPr>
              <w:t>two</w:t>
            </w:r>
            <w:r w:rsidRPr="00BB28F3">
              <w:rPr>
                <w:i/>
                <w:sz w:val="20"/>
              </w:rPr>
              <w:t xml:space="preserve"> data submissions for the first data collection period (</w:t>
            </w:r>
            <w:r w:rsidR="00E03B52" w:rsidRPr="00BB28F3">
              <w:rPr>
                <w:i/>
                <w:sz w:val="20"/>
              </w:rPr>
              <w:t>i.e.,</w:t>
            </w:r>
            <w:r w:rsidRPr="00BB28F3">
              <w:rPr>
                <w:i/>
                <w:sz w:val="20"/>
              </w:rPr>
              <w:t xml:space="preserve"> after 31 March 201</w:t>
            </w:r>
            <w:r w:rsidR="005C1EA0">
              <w:rPr>
                <w:i/>
                <w:sz w:val="20"/>
              </w:rPr>
              <w:t>7</w:t>
            </w:r>
            <w:r w:rsidRPr="00BB28F3">
              <w:rPr>
                <w:i/>
                <w:sz w:val="20"/>
              </w:rPr>
              <w:t xml:space="preserve"> and after 30 September 201</w:t>
            </w:r>
            <w:r w:rsidR="005C1EA0">
              <w:rPr>
                <w:i/>
                <w:sz w:val="20"/>
              </w:rPr>
              <w:t>7</w:t>
            </w:r>
            <w:r w:rsidRPr="00BB28F3">
              <w:rPr>
                <w:i/>
                <w:sz w:val="20"/>
              </w:rPr>
              <w:t>)]</w:t>
            </w:r>
          </w:p>
          <w:p w14:paraId="182C77A9" w14:textId="77777777" w:rsidR="00C202E8" w:rsidRPr="00BB28F3" w:rsidRDefault="007A196D">
            <w:pPr>
              <w:spacing w:after="120" w:line="240" w:lineRule="auto"/>
              <w:ind w:left="721" w:hanging="437"/>
              <w:rPr>
                <w:rFonts w:cs="Arial"/>
                <w:color w:val="000000"/>
              </w:rPr>
            </w:pPr>
            <w:r w:rsidRPr="00BB28F3">
              <w:t>(c)</w:t>
            </w:r>
            <w:r w:rsidRPr="00BB28F3">
              <w:tab/>
              <w:t xml:space="preserve">subsequent data collection periods will be the </w:t>
            </w:r>
            <w:r w:rsidR="00E04B9F" w:rsidRPr="00BB28F3">
              <w:t>six</w:t>
            </w:r>
            <w:r w:rsidRPr="00BB28F3">
              <w:t xml:space="preserve"> month periods that start on 1 October 201</w:t>
            </w:r>
            <w:r w:rsidR="005C1EA0">
              <w:t>7</w:t>
            </w:r>
            <w:r w:rsidRPr="00BB28F3">
              <w:t>, 1 April 201</w:t>
            </w:r>
            <w:r w:rsidR="005C1EA0">
              <w:t>8</w:t>
            </w:r>
            <w:r w:rsidRPr="00BB28F3">
              <w:t>, 1 October 201</w:t>
            </w:r>
            <w:r w:rsidR="005C1EA0">
              <w:t>8</w:t>
            </w:r>
            <w:r w:rsidRPr="00BB28F3">
              <w:t xml:space="preserve"> and so on.</w:t>
            </w:r>
          </w:p>
        </w:tc>
      </w:tr>
    </w:tbl>
    <w:p w14:paraId="37CBB579" w14:textId="77777777" w:rsidR="005D35C4" w:rsidRPr="00DC7C92" w:rsidRDefault="003F4CA1" w:rsidP="0018413E">
      <w:pPr>
        <w:pStyle w:val="Heading4"/>
      </w:pPr>
      <w:r>
        <w:br w:type="page"/>
      </w:r>
      <w:r w:rsidR="00F31DC4" w:rsidRPr="00DC7C92">
        <w:lastRenderedPageBreak/>
        <w:t xml:space="preserve">Incentives information that responsible persons need to collect </w:t>
      </w:r>
    </w:p>
    <w:p w14:paraId="1CFDB980" w14:textId="77777777" w:rsidR="003F4CA1" w:rsidRDefault="00661C02" w:rsidP="00074BE7">
      <w:pPr>
        <w:pStyle w:val="ListParagraph"/>
        <w:numPr>
          <w:ilvl w:val="0"/>
          <w:numId w:val="24"/>
        </w:numPr>
        <w:ind w:left="714" w:hanging="357"/>
        <w:contextualSpacing w:val="0"/>
        <w:rPr>
          <w:rFonts w:cs="Arial"/>
        </w:rPr>
      </w:pPr>
      <w:r w:rsidRPr="003F4CA1">
        <w:rPr>
          <w:rFonts w:cs="Arial"/>
        </w:rPr>
        <w:t>R</w:t>
      </w:r>
      <w:r w:rsidR="00F31DC4" w:rsidRPr="003F4CA1">
        <w:rPr>
          <w:rFonts w:cs="Arial"/>
        </w:rPr>
        <w:t xml:space="preserve">esponsible persons need to </w:t>
      </w:r>
      <w:r w:rsidR="00F31DC4" w:rsidRPr="003F4CA1">
        <w:rPr>
          <w:rFonts w:cs="Arial"/>
          <w:b/>
        </w:rPr>
        <w:t>collect and submit incentive data, which comprises</w:t>
      </w:r>
      <w:r w:rsidR="00F31DC4" w:rsidRPr="003F4CA1">
        <w:rPr>
          <w:rFonts w:cs="Arial"/>
        </w:rPr>
        <w:t xml:space="preserve"> the cost to the responsible person of </w:t>
      </w:r>
      <w:r w:rsidR="00F31DC4" w:rsidRPr="003F4CA1">
        <w:rPr>
          <w:rFonts w:cs="Arial"/>
          <w:b/>
        </w:rPr>
        <w:t>the incentives</w:t>
      </w:r>
      <w:r w:rsidR="00F31DC4" w:rsidRPr="003F4CA1">
        <w:rPr>
          <w:rFonts w:cs="Arial"/>
        </w:rPr>
        <w:t xml:space="preserve"> relating to the sales of the brand </w:t>
      </w:r>
      <w:r w:rsidR="006C481C" w:rsidRPr="003F4CA1">
        <w:rPr>
          <w:rFonts w:cs="Arial"/>
        </w:rPr>
        <w:t xml:space="preserve">that </w:t>
      </w:r>
      <w:r w:rsidR="00F31DC4" w:rsidRPr="003F4CA1">
        <w:rPr>
          <w:rFonts w:cs="Arial"/>
        </w:rPr>
        <w:t xml:space="preserve">is subject </w:t>
      </w:r>
      <w:r w:rsidR="006C481C" w:rsidRPr="003F4CA1">
        <w:rPr>
          <w:rFonts w:cs="Arial"/>
        </w:rPr>
        <w:t>to</w:t>
      </w:r>
      <w:r w:rsidR="00F31DC4" w:rsidRPr="003F4CA1">
        <w:rPr>
          <w:rFonts w:cs="Arial"/>
        </w:rPr>
        <w:t xml:space="preserve"> </w:t>
      </w:r>
      <w:r w:rsidR="006C481C" w:rsidRPr="003F4CA1">
        <w:rPr>
          <w:rFonts w:cs="Arial"/>
        </w:rPr>
        <w:t xml:space="preserve">price </w:t>
      </w:r>
      <w:r w:rsidR="00F31DC4" w:rsidRPr="003F4CA1">
        <w:rPr>
          <w:rFonts w:cs="Arial"/>
        </w:rPr>
        <w:t>disclosure</w:t>
      </w:r>
      <w:r w:rsidR="006C481C" w:rsidRPr="003F4CA1">
        <w:rPr>
          <w:rFonts w:cs="Arial"/>
        </w:rPr>
        <w:t>.</w:t>
      </w:r>
    </w:p>
    <w:p w14:paraId="4CC23579" w14:textId="77777777" w:rsidR="002653B1" w:rsidRDefault="00322B29" w:rsidP="00074BE7">
      <w:pPr>
        <w:pStyle w:val="ListParagraph"/>
        <w:numPr>
          <w:ilvl w:val="0"/>
          <w:numId w:val="24"/>
        </w:numPr>
        <w:ind w:left="714" w:hanging="357"/>
        <w:contextualSpacing w:val="0"/>
        <w:rPr>
          <w:rFonts w:cs="Arial"/>
        </w:rPr>
      </w:pPr>
      <w:r w:rsidRPr="003F4CA1">
        <w:rPr>
          <w:rFonts w:cs="Arial"/>
        </w:rPr>
        <w:t xml:space="preserve">An incentive would </w:t>
      </w:r>
      <w:r w:rsidR="00E601BC" w:rsidRPr="003F4CA1">
        <w:rPr>
          <w:rFonts w:cs="Arial"/>
        </w:rPr>
        <w:t>includ</w:t>
      </w:r>
      <w:r w:rsidRPr="003F4CA1">
        <w:rPr>
          <w:rFonts w:cs="Arial"/>
        </w:rPr>
        <w:t xml:space="preserve">e any of </w:t>
      </w:r>
      <w:r w:rsidR="00E601BC" w:rsidRPr="003F4CA1">
        <w:rPr>
          <w:rFonts w:cs="Arial"/>
        </w:rPr>
        <w:t>the following</w:t>
      </w:r>
      <w:r w:rsidR="00F31DC4" w:rsidRPr="003F4CA1">
        <w:rPr>
          <w:rFonts w:cs="Arial"/>
        </w:rPr>
        <w:t xml:space="preserve">: </w:t>
      </w:r>
    </w:p>
    <w:p w14:paraId="518A31DB" w14:textId="77777777" w:rsidR="003F4CA1" w:rsidRPr="00927CE8" w:rsidRDefault="00F31DC4" w:rsidP="00587FC2">
      <w:pPr>
        <w:pStyle w:val="ListParagraph"/>
        <w:numPr>
          <w:ilvl w:val="0"/>
          <w:numId w:val="45"/>
        </w:numPr>
        <w:rPr>
          <w:rFonts w:cs="Arial"/>
        </w:rPr>
      </w:pPr>
      <w:r w:rsidRPr="00AC3275">
        <w:rPr>
          <w:rFonts w:cs="Arial"/>
        </w:rPr>
        <w:t xml:space="preserve">bonus stock; </w:t>
      </w:r>
    </w:p>
    <w:p w14:paraId="3DA782AA" w14:textId="77777777" w:rsidR="003F4CA1" w:rsidRPr="002A58F5" w:rsidRDefault="00F31DC4" w:rsidP="00587FC2">
      <w:pPr>
        <w:pStyle w:val="ListParagraph"/>
        <w:numPr>
          <w:ilvl w:val="0"/>
          <w:numId w:val="45"/>
        </w:numPr>
        <w:rPr>
          <w:rFonts w:cs="Arial"/>
        </w:rPr>
      </w:pPr>
      <w:r w:rsidRPr="00927CE8">
        <w:rPr>
          <w:rFonts w:cs="Arial"/>
        </w:rPr>
        <w:t xml:space="preserve">bundling discounts; </w:t>
      </w:r>
    </w:p>
    <w:p w14:paraId="5E4C8102" w14:textId="77777777" w:rsidR="003F4CA1" w:rsidRPr="00231498" w:rsidRDefault="00F31DC4" w:rsidP="00587FC2">
      <w:pPr>
        <w:pStyle w:val="ListParagraph"/>
        <w:numPr>
          <w:ilvl w:val="0"/>
          <w:numId w:val="45"/>
        </w:numPr>
        <w:rPr>
          <w:rFonts w:cs="Arial"/>
        </w:rPr>
      </w:pPr>
      <w:r w:rsidRPr="00231498">
        <w:rPr>
          <w:rFonts w:cs="Arial"/>
        </w:rPr>
        <w:t>cash discounts</w:t>
      </w:r>
      <w:r w:rsidR="00C91649" w:rsidRPr="00231498">
        <w:rPr>
          <w:rFonts w:cs="Arial"/>
        </w:rPr>
        <w:t xml:space="preserve"> or rebates</w:t>
      </w:r>
      <w:r w:rsidRPr="00231498">
        <w:rPr>
          <w:rFonts w:cs="Arial"/>
        </w:rPr>
        <w:t xml:space="preserve">; </w:t>
      </w:r>
    </w:p>
    <w:p w14:paraId="37FE0DFB" w14:textId="77777777" w:rsidR="003F4CA1" w:rsidRPr="0062047E" w:rsidRDefault="00F31DC4" w:rsidP="00587FC2">
      <w:pPr>
        <w:pStyle w:val="ListParagraph"/>
        <w:numPr>
          <w:ilvl w:val="0"/>
          <w:numId w:val="45"/>
        </w:numPr>
        <w:rPr>
          <w:rFonts w:cs="Arial"/>
        </w:rPr>
      </w:pPr>
      <w:r w:rsidRPr="000F16F8">
        <w:rPr>
          <w:rFonts w:cs="Arial"/>
        </w:rPr>
        <w:t xml:space="preserve">charge backs; </w:t>
      </w:r>
    </w:p>
    <w:p w14:paraId="286B3160" w14:textId="77777777" w:rsidR="003F4CA1" w:rsidRPr="008A0187" w:rsidRDefault="00F31DC4" w:rsidP="00587FC2">
      <w:pPr>
        <w:pStyle w:val="ListParagraph"/>
        <w:numPr>
          <w:ilvl w:val="0"/>
          <w:numId w:val="45"/>
        </w:numPr>
        <w:rPr>
          <w:rFonts w:cs="Arial"/>
        </w:rPr>
      </w:pPr>
      <w:r w:rsidRPr="008A0187">
        <w:rPr>
          <w:rFonts w:cs="Arial"/>
        </w:rPr>
        <w:t xml:space="preserve">co-operative advertising; </w:t>
      </w:r>
    </w:p>
    <w:p w14:paraId="3351E586" w14:textId="77777777" w:rsidR="003F4CA1" w:rsidRPr="009F7D5D" w:rsidRDefault="00F31DC4" w:rsidP="00587FC2">
      <w:pPr>
        <w:pStyle w:val="ListParagraph"/>
        <w:numPr>
          <w:ilvl w:val="0"/>
          <w:numId w:val="45"/>
        </w:numPr>
        <w:rPr>
          <w:rFonts w:cs="Arial"/>
        </w:rPr>
      </w:pPr>
      <w:r w:rsidRPr="00220E93">
        <w:rPr>
          <w:rFonts w:cs="Arial"/>
        </w:rPr>
        <w:t xml:space="preserve">competitions; </w:t>
      </w:r>
    </w:p>
    <w:p w14:paraId="67DF219D" w14:textId="77777777" w:rsidR="003F4CA1" w:rsidRPr="009F7D5D" w:rsidRDefault="00F31DC4" w:rsidP="00587FC2">
      <w:pPr>
        <w:pStyle w:val="ListParagraph"/>
        <w:numPr>
          <w:ilvl w:val="0"/>
          <w:numId w:val="45"/>
        </w:numPr>
        <w:rPr>
          <w:rFonts w:cs="Arial"/>
        </w:rPr>
      </w:pPr>
      <w:r w:rsidRPr="009F7D5D">
        <w:rPr>
          <w:rFonts w:cs="Arial"/>
        </w:rPr>
        <w:t xml:space="preserve">computer hardware and software; </w:t>
      </w:r>
    </w:p>
    <w:p w14:paraId="76197F5D" w14:textId="77777777" w:rsidR="003F4CA1" w:rsidRPr="009F7D5D" w:rsidRDefault="00F31DC4" w:rsidP="00587FC2">
      <w:pPr>
        <w:pStyle w:val="ListParagraph"/>
        <w:numPr>
          <w:ilvl w:val="0"/>
          <w:numId w:val="45"/>
        </w:numPr>
        <w:rPr>
          <w:rFonts w:cs="Arial"/>
        </w:rPr>
      </w:pPr>
      <w:r w:rsidRPr="009F7D5D">
        <w:rPr>
          <w:rFonts w:cs="Arial"/>
        </w:rPr>
        <w:t xml:space="preserve">conference attendance; </w:t>
      </w:r>
    </w:p>
    <w:p w14:paraId="4B38123D" w14:textId="77777777" w:rsidR="003F4CA1" w:rsidRPr="009F7D5D" w:rsidRDefault="00F31DC4" w:rsidP="00587FC2">
      <w:pPr>
        <w:pStyle w:val="ListParagraph"/>
        <w:numPr>
          <w:ilvl w:val="0"/>
          <w:numId w:val="45"/>
        </w:numPr>
        <w:rPr>
          <w:rFonts w:cs="Arial"/>
        </w:rPr>
      </w:pPr>
      <w:r w:rsidRPr="009F7D5D">
        <w:rPr>
          <w:rFonts w:cs="Arial"/>
        </w:rPr>
        <w:t xml:space="preserve">coupons; </w:t>
      </w:r>
    </w:p>
    <w:p w14:paraId="412086F3" w14:textId="77777777" w:rsidR="003F4CA1" w:rsidRPr="009F7D5D" w:rsidRDefault="00F31DC4" w:rsidP="00587FC2">
      <w:pPr>
        <w:pStyle w:val="ListParagraph"/>
        <w:numPr>
          <w:ilvl w:val="0"/>
          <w:numId w:val="45"/>
        </w:numPr>
        <w:rPr>
          <w:rFonts w:cs="Arial"/>
        </w:rPr>
      </w:pPr>
      <w:r w:rsidRPr="009F7D5D">
        <w:rPr>
          <w:rFonts w:cs="Arial"/>
        </w:rPr>
        <w:t xml:space="preserve">free or reduced price-services; </w:t>
      </w:r>
    </w:p>
    <w:p w14:paraId="17E5FB7C" w14:textId="77777777" w:rsidR="003F4CA1" w:rsidRPr="009F7D5D" w:rsidRDefault="00F31DC4" w:rsidP="00587FC2">
      <w:pPr>
        <w:pStyle w:val="ListParagraph"/>
        <w:numPr>
          <w:ilvl w:val="0"/>
          <w:numId w:val="45"/>
        </w:numPr>
        <w:rPr>
          <w:rFonts w:cs="Arial"/>
        </w:rPr>
      </w:pPr>
      <w:r w:rsidRPr="009F7D5D">
        <w:rPr>
          <w:rFonts w:cs="Arial"/>
        </w:rPr>
        <w:t xml:space="preserve">patient support programs and other patient level incentives; </w:t>
      </w:r>
    </w:p>
    <w:p w14:paraId="6CED8A67" w14:textId="77777777" w:rsidR="003F4CA1" w:rsidRPr="009F7D5D" w:rsidRDefault="00F31DC4" w:rsidP="00587FC2">
      <w:pPr>
        <w:pStyle w:val="ListParagraph"/>
        <w:numPr>
          <w:ilvl w:val="0"/>
          <w:numId w:val="45"/>
        </w:numPr>
        <w:rPr>
          <w:rFonts w:cs="Arial"/>
        </w:rPr>
      </w:pPr>
      <w:r w:rsidRPr="009F7D5D">
        <w:rPr>
          <w:rFonts w:cs="Arial"/>
        </w:rPr>
        <w:t xml:space="preserve">goods in kind; </w:t>
      </w:r>
    </w:p>
    <w:p w14:paraId="6FE380C2" w14:textId="77777777" w:rsidR="003F4CA1" w:rsidRPr="009F7D5D" w:rsidRDefault="00F31DC4" w:rsidP="00587FC2">
      <w:pPr>
        <w:pStyle w:val="ListParagraph"/>
        <w:numPr>
          <w:ilvl w:val="0"/>
          <w:numId w:val="45"/>
        </w:numPr>
        <w:rPr>
          <w:rFonts w:cs="Arial"/>
        </w:rPr>
      </w:pPr>
      <w:r w:rsidRPr="009F7D5D">
        <w:rPr>
          <w:rFonts w:cs="Arial"/>
        </w:rPr>
        <w:t xml:space="preserve">grants; </w:t>
      </w:r>
    </w:p>
    <w:p w14:paraId="05CF8FB0" w14:textId="77777777" w:rsidR="003F4CA1" w:rsidRPr="009F7D5D" w:rsidRDefault="00F31DC4" w:rsidP="00587FC2">
      <w:pPr>
        <w:pStyle w:val="ListParagraph"/>
        <w:numPr>
          <w:ilvl w:val="0"/>
          <w:numId w:val="45"/>
        </w:numPr>
        <w:rPr>
          <w:rFonts w:cs="Arial"/>
        </w:rPr>
      </w:pPr>
      <w:r w:rsidRPr="009F7D5D">
        <w:rPr>
          <w:rFonts w:cs="Arial"/>
        </w:rPr>
        <w:t xml:space="preserve">hospitality; </w:t>
      </w:r>
    </w:p>
    <w:p w14:paraId="06C7F422" w14:textId="77777777" w:rsidR="003F4CA1" w:rsidRPr="009F7D5D" w:rsidRDefault="00F31DC4" w:rsidP="00587FC2">
      <w:pPr>
        <w:pStyle w:val="ListParagraph"/>
        <w:numPr>
          <w:ilvl w:val="0"/>
          <w:numId w:val="45"/>
        </w:numPr>
        <w:rPr>
          <w:rFonts w:cs="Arial"/>
        </w:rPr>
      </w:pPr>
      <w:r w:rsidRPr="009F7D5D">
        <w:rPr>
          <w:rFonts w:cs="Arial"/>
        </w:rPr>
        <w:t xml:space="preserve">in-store merchandising; </w:t>
      </w:r>
    </w:p>
    <w:p w14:paraId="3FED81BC" w14:textId="77777777" w:rsidR="003F4CA1" w:rsidRPr="009F7D5D" w:rsidRDefault="00F31DC4" w:rsidP="00587FC2">
      <w:pPr>
        <w:pStyle w:val="ListParagraph"/>
        <w:numPr>
          <w:ilvl w:val="0"/>
          <w:numId w:val="45"/>
        </w:numPr>
        <w:rPr>
          <w:rFonts w:cs="Arial"/>
        </w:rPr>
      </w:pPr>
      <w:r w:rsidRPr="009F7D5D">
        <w:rPr>
          <w:rFonts w:cs="Arial"/>
        </w:rPr>
        <w:t xml:space="preserve">loyalty </w:t>
      </w:r>
      <w:r w:rsidR="00A90BFE" w:rsidRPr="009F7D5D">
        <w:rPr>
          <w:rFonts w:cs="Arial"/>
        </w:rPr>
        <w:t xml:space="preserve">or other </w:t>
      </w:r>
      <w:r w:rsidRPr="009F7D5D">
        <w:rPr>
          <w:rFonts w:cs="Arial"/>
        </w:rPr>
        <w:t xml:space="preserve">rebates; </w:t>
      </w:r>
    </w:p>
    <w:p w14:paraId="1596EAC8" w14:textId="77777777" w:rsidR="003F4CA1" w:rsidRPr="009F7D5D" w:rsidRDefault="00F31DC4" w:rsidP="00587FC2">
      <w:pPr>
        <w:pStyle w:val="ListParagraph"/>
        <w:numPr>
          <w:ilvl w:val="0"/>
          <w:numId w:val="45"/>
        </w:numPr>
        <w:rPr>
          <w:rFonts w:cs="Arial"/>
        </w:rPr>
      </w:pPr>
      <w:r w:rsidRPr="009F7D5D">
        <w:rPr>
          <w:rFonts w:cs="Arial"/>
        </w:rPr>
        <w:t xml:space="preserve">prompt payment discounts; </w:t>
      </w:r>
    </w:p>
    <w:p w14:paraId="59B9BA32" w14:textId="77777777" w:rsidR="003F4CA1" w:rsidRPr="009F7D5D" w:rsidRDefault="00F31DC4" w:rsidP="00587FC2">
      <w:pPr>
        <w:pStyle w:val="ListParagraph"/>
        <w:numPr>
          <w:ilvl w:val="0"/>
          <w:numId w:val="45"/>
        </w:numPr>
        <w:rPr>
          <w:rFonts w:cs="Arial"/>
        </w:rPr>
      </w:pPr>
      <w:r w:rsidRPr="009F7D5D">
        <w:rPr>
          <w:rFonts w:cs="Arial"/>
        </w:rPr>
        <w:t xml:space="preserve">samples; </w:t>
      </w:r>
    </w:p>
    <w:p w14:paraId="4528EB34" w14:textId="77777777" w:rsidR="003F4CA1" w:rsidRPr="009F7D5D" w:rsidRDefault="00F31DC4" w:rsidP="00587FC2">
      <w:pPr>
        <w:pStyle w:val="ListParagraph"/>
        <w:numPr>
          <w:ilvl w:val="0"/>
          <w:numId w:val="45"/>
        </w:numPr>
        <w:rPr>
          <w:rFonts w:cs="Arial"/>
        </w:rPr>
      </w:pPr>
      <w:r w:rsidRPr="009F7D5D">
        <w:rPr>
          <w:rFonts w:cs="Arial"/>
        </w:rPr>
        <w:t xml:space="preserve">share offers; </w:t>
      </w:r>
    </w:p>
    <w:p w14:paraId="4DD3F7F7" w14:textId="77777777" w:rsidR="003F4CA1" w:rsidRPr="009F7D5D" w:rsidRDefault="00F31DC4" w:rsidP="00587FC2">
      <w:pPr>
        <w:pStyle w:val="ListParagraph"/>
        <w:numPr>
          <w:ilvl w:val="0"/>
          <w:numId w:val="45"/>
        </w:numPr>
        <w:rPr>
          <w:rFonts w:cs="Arial"/>
        </w:rPr>
      </w:pPr>
      <w:r w:rsidRPr="009F7D5D">
        <w:rPr>
          <w:rFonts w:cs="Arial"/>
        </w:rPr>
        <w:t xml:space="preserve">up-front payments; </w:t>
      </w:r>
    </w:p>
    <w:p w14:paraId="57DCA2E9" w14:textId="77777777" w:rsidR="003F4CA1" w:rsidRPr="009F7D5D" w:rsidRDefault="00F31DC4" w:rsidP="00587FC2">
      <w:pPr>
        <w:pStyle w:val="ListParagraph"/>
        <w:numPr>
          <w:ilvl w:val="0"/>
          <w:numId w:val="45"/>
        </w:numPr>
        <w:rPr>
          <w:rFonts w:cs="Arial"/>
        </w:rPr>
      </w:pPr>
      <w:r w:rsidRPr="009F7D5D">
        <w:rPr>
          <w:rFonts w:cs="Arial"/>
        </w:rPr>
        <w:t xml:space="preserve">volume discounts; </w:t>
      </w:r>
    </w:p>
    <w:p w14:paraId="466298DD" w14:textId="77777777" w:rsidR="003F4CA1" w:rsidRPr="009F7D5D" w:rsidRDefault="00F31DC4" w:rsidP="00587FC2">
      <w:pPr>
        <w:pStyle w:val="ListParagraph"/>
        <w:numPr>
          <w:ilvl w:val="0"/>
          <w:numId w:val="45"/>
        </w:numPr>
        <w:rPr>
          <w:rFonts w:cs="Arial"/>
        </w:rPr>
      </w:pPr>
      <w:r w:rsidRPr="009F7D5D">
        <w:rPr>
          <w:rFonts w:cs="Arial"/>
        </w:rPr>
        <w:t xml:space="preserve">the cost of any </w:t>
      </w:r>
      <w:r w:rsidRPr="009F7D5D">
        <w:rPr>
          <w:rFonts w:cs="Arial"/>
          <w:b/>
        </w:rPr>
        <w:t>brand specific</w:t>
      </w:r>
      <w:r w:rsidRPr="009F7D5D">
        <w:rPr>
          <w:rFonts w:cs="Arial"/>
        </w:rPr>
        <w:t xml:space="preserve"> rebates and/or discounts (including any charge backs</w:t>
      </w:r>
      <w:r w:rsidR="00A90BFE" w:rsidRPr="009F7D5D">
        <w:rPr>
          <w:rFonts w:cs="Arial"/>
        </w:rPr>
        <w:t>)</w:t>
      </w:r>
      <w:r w:rsidRPr="009F7D5D">
        <w:rPr>
          <w:rFonts w:cs="Arial"/>
        </w:rPr>
        <w:t xml:space="preserve"> which </w:t>
      </w:r>
      <w:r w:rsidRPr="009F7D5D">
        <w:rPr>
          <w:rFonts w:cs="Arial"/>
          <w:b/>
        </w:rPr>
        <w:t>have not</w:t>
      </w:r>
      <w:r w:rsidRPr="009F7D5D">
        <w:rPr>
          <w:rFonts w:cs="Arial"/>
        </w:rPr>
        <w:t xml:space="preserve"> already been deducted from the disclosed monthly sales revenue data</w:t>
      </w:r>
      <w:r w:rsidR="003B6973" w:rsidRPr="009F7D5D">
        <w:rPr>
          <w:rFonts w:cs="Arial"/>
        </w:rPr>
        <w:t>;</w:t>
      </w:r>
      <w:r w:rsidRPr="009F7D5D">
        <w:rPr>
          <w:rFonts w:cs="Arial"/>
        </w:rPr>
        <w:t xml:space="preserve"> </w:t>
      </w:r>
    </w:p>
    <w:p w14:paraId="4F8F366B" w14:textId="77777777" w:rsidR="003F4CA1" w:rsidRPr="009F7D5D" w:rsidRDefault="00F31DC4" w:rsidP="00587FC2">
      <w:pPr>
        <w:pStyle w:val="ListParagraph"/>
        <w:numPr>
          <w:ilvl w:val="0"/>
          <w:numId w:val="45"/>
        </w:numPr>
        <w:rPr>
          <w:rFonts w:cs="Arial"/>
        </w:rPr>
      </w:pPr>
      <w:r w:rsidRPr="009F7D5D">
        <w:rPr>
          <w:rFonts w:cs="Arial"/>
        </w:rPr>
        <w:t xml:space="preserve">any other monetary incentives; and </w:t>
      </w:r>
    </w:p>
    <w:p w14:paraId="4427826F" w14:textId="77777777" w:rsidR="00925E92" w:rsidRPr="009F7D5D" w:rsidRDefault="00F31DC4" w:rsidP="00587FC2">
      <w:pPr>
        <w:pStyle w:val="ListParagraph"/>
        <w:numPr>
          <w:ilvl w:val="0"/>
          <w:numId w:val="45"/>
        </w:numPr>
        <w:rPr>
          <w:rFonts w:cs="Arial"/>
        </w:rPr>
      </w:pPr>
      <w:r w:rsidRPr="009F7D5D">
        <w:rPr>
          <w:rFonts w:cs="Arial"/>
        </w:rPr>
        <w:t xml:space="preserve">the monetary value of any other in kind incentives. </w:t>
      </w:r>
    </w:p>
    <w:p w14:paraId="3AC3B4D1" w14:textId="77777777" w:rsidR="00925E92" w:rsidRDefault="00F31DC4" w:rsidP="00074BE7">
      <w:pPr>
        <w:pStyle w:val="ListParagraph"/>
        <w:numPr>
          <w:ilvl w:val="0"/>
          <w:numId w:val="24"/>
        </w:numPr>
        <w:ind w:left="714" w:hanging="357"/>
        <w:contextualSpacing w:val="0"/>
        <w:rPr>
          <w:rFonts w:cs="Arial"/>
        </w:rPr>
      </w:pPr>
      <w:r w:rsidRPr="00925E92">
        <w:rPr>
          <w:rFonts w:cs="Arial"/>
        </w:rPr>
        <w:t xml:space="preserve">This is not intended to be an exhaustive list and the Department may update it at any time. Responsible persons are required to disclose the types and cost of all incentives which they provide that relate to brands subject to the price disclosure arrangements. This includes incentives to customers and others in the PBS supply chain. </w:t>
      </w:r>
    </w:p>
    <w:p w14:paraId="00FC7D43" w14:textId="77777777" w:rsidR="00925E92" w:rsidRDefault="00F31DC4" w:rsidP="00074BE7">
      <w:pPr>
        <w:pStyle w:val="ListParagraph"/>
        <w:numPr>
          <w:ilvl w:val="0"/>
          <w:numId w:val="24"/>
        </w:numPr>
        <w:ind w:left="714" w:hanging="357"/>
        <w:contextualSpacing w:val="0"/>
        <w:rPr>
          <w:rFonts w:cs="Arial"/>
        </w:rPr>
      </w:pPr>
      <w:r w:rsidRPr="00925E92">
        <w:rPr>
          <w:rFonts w:cs="Arial"/>
        </w:rPr>
        <w:t>Any incentive made prior to being subject to price disclosure where an obligation to purchase (or otherwise) has been entered into which remains in effect durin</w:t>
      </w:r>
      <w:r w:rsidR="00385DD7" w:rsidRPr="00925E92">
        <w:rPr>
          <w:rFonts w:cs="Arial"/>
        </w:rPr>
        <w:t xml:space="preserve">g part or all of the </w:t>
      </w:r>
      <w:r w:rsidR="001B06D3" w:rsidRPr="00925E92">
        <w:rPr>
          <w:rFonts w:cs="Arial"/>
        </w:rPr>
        <w:t xml:space="preserve">disclosure </w:t>
      </w:r>
      <w:r w:rsidRPr="00925E92">
        <w:rPr>
          <w:rFonts w:cs="Arial"/>
        </w:rPr>
        <w:t xml:space="preserve">cycle should be included and fairly apportioned. </w:t>
      </w:r>
    </w:p>
    <w:p w14:paraId="715E23D1" w14:textId="77777777" w:rsidR="00925E92" w:rsidRDefault="00F31DC4" w:rsidP="00074BE7">
      <w:pPr>
        <w:pStyle w:val="ListParagraph"/>
        <w:numPr>
          <w:ilvl w:val="0"/>
          <w:numId w:val="24"/>
        </w:numPr>
        <w:ind w:left="714" w:hanging="357"/>
        <w:contextualSpacing w:val="0"/>
        <w:rPr>
          <w:rFonts w:cs="Arial"/>
        </w:rPr>
      </w:pPr>
      <w:r w:rsidRPr="00925E92">
        <w:rPr>
          <w:rFonts w:cs="Arial"/>
        </w:rPr>
        <w:t>Any discounts</w:t>
      </w:r>
      <w:r w:rsidR="00C91649" w:rsidRPr="00925E92">
        <w:rPr>
          <w:rFonts w:cs="Arial"/>
        </w:rPr>
        <w:t>, rebates or</w:t>
      </w:r>
      <w:r w:rsidRPr="00925E92">
        <w:rPr>
          <w:rFonts w:cs="Arial"/>
        </w:rPr>
        <w:t xml:space="preserve"> incentives already incorporated in the data collected for sales revenue should not be disclosed as part of the incentive data (to prevent double counting of discounts</w:t>
      </w:r>
      <w:r w:rsidR="00C91649" w:rsidRPr="00925E92">
        <w:rPr>
          <w:rFonts w:cs="Arial"/>
        </w:rPr>
        <w:t>, rebates</w:t>
      </w:r>
      <w:r w:rsidRPr="00925E92">
        <w:rPr>
          <w:rFonts w:cs="Arial"/>
        </w:rPr>
        <w:t xml:space="preserve"> and incentives</w:t>
      </w:r>
      <w:r w:rsidR="00661C02" w:rsidRPr="00925E92">
        <w:rPr>
          <w:rFonts w:cs="Arial"/>
        </w:rPr>
        <w:t xml:space="preserve"> because incentives are deducted from </w:t>
      </w:r>
      <w:r w:rsidR="00A90BFE" w:rsidRPr="00925E92">
        <w:rPr>
          <w:rFonts w:cs="Arial"/>
        </w:rPr>
        <w:t xml:space="preserve">gross </w:t>
      </w:r>
      <w:r w:rsidR="00661C02" w:rsidRPr="00925E92">
        <w:rPr>
          <w:rFonts w:cs="Arial"/>
        </w:rPr>
        <w:t xml:space="preserve">revenue </w:t>
      </w:r>
      <w:r w:rsidR="00A90BFE" w:rsidRPr="00925E92">
        <w:rPr>
          <w:rFonts w:cs="Arial"/>
        </w:rPr>
        <w:t xml:space="preserve">to arrive at net revenue </w:t>
      </w:r>
      <w:r w:rsidR="00661C02" w:rsidRPr="00925E92">
        <w:rPr>
          <w:rFonts w:cs="Arial"/>
        </w:rPr>
        <w:t>as part of the method under the Regulations</w:t>
      </w:r>
      <w:r w:rsidR="00925E92">
        <w:rPr>
          <w:rFonts w:cs="Arial"/>
        </w:rPr>
        <w:t>).</w:t>
      </w:r>
    </w:p>
    <w:p w14:paraId="4390F6C6" w14:textId="77777777" w:rsidR="00925E92" w:rsidRDefault="00F31DC4" w:rsidP="00074BE7">
      <w:pPr>
        <w:pStyle w:val="ListParagraph"/>
        <w:numPr>
          <w:ilvl w:val="0"/>
          <w:numId w:val="24"/>
        </w:numPr>
        <w:ind w:left="714" w:hanging="357"/>
        <w:contextualSpacing w:val="0"/>
        <w:rPr>
          <w:rFonts w:cs="Arial"/>
        </w:rPr>
      </w:pPr>
      <w:r w:rsidRPr="00925E92">
        <w:rPr>
          <w:rFonts w:cs="Arial"/>
        </w:rPr>
        <w:lastRenderedPageBreak/>
        <w:t xml:space="preserve">Responsible persons are not required to disclose data for all the incentives that they provide, only those which relate fully or in part to the brand which they are disclosing price information for. </w:t>
      </w:r>
    </w:p>
    <w:p w14:paraId="2B57D3E3" w14:textId="77777777" w:rsidR="00925E92" w:rsidRDefault="00F31DC4" w:rsidP="00074BE7">
      <w:pPr>
        <w:pStyle w:val="ListParagraph"/>
        <w:numPr>
          <w:ilvl w:val="0"/>
          <w:numId w:val="24"/>
        </w:numPr>
        <w:ind w:left="714" w:hanging="357"/>
        <w:contextualSpacing w:val="0"/>
        <w:rPr>
          <w:rFonts w:cs="Arial"/>
        </w:rPr>
      </w:pPr>
      <w:r w:rsidRPr="00925E92">
        <w:rPr>
          <w:rFonts w:cs="Arial"/>
        </w:rPr>
        <w:t>Incentives may cover more than one</w:t>
      </w:r>
      <w:r w:rsidR="00AB7DBC" w:rsidRPr="00925E92">
        <w:rPr>
          <w:rFonts w:cs="Arial"/>
        </w:rPr>
        <w:t xml:space="preserve"> pharmaceutical</w:t>
      </w:r>
      <w:r w:rsidRPr="00925E92">
        <w:rPr>
          <w:rFonts w:cs="Arial"/>
        </w:rPr>
        <w:t xml:space="preserve"> item, non-PBS</w:t>
      </w:r>
      <w:r w:rsidR="00AB7DBC" w:rsidRPr="00925E92">
        <w:rPr>
          <w:rFonts w:cs="Arial"/>
        </w:rPr>
        <w:t xml:space="preserve"> listed</w:t>
      </w:r>
      <w:r w:rsidRPr="00925E92">
        <w:rPr>
          <w:rFonts w:cs="Arial"/>
        </w:rPr>
        <w:t xml:space="preserve"> items, over the counter items, non-drug products (e.g. make-up, baby care products) and may fall across reporting cycles.</w:t>
      </w:r>
      <w:r w:rsidR="00D1251E" w:rsidRPr="00925E92">
        <w:rPr>
          <w:rFonts w:cs="Arial"/>
        </w:rPr>
        <w:t xml:space="preserve"> </w:t>
      </w:r>
    </w:p>
    <w:p w14:paraId="636869A7" w14:textId="77777777" w:rsidR="00925E92" w:rsidRDefault="00F31DC4" w:rsidP="00074BE7">
      <w:pPr>
        <w:pStyle w:val="ListParagraph"/>
        <w:numPr>
          <w:ilvl w:val="0"/>
          <w:numId w:val="24"/>
        </w:numPr>
        <w:ind w:left="714" w:hanging="357"/>
        <w:contextualSpacing w:val="0"/>
        <w:rPr>
          <w:rFonts w:cs="Arial"/>
        </w:rPr>
      </w:pPr>
      <w:r w:rsidRPr="00925E92">
        <w:rPr>
          <w:rFonts w:cs="Arial"/>
        </w:rPr>
        <w:t>The cost of any monetary incentives</w:t>
      </w:r>
      <w:r w:rsidR="00CC5645" w:rsidRPr="00925E92">
        <w:rPr>
          <w:rFonts w:cs="Arial"/>
        </w:rPr>
        <w:t>,</w:t>
      </w:r>
      <w:r w:rsidRPr="00925E92">
        <w:rPr>
          <w:rFonts w:cs="Arial"/>
        </w:rPr>
        <w:t xml:space="preserve"> and the monetary value of in-kind benefits, offered on multiple PBS drugs and other items should be fairly apportioned to each brand for the period in question. This apportionment should use an explicit and clear methodology which will be maintained as part of data records and which should be available upon request by the Department. </w:t>
      </w:r>
      <w:r w:rsidR="00C91649" w:rsidRPr="00925E92">
        <w:rPr>
          <w:rFonts w:cs="Arial"/>
        </w:rPr>
        <w:t xml:space="preserve">Details of how incentives might be apportioned or valued are under the heading </w:t>
      </w:r>
      <w:r w:rsidR="00C91649" w:rsidRPr="00925E92">
        <w:rPr>
          <w:rFonts w:cs="Arial"/>
          <w:b/>
        </w:rPr>
        <w:t>Data Preparation</w:t>
      </w:r>
      <w:r w:rsidR="00C91649" w:rsidRPr="00925E92">
        <w:rPr>
          <w:rFonts w:cs="Arial"/>
        </w:rPr>
        <w:t xml:space="preserve"> below.</w:t>
      </w:r>
    </w:p>
    <w:p w14:paraId="37AA22BB" w14:textId="77777777" w:rsidR="005D35C4" w:rsidRPr="00925E92" w:rsidRDefault="00F31DC4" w:rsidP="00074BE7">
      <w:pPr>
        <w:pStyle w:val="ListParagraph"/>
        <w:numPr>
          <w:ilvl w:val="0"/>
          <w:numId w:val="24"/>
        </w:numPr>
        <w:ind w:left="714" w:hanging="357"/>
        <w:contextualSpacing w:val="0"/>
        <w:rPr>
          <w:rFonts w:cs="Arial"/>
        </w:rPr>
      </w:pPr>
      <w:r w:rsidRPr="00925E92">
        <w:rPr>
          <w:rFonts w:cs="Arial"/>
        </w:rPr>
        <w:t xml:space="preserve">For those incentives that fall under the categories of “any other monetary incentives” or “any other non-monetary incentives” the responsible person must provide a description of them. </w:t>
      </w:r>
    </w:p>
    <w:p w14:paraId="15032B77" w14:textId="77777777" w:rsidR="00A90BFE" w:rsidRPr="00D1251E" w:rsidRDefault="00A90BFE" w:rsidP="00925E92">
      <w:pPr>
        <w:pStyle w:val="Heading4"/>
        <w:spacing w:before="120"/>
      </w:pPr>
      <w:r>
        <w:t xml:space="preserve">Sales to hospitals </w:t>
      </w:r>
    </w:p>
    <w:p w14:paraId="35A72B4E" w14:textId="77777777" w:rsidR="00925E92" w:rsidRPr="00925E92" w:rsidRDefault="00A90BFE" w:rsidP="00074BE7">
      <w:pPr>
        <w:pStyle w:val="ListParagraph"/>
        <w:numPr>
          <w:ilvl w:val="0"/>
          <w:numId w:val="24"/>
        </w:numPr>
        <w:ind w:left="714" w:hanging="357"/>
        <w:contextualSpacing w:val="0"/>
        <w:rPr>
          <w:rStyle w:val="Hyperlink"/>
          <w:rFonts w:cs="Arial"/>
          <w:color w:val="auto"/>
          <w:u w:val="none"/>
        </w:rPr>
      </w:pPr>
      <w:r w:rsidRPr="00925E92">
        <w:rPr>
          <w:rFonts w:cs="Arial"/>
        </w:rPr>
        <w:t xml:space="preserve">Data relating to the sales of pharmaceutical items to </w:t>
      </w:r>
      <w:r w:rsidRPr="00925E92">
        <w:rPr>
          <w:rFonts w:cs="Arial"/>
          <w:b/>
        </w:rPr>
        <w:t>public hospitals</w:t>
      </w:r>
      <w:r w:rsidRPr="00925E92">
        <w:rPr>
          <w:rFonts w:cs="Arial"/>
        </w:rPr>
        <w:t xml:space="preserve"> </w:t>
      </w:r>
      <w:r w:rsidRPr="00925E92">
        <w:rPr>
          <w:rFonts w:cs="Arial"/>
          <w:b/>
        </w:rPr>
        <w:t>must be</w:t>
      </w:r>
      <w:r w:rsidRPr="00925E92">
        <w:rPr>
          <w:rFonts w:cs="Arial"/>
        </w:rPr>
        <w:t xml:space="preserve"> </w:t>
      </w:r>
      <w:r w:rsidRPr="00925E92">
        <w:rPr>
          <w:rFonts w:cs="Arial"/>
          <w:b/>
        </w:rPr>
        <w:t>excluded</w:t>
      </w:r>
      <w:r w:rsidRPr="00925E92">
        <w:rPr>
          <w:rFonts w:cs="Arial"/>
        </w:rPr>
        <w:t xml:space="preserve"> from the data submitted. Public Hospital is defined in the Act, by reference to the </w:t>
      </w:r>
      <w:r w:rsidRPr="00925E92">
        <w:rPr>
          <w:rFonts w:cs="Arial"/>
          <w:i/>
        </w:rPr>
        <w:t>Private Health Insurance Act 2007</w:t>
      </w:r>
      <w:r w:rsidR="0054311E">
        <w:rPr>
          <w:rFonts w:cs="Arial"/>
        </w:rPr>
        <w:t xml:space="preserve">. To obtain the status of a particular hospital, email </w:t>
      </w:r>
      <w:hyperlink r:id="rId26" w:history="1">
        <w:r w:rsidR="0054311E" w:rsidRPr="0054311E">
          <w:rPr>
            <w:rStyle w:val="Hyperlink"/>
            <w:rFonts w:cs="Arial"/>
          </w:rPr>
          <w:t>Hospital Declarations</w:t>
        </w:r>
      </w:hyperlink>
      <w:r w:rsidR="0054311E">
        <w:rPr>
          <w:rFonts w:cs="Arial"/>
        </w:rPr>
        <w:t xml:space="preserve">. </w:t>
      </w:r>
    </w:p>
    <w:p w14:paraId="69351637" w14:textId="77777777" w:rsidR="00925E92" w:rsidRDefault="00A90BFE" w:rsidP="00074BE7">
      <w:pPr>
        <w:pStyle w:val="ListParagraph"/>
        <w:numPr>
          <w:ilvl w:val="0"/>
          <w:numId w:val="24"/>
        </w:numPr>
        <w:ind w:left="714" w:hanging="357"/>
        <w:contextualSpacing w:val="0"/>
        <w:rPr>
          <w:rFonts w:cs="Arial"/>
        </w:rPr>
      </w:pPr>
      <w:r w:rsidRPr="00925E92">
        <w:rPr>
          <w:rFonts w:cs="Arial"/>
        </w:rPr>
        <w:t xml:space="preserve">In cases where an extraction of such public hospital data from the rest of the data is complex or where an estimate has to be made, the responsible person will need to develop an explicit and clear methodology which will be maintained as part of the data records and which should be available upon request by the Department. </w:t>
      </w:r>
    </w:p>
    <w:p w14:paraId="34A235BD" w14:textId="77777777" w:rsidR="00A90BFE" w:rsidRPr="00925E92" w:rsidRDefault="00A90BFE" w:rsidP="00074BE7">
      <w:pPr>
        <w:pStyle w:val="ListParagraph"/>
        <w:numPr>
          <w:ilvl w:val="0"/>
          <w:numId w:val="24"/>
        </w:numPr>
        <w:ind w:left="714" w:hanging="357"/>
        <w:contextualSpacing w:val="0"/>
        <w:rPr>
          <w:rFonts w:cs="Arial"/>
        </w:rPr>
      </w:pPr>
      <w:r w:rsidRPr="00925E92">
        <w:rPr>
          <w:rFonts w:cs="Arial"/>
        </w:rPr>
        <w:t xml:space="preserve">All other sales of the PBS listed brand of pharmaceutical item </w:t>
      </w:r>
      <w:r w:rsidRPr="00925E92">
        <w:rPr>
          <w:rFonts w:cs="Arial"/>
          <w:b/>
        </w:rPr>
        <w:t>must be included</w:t>
      </w:r>
      <w:r w:rsidRPr="00925E92">
        <w:rPr>
          <w:rFonts w:cs="Arial"/>
        </w:rPr>
        <w:t xml:space="preserve">. This includes sales of pharmaceutical items to </w:t>
      </w:r>
      <w:r w:rsidRPr="00925E92">
        <w:rPr>
          <w:rFonts w:cs="Arial"/>
          <w:b/>
        </w:rPr>
        <w:t>private hospitals</w:t>
      </w:r>
      <w:r w:rsidRPr="00925E92">
        <w:rPr>
          <w:rFonts w:cs="Arial"/>
        </w:rPr>
        <w:t xml:space="preserve"> and other sales that are not public hospital sales. </w:t>
      </w:r>
    </w:p>
    <w:p w14:paraId="4DF473DE" w14:textId="77777777" w:rsidR="00A90BFE" w:rsidRPr="005C6A81" w:rsidRDefault="00A90BFE" w:rsidP="00925E92">
      <w:pPr>
        <w:pStyle w:val="Heading3"/>
        <w:spacing w:before="120"/>
      </w:pPr>
      <w:bookmarkStart w:id="43" w:name="_Toc454283968"/>
      <w:r>
        <w:t>Data Preparation</w:t>
      </w:r>
      <w:bookmarkEnd w:id="43"/>
      <w:r w:rsidRPr="005C6A81">
        <w:t xml:space="preserve"> </w:t>
      </w:r>
    </w:p>
    <w:p w14:paraId="360DEE2E" w14:textId="77777777" w:rsidR="001B5E55" w:rsidRDefault="00A90BFE" w:rsidP="00074BE7">
      <w:pPr>
        <w:pStyle w:val="ListParagraph"/>
        <w:numPr>
          <w:ilvl w:val="0"/>
          <w:numId w:val="24"/>
        </w:numPr>
        <w:ind w:left="714" w:hanging="357"/>
        <w:contextualSpacing w:val="0"/>
        <w:rPr>
          <w:rFonts w:cs="Arial"/>
        </w:rPr>
      </w:pPr>
      <w:r w:rsidRPr="000C7578">
        <w:rPr>
          <w:rFonts w:cs="Arial"/>
        </w:rPr>
        <w:t xml:space="preserve">Responsible persons </w:t>
      </w:r>
      <w:r w:rsidR="001B5E55">
        <w:rPr>
          <w:rFonts w:cs="Arial"/>
        </w:rPr>
        <w:t>must</w:t>
      </w:r>
      <w:r w:rsidRPr="000C7578">
        <w:rPr>
          <w:rFonts w:cs="Arial"/>
        </w:rPr>
        <w:t xml:space="preserve"> </w:t>
      </w:r>
      <w:r>
        <w:rPr>
          <w:rFonts w:cs="Arial"/>
        </w:rPr>
        <w:t xml:space="preserve">work out </w:t>
      </w:r>
      <w:r w:rsidR="00545E6A">
        <w:rPr>
          <w:rFonts w:cs="Arial"/>
        </w:rPr>
        <w:t>the</w:t>
      </w:r>
      <w:r w:rsidR="009F6535">
        <w:rPr>
          <w:rFonts w:cs="Arial"/>
        </w:rPr>
        <w:t xml:space="preserve"> brands of pharmaceutical items for which information</w:t>
      </w:r>
      <w:r w:rsidR="001B5E55">
        <w:rPr>
          <w:rFonts w:cs="Arial"/>
        </w:rPr>
        <w:t xml:space="preserve"> must be collected and submitted. Although the </w:t>
      </w:r>
      <w:r w:rsidR="00A0060B">
        <w:rPr>
          <w:rFonts w:cs="Arial"/>
        </w:rPr>
        <w:t>PDDA</w:t>
      </w:r>
      <w:r w:rsidR="001B5E55">
        <w:rPr>
          <w:rFonts w:cs="Arial"/>
        </w:rPr>
        <w:t xml:space="preserve"> will pre-populate the </w:t>
      </w:r>
      <w:r w:rsidR="00A0060B">
        <w:rPr>
          <w:rFonts w:cs="Arial"/>
        </w:rPr>
        <w:t>PDSU</w:t>
      </w:r>
      <w:r w:rsidR="001B5E55">
        <w:rPr>
          <w:rFonts w:cs="Arial"/>
        </w:rPr>
        <w:t xml:space="preserve"> with brands of pharmaceutical items at the beginning of each submission period, the responsible person must ensure all relevant brands of pharmaceutical items are included</w:t>
      </w:r>
      <w:r w:rsidR="008A6E71">
        <w:rPr>
          <w:rFonts w:cs="Arial"/>
        </w:rPr>
        <w:t xml:space="preserve"> (</w:t>
      </w:r>
      <w:r w:rsidR="0062047E">
        <w:rPr>
          <w:rFonts w:cs="Arial"/>
        </w:rPr>
        <w:t>i.e.</w:t>
      </w:r>
      <w:r w:rsidR="00E200ED">
        <w:rPr>
          <w:rFonts w:cs="Arial"/>
        </w:rPr>
        <w:t>,</w:t>
      </w:r>
      <w:r w:rsidR="008A6E71">
        <w:rPr>
          <w:rFonts w:cs="Arial"/>
        </w:rPr>
        <w:t xml:space="preserve"> all brands with an F2 drug)</w:t>
      </w:r>
      <w:r w:rsidR="001B5E55">
        <w:rPr>
          <w:rFonts w:cs="Arial"/>
        </w:rPr>
        <w:t>.</w:t>
      </w:r>
    </w:p>
    <w:p w14:paraId="4F772F14" w14:textId="77777777" w:rsidR="00925E92" w:rsidRDefault="001B5E55" w:rsidP="00074BE7">
      <w:pPr>
        <w:pStyle w:val="ListParagraph"/>
        <w:numPr>
          <w:ilvl w:val="0"/>
          <w:numId w:val="24"/>
        </w:numPr>
        <w:ind w:left="714" w:hanging="357"/>
        <w:contextualSpacing w:val="0"/>
        <w:rPr>
          <w:rFonts w:cs="Arial"/>
        </w:rPr>
      </w:pPr>
      <w:r>
        <w:rPr>
          <w:rFonts w:cs="Arial"/>
        </w:rPr>
        <w:t xml:space="preserve">The responsible person must ensure </w:t>
      </w:r>
      <w:r w:rsidR="00A90BFE">
        <w:rPr>
          <w:rFonts w:cs="Arial"/>
        </w:rPr>
        <w:t>correct</w:t>
      </w:r>
      <w:r w:rsidR="00925E92">
        <w:rPr>
          <w:rFonts w:cs="Arial"/>
        </w:rPr>
        <w:t xml:space="preserve"> disclosure of:</w:t>
      </w:r>
    </w:p>
    <w:p w14:paraId="2A560056" w14:textId="77777777" w:rsidR="00925E92" w:rsidRDefault="009F6535" w:rsidP="0094356B">
      <w:pPr>
        <w:pStyle w:val="ListParagraph"/>
        <w:numPr>
          <w:ilvl w:val="1"/>
          <w:numId w:val="24"/>
        </w:numPr>
        <w:contextualSpacing w:val="0"/>
        <w:rPr>
          <w:rFonts w:cs="Arial"/>
        </w:rPr>
      </w:pPr>
      <w:r w:rsidRPr="00925E92">
        <w:rPr>
          <w:rFonts w:cs="Arial"/>
        </w:rPr>
        <w:t xml:space="preserve">brand specific information on sales revenue; and </w:t>
      </w:r>
    </w:p>
    <w:p w14:paraId="4057B690" w14:textId="77777777" w:rsidR="001B5E55" w:rsidRPr="00925E92" w:rsidRDefault="009F6535" w:rsidP="0094356B">
      <w:pPr>
        <w:pStyle w:val="ListParagraph"/>
        <w:numPr>
          <w:ilvl w:val="1"/>
          <w:numId w:val="24"/>
        </w:numPr>
        <w:contextualSpacing w:val="0"/>
        <w:rPr>
          <w:rFonts w:cs="Arial"/>
        </w:rPr>
      </w:pPr>
      <w:r w:rsidRPr="00925E92">
        <w:rPr>
          <w:rFonts w:cs="Arial"/>
        </w:rPr>
        <w:t>the volume of the brand sold, based on the number of packs sold</w:t>
      </w:r>
      <w:r w:rsidR="00545E6A" w:rsidRPr="00925E92">
        <w:rPr>
          <w:rFonts w:cs="Arial"/>
        </w:rPr>
        <w:t xml:space="preserve"> (for all pack sizes of a brand of pharmaceutical item, including packs of the brand of pharmaceutical item that are not pack quantities in the PBS listing instrument, but excluding public hospital sales)</w:t>
      </w:r>
      <w:r w:rsidR="001B5E55" w:rsidRPr="00925E92">
        <w:rPr>
          <w:rFonts w:cs="Arial"/>
        </w:rPr>
        <w:t>; and</w:t>
      </w:r>
    </w:p>
    <w:p w14:paraId="00038B8E" w14:textId="77777777" w:rsidR="009F6535" w:rsidRPr="00A0060B" w:rsidRDefault="001B5E55" w:rsidP="0094356B">
      <w:pPr>
        <w:pStyle w:val="ListParagraph"/>
        <w:numPr>
          <w:ilvl w:val="1"/>
          <w:numId w:val="24"/>
        </w:numPr>
        <w:contextualSpacing w:val="0"/>
        <w:rPr>
          <w:rFonts w:cs="Arial"/>
        </w:rPr>
      </w:pPr>
      <w:r>
        <w:rPr>
          <w:rFonts w:cs="Arial"/>
        </w:rPr>
        <w:t xml:space="preserve">apportioning </w:t>
      </w:r>
      <w:r w:rsidRPr="000C7578">
        <w:rPr>
          <w:rFonts w:cs="Arial"/>
        </w:rPr>
        <w:t xml:space="preserve">of </w:t>
      </w:r>
      <w:r>
        <w:rPr>
          <w:rFonts w:cs="Arial"/>
        </w:rPr>
        <w:t xml:space="preserve">the </w:t>
      </w:r>
      <w:r w:rsidRPr="000C7578">
        <w:rPr>
          <w:rFonts w:cs="Arial"/>
        </w:rPr>
        <w:t xml:space="preserve">cost of any brand and non-brand specific incentives relating to </w:t>
      </w:r>
      <w:r>
        <w:rPr>
          <w:rFonts w:cs="Arial"/>
        </w:rPr>
        <w:t>a</w:t>
      </w:r>
      <w:r w:rsidRPr="000C7578">
        <w:rPr>
          <w:rFonts w:cs="Arial"/>
        </w:rPr>
        <w:t xml:space="preserve"> brand subject to</w:t>
      </w:r>
      <w:r>
        <w:rPr>
          <w:rFonts w:cs="Arial"/>
        </w:rPr>
        <w:t xml:space="preserve"> disclosure (more information provided below).</w:t>
      </w:r>
    </w:p>
    <w:p w14:paraId="230D86E0" w14:textId="77777777" w:rsidR="00A90BFE" w:rsidRPr="00545E6A" w:rsidRDefault="00A90BFE" w:rsidP="00D63819">
      <w:pPr>
        <w:pStyle w:val="ListParagraph"/>
        <w:numPr>
          <w:ilvl w:val="0"/>
          <w:numId w:val="24"/>
        </w:numPr>
        <w:ind w:left="850" w:hanging="493"/>
        <w:contextualSpacing w:val="0"/>
        <w:rPr>
          <w:rFonts w:cs="Arial"/>
        </w:rPr>
      </w:pPr>
      <w:r w:rsidRPr="00545E6A">
        <w:rPr>
          <w:rFonts w:cs="Arial"/>
        </w:rPr>
        <w:lastRenderedPageBreak/>
        <w:t xml:space="preserve">Responsible persons should use their own methodologies for extracting the required data. Responsible persons should ensure that appropriate methodologies for extracting and/or estimating data have been developed, documented and applied </w:t>
      </w:r>
      <w:r w:rsidRPr="00545E6A">
        <w:rPr>
          <w:rFonts w:cs="Arial"/>
        </w:rPr>
        <w:br/>
        <w:t xml:space="preserve">in a consistent manner. </w:t>
      </w:r>
    </w:p>
    <w:p w14:paraId="58FC135F" w14:textId="77777777" w:rsidR="00A90BFE" w:rsidRPr="000C7578" w:rsidRDefault="00A90BFE" w:rsidP="00D63819">
      <w:pPr>
        <w:pStyle w:val="ListParagraph"/>
        <w:numPr>
          <w:ilvl w:val="0"/>
          <w:numId w:val="24"/>
        </w:numPr>
        <w:ind w:left="850" w:hanging="493"/>
        <w:contextualSpacing w:val="0"/>
        <w:rPr>
          <w:rFonts w:cs="Arial"/>
        </w:rPr>
      </w:pPr>
      <w:r w:rsidRPr="000C7578">
        <w:rPr>
          <w:rFonts w:cs="Arial"/>
        </w:rPr>
        <w:t xml:space="preserve">The Department may request that a responsible person agrees to participate in an audit of their price disclosure data and methodologies. This may involve the Department or its appointed auditor </w:t>
      </w:r>
      <w:r w:rsidR="00772262">
        <w:rPr>
          <w:rFonts w:cs="Arial"/>
        </w:rPr>
        <w:t xml:space="preserve">seeking answers to questions, and/or </w:t>
      </w:r>
      <w:r w:rsidRPr="000C7578">
        <w:rPr>
          <w:rFonts w:cs="Arial"/>
        </w:rPr>
        <w:t xml:space="preserve">checking business records against the </w:t>
      </w:r>
      <w:r w:rsidR="00772262">
        <w:rPr>
          <w:rFonts w:cs="Arial"/>
        </w:rPr>
        <w:t xml:space="preserve">submitted </w:t>
      </w:r>
      <w:r w:rsidRPr="000C7578">
        <w:rPr>
          <w:rFonts w:cs="Arial"/>
        </w:rPr>
        <w:t xml:space="preserve">disclosure statements. Responsible persons should therefore complete their submissions carefully and keep adequate records to support their submissions. </w:t>
      </w:r>
    </w:p>
    <w:p w14:paraId="597FFC90" w14:textId="77777777" w:rsidR="00A90BFE" w:rsidRPr="00D113AE" w:rsidRDefault="00772262" w:rsidP="00925E92">
      <w:pPr>
        <w:pStyle w:val="Heading4"/>
        <w:spacing w:before="120"/>
      </w:pPr>
      <w:r>
        <w:t>A</w:t>
      </w:r>
      <w:r w:rsidR="00A90BFE" w:rsidRPr="00D113AE">
        <w:t xml:space="preserve">pportioning the cost of any incentives relating to a brand </w:t>
      </w:r>
    </w:p>
    <w:p w14:paraId="1E0908C4" w14:textId="77777777" w:rsidR="00A90BFE" w:rsidRPr="000C7578" w:rsidRDefault="00A90BFE" w:rsidP="00D63819">
      <w:pPr>
        <w:pStyle w:val="ListParagraph"/>
        <w:numPr>
          <w:ilvl w:val="0"/>
          <w:numId w:val="24"/>
        </w:numPr>
        <w:ind w:left="851" w:hanging="494"/>
        <w:contextualSpacing w:val="0"/>
        <w:rPr>
          <w:rFonts w:cs="Arial"/>
        </w:rPr>
      </w:pPr>
      <w:r w:rsidRPr="000C7578">
        <w:rPr>
          <w:rFonts w:cs="Arial"/>
        </w:rPr>
        <w:t xml:space="preserve">Responsible persons are responsible to ensure accurate collection of any specific incentives that apply to the brand. </w:t>
      </w:r>
    </w:p>
    <w:p w14:paraId="5BA2029F" w14:textId="77777777" w:rsidR="00A90BFE" w:rsidRPr="000C7578" w:rsidRDefault="00A90BFE" w:rsidP="00587FC2">
      <w:pPr>
        <w:pStyle w:val="ListParagraph"/>
        <w:numPr>
          <w:ilvl w:val="0"/>
          <w:numId w:val="24"/>
        </w:numPr>
        <w:ind w:left="851" w:hanging="494"/>
        <w:contextualSpacing w:val="0"/>
        <w:rPr>
          <w:rFonts w:cs="Arial"/>
        </w:rPr>
      </w:pPr>
      <w:r w:rsidRPr="000C7578">
        <w:rPr>
          <w:rFonts w:cs="Arial"/>
        </w:rPr>
        <w:t xml:space="preserve">Responsible persons are also responsible </w:t>
      </w:r>
      <w:r w:rsidR="00772262">
        <w:rPr>
          <w:rFonts w:cs="Arial"/>
        </w:rPr>
        <w:t>for</w:t>
      </w:r>
      <w:r w:rsidRPr="000C7578">
        <w:rPr>
          <w:rFonts w:cs="Arial"/>
        </w:rPr>
        <w:t xml:space="preserve"> apportioning incentives that apply across more than one brand and/or form, using their own methodologies. These methodologies should be reasonable and well documented. </w:t>
      </w:r>
    </w:p>
    <w:p w14:paraId="714B692C" w14:textId="77777777" w:rsidR="008A6E71" w:rsidRDefault="008A6E71" w:rsidP="00925E92">
      <w:pPr>
        <w:rPr>
          <w:rFonts w:cs="Arial"/>
          <w:i/>
        </w:rPr>
      </w:pPr>
    </w:p>
    <w:p w14:paraId="750EADE6" w14:textId="77777777" w:rsidR="00A90BFE" w:rsidRDefault="00A90BFE" w:rsidP="00925E92">
      <w:pPr>
        <w:rPr>
          <w:rFonts w:cs="Arial"/>
          <w:i/>
        </w:rPr>
      </w:pPr>
      <w:r w:rsidRPr="00386169">
        <w:rPr>
          <w:rFonts w:cs="Arial"/>
          <w:i/>
        </w:rPr>
        <w:t xml:space="preserve">The following example demonstrates how a responsible person may wish to apportion incentives, which apply to more than one form, across those forms. </w:t>
      </w:r>
    </w:p>
    <w:p w14:paraId="4F324691" w14:textId="77777777" w:rsidR="008A6E71" w:rsidRPr="00386169" w:rsidRDefault="008A6E71" w:rsidP="00925E9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EXAMPLE - Incentive Data for Zeus® oral brands (as submitted by Dionysius Pty Ltd) "/>
      </w:tblPr>
      <w:tblGrid>
        <w:gridCol w:w="2273"/>
        <w:gridCol w:w="2321"/>
        <w:gridCol w:w="2321"/>
        <w:gridCol w:w="2328"/>
      </w:tblGrid>
      <w:tr w:rsidR="00A90BFE" w:rsidRPr="00BB28F3" w14:paraId="1F4DCDF0" w14:textId="77777777" w:rsidTr="00BB28F3">
        <w:tc>
          <w:tcPr>
            <w:tcW w:w="9243" w:type="dxa"/>
            <w:gridSpan w:val="4"/>
            <w:shd w:val="clear" w:color="auto" w:fill="17365D"/>
          </w:tcPr>
          <w:p w14:paraId="56CA05D0" w14:textId="77777777" w:rsidR="00A90BFE" w:rsidRPr="00BB28F3" w:rsidRDefault="00A90BFE" w:rsidP="00074BE7">
            <w:pPr>
              <w:spacing w:after="120" w:line="240" w:lineRule="auto"/>
              <w:rPr>
                <w:rFonts w:cs="Arial"/>
                <w:b/>
                <w:color w:val="FFFFFF"/>
              </w:rPr>
            </w:pPr>
            <w:r w:rsidRPr="00BB28F3">
              <w:rPr>
                <w:rFonts w:cs="Arial"/>
                <w:b/>
                <w:color w:val="FFFFFF"/>
              </w:rPr>
              <w:t xml:space="preserve">EXAMPLE - </w:t>
            </w:r>
            <w:r w:rsidRPr="00BB28F3">
              <w:rPr>
                <w:rFonts w:cs="Arial"/>
                <w:b/>
                <w:i/>
                <w:color w:val="FFFFFF"/>
              </w:rPr>
              <w:t xml:space="preserve">Incentive Data for Zeus® </w:t>
            </w:r>
            <w:r w:rsidR="008A6E71" w:rsidRPr="00BB28F3">
              <w:rPr>
                <w:rFonts w:cs="Arial"/>
                <w:b/>
                <w:i/>
                <w:color w:val="FFFFFF"/>
              </w:rPr>
              <w:t xml:space="preserve">oral brands </w:t>
            </w:r>
            <w:r w:rsidRPr="00BB28F3">
              <w:rPr>
                <w:rFonts w:cs="Arial"/>
                <w:b/>
                <w:i/>
                <w:color w:val="FFFFFF"/>
              </w:rPr>
              <w:t>(as submitted by Dionysius Pty Ltd)</w:t>
            </w:r>
            <w:r w:rsidRPr="00BB28F3">
              <w:rPr>
                <w:rFonts w:cs="Arial"/>
                <w:b/>
                <w:color w:val="FFFFFF"/>
              </w:rPr>
              <w:t xml:space="preserve"> </w:t>
            </w:r>
          </w:p>
        </w:tc>
      </w:tr>
      <w:tr w:rsidR="0018413E" w:rsidRPr="00BB28F3" w14:paraId="6DBD8DEE" w14:textId="77777777" w:rsidTr="00BB28F3">
        <w:tblPrEx>
          <w:shd w:val="clear" w:color="auto" w:fill="auto"/>
        </w:tblPrEx>
        <w:tc>
          <w:tcPr>
            <w:tcW w:w="2273" w:type="dxa"/>
            <w:shd w:val="clear" w:color="auto" w:fill="8DB3E2"/>
            <w:vAlign w:val="center"/>
          </w:tcPr>
          <w:p w14:paraId="06E22DB5" w14:textId="77777777" w:rsidR="00A90BFE" w:rsidRPr="00BB28F3" w:rsidRDefault="00A90BFE" w:rsidP="00BB28F3">
            <w:pPr>
              <w:spacing w:line="240" w:lineRule="auto"/>
              <w:jc w:val="center"/>
              <w:rPr>
                <w:rFonts w:cs="Arial"/>
                <w:b/>
                <w:sz w:val="20"/>
                <w:szCs w:val="20"/>
              </w:rPr>
            </w:pPr>
            <w:r w:rsidRPr="00BB28F3">
              <w:rPr>
                <w:rFonts w:cs="Arial"/>
                <w:b/>
                <w:sz w:val="20"/>
                <w:szCs w:val="20"/>
              </w:rPr>
              <w:t>Brand and Form</w:t>
            </w:r>
          </w:p>
        </w:tc>
        <w:tc>
          <w:tcPr>
            <w:tcW w:w="2321" w:type="dxa"/>
            <w:shd w:val="clear" w:color="auto" w:fill="8DB3E2"/>
            <w:vAlign w:val="center"/>
          </w:tcPr>
          <w:p w14:paraId="2E00311A" w14:textId="77777777" w:rsidR="00A90BFE" w:rsidRPr="00BB28F3" w:rsidRDefault="00A90BFE" w:rsidP="00BB28F3">
            <w:pPr>
              <w:spacing w:line="240" w:lineRule="auto"/>
              <w:jc w:val="center"/>
              <w:rPr>
                <w:rFonts w:cs="Arial"/>
                <w:b/>
                <w:sz w:val="20"/>
                <w:szCs w:val="20"/>
              </w:rPr>
            </w:pPr>
            <w:r w:rsidRPr="00BB28F3">
              <w:rPr>
                <w:rFonts w:cs="Arial"/>
                <w:b/>
                <w:sz w:val="20"/>
                <w:szCs w:val="20"/>
              </w:rPr>
              <w:t>Brand specific Incentives</w:t>
            </w:r>
          </w:p>
        </w:tc>
        <w:tc>
          <w:tcPr>
            <w:tcW w:w="2321" w:type="dxa"/>
            <w:shd w:val="clear" w:color="auto" w:fill="8DB3E2"/>
            <w:vAlign w:val="center"/>
          </w:tcPr>
          <w:p w14:paraId="58687CB3" w14:textId="77777777" w:rsidR="00A90BFE" w:rsidRPr="00BB28F3" w:rsidRDefault="00A90BFE" w:rsidP="00BB28F3">
            <w:pPr>
              <w:spacing w:line="240" w:lineRule="auto"/>
              <w:jc w:val="center"/>
              <w:rPr>
                <w:rFonts w:cs="Arial"/>
                <w:b/>
                <w:sz w:val="20"/>
                <w:szCs w:val="20"/>
              </w:rPr>
            </w:pPr>
            <w:r w:rsidRPr="00BB28F3">
              <w:rPr>
                <w:rFonts w:cs="Arial"/>
                <w:b/>
                <w:sz w:val="20"/>
                <w:szCs w:val="20"/>
              </w:rPr>
              <w:t>Incentives that apply to multiple brands and/or forms</w:t>
            </w:r>
          </w:p>
        </w:tc>
        <w:tc>
          <w:tcPr>
            <w:tcW w:w="2328" w:type="dxa"/>
            <w:shd w:val="clear" w:color="auto" w:fill="8DB3E2"/>
            <w:vAlign w:val="center"/>
          </w:tcPr>
          <w:p w14:paraId="3B84B917" w14:textId="77777777" w:rsidR="00A90BFE" w:rsidRPr="00BB28F3" w:rsidRDefault="00A90BFE" w:rsidP="00BB28F3">
            <w:pPr>
              <w:spacing w:line="240" w:lineRule="auto"/>
              <w:jc w:val="center"/>
              <w:rPr>
                <w:rFonts w:cs="Arial"/>
                <w:b/>
                <w:sz w:val="20"/>
                <w:szCs w:val="20"/>
              </w:rPr>
            </w:pPr>
            <w:r w:rsidRPr="00BB28F3">
              <w:rPr>
                <w:rFonts w:cs="Arial"/>
                <w:b/>
                <w:sz w:val="20"/>
                <w:szCs w:val="20"/>
              </w:rPr>
              <w:t>Sales revenue</w:t>
            </w:r>
          </w:p>
        </w:tc>
      </w:tr>
      <w:tr w:rsidR="0018413E" w:rsidRPr="00BB28F3" w14:paraId="3691C1E4" w14:textId="77777777" w:rsidTr="00BB28F3">
        <w:tblPrEx>
          <w:shd w:val="clear" w:color="auto" w:fill="auto"/>
        </w:tblPrEx>
        <w:trPr>
          <w:trHeight w:val="174"/>
        </w:trPr>
        <w:tc>
          <w:tcPr>
            <w:tcW w:w="2273" w:type="dxa"/>
            <w:shd w:val="clear" w:color="auto" w:fill="auto"/>
            <w:vAlign w:val="center"/>
          </w:tcPr>
          <w:p w14:paraId="1BFAD6DA" w14:textId="77777777" w:rsidR="00A90BFE" w:rsidRPr="00BB28F3" w:rsidRDefault="00A90BFE" w:rsidP="00BB28F3">
            <w:pPr>
              <w:spacing w:line="240" w:lineRule="auto"/>
              <w:jc w:val="center"/>
              <w:rPr>
                <w:rFonts w:cs="Arial"/>
                <w:sz w:val="20"/>
                <w:szCs w:val="20"/>
              </w:rPr>
            </w:pPr>
            <w:r w:rsidRPr="00BB28F3">
              <w:rPr>
                <w:rFonts w:cs="Arial"/>
                <w:sz w:val="20"/>
                <w:szCs w:val="20"/>
              </w:rPr>
              <w:t>Zeus tablet 25 mg</w:t>
            </w:r>
          </w:p>
        </w:tc>
        <w:tc>
          <w:tcPr>
            <w:tcW w:w="2321" w:type="dxa"/>
            <w:shd w:val="clear" w:color="auto" w:fill="auto"/>
            <w:vAlign w:val="center"/>
          </w:tcPr>
          <w:p w14:paraId="0111388C" w14:textId="77777777" w:rsidR="00A90BFE" w:rsidRPr="00BB28F3" w:rsidRDefault="00A90BFE" w:rsidP="00BB28F3">
            <w:pPr>
              <w:spacing w:line="240" w:lineRule="auto"/>
              <w:jc w:val="center"/>
              <w:rPr>
                <w:rFonts w:cs="Arial"/>
                <w:sz w:val="20"/>
                <w:szCs w:val="20"/>
              </w:rPr>
            </w:pPr>
            <w:r w:rsidRPr="00BB28F3">
              <w:rPr>
                <w:rFonts w:cs="Arial"/>
                <w:sz w:val="20"/>
                <w:szCs w:val="20"/>
              </w:rPr>
              <w:t>$653,084</w:t>
            </w:r>
          </w:p>
        </w:tc>
        <w:tc>
          <w:tcPr>
            <w:tcW w:w="2321" w:type="dxa"/>
            <w:shd w:val="clear" w:color="auto" w:fill="auto"/>
            <w:vAlign w:val="center"/>
          </w:tcPr>
          <w:p w14:paraId="0CB3140D"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8" w:type="dxa"/>
            <w:shd w:val="clear" w:color="auto" w:fill="auto"/>
            <w:vAlign w:val="center"/>
          </w:tcPr>
          <w:p w14:paraId="4D14EB40" w14:textId="77777777" w:rsidR="00A90BFE" w:rsidRPr="00BB28F3" w:rsidRDefault="00A90BFE" w:rsidP="00BB28F3">
            <w:pPr>
              <w:spacing w:line="240" w:lineRule="auto"/>
              <w:jc w:val="center"/>
              <w:rPr>
                <w:rFonts w:cs="Arial"/>
                <w:sz w:val="20"/>
                <w:szCs w:val="20"/>
              </w:rPr>
            </w:pPr>
            <w:r w:rsidRPr="00BB28F3">
              <w:rPr>
                <w:rFonts w:cs="Arial"/>
                <w:sz w:val="20"/>
                <w:szCs w:val="20"/>
              </w:rPr>
              <w:t>$2,245,049</w:t>
            </w:r>
          </w:p>
        </w:tc>
      </w:tr>
      <w:tr w:rsidR="0018413E" w:rsidRPr="00BB28F3" w14:paraId="22C98BD9" w14:textId="77777777" w:rsidTr="00BB28F3">
        <w:tblPrEx>
          <w:shd w:val="clear" w:color="auto" w:fill="auto"/>
        </w:tblPrEx>
        <w:tc>
          <w:tcPr>
            <w:tcW w:w="2273" w:type="dxa"/>
            <w:shd w:val="clear" w:color="auto" w:fill="auto"/>
            <w:vAlign w:val="center"/>
          </w:tcPr>
          <w:p w14:paraId="10C81C80" w14:textId="77777777" w:rsidR="00A90BFE" w:rsidRPr="00BB28F3" w:rsidRDefault="00A90BFE" w:rsidP="00BB28F3">
            <w:pPr>
              <w:spacing w:line="240" w:lineRule="auto"/>
              <w:jc w:val="center"/>
              <w:rPr>
                <w:rFonts w:cs="Arial"/>
                <w:sz w:val="20"/>
                <w:szCs w:val="20"/>
              </w:rPr>
            </w:pPr>
            <w:r w:rsidRPr="00BB28F3">
              <w:rPr>
                <w:rFonts w:cs="Arial"/>
                <w:sz w:val="20"/>
                <w:szCs w:val="20"/>
              </w:rPr>
              <w:t>Zeus tablet 50 mg</w:t>
            </w:r>
          </w:p>
        </w:tc>
        <w:tc>
          <w:tcPr>
            <w:tcW w:w="2321" w:type="dxa"/>
            <w:shd w:val="clear" w:color="auto" w:fill="auto"/>
            <w:vAlign w:val="center"/>
          </w:tcPr>
          <w:p w14:paraId="67FA17B7" w14:textId="77777777" w:rsidR="00A90BFE" w:rsidRPr="00BB28F3" w:rsidRDefault="00A90BFE" w:rsidP="00BB28F3">
            <w:pPr>
              <w:spacing w:line="240" w:lineRule="auto"/>
              <w:jc w:val="center"/>
              <w:rPr>
                <w:rFonts w:cs="Arial"/>
                <w:sz w:val="20"/>
                <w:szCs w:val="20"/>
              </w:rPr>
            </w:pPr>
            <w:r w:rsidRPr="00BB28F3">
              <w:rPr>
                <w:rFonts w:cs="Arial"/>
                <w:sz w:val="20"/>
                <w:szCs w:val="20"/>
              </w:rPr>
              <w:t>$10,000</w:t>
            </w:r>
          </w:p>
        </w:tc>
        <w:tc>
          <w:tcPr>
            <w:tcW w:w="2321" w:type="dxa"/>
            <w:shd w:val="clear" w:color="auto" w:fill="auto"/>
            <w:vAlign w:val="center"/>
          </w:tcPr>
          <w:p w14:paraId="006CB0AF"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8" w:type="dxa"/>
            <w:shd w:val="clear" w:color="auto" w:fill="auto"/>
            <w:vAlign w:val="center"/>
          </w:tcPr>
          <w:p w14:paraId="64C2DDF2" w14:textId="77777777" w:rsidR="00A90BFE" w:rsidRPr="00BB28F3" w:rsidRDefault="00A90BFE" w:rsidP="00BB28F3">
            <w:pPr>
              <w:spacing w:line="240" w:lineRule="auto"/>
              <w:jc w:val="center"/>
              <w:rPr>
                <w:rFonts w:cs="Arial"/>
                <w:sz w:val="20"/>
                <w:szCs w:val="20"/>
              </w:rPr>
            </w:pPr>
            <w:r w:rsidRPr="00BB28F3">
              <w:rPr>
                <w:rFonts w:cs="Arial"/>
                <w:sz w:val="20"/>
                <w:szCs w:val="20"/>
              </w:rPr>
              <w:t>$2,254,951</w:t>
            </w:r>
          </w:p>
        </w:tc>
      </w:tr>
      <w:tr w:rsidR="0018413E" w:rsidRPr="00BB28F3" w14:paraId="454FFED4" w14:textId="77777777" w:rsidTr="00BB28F3">
        <w:tblPrEx>
          <w:shd w:val="clear" w:color="auto" w:fill="auto"/>
        </w:tblPrEx>
        <w:tc>
          <w:tcPr>
            <w:tcW w:w="2273" w:type="dxa"/>
            <w:shd w:val="clear" w:color="auto" w:fill="auto"/>
            <w:vAlign w:val="center"/>
          </w:tcPr>
          <w:p w14:paraId="2906B73C" w14:textId="77777777" w:rsidR="00A90BFE" w:rsidRPr="00BB28F3" w:rsidRDefault="00A90BFE" w:rsidP="00BB28F3">
            <w:pPr>
              <w:spacing w:line="240" w:lineRule="auto"/>
              <w:jc w:val="center"/>
              <w:rPr>
                <w:rFonts w:cs="Arial"/>
                <w:b/>
                <w:sz w:val="20"/>
                <w:szCs w:val="20"/>
              </w:rPr>
            </w:pPr>
            <w:r w:rsidRPr="00BB28F3">
              <w:rPr>
                <w:rFonts w:cs="Arial"/>
                <w:b/>
                <w:sz w:val="20"/>
                <w:szCs w:val="20"/>
              </w:rPr>
              <w:t>Zeus (Overall)</w:t>
            </w:r>
          </w:p>
        </w:tc>
        <w:tc>
          <w:tcPr>
            <w:tcW w:w="2321" w:type="dxa"/>
            <w:shd w:val="clear" w:color="auto" w:fill="auto"/>
            <w:vAlign w:val="center"/>
          </w:tcPr>
          <w:p w14:paraId="01B04381" w14:textId="77777777" w:rsidR="00A90BFE" w:rsidRPr="00BB28F3" w:rsidRDefault="00A90BFE" w:rsidP="00BB28F3">
            <w:pPr>
              <w:spacing w:line="240" w:lineRule="auto"/>
              <w:jc w:val="center"/>
              <w:rPr>
                <w:rFonts w:cs="Arial"/>
                <w:sz w:val="20"/>
                <w:szCs w:val="20"/>
              </w:rPr>
            </w:pPr>
            <w:r w:rsidRPr="00BB28F3">
              <w:rPr>
                <w:rFonts w:cs="Arial"/>
                <w:sz w:val="20"/>
                <w:szCs w:val="20"/>
              </w:rPr>
              <w:t>N/A</w:t>
            </w:r>
          </w:p>
        </w:tc>
        <w:tc>
          <w:tcPr>
            <w:tcW w:w="2321" w:type="dxa"/>
            <w:shd w:val="clear" w:color="auto" w:fill="auto"/>
            <w:vAlign w:val="center"/>
          </w:tcPr>
          <w:p w14:paraId="621A6302" w14:textId="77777777" w:rsidR="00A90BFE" w:rsidRPr="00BB28F3" w:rsidRDefault="00A90BFE" w:rsidP="00BB28F3">
            <w:pPr>
              <w:spacing w:line="240" w:lineRule="auto"/>
              <w:jc w:val="center"/>
              <w:rPr>
                <w:rFonts w:cs="Arial"/>
                <w:sz w:val="20"/>
                <w:szCs w:val="20"/>
              </w:rPr>
            </w:pPr>
            <w:r w:rsidRPr="00BB28F3">
              <w:rPr>
                <w:rFonts w:cs="Arial"/>
                <w:sz w:val="20"/>
                <w:szCs w:val="20"/>
              </w:rPr>
              <w:t>$150,000</w:t>
            </w:r>
          </w:p>
        </w:tc>
        <w:tc>
          <w:tcPr>
            <w:tcW w:w="2328" w:type="dxa"/>
            <w:shd w:val="clear" w:color="auto" w:fill="auto"/>
            <w:vAlign w:val="center"/>
          </w:tcPr>
          <w:p w14:paraId="295537F2" w14:textId="77777777" w:rsidR="00A90BFE" w:rsidRPr="00BB28F3" w:rsidRDefault="00A90BFE" w:rsidP="00BB28F3">
            <w:pPr>
              <w:spacing w:line="240" w:lineRule="auto"/>
              <w:jc w:val="center"/>
              <w:rPr>
                <w:rFonts w:cs="Arial"/>
                <w:sz w:val="20"/>
                <w:szCs w:val="20"/>
              </w:rPr>
            </w:pPr>
            <w:r w:rsidRPr="00BB28F3">
              <w:rPr>
                <w:rFonts w:cs="Arial"/>
                <w:sz w:val="20"/>
                <w:szCs w:val="20"/>
              </w:rPr>
              <w:t>$4,500,000</w:t>
            </w:r>
          </w:p>
        </w:tc>
      </w:tr>
    </w:tbl>
    <w:p w14:paraId="28EFE289" w14:textId="77777777" w:rsidR="00A90BFE" w:rsidRPr="0087798B" w:rsidRDefault="00A90BFE" w:rsidP="00925E92">
      <w:pPr>
        <w:rPr>
          <w:rFonts w:cs="Arial"/>
          <w:sz w:val="20"/>
          <w:szCs w:val="20"/>
        </w:rPr>
      </w:pPr>
      <w:r w:rsidRPr="0087798B">
        <w:rPr>
          <w:rFonts w:cs="Arial"/>
        </w:rPr>
        <w:t>Apportioning the incentives that apply to Zeus overall to Zeus tablet 25 mg: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
        <w:gridCol w:w="1560"/>
        <w:gridCol w:w="1417"/>
        <w:gridCol w:w="1276"/>
      </w:tblGrid>
      <w:tr w:rsidR="0018413E" w:rsidRPr="00BB28F3" w14:paraId="17760CD9" w14:textId="77777777" w:rsidTr="00BB28F3">
        <w:trPr>
          <w:trHeight w:val="341"/>
        </w:trPr>
        <w:tc>
          <w:tcPr>
            <w:tcW w:w="1526" w:type="dxa"/>
            <w:vMerge w:val="restart"/>
            <w:tcBorders>
              <w:top w:val="nil"/>
              <w:left w:val="nil"/>
              <w:bottom w:val="nil"/>
              <w:right w:val="nil"/>
            </w:tcBorders>
            <w:shd w:val="clear" w:color="auto" w:fill="auto"/>
            <w:vAlign w:val="center"/>
          </w:tcPr>
          <w:p w14:paraId="15D25B3E" w14:textId="77777777" w:rsidR="00A90BFE" w:rsidRPr="00BB28F3" w:rsidRDefault="00A90BFE" w:rsidP="00BB28F3">
            <w:pPr>
              <w:spacing w:line="240" w:lineRule="auto"/>
              <w:rPr>
                <w:rFonts w:cs="Arial"/>
                <w:b/>
                <w:sz w:val="20"/>
                <w:szCs w:val="20"/>
              </w:rPr>
            </w:pPr>
            <w:r w:rsidRPr="00BB28F3">
              <w:rPr>
                <w:rFonts w:cs="Arial"/>
                <w:b/>
                <w:sz w:val="20"/>
                <w:szCs w:val="20"/>
              </w:rPr>
              <w:t xml:space="preserve">I </w:t>
            </w:r>
            <w:r w:rsidRPr="00BB28F3">
              <w:rPr>
                <w:rFonts w:cs="Arial"/>
                <w:b/>
                <w:i/>
                <w:sz w:val="20"/>
                <w:szCs w:val="20"/>
                <w:vertAlign w:val="subscript"/>
              </w:rPr>
              <w:t>T(Z25)</w:t>
            </w:r>
            <w:r w:rsidRPr="00BB28F3">
              <w:rPr>
                <w:rFonts w:cs="Arial"/>
                <w:b/>
                <w:sz w:val="20"/>
                <w:szCs w:val="20"/>
              </w:rPr>
              <w:t xml:space="preserve"> = I</w:t>
            </w:r>
            <w:r w:rsidRPr="00BB28F3">
              <w:rPr>
                <w:rFonts w:cs="Arial"/>
                <w:b/>
                <w:i/>
                <w:sz w:val="20"/>
                <w:szCs w:val="20"/>
                <w:vertAlign w:val="subscript"/>
              </w:rPr>
              <w:t>T</w:t>
            </w:r>
            <w:r w:rsidRPr="00BB28F3">
              <w:rPr>
                <w:rFonts w:cs="Arial"/>
                <w:b/>
                <w:sz w:val="20"/>
                <w:szCs w:val="20"/>
              </w:rPr>
              <w:t xml:space="preserve"> × </w:t>
            </w:r>
          </w:p>
        </w:tc>
        <w:tc>
          <w:tcPr>
            <w:tcW w:w="850" w:type="dxa"/>
            <w:tcBorders>
              <w:top w:val="nil"/>
              <w:left w:val="nil"/>
              <w:bottom w:val="single" w:sz="12" w:space="0" w:color="auto"/>
              <w:right w:val="nil"/>
            </w:tcBorders>
            <w:shd w:val="clear" w:color="auto" w:fill="auto"/>
          </w:tcPr>
          <w:p w14:paraId="42031936" w14:textId="77777777" w:rsidR="00A90BFE" w:rsidRPr="00BB28F3" w:rsidRDefault="00A90BFE" w:rsidP="00BB28F3">
            <w:pPr>
              <w:spacing w:line="240" w:lineRule="auto"/>
              <w:jc w:val="center"/>
              <w:rPr>
                <w:rFonts w:cs="Arial"/>
                <w:b/>
                <w:sz w:val="20"/>
                <w:szCs w:val="20"/>
              </w:rPr>
            </w:pPr>
            <w:r w:rsidRPr="00BB28F3">
              <w:rPr>
                <w:rFonts w:cs="Arial"/>
                <w:b/>
                <w:sz w:val="20"/>
                <w:szCs w:val="20"/>
              </w:rPr>
              <w:t>S</w:t>
            </w:r>
            <w:r w:rsidRPr="00BB28F3">
              <w:rPr>
                <w:rFonts w:cs="Arial"/>
                <w:b/>
                <w:i/>
                <w:sz w:val="20"/>
                <w:szCs w:val="20"/>
                <w:vertAlign w:val="subscript"/>
              </w:rPr>
              <w:t>Z25</w:t>
            </w:r>
          </w:p>
        </w:tc>
        <w:tc>
          <w:tcPr>
            <w:tcW w:w="1560" w:type="dxa"/>
            <w:vMerge w:val="restart"/>
            <w:tcBorders>
              <w:top w:val="nil"/>
              <w:left w:val="nil"/>
              <w:bottom w:val="nil"/>
              <w:right w:val="nil"/>
            </w:tcBorders>
            <w:shd w:val="clear" w:color="auto" w:fill="auto"/>
            <w:vAlign w:val="center"/>
          </w:tcPr>
          <w:p w14:paraId="0BEB1598" w14:textId="77777777" w:rsidR="00A90BFE" w:rsidRPr="00BB28F3" w:rsidRDefault="00A90BFE" w:rsidP="00BB28F3">
            <w:pPr>
              <w:spacing w:line="240" w:lineRule="auto"/>
              <w:rPr>
                <w:rFonts w:cs="Arial"/>
                <w:b/>
                <w:sz w:val="20"/>
                <w:szCs w:val="20"/>
              </w:rPr>
            </w:pPr>
            <w:r w:rsidRPr="00BB28F3">
              <w:rPr>
                <w:rFonts w:cs="Arial"/>
                <w:b/>
                <w:sz w:val="20"/>
                <w:szCs w:val="20"/>
              </w:rPr>
              <w:t>= $150,000 ×</w:t>
            </w:r>
          </w:p>
        </w:tc>
        <w:tc>
          <w:tcPr>
            <w:tcW w:w="1417" w:type="dxa"/>
            <w:tcBorders>
              <w:top w:val="nil"/>
              <w:left w:val="nil"/>
              <w:bottom w:val="single" w:sz="12" w:space="0" w:color="auto"/>
              <w:right w:val="nil"/>
            </w:tcBorders>
            <w:shd w:val="clear" w:color="auto" w:fill="auto"/>
          </w:tcPr>
          <w:p w14:paraId="54A82E0D" w14:textId="77777777" w:rsidR="00A90BFE" w:rsidRPr="00BB28F3" w:rsidRDefault="00A90BFE" w:rsidP="00BB28F3">
            <w:pPr>
              <w:spacing w:line="240" w:lineRule="auto"/>
              <w:jc w:val="center"/>
              <w:rPr>
                <w:rFonts w:cs="Arial"/>
                <w:b/>
                <w:sz w:val="20"/>
                <w:szCs w:val="20"/>
              </w:rPr>
            </w:pPr>
            <w:r w:rsidRPr="00BB28F3">
              <w:rPr>
                <w:rFonts w:cs="Arial"/>
                <w:b/>
                <w:sz w:val="20"/>
                <w:szCs w:val="20"/>
              </w:rPr>
              <w:t>$2,245,049</w:t>
            </w:r>
          </w:p>
        </w:tc>
        <w:tc>
          <w:tcPr>
            <w:tcW w:w="1276" w:type="dxa"/>
            <w:vMerge w:val="restart"/>
            <w:tcBorders>
              <w:top w:val="nil"/>
              <w:left w:val="nil"/>
              <w:bottom w:val="nil"/>
              <w:right w:val="nil"/>
            </w:tcBorders>
            <w:shd w:val="clear" w:color="auto" w:fill="auto"/>
            <w:vAlign w:val="center"/>
          </w:tcPr>
          <w:p w14:paraId="52FB8DA6" w14:textId="77777777" w:rsidR="00A90BFE" w:rsidRPr="00BB28F3" w:rsidRDefault="00A90BFE" w:rsidP="00BB28F3">
            <w:pPr>
              <w:spacing w:line="240" w:lineRule="auto"/>
              <w:rPr>
                <w:rFonts w:cs="Arial"/>
                <w:b/>
                <w:sz w:val="20"/>
                <w:szCs w:val="20"/>
              </w:rPr>
            </w:pPr>
            <w:r w:rsidRPr="00BB28F3">
              <w:rPr>
                <w:rFonts w:cs="Arial"/>
                <w:b/>
                <w:sz w:val="20"/>
                <w:szCs w:val="20"/>
              </w:rPr>
              <w:t>= $74,835</w:t>
            </w:r>
          </w:p>
        </w:tc>
      </w:tr>
      <w:tr w:rsidR="0018413E" w:rsidRPr="00BB28F3" w14:paraId="02EC5A38" w14:textId="77777777" w:rsidTr="00BB28F3">
        <w:tc>
          <w:tcPr>
            <w:tcW w:w="1526" w:type="dxa"/>
            <w:vMerge/>
            <w:tcBorders>
              <w:top w:val="nil"/>
              <w:left w:val="nil"/>
              <w:bottom w:val="nil"/>
              <w:right w:val="nil"/>
            </w:tcBorders>
            <w:shd w:val="clear" w:color="auto" w:fill="auto"/>
          </w:tcPr>
          <w:p w14:paraId="26D797C2" w14:textId="77777777" w:rsidR="00A90BFE" w:rsidRPr="00BB28F3" w:rsidRDefault="00A90BFE" w:rsidP="00BB28F3">
            <w:pPr>
              <w:spacing w:line="240" w:lineRule="auto"/>
              <w:rPr>
                <w:rFonts w:cs="Arial"/>
                <w:b/>
                <w:sz w:val="20"/>
                <w:szCs w:val="20"/>
              </w:rPr>
            </w:pPr>
          </w:p>
        </w:tc>
        <w:tc>
          <w:tcPr>
            <w:tcW w:w="850" w:type="dxa"/>
            <w:tcBorders>
              <w:top w:val="single" w:sz="12" w:space="0" w:color="auto"/>
              <w:left w:val="nil"/>
              <w:bottom w:val="nil"/>
              <w:right w:val="nil"/>
            </w:tcBorders>
            <w:shd w:val="clear" w:color="auto" w:fill="auto"/>
          </w:tcPr>
          <w:p w14:paraId="37E5A66C" w14:textId="77777777" w:rsidR="00A90BFE" w:rsidRPr="00BB28F3" w:rsidRDefault="00A90BFE" w:rsidP="00BB28F3">
            <w:pPr>
              <w:tabs>
                <w:tab w:val="center" w:pos="1002"/>
              </w:tabs>
              <w:spacing w:line="240" w:lineRule="auto"/>
              <w:jc w:val="center"/>
              <w:rPr>
                <w:rFonts w:cs="Arial"/>
                <w:b/>
                <w:sz w:val="20"/>
                <w:szCs w:val="20"/>
              </w:rPr>
            </w:pPr>
            <w:r w:rsidRPr="00BB28F3">
              <w:rPr>
                <w:rFonts w:cs="Arial"/>
                <w:b/>
                <w:sz w:val="20"/>
                <w:szCs w:val="20"/>
              </w:rPr>
              <w:t>S</w:t>
            </w:r>
            <w:r w:rsidRPr="00BB28F3">
              <w:rPr>
                <w:rFonts w:cs="Arial"/>
                <w:b/>
                <w:i/>
                <w:sz w:val="20"/>
                <w:szCs w:val="20"/>
                <w:vertAlign w:val="subscript"/>
              </w:rPr>
              <w:t>T</w:t>
            </w:r>
          </w:p>
        </w:tc>
        <w:tc>
          <w:tcPr>
            <w:tcW w:w="1560" w:type="dxa"/>
            <w:vMerge/>
            <w:tcBorders>
              <w:top w:val="nil"/>
              <w:left w:val="nil"/>
              <w:bottom w:val="nil"/>
              <w:right w:val="nil"/>
            </w:tcBorders>
            <w:shd w:val="clear" w:color="auto" w:fill="auto"/>
          </w:tcPr>
          <w:p w14:paraId="002E58E0" w14:textId="77777777" w:rsidR="00A90BFE" w:rsidRPr="00BB28F3" w:rsidRDefault="00A90BFE" w:rsidP="00BB28F3">
            <w:pPr>
              <w:spacing w:line="240" w:lineRule="auto"/>
              <w:rPr>
                <w:rFonts w:cs="Arial"/>
                <w:b/>
                <w:sz w:val="20"/>
                <w:szCs w:val="20"/>
              </w:rPr>
            </w:pPr>
          </w:p>
        </w:tc>
        <w:tc>
          <w:tcPr>
            <w:tcW w:w="1417" w:type="dxa"/>
            <w:tcBorders>
              <w:top w:val="single" w:sz="12" w:space="0" w:color="auto"/>
              <w:left w:val="nil"/>
              <w:bottom w:val="nil"/>
              <w:right w:val="nil"/>
            </w:tcBorders>
            <w:shd w:val="clear" w:color="auto" w:fill="auto"/>
          </w:tcPr>
          <w:p w14:paraId="0D144279" w14:textId="77777777" w:rsidR="00A90BFE" w:rsidRPr="00BB28F3" w:rsidRDefault="00A90BFE" w:rsidP="00BB28F3">
            <w:pPr>
              <w:spacing w:line="240" w:lineRule="auto"/>
              <w:jc w:val="center"/>
              <w:rPr>
                <w:rFonts w:cs="Arial"/>
                <w:b/>
                <w:sz w:val="20"/>
                <w:szCs w:val="20"/>
              </w:rPr>
            </w:pPr>
            <w:r w:rsidRPr="00BB28F3">
              <w:rPr>
                <w:rFonts w:cs="Arial"/>
                <w:b/>
                <w:sz w:val="20"/>
                <w:szCs w:val="20"/>
              </w:rPr>
              <w:t>$4,500,000</w:t>
            </w:r>
          </w:p>
        </w:tc>
        <w:tc>
          <w:tcPr>
            <w:tcW w:w="1276" w:type="dxa"/>
            <w:vMerge/>
            <w:tcBorders>
              <w:top w:val="nil"/>
              <w:left w:val="nil"/>
              <w:bottom w:val="nil"/>
              <w:right w:val="nil"/>
            </w:tcBorders>
            <w:shd w:val="clear" w:color="auto" w:fill="auto"/>
          </w:tcPr>
          <w:p w14:paraId="5D46DF2B" w14:textId="77777777" w:rsidR="00A90BFE" w:rsidRPr="00BB28F3" w:rsidRDefault="00A90BFE" w:rsidP="00BB28F3">
            <w:pPr>
              <w:spacing w:line="240" w:lineRule="auto"/>
              <w:rPr>
                <w:rFonts w:cs="Arial"/>
                <w:sz w:val="20"/>
                <w:szCs w:val="20"/>
              </w:rPr>
            </w:pPr>
          </w:p>
        </w:tc>
      </w:tr>
    </w:tbl>
    <w:p w14:paraId="404DC639" w14:textId="77777777" w:rsidR="00925E92" w:rsidRDefault="00925E92" w:rsidP="00925E92">
      <w:pPr>
        <w:rPr>
          <w:rFonts w:cs="Arial"/>
          <w:sz w:val="20"/>
          <w:szCs w:val="20"/>
        </w:rPr>
      </w:pPr>
    </w:p>
    <w:p w14:paraId="02BA552D" w14:textId="77777777" w:rsidR="00A90BFE" w:rsidRPr="0087798B" w:rsidRDefault="00A90BFE" w:rsidP="00925E92">
      <w:pPr>
        <w:rPr>
          <w:rFonts w:cs="Arial"/>
          <w:sz w:val="20"/>
          <w:szCs w:val="20"/>
        </w:rPr>
      </w:pPr>
      <w:r w:rsidRPr="0087798B">
        <w:rPr>
          <w:rFonts w:cs="Arial"/>
          <w:sz w:val="20"/>
          <w:szCs w:val="20"/>
        </w:rPr>
        <w:t xml:space="preserve">Where: </w:t>
      </w:r>
    </w:p>
    <w:p w14:paraId="41624902" w14:textId="77777777" w:rsidR="00A90BFE" w:rsidRPr="0087798B" w:rsidRDefault="00A90BFE" w:rsidP="00925E92">
      <w:pPr>
        <w:ind w:firstLine="720"/>
        <w:rPr>
          <w:rFonts w:cs="Arial"/>
          <w:sz w:val="20"/>
          <w:szCs w:val="20"/>
        </w:rPr>
      </w:pPr>
      <w:r w:rsidRPr="0087798B">
        <w:rPr>
          <w:rFonts w:cs="Arial"/>
          <w:sz w:val="20"/>
          <w:szCs w:val="20"/>
        </w:rPr>
        <w:t xml:space="preserve">I </w:t>
      </w:r>
      <w:r w:rsidR="00400D9E" w:rsidRPr="0087798B">
        <w:rPr>
          <w:rFonts w:cs="Arial"/>
          <w:i/>
          <w:sz w:val="20"/>
          <w:szCs w:val="20"/>
          <w:vertAlign w:val="subscript"/>
        </w:rPr>
        <w:t>T (</w:t>
      </w:r>
      <w:r w:rsidRPr="0087798B">
        <w:rPr>
          <w:rFonts w:cs="Arial"/>
          <w:i/>
          <w:sz w:val="20"/>
          <w:szCs w:val="20"/>
          <w:vertAlign w:val="subscript"/>
        </w:rPr>
        <w:t>Z25)</w:t>
      </w:r>
      <w:r w:rsidRPr="0087798B">
        <w:rPr>
          <w:rFonts w:cs="Arial"/>
          <w:sz w:val="20"/>
          <w:szCs w:val="20"/>
        </w:rPr>
        <w:t xml:space="preserve"> is the Overall Zeus incentives, apportioned for Zeus tablet 25 mg</w:t>
      </w:r>
    </w:p>
    <w:p w14:paraId="7297AB44" w14:textId="77777777" w:rsidR="00A90BFE" w:rsidRPr="0087798B" w:rsidRDefault="00A90BFE" w:rsidP="00925E92">
      <w:pPr>
        <w:ind w:firstLine="720"/>
        <w:rPr>
          <w:rFonts w:cs="Arial"/>
          <w:sz w:val="20"/>
          <w:szCs w:val="20"/>
        </w:rPr>
      </w:pPr>
      <w:r w:rsidRPr="0087798B">
        <w:rPr>
          <w:rFonts w:cs="Arial"/>
          <w:sz w:val="20"/>
          <w:szCs w:val="20"/>
        </w:rPr>
        <w:t>I</w:t>
      </w:r>
      <w:r w:rsidRPr="0087798B">
        <w:rPr>
          <w:rFonts w:cs="Arial"/>
          <w:i/>
          <w:sz w:val="20"/>
          <w:szCs w:val="20"/>
          <w:vertAlign w:val="subscript"/>
        </w:rPr>
        <w:t>T</w:t>
      </w:r>
      <w:r w:rsidRPr="0087798B">
        <w:rPr>
          <w:rFonts w:cs="Arial"/>
          <w:sz w:val="20"/>
          <w:szCs w:val="20"/>
        </w:rPr>
        <w:t xml:space="preserve"> is the Total value of overall Zeus incentives</w:t>
      </w:r>
    </w:p>
    <w:p w14:paraId="3F9242DE" w14:textId="77777777" w:rsidR="00A90BFE" w:rsidRPr="0087798B" w:rsidRDefault="00A90BFE" w:rsidP="00925E92">
      <w:pPr>
        <w:ind w:firstLine="720"/>
        <w:rPr>
          <w:rFonts w:cs="Arial"/>
          <w:sz w:val="20"/>
          <w:szCs w:val="20"/>
        </w:rPr>
      </w:pPr>
      <w:r w:rsidRPr="0087798B">
        <w:rPr>
          <w:rFonts w:cs="Arial"/>
          <w:sz w:val="20"/>
          <w:szCs w:val="20"/>
        </w:rPr>
        <w:t>S</w:t>
      </w:r>
      <w:r w:rsidRPr="0087798B">
        <w:rPr>
          <w:rFonts w:cs="Arial"/>
          <w:i/>
          <w:sz w:val="20"/>
          <w:szCs w:val="20"/>
          <w:vertAlign w:val="subscript"/>
        </w:rPr>
        <w:t>Z25</w:t>
      </w:r>
      <w:r w:rsidRPr="0087798B">
        <w:rPr>
          <w:rFonts w:cs="Arial"/>
          <w:sz w:val="20"/>
          <w:szCs w:val="20"/>
        </w:rPr>
        <w:t xml:space="preserve"> is the Sales Revenue for Zeus tablet 25 mg</w:t>
      </w:r>
    </w:p>
    <w:p w14:paraId="691C1F87" w14:textId="77777777" w:rsidR="00A90BFE" w:rsidRDefault="00A90BFE" w:rsidP="00925E92">
      <w:pPr>
        <w:ind w:firstLine="720"/>
        <w:rPr>
          <w:rFonts w:cs="Arial"/>
          <w:sz w:val="20"/>
          <w:szCs w:val="20"/>
        </w:rPr>
      </w:pPr>
      <w:r w:rsidRPr="0087798B">
        <w:rPr>
          <w:rFonts w:cs="Arial"/>
          <w:sz w:val="20"/>
          <w:szCs w:val="20"/>
        </w:rPr>
        <w:t>S</w:t>
      </w:r>
      <w:r w:rsidRPr="0087798B">
        <w:rPr>
          <w:rFonts w:cs="Arial"/>
          <w:i/>
          <w:sz w:val="20"/>
          <w:szCs w:val="20"/>
          <w:vertAlign w:val="subscript"/>
        </w:rPr>
        <w:t>T</w:t>
      </w:r>
      <w:r w:rsidRPr="0087798B">
        <w:rPr>
          <w:rFonts w:cs="Arial"/>
          <w:sz w:val="20"/>
          <w:szCs w:val="20"/>
        </w:rPr>
        <w:t xml:space="preserve"> is the Total sales revenue of Zeus</w:t>
      </w:r>
    </w:p>
    <w:p w14:paraId="76F278EC" w14:textId="77777777" w:rsidR="006C63FB" w:rsidRDefault="006C63FB" w:rsidP="00925E92">
      <w:pPr>
        <w:ind w:firstLine="720"/>
        <w:rPr>
          <w:rFonts w:cs="Arial"/>
          <w:sz w:val="20"/>
          <w:szCs w:val="20"/>
        </w:rPr>
      </w:pPr>
      <w:r>
        <w:rPr>
          <w:rFonts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 Calculating a Total Incentive Amount for Zeus 25 and Zeus 50 "/>
      </w:tblPr>
      <w:tblGrid>
        <w:gridCol w:w="9243"/>
      </w:tblGrid>
      <w:tr w:rsidR="00A90BFE" w:rsidRPr="00BB28F3" w14:paraId="17E7D12E" w14:textId="77777777" w:rsidTr="00BB28F3">
        <w:tc>
          <w:tcPr>
            <w:tcW w:w="9243" w:type="dxa"/>
            <w:shd w:val="clear" w:color="auto" w:fill="17365D"/>
          </w:tcPr>
          <w:p w14:paraId="4F15F1BD" w14:textId="77777777" w:rsidR="00A90BFE" w:rsidRPr="00BB28F3" w:rsidRDefault="00B93854" w:rsidP="00074BE7">
            <w:pPr>
              <w:spacing w:after="120" w:line="240" w:lineRule="auto"/>
              <w:rPr>
                <w:rFonts w:cs="Arial"/>
                <w:b/>
              </w:rPr>
            </w:pPr>
            <w:r>
              <w:rPr>
                <w:rFonts w:cs="Arial"/>
                <w:sz w:val="20"/>
                <w:szCs w:val="20"/>
              </w:rPr>
              <w:lastRenderedPageBreak/>
              <w:br w:type="page"/>
            </w:r>
            <w:r w:rsidR="00A90BFE" w:rsidRPr="00BB28F3">
              <w:rPr>
                <w:rFonts w:cs="Arial"/>
                <w:b/>
                <w:color w:val="FFFFFF"/>
              </w:rPr>
              <w:t xml:space="preserve">EXAMPLE – </w:t>
            </w:r>
            <w:r w:rsidR="00A90BFE" w:rsidRPr="00BB28F3">
              <w:rPr>
                <w:rFonts w:cs="Arial"/>
                <w:b/>
                <w:i/>
                <w:color w:val="FFFFFF"/>
              </w:rPr>
              <w:t>Calculating a Total Incentive Amount for Zeus 25 and Zeus 50</w:t>
            </w:r>
            <w:r w:rsidR="00A90BFE" w:rsidRPr="00BB28F3">
              <w:rPr>
                <w:rFonts w:cs="Arial"/>
                <w:b/>
                <w:color w:val="FFFFFF"/>
              </w:rPr>
              <w:t xml:space="preserve"> </w:t>
            </w:r>
          </w:p>
        </w:tc>
      </w:tr>
      <w:tr w:rsidR="00A90BFE" w:rsidRPr="00BB28F3" w14:paraId="7EAF18CC" w14:textId="77777777" w:rsidTr="00BB28F3">
        <w:tblPrEx>
          <w:shd w:val="clear" w:color="auto" w:fill="DBE5F1"/>
        </w:tblPrEx>
        <w:tc>
          <w:tcPr>
            <w:tcW w:w="9243" w:type="dxa"/>
            <w:shd w:val="clear" w:color="auto" w:fill="C6D9F1"/>
          </w:tcPr>
          <w:p w14:paraId="33508C4E" w14:textId="77777777" w:rsidR="00A90BFE" w:rsidRPr="00BB28F3" w:rsidRDefault="00A90BFE" w:rsidP="00BB28F3">
            <w:pPr>
              <w:spacing w:line="480" w:lineRule="auto"/>
              <w:rPr>
                <w:rFonts w:cs="Arial"/>
                <w:sz w:val="20"/>
                <w:szCs w:val="20"/>
              </w:rPr>
            </w:pPr>
            <w:r w:rsidRPr="00BB28F3">
              <w:rPr>
                <w:rFonts w:cs="Arial"/>
                <w:sz w:val="20"/>
                <w:szCs w:val="20"/>
              </w:rPr>
              <w:t xml:space="preserve">Total incentive amount for Zeus tablet 25 mg: </w:t>
            </w:r>
          </w:p>
          <w:p w14:paraId="342367D3" w14:textId="77777777" w:rsidR="00A90BFE" w:rsidRPr="00BB28F3" w:rsidRDefault="00A90BFE" w:rsidP="00BB28F3">
            <w:pPr>
              <w:spacing w:line="480" w:lineRule="auto"/>
              <w:rPr>
                <w:rFonts w:cs="Arial"/>
                <w:b/>
                <w:sz w:val="20"/>
                <w:szCs w:val="20"/>
              </w:rPr>
            </w:pPr>
            <w:r w:rsidRPr="00BB28F3">
              <w:rPr>
                <w:rFonts w:cs="Arial"/>
                <w:b/>
                <w:i/>
                <w:sz w:val="20"/>
                <w:szCs w:val="20"/>
              </w:rPr>
              <w:t>I</w:t>
            </w:r>
            <w:r w:rsidRPr="00BB28F3">
              <w:rPr>
                <w:rFonts w:cs="Arial"/>
                <w:b/>
                <w:i/>
                <w:sz w:val="20"/>
                <w:szCs w:val="20"/>
                <w:vertAlign w:val="subscript"/>
              </w:rPr>
              <w:t>Z25</w:t>
            </w:r>
            <w:r w:rsidRPr="00BB28F3">
              <w:rPr>
                <w:rFonts w:cs="Arial"/>
                <w:b/>
                <w:sz w:val="20"/>
                <w:szCs w:val="20"/>
              </w:rPr>
              <w:t xml:space="preserve"> = </w:t>
            </w:r>
            <w:r w:rsidRPr="00BB28F3">
              <w:rPr>
                <w:rFonts w:cs="Arial"/>
                <w:b/>
                <w:i/>
                <w:sz w:val="20"/>
                <w:szCs w:val="20"/>
              </w:rPr>
              <w:t>I</w:t>
            </w:r>
            <w:r w:rsidRPr="00BB28F3">
              <w:rPr>
                <w:rFonts w:cs="Arial"/>
                <w:b/>
                <w:i/>
                <w:sz w:val="20"/>
                <w:szCs w:val="20"/>
                <w:vertAlign w:val="subscript"/>
              </w:rPr>
              <w:t>BF (Z25)</w:t>
            </w:r>
            <w:r w:rsidRPr="00BB28F3">
              <w:rPr>
                <w:rFonts w:cs="Arial"/>
                <w:b/>
                <w:sz w:val="20"/>
                <w:szCs w:val="20"/>
              </w:rPr>
              <w:t xml:space="preserve"> + </w:t>
            </w:r>
            <w:r w:rsidRPr="00BB28F3">
              <w:rPr>
                <w:rFonts w:cs="Arial"/>
                <w:b/>
                <w:i/>
                <w:sz w:val="20"/>
                <w:szCs w:val="20"/>
              </w:rPr>
              <w:t>I</w:t>
            </w:r>
            <w:r w:rsidRPr="00BB28F3">
              <w:rPr>
                <w:rFonts w:cs="Arial"/>
                <w:b/>
                <w:i/>
                <w:sz w:val="20"/>
                <w:szCs w:val="20"/>
                <w:vertAlign w:val="subscript"/>
              </w:rPr>
              <w:t>T(Z25)</w:t>
            </w:r>
          </w:p>
          <w:p w14:paraId="4D52DB2D" w14:textId="77777777" w:rsidR="00A90BFE" w:rsidRPr="00BB28F3" w:rsidRDefault="00A90BFE" w:rsidP="00BB28F3">
            <w:pPr>
              <w:spacing w:line="480" w:lineRule="auto"/>
              <w:rPr>
                <w:rFonts w:cs="Arial"/>
                <w:sz w:val="20"/>
                <w:szCs w:val="20"/>
              </w:rPr>
            </w:pPr>
            <w:r w:rsidRPr="00BB28F3">
              <w:rPr>
                <w:rFonts w:cs="Arial"/>
                <w:b/>
                <w:i/>
                <w:sz w:val="20"/>
                <w:szCs w:val="20"/>
              </w:rPr>
              <w:t>I</w:t>
            </w:r>
            <w:r w:rsidRPr="00BB28F3">
              <w:rPr>
                <w:rFonts w:cs="Arial"/>
                <w:b/>
                <w:i/>
                <w:sz w:val="20"/>
                <w:szCs w:val="20"/>
                <w:vertAlign w:val="subscript"/>
              </w:rPr>
              <w:t>Z25</w:t>
            </w:r>
            <w:r w:rsidRPr="00BB28F3">
              <w:rPr>
                <w:rFonts w:cs="Arial"/>
                <w:b/>
                <w:sz w:val="20"/>
                <w:szCs w:val="20"/>
              </w:rPr>
              <w:t xml:space="preserve"> = $653,084 + $74,835 = $727,919</w:t>
            </w:r>
          </w:p>
        </w:tc>
      </w:tr>
    </w:tbl>
    <w:p w14:paraId="1E5746F1" w14:textId="77777777" w:rsidR="00A90BFE" w:rsidRPr="0087798B" w:rsidRDefault="00A90BFE" w:rsidP="00925E92">
      <w:pPr>
        <w:rPr>
          <w:rFonts w:cs="Arial"/>
          <w:sz w:val="20"/>
          <w:szCs w:val="20"/>
        </w:rPr>
      </w:pPr>
      <w:r w:rsidRPr="0087798B">
        <w:rPr>
          <w:rFonts w:cs="Arial"/>
          <w:sz w:val="20"/>
          <w:szCs w:val="20"/>
        </w:rPr>
        <w:t>I</w:t>
      </w:r>
      <w:r w:rsidRPr="0087798B">
        <w:rPr>
          <w:rFonts w:cs="Arial"/>
          <w:i/>
          <w:sz w:val="20"/>
          <w:szCs w:val="20"/>
          <w:vertAlign w:val="subscript"/>
        </w:rPr>
        <w:t>Z25</w:t>
      </w:r>
      <w:r w:rsidRPr="0087798B">
        <w:rPr>
          <w:rFonts w:cs="Arial"/>
          <w:sz w:val="20"/>
          <w:szCs w:val="20"/>
        </w:rPr>
        <w:t xml:space="preserve"> = Incentives for Zeus tablet 25 mg </w:t>
      </w:r>
    </w:p>
    <w:p w14:paraId="154956B5" w14:textId="77777777" w:rsidR="00A90BFE" w:rsidRDefault="00A90BFE" w:rsidP="00925E92">
      <w:pPr>
        <w:rPr>
          <w:rFonts w:cs="Arial"/>
          <w:sz w:val="20"/>
          <w:szCs w:val="20"/>
        </w:rPr>
      </w:pPr>
      <w:r w:rsidRPr="0087798B">
        <w:rPr>
          <w:rFonts w:cs="Arial"/>
          <w:sz w:val="20"/>
          <w:szCs w:val="20"/>
        </w:rPr>
        <w:t>I</w:t>
      </w:r>
      <w:r w:rsidRPr="0087798B">
        <w:rPr>
          <w:rFonts w:cs="Arial"/>
          <w:i/>
          <w:sz w:val="20"/>
          <w:szCs w:val="20"/>
          <w:vertAlign w:val="subscript"/>
        </w:rPr>
        <w:t>BF (Z25)</w:t>
      </w:r>
      <w:r w:rsidRPr="0087798B">
        <w:rPr>
          <w:rFonts w:cs="Arial"/>
          <w:sz w:val="20"/>
          <w:szCs w:val="20"/>
        </w:rPr>
        <w:t xml:space="preserve"> = Incentives specific to Zeus tablet 25 mg </w:t>
      </w:r>
    </w:p>
    <w:p w14:paraId="39901859" w14:textId="77777777" w:rsidR="008A6E71" w:rsidRPr="0087798B" w:rsidRDefault="008A6E71" w:rsidP="00925E92">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9243"/>
      </w:tblGrid>
      <w:tr w:rsidR="00A90BFE" w:rsidRPr="00BB28F3" w14:paraId="34666D04" w14:textId="77777777" w:rsidTr="00BB28F3">
        <w:tc>
          <w:tcPr>
            <w:tcW w:w="9243" w:type="dxa"/>
            <w:shd w:val="clear" w:color="auto" w:fill="C6D9F1"/>
          </w:tcPr>
          <w:p w14:paraId="6802E9D1" w14:textId="77777777" w:rsidR="00A90BFE" w:rsidRPr="00BB28F3" w:rsidRDefault="00A90BFE" w:rsidP="00BB28F3">
            <w:pPr>
              <w:spacing w:line="480" w:lineRule="auto"/>
              <w:rPr>
                <w:rFonts w:cs="Arial"/>
                <w:sz w:val="20"/>
                <w:szCs w:val="20"/>
              </w:rPr>
            </w:pPr>
            <w:r w:rsidRPr="00BB28F3">
              <w:rPr>
                <w:rFonts w:cs="Arial"/>
                <w:sz w:val="20"/>
                <w:szCs w:val="20"/>
              </w:rPr>
              <w:t xml:space="preserve">A similar calculation can be performed for Zeus tablet 50 mg: </w:t>
            </w:r>
          </w:p>
          <w:p w14:paraId="52D0EECF" w14:textId="77777777" w:rsidR="00A90BFE" w:rsidRPr="00BB28F3" w:rsidRDefault="00A90BFE" w:rsidP="00074BE7">
            <w:pPr>
              <w:spacing w:after="120" w:line="240" w:lineRule="auto"/>
              <w:rPr>
                <w:rFonts w:cs="Arial"/>
                <w:b/>
                <w:sz w:val="20"/>
                <w:szCs w:val="20"/>
              </w:rPr>
            </w:pPr>
            <w:r w:rsidRPr="00BB28F3">
              <w:rPr>
                <w:rFonts w:cs="Arial"/>
                <w:b/>
                <w:i/>
                <w:sz w:val="20"/>
                <w:szCs w:val="20"/>
              </w:rPr>
              <w:t>I</w:t>
            </w:r>
            <w:r w:rsidRPr="00BB28F3">
              <w:rPr>
                <w:rFonts w:cs="Arial"/>
                <w:b/>
                <w:i/>
                <w:sz w:val="20"/>
                <w:szCs w:val="20"/>
                <w:vertAlign w:val="subscript"/>
              </w:rPr>
              <w:t>Z50</w:t>
            </w:r>
            <w:r w:rsidRPr="00BB28F3">
              <w:rPr>
                <w:rFonts w:cs="Arial"/>
                <w:b/>
                <w:sz w:val="20"/>
                <w:szCs w:val="20"/>
              </w:rPr>
              <w:t xml:space="preserve"> = $10,000 + $75,165 = $85,165</w:t>
            </w:r>
          </w:p>
        </w:tc>
      </w:tr>
    </w:tbl>
    <w:p w14:paraId="587108EB" w14:textId="77777777" w:rsidR="00A90BFE" w:rsidRPr="00D8441C" w:rsidRDefault="00D8441C" w:rsidP="00925E92">
      <w:pPr>
        <w:rPr>
          <w:sz w:val="20"/>
          <w:szCs w:val="20"/>
        </w:rPr>
      </w:pPr>
      <w:r w:rsidRPr="00D8441C">
        <w:rPr>
          <w:sz w:val="20"/>
          <w:szCs w:val="20"/>
        </w:rPr>
        <w:t>I</w:t>
      </w:r>
      <w:r w:rsidRPr="00D8441C">
        <w:rPr>
          <w:sz w:val="20"/>
          <w:szCs w:val="20"/>
          <w:vertAlign w:val="subscript"/>
        </w:rPr>
        <w:t>Z50</w:t>
      </w:r>
      <w:r w:rsidRPr="00D8441C">
        <w:rPr>
          <w:sz w:val="20"/>
          <w:szCs w:val="20"/>
        </w:rPr>
        <w:t xml:space="preserve"> = Incentives for Zeus tablet 50 mg</w:t>
      </w:r>
    </w:p>
    <w:p w14:paraId="037010BE" w14:textId="77777777" w:rsidR="008A6E71" w:rsidRDefault="008A6E71" w:rsidP="00925E92">
      <w:pPr>
        <w:pStyle w:val="Heading4"/>
        <w:spacing w:before="120"/>
        <w:rPr>
          <w:rFonts w:cs="Arial"/>
        </w:rPr>
      </w:pPr>
    </w:p>
    <w:p w14:paraId="7D3EF5AD" w14:textId="77777777" w:rsidR="001F3A1A" w:rsidRPr="00CB5FF1" w:rsidRDefault="00772262" w:rsidP="00925E92">
      <w:pPr>
        <w:pStyle w:val="Heading4"/>
        <w:spacing w:before="120"/>
      </w:pPr>
      <w:r>
        <w:rPr>
          <w:rFonts w:cs="Arial"/>
        </w:rPr>
        <w:t>D</w:t>
      </w:r>
      <w:r w:rsidR="001F3A1A">
        <w:t xml:space="preserve">ata </w:t>
      </w:r>
      <w:r>
        <w:t xml:space="preserve">alignment in disclosure </w:t>
      </w:r>
      <w:r w:rsidR="001F3A1A">
        <w:t>preparation</w:t>
      </w:r>
    </w:p>
    <w:p w14:paraId="7363F7F0" w14:textId="77777777" w:rsidR="001F3A1A" w:rsidRDefault="00772262" w:rsidP="00587FC2">
      <w:pPr>
        <w:pStyle w:val="ListParagraph"/>
        <w:numPr>
          <w:ilvl w:val="0"/>
          <w:numId w:val="24"/>
        </w:numPr>
        <w:autoSpaceDE w:val="0"/>
        <w:autoSpaceDN w:val="0"/>
        <w:adjustRightInd w:val="0"/>
        <w:spacing w:line="240" w:lineRule="auto"/>
        <w:ind w:left="851" w:hanging="494"/>
        <w:contextualSpacing w:val="0"/>
        <w:rPr>
          <w:rFonts w:cs="Arial"/>
          <w:color w:val="000000"/>
        </w:rPr>
      </w:pPr>
      <w:r>
        <w:rPr>
          <w:rFonts w:cs="Arial"/>
        </w:rPr>
        <w:t>T</w:t>
      </w:r>
      <w:r w:rsidR="001F3A1A" w:rsidRPr="00874A75">
        <w:rPr>
          <w:rFonts w:cs="Arial"/>
          <w:color w:val="000000"/>
        </w:rPr>
        <w:t>he method used when preparing data for price disclosure purposes has the potential to affect pricing calculations for brands and, potentially, the overall price disclosure outcome for a drug/</w:t>
      </w:r>
      <w:r w:rsidR="001F3A1A">
        <w:rPr>
          <w:rFonts w:cs="Arial"/>
          <w:color w:val="000000"/>
        </w:rPr>
        <w:t>MoA</w:t>
      </w:r>
      <w:r w:rsidR="001F3A1A" w:rsidRPr="00874A75">
        <w:rPr>
          <w:rFonts w:cs="Arial"/>
          <w:color w:val="000000"/>
        </w:rPr>
        <w:t xml:space="preserve">. </w:t>
      </w:r>
    </w:p>
    <w:p w14:paraId="5D2BA966" w14:textId="77777777" w:rsidR="001F3A1A" w:rsidRDefault="001F3A1A" w:rsidP="00587FC2">
      <w:pPr>
        <w:pStyle w:val="ListParagraph"/>
        <w:numPr>
          <w:ilvl w:val="0"/>
          <w:numId w:val="24"/>
        </w:numPr>
        <w:autoSpaceDE w:val="0"/>
        <w:autoSpaceDN w:val="0"/>
        <w:adjustRightInd w:val="0"/>
        <w:spacing w:line="240" w:lineRule="auto"/>
        <w:ind w:left="851" w:hanging="494"/>
        <w:contextualSpacing w:val="0"/>
        <w:rPr>
          <w:rFonts w:cs="Arial"/>
          <w:color w:val="000000"/>
        </w:rPr>
      </w:pPr>
      <w:r>
        <w:rPr>
          <w:rFonts w:cs="Arial"/>
        </w:rPr>
        <w:t xml:space="preserve">Responsible persons </w:t>
      </w:r>
      <w:r w:rsidR="00772262">
        <w:rPr>
          <w:rFonts w:cs="Arial"/>
        </w:rPr>
        <w:t>should</w:t>
      </w:r>
      <w:r w:rsidRPr="00874A75">
        <w:rPr>
          <w:rFonts w:cs="Arial"/>
          <w:color w:val="000000"/>
        </w:rPr>
        <w:t xml:space="preserve"> consider </w:t>
      </w:r>
      <w:r>
        <w:rPr>
          <w:rFonts w:cs="Arial"/>
          <w:color w:val="000000"/>
        </w:rPr>
        <w:t xml:space="preserve">their </w:t>
      </w:r>
      <w:r w:rsidRPr="00874A75">
        <w:rPr>
          <w:rFonts w:cs="Arial"/>
          <w:color w:val="000000"/>
        </w:rPr>
        <w:t>method in terms of the alignment of sales revenues, discounts/incentives, and volumes for each period</w:t>
      </w:r>
      <w:r>
        <w:rPr>
          <w:rFonts w:cs="Arial"/>
          <w:color w:val="000000"/>
        </w:rPr>
        <w:t xml:space="preserve"> for which data is submitted</w:t>
      </w:r>
      <w:r w:rsidRPr="00874A75">
        <w:rPr>
          <w:rFonts w:cs="Arial"/>
          <w:color w:val="000000"/>
        </w:rPr>
        <w:t xml:space="preserve">. </w:t>
      </w:r>
    </w:p>
    <w:p w14:paraId="6F0E8797" w14:textId="77777777" w:rsidR="00925E92" w:rsidRDefault="001F3A1A" w:rsidP="00587FC2">
      <w:pPr>
        <w:pStyle w:val="ListParagraph"/>
        <w:numPr>
          <w:ilvl w:val="0"/>
          <w:numId w:val="24"/>
        </w:numPr>
        <w:autoSpaceDE w:val="0"/>
        <w:autoSpaceDN w:val="0"/>
        <w:adjustRightInd w:val="0"/>
        <w:spacing w:line="240" w:lineRule="auto"/>
        <w:ind w:left="851" w:hanging="494"/>
        <w:contextualSpacing w:val="0"/>
        <w:rPr>
          <w:rFonts w:cs="Arial"/>
        </w:rPr>
      </w:pPr>
      <w:r>
        <w:rPr>
          <w:rFonts w:cs="Arial"/>
        </w:rPr>
        <w:t>The methods</w:t>
      </w:r>
      <w:r w:rsidRPr="007A4398">
        <w:rPr>
          <w:rFonts w:cs="Arial"/>
        </w:rPr>
        <w:t xml:space="preserve"> used </w:t>
      </w:r>
      <w:r w:rsidR="00772262">
        <w:rPr>
          <w:rFonts w:cs="Arial"/>
        </w:rPr>
        <w:t>to define sales and to</w:t>
      </w:r>
      <w:r w:rsidRPr="007A4398">
        <w:rPr>
          <w:rFonts w:cs="Arial"/>
        </w:rPr>
        <w:t xml:space="preserve"> recognise and measure revenue for price disclosure purposes should be consistent with the responsible person’s financial accounting policies. </w:t>
      </w:r>
    </w:p>
    <w:p w14:paraId="1B74AE62" w14:textId="77777777" w:rsidR="00DC28D4" w:rsidRPr="00B93854" w:rsidRDefault="001F3A1A" w:rsidP="00D63819">
      <w:pPr>
        <w:pStyle w:val="ListParagraph"/>
        <w:numPr>
          <w:ilvl w:val="0"/>
          <w:numId w:val="24"/>
        </w:numPr>
        <w:autoSpaceDE w:val="0"/>
        <w:autoSpaceDN w:val="0"/>
        <w:adjustRightInd w:val="0"/>
        <w:spacing w:line="240" w:lineRule="auto"/>
        <w:ind w:left="851" w:hanging="494"/>
        <w:contextualSpacing w:val="0"/>
        <w:rPr>
          <w:rFonts w:cs="Arial"/>
        </w:rPr>
      </w:pPr>
      <w:r w:rsidRPr="00B93854">
        <w:rPr>
          <w:rFonts w:cs="Arial"/>
        </w:rPr>
        <w:t xml:space="preserve">The following example </w:t>
      </w:r>
      <w:r w:rsidR="006C63FB">
        <w:rPr>
          <w:rFonts w:cs="Arial"/>
        </w:rPr>
        <w:t xml:space="preserve">(on the next page) </w:t>
      </w:r>
      <w:r w:rsidRPr="00B93854">
        <w:rPr>
          <w:rFonts w:cs="Arial"/>
        </w:rPr>
        <w:t>illustrates the importance of</w:t>
      </w:r>
      <w:r w:rsidR="009B5F81" w:rsidRPr="00B93854">
        <w:rPr>
          <w:rFonts w:cs="Arial"/>
        </w:rPr>
        <w:t>:</w:t>
      </w:r>
    </w:p>
    <w:p w14:paraId="6652A943" w14:textId="77777777" w:rsidR="00DC28D4" w:rsidRDefault="001F3A1A" w:rsidP="0094356B">
      <w:pPr>
        <w:pStyle w:val="ListParagraph"/>
        <w:numPr>
          <w:ilvl w:val="1"/>
          <w:numId w:val="24"/>
        </w:numPr>
        <w:autoSpaceDE w:val="0"/>
        <w:autoSpaceDN w:val="0"/>
        <w:adjustRightInd w:val="0"/>
        <w:spacing w:line="240" w:lineRule="auto"/>
        <w:contextualSpacing w:val="0"/>
        <w:rPr>
          <w:rFonts w:cs="Arial"/>
        </w:rPr>
      </w:pPr>
      <w:r w:rsidRPr="00A0060B">
        <w:rPr>
          <w:rFonts w:cs="Arial"/>
        </w:rPr>
        <w:t>carefully considering the method used when preparing data for price disclos</w:t>
      </w:r>
      <w:r w:rsidRPr="00DC28D4">
        <w:rPr>
          <w:rFonts w:cs="Arial"/>
        </w:rPr>
        <w:t>ure purposes.</w:t>
      </w:r>
    </w:p>
    <w:p w14:paraId="0C344A02" w14:textId="77777777" w:rsidR="009A6E9D" w:rsidRPr="00B93854" w:rsidRDefault="00DC28D4" w:rsidP="0094356B">
      <w:pPr>
        <w:pStyle w:val="ListParagraph"/>
        <w:numPr>
          <w:ilvl w:val="1"/>
          <w:numId w:val="24"/>
        </w:numPr>
        <w:autoSpaceDE w:val="0"/>
        <w:autoSpaceDN w:val="0"/>
        <w:adjustRightInd w:val="0"/>
        <w:spacing w:line="240" w:lineRule="auto"/>
        <w:contextualSpacing w:val="0"/>
        <w:rPr>
          <w:rFonts w:cs="Arial"/>
          <w:color w:val="000000"/>
        </w:rPr>
      </w:pPr>
      <w:r w:rsidRPr="00B93854">
        <w:rPr>
          <w:rFonts w:cs="Arial"/>
        </w:rPr>
        <w:t>w</w:t>
      </w:r>
      <w:r w:rsidR="007D0DDB" w:rsidRPr="00B93854">
        <w:rPr>
          <w:rFonts w:cs="Arial"/>
        </w:rPr>
        <w:t xml:space="preserve">orking out the medicines for which submissions will be required early in </w:t>
      </w:r>
      <w:r w:rsidR="009B5F81" w:rsidRPr="00B93854">
        <w:rPr>
          <w:rFonts w:cs="Arial"/>
        </w:rPr>
        <w:t>a</w:t>
      </w:r>
      <w:r w:rsidR="007D0DDB" w:rsidRPr="00B93854">
        <w:rPr>
          <w:rFonts w:cs="Arial"/>
        </w:rPr>
        <w:t xml:space="preserve"> submission period</w:t>
      </w:r>
      <w:r w:rsidR="009B5F81" w:rsidRPr="00B93854">
        <w:rPr>
          <w:rFonts w:cs="Arial"/>
        </w:rPr>
        <w:t xml:space="preserve">. </w:t>
      </w:r>
      <w:r w:rsidR="009B5F81">
        <w:t xml:space="preserve">Although some data may not be available until later in the submission period, early checks will assist </w:t>
      </w:r>
      <w:r w:rsidR="007244CC">
        <w:t>to</w:t>
      </w:r>
      <w:r w:rsidR="009B5F81">
        <w:t xml:space="preserve"> identify what is required</w:t>
      </w:r>
      <w:r w:rsidR="007D0DDB" w:rsidRPr="00B93854">
        <w:rPr>
          <w:rFonts w:cs="Arial"/>
        </w:rPr>
        <w:t xml:space="preserve"> so that disclosed revenue and incentive information is accurate.</w:t>
      </w:r>
    </w:p>
    <w:p w14:paraId="4D07D9F6" w14:textId="77777777" w:rsidR="00B93854" w:rsidRPr="00B93854" w:rsidRDefault="00B93854" w:rsidP="00B93854">
      <w:pPr>
        <w:spacing w:before="0" w:after="200"/>
        <w:rPr>
          <w:rFonts w:cs="Arial"/>
        </w:rPr>
      </w:pPr>
      <w:r>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Caption w:val="EXAMPLE – ‘Stock on hand’ rebate "/>
      </w:tblPr>
      <w:tblGrid>
        <w:gridCol w:w="9243"/>
      </w:tblGrid>
      <w:tr w:rsidR="001F3A1A" w:rsidRPr="00BB28F3" w14:paraId="09900BBC" w14:textId="77777777" w:rsidTr="00BB28F3">
        <w:tc>
          <w:tcPr>
            <w:tcW w:w="9243" w:type="dxa"/>
            <w:shd w:val="clear" w:color="auto" w:fill="17365D"/>
          </w:tcPr>
          <w:p w14:paraId="414184CA" w14:textId="77777777" w:rsidR="001F3A1A" w:rsidRPr="00BB28F3" w:rsidRDefault="001F3A1A" w:rsidP="00074BE7">
            <w:pPr>
              <w:spacing w:after="120" w:line="240" w:lineRule="auto"/>
              <w:rPr>
                <w:rFonts w:cs="Arial"/>
                <w:b/>
              </w:rPr>
            </w:pPr>
            <w:r w:rsidRPr="00BB28F3">
              <w:rPr>
                <w:rFonts w:cs="Arial"/>
                <w:b/>
                <w:color w:val="FFFFFF"/>
              </w:rPr>
              <w:lastRenderedPageBreak/>
              <w:t>EXAMPLE – ‘</w:t>
            </w:r>
            <w:r w:rsidRPr="00BB28F3">
              <w:rPr>
                <w:rFonts w:cs="Arial"/>
                <w:b/>
                <w:i/>
                <w:color w:val="FFFFFF"/>
              </w:rPr>
              <w:t>Stock on hand’ rebate</w:t>
            </w:r>
            <w:r w:rsidRPr="00BB28F3">
              <w:rPr>
                <w:rFonts w:cs="Arial"/>
                <w:b/>
                <w:color w:val="FFFFFF"/>
              </w:rPr>
              <w:t xml:space="preserve"> </w:t>
            </w:r>
          </w:p>
        </w:tc>
      </w:tr>
      <w:tr w:rsidR="001F3A1A" w:rsidRPr="00BB28F3" w14:paraId="2702F83F" w14:textId="77777777" w:rsidTr="00BB28F3">
        <w:tblPrEx>
          <w:shd w:val="clear" w:color="auto" w:fill="C6D9F1"/>
        </w:tblPrEx>
        <w:tc>
          <w:tcPr>
            <w:tcW w:w="9243" w:type="dxa"/>
            <w:shd w:val="clear" w:color="auto" w:fill="C6D9F1"/>
          </w:tcPr>
          <w:p w14:paraId="761ED04F" w14:textId="77777777" w:rsidR="001F3A1A" w:rsidRPr="00BB28F3" w:rsidRDefault="001F3A1A" w:rsidP="00BB28F3">
            <w:pPr>
              <w:numPr>
                <w:ilvl w:val="0"/>
                <w:numId w:val="14"/>
              </w:numPr>
              <w:autoSpaceDE w:val="0"/>
              <w:autoSpaceDN w:val="0"/>
              <w:adjustRightInd w:val="0"/>
              <w:spacing w:line="240" w:lineRule="auto"/>
              <w:ind w:left="714" w:hanging="357"/>
              <w:rPr>
                <w:rFonts w:cs="Arial"/>
                <w:color w:val="000000"/>
              </w:rPr>
            </w:pPr>
            <w:r w:rsidRPr="00BB28F3">
              <w:rPr>
                <w:rFonts w:cs="Arial"/>
                <w:color w:val="000000"/>
              </w:rPr>
              <w:t>A ‘stock on hand’ rebate might be paid by a responsible person to a wholesaler following a reduction in the PBS ex-manufacturer price.</w:t>
            </w:r>
          </w:p>
          <w:p w14:paraId="172A5C90"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 xml:space="preserve">Over the period 1 </w:t>
            </w:r>
            <w:r w:rsidR="00B86C18">
              <w:rPr>
                <w:rFonts w:cs="Arial"/>
                <w:color w:val="000000"/>
              </w:rPr>
              <w:t>October</w:t>
            </w:r>
            <w:r w:rsidRPr="00BB28F3">
              <w:rPr>
                <w:rFonts w:cs="Arial"/>
                <w:color w:val="000000"/>
              </w:rPr>
              <w:t xml:space="preserve"> 201</w:t>
            </w:r>
            <w:r w:rsidR="00B86C18">
              <w:rPr>
                <w:rFonts w:cs="Arial"/>
                <w:color w:val="000000"/>
              </w:rPr>
              <w:t>5</w:t>
            </w:r>
            <w:r w:rsidRPr="00BB28F3">
              <w:rPr>
                <w:rFonts w:cs="Arial"/>
                <w:color w:val="000000"/>
              </w:rPr>
              <w:t xml:space="preserve"> to 3</w:t>
            </w:r>
            <w:r w:rsidR="00B86C18">
              <w:rPr>
                <w:rFonts w:cs="Arial"/>
                <w:color w:val="000000"/>
              </w:rPr>
              <w:t>1</w:t>
            </w:r>
            <w:r w:rsidRPr="00BB28F3">
              <w:rPr>
                <w:rFonts w:cs="Arial"/>
                <w:color w:val="000000"/>
              </w:rPr>
              <w:t xml:space="preserve"> </w:t>
            </w:r>
            <w:r w:rsidR="00B86C18">
              <w:rPr>
                <w:rFonts w:cs="Arial"/>
                <w:color w:val="000000"/>
              </w:rPr>
              <w:t>March</w:t>
            </w:r>
            <w:r w:rsidRPr="00BB28F3">
              <w:rPr>
                <w:rFonts w:cs="Arial"/>
                <w:color w:val="000000"/>
              </w:rPr>
              <w:t xml:space="preserve"> 201</w:t>
            </w:r>
            <w:r w:rsidR="00B86C18">
              <w:rPr>
                <w:rFonts w:cs="Arial"/>
                <w:color w:val="000000"/>
              </w:rPr>
              <w:t>6</w:t>
            </w:r>
            <w:r w:rsidRPr="00BB28F3">
              <w:rPr>
                <w:rFonts w:cs="Arial"/>
                <w:color w:val="000000"/>
              </w:rPr>
              <w:t>, a responsible person sells 100 units of a product to a wholesaler for $10 (after discounts).</w:t>
            </w:r>
          </w:p>
          <w:p w14:paraId="4F2DCF83"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For the reporting period ending 3</w:t>
            </w:r>
            <w:r w:rsidR="00B86C18">
              <w:rPr>
                <w:rFonts w:cs="Arial"/>
                <w:color w:val="000000"/>
              </w:rPr>
              <w:t>1</w:t>
            </w:r>
            <w:r w:rsidRPr="00BB28F3">
              <w:rPr>
                <w:rFonts w:cs="Arial"/>
                <w:color w:val="000000"/>
              </w:rPr>
              <w:t xml:space="preserve"> </w:t>
            </w:r>
            <w:r w:rsidR="00B86C18">
              <w:rPr>
                <w:rFonts w:cs="Arial"/>
                <w:color w:val="000000"/>
              </w:rPr>
              <w:t>March</w:t>
            </w:r>
            <w:r w:rsidRPr="00BB28F3">
              <w:rPr>
                <w:rFonts w:cs="Arial"/>
                <w:color w:val="000000"/>
              </w:rPr>
              <w:t xml:space="preserve"> 201</w:t>
            </w:r>
            <w:r w:rsidR="00B86C18">
              <w:rPr>
                <w:rFonts w:cs="Arial"/>
                <w:color w:val="000000"/>
              </w:rPr>
              <w:t>6</w:t>
            </w:r>
            <w:r w:rsidRPr="00BB28F3">
              <w:rPr>
                <w:rFonts w:cs="Arial"/>
                <w:color w:val="000000"/>
              </w:rPr>
              <w:t>, the responsible person reports volume of 100 and revenue of $1,000.</w:t>
            </w:r>
          </w:p>
          <w:p w14:paraId="2B7EAE35"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 xml:space="preserve">A PBS price reduction takes effect on 1 </w:t>
            </w:r>
            <w:r w:rsidR="00B86C18">
              <w:rPr>
                <w:rFonts w:cs="Arial"/>
                <w:color w:val="000000"/>
              </w:rPr>
              <w:t>April</w:t>
            </w:r>
            <w:r w:rsidR="00B86C18" w:rsidRPr="00BB28F3">
              <w:rPr>
                <w:rFonts w:cs="Arial"/>
                <w:color w:val="000000"/>
              </w:rPr>
              <w:t xml:space="preserve"> </w:t>
            </w:r>
            <w:r w:rsidRPr="00BB28F3">
              <w:rPr>
                <w:rFonts w:cs="Arial"/>
                <w:color w:val="000000"/>
              </w:rPr>
              <w:t>201</w:t>
            </w:r>
            <w:r w:rsidR="00B86C18">
              <w:rPr>
                <w:rFonts w:cs="Arial"/>
                <w:color w:val="000000"/>
              </w:rPr>
              <w:t>6</w:t>
            </w:r>
            <w:r w:rsidRPr="00BB28F3">
              <w:rPr>
                <w:rFonts w:cs="Arial"/>
                <w:color w:val="000000"/>
              </w:rPr>
              <w:t>, resulting in a new lower PBS ex-manufacturer price of $4.</w:t>
            </w:r>
          </w:p>
          <w:p w14:paraId="35EDE406"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 xml:space="preserve">On 1 </w:t>
            </w:r>
            <w:r w:rsidR="00B86C18">
              <w:rPr>
                <w:rFonts w:cs="Arial"/>
                <w:color w:val="000000"/>
              </w:rPr>
              <w:t>April</w:t>
            </w:r>
            <w:r w:rsidR="00B86C18" w:rsidRPr="00BB28F3">
              <w:rPr>
                <w:rFonts w:cs="Arial"/>
                <w:color w:val="000000"/>
              </w:rPr>
              <w:t xml:space="preserve"> </w:t>
            </w:r>
            <w:r w:rsidRPr="00BB28F3">
              <w:rPr>
                <w:rFonts w:cs="Arial"/>
                <w:color w:val="000000"/>
              </w:rPr>
              <w:t>201</w:t>
            </w:r>
            <w:r w:rsidR="00B86C18">
              <w:rPr>
                <w:rFonts w:cs="Arial"/>
                <w:color w:val="000000"/>
              </w:rPr>
              <w:t>6</w:t>
            </w:r>
            <w:r w:rsidRPr="00BB28F3">
              <w:rPr>
                <w:rFonts w:cs="Arial"/>
                <w:color w:val="000000"/>
              </w:rPr>
              <w:t>, a wholesaler has 20 units of the product in stock purchased at the higher price ($10).</w:t>
            </w:r>
          </w:p>
          <w:p w14:paraId="02517993" w14:textId="77777777" w:rsidR="001F3A1A" w:rsidRPr="00BB28F3" w:rsidRDefault="001F3A1A" w:rsidP="00BB28F3">
            <w:pPr>
              <w:numPr>
                <w:ilvl w:val="0"/>
                <w:numId w:val="14"/>
              </w:numPr>
              <w:autoSpaceDE w:val="0"/>
              <w:autoSpaceDN w:val="0"/>
              <w:adjustRightInd w:val="0"/>
              <w:spacing w:line="240" w:lineRule="auto"/>
              <w:ind w:left="714" w:hanging="357"/>
              <w:rPr>
                <w:rFonts w:cs="Arial"/>
                <w:color w:val="000000"/>
              </w:rPr>
            </w:pPr>
            <w:r w:rsidRPr="00BB28F3">
              <w:rPr>
                <w:rFonts w:cs="Arial"/>
                <w:color w:val="000000"/>
              </w:rPr>
              <w:t xml:space="preserve">To account for the reduction in stock on hand value, the responsible person issues a stock on hand rebate valued at $120 (20 </w:t>
            </w:r>
            <w:r w:rsidR="00400D9E" w:rsidRPr="00BB28F3">
              <w:rPr>
                <w:rFonts w:cs="Arial"/>
                <w:color w:val="000000"/>
              </w:rPr>
              <w:t>unit’s</w:t>
            </w:r>
            <w:r w:rsidRPr="00BB28F3">
              <w:rPr>
                <w:rFonts w:cs="Arial"/>
                <w:color w:val="000000"/>
              </w:rPr>
              <w:t xml:space="preserve"> × $6 reduction).</w:t>
            </w:r>
          </w:p>
          <w:p w14:paraId="0AB1A325" w14:textId="77777777" w:rsidR="001F3A1A" w:rsidRPr="00BB28F3" w:rsidRDefault="001F3A1A" w:rsidP="00BB28F3">
            <w:pPr>
              <w:numPr>
                <w:ilvl w:val="0"/>
                <w:numId w:val="14"/>
              </w:numPr>
              <w:autoSpaceDE w:val="0"/>
              <w:autoSpaceDN w:val="0"/>
              <w:adjustRightInd w:val="0"/>
              <w:spacing w:line="240" w:lineRule="auto"/>
              <w:ind w:left="720" w:hanging="360"/>
              <w:rPr>
                <w:rFonts w:cs="Arial"/>
                <w:color w:val="000000"/>
              </w:rPr>
            </w:pPr>
            <w:r w:rsidRPr="00BB28F3">
              <w:rPr>
                <w:rFonts w:cs="Arial"/>
                <w:color w:val="000000"/>
              </w:rPr>
              <w:t>The value of the stock on hand rebate ($120) is reported in the subsequent reporting period, ending 3</w:t>
            </w:r>
            <w:r w:rsidR="00B86C18">
              <w:rPr>
                <w:rFonts w:cs="Arial"/>
                <w:color w:val="000000"/>
              </w:rPr>
              <w:t>0 September</w:t>
            </w:r>
            <w:r w:rsidRPr="00BB28F3">
              <w:rPr>
                <w:rFonts w:cs="Arial"/>
                <w:color w:val="000000"/>
              </w:rPr>
              <w:t xml:space="preserve"> 201</w:t>
            </w:r>
            <w:r w:rsidR="00B86C18">
              <w:rPr>
                <w:rFonts w:cs="Arial"/>
                <w:color w:val="000000"/>
              </w:rPr>
              <w:t>6</w:t>
            </w:r>
            <w:r w:rsidRPr="00BB28F3">
              <w:rPr>
                <w:rFonts w:cs="Arial"/>
                <w:color w:val="000000"/>
              </w:rPr>
              <w:t>, which is not the period when the relevant sales were made.</w:t>
            </w:r>
          </w:p>
          <w:p w14:paraId="5BCC7266" w14:textId="77777777" w:rsidR="001F3A1A" w:rsidRPr="00BB28F3" w:rsidRDefault="001F3A1A" w:rsidP="00BB28F3">
            <w:pPr>
              <w:autoSpaceDE w:val="0"/>
              <w:autoSpaceDN w:val="0"/>
              <w:adjustRightInd w:val="0"/>
              <w:ind w:left="360"/>
              <w:rPr>
                <w:rFonts w:cs="Arial"/>
                <w:color w:val="000000"/>
              </w:rPr>
            </w:pPr>
            <w:r w:rsidRPr="00BB28F3">
              <w:rPr>
                <w:rFonts w:cs="Arial"/>
                <w:color w:val="000000"/>
              </w:rPr>
              <w:t xml:space="preserve">The timing mismatch results in: </w:t>
            </w:r>
          </w:p>
          <w:p w14:paraId="4D4D871D" w14:textId="77777777" w:rsidR="001F3A1A" w:rsidRPr="00BB28F3" w:rsidRDefault="001F3A1A" w:rsidP="00BB28F3">
            <w:pPr>
              <w:numPr>
                <w:ilvl w:val="0"/>
                <w:numId w:val="14"/>
              </w:numPr>
              <w:autoSpaceDE w:val="0"/>
              <w:autoSpaceDN w:val="0"/>
              <w:adjustRightInd w:val="0"/>
              <w:ind w:left="720" w:hanging="360"/>
              <w:rPr>
                <w:rFonts w:cs="Arial"/>
                <w:color w:val="000000"/>
              </w:rPr>
            </w:pPr>
            <w:r w:rsidRPr="00BB28F3">
              <w:rPr>
                <w:rFonts w:cs="Arial"/>
                <w:b/>
                <w:bCs/>
                <w:color w:val="000000"/>
              </w:rPr>
              <w:t xml:space="preserve">Revenue in the period 1 </w:t>
            </w:r>
            <w:r w:rsidR="00B86C18">
              <w:rPr>
                <w:rFonts w:cs="Arial"/>
                <w:b/>
                <w:bCs/>
                <w:color w:val="000000"/>
              </w:rPr>
              <w:t>October</w:t>
            </w:r>
            <w:r w:rsidRPr="00BB28F3">
              <w:rPr>
                <w:rFonts w:cs="Arial"/>
                <w:b/>
                <w:bCs/>
                <w:color w:val="000000"/>
              </w:rPr>
              <w:t xml:space="preserve"> 201</w:t>
            </w:r>
            <w:r w:rsidR="00B86C18">
              <w:rPr>
                <w:rFonts w:cs="Arial"/>
                <w:b/>
                <w:bCs/>
                <w:color w:val="000000"/>
              </w:rPr>
              <w:t>5</w:t>
            </w:r>
            <w:r w:rsidRPr="00BB28F3">
              <w:rPr>
                <w:rFonts w:cs="Arial"/>
                <w:b/>
                <w:bCs/>
                <w:color w:val="000000"/>
              </w:rPr>
              <w:t xml:space="preserve"> - 3</w:t>
            </w:r>
            <w:r w:rsidR="00B86C18">
              <w:rPr>
                <w:rFonts w:cs="Arial"/>
                <w:b/>
                <w:bCs/>
                <w:color w:val="000000"/>
              </w:rPr>
              <w:t>1</w:t>
            </w:r>
            <w:r w:rsidRPr="00BB28F3">
              <w:rPr>
                <w:rFonts w:cs="Arial"/>
                <w:b/>
                <w:bCs/>
                <w:color w:val="000000"/>
              </w:rPr>
              <w:t xml:space="preserve"> </w:t>
            </w:r>
            <w:r w:rsidR="00B86C18">
              <w:rPr>
                <w:rFonts w:cs="Arial"/>
                <w:b/>
                <w:bCs/>
                <w:color w:val="000000"/>
              </w:rPr>
              <w:t>March</w:t>
            </w:r>
            <w:r w:rsidRPr="00BB28F3">
              <w:rPr>
                <w:rFonts w:cs="Arial"/>
                <w:b/>
                <w:bCs/>
                <w:color w:val="000000"/>
              </w:rPr>
              <w:t xml:space="preserve"> 201</w:t>
            </w:r>
            <w:r w:rsidR="00B86C18">
              <w:rPr>
                <w:rFonts w:cs="Arial"/>
                <w:b/>
                <w:bCs/>
                <w:color w:val="000000"/>
              </w:rPr>
              <w:t>6</w:t>
            </w:r>
            <w:r w:rsidRPr="00BB28F3">
              <w:rPr>
                <w:rFonts w:cs="Arial"/>
                <w:color w:val="000000"/>
              </w:rPr>
              <w:t xml:space="preserve"> being inflated because some units, recorded as sold at $10, were effectively sold at $4 when the $6 stock on hand rebate is taken into account; and </w:t>
            </w:r>
          </w:p>
          <w:p w14:paraId="32454CD0" w14:textId="77777777" w:rsidR="001F3A1A" w:rsidRDefault="001F3A1A">
            <w:pPr>
              <w:numPr>
                <w:ilvl w:val="0"/>
                <w:numId w:val="14"/>
              </w:numPr>
              <w:autoSpaceDE w:val="0"/>
              <w:autoSpaceDN w:val="0"/>
              <w:adjustRightInd w:val="0"/>
              <w:spacing w:after="120" w:line="240" w:lineRule="auto"/>
              <w:ind w:left="714" w:hanging="357"/>
              <w:rPr>
                <w:rFonts w:cs="Arial"/>
                <w:color w:val="000000"/>
              </w:rPr>
            </w:pPr>
            <w:r w:rsidRPr="00BB28F3">
              <w:rPr>
                <w:rFonts w:cs="Arial"/>
                <w:b/>
                <w:bCs/>
                <w:color w:val="000000"/>
              </w:rPr>
              <w:t xml:space="preserve">Revenue in the period 1 </w:t>
            </w:r>
            <w:r w:rsidR="00B86C18">
              <w:rPr>
                <w:rFonts w:cs="Arial"/>
                <w:b/>
                <w:bCs/>
                <w:color w:val="000000"/>
              </w:rPr>
              <w:t>April</w:t>
            </w:r>
            <w:r w:rsidRPr="00BB28F3">
              <w:rPr>
                <w:rFonts w:cs="Arial"/>
                <w:b/>
                <w:bCs/>
                <w:color w:val="000000"/>
              </w:rPr>
              <w:t xml:space="preserve"> 201</w:t>
            </w:r>
            <w:r w:rsidR="00B86C18">
              <w:rPr>
                <w:rFonts w:cs="Arial"/>
                <w:b/>
                <w:bCs/>
                <w:color w:val="000000"/>
              </w:rPr>
              <w:t>6</w:t>
            </w:r>
            <w:r w:rsidRPr="00BB28F3">
              <w:rPr>
                <w:rFonts w:cs="Arial"/>
                <w:color w:val="000000"/>
              </w:rPr>
              <w:t xml:space="preserve"> </w:t>
            </w:r>
            <w:r w:rsidRPr="00BB28F3">
              <w:rPr>
                <w:rFonts w:cs="Arial"/>
                <w:b/>
                <w:bCs/>
                <w:color w:val="000000"/>
              </w:rPr>
              <w:t>– 3</w:t>
            </w:r>
            <w:r w:rsidR="00B86C18">
              <w:rPr>
                <w:rFonts w:cs="Arial"/>
                <w:b/>
                <w:bCs/>
                <w:color w:val="000000"/>
              </w:rPr>
              <w:t>0</w:t>
            </w:r>
            <w:r w:rsidRPr="00BB28F3">
              <w:rPr>
                <w:rFonts w:cs="Arial"/>
                <w:b/>
                <w:bCs/>
                <w:color w:val="000000"/>
              </w:rPr>
              <w:t xml:space="preserve"> </w:t>
            </w:r>
            <w:r w:rsidR="00B86C18">
              <w:rPr>
                <w:rFonts w:cs="Arial"/>
                <w:b/>
                <w:bCs/>
                <w:color w:val="000000"/>
              </w:rPr>
              <w:t>September</w:t>
            </w:r>
            <w:r w:rsidRPr="00BB28F3">
              <w:rPr>
                <w:rFonts w:cs="Arial"/>
                <w:b/>
                <w:bCs/>
                <w:color w:val="000000"/>
              </w:rPr>
              <w:t xml:space="preserve"> 201</w:t>
            </w:r>
            <w:r w:rsidR="00B86C18">
              <w:rPr>
                <w:rFonts w:cs="Arial"/>
                <w:b/>
                <w:bCs/>
                <w:color w:val="000000"/>
              </w:rPr>
              <w:t>6</w:t>
            </w:r>
            <w:r w:rsidRPr="00BB28F3">
              <w:rPr>
                <w:rFonts w:cs="Arial"/>
                <w:color w:val="000000"/>
              </w:rPr>
              <w:t xml:space="preserve"> being reduced because the stock on hand rebate of $6 (negative revenue) is recorded in this period despite applying to sales prior to 1 </w:t>
            </w:r>
            <w:r w:rsidR="00B86C18">
              <w:rPr>
                <w:rFonts w:cs="Arial"/>
                <w:color w:val="000000"/>
              </w:rPr>
              <w:t>October</w:t>
            </w:r>
            <w:r w:rsidR="00B86C18" w:rsidRPr="00BB28F3">
              <w:rPr>
                <w:rFonts w:cs="Arial"/>
                <w:color w:val="000000"/>
              </w:rPr>
              <w:t xml:space="preserve"> </w:t>
            </w:r>
            <w:r w:rsidRPr="00BB28F3">
              <w:rPr>
                <w:rFonts w:cs="Arial"/>
                <w:color w:val="000000"/>
              </w:rPr>
              <w:t>201</w:t>
            </w:r>
            <w:r w:rsidR="00FD50A8">
              <w:rPr>
                <w:rFonts w:cs="Arial"/>
                <w:color w:val="000000"/>
              </w:rPr>
              <w:t>5</w:t>
            </w:r>
            <w:r w:rsidRPr="00BB28F3">
              <w:rPr>
                <w:rFonts w:cs="Arial"/>
                <w:color w:val="000000"/>
              </w:rPr>
              <w:t>.</w:t>
            </w:r>
          </w:p>
          <w:p w14:paraId="27A082E8" w14:textId="77777777" w:rsidR="00A57366" w:rsidRDefault="00A57366" w:rsidP="00A57366">
            <w:pPr>
              <w:autoSpaceDE w:val="0"/>
              <w:autoSpaceDN w:val="0"/>
              <w:adjustRightInd w:val="0"/>
              <w:spacing w:after="120" w:line="240" w:lineRule="auto"/>
              <w:ind w:left="357"/>
              <w:rPr>
                <w:rFonts w:cs="Arial"/>
                <w:color w:val="000000"/>
              </w:rPr>
            </w:pPr>
            <w:r w:rsidRPr="00A57366">
              <w:rPr>
                <w:rFonts w:cs="Arial"/>
                <w:color w:val="000000"/>
              </w:rPr>
              <w:t>An alternative approach which may better reflect the circumstances, may involve:</w:t>
            </w:r>
          </w:p>
          <w:p w14:paraId="53CAD2B9" w14:textId="77777777" w:rsidR="00850634" w:rsidRPr="0000144C" w:rsidRDefault="00A57366" w:rsidP="00A57366">
            <w:pPr>
              <w:numPr>
                <w:ilvl w:val="0"/>
                <w:numId w:val="14"/>
              </w:numPr>
              <w:autoSpaceDE w:val="0"/>
              <w:autoSpaceDN w:val="0"/>
              <w:adjustRightInd w:val="0"/>
              <w:spacing w:after="120" w:line="240" w:lineRule="auto"/>
              <w:ind w:left="714" w:hanging="357"/>
              <w:rPr>
                <w:rFonts w:cs="Arial"/>
                <w:color w:val="000000"/>
              </w:rPr>
            </w:pPr>
            <w:r w:rsidRPr="00A57366">
              <w:rPr>
                <w:rFonts w:cs="Arial"/>
                <w:bCs/>
                <w:color w:val="000000"/>
              </w:rPr>
              <w:t xml:space="preserve">The responsible person deducting the stock on hand rebates from sales reported </w:t>
            </w:r>
            <w:r>
              <w:rPr>
                <w:rFonts w:cs="Arial"/>
                <w:bCs/>
                <w:color w:val="000000"/>
              </w:rPr>
              <w:br/>
            </w:r>
            <w:r w:rsidRPr="00A57366">
              <w:rPr>
                <w:rFonts w:cs="Arial"/>
                <w:bCs/>
                <w:color w:val="000000"/>
              </w:rPr>
              <w:t xml:space="preserve">or the period 1 October 2015 to 31 March 2016.  Under this approach, there is a need to rapidly quantify any stock on hand rebates associated with a particular reduction - in order to disclose these within the six week submission period immediately following the reduction day.  </w:t>
            </w:r>
          </w:p>
        </w:tc>
      </w:tr>
    </w:tbl>
    <w:p w14:paraId="37FA5816" w14:textId="77777777" w:rsidR="00211E19" w:rsidRPr="004B0DAF" w:rsidRDefault="00211E19" w:rsidP="00925E92">
      <w:pPr>
        <w:autoSpaceDE w:val="0"/>
        <w:autoSpaceDN w:val="0"/>
        <w:adjustRightInd w:val="0"/>
        <w:rPr>
          <w:rFonts w:cs="Arial"/>
        </w:rPr>
      </w:pPr>
    </w:p>
    <w:p w14:paraId="1A121D9C" w14:textId="77777777" w:rsidR="005D35C4" w:rsidRPr="005C6A81" w:rsidRDefault="009A6E9D" w:rsidP="0018413E">
      <w:pPr>
        <w:pStyle w:val="Heading2"/>
      </w:pPr>
      <w:bookmarkStart w:id="44" w:name="_Toc367914216"/>
      <w:r>
        <w:br w:type="page"/>
      </w:r>
      <w:bookmarkStart w:id="45" w:name="_Toc454283969"/>
      <w:r w:rsidR="00F31DC4" w:rsidRPr="005C6A81">
        <w:lastRenderedPageBreak/>
        <w:t>Submission</w:t>
      </w:r>
      <w:bookmarkEnd w:id="44"/>
      <w:bookmarkEnd w:id="45"/>
      <w:r w:rsidR="00F31DC4" w:rsidRPr="005C6A81">
        <w:t xml:space="preserve"> </w:t>
      </w:r>
    </w:p>
    <w:p w14:paraId="4406A670" w14:textId="77777777" w:rsidR="005D35C4" w:rsidRPr="005C6A81" w:rsidRDefault="00F31DC4" w:rsidP="00925E92">
      <w:pPr>
        <w:pStyle w:val="Heading3"/>
        <w:spacing w:before="120"/>
      </w:pPr>
      <w:bookmarkStart w:id="46" w:name="_Toc367914217"/>
      <w:bookmarkStart w:id="47" w:name="_Toc454283970"/>
      <w:r w:rsidRPr="005C6A81">
        <w:t xml:space="preserve">Timeframe </w:t>
      </w:r>
      <w:r w:rsidR="00951074">
        <w:t xml:space="preserve">&amp; </w:t>
      </w:r>
      <w:r w:rsidR="00D34789">
        <w:t>r</w:t>
      </w:r>
      <w:r w:rsidR="00951074">
        <w:t xml:space="preserve">esponsibility </w:t>
      </w:r>
      <w:r w:rsidRPr="005C6A81">
        <w:t>for submission of the information</w:t>
      </w:r>
      <w:bookmarkEnd w:id="46"/>
      <w:bookmarkEnd w:id="47"/>
      <w:r w:rsidRPr="005C6A81">
        <w:t xml:space="preserve"> </w:t>
      </w:r>
    </w:p>
    <w:p w14:paraId="4E2BFC71" w14:textId="77777777" w:rsidR="00C9514E" w:rsidRDefault="00F31DC4" w:rsidP="00587FC2">
      <w:pPr>
        <w:pStyle w:val="ListParagraph"/>
        <w:numPr>
          <w:ilvl w:val="0"/>
          <w:numId w:val="24"/>
        </w:numPr>
        <w:ind w:left="851" w:hanging="494"/>
        <w:contextualSpacing w:val="0"/>
        <w:rPr>
          <w:rFonts w:cs="Arial"/>
        </w:rPr>
      </w:pPr>
      <w:r w:rsidRPr="000C7578">
        <w:rPr>
          <w:rFonts w:cs="Arial"/>
        </w:rPr>
        <w:t>Responsible persons are required to submit price disclosure data (inc</w:t>
      </w:r>
      <w:r w:rsidR="00103F58">
        <w:rPr>
          <w:rFonts w:cs="Arial"/>
        </w:rPr>
        <w:t xml:space="preserve">luding incentives data) </w:t>
      </w:r>
      <w:r w:rsidR="00F41E46">
        <w:rPr>
          <w:rFonts w:cs="Arial"/>
        </w:rPr>
        <w:t>to the PDDA</w:t>
      </w:r>
      <w:r w:rsidR="00F303D7">
        <w:rPr>
          <w:rFonts w:cs="Arial"/>
        </w:rPr>
        <w:t xml:space="preserve"> for periods ending on</w:t>
      </w:r>
      <w:r w:rsidR="00C9514E">
        <w:rPr>
          <w:rFonts w:cs="Arial"/>
        </w:rPr>
        <w:t>:</w:t>
      </w:r>
      <w:r w:rsidR="00FD6ECA">
        <w:rPr>
          <w:rFonts w:cs="Arial"/>
        </w:rPr>
        <w:t xml:space="preserve"> </w:t>
      </w:r>
    </w:p>
    <w:p w14:paraId="08804828" w14:textId="77777777" w:rsidR="00C9514E" w:rsidRDefault="00C9514E" w:rsidP="00B93854">
      <w:pPr>
        <w:pStyle w:val="ListParagraph"/>
        <w:numPr>
          <w:ilvl w:val="1"/>
          <w:numId w:val="19"/>
        </w:numPr>
        <w:contextualSpacing w:val="0"/>
        <w:rPr>
          <w:rFonts w:cs="Arial"/>
        </w:rPr>
      </w:pPr>
      <w:r>
        <w:rPr>
          <w:rFonts w:cs="Arial"/>
        </w:rPr>
        <w:t>31 March</w:t>
      </w:r>
      <w:r w:rsidR="00A0060B">
        <w:rPr>
          <w:rFonts w:cs="Arial"/>
        </w:rPr>
        <w:t xml:space="preserve"> </w:t>
      </w:r>
      <w:r w:rsidR="00B20AE6">
        <w:rPr>
          <w:rFonts w:cs="Arial"/>
        </w:rPr>
        <w:t>–</w:t>
      </w:r>
      <w:r w:rsidR="00A0060B">
        <w:rPr>
          <w:rFonts w:cs="Arial"/>
        </w:rPr>
        <w:t xml:space="preserve"> </w:t>
      </w:r>
      <w:r w:rsidR="00B20AE6">
        <w:rPr>
          <w:rFonts w:cs="Arial"/>
        </w:rPr>
        <w:t>submission due by 12</w:t>
      </w:r>
      <w:r>
        <w:rPr>
          <w:rFonts w:cs="Arial"/>
        </w:rPr>
        <w:t> </w:t>
      </w:r>
      <w:r w:rsidR="00B20AE6">
        <w:rPr>
          <w:rFonts w:cs="Arial"/>
        </w:rPr>
        <w:t>May</w:t>
      </w:r>
      <w:r w:rsidR="00D8441C">
        <w:rPr>
          <w:rFonts w:cs="Arial"/>
        </w:rPr>
        <w:t>*</w:t>
      </w:r>
      <w:r>
        <w:rPr>
          <w:rFonts w:cs="Arial"/>
        </w:rPr>
        <w:t xml:space="preserve"> in that year; and</w:t>
      </w:r>
    </w:p>
    <w:p w14:paraId="3C5CD67C" w14:textId="77777777" w:rsidR="005D35C4" w:rsidRDefault="00C9514E" w:rsidP="00B93854">
      <w:pPr>
        <w:pStyle w:val="ListParagraph"/>
        <w:numPr>
          <w:ilvl w:val="1"/>
          <w:numId w:val="19"/>
        </w:numPr>
        <w:contextualSpacing w:val="0"/>
        <w:rPr>
          <w:rFonts w:cs="Arial"/>
        </w:rPr>
      </w:pPr>
      <w:r>
        <w:rPr>
          <w:rFonts w:cs="Arial"/>
        </w:rPr>
        <w:t>30 September</w:t>
      </w:r>
      <w:r w:rsidR="00A0060B">
        <w:rPr>
          <w:rFonts w:cs="Arial"/>
        </w:rPr>
        <w:t xml:space="preserve"> </w:t>
      </w:r>
      <w:r w:rsidR="00B20AE6">
        <w:rPr>
          <w:rFonts w:cs="Arial"/>
        </w:rPr>
        <w:t>–</w:t>
      </w:r>
      <w:r>
        <w:rPr>
          <w:rFonts w:cs="Arial"/>
        </w:rPr>
        <w:t xml:space="preserve"> </w:t>
      </w:r>
      <w:r w:rsidR="00B20AE6">
        <w:rPr>
          <w:rFonts w:cs="Arial"/>
        </w:rPr>
        <w:t>submission due by</w:t>
      </w:r>
      <w:r>
        <w:rPr>
          <w:rFonts w:cs="Arial"/>
        </w:rPr>
        <w:t xml:space="preserve"> 1</w:t>
      </w:r>
      <w:r w:rsidR="00B20AE6">
        <w:rPr>
          <w:rFonts w:cs="Arial"/>
        </w:rPr>
        <w:t>1</w:t>
      </w:r>
      <w:r>
        <w:rPr>
          <w:rFonts w:cs="Arial"/>
        </w:rPr>
        <w:t> </w:t>
      </w:r>
      <w:r w:rsidR="00B20AE6">
        <w:rPr>
          <w:rFonts w:cs="Arial"/>
        </w:rPr>
        <w:t>November</w:t>
      </w:r>
      <w:r w:rsidR="00D8441C">
        <w:rPr>
          <w:rFonts w:cs="Arial"/>
        </w:rPr>
        <w:t>*</w:t>
      </w:r>
      <w:r>
        <w:rPr>
          <w:rFonts w:cs="Arial"/>
        </w:rPr>
        <w:t xml:space="preserve"> in that year. </w:t>
      </w:r>
    </w:p>
    <w:p w14:paraId="509D367A" w14:textId="77777777" w:rsidR="00E90374" w:rsidRDefault="00D8441C" w:rsidP="008A6E71">
      <w:pPr>
        <w:pStyle w:val="ListParagraph"/>
        <w:spacing w:after="240"/>
        <w:contextualSpacing w:val="0"/>
        <w:rPr>
          <w:rFonts w:cs="Arial"/>
          <w:sz w:val="18"/>
          <w:szCs w:val="18"/>
        </w:rPr>
      </w:pPr>
      <w:r w:rsidRPr="00D8441C">
        <w:rPr>
          <w:rFonts w:cs="Arial"/>
          <w:sz w:val="18"/>
          <w:szCs w:val="18"/>
        </w:rPr>
        <w:t>*</w:t>
      </w:r>
      <w:r w:rsidR="00E90374" w:rsidRPr="00D8441C">
        <w:rPr>
          <w:rFonts w:cs="Arial"/>
          <w:sz w:val="18"/>
          <w:szCs w:val="18"/>
        </w:rPr>
        <w:t>If 12 May or 11 November is a weekend or public holiday, the data is due on the next business 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243"/>
      </w:tblGrid>
      <w:tr w:rsidR="005C6A81" w:rsidRPr="00BB28F3" w14:paraId="086DBD97" w14:textId="77777777" w:rsidTr="00BB28F3">
        <w:trPr>
          <w:trHeight w:val="2488"/>
        </w:trPr>
        <w:tc>
          <w:tcPr>
            <w:tcW w:w="9243" w:type="dxa"/>
            <w:shd w:val="clear" w:color="auto" w:fill="8DB3E2"/>
          </w:tcPr>
          <w:p w14:paraId="3A3FC195" w14:textId="77777777" w:rsidR="00E04246" w:rsidRPr="00BB28F3" w:rsidRDefault="005C6A81" w:rsidP="00BB28F3">
            <w:pPr>
              <w:spacing w:line="240" w:lineRule="auto"/>
              <w:rPr>
                <w:rFonts w:cs="Arial"/>
              </w:rPr>
            </w:pPr>
            <w:r w:rsidRPr="00BB28F3">
              <w:rPr>
                <w:rFonts w:cs="Arial"/>
                <w:b/>
              </w:rPr>
              <w:t xml:space="preserve">NOTE: </w:t>
            </w:r>
            <w:r w:rsidR="00F303D7" w:rsidRPr="00BB28F3">
              <w:rPr>
                <w:rFonts w:cs="Arial"/>
              </w:rPr>
              <w:t>P</w:t>
            </w:r>
            <w:r w:rsidR="00EC6DAF" w:rsidRPr="00BB28F3">
              <w:rPr>
                <w:rFonts w:cs="Arial"/>
              </w:rPr>
              <w:t>rice disclosure</w:t>
            </w:r>
            <w:r w:rsidRPr="00BB28F3">
              <w:rPr>
                <w:rFonts w:cs="Arial"/>
              </w:rPr>
              <w:t xml:space="preserve"> data </w:t>
            </w:r>
            <w:r w:rsidR="00F303D7" w:rsidRPr="00BB28F3">
              <w:rPr>
                <w:rFonts w:cs="Arial"/>
              </w:rPr>
              <w:t xml:space="preserve">is required to </w:t>
            </w:r>
            <w:r w:rsidRPr="00BB28F3">
              <w:rPr>
                <w:rFonts w:cs="Arial"/>
              </w:rPr>
              <w:t>be submitted</w:t>
            </w:r>
            <w:r w:rsidR="00F303D7" w:rsidRPr="00BB28F3">
              <w:rPr>
                <w:rFonts w:cs="Arial"/>
              </w:rPr>
              <w:t xml:space="preserve"> </w:t>
            </w:r>
            <w:r w:rsidR="00361268" w:rsidRPr="00BB28F3">
              <w:rPr>
                <w:rFonts w:cs="Arial"/>
              </w:rPr>
              <w:t xml:space="preserve">by 12 May and 11 November, </w:t>
            </w:r>
            <w:r w:rsidR="00F303D7" w:rsidRPr="00BB28F3">
              <w:rPr>
                <w:rFonts w:cs="Arial"/>
              </w:rPr>
              <w:t xml:space="preserve">regardless of the length of </w:t>
            </w:r>
            <w:r w:rsidR="00A0060B" w:rsidRPr="00BB28F3">
              <w:rPr>
                <w:rFonts w:cs="Arial"/>
              </w:rPr>
              <w:t xml:space="preserve">the period for which </w:t>
            </w:r>
            <w:r w:rsidR="00F303D7" w:rsidRPr="00BB28F3">
              <w:rPr>
                <w:rFonts w:cs="Arial"/>
              </w:rPr>
              <w:t>data</w:t>
            </w:r>
            <w:r w:rsidR="00A0060B" w:rsidRPr="00BB28F3">
              <w:rPr>
                <w:rFonts w:cs="Arial"/>
              </w:rPr>
              <w:t xml:space="preserve"> is</w:t>
            </w:r>
            <w:r w:rsidR="00F303D7" w:rsidRPr="00BB28F3">
              <w:rPr>
                <w:rFonts w:cs="Arial"/>
              </w:rPr>
              <w:t xml:space="preserve"> available</w:t>
            </w:r>
            <w:r w:rsidR="00E04246" w:rsidRPr="00BB28F3">
              <w:rPr>
                <w:rFonts w:cs="Arial"/>
              </w:rPr>
              <w:t xml:space="preserve">. </w:t>
            </w:r>
          </w:p>
          <w:p w14:paraId="3AF2541C" w14:textId="77777777" w:rsidR="008A3371" w:rsidRPr="00BB28F3" w:rsidRDefault="00E04246" w:rsidP="00BB28F3">
            <w:pPr>
              <w:spacing w:line="240" w:lineRule="auto"/>
              <w:rPr>
                <w:rFonts w:cs="Arial"/>
              </w:rPr>
            </w:pPr>
            <w:r w:rsidRPr="00BB28F3">
              <w:rPr>
                <w:rFonts w:cs="Arial"/>
              </w:rPr>
              <w:t>For exampl</w:t>
            </w:r>
            <w:r w:rsidR="007244CC" w:rsidRPr="00BB28F3">
              <w:rPr>
                <w:rFonts w:cs="Arial"/>
              </w:rPr>
              <w:t xml:space="preserve">e, </w:t>
            </w:r>
          </w:p>
          <w:p w14:paraId="7D918DFC" w14:textId="77777777" w:rsidR="008A3371" w:rsidRPr="00BB28F3" w:rsidRDefault="008A3371" w:rsidP="00BB28F3">
            <w:pPr>
              <w:pStyle w:val="ListParagraph"/>
              <w:numPr>
                <w:ilvl w:val="0"/>
                <w:numId w:val="22"/>
              </w:numPr>
              <w:spacing w:line="240" w:lineRule="auto"/>
            </w:pPr>
            <w:r w:rsidRPr="00BB28F3">
              <w:rPr>
                <w:rFonts w:cs="Arial"/>
              </w:rPr>
              <w:t>Price disclosure s</w:t>
            </w:r>
            <w:r w:rsidR="00E04246" w:rsidRPr="00BB28F3">
              <w:t xml:space="preserve">tart day </w:t>
            </w:r>
            <w:r w:rsidRPr="00BB28F3">
              <w:t xml:space="preserve">for a brand </w:t>
            </w:r>
            <w:r w:rsidR="00E04246" w:rsidRPr="00BB28F3">
              <w:t>is 1 August 201</w:t>
            </w:r>
            <w:r w:rsidR="003E49C5">
              <w:t>5</w:t>
            </w:r>
            <w:r w:rsidRPr="00BB28F3">
              <w:t>;</w:t>
            </w:r>
          </w:p>
          <w:p w14:paraId="5400F841" w14:textId="77777777" w:rsidR="008A3371" w:rsidRPr="00BB28F3" w:rsidRDefault="0049327C" w:rsidP="00BB28F3">
            <w:pPr>
              <w:pStyle w:val="ListParagraph"/>
              <w:numPr>
                <w:ilvl w:val="0"/>
                <w:numId w:val="22"/>
              </w:numPr>
              <w:spacing w:line="240" w:lineRule="auto"/>
              <w:rPr>
                <w:rFonts w:cs="Arial"/>
              </w:rPr>
            </w:pPr>
            <w:r w:rsidRPr="00BB28F3">
              <w:rPr>
                <w:rFonts w:cs="Arial"/>
              </w:rPr>
              <w:t>F</w:t>
            </w:r>
            <w:r w:rsidR="00E04246" w:rsidRPr="00BB28F3">
              <w:rPr>
                <w:rFonts w:cs="Arial"/>
              </w:rPr>
              <w:t>irst data colle</w:t>
            </w:r>
            <w:r w:rsidR="00F303D7" w:rsidRPr="00BB28F3">
              <w:rPr>
                <w:rFonts w:cs="Arial"/>
              </w:rPr>
              <w:t xml:space="preserve">ction period </w:t>
            </w:r>
            <w:r w:rsidR="008A3371" w:rsidRPr="00BB28F3">
              <w:rPr>
                <w:rFonts w:cs="Arial"/>
              </w:rPr>
              <w:t>is</w:t>
            </w:r>
            <w:r w:rsidR="00E04246" w:rsidRPr="00BB28F3">
              <w:rPr>
                <w:rFonts w:cs="Arial"/>
              </w:rPr>
              <w:t xml:space="preserve"> 1 August 201</w:t>
            </w:r>
            <w:r w:rsidR="003E49C5">
              <w:rPr>
                <w:rFonts w:cs="Arial"/>
              </w:rPr>
              <w:t>5</w:t>
            </w:r>
            <w:r w:rsidR="00E04246" w:rsidRPr="00BB28F3">
              <w:rPr>
                <w:rFonts w:cs="Arial"/>
              </w:rPr>
              <w:t xml:space="preserve"> to 31 March 201</w:t>
            </w:r>
            <w:r w:rsidR="003E49C5">
              <w:rPr>
                <w:rFonts w:cs="Arial"/>
              </w:rPr>
              <w:t>6</w:t>
            </w:r>
            <w:r w:rsidR="00E04246" w:rsidRPr="00BB28F3">
              <w:rPr>
                <w:rFonts w:cs="Arial"/>
              </w:rPr>
              <w:t xml:space="preserve"> (eight months)</w:t>
            </w:r>
            <w:r w:rsidR="008A3371" w:rsidRPr="00BB28F3">
              <w:rPr>
                <w:rFonts w:cs="Arial"/>
              </w:rPr>
              <w:t>;</w:t>
            </w:r>
          </w:p>
          <w:p w14:paraId="4440AB42" w14:textId="77777777" w:rsidR="008A3371" w:rsidRPr="00BB28F3" w:rsidRDefault="008A3371" w:rsidP="00BB28F3">
            <w:pPr>
              <w:pStyle w:val="ListParagraph"/>
              <w:numPr>
                <w:ilvl w:val="0"/>
                <w:numId w:val="22"/>
              </w:numPr>
              <w:spacing w:line="240" w:lineRule="auto"/>
              <w:rPr>
                <w:rFonts w:cs="Arial"/>
              </w:rPr>
            </w:pPr>
            <w:r w:rsidRPr="00BB28F3">
              <w:rPr>
                <w:rFonts w:cs="Arial"/>
              </w:rPr>
              <w:t>D</w:t>
            </w:r>
            <w:r w:rsidR="00E04246" w:rsidRPr="00BB28F3">
              <w:rPr>
                <w:rFonts w:cs="Arial"/>
              </w:rPr>
              <w:t xml:space="preserve">ata </w:t>
            </w:r>
            <w:r w:rsidR="008A6E71" w:rsidRPr="00BB28F3">
              <w:rPr>
                <w:rFonts w:cs="Arial"/>
              </w:rPr>
              <w:t xml:space="preserve">is </w:t>
            </w:r>
            <w:r w:rsidRPr="00BB28F3">
              <w:rPr>
                <w:rFonts w:cs="Arial"/>
              </w:rPr>
              <w:t xml:space="preserve">to be </w:t>
            </w:r>
            <w:r w:rsidR="00E04246" w:rsidRPr="00BB28F3">
              <w:rPr>
                <w:rFonts w:cs="Arial"/>
              </w:rPr>
              <w:t xml:space="preserve">submitted </w:t>
            </w:r>
            <w:r w:rsidR="00A0060B" w:rsidRPr="00BB28F3">
              <w:rPr>
                <w:rFonts w:cs="Arial"/>
              </w:rPr>
              <w:t>after</w:t>
            </w:r>
            <w:r w:rsidR="00E04246" w:rsidRPr="00BB28F3">
              <w:rPr>
                <w:rFonts w:cs="Arial"/>
              </w:rPr>
              <w:t xml:space="preserve"> both</w:t>
            </w:r>
            <w:r w:rsidRPr="00BB28F3">
              <w:rPr>
                <w:rFonts w:cs="Arial"/>
              </w:rPr>
              <w:t>:</w:t>
            </w:r>
            <w:r w:rsidR="00E04246" w:rsidRPr="00BB28F3">
              <w:rPr>
                <w:rFonts w:cs="Arial"/>
              </w:rPr>
              <w:t xml:space="preserve"> </w:t>
            </w:r>
          </w:p>
          <w:p w14:paraId="7FF6CE0D" w14:textId="77777777" w:rsidR="008A3371" w:rsidRPr="00BB28F3" w:rsidRDefault="00A0060B" w:rsidP="00BB28F3">
            <w:pPr>
              <w:pStyle w:val="ListParagraph"/>
              <w:numPr>
                <w:ilvl w:val="1"/>
                <w:numId w:val="23"/>
              </w:numPr>
              <w:spacing w:line="240" w:lineRule="auto"/>
              <w:rPr>
                <w:rFonts w:cs="Arial"/>
              </w:rPr>
            </w:pPr>
            <w:r w:rsidRPr="00BB28F3">
              <w:rPr>
                <w:rFonts w:cs="Arial"/>
              </w:rPr>
              <w:t>3</w:t>
            </w:r>
            <w:r w:rsidR="00E04246" w:rsidRPr="00BB28F3">
              <w:rPr>
                <w:rFonts w:cs="Arial"/>
              </w:rPr>
              <w:t>0 September 201</w:t>
            </w:r>
            <w:r w:rsidR="003E49C5">
              <w:rPr>
                <w:rFonts w:cs="Arial"/>
              </w:rPr>
              <w:t>5</w:t>
            </w:r>
            <w:r w:rsidR="00E04246" w:rsidRPr="00BB28F3">
              <w:rPr>
                <w:rFonts w:cs="Arial"/>
              </w:rPr>
              <w:t xml:space="preserve"> (</w:t>
            </w:r>
            <w:r w:rsidR="0049327C" w:rsidRPr="00BB28F3">
              <w:rPr>
                <w:rFonts w:cs="Arial"/>
              </w:rPr>
              <w:t>two</w:t>
            </w:r>
            <w:r w:rsidR="00E04246" w:rsidRPr="00BB28F3">
              <w:rPr>
                <w:rFonts w:cs="Arial"/>
              </w:rPr>
              <w:t xml:space="preserve"> months</w:t>
            </w:r>
            <w:r w:rsidRPr="00BB28F3">
              <w:rPr>
                <w:rFonts w:cs="Arial"/>
              </w:rPr>
              <w:t xml:space="preserve"> of data submitted by 11 November 201</w:t>
            </w:r>
            <w:r w:rsidR="003E49C5">
              <w:rPr>
                <w:rFonts w:cs="Arial"/>
              </w:rPr>
              <w:t>5</w:t>
            </w:r>
            <w:r w:rsidR="00E04246" w:rsidRPr="00BB28F3">
              <w:rPr>
                <w:rFonts w:cs="Arial"/>
              </w:rPr>
              <w:t>)</w:t>
            </w:r>
            <w:r w:rsidR="008A3371" w:rsidRPr="00BB28F3">
              <w:rPr>
                <w:rFonts w:cs="Arial"/>
              </w:rPr>
              <w:t>;</w:t>
            </w:r>
            <w:r w:rsidR="00E04246" w:rsidRPr="00BB28F3">
              <w:rPr>
                <w:rFonts w:cs="Arial"/>
              </w:rPr>
              <w:t xml:space="preserve"> and </w:t>
            </w:r>
          </w:p>
          <w:p w14:paraId="3A4BC913" w14:textId="77777777" w:rsidR="005C6A81" w:rsidRPr="00BB28F3" w:rsidRDefault="00E04246" w:rsidP="00074BE7">
            <w:pPr>
              <w:pStyle w:val="ListParagraph"/>
              <w:numPr>
                <w:ilvl w:val="1"/>
                <w:numId w:val="23"/>
              </w:numPr>
              <w:spacing w:after="120" w:line="240" w:lineRule="auto"/>
              <w:ind w:left="1077" w:hanging="357"/>
              <w:rPr>
                <w:rFonts w:cs="Arial"/>
              </w:rPr>
            </w:pPr>
            <w:r w:rsidRPr="00BB28F3">
              <w:rPr>
                <w:rFonts w:cs="Arial"/>
              </w:rPr>
              <w:t>31 March 201</w:t>
            </w:r>
            <w:r w:rsidR="003E49C5">
              <w:rPr>
                <w:rFonts w:cs="Arial"/>
              </w:rPr>
              <w:t>6</w:t>
            </w:r>
            <w:r w:rsidRPr="00BB28F3">
              <w:rPr>
                <w:rFonts w:cs="Arial"/>
              </w:rPr>
              <w:t xml:space="preserve"> (</w:t>
            </w:r>
            <w:r w:rsidR="0049327C" w:rsidRPr="00BB28F3">
              <w:rPr>
                <w:rFonts w:cs="Arial"/>
              </w:rPr>
              <w:t>six</w:t>
            </w:r>
            <w:r w:rsidRPr="00BB28F3">
              <w:rPr>
                <w:rFonts w:cs="Arial"/>
              </w:rPr>
              <w:t xml:space="preserve"> months</w:t>
            </w:r>
            <w:r w:rsidR="00A0060B" w:rsidRPr="00BB28F3">
              <w:rPr>
                <w:rFonts w:cs="Arial"/>
              </w:rPr>
              <w:t xml:space="preserve"> of data submitted by 12 May 201</w:t>
            </w:r>
            <w:r w:rsidR="003E49C5">
              <w:rPr>
                <w:rFonts w:cs="Arial"/>
              </w:rPr>
              <w:t>6</w:t>
            </w:r>
            <w:r w:rsidRPr="00BB28F3">
              <w:rPr>
                <w:rFonts w:cs="Arial"/>
              </w:rPr>
              <w:t xml:space="preserve">). </w:t>
            </w:r>
          </w:p>
        </w:tc>
      </w:tr>
    </w:tbl>
    <w:p w14:paraId="750EFB9B" w14:textId="77777777" w:rsidR="008A6E71" w:rsidRPr="00BB28F3" w:rsidRDefault="008A6E71" w:rsidP="00925E92">
      <w:pPr>
        <w:rPr>
          <w:b/>
          <w:bCs/>
          <w:iCs/>
          <w:color w:val="244061"/>
        </w:rPr>
      </w:pPr>
    </w:p>
    <w:p w14:paraId="5AD75A86" w14:textId="77777777" w:rsidR="00E35F3D" w:rsidRPr="00BB28F3" w:rsidRDefault="00E35F3D" w:rsidP="00925E92">
      <w:pPr>
        <w:rPr>
          <w:b/>
          <w:bCs/>
          <w:iCs/>
          <w:color w:val="244061"/>
        </w:rPr>
      </w:pPr>
      <w:r w:rsidRPr="00BB28F3">
        <w:rPr>
          <w:b/>
          <w:bCs/>
          <w:iCs/>
          <w:color w:val="244061"/>
        </w:rPr>
        <w:t>Submitting data</w:t>
      </w:r>
    </w:p>
    <w:p w14:paraId="12B8B234" w14:textId="77777777" w:rsidR="00E35F3D" w:rsidRDefault="00E35F3D" w:rsidP="00587FC2">
      <w:pPr>
        <w:pStyle w:val="ListParagraph"/>
        <w:numPr>
          <w:ilvl w:val="0"/>
          <w:numId w:val="24"/>
        </w:numPr>
        <w:ind w:left="851" w:hanging="494"/>
        <w:contextualSpacing w:val="0"/>
        <w:rPr>
          <w:rFonts w:cs="Arial"/>
        </w:rPr>
      </w:pPr>
      <w:r w:rsidRPr="00F54289">
        <w:rPr>
          <w:rFonts w:cs="Arial"/>
        </w:rPr>
        <w:t xml:space="preserve">Price disclosure data </w:t>
      </w:r>
      <w:r>
        <w:rPr>
          <w:rFonts w:cs="Arial"/>
        </w:rPr>
        <w:t>is</w:t>
      </w:r>
      <w:r w:rsidRPr="00F54289">
        <w:rPr>
          <w:rFonts w:cs="Arial"/>
        </w:rPr>
        <w:t xml:space="preserve"> submitted electronically to the PDDA, through the Price Disclosure Submission Utility (PDSU). The PDDA is an independent service provider contracted by the Department to provide data services for price disclosure. </w:t>
      </w:r>
    </w:p>
    <w:p w14:paraId="52994177" w14:textId="77777777" w:rsidR="00B9723C" w:rsidRDefault="00B9723C" w:rsidP="00925E92">
      <w:pPr>
        <w:rPr>
          <w:rFonts w:cs="Arial"/>
        </w:rPr>
      </w:pPr>
    </w:p>
    <w:tbl>
      <w:tblPr>
        <w:tblpPr w:leftFromText="180" w:rightFromText="180" w:vertAnchor="text" w:horzAnchor="margin"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Caption w:val="&quot;&quot;"/>
      </w:tblPr>
      <w:tblGrid>
        <w:gridCol w:w="9243"/>
      </w:tblGrid>
      <w:tr w:rsidR="0070732B" w:rsidRPr="00BB28F3" w14:paraId="0529360E" w14:textId="77777777" w:rsidTr="00BB28F3">
        <w:tc>
          <w:tcPr>
            <w:tcW w:w="9243" w:type="dxa"/>
            <w:shd w:val="clear" w:color="auto" w:fill="8DB3E2"/>
          </w:tcPr>
          <w:p w14:paraId="5C71647F" w14:textId="77777777" w:rsidR="0070732B" w:rsidRPr="00BB28F3" w:rsidRDefault="0070732B" w:rsidP="00074BE7">
            <w:pPr>
              <w:spacing w:after="120" w:line="240" w:lineRule="auto"/>
              <w:rPr>
                <w:rFonts w:cs="Arial"/>
              </w:rPr>
            </w:pPr>
            <w:r w:rsidRPr="00BB28F3">
              <w:rPr>
                <w:rFonts w:cs="Arial"/>
                <w:b/>
              </w:rPr>
              <w:t>NOTE:</w:t>
            </w:r>
            <w:r w:rsidRPr="00BB28F3">
              <w:rPr>
                <w:rFonts w:cs="Arial"/>
              </w:rPr>
              <w:t xml:space="preserve"> The PDSU software will be provided by the PDDA immediately before the end of the first period for which a responsible person will be required to submit data after it has a brand of pharmaceutical item that becomes subject to price disclosure requirements. Responsible persons wishing to discuss what is required for the data submission process should contact the PDDA. Contact details can be found on the last page of this document. </w:t>
            </w:r>
          </w:p>
        </w:tc>
      </w:tr>
    </w:tbl>
    <w:p w14:paraId="190B695E" w14:textId="77777777" w:rsidR="00B9723C" w:rsidRPr="00F3381A" w:rsidRDefault="00B9723C" w:rsidP="00587FC2">
      <w:pPr>
        <w:pStyle w:val="ListParagraph"/>
        <w:numPr>
          <w:ilvl w:val="0"/>
          <w:numId w:val="24"/>
        </w:numPr>
        <w:ind w:left="851" w:hanging="494"/>
        <w:contextualSpacing w:val="0"/>
        <w:rPr>
          <w:rFonts w:cs="Arial"/>
        </w:rPr>
      </w:pPr>
      <w:r>
        <w:rPr>
          <w:rFonts w:cs="Arial"/>
        </w:rPr>
        <w:t xml:space="preserve">In the unlikely event that the current PDDA is unable to receive data, the Department can give notice to responsible persons to submit data to the Department directly.  </w:t>
      </w:r>
    </w:p>
    <w:p w14:paraId="65D5EA0D" w14:textId="77777777" w:rsidR="00044730" w:rsidRDefault="00044730" w:rsidP="00925E92">
      <w:pPr>
        <w:pStyle w:val="Heading4"/>
        <w:spacing w:before="120"/>
      </w:pPr>
      <w:r>
        <w:t xml:space="preserve">Timely </w:t>
      </w:r>
      <w:r w:rsidR="00E35F3D">
        <w:t>submission</w:t>
      </w:r>
      <w:r>
        <w:t xml:space="preserve"> of data</w:t>
      </w:r>
    </w:p>
    <w:p w14:paraId="5A80E9AF" w14:textId="77777777" w:rsidR="006C63FB" w:rsidRDefault="00044730" w:rsidP="00587FC2">
      <w:pPr>
        <w:pStyle w:val="ListParagraph"/>
        <w:numPr>
          <w:ilvl w:val="0"/>
          <w:numId w:val="24"/>
        </w:numPr>
        <w:ind w:left="851" w:hanging="494"/>
      </w:pPr>
      <w:r>
        <w:t xml:space="preserve">Responsible persons are encouraged to collate data as early as possible in the data submission period. The Department recommends an early check of brands in the PDSU to ensure the list covers all the products for which </w:t>
      </w:r>
      <w:r w:rsidR="0070732B">
        <w:t>there is</w:t>
      </w:r>
      <w:r>
        <w:t xml:space="preserve"> a legal obligation to provide data. Although some data may not be available until later in the submission period, early checks will assist to identify what is required. </w:t>
      </w:r>
    </w:p>
    <w:p w14:paraId="1E91CD2C" w14:textId="77777777" w:rsidR="00044730" w:rsidRDefault="006C63FB" w:rsidP="00587FC2">
      <w:pPr>
        <w:pStyle w:val="ListParagraph"/>
        <w:numPr>
          <w:ilvl w:val="0"/>
          <w:numId w:val="24"/>
        </w:numPr>
        <w:ind w:left="851" w:hanging="494"/>
        <w:contextualSpacing w:val="0"/>
      </w:pPr>
      <w:r>
        <w:br w:type="page"/>
      </w:r>
      <w:r w:rsidR="00044730">
        <w:lastRenderedPageBreak/>
        <w:t xml:space="preserve">Some responsible persons have requested an extension </w:t>
      </w:r>
      <w:r w:rsidR="001137AF">
        <w:t xml:space="preserve">to </w:t>
      </w:r>
      <w:r w:rsidR="00044730">
        <w:t>the submission deadline when unexpected absences or other issues arise. Extensions cannot be provided as the submission period is set by the Regulations.</w:t>
      </w:r>
      <w:r w:rsidR="009B5F81">
        <w:t xml:space="preserve"> Making an early start on data collection reduces the risk of difficulty meeting disclosure deadlines.</w:t>
      </w:r>
      <w:r w:rsidR="00044730">
        <w:t xml:space="preserve"> </w:t>
      </w:r>
      <w:r w:rsidR="0070732B">
        <w:t>Late disclosure will constitute non-compliance.</w:t>
      </w:r>
    </w:p>
    <w:p w14:paraId="5A78C85B" w14:textId="77777777" w:rsidR="004656E4" w:rsidRPr="0064632E" w:rsidRDefault="004656E4" w:rsidP="00925E92">
      <w:pPr>
        <w:pStyle w:val="Heading4"/>
        <w:spacing w:before="120"/>
      </w:pPr>
      <w:r>
        <w:t>Change of responsible person during a data collection period</w:t>
      </w:r>
    </w:p>
    <w:p w14:paraId="66AB2DD0" w14:textId="77777777" w:rsidR="00643CEA" w:rsidRPr="00643CEA" w:rsidRDefault="00864F71" w:rsidP="00587FC2">
      <w:pPr>
        <w:pStyle w:val="ListParagraph"/>
        <w:numPr>
          <w:ilvl w:val="0"/>
          <w:numId w:val="24"/>
        </w:numPr>
        <w:ind w:left="851" w:hanging="494"/>
        <w:contextualSpacing w:val="0"/>
        <w:rPr>
          <w:rFonts w:cs="Arial"/>
        </w:rPr>
      </w:pPr>
      <w:r w:rsidRPr="000C7578">
        <w:rPr>
          <w:rFonts w:cs="Arial"/>
        </w:rPr>
        <w:t xml:space="preserve">It is the responsibility of the company that is the legal responsible person during the data collection period to submit data. If </w:t>
      </w:r>
      <w:r w:rsidR="00643CEA">
        <w:rPr>
          <w:rFonts w:cs="Arial"/>
        </w:rPr>
        <w:t>the</w:t>
      </w:r>
      <w:r w:rsidRPr="000C7578">
        <w:rPr>
          <w:rFonts w:cs="Arial"/>
        </w:rPr>
        <w:t xml:space="preserve"> responsible person </w:t>
      </w:r>
      <w:r w:rsidR="00545D05" w:rsidRPr="000C7578">
        <w:rPr>
          <w:rFonts w:cs="Arial"/>
        </w:rPr>
        <w:t>changes during the data collection period, then each responsible person must report for the period it was r</w:t>
      </w:r>
      <w:r w:rsidR="00643CEA">
        <w:rPr>
          <w:rFonts w:cs="Arial"/>
        </w:rPr>
        <w:t>esponsible for the brand. T</w:t>
      </w:r>
      <w:r w:rsidR="00545D05" w:rsidRPr="000C7578">
        <w:rPr>
          <w:rFonts w:cs="Arial"/>
        </w:rPr>
        <w:t>he PDSU will be opened for each of the</w:t>
      </w:r>
      <w:r w:rsidR="00103F58">
        <w:rPr>
          <w:rFonts w:cs="Arial"/>
        </w:rPr>
        <w:t xml:space="preserve"> responsible persons to submit d</w:t>
      </w:r>
      <w:r w:rsidR="00545D05" w:rsidRPr="000C7578">
        <w:rPr>
          <w:rFonts w:cs="Arial"/>
        </w:rPr>
        <w:t>a</w:t>
      </w:r>
      <w:r w:rsidR="00103F58">
        <w:rPr>
          <w:rFonts w:cs="Arial"/>
        </w:rPr>
        <w:t>ta</w:t>
      </w:r>
      <w:r w:rsidR="00545D05" w:rsidRPr="000C7578">
        <w:rPr>
          <w:rFonts w:cs="Arial"/>
        </w:rPr>
        <w:t xml:space="preserve"> for their relevant periods. </w:t>
      </w:r>
      <w:r w:rsidR="00545D05" w:rsidRPr="00643CEA">
        <w:rPr>
          <w:rFonts w:cs="Arial"/>
        </w:rPr>
        <w:t xml:space="preserve"> </w:t>
      </w:r>
    </w:p>
    <w:p w14:paraId="50096DD6" w14:textId="77777777" w:rsidR="00B93854" w:rsidRDefault="00643CEA" w:rsidP="00D63819">
      <w:pPr>
        <w:pStyle w:val="ListParagraph"/>
        <w:numPr>
          <w:ilvl w:val="0"/>
          <w:numId w:val="24"/>
        </w:numPr>
        <w:ind w:left="850" w:hanging="493"/>
        <w:contextualSpacing w:val="0"/>
        <w:rPr>
          <w:rFonts w:cs="Arial"/>
        </w:rPr>
      </w:pPr>
      <w:r w:rsidRPr="00643CEA">
        <w:rPr>
          <w:rFonts w:cs="Arial"/>
        </w:rPr>
        <w:t>If</w:t>
      </w:r>
      <w:r w:rsidR="00B93854">
        <w:rPr>
          <w:rFonts w:cs="Arial"/>
        </w:rPr>
        <w:t>:</w:t>
      </w:r>
    </w:p>
    <w:p w14:paraId="14C78C74" w14:textId="77777777" w:rsidR="00B93854" w:rsidRDefault="00643CEA" w:rsidP="0094356B">
      <w:pPr>
        <w:pStyle w:val="ListParagraph"/>
        <w:numPr>
          <w:ilvl w:val="1"/>
          <w:numId w:val="24"/>
        </w:numPr>
        <w:contextualSpacing w:val="0"/>
        <w:rPr>
          <w:rFonts w:cs="Arial"/>
        </w:rPr>
      </w:pPr>
      <w:r w:rsidRPr="00B93854">
        <w:rPr>
          <w:rFonts w:cs="Arial"/>
        </w:rPr>
        <w:t xml:space="preserve">a responsible person passes commercial responsibility for a brand to another company before the legal change to responsible person; and </w:t>
      </w:r>
    </w:p>
    <w:p w14:paraId="4663EC39" w14:textId="77777777" w:rsidR="00643CEA" w:rsidRPr="00B93854" w:rsidRDefault="00643CEA" w:rsidP="0094356B">
      <w:pPr>
        <w:pStyle w:val="ListParagraph"/>
        <w:numPr>
          <w:ilvl w:val="1"/>
          <w:numId w:val="24"/>
        </w:numPr>
        <w:contextualSpacing w:val="0"/>
        <w:rPr>
          <w:rFonts w:cs="Arial"/>
        </w:rPr>
      </w:pPr>
      <w:r w:rsidRPr="00B93854">
        <w:rPr>
          <w:rFonts w:cs="Arial"/>
        </w:rPr>
        <w:t xml:space="preserve">the relevant companies prefer the new commercially responsible company to make the disclosure for the period it was selling the product, </w:t>
      </w:r>
    </w:p>
    <w:p w14:paraId="026A1563" w14:textId="77777777" w:rsidR="00BF4DE0" w:rsidRDefault="00951074" w:rsidP="00925E92">
      <w:pPr>
        <w:ind w:left="1080"/>
        <w:rPr>
          <w:rFonts w:cs="Arial"/>
        </w:rPr>
      </w:pPr>
      <w:r w:rsidRPr="00643CEA">
        <w:rPr>
          <w:rFonts w:cs="Arial"/>
        </w:rPr>
        <w:t xml:space="preserve">the companies </w:t>
      </w:r>
      <w:r w:rsidR="00643CEA">
        <w:rPr>
          <w:rFonts w:cs="Arial"/>
        </w:rPr>
        <w:t>must</w:t>
      </w:r>
      <w:r w:rsidRPr="00643CEA">
        <w:rPr>
          <w:rFonts w:cs="Arial"/>
        </w:rPr>
        <w:t xml:space="preserve"> </w:t>
      </w:r>
      <w:r w:rsidR="00643CEA">
        <w:rPr>
          <w:rFonts w:cs="Arial"/>
        </w:rPr>
        <w:t xml:space="preserve">notify the Department and the </w:t>
      </w:r>
      <w:r w:rsidRPr="00643CEA">
        <w:rPr>
          <w:rFonts w:cs="Arial"/>
        </w:rPr>
        <w:t xml:space="preserve">PDDA </w:t>
      </w:r>
      <w:r w:rsidR="00643CEA">
        <w:rPr>
          <w:rFonts w:cs="Arial"/>
        </w:rPr>
        <w:t>about</w:t>
      </w:r>
      <w:r w:rsidRPr="00643CEA">
        <w:rPr>
          <w:rFonts w:cs="Arial"/>
        </w:rPr>
        <w:t xml:space="preserve"> </w:t>
      </w:r>
      <w:r w:rsidR="00643CEA">
        <w:rPr>
          <w:rFonts w:cs="Arial"/>
        </w:rPr>
        <w:t>who is intended to</w:t>
      </w:r>
      <w:r w:rsidRPr="00643CEA">
        <w:rPr>
          <w:rFonts w:cs="Arial"/>
        </w:rPr>
        <w:t xml:space="preserve"> submit </w:t>
      </w:r>
      <w:r w:rsidR="00643CEA">
        <w:rPr>
          <w:rFonts w:cs="Arial"/>
        </w:rPr>
        <w:t xml:space="preserve">the </w:t>
      </w:r>
      <w:r w:rsidRPr="00643CEA">
        <w:rPr>
          <w:rFonts w:cs="Arial"/>
        </w:rPr>
        <w:t xml:space="preserve">data.  </w:t>
      </w:r>
    </w:p>
    <w:p w14:paraId="3AC31FCD" w14:textId="77777777" w:rsidR="00643CEA" w:rsidRDefault="00643CEA" w:rsidP="00587FC2">
      <w:pPr>
        <w:pStyle w:val="ListParagraph"/>
        <w:numPr>
          <w:ilvl w:val="0"/>
          <w:numId w:val="24"/>
        </w:numPr>
        <w:ind w:left="851" w:hanging="494"/>
        <w:contextualSpacing w:val="0"/>
        <w:rPr>
          <w:rFonts w:cs="Arial"/>
        </w:rPr>
      </w:pPr>
      <w:r>
        <w:rPr>
          <w:rFonts w:cs="Arial"/>
        </w:rPr>
        <w:t>Notification about who will submit data in cases of early transfer of commercial responsibility for</w:t>
      </w:r>
      <w:r w:rsidR="00A305CB">
        <w:rPr>
          <w:rFonts w:cs="Arial"/>
        </w:rPr>
        <w:t xml:space="preserve"> a</w:t>
      </w:r>
      <w:r>
        <w:rPr>
          <w:rFonts w:cs="Arial"/>
        </w:rPr>
        <w:t xml:space="preserve"> brand can be done by letter. A letter from the legally responsible person should authorise the new commercially responsible person to disclose for the specified brands of pharmaceutical items for specified periods</w:t>
      </w:r>
      <w:r w:rsidR="00A305CB">
        <w:rPr>
          <w:rFonts w:cs="Arial"/>
        </w:rPr>
        <w:t xml:space="preserve"> or from a specified date</w:t>
      </w:r>
      <w:r>
        <w:rPr>
          <w:rFonts w:cs="Arial"/>
        </w:rPr>
        <w:t>. A letter from the new commercially responsible person should then undertake to make the disclosure for the specified brands for the specified period</w:t>
      </w:r>
      <w:r w:rsidR="00A305CB">
        <w:rPr>
          <w:rFonts w:cs="Arial"/>
        </w:rPr>
        <w:t xml:space="preserve"> or from a specified date</w:t>
      </w:r>
      <w:r>
        <w:rPr>
          <w:rFonts w:cs="Arial"/>
        </w:rPr>
        <w:t xml:space="preserve">. This could be achieved through one co-signed letter.  </w:t>
      </w:r>
    </w:p>
    <w:p w14:paraId="6AA7D516" w14:textId="77777777" w:rsidR="00951074" w:rsidRDefault="00951074" w:rsidP="00587FC2">
      <w:pPr>
        <w:pStyle w:val="ListParagraph"/>
        <w:numPr>
          <w:ilvl w:val="0"/>
          <w:numId w:val="24"/>
        </w:numPr>
        <w:ind w:left="851" w:hanging="494"/>
        <w:contextualSpacing w:val="0"/>
        <w:rPr>
          <w:rFonts w:cs="Arial"/>
        </w:rPr>
      </w:pPr>
      <w:r w:rsidRPr="00643CEA">
        <w:rPr>
          <w:rFonts w:cs="Arial"/>
        </w:rPr>
        <w:t xml:space="preserve">The letter or letters </w:t>
      </w:r>
      <w:r w:rsidR="00643CEA">
        <w:rPr>
          <w:rFonts w:cs="Arial"/>
        </w:rPr>
        <w:t>giving</w:t>
      </w:r>
      <w:r w:rsidRPr="00643CEA">
        <w:rPr>
          <w:rFonts w:cs="Arial"/>
        </w:rPr>
        <w:t xml:space="preserve"> the relevant authorisation and undertaking should be </w:t>
      </w:r>
      <w:r w:rsidR="00643CEA">
        <w:rPr>
          <w:rFonts w:cs="Arial"/>
        </w:rPr>
        <w:t xml:space="preserve">addressed to the </w:t>
      </w:r>
      <w:r w:rsidR="00EC6DAF">
        <w:rPr>
          <w:rFonts w:cs="Arial"/>
        </w:rPr>
        <w:t>Price Disclosure T</w:t>
      </w:r>
      <w:r w:rsidR="00643CEA">
        <w:rPr>
          <w:rFonts w:cs="Arial"/>
        </w:rPr>
        <w:t xml:space="preserve">eam in the Department and </w:t>
      </w:r>
      <w:r w:rsidR="00BF4DE0">
        <w:rPr>
          <w:rFonts w:cs="Arial"/>
        </w:rPr>
        <w:t xml:space="preserve">copies </w:t>
      </w:r>
      <w:r w:rsidRPr="00643CEA">
        <w:rPr>
          <w:rFonts w:cs="Arial"/>
        </w:rPr>
        <w:t xml:space="preserve">sent to both </w:t>
      </w:r>
      <w:r w:rsidR="00643CEA">
        <w:rPr>
          <w:rFonts w:cs="Arial"/>
        </w:rPr>
        <w:t xml:space="preserve">the Department </w:t>
      </w:r>
      <w:r w:rsidRPr="00643CEA">
        <w:rPr>
          <w:rFonts w:cs="Arial"/>
        </w:rPr>
        <w:t>and to the PDDA</w:t>
      </w:r>
      <w:r w:rsidR="00643CEA">
        <w:rPr>
          <w:rFonts w:cs="Arial"/>
        </w:rPr>
        <w:t xml:space="preserve">. An emailed </w:t>
      </w:r>
      <w:r w:rsidR="00BF4DE0">
        <w:rPr>
          <w:rFonts w:cs="Arial"/>
        </w:rPr>
        <w:t xml:space="preserve">PDF </w:t>
      </w:r>
      <w:r w:rsidR="00643CEA">
        <w:rPr>
          <w:rFonts w:cs="Arial"/>
        </w:rPr>
        <w:t xml:space="preserve">version of the letter </w:t>
      </w:r>
      <w:r w:rsidR="00BF4DE0">
        <w:rPr>
          <w:rFonts w:cs="Arial"/>
        </w:rPr>
        <w:t>is acceptable. E</w:t>
      </w:r>
      <w:r w:rsidR="00643CEA">
        <w:rPr>
          <w:rFonts w:cs="Arial"/>
        </w:rPr>
        <w:t>mail details can be found on the last page of this document.</w:t>
      </w:r>
    </w:p>
    <w:p w14:paraId="43A6A720" w14:textId="77777777" w:rsidR="005D35C4" w:rsidRPr="000C7578" w:rsidRDefault="00643CEA" w:rsidP="00587FC2">
      <w:pPr>
        <w:pStyle w:val="ListParagraph"/>
        <w:numPr>
          <w:ilvl w:val="0"/>
          <w:numId w:val="24"/>
        </w:numPr>
        <w:ind w:left="851" w:hanging="494"/>
        <w:contextualSpacing w:val="0"/>
        <w:rPr>
          <w:rFonts w:cs="Arial"/>
        </w:rPr>
      </w:pPr>
      <w:r>
        <w:rPr>
          <w:rFonts w:cs="Arial"/>
        </w:rPr>
        <w:t>If further information about</w:t>
      </w:r>
      <w:r w:rsidR="00F41E46">
        <w:rPr>
          <w:rFonts w:cs="Arial"/>
        </w:rPr>
        <w:t xml:space="preserve"> the submission process </w:t>
      </w:r>
      <w:r w:rsidR="0070732B">
        <w:rPr>
          <w:rFonts w:cs="Arial"/>
        </w:rPr>
        <w:t xml:space="preserve">is required </w:t>
      </w:r>
      <w:r w:rsidR="00F41E46">
        <w:rPr>
          <w:rFonts w:cs="Arial"/>
        </w:rPr>
        <w:t>p</w:t>
      </w:r>
      <w:r w:rsidR="00545D05" w:rsidRPr="000C7578">
        <w:rPr>
          <w:rFonts w:cs="Arial"/>
        </w:rPr>
        <w:t>lease contact the PDDA</w:t>
      </w:r>
      <w:r w:rsidR="00CD7CF0">
        <w:rPr>
          <w:rFonts w:cs="Arial"/>
        </w:rPr>
        <w:t xml:space="preserve">. </w:t>
      </w:r>
      <w:r>
        <w:rPr>
          <w:rFonts w:cs="Arial"/>
        </w:rPr>
        <w:t>Contact details can be found on the last page of this document.</w:t>
      </w:r>
    </w:p>
    <w:p w14:paraId="6B66534F" w14:textId="77777777" w:rsidR="005D35C4" w:rsidRPr="005C6A81" w:rsidRDefault="00F31DC4" w:rsidP="00925E92">
      <w:pPr>
        <w:pStyle w:val="Heading3"/>
        <w:spacing w:before="120"/>
      </w:pPr>
      <w:bookmarkStart w:id="48" w:name="_Toc367914218"/>
      <w:bookmarkStart w:id="49" w:name="_Toc454283971"/>
      <w:r w:rsidRPr="005C6A81">
        <w:t>Certification requirements</w:t>
      </w:r>
      <w:bookmarkEnd w:id="48"/>
      <w:bookmarkEnd w:id="49"/>
      <w:r w:rsidRPr="005C6A81">
        <w:t xml:space="preserve"> </w:t>
      </w:r>
    </w:p>
    <w:p w14:paraId="4F96F1FD" w14:textId="77777777" w:rsidR="008A6E71" w:rsidRDefault="00F31DC4" w:rsidP="00587FC2">
      <w:pPr>
        <w:pStyle w:val="ListParagraph"/>
        <w:numPr>
          <w:ilvl w:val="0"/>
          <w:numId w:val="24"/>
        </w:numPr>
        <w:ind w:left="851" w:hanging="494"/>
        <w:contextualSpacing w:val="0"/>
        <w:rPr>
          <w:rFonts w:cs="Arial"/>
        </w:rPr>
      </w:pPr>
      <w:r w:rsidRPr="000C7578">
        <w:rPr>
          <w:rFonts w:cs="Arial"/>
        </w:rPr>
        <w:t xml:space="preserve">When a responsible person submits </w:t>
      </w:r>
      <w:r w:rsidR="00BF4DE0">
        <w:rPr>
          <w:rFonts w:cs="Arial"/>
        </w:rPr>
        <w:t>price disclosure</w:t>
      </w:r>
      <w:r w:rsidR="00BF4DE0" w:rsidRPr="000C7578">
        <w:rPr>
          <w:rFonts w:cs="Arial"/>
        </w:rPr>
        <w:t xml:space="preserve"> </w:t>
      </w:r>
      <w:r w:rsidRPr="000C7578">
        <w:rPr>
          <w:rFonts w:cs="Arial"/>
        </w:rPr>
        <w:t xml:space="preserve">data to the PDDA, the </w:t>
      </w:r>
      <w:r w:rsidR="00A03EF6">
        <w:rPr>
          <w:rFonts w:cs="Arial"/>
        </w:rPr>
        <w:t xml:space="preserve">authorised representative </w:t>
      </w:r>
      <w:r w:rsidR="00420339">
        <w:rPr>
          <w:rFonts w:cs="Arial"/>
        </w:rPr>
        <w:t xml:space="preserve">for the responsible person </w:t>
      </w:r>
      <w:r w:rsidRPr="000C7578">
        <w:rPr>
          <w:rFonts w:cs="Arial"/>
        </w:rPr>
        <w:t xml:space="preserve">is required to certify via the PDSU, that </w:t>
      </w:r>
      <w:r w:rsidR="00133997">
        <w:rPr>
          <w:rFonts w:cs="Arial"/>
        </w:rPr>
        <w:br/>
      </w:r>
      <w:r w:rsidRPr="00382153">
        <w:rPr>
          <w:rFonts w:cs="Arial"/>
          <w:b/>
        </w:rPr>
        <w:t>“</w:t>
      </w:r>
      <w:r w:rsidR="00382153" w:rsidRPr="00382153">
        <w:rPr>
          <w:rFonts w:cs="Arial"/>
          <w:b/>
        </w:rPr>
        <w:t xml:space="preserve">in accordance with the certification </w:t>
      </w:r>
      <w:r w:rsidR="00400D9E" w:rsidRPr="00382153">
        <w:rPr>
          <w:rFonts w:cs="Arial"/>
          <w:b/>
        </w:rPr>
        <w:t>procedures that</w:t>
      </w:r>
      <w:r w:rsidR="00382153" w:rsidRPr="00382153">
        <w:rPr>
          <w:rFonts w:cs="Arial"/>
          <w:b/>
        </w:rPr>
        <w:t xml:space="preserve"> </w:t>
      </w:r>
      <w:r w:rsidRPr="00382153">
        <w:rPr>
          <w:rFonts w:cs="Arial"/>
          <w:b/>
        </w:rPr>
        <w:t>I have caused reasonable reviews of the information to be done. To the best of my knowledge and belief, the information is true, complete and accurate</w:t>
      </w:r>
      <w:r w:rsidR="00382153" w:rsidRPr="00382153">
        <w:rPr>
          <w:rFonts w:cs="Arial"/>
          <w:b/>
        </w:rPr>
        <w:t>,</w:t>
      </w:r>
      <w:r w:rsidRPr="00382153">
        <w:rPr>
          <w:rFonts w:cs="Arial"/>
        </w:rPr>
        <w:t xml:space="preserve"> as of the date it is submitted and in accordance with the </w:t>
      </w:r>
      <w:r w:rsidR="00382153" w:rsidRPr="00382153">
        <w:rPr>
          <w:rFonts w:cs="Arial"/>
          <w:i/>
        </w:rPr>
        <w:t xml:space="preserve">National Health (Pharmaceutical Benefits) </w:t>
      </w:r>
      <w:r w:rsidR="00F0322D" w:rsidRPr="00382153">
        <w:rPr>
          <w:rFonts w:cs="Arial"/>
          <w:i/>
        </w:rPr>
        <w:t>Regulations</w:t>
      </w:r>
      <w:r w:rsidR="00382153" w:rsidRPr="00382153">
        <w:rPr>
          <w:rFonts w:cs="Arial"/>
          <w:i/>
        </w:rPr>
        <w:t xml:space="preserve"> 1960</w:t>
      </w:r>
      <w:r w:rsidR="00F0322D" w:rsidRPr="00382153">
        <w:rPr>
          <w:rFonts w:cs="Arial"/>
        </w:rPr>
        <w:t>.</w:t>
      </w:r>
      <w:r w:rsidR="00382153" w:rsidRPr="00382153">
        <w:rPr>
          <w:rFonts w:cs="Arial"/>
        </w:rPr>
        <w:t>”</w:t>
      </w:r>
      <w:r w:rsidR="00F0322D">
        <w:rPr>
          <w:rFonts w:cs="Arial"/>
        </w:rPr>
        <w:t xml:space="preserve"> </w:t>
      </w:r>
      <w:bookmarkStart w:id="50" w:name="_Toc367914219"/>
    </w:p>
    <w:p w14:paraId="6CCE4D26" w14:textId="77777777" w:rsidR="005D35C4" w:rsidRPr="0018413E" w:rsidRDefault="005F1F9E" w:rsidP="0018413E">
      <w:pPr>
        <w:pStyle w:val="Heading2"/>
        <w:rPr>
          <w:rFonts w:cs="Arial"/>
        </w:rPr>
      </w:pPr>
      <w:r>
        <w:br w:type="page"/>
      </w:r>
      <w:bookmarkStart w:id="51" w:name="_Toc454283972"/>
      <w:r w:rsidR="00F31DC4" w:rsidRPr="005C6A81">
        <w:lastRenderedPageBreak/>
        <w:t>Calculation</w:t>
      </w:r>
      <w:bookmarkEnd w:id="50"/>
      <w:bookmarkEnd w:id="51"/>
      <w:r w:rsidR="00F31DC4" w:rsidRPr="005C6A81">
        <w:t xml:space="preserve"> </w:t>
      </w:r>
    </w:p>
    <w:p w14:paraId="4172ADA1" w14:textId="77777777" w:rsidR="005D35C4" w:rsidRPr="005C6A81" w:rsidRDefault="00F31DC4" w:rsidP="00925E92">
      <w:pPr>
        <w:pStyle w:val="Heading3"/>
        <w:spacing w:before="120"/>
      </w:pPr>
      <w:bookmarkStart w:id="52" w:name="_Toc367914220"/>
      <w:bookmarkStart w:id="53" w:name="_Toc454283973"/>
      <w:r w:rsidRPr="005C6A81">
        <w:t>The entity responsible for calculations</w:t>
      </w:r>
      <w:bookmarkEnd w:id="52"/>
      <w:bookmarkEnd w:id="53"/>
      <w:r w:rsidRPr="005C6A81">
        <w:t xml:space="preserve"> </w:t>
      </w:r>
    </w:p>
    <w:p w14:paraId="677BD905" w14:textId="77777777" w:rsidR="00D411DB" w:rsidRDefault="00D411DB" w:rsidP="002B42BF">
      <w:pPr>
        <w:pStyle w:val="ListParagraph"/>
        <w:numPr>
          <w:ilvl w:val="0"/>
          <w:numId w:val="24"/>
        </w:numPr>
        <w:ind w:left="850" w:hanging="493"/>
        <w:contextualSpacing w:val="0"/>
        <w:rPr>
          <w:rFonts w:cs="Arial"/>
        </w:rPr>
      </w:pPr>
      <w:r>
        <w:rPr>
          <w:rFonts w:cs="Arial"/>
        </w:rPr>
        <w:t xml:space="preserve">The </w:t>
      </w:r>
      <w:r w:rsidR="00A0060B">
        <w:rPr>
          <w:rFonts w:cs="Arial"/>
        </w:rPr>
        <w:t xml:space="preserve">PDDA </w:t>
      </w:r>
      <w:r>
        <w:rPr>
          <w:rFonts w:cs="Arial"/>
        </w:rPr>
        <w:t>completes preliminary calculations in accordance with the method set out in the Act and the Regulations to assist in the making of determination</w:t>
      </w:r>
      <w:r w:rsidR="00291AB8">
        <w:rPr>
          <w:rFonts w:cs="Arial"/>
        </w:rPr>
        <w:t>s</w:t>
      </w:r>
      <w:r>
        <w:rPr>
          <w:rFonts w:cs="Arial"/>
        </w:rPr>
        <w:t xml:space="preserve"> of weighted average disclosed price</w:t>
      </w:r>
      <w:r w:rsidR="00291AB8">
        <w:rPr>
          <w:rFonts w:cs="Arial"/>
        </w:rPr>
        <w:t>s</w:t>
      </w:r>
      <w:r w:rsidR="004E4D9C">
        <w:rPr>
          <w:rFonts w:cs="Arial"/>
        </w:rPr>
        <w:t xml:space="preserve"> (WADPs)</w:t>
      </w:r>
      <w:r w:rsidR="00D14035">
        <w:rPr>
          <w:rFonts w:cs="Arial"/>
        </w:rPr>
        <w:t>, which are used as the basis for any reductions</w:t>
      </w:r>
      <w:r>
        <w:rPr>
          <w:rFonts w:cs="Arial"/>
        </w:rPr>
        <w:t xml:space="preserve">. </w:t>
      </w:r>
    </w:p>
    <w:p w14:paraId="1541855D" w14:textId="77777777" w:rsidR="00C93959" w:rsidRDefault="00C93959" w:rsidP="009954AB">
      <w:pPr>
        <w:pStyle w:val="ListParagraph"/>
        <w:numPr>
          <w:ilvl w:val="0"/>
          <w:numId w:val="40"/>
        </w:numPr>
        <w:ind w:left="850" w:hanging="493"/>
        <w:contextualSpacing w:val="0"/>
        <w:rPr>
          <w:rFonts w:cs="Arial"/>
        </w:rPr>
      </w:pPr>
      <w:r>
        <w:rPr>
          <w:rFonts w:cs="Arial"/>
        </w:rPr>
        <w:t xml:space="preserve">Calculations for reduction days from 1 </w:t>
      </w:r>
      <w:r w:rsidR="00CA0F21">
        <w:rPr>
          <w:rFonts w:cs="Arial"/>
        </w:rPr>
        <w:t xml:space="preserve">April </w:t>
      </w:r>
      <w:r>
        <w:rPr>
          <w:rFonts w:cs="Arial"/>
        </w:rPr>
        <w:t>201</w:t>
      </w:r>
      <w:r w:rsidR="00CA0F21">
        <w:rPr>
          <w:rFonts w:cs="Arial"/>
        </w:rPr>
        <w:t>6</w:t>
      </w:r>
      <w:r>
        <w:rPr>
          <w:rFonts w:cs="Arial"/>
        </w:rPr>
        <w:t xml:space="preserve"> onward </w:t>
      </w:r>
      <w:r w:rsidR="00663E43">
        <w:rPr>
          <w:rFonts w:cs="Arial"/>
        </w:rPr>
        <w:t>are</w:t>
      </w:r>
      <w:r>
        <w:rPr>
          <w:rFonts w:cs="Arial"/>
        </w:rPr>
        <w:t xml:space="preserve"> </w:t>
      </w:r>
      <w:r w:rsidR="00ED7D9E">
        <w:rPr>
          <w:rFonts w:cs="Arial"/>
        </w:rPr>
        <w:t>affected by</w:t>
      </w:r>
      <w:r>
        <w:rPr>
          <w:rFonts w:cs="Arial"/>
        </w:rPr>
        <w:t xml:space="preserve"> amend</w:t>
      </w:r>
      <w:r w:rsidR="00ED7D9E">
        <w:rPr>
          <w:rFonts w:cs="Arial"/>
        </w:rPr>
        <w:t xml:space="preserve">ments to the Act and Regulations flowing </w:t>
      </w:r>
      <w:r w:rsidR="00CA0F21">
        <w:rPr>
          <w:rFonts w:cs="Arial"/>
        </w:rPr>
        <w:t xml:space="preserve">from the </w:t>
      </w:r>
      <w:r w:rsidR="00ED7D9E">
        <w:rPr>
          <w:rFonts w:cs="Arial"/>
        </w:rPr>
        <w:t xml:space="preserve">2015 </w:t>
      </w:r>
      <w:r w:rsidR="00CA0F21">
        <w:rPr>
          <w:rFonts w:cs="Arial"/>
        </w:rPr>
        <w:t>PBS Access and Sustainability package</w:t>
      </w:r>
      <w:r w:rsidR="00064A56">
        <w:rPr>
          <w:rFonts w:cs="Arial"/>
        </w:rPr>
        <w:t xml:space="preserve">. </w:t>
      </w:r>
      <w:r w:rsidR="00ED7D9E">
        <w:rPr>
          <w:rFonts w:cs="Arial"/>
        </w:rPr>
        <w:t xml:space="preserve">Details of changes to the calculation method are </w:t>
      </w:r>
      <w:r w:rsidR="00202D5E">
        <w:rPr>
          <w:rFonts w:cs="Arial"/>
        </w:rPr>
        <w:t>set out</w:t>
      </w:r>
      <w:r w:rsidR="00ED7D9E">
        <w:rPr>
          <w:rFonts w:cs="Arial"/>
        </w:rPr>
        <w:t xml:space="preserve"> below.  </w:t>
      </w:r>
      <w:r>
        <w:rPr>
          <w:rFonts w:cs="Arial"/>
        </w:rPr>
        <w:t>Links to the relevant amendments are on the price disclosure (SPD) web page</w:t>
      </w:r>
      <w:r w:rsidR="002A22D9">
        <w:rPr>
          <w:rFonts w:cs="Arial"/>
        </w:rPr>
        <w:t>:</w:t>
      </w:r>
      <w:r>
        <w:rPr>
          <w:rFonts w:cs="Arial"/>
        </w:rPr>
        <w:t xml:space="preserve"> </w:t>
      </w:r>
      <w:hyperlink r:id="rId27" w:history="1">
        <w:r w:rsidRPr="00815948">
          <w:rPr>
            <w:rStyle w:val="Hyperlink"/>
            <w:rFonts w:cs="Arial"/>
          </w:rPr>
          <w:t>www.pbs.gov.au/info/industry/pricing/price-disclosure-spd</w:t>
        </w:r>
      </w:hyperlink>
    </w:p>
    <w:p w14:paraId="0DA5ED85" w14:textId="77777777" w:rsidR="00386169" w:rsidRDefault="00D411DB" w:rsidP="00587FC2">
      <w:pPr>
        <w:pStyle w:val="ListParagraph"/>
        <w:numPr>
          <w:ilvl w:val="0"/>
          <w:numId w:val="40"/>
        </w:numPr>
        <w:ind w:left="851" w:hanging="494"/>
        <w:contextualSpacing w:val="0"/>
        <w:rPr>
          <w:rFonts w:cs="Arial"/>
        </w:rPr>
      </w:pPr>
      <w:r w:rsidRPr="002A22D9">
        <w:rPr>
          <w:rFonts w:cs="Arial"/>
        </w:rPr>
        <w:t xml:space="preserve">The Department finalises calculations to assist the Minister (or delegate) in making the </w:t>
      </w:r>
      <w:r w:rsidR="004E4D9C">
        <w:rPr>
          <w:rFonts w:cs="Arial"/>
        </w:rPr>
        <w:t>WADP</w:t>
      </w:r>
      <w:r w:rsidRPr="002A22D9">
        <w:rPr>
          <w:rFonts w:cs="Arial"/>
        </w:rPr>
        <w:t xml:space="preserve"> determinations </w:t>
      </w:r>
      <w:r w:rsidR="00202D5E">
        <w:rPr>
          <w:rFonts w:cs="Arial"/>
        </w:rPr>
        <w:t>that are</w:t>
      </w:r>
      <w:r w:rsidR="00291AB8" w:rsidRPr="002A22D9">
        <w:rPr>
          <w:rFonts w:cs="Arial"/>
        </w:rPr>
        <w:t xml:space="preserve"> the basis </w:t>
      </w:r>
      <w:r w:rsidR="00D14035">
        <w:rPr>
          <w:rFonts w:cs="Arial"/>
        </w:rPr>
        <w:t>for</w:t>
      </w:r>
      <w:r w:rsidR="00291AB8" w:rsidRPr="002A22D9">
        <w:rPr>
          <w:rFonts w:cs="Arial"/>
        </w:rPr>
        <w:t xml:space="preserve"> </w:t>
      </w:r>
      <w:r w:rsidRPr="002A22D9">
        <w:rPr>
          <w:rFonts w:cs="Arial"/>
        </w:rPr>
        <w:t>price disclosure reductions. The Department carries out subsequent calculations and publishing processes required for reductions applicable on a reduction day.</w:t>
      </w:r>
      <w:bookmarkStart w:id="54" w:name="_Toc367914222"/>
    </w:p>
    <w:p w14:paraId="3195CBA7" w14:textId="77777777" w:rsidR="00202D5E" w:rsidRPr="00587FC2" w:rsidRDefault="00112375" w:rsidP="00202D5E">
      <w:pPr>
        <w:rPr>
          <w:bCs/>
          <w:color w:val="365F91"/>
          <w:sz w:val="26"/>
        </w:rPr>
      </w:pPr>
      <w:r>
        <w:rPr>
          <w:bCs/>
          <w:color w:val="365F91"/>
          <w:sz w:val="26"/>
        </w:rPr>
        <w:t xml:space="preserve">2016 April Cycle Onward - </w:t>
      </w:r>
      <w:r w:rsidR="00202D5E" w:rsidRPr="00587FC2">
        <w:rPr>
          <w:bCs/>
          <w:color w:val="365F91"/>
          <w:sz w:val="26"/>
        </w:rPr>
        <w:t>Low Volume / Low Discount</w:t>
      </w:r>
      <w:r>
        <w:rPr>
          <w:bCs/>
          <w:color w:val="365F91"/>
          <w:sz w:val="26"/>
        </w:rPr>
        <w:t xml:space="preserve"> No Reduction Items</w:t>
      </w:r>
    </w:p>
    <w:p w14:paraId="5AB29251" w14:textId="77777777" w:rsidR="00202D5E" w:rsidRPr="00202D5E" w:rsidRDefault="00202D5E" w:rsidP="00B206BC">
      <w:pPr>
        <w:pStyle w:val="ListParagraph"/>
        <w:numPr>
          <w:ilvl w:val="0"/>
          <w:numId w:val="40"/>
        </w:numPr>
        <w:ind w:left="851" w:hanging="494"/>
        <w:contextualSpacing w:val="0"/>
        <w:rPr>
          <w:rFonts w:cs="Arial"/>
        </w:rPr>
      </w:pPr>
      <w:r w:rsidRPr="00202D5E">
        <w:rPr>
          <w:rFonts w:cs="Arial"/>
        </w:rPr>
        <w:t xml:space="preserve">Prior to 1 April 2016, all brands of pharmaceutical items with the same drug and manner of administration took the reduction based on discounting across the drug and manner of administration. </w:t>
      </w:r>
    </w:p>
    <w:p w14:paraId="0FA426AA" w14:textId="77777777" w:rsidR="00202D5E" w:rsidRDefault="00202D5E" w:rsidP="002B42BF">
      <w:pPr>
        <w:pStyle w:val="ListParagraph"/>
        <w:numPr>
          <w:ilvl w:val="0"/>
          <w:numId w:val="47"/>
        </w:numPr>
        <w:ind w:left="850" w:hanging="493"/>
        <w:contextualSpacing w:val="0"/>
      </w:pPr>
      <w:r>
        <w:t xml:space="preserve">The relationship between products with the same drug/MoA will generally be maintained by continuing the price disclosure grouping by drug/MoA. </w:t>
      </w:r>
    </w:p>
    <w:p w14:paraId="276BF730" w14:textId="77777777" w:rsidR="00202D5E" w:rsidRDefault="00202D5E" w:rsidP="004E4CC8">
      <w:pPr>
        <w:pStyle w:val="ListParagraph"/>
        <w:numPr>
          <w:ilvl w:val="0"/>
          <w:numId w:val="47"/>
        </w:numPr>
        <w:ind w:left="851" w:hanging="494"/>
        <w:contextualSpacing w:val="0"/>
      </w:pPr>
      <w:r>
        <w:t xml:space="preserve">From the April 2016 reduction day onward </w:t>
      </w:r>
      <w:r w:rsidR="009A45AD">
        <w:t xml:space="preserve">the Act provides for </w:t>
      </w:r>
      <w:r>
        <w:t xml:space="preserve">certain pharmaceutical items with low volume and low discounting </w:t>
      </w:r>
      <w:r w:rsidR="009A45AD">
        <w:t>to</w:t>
      </w:r>
      <w:r>
        <w:t xml:space="preserve"> be allowed no reduction, even where other items with the same drug/MoA take a reduction. Originator brand data is not removed for assessing whether pharmaceutical items meet this ‘no reduction’ criteria. All criteria must be met. </w:t>
      </w:r>
    </w:p>
    <w:p w14:paraId="73F6C573" w14:textId="77777777" w:rsidR="00202D5E" w:rsidRDefault="00202D5E" w:rsidP="004E4CC8">
      <w:pPr>
        <w:pStyle w:val="ListParagraph"/>
        <w:numPr>
          <w:ilvl w:val="0"/>
          <w:numId w:val="47"/>
        </w:numPr>
        <w:ind w:left="851" w:hanging="494"/>
        <w:contextualSpacing w:val="0"/>
      </w:pPr>
      <w:r>
        <w:t xml:space="preserve">The criteria for brands of a pharmaceutical item not to take a reduction, despite others with the same drug/MoA taking a reduction, are: </w:t>
      </w:r>
    </w:p>
    <w:p w14:paraId="5D01C4E3" w14:textId="77777777" w:rsidR="00202D5E" w:rsidRDefault="00202D5E" w:rsidP="00B206BC">
      <w:pPr>
        <w:pStyle w:val="ListParagraph"/>
        <w:numPr>
          <w:ilvl w:val="1"/>
          <w:numId w:val="47"/>
        </w:numPr>
        <w:contextualSpacing w:val="0"/>
      </w:pPr>
      <w:r>
        <w:t xml:space="preserve">there is some volume of sales for the pharmaceutical item. That is, not ‘0’ total volume across all brands of the pharmaceutical item; </w:t>
      </w:r>
    </w:p>
    <w:p w14:paraId="27EB18E6" w14:textId="77777777" w:rsidR="00202D5E" w:rsidRDefault="00202D5E" w:rsidP="00B206BC">
      <w:pPr>
        <w:pStyle w:val="ListParagraph"/>
        <w:numPr>
          <w:ilvl w:val="1"/>
          <w:numId w:val="47"/>
        </w:numPr>
        <w:contextualSpacing w:val="0"/>
      </w:pPr>
      <w:r>
        <w:t>the ‘total adjusted volume’ for the particular pharmaceutical item is not more than 10% of the aggregated total adjusted volumes for all pharmaceutical items for the drug/MoA. The total adjusted volume for a pharmaceutical item includes the volume for all brands of the pharmaceutical item (including originator). Volume of a pharmaceutical item is adjusted to the pricing quantity. For example, if there are brands of the same pharmaceutical item with pack size 25 and pack size 50, the volume for the pharmaceutical item is adjusted to the pack quantity of 25;</w:t>
      </w:r>
    </w:p>
    <w:p w14:paraId="012700A2" w14:textId="77777777" w:rsidR="00202D5E" w:rsidRDefault="00202D5E" w:rsidP="00B206BC">
      <w:pPr>
        <w:pStyle w:val="ListParagraph"/>
        <w:numPr>
          <w:ilvl w:val="1"/>
          <w:numId w:val="47"/>
        </w:numPr>
        <w:contextualSpacing w:val="0"/>
      </w:pPr>
      <w:r>
        <w:t xml:space="preserve">the percentage discount calculated across all brands of the pharmaceutical item is no more than 3%. That is, the pharmaceutical item level discount is considered, not the brand level or drug/MoA level percentage discount; </w:t>
      </w:r>
    </w:p>
    <w:p w14:paraId="504FE87E" w14:textId="77777777" w:rsidR="00202D5E" w:rsidRDefault="00202D5E" w:rsidP="00B206BC">
      <w:pPr>
        <w:pStyle w:val="ListParagraph"/>
        <w:numPr>
          <w:ilvl w:val="1"/>
          <w:numId w:val="47"/>
        </w:numPr>
        <w:contextualSpacing w:val="0"/>
      </w:pPr>
      <w:r>
        <w:lastRenderedPageBreak/>
        <w:t xml:space="preserve">there are no brands of the pharmaceutical item that are bioequivalent or biosimilar to brands of another pharmaceutical item that does not meet a), b) and c) above. </w:t>
      </w:r>
    </w:p>
    <w:p w14:paraId="249718F8" w14:textId="77777777" w:rsidR="00202D5E" w:rsidRDefault="00202D5E" w:rsidP="00B206BC">
      <w:pPr>
        <w:pStyle w:val="ListParagraph"/>
        <w:numPr>
          <w:ilvl w:val="1"/>
          <w:numId w:val="47"/>
        </w:numPr>
        <w:contextualSpacing w:val="0"/>
      </w:pPr>
      <w:r>
        <w:t xml:space="preserve">There is no advice from the PBAC that the pharmaceutical item ‘does not provide a significant improvement in efficacy or a reduction in toxicity over alternative therapies’. ‘Alternative therapies’ is not confined to other products with the same drug, or to therapies on the PBS. The PBAC advice will be sought, where considered necessary, under s101(3) of the Act. </w:t>
      </w:r>
    </w:p>
    <w:p w14:paraId="53A5B650" w14:textId="77777777" w:rsidR="00202D5E" w:rsidRDefault="00202D5E" w:rsidP="004E4CC8">
      <w:pPr>
        <w:pStyle w:val="ListParagraph"/>
        <w:numPr>
          <w:ilvl w:val="0"/>
          <w:numId w:val="47"/>
        </w:numPr>
        <w:ind w:left="851" w:hanging="494"/>
        <w:contextualSpacing w:val="0"/>
      </w:pPr>
      <w:r>
        <w:t xml:space="preserve">The PBAC advice may not be received until after the first time a pharmaceutical item avoids a reduction due to meeting the other criteria. If ‘no significant improvement’ advice is provided by the PBAC, brands of the pharmaceutical item may take a reduction thereafter even if they meet criteria a) to d) above. This simply applies the same outcome as occurred before the April 2016 reduction day. </w:t>
      </w:r>
    </w:p>
    <w:p w14:paraId="174FFB33" w14:textId="77777777" w:rsidR="00202D5E" w:rsidRDefault="00202D5E" w:rsidP="004E4CC8">
      <w:pPr>
        <w:pStyle w:val="ListParagraph"/>
        <w:numPr>
          <w:ilvl w:val="0"/>
          <w:numId w:val="47"/>
        </w:numPr>
        <w:ind w:left="851" w:hanging="494"/>
        <w:contextualSpacing w:val="0"/>
      </w:pPr>
      <w:r>
        <w:t xml:space="preserve">For brands of a pharmaceutical item that meet the ‘no reduction’ criteria, their weighted average disclosed price is taken to be their applicable PBS price (usually the current price since the last reduction day), rather than the reduced price that would normally be determined along with other brands of a drug/MoA taking a reduction. This means the ‘no reduction’ brands do not meet the 10% test, so no reduction is applied under the Act. </w:t>
      </w:r>
    </w:p>
    <w:p w14:paraId="726488B9" w14:textId="77777777" w:rsidR="00202D5E" w:rsidRDefault="00202D5E" w:rsidP="00202D5E">
      <w:pPr>
        <w:spacing w:before="0" w:line="240" w:lineRule="auto"/>
        <w:rPr>
          <w:bCs/>
          <w:color w:val="365F91"/>
          <w:sz w:val="26"/>
        </w:rPr>
      </w:pPr>
    </w:p>
    <w:p w14:paraId="15DE2010" w14:textId="77777777" w:rsidR="00202D5E" w:rsidRPr="00587FC2" w:rsidRDefault="00202D5E" w:rsidP="00202D5E">
      <w:pPr>
        <w:rPr>
          <w:bCs/>
          <w:color w:val="365F91"/>
          <w:sz w:val="26"/>
        </w:rPr>
      </w:pPr>
      <w:r>
        <w:rPr>
          <w:bCs/>
          <w:color w:val="365F91"/>
          <w:sz w:val="26"/>
        </w:rPr>
        <w:t xml:space="preserve">2016 October Cycle Onward - </w:t>
      </w:r>
      <w:r w:rsidRPr="00587FC2">
        <w:rPr>
          <w:bCs/>
          <w:color w:val="365F91"/>
          <w:sz w:val="26"/>
        </w:rPr>
        <w:t xml:space="preserve">Removal of Originator Brand Data </w:t>
      </w:r>
    </w:p>
    <w:p w14:paraId="0580CD39" w14:textId="77777777" w:rsidR="00202D5E" w:rsidRPr="00587FC2" w:rsidRDefault="00202D5E" w:rsidP="00202D5E">
      <w:pPr>
        <w:rPr>
          <w:i/>
        </w:rPr>
      </w:pPr>
      <w:r w:rsidRPr="00587FC2">
        <w:rPr>
          <w:i/>
        </w:rPr>
        <w:t>Not removed before 1 October 2016 reduction day</w:t>
      </w:r>
    </w:p>
    <w:p w14:paraId="394DBB28" w14:textId="77777777" w:rsidR="00202D5E" w:rsidRDefault="00202D5E" w:rsidP="004E4CC8">
      <w:pPr>
        <w:pStyle w:val="ListParagraph"/>
        <w:numPr>
          <w:ilvl w:val="0"/>
          <w:numId w:val="47"/>
        </w:numPr>
        <w:ind w:left="851" w:hanging="494"/>
        <w:contextualSpacing w:val="0"/>
      </w:pPr>
      <w:r>
        <w:t xml:space="preserve">Removal of originator brand data during calculation of weighted average disclosed prices will first apply to the price disclosure cycle that commenced on 1 October 2015, with a 1 October 2016 reduction day. It will then apply in each subsequent cycle. </w:t>
      </w:r>
    </w:p>
    <w:p w14:paraId="7611B0E4" w14:textId="77777777" w:rsidR="00202D5E" w:rsidRPr="00587FC2" w:rsidRDefault="00202D5E" w:rsidP="00202D5E">
      <w:pPr>
        <w:rPr>
          <w:i/>
        </w:rPr>
      </w:pPr>
      <w:r w:rsidRPr="00587FC2">
        <w:rPr>
          <w:i/>
        </w:rPr>
        <w:t>Not removed if calculation does not result in a lower price</w:t>
      </w:r>
    </w:p>
    <w:p w14:paraId="1FBBFFFC" w14:textId="77777777" w:rsidR="00202D5E" w:rsidRDefault="00202D5E" w:rsidP="004E4CC8">
      <w:pPr>
        <w:pStyle w:val="ListParagraph"/>
        <w:numPr>
          <w:ilvl w:val="0"/>
          <w:numId w:val="47"/>
        </w:numPr>
        <w:ind w:left="851" w:hanging="494"/>
        <w:contextualSpacing w:val="0"/>
      </w:pPr>
      <w:r>
        <w:t xml:space="preserve">The ‘originator brand removed’ calculation will be considered for determination as the ‘weighted average disclosed price’ (potential reduced price) if it results in a lower new price than including the originator brand data. This means the originator brand data is collected and used for all calculations, and the lower outcome is applied through the legal determination of the ‘weighted average disclosed price’. </w:t>
      </w:r>
    </w:p>
    <w:p w14:paraId="0A58226B" w14:textId="77777777" w:rsidR="00202D5E" w:rsidRPr="00587FC2" w:rsidRDefault="00202D5E" w:rsidP="00202D5E">
      <w:pPr>
        <w:rPr>
          <w:i/>
        </w:rPr>
      </w:pPr>
      <w:r w:rsidRPr="00587FC2">
        <w:rPr>
          <w:i/>
        </w:rPr>
        <w:t>Not removed if is</w:t>
      </w:r>
      <w:r w:rsidR="00BF0069">
        <w:rPr>
          <w:i/>
        </w:rPr>
        <w:t xml:space="preserve"> an</w:t>
      </w:r>
      <w:r w:rsidRPr="00587FC2">
        <w:rPr>
          <w:i/>
        </w:rPr>
        <w:t xml:space="preserve"> ‘</w:t>
      </w:r>
      <w:r w:rsidR="00BF0069">
        <w:rPr>
          <w:i/>
        </w:rPr>
        <w:t>originator only</w:t>
      </w:r>
      <w:r w:rsidRPr="00587FC2">
        <w:rPr>
          <w:i/>
        </w:rPr>
        <w:t xml:space="preserve"> pharmaceutical item’</w:t>
      </w:r>
    </w:p>
    <w:p w14:paraId="722D1B5D" w14:textId="77777777" w:rsidR="0092036C" w:rsidRDefault="00BF0069" w:rsidP="004E4CC8">
      <w:pPr>
        <w:pStyle w:val="ListParagraph"/>
        <w:numPr>
          <w:ilvl w:val="0"/>
          <w:numId w:val="47"/>
        </w:numPr>
        <w:ind w:left="851" w:hanging="494"/>
        <w:contextualSpacing w:val="0"/>
      </w:pPr>
      <w:r>
        <w:t>O</w:t>
      </w:r>
      <w:r w:rsidR="00202D5E">
        <w:t>riginator brand</w:t>
      </w:r>
      <w:r>
        <w:t>(s)</w:t>
      </w:r>
      <w:r w:rsidR="00202D5E">
        <w:t xml:space="preserve"> </w:t>
      </w:r>
      <w:r>
        <w:t>data is not removed where the originator is the only brand(s)</w:t>
      </w:r>
      <w:r w:rsidR="00202D5E">
        <w:t xml:space="preserve"> of a pharmaceutical item</w:t>
      </w:r>
      <w:r>
        <w:t>.  This is the case e</w:t>
      </w:r>
      <w:r w:rsidR="00202D5E">
        <w:t xml:space="preserve">ven if the drug/Moa meets the F2/multi-branded criteria mentioned below for removal of originator brand data. Originator brand data will not be removed unless there is a non-originator brand also listed for each of the months the originator brand is listed for the cycle. This approach is demonstrated in the </w:t>
      </w:r>
      <w:hyperlink r:id="rId28" w:history="1">
        <w:r w:rsidR="00202D5E" w:rsidRPr="00DD6EB9">
          <w:rPr>
            <w:rStyle w:val="Hyperlink"/>
          </w:rPr>
          <w:t>Treatment as Single Originator Brand Pharmaceutical Item Examples</w:t>
        </w:r>
      </w:hyperlink>
      <w:r w:rsidR="00202D5E">
        <w:t xml:space="preserve"> document.</w:t>
      </w:r>
    </w:p>
    <w:p w14:paraId="477FBD57" w14:textId="77777777" w:rsidR="0092036C" w:rsidRDefault="0092036C">
      <w:pPr>
        <w:spacing w:before="0" w:line="240" w:lineRule="auto"/>
      </w:pPr>
      <w:r>
        <w:br w:type="page"/>
      </w:r>
    </w:p>
    <w:p w14:paraId="0A8F8481" w14:textId="77777777" w:rsidR="00202D5E" w:rsidRPr="00587FC2" w:rsidRDefault="00202D5E" w:rsidP="00202D5E">
      <w:pPr>
        <w:rPr>
          <w:i/>
        </w:rPr>
      </w:pPr>
      <w:r w:rsidRPr="00587FC2">
        <w:rPr>
          <w:i/>
        </w:rPr>
        <w:lastRenderedPageBreak/>
        <w:t>Not removed unless F2/multi-branded at least three years at time of calculation</w:t>
      </w:r>
    </w:p>
    <w:p w14:paraId="3EDB10CB" w14:textId="77777777" w:rsidR="00202D5E" w:rsidRDefault="00202D5E" w:rsidP="004E4CC8">
      <w:pPr>
        <w:pStyle w:val="ListParagraph"/>
        <w:numPr>
          <w:ilvl w:val="0"/>
          <w:numId w:val="47"/>
        </w:numPr>
        <w:ind w:left="851" w:hanging="494"/>
        <w:contextualSpacing w:val="0"/>
      </w:pPr>
      <w:r>
        <w:t xml:space="preserve">In general, originator removal calculation will apply to price disclosure data submitted for the data collection period commencing when a drug has been on F2 at least 2.5 years, with: </w:t>
      </w:r>
    </w:p>
    <w:p w14:paraId="752023F8" w14:textId="77777777" w:rsidR="00202D5E" w:rsidRDefault="00202D5E" w:rsidP="00202D5E">
      <w:pPr>
        <w:pStyle w:val="ListParagraph"/>
        <w:numPr>
          <w:ilvl w:val="0"/>
          <w:numId w:val="42"/>
        </w:numPr>
      </w:pPr>
      <w:r>
        <w:t>the first calculations for originator removal therefore being at least three years after the drug has been on F2; and</w:t>
      </w:r>
    </w:p>
    <w:p w14:paraId="6D10D455" w14:textId="77777777" w:rsidR="00202D5E" w:rsidRDefault="00202D5E" w:rsidP="00202D5E">
      <w:pPr>
        <w:pStyle w:val="ListParagraph"/>
        <w:numPr>
          <w:ilvl w:val="0"/>
          <w:numId w:val="42"/>
        </w:numPr>
      </w:pPr>
      <w:r>
        <w:t xml:space="preserve">the first reduction day for originator removed calculations being at least 3.5 years after movement to F2. </w:t>
      </w:r>
    </w:p>
    <w:p w14:paraId="39AEA8CE" w14:textId="77777777" w:rsidR="00202D5E" w:rsidRDefault="00202D5E" w:rsidP="004E4CC8">
      <w:pPr>
        <w:pStyle w:val="ListParagraph"/>
        <w:numPr>
          <w:ilvl w:val="0"/>
          <w:numId w:val="47"/>
        </w:numPr>
        <w:ind w:left="851" w:hanging="494"/>
        <w:contextualSpacing w:val="0"/>
      </w:pPr>
      <w:r>
        <w:t xml:space="preserve">However, there are some cases where the period of 2.5 years (prior to first affected data collection period) does not start when the drug moves to F2. In addition to being on F2 for at least 2.5 years, there must have been, on a day at least 2.5 years </w:t>
      </w:r>
      <w:r w:rsidR="00520494">
        <w:t>before the affected data collection period</w:t>
      </w:r>
      <w:r>
        <w:t xml:space="preserve">: </w:t>
      </w:r>
    </w:p>
    <w:p w14:paraId="7C8EBE46" w14:textId="77777777" w:rsidR="00202D5E" w:rsidRDefault="009A45AD" w:rsidP="00202D5E">
      <w:pPr>
        <w:pStyle w:val="ListParagraph"/>
        <w:numPr>
          <w:ilvl w:val="0"/>
          <w:numId w:val="44"/>
        </w:numPr>
      </w:pPr>
      <w:r>
        <w:t xml:space="preserve">A </w:t>
      </w:r>
      <w:r w:rsidR="00202D5E">
        <w:t>pharmaceutical item that contain</w:t>
      </w:r>
      <w:r>
        <w:t>s</w:t>
      </w:r>
      <w:r w:rsidR="00202D5E">
        <w:t xml:space="preserve"> the drug/MoA</w:t>
      </w:r>
      <w:r>
        <w:t xml:space="preserve"> has two or more brands</w:t>
      </w:r>
      <w:r w:rsidR="00202D5E">
        <w:t xml:space="preserve"> (brands with the same drug/MoA are called related brand in the Act and Regulations); or</w:t>
      </w:r>
    </w:p>
    <w:p w14:paraId="0B2682A9" w14:textId="77777777" w:rsidR="00202D5E" w:rsidRDefault="00202D5E" w:rsidP="00202D5E">
      <w:pPr>
        <w:pStyle w:val="ListParagraph"/>
        <w:numPr>
          <w:ilvl w:val="0"/>
          <w:numId w:val="44"/>
        </w:numPr>
      </w:pPr>
      <w:r>
        <w:t xml:space="preserve">Two or more bioequivalent or biosimilar brands that contain the same drug/MoA. </w:t>
      </w:r>
    </w:p>
    <w:p w14:paraId="5F6F515A" w14:textId="77777777" w:rsidR="00202D5E" w:rsidRDefault="00202D5E" w:rsidP="00D63819">
      <w:pPr>
        <w:ind w:left="1344" w:hanging="493"/>
      </w:pPr>
      <w:r>
        <w:t>The criteria above are referred to as the ‘F2/multi-branded criteria’.</w:t>
      </w:r>
    </w:p>
    <w:p w14:paraId="4C90E03B" w14:textId="77777777" w:rsidR="00202D5E" w:rsidRDefault="00202D5E" w:rsidP="004E4CC8">
      <w:pPr>
        <w:pStyle w:val="ListParagraph"/>
        <w:numPr>
          <w:ilvl w:val="0"/>
          <w:numId w:val="47"/>
        </w:numPr>
        <w:ind w:left="851" w:hanging="494"/>
        <w:contextualSpacing w:val="0"/>
      </w:pPr>
      <w:r>
        <w:t>The F2/multi-branded criteria means that any single branded drug moving to F2 due to being in a therapeutic group with a multi-branded drug will not start the clock for the period of time before originator brand removal on its entry to F2. The same applies for single branded manners of administration that enter F2 as a result of another manner of administration that has the same drug becoming multi-branded. The clock starts when the drug/MoA first meets all the F2/multi-branded criteria.</w:t>
      </w:r>
    </w:p>
    <w:p w14:paraId="6CF71EE8" w14:textId="77777777" w:rsidR="00202D5E" w:rsidRPr="0046524D" w:rsidRDefault="00202D5E" w:rsidP="004E4CC8">
      <w:pPr>
        <w:pStyle w:val="ListParagraph"/>
        <w:numPr>
          <w:ilvl w:val="0"/>
          <w:numId w:val="47"/>
        </w:numPr>
        <w:ind w:left="851" w:hanging="494"/>
        <w:contextualSpacing w:val="0"/>
      </w:pPr>
      <w:r w:rsidRPr="0046524D">
        <w:t xml:space="preserve">The running of the </w:t>
      </w:r>
      <w:r w:rsidRPr="00587FC2">
        <w:t xml:space="preserve">30 month </w:t>
      </w:r>
      <w:r w:rsidRPr="0046524D">
        <w:t xml:space="preserve">clock to identify the first cycle for originator removal is not stopped if a drug/MoA becomes single branded again at a point after the clock had started. </w:t>
      </w:r>
    </w:p>
    <w:p w14:paraId="5F69A490" w14:textId="77777777" w:rsidR="00202D5E" w:rsidRPr="0046524D" w:rsidRDefault="00202D5E" w:rsidP="004E4CC8">
      <w:pPr>
        <w:pStyle w:val="ListParagraph"/>
        <w:numPr>
          <w:ilvl w:val="0"/>
          <w:numId w:val="47"/>
        </w:numPr>
        <w:ind w:left="851" w:hanging="494"/>
        <w:contextualSpacing w:val="0"/>
      </w:pPr>
      <w:r w:rsidRPr="0046524D">
        <w:t xml:space="preserve">The F2/multi-branded criteria are demonstrated in the </w:t>
      </w:r>
      <w:hyperlink r:id="rId29" w:history="1">
        <w:r w:rsidRPr="00587FC2">
          <w:rPr>
            <w:rStyle w:val="Hyperlink"/>
          </w:rPr>
          <w:t>Price Disclosure Originator Removal 30 Month Clock</w:t>
        </w:r>
      </w:hyperlink>
      <w:r w:rsidRPr="0046524D">
        <w:t xml:space="preserve"> document.</w:t>
      </w:r>
    </w:p>
    <w:p w14:paraId="72DB12EF" w14:textId="77777777" w:rsidR="00202D5E" w:rsidRPr="00587FC2" w:rsidRDefault="00202D5E" w:rsidP="00202D5E">
      <w:pPr>
        <w:rPr>
          <w:bCs/>
          <w:color w:val="365F91"/>
          <w:sz w:val="26"/>
        </w:rPr>
      </w:pPr>
      <w:r w:rsidRPr="00587FC2">
        <w:rPr>
          <w:bCs/>
          <w:color w:val="365F91"/>
          <w:sz w:val="26"/>
        </w:rPr>
        <w:t>Determin</w:t>
      </w:r>
      <w:r w:rsidR="00520494">
        <w:rPr>
          <w:bCs/>
          <w:color w:val="365F91"/>
          <w:sz w:val="26"/>
        </w:rPr>
        <w:t xml:space="preserve">ation of </w:t>
      </w:r>
      <w:r w:rsidRPr="00587FC2">
        <w:rPr>
          <w:bCs/>
          <w:color w:val="365F91"/>
          <w:sz w:val="26"/>
        </w:rPr>
        <w:t>Originator Brands</w:t>
      </w:r>
    </w:p>
    <w:p w14:paraId="597246DF" w14:textId="77777777" w:rsidR="00202D5E" w:rsidRDefault="00202D5E" w:rsidP="004E4CC8">
      <w:pPr>
        <w:pStyle w:val="ListParagraph"/>
        <w:numPr>
          <w:ilvl w:val="0"/>
          <w:numId w:val="47"/>
        </w:numPr>
        <w:ind w:left="851" w:hanging="494"/>
        <w:contextualSpacing w:val="0"/>
      </w:pPr>
      <w:r>
        <w:t xml:space="preserve">Section 99ADB of the Act provides that the Minister (or delegate) may determine by legislative instrument that a brand of a pharmaceutical item that has a drug on F2 is an ‘originator brand’. Determination of an originator brand does not necessarily mean that the data for that brand will always be removed. Details of the criteria for removal are discussed </w:t>
      </w:r>
      <w:r w:rsidR="0092036C">
        <w:t>above</w:t>
      </w:r>
      <w:r>
        <w:t xml:space="preserve">. </w:t>
      </w:r>
    </w:p>
    <w:p w14:paraId="1015B028" w14:textId="77777777" w:rsidR="00202D5E" w:rsidRDefault="00202D5E" w:rsidP="004E4CC8">
      <w:pPr>
        <w:pStyle w:val="ListParagraph"/>
        <w:numPr>
          <w:ilvl w:val="0"/>
          <w:numId w:val="47"/>
        </w:numPr>
        <w:ind w:left="851" w:hanging="494"/>
        <w:contextualSpacing w:val="0"/>
      </w:pPr>
      <w:r>
        <w:t xml:space="preserve">When determining originator brands for drugs that move to F2 after 31 March 2016, the Minister must take into account whether the brand was PBS listed when the drug was on the F1 formulary or the CDL. This provides assurance that the general approach will be to consider the brand(s) that move from F1 to F2, as an ‘originator brand’. </w:t>
      </w:r>
      <w:r w:rsidR="00961A35">
        <w:t xml:space="preserve">However, an originator brand is not always required to be determined on movement of a drug to F2 (for example if it is considered that there is no PBS listed originator), and an originator brand may be determined after the drug moves to F2 (for example if a first new brand of a new manner of administration lists; or an originator brand variant lists as mentioned below).  </w:t>
      </w:r>
    </w:p>
    <w:p w14:paraId="2B13AB86" w14:textId="77777777" w:rsidR="00202D5E" w:rsidRDefault="00202D5E" w:rsidP="004E4CC8">
      <w:pPr>
        <w:pStyle w:val="ListParagraph"/>
        <w:numPr>
          <w:ilvl w:val="0"/>
          <w:numId w:val="47"/>
        </w:numPr>
        <w:ind w:left="851" w:hanging="494"/>
        <w:contextualSpacing w:val="0"/>
      </w:pPr>
      <w:r>
        <w:lastRenderedPageBreak/>
        <w:t xml:space="preserve">Amendments to the originator brand determination will be considered upon movement of a drug from F1 to F2. </w:t>
      </w:r>
    </w:p>
    <w:p w14:paraId="2CA807FA" w14:textId="77777777" w:rsidR="00202D5E" w:rsidRDefault="00202D5E" w:rsidP="004E4CC8">
      <w:pPr>
        <w:pStyle w:val="ListParagraph"/>
        <w:numPr>
          <w:ilvl w:val="0"/>
          <w:numId w:val="47"/>
        </w:numPr>
        <w:ind w:left="851" w:hanging="494"/>
        <w:contextualSpacing w:val="0"/>
      </w:pPr>
      <w:r>
        <w:t xml:space="preserve">The policy for removal of originator brands from price disclosure calculations also includes all variants of the originator brand name. Therefore, any variants to the originator brand name will also be considered for addition to the ‘originator brand’ determination when they are listed </w:t>
      </w:r>
      <w:r w:rsidR="00961A35">
        <w:t xml:space="preserve">while a drug is </w:t>
      </w:r>
      <w:r>
        <w:t xml:space="preserve">on F2. </w:t>
      </w:r>
    </w:p>
    <w:p w14:paraId="4546C28F" w14:textId="77777777" w:rsidR="00202D5E" w:rsidRDefault="00202D5E" w:rsidP="00202D5E">
      <w:pPr>
        <w:pStyle w:val="ListParagraph"/>
        <w:numPr>
          <w:ilvl w:val="0"/>
          <w:numId w:val="47"/>
        </w:numPr>
        <w:ind w:left="714" w:hanging="357"/>
        <w:contextualSpacing w:val="0"/>
      </w:pPr>
      <w:r>
        <w:t xml:space="preserve">For example, the brands: </w:t>
      </w:r>
    </w:p>
    <w:p w14:paraId="46A2BF64" w14:textId="77777777" w:rsidR="00202D5E" w:rsidRPr="00587FC2" w:rsidRDefault="00202D5E" w:rsidP="00202D5E">
      <w:pPr>
        <w:pStyle w:val="ListParagraph"/>
        <w:numPr>
          <w:ilvl w:val="0"/>
          <w:numId w:val="41"/>
        </w:numPr>
        <w:contextualSpacing w:val="0"/>
        <w:rPr>
          <w:i/>
        </w:rPr>
      </w:pPr>
      <w:r w:rsidRPr="00587FC2">
        <w:rPr>
          <w:i/>
        </w:rPr>
        <w:t>Zovirax 200 mg</w:t>
      </w:r>
    </w:p>
    <w:p w14:paraId="6C953831" w14:textId="77777777" w:rsidR="00202D5E" w:rsidRPr="00587FC2" w:rsidRDefault="00202D5E" w:rsidP="00202D5E">
      <w:pPr>
        <w:pStyle w:val="ListParagraph"/>
        <w:numPr>
          <w:ilvl w:val="0"/>
          <w:numId w:val="41"/>
        </w:numPr>
        <w:contextualSpacing w:val="0"/>
        <w:rPr>
          <w:i/>
        </w:rPr>
      </w:pPr>
      <w:r w:rsidRPr="00587FC2">
        <w:rPr>
          <w:i/>
        </w:rPr>
        <w:t>Zovirax 800 mg</w:t>
      </w:r>
    </w:p>
    <w:p w14:paraId="339999FA" w14:textId="77777777" w:rsidR="00202D5E" w:rsidRDefault="00202D5E" w:rsidP="00202D5E">
      <w:pPr>
        <w:ind w:left="1074"/>
      </w:pPr>
      <w:r>
        <w:t xml:space="preserve">are both originator brands that contain the drug aciclovir. </w:t>
      </w:r>
    </w:p>
    <w:p w14:paraId="26B4CE22" w14:textId="77777777" w:rsidR="00202D5E" w:rsidRDefault="00202D5E" w:rsidP="00202D5E">
      <w:pPr>
        <w:ind w:left="1074"/>
      </w:pPr>
      <w:r>
        <w:t xml:space="preserve">And the brands: </w:t>
      </w:r>
    </w:p>
    <w:p w14:paraId="0154BEAE" w14:textId="77777777" w:rsidR="00202D5E" w:rsidRPr="00587FC2" w:rsidRDefault="00202D5E" w:rsidP="00202D5E">
      <w:pPr>
        <w:pStyle w:val="ListParagraph"/>
        <w:numPr>
          <w:ilvl w:val="0"/>
          <w:numId w:val="41"/>
        </w:numPr>
        <w:contextualSpacing w:val="0"/>
        <w:rPr>
          <w:i/>
        </w:rPr>
      </w:pPr>
      <w:r w:rsidRPr="00587FC2">
        <w:rPr>
          <w:i/>
        </w:rPr>
        <w:t>Amoxil</w:t>
      </w:r>
    </w:p>
    <w:p w14:paraId="2B23C1E6" w14:textId="77777777" w:rsidR="00202D5E" w:rsidRPr="00587FC2" w:rsidRDefault="00202D5E" w:rsidP="00202D5E">
      <w:pPr>
        <w:pStyle w:val="ListParagraph"/>
        <w:numPr>
          <w:ilvl w:val="0"/>
          <w:numId w:val="41"/>
        </w:numPr>
        <w:contextualSpacing w:val="0"/>
        <w:rPr>
          <w:i/>
        </w:rPr>
      </w:pPr>
      <w:r w:rsidRPr="00587FC2">
        <w:rPr>
          <w:i/>
        </w:rPr>
        <w:t>Amoxil Forte</w:t>
      </w:r>
    </w:p>
    <w:p w14:paraId="15D2603D" w14:textId="77777777" w:rsidR="00202D5E" w:rsidRDefault="00202D5E" w:rsidP="00202D5E">
      <w:pPr>
        <w:ind w:left="1074"/>
      </w:pPr>
      <w:r>
        <w:t xml:space="preserve">are both originator brands that contain the drug amoxicillin. </w:t>
      </w:r>
    </w:p>
    <w:p w14:paraId="42C2AE4F" w14:textId="77777777" w:rsidR="00202D5E" w:rsidRDefault="00202D5E" w:rsidP="004E4CC8">
      <w:pPr>
        <w:pStyle w:val="ListParagraph"/>
        <w:numPr>
          <w:ilvl w:val="0"/>
          <w:numId w:val="47"/>
        </w:numPr>
        <w:ind w:left="851" w:hanging="494"/>
        <w:contextualSpacing w:val="0"/>
      </w:pPr>
      <w:r>
        <w:t>To improve the readability of the legal instrument determining originator brands, in most instances the brands will be determined by reference only to the name of the drug they contain. This means that a listing of the determined brand in any form and for any manner of administration is to be treated as an originator brand. Where the determination of the brand as an originator may need to be confined to a particular from or manner of administration, then the determination can also be made by reference to a particular form or manner of administration.</w:t>
      </w:r>
    </w:p>
    <w:p w14:paraId="41A5D9FD" w14:textId="77777777" w:rsidR="00202D5E" w:rsidRPr="00202D5E" w:rsidRDefault="00202D5E" w:rsidP="00B206BC">
      <w:pPr>
        <w:rPr>
          <w:rFonts w:cs="Arial"/>
        </w:rPr>
      </w:pPr>
    </w:p>
    <w:p w14:paraId="12A8936F" w14:textId="77777777" w:rsidR="005D35C4" w:rsidRPr="00CB033B" w:rsidRDefault="00821510" w:rsidP="00925E92">
      <w:pPr>
        <w:pStyle w:val="Heading3"/>
        <w:spacing w:before="120"/>
      </w:pPr>
      <w:bookmarkStart w:id="55" w:name="_Toc454283974"/>
      <w:r>
        <w:t xml:space="preserve">The Weighted Average Disclosed Price </w:t>
      </w:r>
      <w:r w:rsidR="00D411DB">
        <w:t>C</w:t>
      </w:r>
      <w:r w:rsidR="00F31DC4" w:rsidRPr="00CB033B">
        <w:t>alculations</w:t>
      </w:r>
      <w:bookmarkEnd w:id="54"/>
      <w:bookmarkEnd w:id="55"/>
      <w:r w:rsidR="00F31DC4" w:rsidRPr="00CB033B">
        <w:t xml:space="preserve"> </w:t>
      </w:r>
    </w:p>
    <w:p w14:paraId="682CB89A" w14:textId="77777777" w:rsidR="00782D2D" w:rsidRDefault="00782D2D" w:rsidP="004E4CC8">
      <w:pPr>
        <w:pStyle w:val="ListParagraph"/>
        <w:numPr>
          <w:ilvl w:val="0"/>
          <w:numId w:val="48"/>
        </w:numPr>
        <w:ind w:left="851" w:hanging="494"/>
        <w:contextualSpacing w:val="0"/>
        <w:rPr>
          <w:rFonts w:cs="Arial"/>
        </w:rPr>
      </w:pPr>
      <w:r>
        <w:rPr>
          <w:rFonts w:cs="Arial"/>
        </w:rPr>
        <w:t xml:space="preserve">Price disclosure reductions are based on a </w:t>
      </w:r>
      <w:r w:rsidR="004E4D9C">
        <w:rPr>
          <w:rFonts w:cs="Arial"/>
        </w:rPr>
        <w:t>WADP</w:t>
      </w:r>
      <w:r>
        <w:rPr>
          <w:rFonts w:cs="Arial"/>
        </w:rPr>
        <w:t xml:space="preserve"> determined for </w:t>
      </w:r>
      <w:r w:rsidR="00202D5E">
        <w:rPr>
          <w:rFonts w:cs="Arial"/>
        </w:rPr>
        <w:t xml:space="preserve">a </w:t>
      </w:r>
      <w:r>
        <w:rPr>
          <w:rFonts w:cs="Arial"/>
        </w:rPr>
        <w:t>brand of pharmaceutical item in a cycle.</w:t>
      </w:r>
      <w:r w:rsidRPr="00782D2D">
        <w:rPr>
          <w:rFonts w:cs="Arial"/>
        </w:rPr>
        <w:t xml:space="preserve"> </w:t>
      </w:r>
      <w:r>
        <w:rPr>
          <w:rFonts w:cs="Arial"/>
        </w:rPr>
        <w:t>The c</w:t>
      </w:r>
      <w:r w:rsidRPr="000C7578">
        <w:rPr>
          <w:rFonts w:cs="Arial"/>
        </w:rPr>
        <w:t xml:space="preserve">alculation is performed </w:t>
      </w:r>
      <w:r>
        <w:rPr>
          <w:rFonts w:cs="Arial"/>
        </w:rPr>
        <w:t>by grouping related brands (</w:t>
      </w:r>
      <w:r w:rsidR="00E03B52">
        <w:rPr>
          <w:rFonts w:cs="Arial"/>
        </w:rPr>
        <w:t>i.e.,</w:t>
      </w:r>
      <w:r>
        <w:rPr>
          <w:rFonts w:cs="Arial"/>
        </w:rPr>
        <w:t xml:space="preserve"> brands with the same </w:t>
      </w:r>
      <w:r w:rsidRPr="000C7578">
        <w:rPr>
          <w:rFonts w:cs="Arial"/>
        </w:rPr>
        <w:t>drug</w:t>
      </w:r>
      <w:r>
        <w:rPr>
          <w:rFonts w:cs="Arial"/>
        </w:rPr>
        <w:t>/MoA)</w:t>
      </w:r>
      <w:r w:rsidRPr="000C7578">
        <w:rPr>
          <w:rFonts w:cs="Arial"/>
        </w:rPr>
        <w:t xml:space="preserve">. </w:t>
      </w:r>
      <w:r w:rsidR="00BC65D9">
        <w:rPr>
          <w:rFonts w:cs="Arial"/>
        </w:rPr>
        <w:t xml:space="preserve">The calculation </w:t>
      </w:r>
      <w:r w:rsidR="002A22D9">
        <w:rPr>
          <w:rFonts w:cs="Arial"/>
        </w:rPr>
        <w:t>and</w:t>
      </w:r>
      <w:r w:rsidR="00BC65D9">
        <w:rPr>
          <w:rFonts w:cs="Arial"/>
        </w:rPr>
        <w:t xml:space="preserve"> outcome do</w:t>
      </w:r>
      <w:r w:rsidR="002A22D9">
        <w:rPr>
          <w:rFonts w:cs="Arial"/>
        </w:rPr>
        <w:t>es</w:t>
      </w:r>
      <w:r w:rsidR="00BC65D9">
        <w:rPr>
          <w:rFonts w:cs="Arial"/>
        </w:rPr>
        <w:t xml:space="preserve"> not apply to exempt items.</w:t>
      </w:r>
    </w:p>
    <w:p w14:paraId="16B2DD64" w14:textId="77777777" w:rsidR="00782D2D" w:rsidRPr="000C7578" w:rsidRDefault="00782D2D" w:rsidP="004E4CC8">
      <w:pPr>
        <w:pStyle w:val="ListParagraph"/>
        <w:numPr>
          <w:ilvl w:val="0"/>
          <w:numId w:val="48"/>
        </w:numPr>
        <w:ind w:left="851" w:hanging="494"/>
        <w:contextualSpacing w:val="0"/>
        <w:rPr>
          <w:rFonts w:cs="Arial"/>
        </w:rPr>
      </w:pPr>
      <w:r>
        <w:rPr>
          <w:rFonts w:cs="Arial"/>
        </w:rPr>
        <w:t xml:space="preserve">The method for calculating </w:t>
      </w:r>
      <w:r w:rsidR="004E4D9C">
        <w:rPr>
          <w:rFonts w:cs="Arial"/>
        </w:rPr>
        <w:t>WADPs</w:t>
      </w:r>
      <w:r w:rsidRPr="000C7578">
        <w:rPr>
          <w:rFonts w:cs="Arial"/>
        </w:rPr>
        <w:t xml:space="preserve"> </w:t>
      </w:r>
      <w:r>
        <w:rPr>
          <w:rFonts w:cs="Arial"/>
        </w:rPr>
        <w:t>is set out in regulations 37G to 37S</w:t>
      </w:r>
      <w:r w:rsidR="00CA0F21">
        <w:rPr>
          <w:rFonts w:cs="Arial"/>
        </w:rPr>
        <w:t>C</w:t>
      </w:r>
      <w:r w:rsidRPr="000C7578">
        <w:rPr>
          <w:rFonts w:cs="Arial"/>
        </w:rPr>
        <w:t xml:space="preserve">. </w:t>
      </w:r>
      <w:r w:rsidR="00BA531F">
        <w:rPr>
          <w:rFonts w:cs="Arial"/>
        </w:rPr>
        <w:t xml:space="preserve">A </w:t>
      </w:r>
      <w:r w:rsidR="00663E43">
        <w:rPr>
          <w:rFonts w:cs="Arial"/>
        </w:rPr>
        <w:t xml:space="preserve">detailed </w:t>
      </w:r>
      <w:r w:rsidR="00BA531F">
        <w:rPr>
          <w:rFonts w:cs="Arial"/>
        </w:rPr>
        <w:t>description of t</w:t>
      </w:r>
      <w:r>
        <w:rPr>
          <w:rFonts w:cs="Arial"/>
        </w:rPr>
        <w:t xml:space="preserve">he steps </w:t>
      </w:r>
      <w:r w:rsidR="00BA531F">
        <w:rPr>
          <w:rFonts w:cs="Arial"/>
        </w:rPr>
        <w:t>is</w:t>
      </w:r>
      <w:r>
        <w:rPr>
          <w:rFonts w:cs="Arial"/>
        </w:rPr>
        <w:t xml:space="preserve"> provided</w:t>
      </w:r>
      <w:r w:rsidR="00624C65">
        <w:rPr>
          <w:rFonts w:cs="Arial"/>
        </w:rPr>
        <w:t xml:space="preserve"> below</w:t>
      </w:r>
      <w:r w:rsidR="00B942C4" w:rsidRPr="00A85704">
        <w:rPr>
          <w:rFonts w:cs="Arial"/>
        </w:rPr>
        <w:t>, with a link to a sample calculation</w:t>
      </w:r>
      <w:r w:rsidRPr="00A85704">
        <w:rPr>
          <w:rFonts w:cs="Arial"/>
        </w:rPr>
        <w:t>.</w:t>
      </w:r>
      <w:r>
        <w:rPr>
          <w:rFonts w:cs="Arial"/>
        </w:rPr>
        <w:t xml:space="preserve"> In summary:</w:t>
      </w:r>
    </w:p>
    <w:p w14:paraId="66E3F8F4" w14:textId="77777777" w:rsidR="004E4CC8" w:rsidRPr="009A45AD" w:rsidRDefault="00B26A6B" w:rsidP="009A45AD">
      <w:pPr>
        <w:pStyle w:val="ListParagraph"/>
        <w:numPr>
          <w:ilvl w:val="1"/>
          <w:numId w:val="48"/>
        </w:numPr>
        <w:spacing w:before="0" w:line="240" w:lineRule="auto"/>
        <w:contextualSpacing w:val="0"/>
        <w:rPr>
          <w:rFonts w:cs="Arial"/>
        </w:rPr>
      </w:pPr>
      <w:r w:rsidRPr="009A45AD">
        <w:rPr>
          <w:rFonts w:cs="Arial"/>
        </w:rPr>
        <w:t>the weighted average percentage d</w:t>
      </w:r>
      <w:r w:rsidR="00F31DC4" w:rsidRPr="009A45AD">
        <w:rPr>
          <w:rFonts w:cs="Arial"/>
        </w:rPr>
        <w:t>ifference</w:t>
      </w:r>
      <w:r w:rsidR="000C70E0" w:rsidRPr="009A45AD">
        <w:rPr>
          <w:rFonts w:cs="Arial"/>
        </w:rPr>
        <w:t xml:space="preserve"> </w:t>
      </w:r>
      <w:r w:rsidR="004E16F0" w:rsidRPr="009A45AD">
        <w:rPr>
          <w:rFonts w:cs="Arial"/>
        </w:rPr>
        <w:t>is</w:t>
      </w:r>
      <w:r w:rsidR="00F31DC4" w:rsidRPr="009A45AD">
        <w:rPr>
          <w:rFonts w:cs="Arial"/>
        </w:rPr>
        <w:t xml:space="preserve"> calculated </w:t>
      </w:r>
      <w:r w:rsidR="002804BD" w:rsidRPr="009A45AD">
        <w:rPr>
          <w:rFonts w:cs="Arial"/>
        </w:rPr>
        <w:t xml:space="preserve">between disclosed prices and </w:t>
      </w:r>
      <w:r w:rsidR="00640FEC" w:rsidRPr="009A45AD">
        <w:rPr>
          <w:rFonts w:cs="Arial"/>
        </w:rPr>
        <w:t xml:space="preserve">the </w:t>
      </w:r>
      <w:r w:rsidR="00663E43" w:rsidRPr="009A45AD">
        <w:rPr>
          <w:rFonts w:cs="Arial"/>
        </w:rPr>
        <w:t>average</w:t>
      </w:r>
      <w:r w:rsidR="00640FEC" w:rsidRPr="009A45AD">
        <w:rPr>
          <w:rFonts w:cs="Arial"/>
        </w:rPr>
        <w:t xml:space="preserve"> PBS</w:t>
      </w:r>
      <w:r w:rsidR="00663E43" w:rsidRPr="009A45AD">
        <w:rPr>
          <w:rFonts w:cs="Arial"/>
        </w:rPr>
        <w:t xml:space="preserve"> </w:t>
      </w:r>
      <w:r w:rsidR="00640FEC" w:rsidRPr="009A45AD">
        <w:rPr>
          <w:rFonts w:cs="Arial"/>
        </w:rPr>
        <w:t xml:space="preserve">approved ex-manufacturer </w:t>
      </w:r>
      <w:r w:rsidR="002804BD" w:rsidRPr="009A45AD">
        <w:rPr>
          <w:rFonts w:cs="Arial"/>
        </w:rPr>
        <w:t xml:space="preserve">prices </w:t>
      </w:r>
      <w:r w:rsidR="00F31DC4" w:rsidRPr="009A45AD">
        <w:rPr>
          <w:rFonts w:cs="Arial"/>
        </w:rPr>
        <w:t>for</w:t>
      </w:r>
      <w:r w:rsidR="00782D2D" w:rsidRPr="009A45AD">
        <w:rPr>
          <w:rFonts w:cs="Arial"/>
        </w:rPr>
        <w:t xml:space="preserve"> brand</w:t>
      </w:r>
      <w:r w:rsidR="00663E43" w:rsidRPr="009A45AD">
        <w:rPr>
          <w:rFonts w:cs="Arial"/>
        </w:rPr>
        <w:t>s</w:t>
      </w:r>
      <w:r w:rsidR="00782D2D" w:rsidRPr="009A45AD">
        <w:rPr>
          <w:rFonts w:cs="Arial"/>
        </w:rPr>
        <w:t xml:space="preserve"> of</w:t>
      </w:r>
      <w:r w:rsidR="00F31DC4" w:rsidRPr="009A45AD">
        <w:rPr>
          <w:rFonts w:cs="Arial"/>
        </w:rPr>
        <w:t xml:space="preserve"> each </w:t>
      </w:r>
      <w:r w:rsidR="003E439E" w:rsidRPr="009A45AD">
        <w:rPr>
          <w:rFonts w:cs="Arial"/>
        </w:rPr>
        <w:t>pharmaceutical item</w:t>
      </w:r>
      <w:r w:rsidR="00F31DC4" w:rsidRPr="009A45AD">
        <w:rPr>
          <w:rFonts w:cs="Arial"/>
        </w:rPr>
        <w:t xml:space="preserve"> </w:t>
      </w:r>
      <w:r w:rsidR="00782D2D" w:rsidRPr="009A45AD">
        <w:rPr>
          <w:rFonts w:cs="Arial"/>
        </w:rPr>
        <w:t>containing related brands (</w:t>
      </w:r>
      <w:r w:rsidR="00E03B52" w:rsidRPr="009A45AD">
        <w:rPr>
          <w:rFonts w:cs="Arial"/>
        </w:rPr>
        <w:t>i.e.,</w:t>
      </w:r>
      <w:r w:rsidR="00782D2D" w:rsidRPr="009A45AD">
        <w:rPr>
          <w:rFonts w:cs="Arial"/>
        </w:rPr>
        <w:t xml:space="preserve"> brands with the same</w:t>
      </w:r>
      <w:r w:rsidR="00F31DC4" w:rsidRPr="009A45AD">
        <w:rPr>
          <w:rFonts w:cs="Arial"/>
        </w:rPr>
        <w:t xml:space="preserve"> drug </w:t>
      </w:r>
      <w:r w:rsidR="004C53CA" w:rsidRPr="009A45AD">
        <w:rPr>
          <w:rFonts w:cs="Arial"/>
        </w:rPr>
        <w:t>/MoA</w:t>
      </w:r>
      <w:r w:rsidR="00782D2D" w:rsidRPr="009A45AD">
        <w:rPr>
          <w:rFonts w:cs="Arial"/>
        </w:rPr>
        <w:t>)</w:t>
      </w:r>
      <w:r w:rsidR="00F31DC4" w:rsidRPr="009A45AD">
        <w:rPr>
          <w:rFonts w:cs="Arial"/>
        </w:rPr>
        <w:t xml:space="preserve">. </w:t>
      </w:r>
      <w:r w:rsidR="00B24A78" w:rsidRPr="009A45AD">
        <w:rPr>
          <w:rFonts w:cs="Arial"/>
        </w:rPr>
        <w:t xml:space="preserve">This calculation is performed with and without the originator brand </w:t>
      </w:r>
      <w:r w:rsidR="001636C2" w:rsidRPr="009A45AD">
        <w:rPr>
          <w:rFonts w:cs="Arial"/>
        </w:rPr>
        <w:t>where the drug/MoA meets the F2/multi-branded criteria (30 month clock) and where the pharmaceutical item</w:t>
      </w:r>
      <w:r w:rsidR="009A45AD" w:rsidRPr="009A45AD">
        <w:rPr>
          <w:rFonts w:cs="Arial"/>
        </w:rPr>
        <w:t xml:space="preserve"> is not ‘originator only’</w:t>
      </w:r>
      <w:r w:rsidR="001636C2" w:rsidRPr="009A45AD">
        <w:rPr>
          <w:rFonts w:cs="Arial"/>
        </w:rPr>
        <w:t xml:space="preserve">.  </w:t>
      </w:r>
      <w:r w:rsidR="004E4CC8" w:rsidRPr="009A45AD">
        <w:rPr>
          <w:rFonts w:cs="Arial"/>
        </w:rPr>
        <w:br w:type="page"/>
      </w:r>
    </w:p>
    <w:p w14:paraId="52D28840" w14:textId="77777777" w:rsidR="005D35C4" w:rsidRDefault="00F31DC4" w:rsidP="004E4CC8">
      <w:pPr>
        <w:pStyle w:val="ListParagraph"/>
        <w:numPr>
          <w:ilvl w:val="1"/>
          <w:numId w:val="48"/>
        </w:numPr>
        <w:contextualSpacing w:val="0"/>
        <w:rPr>
          <w:rFonts w:cs="Arial"/>
        </w:rPr>
      </w:pPr>
      <w:r w:rsidRPr="00925E92">
        <w:rPr>
          <w:rFonts w:cs="Arial"/>
        </w:rPr>
        <w:lastRenderedPageBreak/>
        <w:t xml:space="preserve">The </w:t>
      </w:r>
      <w:r w:rsidR="00B24A78">
        <w:rPr>
          <w:rFonts w:cs="Arial"/>
        </w:rPr>
        <w:t xml:space="preserve">resultant </w:t>
      </w:r>
      <w:r w:rsidR="000C70E0" w:rsidRPr="00925E92">
        <w:rPr>
          <w:rFonts w:cs="Arial"/>
        </w:rPr>
        <w:t>weighted average percentage difference</w:t>
      </w:r>
      <w:r w:rsidRPr="00925E92">
        <w:rPr>
          <w:rFonts w:cs="Arial"/>
        </w:rPr>
        <w:t xml:space="preserve"> for each </w:t>
      </w:r>
      <w:r w:rsidR="005116C2" w:rsidRPr="00925E92">
        <w:rPr>
          <w:rFonts w:cs="Arial"/>
        </w:rPr>
        <w:t>p</w:t>
      </w:r>
      <w:r w:rsidRPr="00925E92">
        <w:rPr>
          <w:rFonts w:cs="Arial"/>
        </w:rPr>
        <w:t xml:space="preserve">harmaceutical </w:t>
      </w:r>
      <w:r w:rsidR="00561D62" w:rsidRPr="00925E92">
        <w:rPr>
          <w:rFonts w:cs="Arial"/>
        </w:rPr>
        <w:t>i</w:t>
      </w:r>
      <w:r w:rsidRPr="00925E92">
        <w:rPr>
          <w:rFonts w:cs="Arial"/>
        </w:rPr>
        <w:t xml:space="preserve">tem of a drug </w:t>
      </w:r>
      <w:r w:rsidR="004C53CA" w:rsidRPr="00925E92">
        <w:rPr>
          <w:rFonts w:cs="Arial"/>
        </w:rPr>
        <w:t>/MoA</w:t>
      </w:r>
      <w:r w:rsidRPr="00925E92">
        <w:rPr>
          <w:rFonts w:cs="Arial"/>
        </w:rPr>
        <w:t xml:space="preserve"> is then weighted according to its </w:t>
      </w:r>
      <w:r w:rsidR="008560B4" w:rsidRPr="00925E92">
        <w:rPr>
          <w:rFonts w:cs="Arial"/>
        </w:rPr>
        <w:t xml:space="preserve">total </w:t>
      </w:r>
      <w:r w:rsidR="00DD6FFE" w:rsidRPr="00925E92">
        <w:rPr>
          <w:rFonts w:cs="Arial"/>
        </w:rPr>
        <w:t>disclosed</w:t>
      </w:r>
      <w:r w:rsidRPr="00925E92">
        <w:rPr>
          <w:rFonts w:cs="Arial"/>
        </w:rPr>
        <w:t xml:space="preserve"> volume </w:t>
      </w:r>
      <w:r w:rsidR="003E439E" w:rsidRPr="00925E92">
        <w:rPr>
          <w:rFonts w:cs="Arial"/>
        </w:rPr>
        <w:t xml:space="preserve">and </w:t>
      </w:r>
      <w:r w:rsidR="004E16F0" w:rsidRPr="00925E92">
        <w:rPr>
          <w:rFonts w:cs="Arial"/>
        </w:rPr>
        <w:t xml:space="preserve">its </w:t>
      </w:r>
      <w:r w:rsidR="002804BD" w:rsidRPr="00925E92">
        <w:rPr>
          <w:rFonts w:cs="Arial"/>
        </w:rPr>
        <w:t xml:space="preserve">average </w:t>
      </w:r>
      <w:r w:rsidR="00640FEC" w:rsidRPr="00925E92">
        <w:rPr>
          <w:rFonts w:cs="Arial"/>
        </w:rPr>
        <w:t xml:space="preserve">PBS </w:t>
      </w:r>
      <w:r w:rsidR="000C70E0" w:rsidRPr="00925E92">
        <w:rPr>
          <w:rFonts w:cs="Arial"/>
        </w:rPr>
        <w:t>approved ex-manufacturer price</w:t>
      </w:r>
      <w:r w:rsidR="004E16F0" w:rsidRPr="00925E92">
        <w:rPr>
          <w:rFonts w:cs="Arial"/>
        </w:rPr>
        <w:t xml:space="preserve"> </w:t>
      </w:r>
      <w:r w:rsidR="00CC7124" w:rsidRPr="00925E92">
        <w:rPr>
          <w:rFonts w:cs="Arial"/>
        </w:rPr>
        <w:t xml:space="preserve">to </w:t>
      </w:r>
      <w:r w:rsidR="004E16F0" w:rsidRPr="00925E92">
        <w:rPr>
          <w:rFonts w:cs="Arial"/>
        </w:rPr>
        <w:t xml:space="preserve">give </w:t>
      </w:r>
      <w:r w:rsidR="00CC7124" w:rsidRPr="00925E92">
        <w:rPr>
          <w:rFonts w:cs="Arial"/>
        </w:rPr>
        <w:t xml:space="preserve">the </w:t>
      </w:r>
      <w:r w:rsidR="006F6759" w:rsidRPr="00925E92">
        <w:rPr>
          <w:rFonts w:cs="Arial"/>
        </w:rPr>
        <w:t xml:space="preserve">weighted average percentage difference </w:t>
      </w:r>
      <w:r w:rsidR="002804BD" w:rsidRPr="00925E92">
        <w:rPr>
          <w:rFonts w:cs="Arial"/>
        </w:rPr>
        <w:t xml:space="preserve">across all brands </w:t>
      </w:r>
      <w:r w:rsidR="00782D2D" w:rsidRPr="00925E92">
        <w:rPr>
          <w:rFonts w:cs="Arial"/>
        </w:rPr>
        <w:t>containing the same</w:t>
      </w:r>
      <w:r w:rsidRPr="00925E92">
        <w:rPr>
          <w:rFonts w:cs="Arial"/>
        </w:rPr>
        <w:t xml:space="preserve"> drug </w:t>
      </w:r>
      <w:r w:rsidR="004C53CA" w:rsidRPr="00925E92">
        <w:rPr>
          <w:rFonts w:cs="Arial"/>
        </w:rPr>
        <w:t>/MoA</w:t>
      </w:r>
      <w:r w:rsidRPr="00925E92">
        <w:rPr>
          <w:rFonts w:cs="Arial"/>
        </w:rPr>
        <w:t>.</w:t>
      </w:r>
      <w:r w:rsidR="002804BD" w:rsidRPr="00925E92">
        <w:rPr>
          <w:rFonts w:cs="Arial"/>
        </w:rPr>
        <w:t xml:space="preserve"> </w:t>
      </w:r>
    </w:p>
    <w:p w14:paraId="71C1D065" w14:textId="77777777" w:rsidR="009A45AD" w:rsidRDefault="009A45AD" w:rsidP="009A45AD">
      <w:pPr>
        <w:pStyle w:val="ListParagraph"/>
        <w:numPr>
          <w:ilvl w:val="1"/>
          <w:numId w:val="48"/>
        </w:numPr>
        <w:contextualSpacing w:val="0"/>
        <w:rPr>
          <w:rFonts w:cs="Arial"/>
        </w:rPr>
      </w:pPr>
      <w:r>
        <w:rPr>
          <w:rFonts w:cs="Arial"/>
        </w:rPr>
        <w:t>The result that produces the higher weighted average percentage difference (WAPD) for the brand and all related brands is chosen.</w:t>
      </w:r>
      <w:r w:rsidRPr="00925E92">
        <w:rPr>
          <w:rFonts w:cs="Arial"/>
        </w:rPr>
        <w:t xml:space="preserve"> </w:t>
      </w:r>
    </w:p>
    <w:p w14:paraId="3364A808" w14:textId="77777777" w:rsidR="006F6759" w:rsidRDefault="00D256EA" w:rsidP="004E4CC8">
      <w:pPr>
        <w:pStyle w:val="ListParagraph"/>
        <w:numPr>
          <w:ilvl w:val="1"/>
          <w:numId w:val="48"/>
        </w:numPr>
        <w:contextualSpacing w:val="0"/>
        <w:rPr>
          <w:rFonts w:cs="Arial"/>
        </w:rPr>
      </w:pPr>
      <w:r>
        <w:rPr>
          <w:rFonts w:cs="Arial"/>
        </w:rPr>
        <w:t>T</w:t>
      </w:r>
      <w:r w:rsidR="004E64C5" w:rsidRPr="000C7578">
        <w:rPr>
          <w:rFonts w:cs="Arial"/>
        </w:rPr>
        <w:t xml:space="preserve">he </w:t>
      </w:r>
      <w:r>
        <w:rPr>
          <w:rFonts w:cs="Arial"/>
        </w:rPr>
        <w:t xml:space="preserve">average </w:t>
      </w:r>
      <w:r w:rsidR="00640FEC">
        <w:rPr>
          <w:rFonts w:cs="Arial"/>
        </w:rPr>
        <w:t xml:space="preserve">PBS </w:t>
      </w:r>
      <w:r w:rsidR="004E64C5">
        <w:rPr>
          <w:rFonts w:cs="Arial"/>
        </w:rPr>
        <w:t>approved ex-manufacturer price</w:t>
      </w:r>
      <w:r w:rsidR="004E64C5" w:rsidRPr="000C7578">
        <w:rPr>
          <w:rFonts w:cs="Arial"/>
        </w:rPr>
        <w:t xml:space="preserve">s for </w:t>
      </w:r>
      <w:r w:rsidR="002804BD">
        <w:rPr>
          <w:rFonts w:cs="Arial"/>
        </w:rPr>
        <w:t>each</w:t>
      </w:r>
      <w:r w:rsidR="004E64C5" w:rsidRPr="000C7578">
        <w:rPr>
          <w:rFonts w:cs="Arial"/>
        </w:rPr>
        <w:t xml:space="preserve"> brand</w:t>
      </w:r>
      <w:r w:rsidR="002804BD">
        <w:rPr>
          <w:rFonts w:cs="Arial"/>
        </w:rPr>
        <w:t xml:space="preserve"> </w:t>
      </w:r>
      <w:r w:rsidR="00BE589E">
        <w:rPr>
          <w:rFonts w:cs="Arial"/>
        </w:rPr>
        <w:t xml:space="preserve">of </w:t>
      </w:r>
      <w:r w:rsidR="004E64C5">
        <w:rPr>
          <w:rFonts w:cs="Arial"/>
        </w:rPr>
        <w:t>each</w:t>
      </w:r>
      <w:r w:rsidR="004E64C5" w:rsidRPr="000C7578">
        <w:rPr>
          <w:rFonts w:cs="Arial"/>
        </w:rPr>
        <w:t xml:space="preserve"> drug </w:t>
      </w:r>
      <w:r w:rsidR="004E64C5">
        <w:rPr>
          <w:rFonts w:cs="Arial"/>
        </w:rPr>
        <w:t>/MoA</w:t>
      </w:r>
      <w:r w:rsidR="004E64C5" w:rsidRPr="000C7578">
        <w:rPr>
          <w:rFonts w:cs="Arial"/>
        </w:rPr>
        <w:t xml:space="preserve"> </w:t>
      </w:r>
      <w:r w:rsidR="004E64C5">
        <w:rPr>
          <w:rFonts w:cs="Arial"/>
        </w:rPr>
        <w:t xml:space="preserve">are </w:t>
      </w:r>
      <w:r w:rsidR="002804BD" w:rsidRPr="003C20CD">
        <w:rPr>
          <w:rFonts w:cs="Arial"/>
        </w:rPr>
        <w:t xml:space="preserve">then </w:t>
      </w:r>
      <w:r w:rsidR="004E64C5" w:rsidRPr="003C20CD">
        <w:rPr>
          <w:rFonts w:cs="Arial"/>
        </w:rPr>
        <w:t>reduced by th</w:t>
      </w:r>
      <w:r w:rsidR="002804BD" w:rsidRPr="003C20CD">
        <w:rPr>
          <w:rFonts w:cs="Arial"/>
        </w:rPr>
        <w:t>e</w:t>
      </w:r>
      <w:r w:rsidR="004E64C5" w:rsidRPr="003C20CD">
        <w:rPr>
          <w:rFonts w:cs="Arial"/>
        </w:rPr>
        <w:t xml:space="preserve"> </w:t>
      </w:r>
      <w:r w:rsidR="004E16F0" w:rsidRPr="003C20CD">
        <w:rPr>
          <w:rFonts w:cs="Arial"/>
        </w:rPr>
        <w:t>w</w:t>
      </w:r>
      <w:r w:rsidR="004E64C5" w:rsidRPr="003C20CD">
        <w:rPr>
          <w:rFonts w:cs="Arial"/>
        </w:rPr>
        <w:t>eighted average percentage difference</w:t>
      </w:r>
      <w:r w:rsidR="004E16F0" w:rsidRPr="003C20CD">
        <w:rPr>
          <w:rFonts w:cs="Arial"/>
        </w:rPr>
        <w:t xml:space="preserve"> for the drug/MoA</w:t>
      </w:r>
      <w:r w:rsidR="004E64C5" w:rsidRPr="003C20CD">
        <w:rPr>
          <w:rFonts w:cs="Arial"/>
        </w:rPr>
        <w:t>, giving</w:t>
      </w:r>
      <w:r w:rsidR="002804BD" w:rsidRPr="003C20CD">
        <w:rPr>
          <w:rFonts w:cs="Arial"/>
        </w:rPr>
        <w:t xml:space="preserve"> </w:t>
      </w:r>
      <w:r w:rsidR="004E16F0" w:rsidRPr="003C20CD">
        <w:rPr>
          <w:rFonts w:cs="Arial"/>
        </w:rPr>
        <w:t xml:space="preserve">a </w:t>
      </w:r>
      <w:r w:rsidR="004E4D9C" w:rsidRPr="003C20CD">
        <w:rPr>
          <w:rFonts w:cs="Arial"/>
        </w:rPr>
        <w:t>WADP</w:t>
      </w:r>
      <w:r w:rsidR="002804BD" w:rsidRPr="003C20CD">
        <w:rPr>
          <w:rFonts w:cs="Arial"/>
        </w:rPr>
        <w:t xml:space="preserve"> for each brand</w:t>
      </w:r>
      <w:r w:rsidR="004E16F0" w:rsidRPr="003C20CD">
        <w:rPr>
          <w:rFonts w:cs="Arial"/>
        </w:rPr>
        <w:t xml:space="preserve"> of pharmaceutical item</w:t>
      </w:r>
      <w:r w:rsidR="004E64C5" w:rsidRPr="003C20CD">
        <w:rPr>
          <w:rFonts w:cs="Arial"/>
        </w:rPr>
        <w:t>.</w:t>
      </w:r>
    </w:p>
    <w:p w14:paraId="378EFFC4" w14:textId="77777777" w:rsidR="005A59B4" w:rsidRDefault="006F6759" w:rsidP="004E4CC8">
      <w:pPr>
        <w:pStyle w:val="ListParagraph"/>
        <w:numPr>
          <w:ilvl w:val="1"/>
          <w:numId w:val="48"/>
        </w:numPr>
        <w:contextualSpacing w:val="0"/>
        <w:rPr>
          <w:rFonts w:cs="Arial"/>
        </w:rPr>
      </w:pPr>
      <w:r w:rsidRPr="003C20CD">
        <w:rPr>
          <w:rFonts w:cs="Arial"/>
        </w:rPr>
        <w:t xml:space="preserve">A legal determination is made setting out the </w:t>
      </w:r>
      <w:r w:rsidR="004E4D9C" w:rsidRPr="003C20CD">
        <w:rPr>
          <w:rFonts w:cs="Arial"/>
        </w:rPr>
        <w:t>WADPs</w:t>
      </w:r>
      <w:r w:rsidRPr="003C20CD">
        <w:rPr>
          <w:rFonts w:cs="Arial"/>
        </w:rPr>
        <w:t xml:space="preserve"> for each brand of each pharmaceutical item</w:t>
      </w:r>
      <w:r w:rsidR="004E64C5" w:rsidRPr="003C20CD">
        <w:rPr>
          <w:rFonts w:cs="Arial"/>
        </w:rPr>
        <w:t xml:space="preserve"> for every drug/MoA</w:t>
      </w:r>
      <w:r w:rsidR="004E4D9C" w:rsidRPr="003C20CD">
        <w:rPr>
          <w:rFonts w:cs="Arial"/>
        </w:rPr>
        <w:t xml:space="preserve"> in the cycle</w:t>
      </w:r>
      <w:r w:rsidR="00401F4F" w:rsidRPr="003C20CD">
        <w:rPr>
          <w:rFonts w:cs="Arial"/>
        </w:rPr>
        <w:t xml:space="preserve">. </w:t>
      </w:r>
      <w:r w:rsidR="00640FEC">
        <w:rPr>
          <w:rFonts w:cs="Arial"/>
        </w:rPr>
        <w:t xml:space="preserve">A </w:t>
      </w:r>
      <w:r w:rsidR="004E4D9C" w:rsidRPr="003C20CD">
        <w:rPr>
          <w:rFonts w:cs="Arial"/>
        </w:rPr>
        <w:t>10%</w:t>
      </w:r>
      <w:r w:rsidR="00401F4F" w:rsidRPr="003C20CD">
        <w:rPr>
          <w:rFonts w:cs="Arial"/>
        </w:rPr>
        <w:t xml:space="preserve"> test </w:t>
      </w:r>
      <w:r w:rsidR="004E4D9C" w:rsidRPr="003C20CD">
        <w:rPr>
          <w:rFonts w:cs="Arial"/>
        </w:rPr>
        <w:t>is</w:t>
      </w:r>
      <w:r w:rsidR="00640FEC">
        <w:rPr>
          <w:rFonts w:cs="Arial"/>
        </w:rPr>
        <w:t xml:space="preserve"> then</w:t>
      </w:r>
      <w:r w:rsidR="004E4D9C" w:rsidRPr="003C20CD">
        <w:rPr>
          <w:rFonts w:cs="Arial"/>
        </w:rPr>
        <w:t xml:space="preserve"> applied to work out whether </w:t>
      </w:r>
      <w:r w:rsidR="00401F4F" w:rsidRPr="003C20CD">
        <w:rPr>
          <w:rFonts w:cs="Arial"/>
        </w:rPr>
        <w:t xml:space="preserve">a reduction </w:t>
      </w:r>
      <w:r w:rsidR="00E25402">
        <w:rPr>
          <w:rFonts w:cs="Arial"/>
        </w:rPr>
        <w:t xml:space="preserve">based on the WADP </w:t>
      </w:r>
      <w:r w:rsidR="004E4D9C" w:rsidRPr="003C20CD">
        <w:rPr>
          <w:rFonts w:cs="Arial"/>
        </w:rPr>
        <w:t xml:space="preserve">will apply. </w:t>
      </w:r>
    </w:p>
    <w:p w14:paraId="03F6D946" w14:textId="77777777" w:rsidR="0009791E" w:rsidRPr="005A59B4" w:rsidRDefault="005A59B4" w:rsidP="00B206BC">
      <w:pPr>
        <w:pStyle w:val="ListParagraph"/>
        <w:rPr>
          <w:rFonts w:cs="Arial"/>
        </w:rPr>
      </w:pPr>
      <w:r>
        <w:rPr>
          <w:rFonts w:cs="Arial"/>
        </w:rPr>
        <w:br w:type="page"/>
      </w:r>
    </w:p>
    <w:p w14:paraId="2FFA0874" w14:textId="77777777" w:rsidR="00220E93" w:rsidRPr="009F7D5D" w:rsidRDefault="00220E93" w:rsidP="00587FC2">
      <w:pPr>
        <w:rPr>
          <w:rFonts w:cs="Arial"/>
        </w:rPr>
        <w:sectPr w:rsidR="00220E93" w:rsidRPr="009F7D5D" w:rsidSect="00937377">
          <w:footerReference w:type="default" r:id="rId30"/>
          <w:pgSz w:w="11907" w:h="16839" w:code="9"/>
          <w:pgMar w:top="1440" w:right="1440" w:bottom="1440" w:left="1440" w:header="720" w:footer="720" w:gutter="0"/>
          <w:cols w:space="720"/>
          <w:noEndnote/>
          <w:titlePg/>
          <w:docGrid w:linePitch="299"/>
        </w:sectPr>
      </w:pPr>
    </w:p>
    <w:p w14:paraId="2623228F" w14:textId="77777777" w:rsidR="00C93959" w:rsidRDefault="00A743F8" w:rsidP="00925E92">
      <w:pPr>
        <w:pStyle w:val="Heading2"/>
        <w:spacing w:before="120"/>
      </w:pPr>
      <w:bookmarkStart w:id="56" w:name="_Toc386023177"/>
      <w:bookmarkStart w:id="57" w:name="_Toc454283975"/>
      <w:bookmarkStart w:id="58" w:name="_Toc386023184"/>
      <w:r w:rsidRPr="00A85704">
        <w:lastRenderedPageBreak/>
        <w:t xml:space="preserve">Method </w:t>
      </w:r>
      <w:r w:rsidR="00C93959" w:rsidRPr="00A85704">
        <w:t>-</w:t>
      </w:r>
      <w:r w:rsidRPr="00A85704">
        <w:t xml:space="preserve"> </w:t>
      </w:r>
      <w:r w:rsidR="00262655" w:rsidRPr="00A85704">
        <w:t>W</w:t>
      </w:r>
      <w:r w:rsidRPr="00A85704">
        <w:t xml:space="preserve">eighted average disclosed price of </w:t>
      </w:r>
      <w:r w:rsidR="00C93959" w:rsidRPr="00A85704">
        <w:t xml:space="preserve">a </w:t>
      </w:r>
      <w:r w:rsidRPr="00A85704">
        <w:t>listed brand of pharmaceutical item</w:t>
      </w:r>
      <w:bookmarkStart w:id="59" w:name="_Toc386023178"/>
      <w:bookmarkEnd w:id="56"/>
      <w:bookmarkEnd w:id="57"/>
      <w:r w:rsidRPr="000B186E">
        <w:t xml:space="preserve"> </w:t>
      </w:r>
    </w:p>
    <w:p w14:paraId="2CF18850" w14:textId="77777777" w:rsidR="002B3C0C" w:rsidRPr="002B3C0C" w:rsidRDefault="002B3C0C" w:rsidP="00925E92"/>
    <w:p w14:paraId="49074006" w14:textId="77777777" w:rsidR="00A743F8" w:rsidRPr="00332DCD" w:rsidRDefault="00A743F8" w:rsidP="00925E92">
      <w:pPr>
        <w:rPr>
          <w:b/>
          <w:lang w:eastAsia="en-US"/>
        </w:rPr>
      </w:pPr>
      <w:r w:rsidRPr="00332DCD">
        <w:rPr>
          <w:b/>
          <w:lang w:eastAsia="en-US"/>
        </w:rPr>
        <w:t>Definitions and abbreviations:</w:t>
      </w:r>
    </w:p>
    <w:p w14:paraId="363013A7" w14:textId="77777777" w:rsidR="00A743F8" w:rsidRPr="000B186E" w:rsidRDefault="00A743F8" w:rsidP="00925E92">
      <w:pPr>
        <w:tabs>
          <w:tab w:val="right" w:pos="1021"/>
        </w:tabs>
        <w:spacing w:line="240" w:lineRule="auto"/>
        <w:ind w:left="1134" w:hanging="1134"/>
        <w:rPr>
          <w:rFonts w:cs="Arial"/>
        </w:rPr>
      </w:pPr>
      <w:r w:rsidRPr="000B186E">
        <w:rPr>
          <w:rFonts w:cs="Arial"/>
          <w:b/>
        </w:rPr>
        <w:t>av. AEMP</w:t>
      </w:r>
      <w:r w:rsidRPr="000B186E">
        <w:rPr>
          <w:rFonts w:cs="Arial"/>
        </w:rPr>
        <w:t xml:space="preserve"> - average approved ex-manufacturer price for brand (see regulation 37J) </w:t>
      </w:r>
    </w:p>
    <w:p w14:paraId="6D6EAF9A" w14:textId="77777777" w:rsidR="00A743F8" w:rsidRPr="000B186E" w:rsidRDefault="00A743F8" w:rsidP="00925E92">
      <w:pPr>
        <w:tabs>
          <w:tab w:val="right" w:pos="1021"/>
        </w:tabs>
        <w:spacing w:line="240" w:lineRule="auto"/>
        <w:ind w:left="1134" w:hanging="1134"/>
        <w:rPr>
          <w:rFonts w:cs="Arial"/>
        </w:rPr>
      </w:pPr>
      <w:r w:rsidRPr="000B186E">
        <w:rPr>
          <w:rFonts w:cs="Arial"/>
          <w:b/>
        </w:rPr>
        <w:t>data collection period</w:t>
      </w:r>
      <w:r w:rsidRPr="000B186E">
        <w:rPr>
          <w:rFonts w:cs="Arial"/>
        </w:rPr>
        <w:t xml:space="preserve"> - (see regulation 37C)</w:t>
      </w:r>
    </w:p>
    <w:p w14:paraId="4A53A127" w14:textId="77777777" w:rsidR="00A743F8" w:rsidRDefault="00A743F8" w:rsidP="00925E92">
      <w:pPr>
        <w:tabs>
          <w:tab w:val="right" w:pos="1021"/>
        </w:tabs>
        <w:spacing w:line="240" w:lineRule="auto"/>
        <w:ind w:left="1134" w:hanging="1134"/>
        <w:rPr>
          <w:rFonts w:cs="Arial"/>
        </w:rPr>
      </w:pPr>
      <w:r w:rsidRPr="000B186E">
        <w:rPr>
          <w:rFonts w:cs="Arial"/>
          <w:b/>
        </w:rPr>
        <w:t>final day</w:t>
      </w:r>
      <w:r w:rsidRPr="000B186E">
        <w:rPr>
          <w:rFonts w:cs="Arial"/>
        </w:rPr>
        <w:t xml:space="preserve"> - last day of the data collection period (see subregulation 5(1)) </w:t>
      </w:r>
    </w:p>
    <w:p w14:paraId="055A38E7" w14:textId="77777777" w:rsidR="00CF45DE" w:rsidRPr="00CF45DE" w:rsidRDefault="00C34ED7" w:rsidP="00CF45DE">
      <w:pPr>
        <w:tabs>
          <w:tab w:val="right" w:pos="1021"/>
        </w:tabs>
        <w:spacing w:line="240" w:lineRule="auto"/>
        <w:ind w:left="1134" w:hanging="1134"/>
        <w:rPr>
          <w:rFonts w:cs="Arial"/>
        </w:rPr>
      </w:pPr>
      <w:r w:rsidRPr="00CF45DE">
        <w:rPr>
          <w:rFonts w:cs="Arial"/>
          <w:b/>
        </w:rPr>
        <w:t xml:space="preserve">initial month </w:t>
      </w:r>
      <w:r w:rsidRPr="00CF45DE">
        <w:rPr>
          <w:rFonts w:cs="Arial"/>
        </w:rPr>
        <w:t xml:space="preserve">– </w:t>
      </w:r>
      <w:r w:rsidR="00CF45DE" w:rsidRPr="00CF45DE">
        <w:rPr>
          <w:rFonts w:cs="Arial"/>
        </w:rPr>
        <w:t>for a brand of a pharmaceutical item that was not a listed brand</w:t>
      </w:r>
    </w:p>
    <w:p w14:paraId="7145A053" w14:textId="77777777" w:rsidR="00CF45DE" w:rsidRPr="00CF45DE" w:rsidRDefault="00CF45DE" w:rsidP="00CF45DE">
      <w:pPr>
        <w:tabs>
          <w:tab w:val="right" w:pos="1021"/>
        </w:tabs>
        <w:spacing w:line="240" w:lineRule="auto"/>
        <w:ind w:left="1134" w:hanging="1134"/>
        <w:rPr>
          <w:rFonts w:cs="Arial"/>
        </w:rPr>
      </w:pPr>
      <w:r w:rsidRPr="00CF45DE">
        <w:rPr>
          <w:rFonts w:cs="Arial"/>
        </w:rPr>
        <w:t>immediately before the brand’s start day, means the first month of the brand’s</w:t>
      </w:r>
    </w:p>
    <w:p w14:paraId="17248904" w14:textId="77777777" w:rsidR="00C34ED7" w:rsidRPr="000B186E" w:rsidRDefault="00CF45DE" w:rsidP="00CF45DE">
      <w:pPr>
        <w:tabs>
          <w:tab w:val="right" w:pos="1021"/>
        </w:tabs>
        <w:spacing w:line="240" w:lineRule="auto"/>
        <w:ind w:left="1134" w:hanging="1134"/>
        <w:rPr>
          <w:rFonts w:cs="Arial"/>
        </w:rPr>
      </w:pPr>
      <w:r w:rsidRPr="00CF45DE">
        <w:rPr>
          <w:rFonts w:cs="Arial"/>
        </w:rPr>
        <w:t>first data collection period</w:t>
      </w:r>
    </w:p>
    <w:p w14:paraId="6FA9117A" w14:textId="77777777" w:rsidR="00A743F8" w:rsidRPr="000B186E" w:rsidRDefault="00A743F8" w:rsidP="00925E92">
      <w:pPr>
        <w:tabs>
          <w:tab w:val="right" w:pos="1021"/>
        </w:tabs>
        <w:spacing w:line="240" w:lineRule="auto"/>
        <w:ind w:left="1134" w:hanging="1134"/>
        <w:rPr>
          <w:rFonts w:cs="Arial"/>
        </w:rPr>
      </w:pPr>
      <w:r w:rsidRPr="000B186E">
        <w:rPr>
          <w:rFonts w:cs="Arial"/>
          <w:b/>
        </w:rPr>
        <w:t>MoA</w:t>
      </w:r>
      <w:r w:rsidRPr="000B186E">
        <w:rPr>
          <w:rFonts w:cs="Arial"/>
        </w:rPr>
        <w:t xml:space="preserve"> - manner of administration (see section 84AB and subsection 85(5) of the Act)</w:t>
      </w:r>
    </w:p>
    <w:p w14:paraId="441069E9" w14:textId="77777777" w:rsidR="00624C65" w:rsidRPr="000B186E" w:rsidRDefault="00624C65" w:rsidP="00925E92">
      <w:pPr>
        <w:tabs>
          <w:tab w:val="right" w:pos="1021"/>
        </w:tabs>
        <w:spacing w:line="240" w:lineRule="auto"/>
        <w:rPr>
          <w:rFonts w:cs="Arial"/>
        </w:rPr>
      </w:pPr>
      <w:r w:rsidRPr="000B186E">
        <w:rPr>
          <w:rFonts w:cs="Arial"/>
          <w:b/>
        </w:rPr>
        <w:t>price sampling day</w:t>
      </w:r>
      <w:r w:rsidRPr="000B186E">
        <w:rPr>
          <w:rFonts w:cs="Arial"/>
        </w:rPr>
        <w:t xml:space="preserve"> – </w:t>
      </w:r>
      <w:r w:rsidR="00893291">
        <w:rPr>
          <w:rFonts w:cs="Arial"/>
        </w:rPr>
        <w:t>first day of a calendar month in the data collection period of a brand of a pharmaceutical item (</w:t>
      </w:r>
      <w:r w:rsidRPr="000B186E">
        <w:rPr>
          <w:rFonts w:cs="Arial"/>
        </w:rPr>
        <w:t xml:space="preserve">see </w:t>
      </w:r>
      <w:r w:rsidR="00893291">
        <w:rPr>
          <w:rFonts w:cs="Arial"/>
        </w:rPr>
        <w:t>r</w:t>
      </w:r>
      <w:r w:rsidR="00C64FD5">
        <w:rPr>
          <w:rFonts w:cs="Arial"/>
        </w:rPr>
        <w:t>egulation 37D</w:t>
      </w:r>
      <w:r w:rsidR="00893291">
        <w:rPr>
          <w:rFonts w:cs="Arial"/>
        </w:rPr>
        <w:t>)</w:t>
      </w:r>
    </w:p>
    <w:p w14:paraId="44BBDB66" w14:textId="77777777" w:rsidR="00A743F8" w:rsidRPr="000B186E" w:rsidRDefault="00A743F8" w:rsidP="00925E92">
      <w:pPr>
        <w:tabs>
          <w:tab w:val="right" w:pos="1021"/>
        </w:tabs>
        <w:spacing w:line="240" w:lineRule="auto"/>
        <w:ind w:left="1134" w:hanging="1134"/>
        <w:rPr>
          <w:rFonts w:cs="Arial"/>
        </w:rPr>
      </w:pPr>
      <w:r w:rsidRPr="000B186E">
        <w:rPr>
          <w:rFonts w:cs="Arial"/>
          <w:b/>
        </w:rPr>
        <w:t>PQ</w:t>
      </w:r>
      <w:r w:rsidRPr="000B186E">
        <w:rPr>
          <w:rFonts w:cs="Arial"/>
        </w:rPr>
        <w:t xml:space="preserve"> - pricing quantity (see subsection </w:t>
      </w:r>
      <w:r w:rsidR="00400D9E" w:rsidRPr="000B186E">
        <w:rPr>
          <w:rFonts w:cs="Arial"/>
        </w:rPr>
        <w:t>84AK (</w:t>
      </w:r>
      <w:r w:rsidRPr="000B186E">
        <w:rPr>
          <w:rFonts w:cs="Arial"/>
        </w:rPr>
        <w:t>1) of the Act)</w:t>
      </w:r>
    </w:p>
    <w:p w14:paraId="75DCA407" w14:textId="77777777" w:rsidR="00A743F8" w:rsidRPr="000B186E" w:rsidRDefault="00A743F8" w:rsidP="00925E92">
      <w:pPr>
        <w:tabs>
          <w:tab w:val="right" w:pos="1021"/>
        </w:tabs>
        <w:spacing w:line="240" w:lineRule="auto"/>
        <w:ind w:right="-142"/>
        <w:rPr>
          <w:rFonts w:cs="Arial"/>
        </w:rPr>
      </w:pPr>
      <w:r w:rsidRPr="000B186E">
        <w:rPr>
          <w:rFonts w:cs="Arial"/>
          <w:b/>
        </w:rPr>
        <w:t>relevant day</w:t>
      </w:r>
      <w:r w:rsidRPr="000B186E">
        <w:rPr>
          <w:rFonts w:cs="Arial"/>
        </w:rPr>
        <w:t xml:space="preserve"> - day after last day of data collection period, </w:t>
      </w:r>
      <w:r w:rsidR="00400D9E" w:rsidRPr="000B186E">
        <w:rPr>
          <w:rFonts w:cs="Arial"/>
        </w:rPr>
        <w:t>i.e.</w:t>
      </w:r>
      <w:r w:rsidR="00E200ED">
        <w:rPr>
          <w:rFonts w:cs="Arial"/>
        </w:rPr>
        <w:t>,</w:t>
      </w:r>
      <w:r w:rsidRPr="000B186E">
        <w:rPr>
          <w:rFonts w:cs="Arial"/>
        </w:rPr>
        <w:t xml:space="preserve"> first day of next period (see subsection </w:t>
      </w:r>
      <w:r w:rsidR="00400D9E" w:rsidRPr="000B186E">
        <w:rPr>
          <w:rFonts w:cs="Arial"/>
        </w:rPr>
        <w:t>99ADB (</w:t>
      </w:r>
      <w:r w:rsidRPr="000B186E">
        <w:rPr>
          <w:rFonts w:cs="Arial"/>
        </w:rPr>
        <w:t>1) of the Act)</w:t>
      </w:r>
      <w:r w:rsidR="00640FEC">
        <w:rPr>
          <w:rFonts w:cs="Arial"/>
        </w:rPr>
        <w:t>.  Will generally be a reduction day from a previous cycle.</w:t>
      </w:r>
    </w:p>
    <w:p w14:paraId="2C8DA7CA" w14:textId="77777777" w:rsidR="00A743F8" w:rsidRPr="000B186E" w:rsidRDefault="00A743F8" w:rsidP="00925E92">
      <w:pPr>
        <w:tabs>
          <w:tab w:val="right" w:pos="1021"/>
        </w:tabs>
        <w:spacing w:line="240" w:lineRule="auto"/>
        <w:rPr>
          <w:rFonts w:cs="Arial"/>
        </w:rPr>
      </w:pPr>
      <w:r w:rsidRPr="000B186E">
        <w:rPr>
          <w:rFonts w:cs="Arial"/>
          <w:b/>
        </w:rPr>
        <w:t>rounding [*]</w:t>
      </w:r>
      <w:r w:rsidRPr="000B186E">
        <w:rPr>
          <w:rFonts w:cs="Arial"/>
        </w:rPr>
        <w:t xml:space="preserve"> - amounts if not whole cents are rounded to the nearest cent, 0.5 cents upwards (see section 84AI of the Act)</w:t>
      </w:r>
    </w:p>
    <w:p w14:paraId="516AC4FA" w14:textId="77777777" w:rsidR="00A743F8" w:rsidRPr="000B186E" w:rsidRDefault="00A743F8" w:rsidP="00925E92">
      <w:pPr>
        <w:tabs>
          <w:tab w:val="right" w:pos="1021"/>
        </w:tabs>
        <w:spacing w:line="240" w:lineRule="auto"/>
        <w:rPr>
          <w:rFonts w:cs="Arial"/>
        </w:rPr>
      </w:pPr>
      <w:r w:rsidRPr="000B186E">
        <w:rPr>
          <w:rFonts w:cs="Arial"/>
          <w:b/>
        </w:rPr>
        <w:t>WADP</w:t>
      </w:r>
      <w:r w:rsidRPr="000B186E">
        <w:rPr>
          <w:rFonts w:cs="Arial"/>
        </w:rPr>
        <w:t xml:space="preserve"> - weighted average disclosed price (see subsections </w:t>
      </w:r>
      <w:r w:rsidR="00400D9E" w:rsidRPr="000B186E">
        <w:rPr>
          <w:rFonts w:cs="Arial"/>
        </w:rPr>
        <w:t>99ADB (</w:t>
      </w:r>
      <w:r w:rsidRPr="000B186E">
        <w:rPr>
          <w:rFonts w:cs="Arial"/>
        </w:rPr>
        <w:t>1) and (4) of the Act and regulation 37S)</w:t>
      </w:r>
    </w:p>
    <w:p w14:paraId="0813876F" w14:textId="77777777" w:rsidR="00A743F8" w:rsidRPr="000B186E" w:rsidRDefault="00A743F8" w:rsidP="00925E92">
      <w:pPr>
        <w:tabs>
          <w:tab w:val="right" w:pos="1021"/>
        </w:tabs>
        <w:spacing w:line="240" w:lineRule="auto"/>
        <w:rPr>
          <w:rFonts w:cs="Arial"/>
        </w:rPr>
      </w:pPr>
      <w:r w:rsidRPr="000B186E">
        <w:rPr>
          <w:rFonts w:cs="Arial"/>
          <w:b/>
        </w:rPr>
        <w:t>10% test</w:t>
      </w:r>
      <w:r w:rsidRPr="000B186E">
        <w:rPr>
          <w:rFonts w:cs="Arial"/>
        </w:rPr>
        <w:t xml:space="preserve"> for price reductions</w:t>
      </w:r>
      <w:r w:rsidR="002A22D9">
        <w:rPr>
          <w:rFonts w:cs="Arial"/>
        </w:rPr>
        <w:t xml:space="preserve"> - S</w:t>
      </w:r>
      <w:r w:rsidRPr="000B186E">
        <w:rPr>
          <w:rFonts w:cs="Arial"/>
        </w:rPr>
        <w:t>ee paragraph </w:t>
      </w:r>
      <w:r w:rsidR="00400D9E" w:rsidRPr="000B186E">
        <w:rPr>
          <w:rFonts w:cs="Arial"/>
        </w:rPr>
        <w:t>99ADH (</w:t>
      </w:r>
      <w:r w:rsidRPr="000B186E">
        <w:rPr>
          <w:rFonts w:cs="Arial"/>
        </w:rPr>
        <w:t>1</w:t>
      </w:r>
      <w:r w:rsidR="00400D9E" w:rsidRPr="000B186E">
        <w:rPr>
          <w:rFonts w:cs="Arial"/>
        </w:rPr>
        <w:t>) (</w:t>
      </w:r>
      <w:r w:rsidRPr="000B186E">
        <w:rPr>
          <w:rFonts w:cs="Arial"/>
        </w:rPr>
        <w:t>c), subsections </w:t>
      </w:r>
      <w:r w:rsidR="00400D9E" w:rsidRPr="000B186E">
        <w:rPr>
          <w:rFonts w:cs="Arial"/>
        </w:rPr>
        <w:t>99ADB (</w:t>
      </w:r>
      <w:r w:rsidRPr="000B186E">
        <w:rPr>
          <w:rFonts w:cs="Arial"/>
        </w:rPr>
        <w:t>1) and (3A) of the Act)</w:t>
      </w:r>
    </w:p>
    <w:p w14:paraId="703F7447" w14:textId="77777777" w:rsidR="00074BE7" w:rsidRDefault="00074BE7" w:rsidP="002B65C4"/>
    <w:p w14:paraId="4D5CC885" w14:textId="77777777" w:rsidR="00A743F8" w:rsidRPr="000B186E" w:rsidRDefault="00A743F8" w:rsidP="00074BE7">
      <w:pPr>
        <w:keepNext/>
        <w:keepLines/>
        <w:tabs>
          <w:tab w:val="left" w:pos="9356"/>
        </w:tabs>
        <w:spacing w:before="240" w:after="120" w:line="240" w:lineRule="auto"/>
        <w:ind w:left="1134" w:right="-448" w:hanging="1134"/>
        <w:outlineLvl w:val="4"/>
        <w:rPr>
          <w:rFonts w:cs="Arial"/>
          <w:kern w:val="28"/>
        </w:rPr>
      </w:pPr>
      <w:r w:rsidRPr="000B186E">
        <w:rPr>
          <w:rFonts w:cs="Arial"/>
          <w:b/>
          <w:bCs/>
          <w:kern w:val="28"/>
        </w:rPr>
        <w:t>Step 1 - Net revenue for brand</w:t>
      </w:r>
      <w:bookmarkEnd w:id="59"/>
      <w:r w:rsidR="00624C65">
        <w:rPr>
          <w:rFonts w:cs="Arial"/>
          <w:b/>
          <w:bCs/>
          <w:kern w:val="28"/>
        </w:rPr>
        <w:t xml:space="preserve"> – Reg 37G</w:t>
      </w:r>
    </w:p>
    <w:p w14:paraId="7B85728D" w14:textId="77777777" w:rsidR="00A743F8" w:rsidRDefault="00A743F8" w:rsidP="00074BE7">
      <w:pPr>
        <w:spacing w:after="120" w:line="240" w:lineRule="auto"/>
        <w:ind w:right="709"/>
        <w:rPr>
          <w:rFonts w:cs="Arial"/>
        </w:rPr>
      </w:pPr>
      <w:r w:rsidRPr="000B186E">
        <w:rPr>
          <w:rFonts w:cs="Arial"/>
        </w:rPr>
        <w:t>Work out the net revenue (revenue minus incentives) for the listed brand of the pharmaceutical item for the data collection period (other than initial month).  Pack size information is required for all supplies.</w:t>
      </w:r>
    </w:p>
    <w:p w14:paraId="49887C10"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0" w:name="_Toc386023179"/>
      <w:r w:rsidRPr="000B186E">
        <w:rPr>
          <w:rFonts w:cs="Arial"/>
          <w:b/>
          <w:bCs/>
          <w:kern w:val="28"/>
        </w:rPr>
        <w:t>Step 2 - Adjusted volume for brand</w:t>
      </w:r>
      <w:bookmarkEnd w:id="60"/>
      <w:r w:rsidR="00624C65">
        <w:rPr>
          <w:rFonts w:cs="Arial"/>
          <w:b/>
          <w:bCs/>
          <w:kern w:val="28"/>
        </w:rPr>
        <w:t xml:space="preserve"> – Reg 37H</w:t>
      </w:r>
    </w:p>
    <w:p w14:paraId="140C60EF" w14:textId="77777777" w:rsidR="00A743F8" w:rsidRDefault="00A743F8" w:rsidP="00074BE7">
      <w:pPr>
        <w:spacing w:after="120" w:line="240" w:lineRule="auto"/>
        <w:ind w:right="709"/>
        <w:rPr>
          <w:rFonts w:cs="Arial"/>
        </w:rPr>
      </w:pPr>
      <w:r w:rsidRPr="000B186E">
        <w:rPr>
          <w:rFonts w:cs="Arial"/>
        </w:rPr>
        <w:t>Work out the adjusted volume of the brand expressed as the number of packs, adjusted as if the pack size for all supplies equals the pricing quantity (PQ) on the final day.</w:t>
      </w:r>
    </w:p>
    <w:p w14:paraId="39EF729D" w14:textId="77777777" w:rsidR="00624C65" w:rsidRPr="00965C80" w:rsidRDefault="00A743F8" w:rsidP="00074BE7">
      <w:pPr>
        <w:keepNext/>
        <w:keepLines/>
        <w:tabs>
          <w:tab w:val="left" w:pos="9356"/>
        </w:tabs>
        <w:spacing w:before="240" w:after="120" w:line="240" w:lineRule="auto"/>
        <w:ind w:left="851" w:right="-448" w:hanging="851"/>
        <w:outlineLvl w:val="4"/>
        <w:rPr>
          <w:rFonts w:cs="Arial"/>
          <w:b/>
          <w:bCs/>
          <w:kern w:val="28"/>
        </w:rPr>
      </w:pPr>
      <w:bookmarkStart w:id="61" w:name="_Toc386023180"/>
      <w:r w:rsidRPr="000B186E">
        <w:rPr>
          <w:rFonts w:cs="Arial"/>
          <w:b/>
          <w:bCs/>
          <w:kern w:val="28"/>
        </w:rPr>
        <w:t>Step 3 - Average approved ex</w:t>
      </w:r>
      <w:r w:rsidRPr="000B186E">
        <w:rPr>
          <w:rFonts w:cs="Arial"/>
          <w:b/>
          <w:bCs/>
          <w:kern w:val="28"/>
        </w:rPr>
        <w:noBreakHyphen/>
        <w:t>manufacturer price (av.AEMP) for brand</w:t>
      </w:r>
      <w:bookmarkEnd w:id="61"/>
      <w:r w:rsidRPr="000B186E">
        <w:rPr>
          <w:rFonts w:cs="Arial"/>
          <w:b/>
          <w:bCs/>
          <w:kern w:val="28"/>
        </w:rPr>
        <w:t xml:space="preserve"> of the</w:t>
      </w:r>
      <w:r w:rsidR="00824E09">
        <w:rPr>
          <w:rFonts w:cs="Arial"/>
          <w:b/>
          <w:bCs/>
          <w:kern w:val="28"/>
        </w:rPr>
        <w:t xml:space="preserve"> </w:t>
      </w:r>
      <w:r w:rsidRPr="000B186E">
        <w:rPr>
          <w:rFonts w:cs="Arial"/>
          <w:b/>
          <w:bCs/>
          <w:kern w:val="28"/>
        </w:rPr>
        <w:t>pharmaceutical item</w:t>
      </w:r>
      <w:r w:rsidR="00624C65">
        <w:rPr>
          <w:rFonts w:cs="Arial"/>
          <w:b/>
          <w:bCs/>
          <w:kern w:val="28"/>
        </w:rPr>
        <w:t xml:space="preserve"> – Reg 37J</w:t>
      </w:r>
    </w:p>
    <w:p w14:paraId="320CB6F2" w14:textId="77777777" w:rsidR="00A743F8" w:rsidRDefault="00A743F8" w:rsidP="00074BE7">
      <w:pPr>
        <w:spacing w:after="120" w:line="240" w:lineRule="auto"/>
        <w:ind w:right="709"/>
        <w:rPr>
          <w:rFonts w:cs="Arial"/>
        </w:rPr>
      </w:pPr>
      <w:r w:rsidRPr="000B186E">
        <w:rPr>
          <w:rFonts w:cs="Arial"/>
        </w:rPr>
        <w:t>Sum the approved ex</w:t>
      </w:r>
      <w:r w:rsidRPr="000B186E">
        <w:rPr>
          <w:rFonts w:cs="Arial"/>
        </w:rPr>
        <w:noBreakHyphen/>
        <w:t>manufacturer price (AEMP) on each price sampling day for the data collection period, adjusted if necessary, to reflect the PQ on the final day.  Divide by the number of months in the period.  [* round]</w:t>
      </w:r>
    </w:p>
    <w:p w14:paraId="2CD32773"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2" w:name="_Toc386023181"/>
      <w:r w:rsidRPr="000B186E">
        <w:rPr>
          <w:rFonts w:cs="Arial"/>
          <w:b/>
          <w:bCs/>
          <w:kern w:val="28"/>
        </w:rPr>
        <w:t>Step 4 - Disclosed price for brand</w:t>
      </w:r>
      <w:bookmarkEnd w:id="62"/>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37K</w:t>
      </w:r>
    </w:p>
    <w:p w14:paraId="3B9D2FD5" w14:textId="77777777" w:rsidR="00A743F8" w:rsidRDefault="00A743F8" w:rsidP="00074BE7">
      <w:pPr>
        <w:spacing w:after="120" w:line="240" w:lineRule="auto"/>
        <w:ind w:right="709"/>
        <w:rPr>
          <w:rFonts w:cs="Arial"/>
        </w:rPr>
      </w:pPr>
      <w:r w:rsidRPr="000B186E">
        <w:rPr>
          <w:rFonts w:cs="Arial"/>
        </w:rPr>
        <w:t>Divide the net revenue (step 1) by the adjusted volume (step 2).  [*]  If more than av.AEMP, adjust to av.AEMP.</w:t>
      </w:r>
    </w:p>
    <w:p w14:paraId="1840DC0B"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3" w:name="_Toc386023182"/>
      <w:r w:rsidRPr="000B186E">
        <w:rPr>
          <w:rFonts w:cs="Arial"/>
          <w:b/>
          <w:bCs/>
          <w:kern w:val="28"/>
        </w:rPr>
        <w:lastRenderedPageBreak/>
        <w:t>Step 5 - Price percentage difference of brand</w:t>
      </w:r>
      <w:bookmarkEnd w:id="63"/>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37L</w:t>
      </w:r>
    </w:p>
    <w:p w14:paraId="0B46476C" w14:textId="77777777" w:rsidR="00A743F8" w:rsidRPr="000B186E" w:rsidRDefault="00A743F8" w:rsidP="00074BE7">
      <w:pPr>
        <w:spacing w:after="120" w:line="240" w:lineRule="auto"/>
        <w:ind w:right="709"/>
        <w:rPr>
          <w:rFonts w:cs="Arial"/>
        </w:rPr>
      </w:pPr>
      <w:r w:rsidRPr="000B186E">
        <w:rPr>
          <w:rFonts w:cs="Arial"/>
        </w:rPr>
        <w:t>Subtract the disclosed price (step 4) from the av.AEMP (step 3).  Divide that amount by</w:t>
      </w:r>
      <w:r w:rsidR="00624C65" w:rsidRPr="000B186E">
        <w:rPr>
          <w:rFonts w:cs="Arial"/>
        </w:rPr>
        <w:t xml:space="preserve"> </w:t>
      </w:r>
      <w:r w:rsidRPr="000B186E">
        <w:rPr>
          <w:rFonts w:cs="Arial"/>
        </w:rPr>
        <w:t>av.AEMP (step 3). Express result as a percentage to 2 decimal places.</w:t>
      </w:r>
    </w:p>
    <w:p w14:paraId="222EC145"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r w:rsidRPr="000B186E">
        <w:rPr>
          <w:rFonts w:cs="Arial"/>
          <w:b/>
          <w:bCs/>
          <w:kern w:val="28"/>
        </w:rPr>
        <w:t>Step 6 - Repeat steps 1 to 5 for each brand of the same pharmaceutical ite</w:t>
      </w:r>
      <w:r w:rsidR="00624C65">
        <w:rPr>
          <w:rFonts w:cs="Arial"/>
          <w:b/>
          <w:bCs/>
          <w:kern w:val="28"/>
        </w:rPr>
        <w:t>m – Reg 3</w:t>
      </w:r>
      <w:r w:rsidRPr="00965C80">
        <w:rPr>
          <w:rFonts w:cs="Arial"/>
          <w:b/>
          <w:bCs/>
          <w:kern w:val="28"/>
        </w:rPr>
        <w:t>7M</w:t>
      </w:r>
    </w:p>
    <w:p w14:paraId="76B92F08" w14:textId="77777777" w:rsidR="00A743F8" w:rsidRPr="000B186E" w:rsidRDefault="00A743F8" w:rsidP="00074BE7">
      <w:pPr>
        <w:spacing w:after="120" w:line="240" w:lineRule="auto"/>
        <w:ind w:right="709"/>
        <w:rPr>
          <w:rFonts w:cs="Arial"/>
        </w:rPr>
      </w:pPr>
      <w:r w:rsidRPr="000B186E">
        <w:rPr>
          <w:rFonts w:cs="Arial"/>
        </w:rPr>
        <w:t>Calculate steps 1 to 5 for each other brand which has been a listed brand during the data collection period.</w:t>
      </w:r>
    </w:p>
    <w:p w14:paraId="394E443C" w14:textId="77777777" w:rsidR="00A743F8" w:rsidRDefault="00A743F8" w:rsidP="00074BE7">
      <w:pPr>
        <w:spacing w:after="120" w:line="240" w:lineRule="auto"/>
        <w:ind w:right="709"/>
        <w:rPr>
          <w:rFonts w:cs="Arial"/>
        </w:rPr>
      </w:pPr>
      <w:r w:rsidRPr="000B186E">
        <w:rPr>
          <w:rFonts w:cs="Arial"/>
        </w:rPr>
        <w:t>If brand has delisted, use the PQ of a listed brand on final day (used in step 2), or the PQ of last listed brand.</w:t>
      </w:r>
    </w:p>
    <w:bookmarkEnd w:id="58"/>
    <w:p w14:paraId="0A9C953B"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r w:rsidRPr="000B186E">
        <w:rPr>
          <w:rFonts w:cs="Arial"/>
          <w:b/>
          <w:bCs/>
          <w:kern w:val="28"/>
        </w:rPr>
        <w:t>Step 7 - Total adjusted volumes of brands of the same pharmaceutical item</w:t>
      </w:r>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37N</w:t>
      </w:r>
    </w:p>
    <w:p w14:paraId="3415AD56" w14:textId="77777777" w:rsidR="00A743F8" w:rsidRDefault="00A743F8" w:rsidP="00074BE7">
      <w:pPr>
        <w:spacing w:after="120" w:line="240" w:lineRule="auto"/>
        <w:ind w:right="709"/>
        <w:rPr>
          <w:rFonts w:cs="Arial"/>
        </w:rPr>
      </w:pPr>
      <w:r w:rsidRPr="000B186E">
        <w:rPr>
          <w:rFonts w:cs="Arial"/>
        </w:rPr>
        <w:t>Add the adjusted volumes for each brand</w:t>
      </w:r>
      <w:r w:rsidR="00624C65" w:rsidRPr="000B186E">
        <w:rPr>
          <w:rFonts w:cs="Arial"/>
        </w:rPr>
        <w:t xml:space="preserve"> of the same pharmaceutical item</w:t>
      </w:r>
      <w:r w:rsidRPr="000B186E">
        <w:rPr>
          <w:rFonts w:cs="Arial"/>
        </w:rPr>
        <w:t>.</w:t>
      </w:r>
    </w:p>
    <w:p w14:paraId="3EA778DC" w14:textId="77777777" w:rsidR="00624C65" w:rsidRPr="00965C80" w:rsidRDefault="00A743F8" w:rsidP="00074BE7">
      <w:pPr>
        <w:keepNext/>
        <w:keepLines/>
        <w:tabs>
          <w:tab w:val="left" w:pos="9356"/>
        </w:tabs>
        <w:spacing w:before="240" w:after="120" w:line="240" w:lineRule="auto"/>
        <w:ind w:left="1134" w:right="-448" w:hanging="1134"/>
        <w:outlineLvl w:val="4"/>
        <w:rPr>
          <w:rFonts w:cs="Arial"/>
          <w:b/>
          <w:bCs/>
          <w:kern w:val="28"/>
        </w:rPr>
      </w:pPr>
      <w:bookmarkStart w:id="64" w:name="_Toc386023185"/>
      <w:r w:rsidRPr="000B186E">
        <w:rPr>
          <w:rFonts w:cs="Arial"/>
          <w:b/>
          <w:bCs/>
          <w:kern w:val="28"/>
        </w:rPr>
        <w:t>Step 8 - Weighted average percentage difference for the pharmaceutical item</w:t>
      </w:r>
      <w:bookmarkEnd w:id="64"/>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37P</w:t>
      </w:r>
    </w:p>
    <w:p w14:paraId="39D467BD" w14:textId="77777777" w:rsidR="00A743F8" w:rsidRDefault="00A743F8" w:rsidP="00074BE7">
      <w:pPr>
        <w:spacing w:after="120" w:line="240" w:lineRule="auto"/>
        <w:ind w:right="709"/>
        <w:rPr>
          <w:rFonts w:cs="Arial"/>
        </w:rPr>
      </w:pPr>
      <w:r w:rsidRPr="000B186E">
        <w:rPr>
          <w:rFonts w:cs="Arial"/>
        </w:rPr>
        <w:t>Sum the adjusted volume (step 2) multiplied by the price percentage difference (step 5) for each brand.  Divide that amount by the total adjusted volume of the brands (step 7).  Express result as percentage to 2 decimal places.</w:t>
      </w:r>
    </w:p>
    <w:p w14:paraId="249C9301" w14:textId="77777777" w:rsidR="00A743F8" w:rsidRPr="00965C80" w:rsidRDefault="00A743F8" w:rsidP="00074BE7">
      <w:pPr>
        <w:keepNext/>
        <w:keepLines/>
        <w:tabs>
          <w:tab w:val="left" w:pos="9356"/>
        </w:tabs>
        <w:spacing w:before="240" w:after="120" w:line="240" w:lineRule="auto"/>
        <w:ind w:left="851" w:right="-448" w:hanging="851"/>
        <w:outlineLvl w:val="4"/>
        <w:rPr>
          <w:rFonts w:cs="Arial"/>
          <w:b/>
          <w:bCs/>
          <w:kern w:val="28"/>
        </w:rPr>
      </w:pPr>
      <w:bookmarkStart w:id="65" w:name="_Toc386023186"/>
      <w:r w:rsidRPr="000B186E">
        <w:rPr>
          <w:rFonts w:cs="Arial"/>
          <w:b/>
          <w:bCs/>
          <w:kern w:val="28"/>
        </w:rPr>
        <w:t>Step 9 - Repeat steps 1 to 8 for each pharmaceutical item with related brands</w:t>
      </w:r>
      <w:bookmarkEnd w:id="65"/>
      <w:r w:rsidRPr="000B186E">
        <w:rPr>
          <w:rFonts w:cs="Arial"/>
          <w:b/>
          <w:bCs/>
          <w:kern w:val="28"/>
        </w:rPr>
        <w:t xml:space="preserve"> </w:t>
      </w:r>
      <w:r w:rsidR="00074BE7">
        <w:rPr>
          <w:rFonts w:cs="Arial"/>
          <w:b/>
          <w:bCs/>
          <w:kern w:val="28"/>
        </w:rPr>
        <w:br/>
      </w:r>
      <w:r w:rsidRPr="00965C80">
        <w:rPr>
          <w:rFonts w:cs="Arial"/>
          <w:bCs/>
          <w:kern w:val="28"/>
        </w:rPr>
        <w:t>(e</w:t>
      </w:r>
      <w:r w:rsidR="00824E09" w:rsidRPr="00965C80">
        <w:rPr>
          <w:rFonts w:cs="Arial"/>
          <w:bCs/>
          <w:kern w:val="28"/>
        </w:rPr>
        <w:t>.</w:t>
      </w:r>
      <w:r w:rsidRPr="00965C80">
        <w:rPr>
          <w:rFonts w:cs="Arial"/>
          <w:bCs/>
          <w:kern w:val="28"/>
        </w:rPr>
        <w:t>g.</w:t>
      </w:r>
      <w:r w:rsidR="00824E09" w:rsidRPr="00965C80">
        <w:rPr>
          <w:rFonts w:cs="Arial"/>
          <w:bCs/>
          <w:kern w:val="28"/>
        </w:rPr>
        <w:t>,</w:t>
      </w:r>
      <w:r w:rsidRPr="00965C80">
        <w:rPr>
          <w:rFonts w:cs="Arial"/>
          <w:bCs/>
          <w:kern w:val="28"/>
        </w:rPr>
        <w:t xml:space="preserve"> different forms)</w:t>
      </w:r>
      <w:r w:rsidR="00624C65" w:rsidRPr="00965C80">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37Q</w:t>
      </w:r>
    </w:p>
    <w:p w14:paraId="25C062EF" w14:textId="77777777" w:rsidR="00824E09" w:rsidRPr="00965C80" w:rsidRDefault="00A743F8" w:rsidP="00074BE7">
      <w:pPr>
        <w:keepNext/>
        <w:keepLines/>
        <w:tabs>
          <w:tab w:val="left" w:pos="9356"/>
        </w:tabs>
        <w:spacing w:before="240" w:after="120" w:line="240" w:lineRule="auto"/>
        <w:ind w:left="993" w:right="-448" w:hanging="993"/>
        <w:outlineLvl w:val="4"/>
        <w:rPr>
          <w:rFonts w:cs="Arial"/>
          <w:b/>
          <w:bCs/>
          <w:kern w:val="28"/>
        </w:rPr>
      </w:pPr>
      <w:bookmarkStart w:id="66" w:name="_Toc386023187"/>
      <w:r w:rsidRPr="000B186E">
        <w:rPr>
          <w:rFonts w:cs="Arial"/>
          <w:b/>
          <w:bCs/>
          <w:kern w:val="28"/>
        </w:rPr>
        <w:t>Step 10 - Weighted average percentage difference for all related brands with drug/manner of administration</w:t>
      </w:r>
      <w:bookmarkEnd w:id="66"/>
      <w:r w:rsidR="00624C65">
        <w:rPr>
          <w:rFonts w:cs="Arial"/>
          <w:b/>
          <w:bCs/>
          <w:kern w:val="28"/>
        </w:rPr>
        <w:t xml:space="preserve"> - </w:t>
      </w:r>
      <w:r w:rsidRPr="00965C80">
        <w:rPr>
          <w:rFonts w:cs="Arial"/>
          <w:b/>
          <w:bCs/>
          <w:kern w:val="28"/>
        </w:rPr>
        <w:t>R</w:t>
      </w:r>
      <w:r w:rsidR="00624C65" w:rsidRPr="00965C80">
        <w:rPr>
          <w:rFonts w:cs="Arial"/>
          <w:b/>
          <w:bCs/>
          <w:kern w:val="28"/>
        </w:rPr>
        <w:t>eg</w:t>
      </w:r>
      <w:r w:rsidRPr="00965C80">
        <w:rPr>
          <w:rFonts w:cs="Arial"/>
          <w:b/>
          <w:bCs/>
          <w:kern w:val="28"/>
        </w:rPr>
        <w:t xml:space="preserve"> 37R</w:t>
      </w:r>
    </w:p>
    <w:p w14:paraId="60A02EEF" w14:textId="77777777" w:rsidR="00A743F8" w:rsidRPr="0054311E" w:rsidRDefault="00A743F8" w:rsidP="00587FC2">
      <w:pPr>
        <w:pStyle w:val="ListParagraph"/>
        <w:keepNext/>
        <w:keepLines/>
        <w:numPr>
          <w:ilvl w:val="0"/>
          <w:numId w:val="20"/>
        </w:numPr>
        <w:tabs>
          <w:tab w:val="left" w:pos="9356"/>
        </w:tabs>
        <w:spacing w:after="120" w:line="240" w:lineRule="auto"/>
        <w:ind w:right="-425"/>
        <w:outlineLvl w:val="4"/>
        <w:rPr>
          <w:rFonts w:cs="Arial"/>
        </w:rPr>
      </w:pPr>
      <w:r w:rsidRPr="0054311E">
        <w:rPr>
          <w:rFonts w:cs="Arial"/>
        </w:rPr>
        <w:t>Multiply the total adjusted volume (step 7) by the av.AEMP (step 3) for each pharmaceutical item.  Sum the results.</w:t>
      </w:r>
    </w:p>
    <w:p w14:paraId="7C3564EE" w14:textId="77777777" w:rsidR="00A743F8" w:rsidRPr="000B186E" w:rsidRDefault="00A743F8" w:rsidP="00074BE7">
      <w:pPr>
        <w:numPr>
          <w:ilvl w:val="0"/>
          <w:numId w:val="20"/>
        </w:numPr>
        <w:spacing w:after="120" w:line="240" w:lineRule="auto"/>
        <w:ind w:left="425" w:hanging="425"/>
        <w:rPr>
          <w:rFonts w:cs="Arial"/>
        </w:rPr>
      </w:pPr>
      <w:r w:rsidRPr="000B186E">
        <w:rPr>
          <w:rFonts w:cs="Arial"/>
        </w:rPr>
        <w:t>Multiply the total adjusted volume (step 7) by the av.AEMP (step 3) for each pharmaceutical item and by the weighted average percentage difference (step 8) for each pharmaceutical item.  Sum the results.</w:t>
      </w:r>
    </w:p>
    <w:p w14:paraId="276E040F" w14:textId="77777777" w:rsidR="00E25402" w:rsidRPr="00E25402" w:rsidRDefault="00A743F8" w:rsidP="00E25402">
      <w:pPr>
        <w:numPr>
          <w:ilvl w:val="0"/>
          <w:numId w:val="20"/>
        </w:numPr>
        <w:spacing w:after="120" w:line="240" w:lineRule="auto"/>
        <w:ind w:left="426" w:hanging="426"/>
        <w:rPr>
          <w:rFonts w:cs="Arial"/>
        </w:rPr>
      </w:pPr>
      <w:r w:rsidRPr="000B186E">
        <w:rPr>
          <w:rFonts w:cs="Arial"/>
        </w:rPr>
        <w:t xml:space="preserve">Divide (b) by (a).  Express result as a percentage to 2 decimal places. </w:t>
      </w:r>
    </w:p>
    <w:p w14:paraId="429E8831" w14:textId="77777777" w:rsidR="00E25402" w:rsidRPr="00587FC2" w:rsidRDefault="00E25402" w:rsidP="00E25402">
      <w:pPr>
        <w:keepNext/>
        <w:keepLines/>
        <w:tabs>
          <w:tab w:val="left" w:pos="9356"/>
        </w:tabs>
        <w:spacing w:before="240" w:after="120" w:line="240" w:lineRule="auto"/>
        <w:ind w:right="-448"/>
        <w:outlineLvl w:val="4"/>
        <w:rPr>
          <w:rFonts w:cs="Arial"/>
          <w:b/>
          <w:bCs/>
          <w:kern w:val="28"/>
        </w:rPr>
      </w:pPr>
      <w:r w:rsidRPr="00587FC2">
        <w:rPr>
          <w:rFonts w:cs="Arial"/>
          <w:b/>
          <w:bCs/>
          <w:kern w:val="28"/>
        </w:rPr>
        <w:t>Originator brands – Reg 37SC</w:t>
      </w:r>
    </w:p>
    <w:p w14:paraId="56DBAA59" w14:textId="77777777" w:rsidR="00E25402" w:rsidRPr="00A85704" w:rsidRDefault="00E25402" w:rsidP="00E25402">
      <w:pPr>
        <w:keepNext/>
        <w:keepLines/>
        <w:tabs>
          <w:tab w:val="left" w:pos="9356"/>
        </w:tabs>
        <w:spacing w:before="240" w:after="120" w:line="240" w:lineRule="auto"/>
        <w:ind w:right="-448"/>
        <w:outlineLvl w:val="4"/>
        <w:rPr>
          <w:rFonts w:cs="Arial"/>
          <w:b/>
          <w:bCs/>
          <w:kern w:val="28"/>
        </w:rPr>
      </w:pPr>
      <w:r w:rsidRPr="00A85704">
        <w:rPr>
          <w:rFonts w:cs="Arial"/>
        </w:rPr>
        <w:t>For cases where the</w:t>
      </w:r>
      <w:r w:rsidRPr="00190A06">
        <w:rPr>
          <w:rFonts w:cs="Arial"/>
        </w:rPr>
        <w:t xml:space="preserve"> drug/MoA met the F2/multi-branded criteria (30 month clock) </w:t>
      </w:r>
      <w:r>
        <w:rPr>
          <w:rFonts w:cs="Arial"/>
        </w:rPr>
        <w:t xml:space="preserve">re-do the calculations for a drug/MoA removing originator brand data, except for ‘originator only’ </w:t>
      </w:r>
      <w:r w:rsidRPr="00190A06">
        <w:rPr>
          <w:rFonts w:cs="Arial"/>
        </w:rPr>
        <w:t xml:space="preserve"> pharmaceutical item</w:t>
      </w:r>
      <w:r>
        <w:rPr>
          <w:rFonts w:cs="Arial"/>
        </w:rPr>
        <w:t>s (paragraph 37SC(1)(a)).  Use the</w:t>
      </w:r>
      <w:r w:rsidRPr="00190A06">
        <w:rPr>
          <w:rFonts w:cs="Arial"/>
        </w:rPr>
        <w:t xml:space="preserve"> calculation that result</w:t>
      </w:r>
      <w:r>
        <w:rPr>
          <w:rFonts w:cs="Arial"/>
        </w:rPr>
        <w:t>s</w:t>
      </w:r>
      <w:r w:rsidRPr="00190A06">
        <w:rPr>
          <w:rFonts w:cs="Arial"/>
        </w:rPr>
        <w:t xml:space="preserve"> in the higher weighted average percentage difference (WAPD) for the brand a</w:t>
      </w:r>
      <w:r>
        <w:rPr>
          <w:rFonts w:cs="Arial"/>
        </w:rPr>
        <w:t>nd all related brands of a drug/MoA to calculate the WADP</w:t>
      </w:r>
      <w:r w:rsidRPr="00587FC2">
        <w:rPr>
          <w:rFonts w:cs="Arial"/>
          <w:bCs/>
        </w:rPr>
        <w:t xml:space="preserve"> (37SC (3)</w:t>
      </w:r>
      <w:r>
        <w:rPr>
          <w:rFonts w:cs="Arial"/>
          <w:bCs/>
        </w:rPr>
        <w:t xml:space="preserve"> – see step 11 below</w:t>
      </w:r>
      <w:r w:rsidRPr="00587FC2">
        <w:rPr>
          <w:rFonts w:cs="Arial"/>
          <w:bCs/>
        </w:rPr>
        <w:t>)</w:t>
      </w:r>
      <w:r>
        <w:rPr>
          <w:rFonts w:cs="Arial"/>
          <w:bCs/>
        </w:rPr>
        <w:t>.</w:t>
      </w:r>
    </w:p>
    <w:p w14:paraId="4422FD69" w14:textId="77777777" w:rsidR="00E25402" w:rsidRPr="00965C80" w:rsidRDefault="00E25402" w:rsidP="00E25402">
      <w:pPr>
        <w:keepNext/>
        <w:keepLines/>
        <w:tabs>
          <w:tab w:val="left" w:pos="9356"/>
        </w:tabs>
        <w:spacing w:before="240" w:after="120" w:line="240" w:lineRule="auto"/>
        <w:ind w:left="993" w:right="-448" w:hanging="993"/>
        <w:outlineLvl w:val="4"/>
        <w:rPr>
          <w:rFonts w:cs="Arial"/>
          <w:b/>
          <w:bCs/>
          <w:kern w:val="28"/>
        </w:rPr>
      </w:pPr>
      <w:r w:rsidRPr="000B186E">
        <w:rPr>
          <w:rFonts w:cs="Arial"/>
          <w:b/>
          <w:bCs/>
          <w:kern w:val="28"/>
        </w:rPr>
        <w:t>Step 11 - Weighted average disclosed price for each related listed brand of drug/manner of administration</w:t>
      </w:r>
      <w:r>
        <w:rPr>
          <w:rFonts w:cs="Arial"/>
          <w:b/>
          <w:bCs/>
          <w:kern w:val="28"/>
        </w:rPr>
        <w:t xml:space="preserve"> - </w:t>
      </w:r>
      <w:r w:rsidRPr="00965C80">
        <w:rPr>
          <w:rFonts w:cs="Arial"/>
          <w:b/>
          <w:bCs/>
          <w:kern w:val="28"/>
        </w:rPr>
        <w:t>Reg 37S</w:t>
      </w:r>
    </w:p>
    <w:p w14:paraId="0D608043" w14:textId="77777777" w:rsidR="00E25402" w:rsidRPr="000B186E" w:rsidRDefault="00E25402" w:rsidP="00E25402">
      <w:pPr>
        <w:keepNext/>
        <w:keepLines/>
        <w:tabs>
          <w:tab w:val="left" w:pos="9356"/>
        </w:tabs>
        <w:spacing w:after="120" w:line="240" w:lineRule="auto"/>
        <w:ind w:right="-425"/>
        <w:outlineLvl w:val="4"/>
        <w:rPr>
          <w:rFonts w:cs="Arial"/>
        </w:rPr>
      </w:pPr>
      <w:r w:rsidRPr="000B186E">
        <w:rPr>
          <w:rFonts w:cs="Arial"/>
        </w:rPr>
        <w:t>Reduce the av.AEMP (step 3) for the brand by the weighted average percentage difference for all related brands (step 10)</w:t>
      </w:r>
      <w:r>
        <w:rPr>
          <w:rFonts w:cs="Arial"/>
        </w:rPr>
        <w:t xml:space="preserve"> (using originator removed WAPD where required and where it gives a higher WAPD)</w:t>
      </w:r>
      <w:r w:rsidRPr="000B186E">
        <w:rPr>
          <w:rFonts w:cs="Arial"/>
        </w:rPr>
        <w:t xml:space="preserve">. </w:t>
      </w:r>
    </w:p>
    <w:p w14:paraId="4A253905" w14:textId="77777777" w:rsidR="00E25402" w:rsidRDefault="00E25402" w:rsidP="00E25402">
      <w:pPr>
        <w:keepNext/>
        <w:keepLines/>
        <w:tabs>
          <w:tab w:val="left" w:pos="9356"/>
        </w:tabs>
        <w:spacing w:after="120" w:line="240" w:lineRule="auto"/>
        <w:ind w:right="-425"/>
        <w:outlineLvl w:val="4"/>
        <w:rPr>
          <w:rFonts w:cs="Arial"/>
        </w:rPr>
      </w:pPr>
      <w:r w:rsidRPr="000B186E">
        <w:rPr>
          <w:rFonts w:cs="Arial"/>
        </w:rPr>
        <w:t>Adjust the WADP (step 11), if necessary, to the PQ on the relevant day (first day of next data collection period).</w:t>
      </w:r>
    </w:p>
    <w:p w14:paraId="110954E1" w14:textId="77777777" w:rsidR="00E25402" w:rsidRDefault="00E25402" w:rsidP="00E25402">
      <w:pPr>
        <w:spacing w:after="120" w:line="240" w:lineRule="auto"/>
        <w:rPr>
          <w:rFonts w:cs="Arial"/>
        </w:rPr>
      </w:pPr>
    </w:p>
    <w:p w14:paraId="2E09E9F8" w14:textId="77777777" w:rsidR="00E46577" w:rsidRPr="00965C80" w:rsidRDefault="00E46577" w:rsidP="00587FC2">
      <w:pPr>
        <w:keepNext/>
        <w:keepLines/>
        <w:tabs>
          <w:tab w:val="left" w:pos="9356"/>
        </w:tabs>
        <w:spacing w:before="240" w:after="120" w:line="240" w:lineRule="auto"/>
        <w:ind w:right="-448"/>
        <w:outlineLvl w:val="4"/>
        <w:rPr>
          <w:rFonts w:cs="Arial"/>
          <w:b/>
          <w:bCs/>
          <w:kern w:val="28"/>
        </w:rPr>
      </w:pPr>
      <w:r>
        <w:rPr>
          <w:rFonts w:cs="Arial"/>
          <w:b/>
          <w:bCs/>
          <w:kern w:val="28"/>
        </w:rPr>
        <w:lastRenderedPageBreak/>
        <w:t xml:space="preserve">When weighted average disclosed price is the same as the applicable ex-manufacturer price - </w:t>
      </w:r>
      <w:r w:rsidRPr="00965C80">
        <w:rPr>
          <w:rFonts w:cs="Arial"/>
          <w:b/>
          <w:bCs/>
          <w:kern w:val="28"/>
        </w:rPr>
        <w:t>Reg 37S</w:t>
      </w:r>
      <w:r>
        <w:rPr>
          <w:rFonts w:cs="Arial"/>
          <w:b/>
          <w:bCs/>
          <w:kern w:val="28"/>
        </w:rPr>
        <w:t>A</w:t>
      </w:r>
    </w:p>
    <w:p w14:paraId="4D61ABB4" w14:textId="77777777" w:rsidR="00E46577" w:rsidRPr="00587FC2" w:rsidRDefault="00AB489D" w:rsidP="00587FC2">
      <w:pPr>
        <w:pStyle w:val="BodyText"/>
      </w:pPr>
      <w:r w:rsidRPr="00587FC2">
        <w:t xml:space="preserve">For brands of a pharmaceutical item that meet the ‘no reduction’ criteria, their WADP is taken to be their applicable PBS price, rather than the reduced price that would normally be determined along with other brands of a drug/MoA taking a reduction. </w:t>
      </w:r>
    </w:p>
    <w:p w14:paraId="370505B6" w14:textId="77777777" w:rsidR="00AB489D" w:rsidRPr="00587FC2" w:rsidRDefault="00AB489D" w:rsidP="00E46577">
      <w:pPr>
        <w:keepNext/>
        <w:keepLines/>
        <w:tabs>
          <w:tab w:val="left" w:pos="9356"/>
        </w:tabs>
        <w:spacing w:after="120" w:line="240" w:lineRule="auto"/>
        <w:ind w:right="-425"/>
        <w:outlineLvl w:val="4"/>
        <w:rPr>
          <w:rFonts w:cs="Arial"/>
          <w:b/>
        </w:rPr>
      </w:pPr>
      <w:r w:rsidRPr="00587FC2">
        <w:rPr>
          <w:rFonts w:cs="Arial"/>
        </w:rPr>
        <w:t xml:space="preserve">This means the ‘no reduction’ brands do not meet the 10% test, so no reduction is </w:t>
      </w:r>
      <w:r w:rsidR="0062047E" w:rsidRPr="0062047E">
        <w:rPr>
          <w:rFonts w:cs="Arial"/>
        </w:rPr>
        <w:t>applied</w:t>
      </w:r>
      <w:r w:rsidRPr="00587FC2">
        <w:rPr>
          <w:rFonts w:cs="Arial"/>
        </w:rPr>
        <w:t xml:space="preserve"> under the Act. More information about the ‘no reduction criteria can be found in the </w:t>
      </w:r>
      <w:r w:rsidRPr="00587FC2">
        <w:rPr>
          <w:rFonts w:cs="Arial"/>
          <w:i/>
        </w:rPr>
        <w:t xml:space="preserve">No Reduction Items – Low Volume/Low Discounts </w:t>
      </w:r>
      <w:r w:rsidRPr="00587FC2">
        <w:rPr>
          <w:rFonts w:cs="Arial"/>
        </w:rPr>
        <w:t xml:space="preserve">section under the heading </w:t>
      </w:r>
      <w:r w:rsidRPr="00587FC2">
        <w:rPr>
          <w:rFonts w:cs="Arial"/>
          <w:b/>
        </w:rPr>
        <w:t>initiation and Overview</w:t>
      </w:r>
      <w:r w:rsidRPr="00587FC2">
        <w:rPr>
          <w:rFonts w:cs="Arial"/>
        </w:rPr>
        <w:t xml:space="preserve"> above.</w:t>
      </w:r>
    </w:p>
    <w:p w14:paraId="56B8F17B" w14:textId="77777777" w:rsidR="00A743F8" w:rsidRPr="00965C80" w:rsidRDefault="00A743F8" w:rsidP="00587FC2">
      <w:pPr>
        <w:pStyle w:val="BlockText"/>
        <w:ind w:left="0" w:firstLine="0"/>
      </w:pPr>
      <w:r w:rsidRPr="000B186E">
        <w:t>10% Test - Compare WADP for brand (</w:t>
      </w:r>
      <w:r w:rsidR="00624C65">
        <w:t xml:space="preserve">adjusted to the </w:t>
      </w:r>
      <w:r w:rsidRPr="000B186E">
        <w:t>same PQ</w:t>
      </w:r>
      <w:r w:rsidR="00624C65">
        <w:t xml:space="preserve"> as AEMP on relevant day</w:t>
      </w:r>
      <w:r w:rsidRPr="000B186E">
        <w:t>) with AEMP on relevant day</w:t>
      </w:r>
      <w:r w:rsidR="00624C65" w:rsidRPr="00965C80">
        <w:t xml:space="preserve"> - </w:t>
      </w:r>
      <w:r w:rsidR="00400D9E" w:rsidRPr="00965C80">
        <w:t>99ADH (</w:t>
      </w:r>
      <w:r w:rsidRPr="00965C80">
        <w:t>1</w:t>
      </w:r>
      <w:r w:rsidR="00400D9E" w:rsidRPr="00965C80">
        <w:t>) (</w:t>
      </w:r>
      <w:r w:rsidRPr="00965C80">
        <w:t>c)</w:t>
      </w:r>
    </w:p>
    <w:p w14:paraId="1014D7C6" w14:textId="77777777" w:rsidR="00A743F8" w:rsidRDefault="00A743F8" w:rsidP="00074BE7">
      <w:pPr>
        <w:spacing w:after="120" w:line="240" w:lineRule="auto"/>
        <w:rPr>
          <w:rFonts w:cs="Arial"/>
        </w:rPr>
      </w:pPr>
      <w:r w:rsidRPr="000B186E">
        <w:rPr>
          <w:rFonts w:cs="Arial"/>
        </w:rPr>
        <w:t xml:space="preserve">Subtract the WADP (step 11) from the AEMP on </w:t>
      </w:r>
      <w:r w:rsidR="00624C65">
        <w:rPr>
          <w:rFonts w:cs="Arial"/>
        </w:rPr>
        <w:t xml:space="preserve">the </w:t>
      </w:r>
      <w:r w:rsidRPr="000B186E">
        <w:rPr>
          <w:rFonts w:cs="Arial"/>
        </w:rPr>
        <w:t xml:space="preserve">relevant day and express as a percentage of the AEMP.  </w:t>
      </w:r>
      <w:r w:rsidR="00860595">
        <w:rPr>
          <w:rFonts w:cs="Arial"/>
        </w:rPr>
        <w:t xml:space="preserve">If the Minister (or delegate) determines a WADP where the difference </w:t>
      </w:r>
      <w:r w:rsidRPr="000B186E">
        <w:rPr>
          <w:rFonts w:cs="Arial"/>
        </w:rPr>
        <w:t>is 10% or more</w:t>
      </w:r>
      <w:r w:rsidR="00860595">
        <w:rPr>
          <w:rFonts w:cs="Arial"/>
        </w:rPr>
        <w:t xml:space="preserve">, </w:t>
      </w:r>
      <w:r w:rsidR="00860595">
        <w:t>a price reduction will occur on the next price reduction</w:t>
      </w:r>
      <w:r w:rsidR="00E25402">
        <w:t xml:space="preserve"> day</w:t>
      </w:r>
      <w:r w:rsidR="00860595" w:rsidRPr="000B186E" w:rsidDel="00860595">
        <w:rPr>
          <w:rFonts w:cs="Arial"/>
        </w:rPr>
        <w:t xml:space="preserve"> </w:t>
      </w:r>
      <w:r w:rsidRPr="000B186E">
        <w:rPr>
          <w:rFonts w:cs="Arial"/>
        </w:rPr>
        <w:t>unless the price on the reduction day</w:t>
      </w:r>
      <w:r w:rsidR="00D53325">
        <w:rPr>
          <w:rFonts w:cs="Arial"/>
        </w:rPr>
        <w:t xml:space="preserve"> is already the same or lower. </w:t>
      </w:r>
      <w:r w:rsidRPr="000B186E">
        <w:rPr>
          <w:rFonts w:cs="Arial"/>
        </w:rPr>
        <w:t xml:space="preserve">If the </w:t>
      </w:r>
      <w:r w:rsidR="00860595">
        <w:rPr>
          <w:rFonts w:cs="Arial"/>
        </w:rPr>
        <w:t xml:space="preserve">percentage </w:t>
      </w:r>
      <w:r w:rsidRPr="000B186E">
        <w:rPr>
          <w:rFonts w:cs="Arial"/>
        </w:rPr>
        <w:t xml:space="preserve">difference </w:t>
      </w:r>
      <w:r w:rsidR="00860595">
        <w:rPr>
          <w:rFonts w:cs="Arial"/>
        </w:rPr>
        <w:t xml:space="preserve">between a determined WADP and the AEMP on the relevant day </w:t>
      </w:r>
      <w:r w:rsidRPr="000B186E">
        <w:rPr>
          <w:rFonts w:cs="Arial"/>
        </w:rPr>
        <w:t>is less than 10%, there is no price disclosure reduction.</w:t>
      </w:r>
    </w:p>
    <w:p w14:paraId="0AA6837A" w14:textId="77777777" w:rsidR="00B942C4" w:rsidRDefault="00B942C4" w:rsidP="00925E92">
      <w:pPr>
        <w:spacing w:line="240" w:lineRule="auto"/>
        <w:rPr>
          <w:rFonts w:cs="Arial"/>
        </w:rPr>
      </w:pPr>
    </w:p>
    <w:p w14:paraId="310E89CE" w14:textId="77777777" w:rsidR="00B942C4" w:rsidRDefault="00B942C4" w:rsidP="00925E92">
      <w:pPr>
        <w:spacing w:line="240" w:lineRule="auto"/>
        <w:rPr>
          <w:rFonts w:cs="Arial"/>
        </w:rPr>
      </w:pPr>
      <w:r>
        <w:rPr>
          <w:rFonts w:cs="Arial"/>
        </w:rPr>
        <w:t>A sample calculation can be found at:</w:t>
      </w:r>
    </w:p>
    <w:p w14:paraId="15C97D4E" w14:textId="77777777" w:rsidR="00FE7373" w:rsidRDefault="00A27AC7" w:rsidP="00587FC2">
      <w:pPr>
        <w:spacing w:line="240" w:lineRule="auto"/>
        <w:rPr>
          <w:rFonts w:cs="Arial"/>
        </w:rPr>
      </w:pPr>
      <w:hyperlink r:id="rId31" w:history="1">
        <w:r w:rsidR="00FE7373" w:rsidRPr="00190A06">
          <w:rPr>
            <w:rStyle w:val="Hyperlink"/>
          </w:rPr>
          <w:t>www.pbs.gov.au/industry/pricing/price-disclosure-spd/</w:t>
        </w:r>
        <w:r w:rsidR="00FE7373" w:rsidRPr="00587FC2">
          <w:rPr>
            <w:rStyle w:val="Hyperlink"/>
          </w:rPr>
          <w:t>removal-originator-brand-sample-pd-calculation.pdf</w:t>
        </w:r>
      </w:hyperlink>
    </w:p>
    <w:p w14:paraId="6DD8C82A" w14:textId="77777777" w:rsidR="00A743F8" w:rsidRDefault="00A743F8" w:rsidP="00587FC2">
      <w:pPr>
        <w:spacing w:line="240" w:lineRule="auto"/>
      </w:pPr>
    </w:p>
    <w:p w14:paraId="3083E141" w14:textId="77777777" w:rsidR="00FE7373" w:rsidRDefault="00FE7373" w:rsidP="00587FC2">
      <w:pPr>
        <w:spacing w:line="240" w:lineRule="auto"/>
        <w:rPr>
          <w:rFonts w:cs="Arial"/>
        </w:rPr>
        <w:sectPr w:rsidR="00FE7373" w:rsidSect="00CF45DE">
          <w:headerReference w:type="default" r:id="rId32"/>
          <w:footerReference w:type="default" r:id="rId33"/>
          <w:headerReference w:type="first" r:id="rId34"/>
          <w:type w:val="continuous"/>
          <w:pgSz w:w="11907" w:h="16839" w:code="9"/>
          <w:pgMar w:top="1440" w:right="1440" w:bottom="1440" w:left="1440" w:header="720" w:footer="720" w:gutter="0"/>
          <w:cols w:space="720"/>
          <w:noEndnote/>
          <w:docGrid w:linePitch="299"/>
        </w:sectPr>
      </w:pPr>
    </w:p>
    <w:p w14:paraId="4E6546F7" w14:textId="77777777" w:rsidR="005D35C4" w:rsidRPr="00BB28F3" w:rsidRDefault="00893291" w:rsidP="00925E92">
      <w:pPr>
        <w:rPr>
          <w:color w:val="365F91"/>
          <w:sz w:val="26"/>
        </w:rPr>
      </w:pPr>
      <w:r w:rsidRPr="00BB28F3">
        <w:rPr>
          <w:bCs/>
          <w:color w:val="365F91"/>
          <w:sz w:val="26"/>
        </w:rPr>
        <w:lastRenderedPageBreak/>
        <w:t>Minimum d</w:t>
      </w:r>
      <w:r w:rsidR="00F31DC4" w:rsidRPr="00BB28F3">
        <w:rPr>
          <w:bCs/>
          <w:color w:val="365F91"/>
          <w:sz w:val="26"/>
        </w:rPr>
        <w:t xml:space="preserve">ata </w:t>
      </w:r>
      <w:r w:rsidRPr="00BB28F3">
        <w:rPr>
          <w:bCs/>
          <w:color w:val="365F91"/>
          <w:sz w:val="26"/>
        </w:rPr>
        <w:t xml:space="preserve">available </w:t>
      </w:r>
      <w:r w:rsidR="00F31DC4" w:rsidRPr="00BB28F3">
        <w:rPr>
          <w:bCs/>
          <w:color w:val="365F91"/>
          <w:sz w:val="26"/>
        </w:rPr>
        <w:t xml:space="preserve">for the calculation of a weighted average disclosed price </w:t>
      </w:r>
    </w:p>
    <w:p w14:paraId="1E604F18" w14:textId="77777777" w:rsidR="005D35C4" w:rsidRPr="0099173D" w:rsidRDefault="00893291" w:rsidP="004E4CC8">
      <w:pPr>
        <w:pStyle w:val="ListParagraph"/>
        <w:numPr>
          <w:ilvl w:val="0"/>
          <w:numId w:val="48"/>
        </w:numPr>
        <w:ind w:left="851" w:hanging="494"/>
        <w:contextualSpacing w:val="0"/>
        <w:rPr>
          <w:rFonts w:cs="Arial"/>
        </w:rPr>
      </w:pPr>
      <w:r>
        <w:rPr>
          <w:rFonts w:cs="Arial"/>
        </w:rPr>
        <w:t>Calculations are carried out fo</w:t>
      </w:r>
      <w:r w:rsidR="00FE5DB2">
        <w:rPr>
          <w:rFonts w:cs="Arial"/>
        </w:rPr>
        <w:t>r the</w:t>
      </w:r>
      <w:r>
        <w:rPr>
          <w:rFonts w:cs="Arial"/>
        </w:rPr>
        <w:t xml:space="preserve"> data collection period</w:t>
      </w:r>
      <w:r w:rsidR="00FE5DB2">
        <w:rPr>
          <w:rFonts w:cs="Arial"/>
        </w:rPr>
        <w:t xml:space="preserve"> for related brands of pharmaceutical items (</w:t>
      </w:r>
      <w:r w:rsidR="00E03B52">
        <w:rPr>
          <w:rFonts w:cs="Arial"/>
        </w:rPr>
        <w:t>i.e.,</w:t>
      </w:r>
      <w:r w:rsidR="00FE5DB2">
        <w:rPr>
          <w:rFonts w:cs="Arial"/>
        </w:rPr>
        <w:t xml:space="preserve"> all brands for the same drug/MoA)</w:t>
      </w:r>
      <w:r w:rsidR="00EE5288">
        <w:rPr>
          <w:rFonts w:cs="Arial"/>
        </w:rPr>
        <w:t>.</w:t>
      </w:r>
      <w:r>
        <w:rPr>
          <w:rFonts w:cs="Arial"/>
        </w:rPr>
        <w:t xml:space="preserve"> If responsible persons comply with the disclosure requirements, there will be at least six</w:t>
      </w:r>
      <w:r w:rsidR="002573DB" w:rsidRPr="0099173D">
        <w:rPr>
          <w:rFonts w:cs="Arial"/>
        </w:rPr>
        <w:t xml:space="preserve"> </w:t>
      </w:r>
      <w:r w:rsidR="00F31DC4" w:rsidRPr="0099173D">
        <w:rPr>
          <w:rFonts w:cs="Arial"/>
        </w:rPr>
        <w:t>months</w:t>
      </w:r>
      <w:r>
        <w:rPr>
          <w:rFonts w:cs="Arial"/>
        </w:rPr>
        <w:t xml:space="preserve"> of data available </w:t>
      </w:r>
      <w:r w:rsidR="00821510">
        <w:rPr>
          <w:rFonts w:cs="Arial"/>
        </w:rPr>
        <w:t xml:space="preserve">across brands </w:t>
      </w:r>
      <w:r w:rsidR="00F31DC4" w:rsidRPr="0099173D">
        <w:rPr>
          <w:rFonts w:cs="Arial"/>
        </w:rPr>
        <w:t xml:space="preserve">of </w:t>
      </w:r>
      <w:r w:rsidR="00821510">
        <w:rPr>
          <w:rFonts w:cs="Arial"/>
        </w:rPr>
        <w:t>a</w:t>
      </w:r>
      <w:r w:rsidR="00F31DC4" w:rsidRPr="0099173D">
        <w:rPr>
          <w:rFonts w:cs="Arial"/>
        </w:rPr>
        <w:t xml:space="preserve"> drug</w:t>
      </w:r>
      <w:r w:rsidR="00F0322D">
        <w:rPr>
          <w:rFonts w:cs="Arial"/>
        </w:rPr>
        <w:t>/MoA</w:t>
      </w:r>
      <w:r>
        <w:rPr>
          <w:rFonts w:cs="Arial"/>
        </w:rPr>
        <w:t xml:space="preserve"> before a calculation is completed</w:t>
      </w:r>
      <w:r w:rsidR="00E13B6B">
        <w:rPr>
          <w:rFonts w:cs="Arial"/>
        </w:rPr>
        <w:t xml:space="preserve">. </w:t>
      </w:r>
      <w:r w:rsidR="00DB1B6A" w:rsidRPr="0099173D">
        <w:rPr>
          <w:rFonts w:cs="Arial"/>
        </w:rPr>
        <w:t xml:space="preserve">The data set can be made up of listed or delisted </w:t>
      </w:r>
      <w:r w:rsidR="00F0322D">
        <w:rPr>
          <w:rFonts w:cs="Arial"/>
        </w:rPr>
        <w:t xml:space="preserve">brands </w:t>
      </w:r>
      <w:r w:rsidR="00821510">
        <w:rPr>
          <w:rFonts w:cs="Arial"/>
        </w:rPr>
        <w:t xml:space="preserve">with </w:t>
      </w:r>
      <w:r w:rsidR="00F0322D">
        <w:rPr>
          <w:rFonts w:cs="Arial"/>
        </w:rPr>
        <w:t>the same drug/MoA</w:t>
      </w:r>
      <w:r w:rsidR="00FE5DB2">
        <w:rPr>
          <w:rFonts w:cs="Arial"/>
        </w:rPr>
        <w:t xml:space="preserve"> and not all brands will necessarily have six months of data (e</w:t>
      </w:r>
      <w:r w:rsidR="00EE5288">
        <w:rPr>
          <w:rFonts w:cs="Arial"/>
        </w:rPr>
        <w:t>.</w:t>
      </w:r>
      <w:r w:rsidR="00FE5DB2">
        <w:rPr>
          <w:rFonts w:cs="Arial"/>
        </w:rPr>
        <w:t>g</w:t>
      </w:r>
      <w:r w:rsidR="00EE5288">
        <w:rPr>
          <w:rFonts w:cs="Arial"/>
        </w:rPr>
        <w:t>.</w:t>
      </w:r>
      <w:r w:rsidR="00FE5DB2">
        <w:rPr>
          <w:rFonts w:cs="Arial"/>
        </w:rPr>
        <w:t xml:space="preserve"> brand listed after the start of price disclosure for the drug/MoA)</w:t>
      </w:r>
      <w:r w:rsidR="00DB1B6A" w:rsidRPr="0099173D">
        <w:rPr>
          <w:rFonts w:cs="Arial"/>
        </w:rPr>
        <w:t xml:space="preserve">. </w:t>
      </w:r>
      <w:r w:rsidR="00FE5DB2">
        <w:rPr>
          <w:rFonts w:cs="Arial"/>
        </w:rPr>
        <w:t>T</w:t>
      </w:r>
      <w:r>
        <w:rPr>
          <w:rFonts w:cs="Arial"/>
        </w:rPr>
        <w:t xml:space="preserve">he first month of data is not used in the calculation for </w:t>
      </w:r>
      <w:r w:rsidRPr="000B186E">
        <w:rPr>
          <w:rFonts w:cs="Arial"/>
          <w:i/>
        </w:rPr>
        <w:t>new listing brands</w:t>
      </w:r>
      <w:r>
        <w:rPr>
          <w:rFonts w:cs="Arial"/>
        </w:rPr>
        <w:t>.</w:t>
      </w:r>
    </w:p>
    <w:p w14:paraId="6FC70BA1" w14:textId="77777777" w:rsidR="005D35C4" w:rsidRPr="0099173D" w:rsidRDefault="00F31DC4" w:rsidP="004E4CC8">
      <w:pPr>
        <w:pStyle w:val="ListParagraph"/>
        <w:numPr>
          <w:ilvl w:val="0"/>
          <w:numId w:val="48"/>
        </w:numPr>
        <w:ind w:left="851" w:hanging="494"/>
        <w:contextualSpacing w:val="0"/>
        <w:rPr>
          <w:rFonts w:cs="Arial"/>
        </w:rPr>
      </w:pPr>
      <w:r w:rsidRPr="0099173D">
        <w:rPr>
          <w:rFonts w:cs="Arial"/>
        </w:rPr>
        <w:t>Non-compliance by a responsible person will not prohibit the PDDA from proceeding with the calculation</w:t>
      </w:r>
      <w:r w:rsidR="00821510">
        <w:rPr>
          <w:rFonts w:cs="Arial"/>
        </w:rPr>
        <w:t>.</w:t>
      </w:r>
      <w:r w:rsidR="00893291">
        <w:rPr>
          <w:rFonts w:cs="Arial"/>
        </w:rPr>
        <w:t xml:space="preserve">  </w:t>
      </w:r>
    </w:p>
    <w:p w14:paraId="42161D5E" w14:textId="77777777" w:rsidR="005D35C4" w:rsidRDefault="00F31DC4" w:rsidP="004E4CC8">
      <w:pPr>
        <w:pStyle w:val="ListParagraph"/>
        <w:numPr>
          <w:ilvl w:val="0"/>
          <w:numId w:val="48"/>
        </w:numPr>
        <w:ind w:left="851" w:hanging="494"/>
        <w:contextualSpacing w:val="0"/>
        <w:rPr>
          <w:rFonts w:cs="Arial"/>
        </w:rPr>
      </w:pPr>
      <w:r w:rsidRPr="0099173D">
        <w:rPr>
          <w:rFonts w:cs="Arial"/>
        </w:rPr>
        <w:t xml:space="preserve">Where a responsible person submits some but not all of the data they are required to submit, the Department may discard the data provided by the responsible person to prevent the calculation of the </w:t>
      </w:r>
      <w:r w:rsidR="003C20CD">
        <w:rPr>
          <w:rFonts w:cs="Arial"/>
        </w:rPr>
        <w:t>WADP</w:t>
      </w:r>
      <w:r w:rsidR="003E439E">
        <w:rPr>
          <w:rFonts w:cs="Arial"/>
        </w:rPr>
        <w:t xml:space="preserve"> </w:t>
      </w:r>
      <w:r w:rsidRPr="0099173D">
        <w:rPr>
          <w:rFonts w:cs="Arial"/>
        </w:rPr>
        <w:t xml:space="preserve">from being distorted. </w:t>
      </w:r>
    </w:p>
    <w:p w14:paraId="65717EFB" w14:textId="77777777" w:rsidR="005D35C4" w:rsidRPr="00BB28F3" w:rsidRDefault="00F31DC4" w:rsidP="00925E92">
      <w:pPr>
        <w:rPr>
          <w:color w:val="365F91"/>
          <w:sz w:val="26"/>
        </w:rPr>
      </w:pPr>
      <w:r w:rsidRPr="00BB28F3">
        <w:rPr>
          <w:bCs/>
          <w:color w:val="365F91"/>
          <w:sz w:val="26"/>
        </w:rPr>
        <w:t xml:space="preserve">Department </w:t>
      </w:r>
      <w:r w:rsidR="00893291" w:rsidRPr="00BB28F3">
        <w:rPr>
          <w:bCs/>
          <w:color w:val="365F91"/>
          <w:sz w:val="26"/>
        </w:rPr>
        <w:t>provided</w:t>
      </w:r>
      <w:r w:rsidRPr="00BB28F3">
        <w:rPr>
          <w:bCs/>
          <w:color w:val="365F91"/>
          <w:sz w:val="26"/>
        </w:rPr>
        <w:t xml:space="preserve"> </w:t>
      </w:r>
      <w:r w:rsidR="00893291" w:rsidRPr="00BB28F3">
        <w:rPr>
          <w:bCs/>
          <w:color w:val="365F91"/>
          <w:sz w:val="26"/>
        </w:rPr>
        <w:t xml:space="preserve">with </w:t>
      </w:r>
      <w:r w:rsidRPr="00BB28F3">
        <w:rPr>
          <w:bCs/>
          <w:color w:val="365F91"/>
          <w:sz w:val="26"/>
        </w:rPr>
        <w:t>calculation outcome</w:t>
      </w:r>
    </w:p>
    <w:p w14:paraId="4E21493C" w14:textId="77777777" w:rsidR="005D35C4" w:rsidRPr="0099173D" w:rsidRDefault="00F31DC4" w:rsidP="004E4CC8">
      <w:pPr>
        <w:pStyle w:val="ListParagraph"/>
        <w:numPr>
          <w:ilvl w:val="0"/>
          <w:numId w:val="48"/>
        </w:numPr>
        <w:ind w:left="851" w:hanging="494"/>
        <w:contextualSpacing w:val="0"/>
        <w:rPr>
          <w:rFonts w:cs="Arial"/>
        </w:rPr>
      </w:pPr>
      <w:r w:rsidRPr="0099173D">
        <w:rPr>
          <w:rFonts w:cs="Arial"/>
        </w:rPr>
        <w:t xml:space="preserve">The PDDA will </w:t>
      </w:r>
      <w:r w:rsidR="00893291">
        <w:rPr>
          <w:rFonts w:cs="Arial"/>
        </w:rPr>
        <w:t>advise</w:t>
      </w:r>
      <w:r w:rsidR="00893291" w:rsidRPr="0099173D">
        <w:rPr>
          <w:rFonts w:cs="Arial"/>
        </w:rPr>
        <w:t xml:space="preserve"> </w:t>
      </w:r>
      <w:r w:rsidRPr="0099173D">
        <w:rPr>
          <w:rFonts w:cs="Arial"/>
        </w:rPr>
        <w:t xml:space="preserve">the Department of the outcome of the </w:t>
      </w:r>
      <w:r w:rsidR="0062220E">
        <w:rPr>
          <w:rFonts w:cs="Arial"/>
        </w:rPr>
        <w:t xml:space="preserve">preliminary calculation of </w:t>
      </w:r>
      <w:r w:rsidR="003C20CD">
        <w:rPr>
          <w:rFonts w:cs="Arial"/>
        </w:rPr>
        <w:t>WADPs</w:t>
      </w:r>
      <w:r w:rsidRPr="0099173D">
        <w:rPr>
          <w:rFonts w:cs="Arial"/>
        </w:rPr>
        <w:t xml:space="preserve"> for all </w:t>
      </w:r>
      <w:r w:rsidR="00394384">
        <w:rPr>
          <w:rFonts w:cs="Arial"/>
        </w:rPr>
        <w:t xml:space="preserve">brands of pharmaceutical items listed during </w:t>
      </w:r>
      <w:r w:rsidR="00893291">
        <w:rPr>
          <w:rFonts w:cs="Arial"/>
        </w:rPr>
        <w:t xml:space="preserve">a </w:t>
      </w:r>
      <w:r w:rsidR="00394384">
        <w:rPr>
          <w:rFonts w:cs="Arial"/>
        </w:rPr>
        <w:t xml:space="preserve">data collection period in </w:t>
      </w:r>
      <w:r w:rsidR="002573DB">
        <w:rPr>
          <w:rFonts w:cs="Arial"/>
        </w:rPr>
        <w:t>a</w:t>
      </w:r>
      <w:r w:rsidR="00394384">
        <w:rPr>
          <w:rFonts w:cs="Arial"/>
        </w:rPr>
        <w:t xml:space="preserve"> </w:t>
      </w:r>
      <w:r w:rsidR="001B06D3">
        <w:rPr>
          <w:rFonts w:cs="Arial"/>
        </w:rPr>
        <w:t xml:space="preserve">disclosure </w:t>
      </w:r>
      <w:r w:rsidRPr="0099173D">
        <w:rPr>
          <w:rFonts w:cs="Arial"/>
        </w:rPr>
        <w:t xml:space="preserve">cycle. </w:t>
      </w:r>
    </w:p>
    <w:p w14:paraId="6E036BC5" w14:textId="77777777" w:rsidR="005D35C4" w:rsidRPr="00BB28F3" w:rsidRDefault="000B186E" w:rsidP="00925E92">
      <w:pPr>
        <w:rPr>
          <w:color w:val="365F91"/>
          <w:sz w:val="26"/>
        </w:rPr>
      </w:pPr>
      <w:r w:rsidRPr="00BB28F3">
        <w:rPr>
          <w:bCs/>
          <w:color w:val="365F91"/>
          <w:sz w:val="26"/>
        </w:rPr>
        <w:t>Making the</w:t>
      </w:r>
      <w:r w:rsidR="00F31DC4" w:rsidRPr="00BB28F3">
        <w:rPr>
          <w:bCs/>
          <w:color w:val="365F91"/>
          <w:sz w:val="26"/>
        </w:rPr>
        <w:t xml:space="preserve"> </w:t>
      </w:r>
      <w:r w:rsidR="00E17EF0" w:rsidRPr="00BB28F3">
        <w:rPr>
          <w:bCs/>
          <w:color w:val="365F91"/>
          <w:sz w:val="26"/>
        </w:rPr>
        <w:t xml:space="preserve">WADP </w:t>
      </w:r>
      <w:r w:rsidR="00F31DC4" w:rsidRPr="00BB28F3">
        <w:rPr>
          <w:bCs/>
          <w:color w:val="365F91"/>
          <w:sz w:val="26"/>
        </w:rPr>
        <w:t>Determination</w:t>
      </w:r>
      <w:r w:rsidR="00D551D3" w:rsidRPr="00BB28F3">
        <w:rPr>
          <w:bCs/>
          <w:color w:val="365F91"/>
          <w:sz w:val="26"/>
        </w:rPr>
        <w:t xml:space="preserve"> </w:t>
      </w:r>
    </w:p>
    <w:p w14:paraId="144A50C4" w14:textId="77777777" w:rsidR="00802FF2" w:rsidRDefault="00BC1D36" w:rsidP="004E4CC8">
      <w:pPr>
        <w:pStyle w:val="ListParagraph"/>
        <w:numPr>
          <w:ilvl w:val="0"/>
          <w:numId w:val="48"/>
        </w:numPr>
        <w:ind w:left="851" w:hanging="494"/>
        <w:contextualSpacing w:val="0"/>
        <w:rPr>
          <w:rFonts w:cs="Arial"/>
        </w:rPr>
      </w:pPr>
      <w:r>
        <w:rPr>
          <w:rFonts w:cs="Arial"/>
        </w:rPr>
        <w:t xml:space="preserve">The Minister may determine </w:t>
      </w:r>
      <w:r w:rsidR="003C20CD">
        <w:rPr>
          <w:rFonts w:cs="Arial"/>
        </w:rPr>
        <w:t>WADPs</w:t>
      </w:r>
      <w:r w:rsidR="002571AD">
        <w:rPr>
          <w:rFonts w:cs="Arial"/>
        </w:rPr>
        <w:t xml:space="preserve"> for listed brands in the cycle </w:t>
      </w:r>
      <w:r>
        <w:rPr>
          <w:rFonts w:cs="Arial"/>
        </w:rPr>
        <w:t xml:space="preserve">but this is generally done by a </w:t>
      </w:r>
      <w:r>
        <w:t xml:space="preserve">delegate of the Minister in the Department </w:t>
      </w:r>
      <w:r w:rsidR="002571AD">
        <w:rPr>
          <w:rFonts w:cs="Arial"/>
        </w:rPr>
        <w:t xml:space="preserve">– see </w:t>
      </w:r>
      <w:r w:rsidR="00802FF2">
        <w:rPr>
          <w:rFonts w:cs="Arial"/>
        </w:rPr>
        <w:t>subsection 99ADB of t</w:t>
      </w:r>
      <w:r w:rsidR="00EE5288">
        <w:rPr>
          <w:rFonts w:cs="Arial"/>
        </w:rPr>
        <w:t xml:space="preserve">he Act. </w:t>
      </w:r>
      <w:r w:rsidR="00802FF2">
        <w:rPr>
          <w:rFonts w:cs="Arial"/>
        </w:rPr>
        <w:t>The determination will also include a brand of a</w:t>
      </w:r>
      <w:r w:rsidR="002571AD">
        <w:rPr>
          <w:rFonts w:cs="Arial"/>
        </w:rPr>
        <w:t>ny</w:t>
      </w:r>
      <w:r w:rsidR="00802FF2">
        <w:rPr>
          <w:rFonts w:cs="Arial"/>
        </w:rPr>
        <w:t xml:space="preserve"> </w:t>
      </w:r>
      <w:r w:rsidR="00802FF2" w:rsidRPr="000B186E">
        <w:rPr>
          <w:rFonts w:cs="Arial"/>
          <w:i/>
        </w:rPr>
        <w:t>new pharmaceutical item</w:t>
      </w:r>
      <w:r w:rsidR="00802FF2">
        <w:rPr>
          <w:rFonts w:cs="Arial"/>
        </w:rPr>
        <w:t xml:space="preserve"> </w:t>
      </w:r>
      <w:r w:rsidR="002571AD">
        <w:rPr>
          <w:rFonts w:cs="Arial"/>
        </w:rPr>
        <w:t xml:space="preserve">that </w:t>
      </w:r>
      <w:r w:rsidR="00802FF2">
        <w:rPr>
          <w:rFonts w:cs="Arial"/>
        </w:rPr>
        <w:t>listed between the end of the data collection period and the making of the legal instrument</w:t>
      </w:r>
      <w:r w:rsidR="00583F8D" w:rsidRPr="0099173D">
        <w:rPr>
          <w:rFonts w:cs="Arial"/>
        </w:rPr>
        <w:t xml:space="preserve">. </w:t>
      </w:r>
      <w:r w:rsidR="00802FF2">
        <w:rPr>
          <w:rFonts w:cs="Arial"/>
        </w:rPr>
        <w:t xml:space="preserve"> </w:t>
      </w:r>
    </w:p>
    <w:p w14:paraId="02092DC6" w14:textId="77777777" w:rsidR="00802FF2" w:rsidRDefault="00802FF2" w:rsidP="004E4CC8">
      <w:pPr>
        <w:pStyle w:val="ListParagraph"/>
        <w:numPr>
          <w:ilvl w:val="0"/>
          <w:numId w:val="48"/>
        </w:numPr>
        <w:ind w:left="851" w:hanging="494"/>
        <w:contextualSpacing w:val="0"/>
        <w:rPr>
          <w:rFonts w:cs="Arial"/>
        </w:rPr>
      </w:pPr>
      <w:r>
        <w:rPr>
          <w:rFonts w:cs="Arial"/>
        </w:rPr>
        <w:t xml:space="preserve">A </w:t>
      </w:r>
      <w:r w:rsidR="003C20CD">
        <w:rPr>
          <w:rFonts w:cs="Arial"/>
        </w:rPr>
        <w:t>WADP</w:t>
      </w:r>
      <w:r>
        <w:rPr>
          <w:rFonts w:cs="Arial"/>
        </w:rPr>
        <w:t xml:space="preserve"> is not determined for </w:t>
      </w:r>
      <w:r w:rsidRPr="000B186E">
        <w:rPr>
          <w:rFonts w:cs="Arial"/>
          <w:i/>
        </w:rPr>
        <w:t>new brands of existing items</w:t>
      </w:r>
      <w:r>
        <w:rPr>
          <w:rFonts w:cs="Arial"/>
        </w:rPr>
        <w:t xml:space="preserve"> (or </w:t>
      </w:r>
      <w:r w:rsidR="00776E32">
        <w:rPr>
          <w:rFonts w:cs="Arial"/>
        </w:rPr>
        <w:t>subsequent</w:t>
      </w:r>
      <w:r>
        <w:rPr>
          <w:rFonts w:cs="Arial"/>
        </w:rPr>
        <w:t xml:space="preserve"> new brands of a pharmaceutical item listing after the end of t</w:t>
      </w:r>
      <w:r w:rsidR="00AC18C3">
        <w:rPr>
          <w:rFonts w:cs="Arial"/>
        </w:rPr>
        <w:t>he data collection period).  T</w:t>
      </w:r>
      <w:r>
        <w:rPr>
          <w:rFonts w:cs="Arial"/>
        </w:rPr>
        <w:t>he price for those new brands will be reduced</w:t>
      </w:r>
      <w:r w:rsidR="00AC18C3">
        <w:rPr>
          <w:rFonts w:cs="Arial"/>
        </w:rPr>
        <w:t xml:space="preserve"> </w:t>
      </w:r>
      <w:r w:rsidR="00776E32">
        <w:rPr>
          <w:rFonts w:cs="Arial"/>
        </w:rPr>
        <w:t>on reduction day</w:t>
      </w:r>
      <w:r w:rsidR="00AC18C3">
        <w:rPr>
          <w:rFonts w:cs="Arial"/>
        </w:rPr>
        <w:t>,</w:t>
      </w:r>
      <w:r>
        <w:rPr>
          <w:rFonts w:cs="Arial"/>
        </w:rPr>
        <w:t xml:space="preserve"> </w:t>
      </w:r>
      <w:r w:rsidR="00AC18C3">
        <w:rPr>
          <w:rFonts w:cs="Arial"/>
        </w:rPr>
        <w:t xml:space="preserve">where applicable, </w:t>
      </w:r>
      <w:r>
        <w:rPr>
          <w:rFonts w:cs="Arial"/>
        </w:rPr>
        <w:t xml:space="preserve">along with the other brands </w:t>
      </w:r>
      <w:r w:rsidR="00776E32">
        <w:rPr>
          <w:rFonts w:cs="Arial"/>
        </w:rPr>
        <w:t xml:space="preserve">that do have a </w:t>
      </w:r>
      <w:r w:rsidR="003C20CD">
        <w:rPr>
          <w:rFonts w:cs="Arial"/>
        </w:rPr>
        <w:t>WADP</w:t>
      </w:r>
      <w:r>
        <w:rPr>
          <w:rFonts w:cs="Arial"/>
        </w:rPr>
        <w:t xml:space="preserve"> (see section 99ADHA of the Act).</w:t>
      </w:r>
    </w:p>
    <w:p w14:paraId="352DABBE" w14:textId="77777777" w:rsidR="00802FF2" w:rsidRDefault="003C20CD" w:rsidP="004E4CC8">
      <w:pPr>
        <w:pStyle w:val="ListParagraph"/>
        <w:numPr>
          <w:ilvl w:val="0"/>
          <w:numId w:val="48"/>
        </w:numPr>
        <w:contextualSpacing w:val="0"/>
        <w:rPr>
          <w:rFonts w:cs="Arial"/>
        </w:rPr>
      </w:pPr>
      <w:r>
        <w:rPr>
          <w:rFonts w:cs="Arial"/>
        </w:rPr>
        <w:t>WADPs</w:t>
      </w:r>
      <w:r w:rsidR="00802FF2">
        <w:rPr>
          <w:rFonts w:cs="Arial"/>
        </w:rPr>
        <w:t xml:space="preserve"> are determined in two Schedules to the legal instrument:</w:t>
      </w:r>
    </w:p>
    <w:p w14:paraId="34227550" w14:textId="77777777" w:rsidR="00802FF2" w:rsidRDefault="00802FF2" w:rsidP="004E4CC8">
      <w:pPr>
        <w:pStyle w:val="ListParagraph"/>
        <w:numPr>
          <w:ilvl w:val="1"/>
          <w:numId w:val="48"/>
        </w:numPr>
        <w:contextualSpacing w:val="0"/>
        <w:rPr>
          <w:rFonts w:cs="Arial"/>
        </w:rPr>
      </w:pPr>
      <w:r w:rsidRPr="003614E9">
        <w:rPr>
          <w:rFonts w:cs="Arial"/>
          <w:b/>
        </w:rPr>
        <w:t>Schedule 1</w:t>
      </w:r>
      <w:r>
        <w:rPr>
          <w:rFonts w:cs="Arial"/>
        </w:rPr>
        <w:t xml:space="preserve"> </w:t>
      </w:r>
      <w:r w:rsidR="002571AD">
        <w:rPr>
          <w:rFonts w:cs="Arial"/>
        </w:rPr>
        <w:t xml:space="preserve">- </w:t>
      </w:r>
      <w:r>
        <w:rPr>
          <w:rFonts w:cs="Arial"/>
        </w:rPr>
        <w:t>w</w:t>
      </w:r>
      <w:r w:rsidRPr="003614E9">
        <w:rPr>
          <w:rFonts w:cs="Arial"/>
        </w:rPr>
        <w:t>he</w:t>
      </w:r>
      <w:r w:rsidR="002571AD">
        <w:rPr>
          <w:rFonts w:cs="Arial"/>
        </w:rPr>
        <w:t>re</w:t>
      </w:r>
      <w:r w:rsidRPr="003614E9">
        <w:rPr>
          <w:rFonts w:cs="Arial"/>
        </w:rPr>
        <w:t xml:space="preserve"> the </w:t>
      </w:r>
      <w:r w:rsidR="003C20CD">
        <w:rPr>
          <w:rFonts w:cs="Arial"/>
        </w:rPr>
        <w:t>WADP</w:t>
      </w:r>
      <w:r w:rsidRPr="003614E9">
        <w:rPr>
          <w:rFonts w:cs="Arial"/>
        </w:rPr>
        <w:t xml:space="preserve"> </w:t>
      </w:r>
      <w:r w:rsidRPr="003614E9">
        <w:rPr>
          <w:rFonts w:cs="Arial"/>
          <w:b/>
        </w:rPr>
        <w:t>is at least 10% lower</w:t>
      </w:r>
      <w:r w:rsidRPr="003614E9">
        <w:rPr>
          <w:rFonts w:cs="Arial"/>
        </w:rPr>
        <w:t xml:space="preserve"> than the PBS approved ex-manufacturer price on the relevant day</w:t>
      </w:r>
      <w:r w:rsidR="00777900">
        <w:rPr>
          <w:rFonts w:cs="Arial"/>
        </w:rPr>
        <w:t xml:space="preserve"> –</w:t>
      </w:r>
      <w:r w:rsidR="003E590C">
        <w:rPr>
          <w:rFonts w:cs="Arial"/>
        </w:rPr>
        <w:t xml:space="preserve"> these are </w:t>
      </w:r>
      <w:r w:rsidR="00777900" w:rsidRPr="000B186E">
        <w:rPr>
          <w:rFonts w:cs="Arial"/>
          <w:b/>
        </w:rPr>
        <w:t>brands expected to have a price disclosure reduction</w:t>
      </w:r>
      <w:r w:rsidR="00777900">
        <w:rPr>
          <w:rFonts w:cs="Arial"/>
        </w:rPr>
        <w:t xml:space="preserve"> on the reduction day mentioned in the instrument</w:t>
      </w:r>
      <w:r>
        <w:rPr>
          <w:rFonts w:cs="Arial"/>
        </w:rPr>
        <w:t>; and</w:t>
      </w:r>
    </w:p>
    <w:p w14:paraId="28FB4E03" w14:textId="77777777" w:rsidR="00EA4D2C" w:rsidRDefault="00802FF2" w:rsidP="004E4CC8">
      <w:pPr>
        <w:pStyle w:val="ListParagraph"/>
        <w:numPr>
          <w:ilvl w:val="1"/>
          <w:numId w:val="48"/>
        </w:numPr>
        <w:contextualSpacing w:val="0"/>
        <w:rPr>
          <w:rFonts w:cs="Arial"/>
        </w:rPr>
      </w:pPr>
      <w:r w:rsidRPr="003614E9">
        <w:rPr>
          <w:rFonts w:cs="Arial"/>
          <w:b/>
        </w:rPr>
        <w:t>Schedule 2</w:t>
      </w:r>
      <w:r>
        <w:rPr>
          <w:rFonts w:cs="Arial"/>
        </w:rPr>
        <w:t xml:space="preserve"> </w:t>
      </w:r>
      <w:r w:rsidR="002571AD">
        <w:rPr>
          <w:rFonts w:cs="Arial"/>
        </w:rPr>
        <w:t xml:space="preserve">- </w:t>
      </w:r>
      <w:r>
        <w:rPr>
          <w:rFonts w:cs="Arial"/>
        </w:rPr>
        <w:t>whe</w:t>
      </w:r>
      <w:r w:rsidR="002571AD">
        <w:rPr>
          <w:rFonts w:cs="Arial"/>
        </w:rPr>
        <w:t>re</w:t>
      </w:r>
      <w:r>
        <w:rPr>
          <w:rFonts w:cs="Arial"/>
        </w:rPr>
        <w:t xml:space="preserve"> </w:t>
      </w:r>
      <w:r w:rsidRPr="003614E9">
        <w:rPr>
          <w:rFonts w:cs="Arial"/>
        </w:rPr>
        <w:t xml:space="preserve">the </w:t>
      </w:r>
      <w:r w:rsidR="003C20CD">
        <w:rPr>
          <w:rFonts w:cs="Arial"/>
        </w:rPr>
        <w:t>WADP</w:t>
      </w:r>
      <w:r w:rsidRPr="003614E9">
        <w:rPr>
          <w:rFonts w:cs="Arial"/>
        </w:rPr>
        <w:t xml:space="preserve"> </w:t>
      </w:r>
      <w:r w:rsidRPr="003614E9">
        <w:rPr>
          <w:rFonts w:cs="Arial"/>
          <w:b/>
        </w:rPr>
        <w:t xml:space="preserve">is not </w:t>
      </w:r>
      <w:r w:rsidR="00363E0D">
        <w:rPr>
          <w:rFonts w:cs="Arial"/>
          <w:b/>
        </w:rPr>
        <w:t xml:space="preserve">at least </w:t>
      </w:r>
      <w:r w:rsidRPr="003614E9">
        <w:rPr>
          <w:rFonts w:cs="Arial"/>
          <w:b/>
        </w:rPr>
        <w:t>10% lower</w:t>
      </w:r>
      <w:r w:rsidRPr="003614E9">
        <w:rPr>
          <w:rFonts w:cs="Arial"/>
        </w:rPr>
        <w:t xml:space="preserve"> than the PBS approved ex-manufacturer price on the relevant day</w:t>
      </w:r>
      <w:r w:rsidR="00777900">
        <w:rPr>
          <w:rFonts w:cs="Arial"/>
        </w:rPr>
        <w:t xml:space="preserve"> –</w:t>
      </w:r>
      <w:r w:rsidR="003E590C">
        <w:rPr>
          <w:rFonts w:cs="Arial"/>
        </w:rPr>
        <w:t xml:space="preserve"> these are </w:t>
      </w:r>
      <w:r w:rsidR="00777900" w:rsidRPr="000B186E">
        <w:rPr>
          <w:rFonts w:cs="Arial"/>
          <w:b/>
        </w:rPr>
        <w:t>brands not taking a price disclosure reduction</w:t>
      </w:r>
      <w:r w:rsidR="00777900">
        <w:rPr>
          <w:rFonts w:cs="Arial"/>
        </w:rPr>
        <w:t xml:space="preserve"> on the reduction day mentioned in the instrument</w:t>
      </w:r>
      <w:r w:rsidRPr="003614E9">
        <w:rPr>
          <w:rFonts w:cs="Arial"/>
        </w:rPr>
        <w:t>.</w:t>
      </w:r>
    </w:p>
    <w:p w14:paraId="4BEC9BA9" w14:textId="77777777" w:rsidR="00802FF2" w:rsidRPr="003614E9" w:rsidRDefault="00EA4D2C" w:rsidP="00EA4D2C">
      <w:pPr>
        <w:pStyle w:val="ListParagraph"/>
        <w:ind w:left="0"/>
        <w:contextualSpacing w:val="0"/>
        <w:rPr>
          <w:rFonts w:cs="Arial"/>
        </w:rPr>
      </w:pPr>
      <w:r>
        <w:rPr>
          <w:rFonts w:cs="Arial"/>
        </w:rPr>
        <w:br w:type="page"/>
      </w:r>
    </w:p>
    <w:p w14:paraId="4F1C82AD" w14:textId="77777777" w:rsidR="00802FF2" w:rsidRDefault="00802FF2" w:rsidP="004E4CC8">
      <w:pPr>
        <w:pStyle w:val="ListParagraph"/>
        <w:numPr>
          <w:ilvl w:val="0"/>
          <w:numId w:val="48"/>
        </w:numPr>
        <w:ind w:left="851" w:hanging="494"/>
        <w:contextualSpacing w:val="0"/>
        <w:rPr>
          <w:rFonts w:cs="Arial"/>
        </w:rPr>
      </w:pPr>
      <w:r>
        <w:rPr>
          <w:rFonts w:cs="Arial"/>
        </w:rPr>
        <w:lastRenderedPageBreak/>
        <w:t xml:space="preserve">The relevant day is the day </w:t>
      </w:r>
      <w:r w:rsidR="002571AD">
        <w:rPr>
          <w:rFonts w:cs="Arial"/>
        </w:rPr>
        <w:t>a</w:t>
      </w:r>
      <w:r>
        <w:rPr>
          <w:rFonts w:cs="Arial"/>
        </w:rPr>
        <w:t>f</w:t>
      </w:r>
      <w:r w:rsidR="002571AD">
        <w:rPr>
          <w:rFonts w:cs="Arial"/>
        </w:rPr>
        <w:t>ter</w:t>
      </w:r>
      <w:r>
        <w:rPr>
          <w:rFonts w:cs="Arial"/>
        </w:rPr>
        <w:t xml:space="preserve"> the end of the data collection period (e</w:t>
      </w:r>
      <w:r w:rsidR="00EE5288">
        <w:rPr>
          <w:rFonts w:cs="Arial"/>
        </w:rPr>
        <w:t>.</w:t>
      </w:r>
      <w:r>
        <w:rPr>
          <w:rFonts w:cs="Arial"/>
        </w:rPr>
        <w:t>g</w:t>
      </w:r>
      <w:r w:rsidR="00EE5288">
        <w:rPr>
          <w:rFonts w:cs="Arial"/>
        </w:rPr>
        <w:t>.</w:t>
      </w:r>
      <w:r>
        <w:rPr>
          <w:rFonts w:cs="Arial"/>
        </w:rPr>
        <w:t xml:space="preserve"> for the data collection period ending 31 March 201</w:t>
      </w:r>
      <w:r w:rsidR="00F15AA8">
        <w:rPr>
          <w:rFonts w:cs="Arial"/>
        </w:rPr>
        <w:t>6</w:t>
      </w:r>
      <w:r w:rsidR="00F118CB">
        <w:rPr>
          <w:rFonts w:cs="Arial"/>
        </w:rPr>
        <w:t xml:space="preserve"> [for 1 October 2016 reduction day]</w:t>
      </w:r>
      <w:r>
        <w:rPr>
          <w:rFonts w:cs="Arial"/>
        </w:rPr>
        <w:t xml:space="preserve"> the relevant day was 1 April 201</w:t>
      </w:r>
      <w:r w:rsidR="00F15AA8">
        <w:rPr>
          <w:rFonts w:cs="Arial"/>
        </w:rPr>
        <w:t>6</w:t>
      </w:r>
      <w:r w:rsidR="00F118CB">
        <w:rPr>
          <w:rFonts w:cs="Arial"/>
        </w:rPr>
        <w:t xml:space="preserve"> which was the previous cycle</w:t>
      </w:r>
      <w:r>
        <w:rPr>
          <w:rFonts w:cs="Arial"/>
        </w:rPr>
        <w:t xml:space="preserve"> reduction day </w:t>
      </w:r>
      <w:r w:rsidR="00F118CB">
        <w:rPr>
          <w:rFonts w:cs="Arial"/>
        </w:rPr>
        <w:t>f</w:t>
      </w:r>
      <w:r>
        <w:rPr>
          <w:rFonts w:cs="Arial"/>
        </w:rPr>
        <w:t xml:space="preserve">or at least some brands). </w:t>
      </w:r>
    </w:p>
    <w:p w14:paraId="13CE105A" w14:textId="77777777" w:rsidR="00802FF2" w:rsidRDefault="00802FF2" w:rsidP="004E4CC8">
      <w:pPr>
        <w:pStyle w:val="ListParagraph"/>
        <w:numPr>
          <w:ilvl w:val="0"/>
          <w:numId w:val="48"/>
        </w:numPr>
        <w:ind w:left="851" w:hanging="494"/>
        <w:contextualSpacing w:val="0"/>
        <w:rPr>
          <w:rFonts w:cs="Arial"/>
        </w:rPr>
      </w:pPr>
      <w:r>
        <w:rPr>
          <w:rFonts w:cs="Arial"/>
        </w:rPr>
        <w:t xml:space="preserve">The division of the </w:t>
      </w:r>
      <w:r w:rsidR="003C20CD">
        <w:rPr>
          <w:rFonts w:cs="Arial"/>
        </w:rPr>
        <w:t>WADPs</w:t>
      </w:r>
      <w:r>
        <w:rPr>
          <w:rFonts w:cs="Arial"/>
        </w:rPr>
        <w:t xml:space="preserve"> into two schedules reflects the 10% test set out in subsection </w:t>
      </w:r>
      <w:r w:rsidR="00400D9E">
        <w:rPr>
          <w:rFonts w:cs="Arial"/>
        </w:rPr>
        <w:t>99ADH (</w:t>
      </w:r>
      <w:r>
        <w:rPr>
          <w:rFonts w:cs="Arial"/>
        </w:rPr>
        <w:t>1</w:t>
      </w:r>
      <w:r w:rsidR="00400D9E">
        <w:rPr>
          <w:rFonts w:cs="Arial"/>
        </w:rPr>
        <w:t>) (</w:t>
      </w:r>
      <w:r>
        <w:rPr>
          <w:rFonts w:cs="Arial"/>
        </w:rPr>
        <w:t>c) of the Act</w:t>
      </w:r>
      <w:r w:rsidR="000B186E">
        <w:rPr>
          <w:rFonts w:cs="Arial"/>
        </w:rPr>
        <w:t>.</w:t>
      </w:r>
      <w:r w:rsidR="002571AD">
        <w:rPr>
          <w:rFonts w:cs="Arial"/>
        </w:rPr>
        <w:t xml:space="preserve"> Under the 10% test a price disclosure reduction </w:t>
      </w:r>
      <w:r>
        <w:rPr>
          <w:rFonts w:cs="Arial"/>
        </w:rPr>
        <w:t>will only be applied if the</w:t>
      </w:r>
      <w:r w:rsidR="00363E0D">
        <w:rPr>
          <w:rFonts w:cs="Arial"/>
        </w:rPr>
        <w:t xml:space="preserve"> unadjusted price reduction </w:t>
      </w:r>
      <w:r w:rsidR="00F118CB">
        <w:rPr>
          <w:rFonts w:cs="Arial"/>
        </w:rPr>
        <w:t xml:space="preserve">is </w:t>
      </w:r>
      <w:r>
        <w:rPr>
          <w:rFonts w:cs="Arial"/>
        </w:rPr>
        <w:t>at least</w:t>
      </w:r>
      <w:r w:rsidR="00363E0D">
        <w:rPr>
          <w:rFonts w:cs="Arial"/>
        </w:rPr>
        <w:t xml:space="preserve"> 10%</w:t>
      </w:r>
      <w:r w:rsidR="000B186E">
        <w:rPr>
          <w:rFonts w:cs="Arial"/>
        </w:rPr>
        <w:t xml:space="preserve">. </w:t>
      </w:r>
      <w:r w:rsidR="00363E0D">
        <w:rPr>
          <w:rFonts w:cs="Arial"/>
        </w:rPr>
        <w:t xml:space="preserve">The unadjusted price reduction is the </w:t>
      </w:r>
      <w:r>
        <w:rPr>
          <w:rFonts w:cs="Arial"/>
        </w:rPr>
        <w:t xml:space="preserve">difference between the </w:t>
      </w:r>
      <w:r w:rsidR="00363E0D">
        <w:rPr>
          <w:rFonts w:cs="Arial"/>
        </w:rPr>
        <w:t xml:space="preserve">AEMP on the relevant day and the </w:t>
      </w:r>
      <w:r w:rsidR="003C20CD">
        <w:rPr>
          <w:rFonts w:cs="Arial"/>
        </w:rPr>
        <w:t>WADP</w:t>
      </w:r>
      <w:r>
        <w:rPr>
          <w:rFonts w:cs="Arial"/>
        </w:rPr>
        <w:t xml:space="preserve"> determined in the legal instrument</w:t>
      </w:r>
      <w:r w:rsidR="00363E0D">
        <w:rPr>
          <w:rFonts w:cs="Arial"/>
        </w:rPr>
        <w:t>, expressed as a percentage of the AEMP on the relevant day</w:t>
      </w:r>
      <w:r>
        <w:rPr>
          <w:rFonts w:cs="Arial"/>
        </w:rPr>
        <w:t xml:space="preserve">. </w:t>
      </w:r>
    </w:p>
    <w:p w14:paraId="6355F694" w14:textId="77777777" w:rsidR="00363E0D" w:rsidRDefault="00363E0D" w:rsidP="004E4CC8">
      <w:pPr>
        <w:pStyle w:val="ListParagraph"/>
        <w:numPr>
          <w:ilvl w:val="0"/>
          <w:numId w:val="48"/>
        </w:numPr>
        <w:ind w:left="851" w:hanging="494"/>
        <w:contextualSpacing w:val="0"/>
        <w:rPr>
          <w:rFonts w:cs="Arial"/>
        </w:rPr>
      </w:pPr>
      <w:r>
        <w:rPr>
          <w:rFonts w:cs="Arial"/>
        </w:rPr>
        <w:t xml:space="preserve">The </w:t>
      </w:r>
      <w:r w:rsidR="003C20CD">
        <w:rPr>
          <w:rFonts w:cs="Arial"/>
        </w:rPr>
        <w:t>WADP</w:t>
      </w:r>
      <w:r>
        <w:rPr>
          <w:rFonts w:cs="Arial"/>
        </w:rPr>
        <w:t xml:space="preserve"> is also determined as the adjusted</w:t>
      </w:r>
      <w:r w:rsidR="0064049D">
        <w:rPr>
          <w:rFonts w:cs="Arial"/>
        </w:rPr>
        <w:t xml:space="preserve"> approved ex-manufacturer price</w:t>
      </w:r>
      <w:r w:rsidR="00A9458B">
        <w:rPr>
          <w:rFonts w:cs="Arial"/>
        </w:rPr>
        <w:t xml:space="preserve"> </w:t>
      </w:r>
      <w:r>
        <w:rPr>
          <w:rFonts w:cs="Arial"/>
        </w:rPr>
        <w:t>for brands</w:t>
      </w:r>
      <w:r w:rsidR="00A9458B">
        <w:rPr>
          <w:rFonts w:cs="Arial"/>
        </w:rPr>
        <w:t xml:space="preserve"> </w:t>
      </w:r>
      <w:r>
        <w:rPr>
          <w:rFonts w:cs="Arial"/>
        </w:rPr>
        <w:t>that meet the 10% test (</w:t>
      </w:r>
      <w:r w:rsidR="00E03B52">
        <w:rPr>
          <w:rFonts w:cs="Arial"/>
        </w:rPr>
        <w:t>i.e.,</w:t>
      </w:r>
      <w:r>
        <w:rPr>
          <w:rFonts w:cs="Arial"/>
        </w:rPr>
        <w:t xml:space="preserve"> those in Schedule 1</w:t>
      </w:r>
      <w:r w:rsidR="00A9458B">
        <w:rPr>
          <w:rFonts w:cs="Arial"/>
        </w:rPr>
        <w:t xml:space="preserve"> to the legal instrument</w:t>
      </w:r>
      <w:r>
        <w:rPr>
          <w:rFonts w:cs="Arial"/>
        </w:rPr>
        <w:t>).</w:t>
      </w:r>
      <w:r w:rsidR="000B186E">
        <w:rPr>
          <w:rFonts w:cs="Arial"/>
        </w:rPr>
        <w:t xml:space="preserve"> </w:t>
      </w:r>
      <w:r w:rsidR="0064049D">
        <w:rPr>
          <w:rFonts w:cs="Arial"/>
        </w:rPr>
        <w:t>The adjusted approved ex-manufacturer price will be the new AEMP on reduction day unless there are other intervening pricing changes (e</w:t>
      </w:r>
      <w:r w:rsidR="00EE5288">
        <w:rPr>
          <w:rFonts w:cs="Arial"/>
        </w:rPr>
        <w:t>.</w:t>
      </w:r>
      <w:r w:rsidR="0064049D">
        <w:rPr>
          <w:rFonts w:cs="Arial"/>
        </w:rPr>
        <w:t>g</w:t>
      </w:r>
      <w:r w:rsidR="00EE5288">
        <w:rPr>
          <w:rFonts w:cs="Arial"/>
        </w:rPr>
        <w:t>.</w:t>
      </w:r>
      <w:r w:rsidR="0064049D">
        <w:rPr>
          <w:rFonts w:cs="Arial"/>
        </w:rPr>
        <w:t xml:space="preserve"> lower price or change in pricing quantity).</w:t>
      </w:r>
      <w:r w:rsidR="000B186E">
        <w:rPr>
          <w:rFonts w:cs="Arial"/>
        </w:rPr>
        <w:t xml:space="preserve"> </w:t>
      </w:r>
      <w:r w:rsidR="00E17F80">
        <w:rPr>
          <w:rFonts w:cs="Arial"/>
        </w:rPr>
        <w:t xml:space="preserve">More information about the new prices is provided under the heading </w:t>
      </w:r>
      <w:r w:rsidR="00E17F80" w:rsidRPr="000B186E">
        <w:rPr>
          <w:rFonts w:cs="Arial"/>
          <w:b/>
        </w:rPr>
        <w:t>Changes to Price as a Result of Price Disclosure</w:t>
      </w:r>
      <w:r w:rsidR="00E17F80">
        <w:rPr>
          <w:rFonts w:cs="Arial"/>
        </w:rPr>
        <w:t xml:space="preserve"> </w:t>
      </w:r>
      <w:r w:rsidR="003E590C">
        <w:rPr>
          <w:rFonts w:cs="Arial"/>
        </w:rPr>
        <w:t>below</w:t>
      </w:r>
      <w:r w:rsidR="00E17F80">
        <w:rPr>
          <w:rFonts w:cs="Arial"/>
        </w:rPr>
        <w:t>.</w:t>
      </w:r>
    </w:p>
    <w:p w14:paraId="73E17A35" w14:textId="77777777" w:rsidR="00401F4F" w:rsidRPr="00777900" w:rsidRDefault="002571AD" w:rsidP="004E4CC8">
      <w:pPr>
        <w:pStyle w:val="ListParagraph"/>
        <w:numPr>
          <w:ilvl w:val="0"/>
          <w:numId w:val="48"/>
        </w:numPr>
        <w:ind w:left="851" w:hanging="494"/>
        <w:contextualSpacing w:val="0"/>
        <w:rPr>
          <w:rFonts w:cs="Arial"/>
        </w:rPr>
      </w:pPr>
      <w:r w:rsidRPr="00777900">
        <w:rPr>
          <w:rFonts w:cs="Arial"/>
        </w:rPr>
        <w:t xml:space="preserve">If a new brand of a </w:t>
      </w:r>
      <w:r w:rsidRPr="000B186E">
        <w:rPr>
          <w:rFonts w:cs="Arial"/>
          <w:i/>
        </w:rPr>
        <w:t>new pharmaceutical item</w:t>
      </w:r>
      <w:r w:rsidRPr="00777900">
        <w:rPr>
          <w:rFonts w:cs="Arial"/>
        </w:rPr>
        <w:t xml:space="preserve"> with a drug/MoA that is to take a reduction</w:t>
      </w:r>
      <w:r w:rsidR="00777900">
        <w:rPr>
          <w:rFonts w:cs="Arial"/>
        </w:rPr>
        <w:t xml:space="preserve"> is</w:t>
      </w:r>
      <w:r w:rsidRPr="00777900">
        <w:rPr>
          <w:rFonts w:cs="Arial"/>
        </w:rPr>
        <w:t xml:space="preserve"> list</w:t>
      </w:r>
      <w:r w:rsidR="00777900">
        <w:rPr>
          <w:rFonts w:cs="Arial"/>
        </w:rPr>
        <w:t>ed</w:t>
      </w:r>
      <w:r w:rsidRPr="00777900">
        <w:rPr>
          <w:rFonts w:cs="Arial"/>
        </w:rPr>
        <w:t xml:space="preserve"> after making of the determination and before reduction day, then the determination will be amended to add a </w:t>
      </w:r>
      <w:r w:rsidR="008F08E6">
        <w:rPr>
          <w:rFonts w:cs="Arial"/>
        </w:rPr>
        <w:t>WADP</w:t>
      </w:r>
      <w:r w:rsidR="0043247F" w:rsidRPr="00777900">
        <w:rPr>
          <w:rFonts w:cs="Arial"/>
        </w:rPr>
        <w:t xml:space="preserve"> for </w:t>
      </w:r>
      <w:r w:rsidR="00777900">
        <w:rPr>
          <w:rFonts w:cs="Arial"/>
        </w:rPr>
        <w:t xml:space="preserve">a first new </w:t>
      </w:r>
      <w:r w:rsidRPr="00777900">
        <w:rPr>
          <w:rFonts w:cs="Arial"/>
        </w:rPr>
        <w:t>brand of the new pharmaceutical item.</w:t>
      </w:r>
      <w:r w:rsidR="000B186E">
        <w:rPr>
          <w:rFonts w:cs="Arial"/>
        </w:rPr>
        <w:t xml:space="preserve"> </w:t>
      </w:r>
      <w:r w:rsidRPr="00777900">
        <w:rPr>
          <w:rFonts w:cs="Arial"/>
        </w:rPr>
        <w:t xml:space="preserve">This </w:t>
      </w:r>
      <w:r w:rsidR="00F118CB">
        <w:rPr>
          <w:rFonts w:cs="Arial"/>
        </w:rPr>
        <w:t xml:space="preserve">provides for </w:t>
      </w:r>
      <w:r w:rsidR="00E25402">
        <w:rPr>
          <w:rFonts w:cs="Arial"/>
        </w:rPr>
        <w:t xml:space="preserve">the </w:t>
      </w:r>
      <w:r w:rsidRPr="00777900">
        <w:rPr>
          <w:rFonts w:cs="Arial"/>
        </w:rPr>
        <w:t xml:space="preserve">brands of </w:t>
      </w:r>
      <w:r w:rsidR="00E25402">
        <w:rPr>
          <w:rFonts w:cs="Arial"/>
        </w:rPr>
        <w:t>a pharmaceutical item</w:t>
      </w:r>
      <w:r w:rsidRPr="00777900">
        <w:rPr>
          <w:rFonts w:cs="Arial"/>
        </w:rPr>
        <w:t xml:space="preserve"> for a drug/MoA </w:t>
      </w:r>
      <w:r w:rsidR="00F118CB">
        <w:rPr>
          <w:rFonts w:cs="Arial"/>
        </w:rPr>
        <w:t>to be</w:t>
      </w:r>
      <w:r w:rsidR="0043247F" w:rsidRPr="00777900">
        <w:rPr>
          <w:rFonts w:cs="Arial"/>
        </w:rPr>
        <w:t xml:space="preserve"> treated equally for the cycle.</w:t>
      </w:r>
    </w:p>
    <w:p w14:paraId="2C1A396B" w14:textId="77777777" w:rsidR="0043247F" w:rsidRDefault="0043247F" w:rsidP="004E4CC8">
      <w:pPr>
        <w:pStyle w:val="ListParagraph"/>
        <w:numPr>
          <w:ilvl w:val="0"/>
          <w:numId w:val="48"/>
        </w:numPr>
        <w:ind w:left="851" w:hanging="494"/>
        <w:contextualSpacing w:val="0"/>
        <w:rPr>
          <w:rFonts w:cs="Arial"/>
        </w:rPr>
      </w:pPr>
      <w:r>
        <w:rPr>
          <w:rFonts w:cs="Arial"/>
        </w:rPr>
        <w:t xml:space="preserve">The legal determination of </w:t>
      </w:r>
      <w:r w:rsidR="008F08E6">
        <w:rPr>
          <w:rFonts w:cs="Arial"/>
        </w:rPr>
        <w:t>WADPs</w:t>
      </w:r>
      <w:r>
        <w:rPr>
          <w:rFonts w:cs="Arial"/>
        </w:rPr>
        <w:t xml:space="preserve"> can also be amended t</w:t>
      </w:r>
      <w:r w:rsidR="000B186E">
        <w:rPr>
          <w:rFonts w:cs="Arial"/>
        </w:rPr>
        <w:t>o deal with disputes or errors</w:t>
      </w:r>
      <w:r w:rsidR="00F118CB">
        <w:rPr>
          <w:rFonts w:cs="Arial"/>
        </w:rPr>
        <w:t xml:space="preserve"> or other matters relevant to the reduction</w:t>
      </w:r>
      <w:r w:rsidR="000B186E">
        <w:rPr>
          <w:rFonts w:cs="Arial"/>
        </w:rPr>
        <w:t>.</w:t>
      </w:r>
      <w:r>
        <w:rPr>
          <w:rFonts w:cs="Arial"/>
        </w:rPr>
        <w:t xml:space="preserve"> Affected companies would be notified individually of any such amendments.</w:t>
      </w:r>
    </w:p>
    <w:p w14:paraId="05198296" w14:textId="77777777" w:rsidR="00C9732C" w:rsidRDefault="00C9732C" w:rsidP="00925E92">
      <w:pPr>
        <w:pStyle w:val="Heading2"/>
        <w:spacing w:before="120"/>
      </w:pPr>
      <w:bookmarkStart w:id="67" w:name="_Toc454283976"/>
      <w:r>
        <w:t>Notification of Outcomes</w:t>
      </w:r>
      <w:bookmarkEnd w:id="67"/>
    </w:p>
    <w:p w14:paraId="3EB35742" w14:textId="77777777" w:rsidR="002C169A" w:rsidRPr="00925E92" w:rsidRDefault="002C169A" w:rsidP="004E4CC8">
      <w:pPr>
        <w:pStyle w:val="ListParagraph"/>
        <w:numPr>
          <w:ilvl w:val="0"/>
          <w:numId w:val="48"/>
        </w:numPr>
        <w:ind w:left="851" w:hanging="494"/>
        <w:rPr>
          <w:rFonts w:cs="Arial"/>
        </w:rPr>
      </w:pPr>
      <w:r w:rsidRPr="00925E92">
        <w:rPr>
          <w:rFonts w:cs="Arial"/>
        </w:rPr>
        <w:t xml:space="preserve">The Department intends that the </w:t>
      </w:r>
      <w:r w:rsidR="008F08E6" w:rsidRPr="00925E92">
        <w:rPr>
          <w:rFonts w:cs="Arial"/>
        </w:rPr>
        <w:t xml:space="preserve">WADP determination and </w:t>
      </w:r>
      <w:r w:rsidRPr="00925E92">
        <w:rPr>
          <w:rFonts w:cs="Arial"/>
        </w:rPr>
        <w:t xml:space="preserve">outcomes </w:t>
      </w:r>
      <w:r w:rsidR="008F08E6" w:rsidRPr="00925E92">
        <w:rPr>
          <w:rFonts w:cs="Arial"/>
        </w:rPr>
        <w:t>notification for</w:t>
      </w:r>
      <w:r w:rsidRPr="00925E92">
        <w:rPr>
          <w:rFonts w:cs="Arial"/>
        </w:rPr>
        <w:t xml:space="preserve"> each price disclosure cycle be made available at least </w:t>
      </w:r>
      <w:r w:rsidR="008F08E6" w:rsidRPr="00925E92">
        <w:rPr>
          <w:rFonts w:cs="Arial"/>
        </w:rPr>
        <w:t>three</w:t>
      </w:r>
      <w:r w:rsidRPr="00925E92">
        <w:rPr>
          <w:rFonts w:cs="Arial"/>
        </w:rPr>
        <w:t xml:space="preserve"> months before the relevant reduction day. </w:t>
      </w:r>
      <w:r w:rsidR="008F08E6" w:rsidRPr="00925E92">
        <w:rPr>
          <w:rFonts w:cs="Arial"/>
        </w:rPr>
        <w:t>T</w:t>
      </w:r>
      <w:r w:rsidRPr="00925E92">
        <w:rPr>
          <w:rFonts w:cs="Arial"/>
        </w:rPr>
        <w:t xml:space="preserve">he </w:t>
      </w:r>
      <w:r w:rsidR="008F08E6" w:rsidRPr="00925E92">
        <w:rPr>
          <w:rFonts w:cs="Arial"/>
        </w:rPr>
        <w:t>WADP</w:t>
      </w:r>
      <w:r w:rsidRPr="00925E92">
        <w:rPr>
          <w:rFonts w:cs="Arial"/>
        </w:rPr>
        <w:t xml:space="preserve"> determination is not legally required to be made within this timeframe.</w:t>
      </w:r>
    </w:p>
    <w:p w14:paraId="0127639C" w14:textId="77777777" w:rsidR="004E4D9C" w:rsidRDefault="002C169A" w:rsidP="004E4CC8">
      <w:pPr>
        <w:pStyle w:val="ListParagraph"/>
        <w:numPr>
          <w:ilvl w:val="0"/>
          <w:numId w:val="48"/>
        </w:numPr>
        <w:ind w:left="851" w:hanging="494"/>
        <w:contextualSpacing w:val="0"/>
        <w:rPr>
          <w:rFonts w:cs="Arial"/>
        </w:rPr>
      </w:pPr>
      <w:r w:rsidRPr="002C169A">
        <w:rPr>
          <w:rFonts w:cs="Arial"/>
        </w:rPr>
        <w:t xml:space="preserve">A </w:t>
      </w:r>
      <w:r w:rsidR="008F08E6">
        <w:rPr>
          <w:rFonts w:cs="Arial"/>
        </w:rPr>
        <w:t xml:space="preserve">Price Disclosure </w:t>
      </w:r>
      <w:r w:rsidRPr="002C169A">
        <w:rPr>
          <w:rFonts w:cs="Arial"/>
        </w:rPr>
        <w:t xml:space="preserve">Outcomes Summary is published on the </w:t>
      </w:r>
      <w:hyperlink r:id="rId35" w:history="1">
        <w:r w:rsidR="00C40ABF">
          <w:rPr>
            <w:rStyle w:val="Hyperlink"/>
            <w:rFonts w:cs="Arial"/>
          </w:rPr>
          <w:t>Price Disclosure (SPD)</w:t>
        </w:r>
      </w:hyperlink>
      <w:r w:rsidRPr="002C169A">
        <w:rPr>
          <w:rFonts w:cs="Arial"/>
        </w:rPr>
        <w:t xml:space="preserve"> web page of the </w:t>
      </w:r>
      <w:hyperlink r:id="rId36" w:history="1">
        <w:r w:rsidRPr="002C169A">
          <w:rPr>
            <w:rStyle w:val="Hyperlink"/>
            <w:rFonts w:cs="Arial"/>
          </w:rPr>
          <w:t>www.pbs.gov.au</w:t>
        </w:r>
      </w:hyperlink>
      <w:r w:rsidRPr="002C169A">
        <w:rPr>
          <w:rFonts w:cs="Arial"/>
        </w:rPr>
        <w:t xml:space="preserve"> website.</w:t>
      </w:r>
      <w:r w:rsidR="004E4D9C">
        <w:rPr>
          <w:rFonts w:cs="Arial"/>
        </w:rPr>
        <w:t xml:space="preserve"> The Summary mention</w:t>
      </w:r>
      <w:r w:rsidR="003E590C">
        <w:rPr>
          <w:rFonts w:cs="Arial"/>
        </w:rPr>
        <w:t>s</w:t>
      </w:r>
      <w:r w:rsidR="004E4D9C">
        <w:rPr>
          <w:rFonts w:cs="Arial"/>
        </w:rPr>
        <w:t xml:space="preserve"> the pharmaceutical items of drug/MoAs taking price disclosure reductions </w:t>
      </w:r>
      <w:r w:rsidR="008655C0">
        <w:rPr>
          <w:rFonts w:cs="Arial"/>
        </w:rPr>
        <w:t>on the relevant reduction day</w:t>
      </w:r>
      <w:r w:rsidR="00E22B11">
        <w:rPr>
          <w:rFonts w:cs="Arial"/>
        </w:rPr>
        <w:t>, including the proposed reduced ex-manufacturer price</w:t>
      </w:r>
      <w:r w:rsidR="008655C0">
        <w:rPr>
          <w:rFonts w:cs="Arial"/>
        </w:rPr>
        <w:t xml:space="preserve">. </w:t>
      </w:r>
      <w:r w:rsidR="004E4D9C">
        <w:rPr>
          <w:rFonts w:cs="Arial"/>
        </w:rPr>
        <w:t>All brands of those pharmaceutical items are taking reductions</w:t>
      </w:r>
      <w:r w:rsidR="00E17EF0">
        <w:rPr>
          <w:rFonts w:cs="Arial"/>
        </w:rPr>
        <w:t xml:space="preserve"> (</w:t>
      </w:r>
      <w:r w:rsidR="00E03B52">
        <w:rPr>
          <w:rFonts w:cs="Arial"/>
        </w:rPr>
        <w:t>i.e.,</w:t>
      </w:r>
      <w:r w:rsidR="00E17EF0">
        <w:rPr>
          <w:rFonts w:cs="Arial"/>
        </w:rPr>
        <w:t xml:space="preserve"> they meet the 10% test for reduction)</w:t>
      </w:r>
      <w:r w:rsidR="004E4D9C">
        <w:rPr>
          <w:rFonts w:cs="Arial"/>
        </w:rPr>
        <w:t xml:space="preserve">. </w:t>
      </w:r>
      <w:r w:rsidR="00D14035">
        <w:rPr>
          <w:rFonts w:cs="Arial"/>
        </w:rPr>
        <w:t>It does not mention the</w:t>
      </w:r>
      <w:r w:rsidR="00D14035" w:rsidRPr="00D14035">
        <w:rPr>
          <w:rFonts w:cs="Arial"/>
        </w:rPr>
        <w:t xml:space="preserve"> </w:t>
      </w:r>
      <w:r w:rsidR="00D14035">
        <w:rPr>
          <w:rFonts w:cs="Arial"/>
        </w:rPr>
        <w:t>flow-on reductions</w:t>
      </w:r>
      <w:r w:rsidR="00F118CB">
        <w:rPr>
          <w:rFonts w:cs="Arial"/>
        </w:rPr>
        <w:t xml:space="preserve"> to combination items</w:t>
      </w:r>
      <w:r w:rsidR="00D14035">
        <w:rPr>
          <w:rFonts w:cs="Arial"/>
        </w:rPr>
        <w:t xml:space="preserve"> from component drugs </w:t>
      </w:r>
      <w:r w:rsidR="00F118CB">
        <w:rPr>
          <w:rFonts w:cs="Arial"/>
        </w:rPr>
        <w:t xml:space="preserve">that are </w:t>
      </w:r>
      <w:r w:rsidR="00D14035">
        <w:rPr>
          <w:rFonts w:cs="Arial"/>
        </w:rPr>
        <w:t>taking a reduction. The</w:t>
      </w:r>
      <w:r w:rsidR="00E22B11">
        <w:rPr>
          <w:rFonts w:cs="Arial"/>
        </w:rPr>
        <w:t xml:space="preserve"> negotiations for flow-on reduction price</w:t>
      </w:r>
      <w:r w:rsidR="00D14035">
        <w:rPr>
          <w:rFonts w:cs="Arial"/>
        </w:rPr>
        <w:t xml:space="preserve">s </w:t>
      </w:r>
      <w:r w:rsidR="00E22B11">
        <w:rPr>
          <w:rFonts w:cs="Arial"/>
        </w:rPr>
        <w:t>occur</w:t>
      </w:r>
      <w:r w:rsidR="00D14035">
        <w:rPr>
          <w:rFonts w:cs="Arial"/>
        </w:rPr>
        <w:t xml:space="preserve"> directly with affected companies.</w:t>
      </w:r>
    </w:p>
    <w:p w14:paraId="5F2508F9" w14:textId="77777777" w:rsidR="002C169A" w:rsidRPr="00E17EF0" w:rsidRDefault="008F08E6" w:rsidP="004E4CC8">
      <w:pPr>
        <w:pStyle w:val="ListParagraph"/>
        <w:numPr>
          <w:ilvl w:val="0"/>
          <w:numId w:val="48"/>
        </w:numPr>
        <w:ind w:left="851" w:hanging="494"/>
        <w:contextualSpacing w:val="0"/>
        <w:rPr>
          <w:rFonts w:cs="Arial"/>
        </w:rPr>
      </w:pPr>
      <w:r w:rsidRPr="00E17EF0">
        <w:rPr>
          <w:rFonts w:cs="Arial"/>
        </w:rPr>
        <w:t xml:space="preserve">The </w:t>
      </w:r>
      <w:r w:rsidR="00E17EF0">
        <w:rPr>
          <w:rFonts w:cs="Arial"/>
        </w:rPr>
        <w:t xml:space="preserve">WADP </w:t>
      </w:r>
      <w:r w:rsidRPr="00E17EF0">
        <w:rPr>
          <w:rFonts w:cs="Arial"/>
        </w:rPr>
        <w:t>outcome for brands of drug/MoAs not taking reductions on the relevant reduction day can be found i</w:t>
      </w:r>
      <w:r w:rsidR="004E4D9C" w:rsidRPr="00E17EF0">
        <w:rPr>
          <w:rFonts w:cs="Arial"/>
        </w:rPr>
        <w:t xml:space="preserve">n the </w:t>
      </w:r>
      <w:r w:rsidRPr="00E17EF0">
        <w:rPr>
          <w:rFonts w:cs="Arial"/>
        </w:rPr>
        <w:t>WADP</w:t>
      </w:r>
      <w:r w:rsidR="004E4D9C" w:rsidRPr="00E17EF0">
        <w:rPr>
          <w:rFonts w:cs="Arial"/>
        </w:rPr>
        <w:t xml:space="preserve"> legal determination</w:t>
      </w:r>
      <w:r w:rsidRPr="00E17EF0">
        <w:rPr>
          <w:rFonts w:cs="Arial"/>
        </w:rPr>
        <w:t xml:space="preserve"> (Schedule 2).</w:t>
      </w:r>
      <w:r w:rsidR="00E17EF0" w:rsidRPr="00E17EF0">
        <w:rPr>
          <w:rFonts w:cs="Arial"/>
        </w:rPr>
        <w:t xml:space="preserve"> </w:t>
      </w:r>
      <w:r w:rsidR="00E17EF0">
        <w:rPr>
          <w:rFonts w:cs="Arial"/>
        </w:rPr>
        <w:t>A</w:t>
      </w:r>
      <w:r w:rsidR="002C169A" w:rsidRPr="00E17EF0">
        <w:rPr>
          <w:rFonts w:cs="Arial"/>
        </w:rPr>
        <w:t xml:space="preserve"> link to the </w:t>
      </w:r>
      <w:r w:rsidR="00E17EF0">
        <w:rPr>
          <w:rFonts w:cs="Arial"/>
        </w:rPr>
        <w:t>WADP</w:t>
      </w:r>
      <w:r w:rsidR="002C169A" w:rsidRPr="00E17EF0">
        <w:rPr>
          <w:rFonts w:cs="Arial"/>
        </w:rPr>
        <w:t xml:space="preserve"> legal determination, published on </w:t>
      </w:r>
      <w:hyperlink r:id="rId37" w:history="1">
        <w:r w:rsidR="002C169A" w:rsidRPr="00E17EF0">
          <w:rPr>
            <w:rStyle w:val="Hyperlink"/>
            <w:rFonts w:cs="Arial"/>
          </w:rPr>
          <w:t>the Federal Register of Legislative Instruments</w:t>
        </w:r>
      </w:hyperlink>
      <w:r w:rsidR="00E17EF0">
        <w:rPr>
          <w:rFonts w:cs="Arial"/>
        </w:rPr>
        <w:t>, is included with t</w:t>
      </w:r>
      <w:r w:rsidR="00E17EF0" w:rsidRPr="00E17EF0">
        <w:rPr>
          <w:rFonts w:cs="Arial"/>
        </w:rPr>
        <w:t>he Price Disclosure Outcomes Summary</w:t>
      </w:r>
      <w:r w:rsidR="002C169A" w:rsidRPr="00E17EF0">
        <w:rPr>
          <w:rFonts w:cs="Arial"/>
        </w:rPr>
        <w:t>.</w:t>
      </w:r>
    </w:p>
    <w:p w14:paraId="2AD6263B" w14:textId="77777777" w:rsidR="00C9732C" w:rsidRPr="00CF45DE" w:rsidRDefault="00C9732C" w:rsidP="004E4CC8">
      <w:pPr>
        <w:pStyle w:val="ListParagraph"/>
        <w:numPr>
          <w:ilvl w:val="0"/>
          <w:numId w:val="48"/>
        </w:numPr>
        <w:contextualSpacing w:val="0"/>
        <w:rPr>
          <w:rStyle w:val="Hyperlink"/>
          <w:rFonts w:cs="Arial"/>
          <w:color w:val="auto"/>
          <w:u w:val="none"/>
        </w:rPr>
      </w:pPr>
      <w:r w:rsidRPr="00BB28F3">
        <w:rPr>
          <w:rStyle w:val="Hyperlink"/>
          <w:rFonts w:cs="Arial"/>
          <w:color w:val="000000"/>
          <w:u w:val="none"/>
        </w:rPr>
        <w:t xml:space="preserve">An email </w:t>
      </w:r>
      <w:r w:rsidR="008F08E6" w:rsidRPr="00BB28F3">
        <w:rPr>
          <w:rStyle w:val="Hyperlink"/>
          <w:rFonts w:cs="Arial"/>
          <w:color w:val="000000"/>
          <w:u w:val="none"/>
        </w:rPr>
        <w:t xml:space="preserve">is </w:t>
      </w:r>
      <w:r w:rsidRPr="00BB28F3">
        <w:rPr>
          <w:rStyle w:val="Hyperlink"/>
          <w:rFonts w:cs="Arial"/>
          <w:color w:val="000000"/>
          <w:u w:val="none"/>
        </w:rPr>
        <w:t>sent to all responsible persons advising</w:t>
      </w:r>
      <w:r w:rsidR="003E590C" w:rsidRPr="00BB28F3">
        <w:rPr>
          <w:rStyle w:val="Hyperlink"/>
          <w:rFonts w:cs="Arial"/>
          <w:color w:val="000000"/>
          <w:u w:val="none"/>
        </w:rPr>
        <w:t xml:space="preserve"> when </w:t>
      </w:r>
      <w:r w:rsidRPr="00BB28F3">
        <w:rPr>
          <w:rStyle w:val="Hyperlink"/>
          <w:rFonts w:cs="Arial"/>
          <w:color w:val="000000"/>
          <w:u w:val="none"/>
        </w:rPr>
        <w:t xml:space="preserve">the </w:t>
      </w:r>
      <w:r w:rsidR="003E590C" w:rsidRPr="00BB28F3">
        <w:rPr>
          <w:rStyle w:val="Hyperlink"/>
          <w:rFonts w:cs="Arial"/>
          <w:color w:val="000000"/>
          <w:u w:val="none"/>
        </w:rPr>
        <w:t>o</w:t>
      </w:r>
      <w:r w:rsidRPr="00BB28F3">
        <w:rPr>
          <w:rStyle w:val="Hyperlink"/>
          <w:rFonts w:cs="Arial"/>
          <w:color w:val="000000"/>
          <w:u w:val="none"/>
        </w:rPr>
        <w:t>utcome is available.</w:t>
      </w:r>
    </w:p>
    <w:p w14:paraId="74856857" w14:textId="77777777" w:rsidR="00E22B11" w:rsidRDefault="00E22B11" w:rsidP="004E4CC8">
      <w:pPr>
        <w:pStyle w:val="ListParagraph"/>
        <w:numPr>
          <w:ilvl w:val="0"/>
          <w:numId w:val="48"/>
        </w:numPr>
        <w:ind w:left="851" w:hanging="494"/>
        <w:contextualSpacing w:val="0"/>
        <w:rPr>
          <w:rFonts w:cs="Arial"/>
        </w:rPr>
      </w:pPr>
      <w:r>
        <w:rPr>
          <w:rFonts w:cs="Arial"/>
        </w:rPr>
        <w:lastRenderedPageBreak/>
        <w:t>It is intended that the</w:t>
      </w:r>
      <w:r w:rsidR="006A717C">
        <w:rPr>
          <w:rFonts w:cs="Arial"/>
        </w:rPr>
        <w:t xml:space="preserve"> details of</w:t>
      </w:r>
      <w:r>
        <w:rPr>
          <w:rFonts w:cs="Arial"/>
        </w:rPr>
        <w:t xml:space="preserve"> combination items for which flow-on reductions are </w:t>
      </w:r>
      <w:r w:rsidR="006A717C">
        <w:rPr>
          <w:rFonts w:cs="Arial"/>
        </w:rPr>
        <w:t>expected</w:t>
      </w:r>
      <w:r>
        <w:rPr>
          <w:rFonts w:cs="Arial"/>
        </w:rPr>
        <w:t xml:space="preserve"> </w:t>
      </w:r>
      <w:r w:rsidR="006A717C">
        <w:rPr>
          <w:rFonts w:cs="Arial"/>
        </w:rPr>
        <w:t xml:space="preserve">for a reduction day </w:t>
      </w:r>
      <w:r>
        <w:rPr>
          <w:rFonts w:cs="Arial"/>
        </w:rPr>
        <w:t xml:space="preserve">will be published at least two months before the relevant reduction day </w:t>
      </w:r>
      <w:r w:rsidRPr="002C169A">
        <w:rPr>
          <w:rFonts w:cs="Arial"/>
        </w:rPr>
        <w:t xml:space="preserve">on the </w:t>
      </w:r>
      <w:hyperlink r:id="rId38" w:history="1">
        <w:r w:rsidR="00C40ABF">
          <w:rPr>
            <w:rStyle w:val="Hyperlink"/>
            <w:rFonts w:cs="Arial"/>
          </w:rPr>
          <w:t>Price Disclosure (SPD)</w:t>
        </w:r>
      </w:hyperlink>
      <w:r w:rsidRPr="002C169A">
        <w:rPr>
          <w:rFonts w:cs="Arial"/>
        </w:rPr>
        <w:t xml:space="preserve"> web page of the </w:t>
      </w:r>
      <w:hyperlink r:id="rId39" w:history="1">
        <w:r w:rsidRPr="002C169A">
          <w:rPr>
            <w:rStyle w:val="Hyperlink"/>
            <w:rFonts w:cs="Arial"/>
          </w:rPr>
          <w:t>www.pbs.gov.au</w:t>
        </w:r>
      </w:hyperlink>
      <w:r w:rsidRPr="002C169A">
        <w:rPr>
          <w:rFonts w:cs="Arial"/>
        </w:rPr>
        <w:t xml:space="preserve"> website</w:t>
      </w:r>
      <w:r>
        <w:rPr>
          <w:rFonts w:cs="Arial"/>
        </w:rPr>
        <w:t xml:space="preserve">. The relevant component drugs from which the reductions are being flowed </w:t>
      </w:r>
      <w:r w:rsidR="006A717C">
        <w:rPr>
          <w:rFonts w:cs="Arial"/>
        </w:rPr>
        <w:t xml:space="preserve">on </w:t>
      </w:r>
      <w:r>
        <w:rPr>
          <w:rFonts w:cs="Arial"/>
        </w:rPr>
        <w:t>will be identified.</w:t>
      </w:r>
    </w:p>
    <w:p w14:paraId="3D00D9AD" w14:textId="77777777" w:rsidR="00FF5C48" w:rsidRDefault="00E22B11" w:rsidP="004E4CC8">
      <w:pPr>
        <w:pStyle w:val="ListParagraph"/>
        <w:numPr>
          <w:ilvl w:val="0"/>
          <w:numId w:val="48"/>
        </w:numPr>
        <w:ind w:left="851" w:hanging="494"/>
        <w:contextualSpacing w:val="0"/>
        <w:rPr>
          <w:rFonts w:cs="Arial"/>
        </w:rPr>
      </w:pPr>
      <w:r>
        <w:rPr>
          <w:rFonts w:cs="Arial"/>
        </w:rPr>
        <w:t xml:space="preserve">The Department also endeavours to provide as much notice as possible </w:t>
      </w:r>
      <w:r w:rsidR="006A717C">
        <w:rPr>
          <w:rFonts w:cs="Arial"/>
        </w:rPr>
        <w:t>of the</w:t>
      </w:r>
      <w:r>
        <w:rPr>
          <w:rFonts w:cs="Arial"/>
        </w:rPr>
        <w:t xml:space="preserve"> proposed new price to pharmacy, dispensed prices and any premiums (eg, brand premiums).  This </w:t>
      </w:r>
      <w:r w:rsidR="00680196">
        <w:rPr>
          <w:rFonts w:cs="Arial"/>
        </w:rPr>
        <w:t>includes</w:t>
      </w:r>
      <w:r>
        <w:rPr>
          <w:rFonts w:cs="Arial"/>
        </w:rPr>
        <w:t xml:space="preserve"> publishing </w:t>
      </w:r>
      <w:r w:rsidR="00FF5C48" w:rsidRPr="002C169A">
        <w:rPr>
          <w:rFonts w:cs="Arial"/>
        </w:rPr>
        <w:t xml:space="preserve">on the </w:t>
      </w:r>
      <w:hyperlink r:id="rId40" w:history="1">
        <w:r w:rsidR="00C40ABF">
          <w:rPr>
            <w:rStyle w:val="Hyperlink"/>
            <w:rFonts w:cs="Arial"/>
          </w:rPr>
          <w:t>Price Disclosure (SPD)</w:t>
        </w:r>
      </w:hyperlink>
      <w:r w:rsidR="00FF5C48" w:rsidRPr="002C169A">
        <w:rPr>
          <w:rFonts w:cs="Arial"/>
        </w:rPr>
        <w:t xml:space="preserve"> web page of the </w:t>
      </w:r>
      <w:hyperlink r:id="rId41" w:history="1">
        <w:r w:rsidR="00FF5C48" w:rsidRPr="002C169A">
          <w:rPr>
            <w:rStyle w:val="Hyperlink"/>
            <w:rFonts w:cs="Arial"/>
          </w:rPr>
          <w:t>www.pbs.gov.au</w:t>
        </w:r>
      </w:hyperlink>
      <w:r w:rsidR="00FF5C48" w:rsidRPr="002C169A">
        <w:rPr>
          <w:rFonts w:cs="Arial"/>
        </w:rPr>
        <w:t xml:space="preserve"> website</w:t>
      </w:r>
      <w:r w:rsidR="00FF5C48">
        <w:rPr>
          <w:rFonts w:cs="Arial"/>
        </w:rPr>
        <w:t xml:space="preserve">: </w:t>
      </w:r>
    </w:p>
    <w:p w14:paraId="64AB964A" w14:textId="77777777" w:rsidR="00FF5C48" w:rsidRPr="00FF5C48" w:rsidRDefault="00E22B11" w:rsidP="004E4CC8">
      <w:pPr>
        <w:pStyle w:val="ListParagraph"/>
        <w:numPr>
          <w:ilvl w:val="1"/>
          <w:numId w:val="48"/>
        </w:numPr>
        <w:contextualSpacing w:val="0"/>
        <w:rPr>
          <w:rFonts w:cs="Arial"/>
        </w:rPr>
      </w:pPr>
      <w:r w:rsidRPr="00FF5C48">
        <w:rPr>
          <w:rFonts w:cs="Arial"/>
        </w:rPr>
        <w:t>indicative prices for direct price disclosure reductions</w:t>
      </w:r>
      <w:r w:rsidR="00FF5C48" w:rsidRPr="00FF5C48">
        <w:rPr>
          <w:rFonts w:cs="Arial"/>
        </w:rPr>
        <w:t xml:space="preserve"> </w:t>
      </w:r>
      <w:r w:rsidRPr="00FF5C48">
        <w:rPr>
          <w:rFonts w:cs="Arial"/>
        </w:rPr>
        <w:t xml:space="preserve">about two to two and a half months before reduction day, and </w:t>
      </w:r>
    </w:p>
    <w:p w14:paraId="25B189EC" w14:textId="77777777" w:rsidR="00FF5C48" w:rsidRDefault="00E22B11" w:rsidP="004E4CC8">
      <w:pPr>
        <w:pStyle w:val="ListParagraph"/>
        <w:numPr>
          <w:ilvl w:val="1"/>
          <w:numId w:val="48"/>
        </w:numPr>
        <w:contextualSpacing w:val="0"/>
        <w:rPr>
          <w:rFonts w:cs="Arial"/>
        </w:rPr>
      </w:pPr>
      <w:r>
        <w:rPr>
          <w:rFonts w:cs="Arial"/>
        </w:rPr>
        <w:t xml:space="preserve">confirmation of reduced prices about three to four weeks before reduction day.  </w:t>
      </w:r>
    </w:p>
    <w:p w14:paraId="2704F1EF" w14:textId="77777777" w:rsidR="00E22B11" w:rsidRDefault="00E22B11" w:rsidP="00CF45DE">
      <w:pPr>
        <w:ind w:left="1037"/>
        <w:rPr>
          <w:rFonts w:cs="Arial"/>
        </w:rPr>
      </w:pPr>
      <w:r w:rsidRPr="00FF5C48">
        <w:rPr>
          <w:rFonts w:cs="Arial"/>
        </w:rPr>
        <w:t xml:space="preserve">Advance notice of flow-on reduced prices </w:t>
      </w:r>
      <w:r w:rsidR="00FF5C48">
        <w:rPr>
          <w:rFonts w:cs="Arial"/>
        </w:rPr>
        <w:t xml:space="preserve">for combination items </w:t>
      </w:r>
      <w:r w:rsidR="00680196">
        <w:rPr>
          <w:rFonts w:cs="Arial"/>
        </w:rPr>
        <w:t>is</w:t>
      </w:r>
      <w:r w:rsidRPr="00FF5C48">
        <w:rPr>
          <w:rFonts w:cs="Arial"/>
        </w:rPr>
        <w:t xml:space="preserve"> not </w:t>
      </w:r>
      <w:r w:rsidR="00680196">
        <w:rPr>
          <w:rFonts w:cs="Arial"/>
        </w:rPr>
        <w:t>published on the public website</w:t>
      </w:r>
      <w:r w:rsidRPr="00FF5C48">
        <w:rPr>
          <w:rFonts w:cs="Arial"/>
        </w:rPr>
        <w:t xml:space="preserve"> because</w:t>
      </w:r>
      <w:r w:rsidR="00FF5C48">
        <w:rPr>
          <w:rFonts w:cs="Arial"/>
        </w:rPr>
        <w:t xml:space="preserve"> of</w:t>
      </w:r>
      <w:r w:rsidRPr="00FF5C48">
        <w:rPr>
          <w:rFonts w:cs="Arial"/>
        </w:rPr>
        <w:t xml:space="preserve"> the timing and </w:t>
      </w:r>
      <w:r w:rsidR="00FF5C48">
        <w:rPr>
          <w:rFonts w:cs="Arial"/>
        </w:rPr>
        <w:t xml:space="preserve">nature of the </w:t>
      </w:r>
      <w:r w:rsidRPr="00FF5C48">
        <w:rPr>
          <w:rFonts w:cs="Arial"/>
        </w:rPr>
        <w:t xml:space="preserve">process for negotiation of those prices.  The </w:t>
      </w:r>
      <w:r w:rsidR="00FF5C48">
        <w:rPr>
          <w:rFonts w:cs="Arial"/>
        </w:rPr>
        <w:t xml:space="preserve">reduced </w:t>
      </w:r>
      <w:r w:rsidRPr="00FF5C48">
        <w:rPr>
          <w:rFonts w:cs="Arial"/>
        </w:rPr>
        <w:t>price</w:t>
      </w:r>
      <w:r w:rsidR="00FF5C48">
        <w:rPr>
          <w:rFonts w:cs="Arial"/>
        </w:rPr>
        <w:t>s</w:t>
      </w:r>
      <w:r w:rsidRPr="00FF5C48">
        <w:rPr>
          <w:rFonts w:cs="Arial"/>
        </w:rPr>
        <w:t xml:space="preserve"> </w:t>
      </w:r>
      <w:r w:rsidR="00FF5C48">
        <w:rPr>
          <w:rFonts w:cs="Arial"/>
        </w:rPr>
        <w:t xml:space="preserve">from flow-on to combination items </w:t>
      </w:r>
      <w:r w:rsidRPr="00FF5C48">
        <w:rPr>
          <w:rFonts w:cs="Arial"/>
        </w:rPr>
        <w:t xml:space="preserve">are known to each individual affected responsible person (pharmaceutical company) well in advance </w:t>
      </w:r>
      <w:r w:rsidR="00680196">
        <w:rPr>
          <w:rFonts w:cs="Arial"/>
        </w:rPr>
        <w:t>of reduction day because</w:t>
      </w:r>
      <w:r w:rsidRPr="00FF5C48">
        <w:rPr>
          <w:rFonts w:cs="Arial"/>
        </w:rPr>
        <w:t xml:space="preserve"> negotiations commence shortly after announcement of the direct price disclosure reduction outcomes.</w:t>
      </w:r>
      <w:r w:rsidR="00680196">
        <w:rPr>
          <w:rFonts w:cs="Arial"/>
        </w:rPr>
        <w:t xml:space="preserve">  </w:t>
      </w:r>
    </w:p>
    <w:p w14:paraId="03C23771" w14:textId="77777777" w:rsidR="008F08E6" w:rsidRDefault="008F08E6" w:rsidP="00925E92">
      <w:pPr>
        <w:pStyle w:val="Heading2"/>
        <w:spacing w:before="120"/>
      </w:pPr>
      <w:bookmarkStart w:id="68" w:name="_Toc454283977"/>
      <w:r>
        <w:t>Administrative Disputes Process</w:t>
      </w:r>
      <w:bookmarkEnd w:id="68"/>
    </w:p>
    <w:p w14:paraId="4CD5A6D1" w14:textId="77777777" w:rsidR="001F6528" w:rsidRPr="00BB28F3" w:rsidRDefault="00C631BA" w:rsidP="004E4CC8">
      <w:pPr>
        <w:pStyle w:val="ListParagraph"/>
        <w:numPr>
          <w:ilvl w:val="0"/>
          <w:numId w:val="48"/>
        </w:numPr>
        <w:ind w:left="851" w:hanging="494"/>
        <w:contextualSpacing w:val="0"/>
        <w:rPr>
          <w:rStyle w:val="Hyperlink"/>
          <w:rFonts w:cs="Arial"/>
          <w:color w:val="000000"/>
          <w:u w:val="none"/>
        </w:rPr>
      </w:pPr>
      <w:r w:rsidRPr="00BB28F3">
        <w:rPr>
          <w:rStyle w:val="Hyperlink"/>
          <w:rFonts w:cs="Arial"/>
          <w:color w:val="000000"/>
          <w:u w:val="none"/>
        </w:rPr>
        <w:t>An agreed process for responsible persons to raise any questions or concerns arising from a price disclosure cycle outcome is set out in the</w:t>
      </w:r>
      <w:r w:rsidRPr="00BB28F3">
        <w:rPr>
          <w:rStyle w:val="Hyperlink"/>
          <w:color w:val="000000"/>
          <w:u w:val="none"/>
        </w:rPr>
        <w:t xml:space="preserve"> </w:t>
      </w:r>
      <w:hyperlink r:id="rId42" w:history="1">
        <w:r w:rsidRPr="00BB28F3">
          <w:rPr>
            <w:rStyle w:val="Hyperlink"/>
            <w:rFonts w:cs="Arial"/>
            <w:color w:val="000000"/>
            <w:u w:val="none"/>
          </w:rPr>
          <w:t>Price Disclosure Dispute Resolution Administrative Process</w:t>
        </w:r>
      </w:hyperlink>
      <w:r w:rsidRPr="00BB28F3">
        <w:rPr>
          <w:rStyle w:val="Hyperlink"/>
          <w:color w:val="000000"/>
          <w:u w:val="none"/>
        </w:rPr>
        <w:t xml:space="preserve">, which is available on the </w:t>
      </w:r>
      <w:hyperlink r:id="rId43" w:history="1">
        <w:r w:rsidR="008655C0">
          <w:rPr>
            <w:rStyle w:val="Hyperlink"/>
            <w:rFonts w:cs="Arial"/>
          </w:rPr>
          <w:t>Price D</w:t>
        </w:r>
        <w:r w:rsidR="008655C0" w:rsidRPr="002C169A">
          <w:rPr>
            <w:rStyle w:val="Hyperlink"/>
            <w:rFonts w:cs="Arial"/>
          </w:rPr>
          <w:t>isclosure (SPD)</w:t>
        </w:r>
      </w:hyperlink>
      <w:r w:rsidR="008655C0" w:rsidRPr="002C169A">
        <w:rPr>
          <w:rFonts w:cs="Arial"/>
        </w:rPr>
        <w:t xml:space="preserve"> web page</w:t>
      </w:r>
      <w:r w:rsidR="009A47F5" w:rsidRPr="00BB28F3">
        <w:rPr>
          <w:rStyle w:val="Hyperlink"/>
          <w:color w:val="000000"/>
          <w:u w:val="none"/>
        </w:rPr>
        <w:t xml:space="preserve">. The date for notice of any dispute by a responsible person to the Department (via the Departmental email set out on the last page of this Guideline), is </w:t>
      </w:r>
      <w:r w:rsidR="003E590C" w:rsidRPr="00BB28F3">
        <w:rPr>
          <w:rStyle w:val="Hyperlink"/>
          <w:color w:val="000000"/>
          <w:u w:val="none"/>
        </w:rPr>
        <w:t xml:space="preserve">close of business, </w:t>
      </w:r>
      <w:r w:rsidR="009A47F5" w:rsidRPr="00BB28F3">
        <w:rPr>
          <w:rStyle w:val="Hyperlink"/>
          <w:color w:val="000000"/>
          <w:u w:val="none"/>
        </w:rPr>
        <w:t xml:space="preserve">five Working Days after the outcomes are notified. </w:t>
      </w:r>
      <w:bookmarkStart w:id="69" w:name="_Toc367914223"/>
    </w:p>
    <w:p w14:paraId="3B6D85AE" w14:textId="77777777" w:rsidR="005D35C4" w:rsidRPr="00D551D3" w:rsidRDefault="00F31DC4" w:rsidP="00925E92">
      <w:pPr>
        <w:pStyle w:val="Heading2"/>
        <w:spacing w:before="120"/>
      </w:pPr>
      <w:bookmarkStart w:id="70" w:name="_Toc454283978"/>
      <w:r w:rsidRPr="00D551D3">
        <w:t>Changes to Price as a Result of Price Disclosure</w:t>
      </w:r>
      <w:bookmarkEnd w:id="69"/>
      <w:bookmarkEnd w:id="70"/>
      <w:r w:rsidRPr="00D551D3">
        <w:t xml:space="preserve"> </w:t>
      </w:r>
    </w:p>
    <w:p w14:paraId="73AE314F" w14:textId="77777777" w:rsidR="005D35C4" w:rsidRPr="00D551D3" w:rsidRDefault="00F31DC4" w:rsidP="00925E92">
      <w:pPr>
        <w:pStyle w:val="Heading3"/>
        <w:spacing w:before="120"/>
      </w:pPr>
      <w:bookmarkStart w:id="71" w:name="_Toc367914225"/>
      <w:bookmarkStart w:id="72" w:name="_Toc454283979"/>
      <w:r w:rsidRPr="00D551D3">
        <w:t>When will price changes take place</w:t>
      </w:r>
      <w:bookmarkEnd w:id="71"/>
      <w:bookmarkEnd w:id="72"/>
      <w:r w:rsidRPr="00D551D3">
        <w:t xml:space="preserve"> </w:t>
      </w:r>
    </w:p>
    <w:p w14:paraId="7CA6A060" w14:textId="77777777" w:rsidR="005D35C4" w:rsidRPr="0099173D" w:rsidRDefault="00F944EC" w:rsidP="004E4CC8">
      <w:pPr>
        <w:pStyle w:val="ListParagraph"/>
        <w:numPr>
          <w:ilvl w:val="0"/>
          <w:numId w:val="48"/>
        </w:numPr>
        <w:ind w:left="851" w:hanging="494"/>
        <w:contextualSpacing w:val="0"/>
        <w:rPr>
          <w:rFonts w:cs="Arial"/>
        </w:rPr>
      </w:pPr>
      <w:r w:rsidRPr="0099173D">
        <w:rPr>
          <w:rFonts w:cs="Arial"/>
        </w:rPr>
        <w:t>It is intended that price disclosure</w:t>
      </w:r>
      <w:r w:rsidR="00F31DC4" w:rsidRPr="0099173D">
        <w:rPr>
          <w:rFonts w:cs="Arial"/>
        </w:rPr>
        <w:t xml:space="preserve"> </w:t>
      </w:r>
      <w:r w:rsidR="001F6528" w:rsidRPr="0099173D">
        <w:rPr>
          <w:rFonts w:cs="Arial"/>
        </w:rPr>
        <w:t>reductions</w:t>
      </w:r>
      <w:r w:rsidR="00F31DC4" w:rsidRPr="0099173D">
        <w:rPr>
          <w:rFonts w:cs="Arial"/>
        </w:rPr>
        <w:t xml:space="preserve"> occur on the first </w:t>
      </w:r>
      <w:r w:rsidR="00B124FE" w:rsidRPr="0099173D">
        <w:rPr>
          <w:rFonts w:cs="Arial"/>
        </w:rPr>
        <w:t xml:space="preserve">potential </w:t>
      </w:r>
      <w:r w:rsidR="00F31DC4" w:rsidRPr="0099173D">
        <w:rPr>
          <w:rFonts w:cs="Arial"/>
        </w:rPr>
        <w:t xml:space="preserve">reduction day after the </w:t>
      </w:r>
      <w:r w:rsidR="00D551D3" w:rsidRPr="0099173D">
        <w:rPr>
          <w:rFonts w:cs="Arial"/>
        </w:rPr>
        <w:t>determination</w:t>
      </w:r>
      <w:r w:rsidR="00F3403F">
        <w:rPr>
          <w:rFonts w:cs="Arial"/>
        </w:rPr>
        <w:t xml:space="preserve"> has been made</w:t>
      </w:r>
      <w:r w:rsidR="00D551D3" w:rsidRPr="0099173D">
        <w:rPr>
          <w:rFonts w:cs="Arial"/>
        </w:rPr>
        <w:t xml:space="preserve">. </w:t>
      </w:r>
    </w:p>
    <w:p w14:paraId="1F638CAC" w14:textId="77777777" w:rsidR="00B93854" w:rsidRDefault="00B01424" w:rsidP="004E4CC8">
      <w:pPr>
        <w:pStyle w:val="ListParagraph"/>
        <w:numPr>
          <w:ilvl w:val="0"/>
          <w:numId w:val="48"/>
        </w:numPr>
        <w:contextualSpacing w:val="0"/>
        <w:rPr>
          <w:rFonts w:cs="Arial"/>
        </w:rPr>
      </w:pPr>
      <w:r>
        <w:rPr>
          <w:rFonts w:cs="Arial"/>
        </w:rPr>
        <w:t>T</w:t>
      </w:r>
      <w:r w:rsidR="006876AB">
        <w:rPr>
          <w:rFonts w:cs="Arial"/>
        </w:rPr>
        <w:t xml:space="preserve">here are </w:t>
      </w:r>
      <w:r>
        <w:rPr>
          <w:rFonts w:cs="Arial"/>
        </w:rPr>
        <w:t xml:space="preserve">generally </w:t>
      </w:r>
      <w:r w:rsidR="006876AB">
        <w:rPr>
          <w:rFonts w:cs="Arial"/>
        </w:rPr>
        <w:t>two p</w:t>
      </w:r>
      <w:r w:rsidR="00B124FE" w:rsidRPr="0099173D">
        <w:rPr>
          <w:rFonts w:cs="Arial"/>
        </w:rPr>
        <w:t xml:space="preserve">otential </w:t>
      </w:r>
      <w:r w:rsidR="00F31DC4" w:rsidRPr="0099173D">
        <w:rPr>
          <w:rFonts w:cs="Arial"/>
        </w:rPr>
        <w:t xml:space="preserve">reduction days each year: </w:t>
      </w:r>
    </w:p>
    <w:p w14:paraId="49185775" w14:textId="77777777" w:rsidR="00B93854" w:rsidRDefault="00F31DC4" w:rsidP="004E4CC8">
      <w:pPr>
        <w:pStyle w:val="ListParagraph"/>
        <w:numPr>
          <w:ilvl w:val="1"/>
          <w:numId w:val="48"/>
        </w:numPr>
        <w:contextualSpacing w:val="0"/>
        <w:rPr>
          <w:rFonts w:cs="Arial"/>
        </w:rPr>
      </w:pPr>
      <w:r w:rsidRPr="00B93854">
        <w:rPr>
          <w:rFonts w:cs="Arial"/>
        </w:rPr>
        <w:t xml:space="preserve">1 April; </w:t>
      </w:r>
      <w:r w:rsidR="00B01424" w:rsidRPr="00B93854">
        <w:rPr>
          <w:rFonts w:cs="Arial"/>
        </w:rPr>
        <w:t>and</w:t>
      </w:r>
    </w:p>
    <w:p w14:paraId="45E00D74" w14:textId="77777777" w:rsidR="005D35C4" w:rsidRPr="00B93854" w:rsidRDefault="00F31DC4" w:rsidP="004E4CC8">
      <w:pPr>
        <w:pStyle w:val="ListParagraph"/>
        <w:numPr>
          <w:ilvl w:val="1"/>
          <w:numId w:val="48"/>
        </w:numPr>
        <w:contextualSpacing w:val="0"/>
        <w:rPr>
          <w:rFonts w:cs="Arial"/>
        </w:rPr>
      </w:pPr>
      <w:r w:rsidRPr="00B93854">
        <w:rPr>
          <w:rFonts w:cs="Arial"/>
        </w:rPr>
        <w:t xml:space="preserve">1 </w:t>
      </w:r>
      <w:r w:rsidR="006876AB" w:rsidRPr="00B93854">
        <w:rPr>
          <w:rFonts w:cs="Arial"/>
        </w:rPr>
        <w:t xml:space="preserve">October. </w:t>
      </w:r>
    </w:p>
    <w:p w14:paraId="3F70EED6" w14:textId="77777777" w:rsidR="00B01424" w:rsidRDefault="00155FFD" w:rsidP="004E4CC8">
      <w:pPr>
        <w:pStyle w:val="ListParagraph"/>
        <w:numPr>
          <w:ilvl w:val="0"/>
          <w:numId w:val="48"/>
        </w:numPr>
        <w:ind w:left="851" w:hanging="494"/>
        <w:contextualSpacing w:val="0"/>
        <w:rPr>
          <w:rFonts w:cs="Arial"/>
        </w:rPr>
      </w:pPr>
      <w:bookmarkStart w:id="73" w:name="_Toc367914226"/>
      <w:r>
        <w:rPr>
          <w:rFonts w:cs="Arial"/>
        </w:rPr>
        <w:t>R</w:t>
      </w:r>
      <w:r w:rsidR="00B01424">
        <w:rPr>
          <w:rFonts w:cs="Arial"/>
        </w:rPr>
        <w:t xml:space="preserve">egulation 37A provides that 1 August and 1 December are also prescribed days. These days are prescribed in case it becomes necessary to use either of these instead of the usual reduction day (e.g. delay associated with legal proceedings). </w:t>
      </w:r>
      <w:bookmarkEnd w:id="73"/>
    </w:p>
    <w:p w14:paraId="6A875D75" w14:textId="77777777" w:rsidR="004E4CC8" w:rsidRDefault="004E4CC8">
      <w:pPr>
        <w:spacing w:before="0" w:line="240" w:lineRule="auto"/>
        <w:rPr>
          <w:bCs/>
          <w:color w:val="365F91"/>
          <w:sz w:val="26"/>
        </w:rPr>
      </w:pPr>
      <w:r>
        <w:br w:type="page"/>
      </w:r>
    </w:p>
    <w:p w14:paraId="661949E9" w14:textId="77777777" w:rsidR="00B01424" w:rsidRPr="00D551D3" w:rsidRDefault="00B01424" w:rsidP="00925E92">
      <w:pPr>
        <w:pStyle w:val="Heading3"/>
        <w:spacing w:before="120"/>
      </w:pPr>
      <w:bookmarkStart w:id="74" w:name="_Toc454283980"/>
      <w:r>
        <w:lastRenderedPageBreak/>
        <w:t>Brands and d</w:t>
      </w:r>
      <w:r w:rsidRPr="00D551D3">
        <w:t>rugs that will be affected by the change in price</w:t>
      </w:r>
      <w:bookmarkEnd w:id="74"/>
      <w:r w:rsidRPr="00D551D3">
        <w:t xml:space="preserve"> </w:t>
      </w:r>
    </w:p>
    <w:p w14:paraId="73356BDF" w14:textId="77777777" w:rsidR="00215109" w:rsidRPr="008440B7" w:rsidRDefault="003148A7" w:rsidP="004E4CC8">
      <w:pPr>
        <w:pStyle w:val="ListParagraph"/>
        <w:numPr>
          <w:ilvl w:val="0"/>
          <w:numId w:val="48"/>
        </w:numPr>
        <w:ind w:left="851" w:hanging="494"/>
        <w:contextualSpacing w:val="0"/>
        <w:rPr>
          <w:rFonts w:cs="Arial"/>
        </w:rPr>
      </w:pPr>
      <w:r w:rsidRPr="008440B7">
        <w:rPr>
          <w:rFonts w:cs="Arial"/>
        </w:rPr>
        <w:t xml:space="preserve">Any </w:t>
      </w:r>
      <w:r w:rsidRPr="008440B7">
        <w:rPr>
          <w:rFonts w:cs="Arial"/>
          <w:b/>
          <w:i/>
        </w:rPr>
        <w:t>new brands of</w:t>
      </w:r>
      <w:r w:rsidRPr="008440B7">
        <w:rPr>
          <w:rFonts w:cs="Arial"/>
        </w:rPr>
        <w:t xml:space="preserve"> </w:t>
      </w:r>
      <w:r w:rsidR="00B97418" w:rsidRPr="008440B7">
        <w:rPr>
          <w:rFonts w:cs="Arial"/>
          <w:b/>
          <w:i/>
        </w:rPr>
        <w:t>existing</w:t>
      </w:r>
      <w:r w:rsidR="00B97418" w:rsidRPr="008440B7">
        <w:rPr>
          <w:rFonts w:cs="Arial"/>
        </w:rPr>
        <w:t xml:space="preserve"> </w:t>
      </w:r>
      <w:r w:rsidRPr="008440B7">
        <w:rPr>
          <w:rFonts w:cs="Arial"/>
          <w:b/>
          <w:i/>
        </w:rPr>
        <w:t>pharmaceutical items</w:t>
      </w:r>
      <w:r w:rsidR="00B97418" w:rsidRPr="008440B7">
        <w:rPr>
          <w:rFonts w:cs="Arial"/>
        </w:rPr>
        <w:t xml:space="preserve"> </w:t>
      </w:r>
      <w:r w:rsidR="008440B7" w:rsidRPr="00CF45DE">
        <w:rPr>
          <w:rFonts w:cs="Arial"/>
          <w:b/>
          <w:i/>
        </w:rPr>
        <w:t>that ha</w:t>
      </w:r>
      <w:r w:rsidR="008440B7">
        <w:rPr>
          <w:rFonts w:cs="Arial"/>
          <w:b/>
          <w:i/>
        </w:rPr>
        <w:t>ve</w:t>
      </w:r>
      <w:r w:rsidR="008440B7" w:rsidRPr="00CF45DE">
        <w:rPr>
          <w:rFonts w:cs="Arial"/>
          <w:b/>
          <w:i/>
        </w:rPr>
        <w:t xml:space="preserve"> a WADP determined</w:t>
      </w:r>
      <w:r w:rsidR="008440B7">
        <w:rPr>
          <w:rFonts w:cs="Arial"/>
        </w:rPr>
        <w:t xml:space="preserve"> </w:t>
      </w:r>
      <w:r w:rsidR="00B97418" w:rsidRPr="008440B7">
        <w:rPr>
          <w:rFonts w:cs="Arial"/>
        </w:rPr>
        <w:t>that</w:t>
      </w:r>
      <w:r w:rsidR="00215109" w:rsidRPr="008440B7">
        <w:rPr>
          <w:rFonts w:cs="Arial"/>
        </w:rPr>
        <w:t xml:space="preserve"> list after the end of the data collection period for the </w:t>
      </w:r>
      <w:r w:rsidR="001B06D3" w:rsidRPr="008440B7">
        <w:rPr>
          <w:rFonts w:cs="Arial"/>
        </w:rPr>
        <w:t xml:space="preserve">disclosure </w:t>
      </w:r>
      <w:r w:rsidR="00215109" w:rsidRPr="008440B7">
        <w:rPr>
          <w:rFonts w:cs="Arial"/>
        </w:rPr>
        <w:t>cycle</w:t>
      </w:r>
      <w:r w:rsidRPr="008440B7">
        <w:rPr>
          <w:rFonts w:cs="Arial"/>
        </w:rPr>
        <w:t xml:space="preserve"> do not </w:t>
      </w:r>
      <w:r w:rsidR="00E73AFA" w:rsidRPr="008440B7">
        <w:rPr>
          <w:rFonts w:cs="Arial"/>
        </w:rPr>
        <w:t xml:space="preserve">require </w:t>
      </w:r>
      <w:r w:rsidRPr="008440B7">
        <w:rPr>
          <w:rFonts w:cs="Arial"/>
        </w:rPr>
        <w:t>a legal determination</w:t>
      </w:r>
      <w:r w:rsidR="00B97418" w:rsidRPr="008440B7">
        <w:rPr>
          <w:rFonts w:cs="Arial"/>
        </w:rPr>
        <w:t xml:space="preserve"> for their </w:t>
      </w:r>
      <w:r w:rsidR="000C70E0" w:rsidRPr="008440B7">
        <w:rPr>
          <w:rFonts w:cs="Arial"/>
        </w:rPr>
        <w:t>weighted average disclosed price</w:t>
      </w:r>
      <w:r w:rsidR="00B97418" w:rsidRPr="008440B7">
        <w:rPr>
          <w:rFonts w:cs="Arial"/>
        </w:rPr>
        <w:t xml:space="preserve"> and adjusted ex-</w:t>
      </w:r>
      <w:r w:rsidR="00F0322D" w:rsidRPr="008440B7">
        <w:rPr>
          <w:rFonts w:cs="Arial"/>
        </w:rPr>
        <w:t>manufacturer</w:t>
      </w:r>
      <w:r w:rsidR="00B97418" w:rsidRPr="008440B7">
        <w:rPr>
          <w:rFonts w:cs="Arial"/>
        </w:rPr>
        <w:t xml:space="preserve"> price</w:t>
      </w:r>
      <w:r w:rsidRPr="008440B7">
        <w:rPr>
          <w:rFonts w:cs="Arial"/>
        </w:rPr>
        <w:t xml:space="preserve">. The </w:t>
      </w:r>
      <w:r w:rsidR="00F0322D" w:rsidRPr="008440B7">
        <w:rPr>
          <w:rFonts w:cs="Arial"/>
        </w:rPr>
        <w:t xml:space="preserve">Act </w:t>
      </w:r>
      <w:r w:rsidRPr="008440B7">
        <w:rPr>
          <w:rFonts w:cs="Arial"/>
        </w:rPr>
        <w:t>provides that the same reduction applies to new brands as was determined for the existing brands</w:t>
      </w:r>
      <w:r w:rsidR="008440B7">
        <w:rPr>
          <w:rFonts w:cs="Arial"/>
        </w:rPr>
        <w:t xml:space="preserve"> of the pharmaceutical item</w:t>
      </w:r>
      <w:r w:rsidRPr="008440B7">
        <w:rPr>
          <w:rFonts w:cs="Arial"/>
        </w:rPr>
        <w:t xml:space="preserve">. No specific notice </w:t>
      </w:r>
      <w:r w:rsidR="000A2973" w:rsidRPr="008440B7">
        <w:rPr>
          <w:rFonts w:cs="Arial"/>
        </w:rPr>
        <w:t>of a</w:t>
      </w:r>
      <w:r w:rsidR="00215109" w:rsidRPr="008440B7">
        <w:rPr>
          <w:rFonts w:cs="Arial"/>
        </w:rPr>
        <w:t xml:space="preserve"> reduction is provided to </w:t>
      </w:r>
      <w:r w:rsidRPr="008440B7">
        <w:rPr>
          <w:rFonts w:cs="Arial"/>
        </w:rPr>
        <w:t>responsible persons for</w:t>
      </w:r>
      <w:r w:rsidR="00F0322D" w:rsidRPr="008440B7">
        <w:rPr>
          <w:rFonts w:cs="Arial"/>
        </w:rPr>
        <w:t xml:space="preserve"> these</w:t>
      </w:r>
      <w:r w:rsidRPr="008440B7">
        <w:rPr>
          <w:rFonts w:cs="Arial"/>
        </w:rPr>
        <w:t xml:space="preserve"> new brands. </w:t>
      </w:r>
    </w:p>
    <w:p w14:paraId="6378505B" w14:textId="77777777" w:rsidR="00D0481A" w:rsidRDefault="00B711B9" w:rsidP="004E4CC8">
      <w:pPr>
        <w:pStyle w:val="ListParagraph"/>
        <w:numPr>
          <w:ilvl w:val="0"/>
          <w:numId w:val="48"/>
        </w:numPr>
        <w:ind w:left="851" w:hanging="494"/>
        <w:contextualSpacing w:val="0"/>
        <w:rPr>
          <w:rFonts w:cs="Arial"/>
        </w:rPr>
      </w:pPr>
      <w:r w:rsidRPr="002D6B08">
        <w:rPr>
          <w:rFonts w:cs="Arial"/>
        </w:rPr>
        <w:t xml:space="preserve">Any </w:t>
      </w:r>
      <w:r w:rsidR="00D76C7B" w:rsidRPr="002D6B08">
        <w:rPr>
          <w:rFonts w:cs="Arial"/>
          <w:b/>
          <w:i/>
        </w:rPr>
        <w:t>new brand</w:t>
      </w:r>
      <w:r w:rsidRPr="002D6B08">
        <w:rPr>
          <w:rFonts w:cs="Arial"/>
          <w:b/>
          <w:i/>
        </w:rPr>
        <w:t>s</w:t>
      </w:r>
      <w:r w:rsidR="00D76C7B" w:rsidRPr="002D6B08">
        <w:rPr>
          <w:rFonts w:cs="Arial"/>
          <w:b/>
          <w:i/>
        </w:rPr>
        <w:t xml:space="preserve"> </w:t>
      </w:r>
      <w:r w:rsidR="00B05AB8" w:rsidRPr="002D6B08">
        <w:rPr>
          <w:rFonts w:cs="Arial"/>
          <w:b/>
          <w:i/>
        </w:rPr>
        <w:t>of</w:t>
      </w:r>
      <w:r w:rsidR="00C043FD" w:rsidRPr="002D6B08">
        <w:rPr>
          <w:rFonts w:cs="Arial"/>
          <w:b/>
          <w:i/>
        </w:rPr>
        <w:t xml:space="preserve"> new</w:t>
      </w:r>
      <w:r w:rsidR="00B05AB8" w:rsidRPr="002D6B08">
        <w:rPr>
          <w:rFonts w:cs="Arial"/>
          <w:b/>
          <w:i/>
        </w:rPr>
        <w:t xml:space="preserve"> pharmaceutical item</w:t>
      </w:r>
      <w:r w:rsidR="00D3524D" w:rsidRPr="002D6B08">
        <w:rPr>
          <w:rFonts w:cs="Arial"/>
          <w:b/>
          <w:i/>
        </w:rPr>
        <w:t>s</w:t>
      </w:r>
      <w:r w:rsidR="00D3524D" w:rsidRPr="002D6B08">
        <w:rPr>
          <w:rFonts w:cs="Arial"/>
        </w:rPr>
        <w:t xml:space="preserve"> </w:t>
      </w:r>
      <w:r w:rsidR="00F0322D" w:rsidRPr="002D6B08">
        <w:rPr>
          <w:rFonts w:cs="Arial"/>
        </w:rPr>
        <w:t>(e.g.</w:t>
      </w:r>
      <w:r w:rsidR="003144AA" w:rsidRPr="002D6B08">
        <w:rPr>
          <w:rFonts w:cs="Arial"/>
        </w:rPr>
        <w:t xml:space="preserve"> </w:t>
      </w:r>
      <w:r w:rsidR="00AE4D52" w:rsidRPr="002D6B08">
        <w:rPr>
          <w:rFonts w:cs="Arial"/>
        </w:rPr>
        <w:t xml:space="preserve">where </w:t>
      </w:r>
      <w:r w:rsidR="00B97418" w:rsidRPr="002D6B08">
        <w:rPr>
          <w:rFonts w:cs="Arial"/>
        </w:rPr>
        <w:t xml:space="preserve">the first brand of </w:t>
      </w:r>
      <w:r w:rsidR="00F0322D" w:rsidRPr="002D6B08">
        <w:rPr>
          <w:rFonts w:cs="Arial"/>
        </w:rPr>
        <w:t>a new strength or formulation</w:t>
      </w:r>
      <w:r w:rsidR="00B97418" w:rsidRPr="002D6B08">
        <w:rPr>
          <w:rFonts w:cs="Arial"/>
        </w:rPr>
        <w:t xml:space="preserve"> lists after the end of the data collection period) require </w:t>
      </w:r>
      <w:r w:rsidR="009F520F" w:rsidRPr="002D6B08">
        <w:rPr>
          <w:rFonts w:cs="Arial"/>
        </w:rPr>
        <w:t>a</w:t>
      </w:r>
      <w:r w:rsidR="00C043FD" w:rsidRPr="002D6B08">
        <w:rPr>
          <w:rFonts w:cs="Arial"/>
        </w:rPr>
        <w:t xml:space="preserve"> legal determination</w:t>
      </w:r>
      <w:r w:rsidR="00B97418" w:rsidRPr="002D6B08">
        <w:rPr>
          <w:rFonts w:cs="Arial"/>
        </w:rPr>
        <w:t xml:space="preserve"> for the </w:t>
      </w:r>
      <w:r w:rsidR="000C70E0" w:rsidRPr="002D6B08">
        <w:rPr>
          <w:rFonts w:cs="Arial"/>
        </w:rPr>
        <w:t>weighted average disclosed price</w:t>
      </w:r>
      <w:r w:rsidR="00B97418" w:rsidRPr="002D6B08">
        <w:rPr>
          <w:rFonts w:cs="Arial"/>
        </w:rPr>
        <w:t xml:space="preserve"> and any adjusted ex-manufacturer price</w:t>
      </w:r>
      <w:r w:rsidR="00C043FD" w:rsidRPr="002D6B08">
        <w:rPr>
          <w:rFonts w:cs="Arial"/>
        </w:rPr>
        <w:t xml:space="preserve">. </w:t>
      </w:r>
      <w:r w:rsidR="00F0322D" w:rsidRPr="002D6B08">
        <w:rPr>
          <w:rFonts w:cs="Arial"/>
        </w:rPr>
        <w:t>W</w:t>
      </w:r>
      <w:r w:rsidR="00B97418" w:rsidRPr="002D6B08">
        <w:rPr>
          <w:rFonts w:cs="Arial"/>
        </w:rPr>
        <w:t xml:space="preserve">here the first brand of the new pharmaceutical item lists after the </w:t>
      </w:r>
      <w:r w:rsidR="000C70E0" w:rsidRPr="002D6B08">
        <w:rPr>
          <w:rFonts w:cs="Arial"/>
        </w:rPr>
        <w:t>weighted average disclosed price</w:t>
      </w:r>
      <w:r w:rsidR="00B97418" w:rsidRPr="002D6B08">
        <w:rPr>
          <w:rFonts w:cs="Arial"/>
        </w:rPr>
        <w:t xml:space="preserve"> determination is made for a </w:t>
      </w:r>
      <w:r w:rsidR="001B06D3" w:rsidRPr="002D6B08">
        <w:rPr>
          <w:rFonts w:cs="Arial"/>
        </w:rPr>
        <w:t xml:space="preserve">disclosure </w:t>
      </w:r>
      <w:r w:rsidR="00B97418" w:rsidRPr="002D6B08">
        <w:rPr>
          <w:rFonts w:cs="Arial"/>
        </w:rPr>
        <w:t>cycle, a</w:t>
      </w:r>
      <w:r w:rsidR="00F0322D" w:rsidRPr="002D6B08">
        <w:rPr>
          <w:rFonts w:cs="Arial"/>
        </w:rPr>
        <w:t>n amending legal instrument w</w:t>
      </w:r>
      <w:r w:rsidR="00B97418" w:rsidRPr="002D6B08">
        <w:rPr>
          <w:rFonts w:cs="Arial"/>
        </w:rPr>
        <w:t>ill be made</w:t>
      </w:r>
      <w:r w:rsidR="0040204C" w:rsidRPr="002D6B08">
        <w:rPr>
          <w:rFonts w:cs="Arial"/>
        </w:rPr>
        <w:t xml:space="preserve"> specifically</w:t>
      </w:r>
      <w:r w:rsidR="00B97418" w:rsidRPr="002D6B08">
        <w:rPr>
          <w:rFonts w:cs="Arial"/>
        </w:rPr>
        <w:t xml:space="preserve"> for the</w:t>
      </w:r>
      <w:r w:rsidR="00F0322D" w:rsidRPr="002D6B08">
        <w:rPr>
          <w:rFonts w:cs="Arial"/>
        </w:rPr>
        <w:t xml:space="preserve"> first</w:t>
      </w:r>
      <w:r w:rsidR="00B97418" w:rsidRPr="002D6B08">
        <w:rPr>
          <w:rFonts w:cs="Arial"/>
        </w:rPr>
        <w:t xml:space="preserve"> new brand </w:t>
      </w:r>
      <w:r w:rsidR="00F0322D" w:rsidRPr="002D6B08">
        <w:rPr>
          <w:rFonts w:cs="Arial"/>
        </w:rPr>
        <w:t>of</w:t>
      </w:r>
      <w:r w:rsidR="00B97418" w:rsidRPr="002D6B08">
        <w:rPr>
          <w:rFonts w:cs="Arial"/>
        </w:rPr>
        <w:t xml:space="preserve"> that new pharmaceutical item. </w:t>
      </w:r>
    </w:p>
    <w:p w14:paraId="19AFA720" w14:textId="77777777" w:rsidR="009F5FBD" w:rsidRPr="00D0481A" w:rsidRDefault="00B124FE" w:rsidP="004E4CC8">
      <w:pPr>
        <w:pStyle w:val="ListParagraph"/>
        <w:numPr>
          <w:ilvl w:val="0"/>
          <w:numId w:val="48"/>
        </w:numPr>
        <w:ind w:left="851" w:hanging="494"/>
        <w:contextualSpacing w:val="0"/>
        <w:rPr>
          <w:rFonts w:cs="Arial"/>
        </w:rPr>
      </w:pPr>
      <w:r w:rsidRPr="00D0481A">
        <w:rPr>
          <w:rFonts w:cs="Arial"/>
        </w:rPr>
        <w:t>Flow</w:t>
      </w:r>
      <w:r w:rsidR="000E2E7F" w:rsidRPr="00D0481A">
        <w:rPr>
          <w:rFonts w:cs="Arial"/>
        </w:rPr>
        <w:t>-</w:t>
      </w:r>
      <w:r w:rsidRPr="00D0481A">
        <w:rPr>
          <w:rFonts w:cs="Arial"/>
        </w:rPr>
        <w:t>on</w:t>
      </w:r>
      <w:r w:rsidR="002D6B08" w:rsidRPr="00D0481A">
        <w:rPr>
          <w:rFonts w:cs="Arial"/>
        </w:rPr>
        <w:t xml:space="preserve"> reduction</w:t>
      </w:r>
      <w:r w:rsidRPr="00D0481A">
        <w:rPr>
          <w:rFonts w:cs="Arial"/>
        </w:rPr>
        <w:t>s are also applied where appropriate to</w:t>
      </w:r>
      <w:r w:rsidR="00B97418" w:rsidRPr="00D0481A">
        <w:rPr>
          <w:rFonts w:cs="Arial"/>
        </w:rPr>
        <w:t xml:space="preserve"> brands of</w:t>
      </w:r>
      <w:r w:rsidRPr="00D0481A">
        <w:rPr>
          <w:rFonts w:cs="Arial"/>
        </w:rPr>
        <w:t xml:space="preserve"> combination drugs </w:t>
      </w:r>
      <w:r w:rsidR="00B97418" w:rsidRPr="00D0481A">
        <w:rPr>
          <w:rFonts w:cs="Arial"/>
        </w:rPr>
        <w:t xml:space="preserve">that </w:t>
      </w:r>
      <w:r w:rsidR="00DD6652" w:rsidRPr="00D0481A">
        <w:rPr>
          <w:rFonts w:cs="Arial"/>
        </w:rPr>
        <w:t xml:space="preserve">contain a component drug </w:t>
      </w:r>
      <w:r w:rsidR="00F3403F" w:rsidRPr="00D0481A">
        <w:rPr>
          <w:rFonts w:cs="Arial"/>
        </w:rPr>
        <w:t xml:space="preserve">affected by price disclosure. </w:t>
      </w:r>
      <w:r w:rsidR="00DD6652" w:rsidRPr="00D0481A">
        <w:rPr>
          <w:rFonts w:cs="Arial"/>
        </w:rPr>
        <w:t xml:space="preserve">Any PBAC advice concerning combination items is taken into account. </w:t>
      </w:r>
      <w:r w:rsidR="00053D1D" w:rsidRPr="00D0481A">
        <w:rPr>
          <w:rFonts w:cs="Arial"/>
        </w:rPr>
        <w:t>Pricing Section will contact responsible persons affected by combination drug flow-ons</w:t>
      </w:r>
      <w:r w:rsidR="00795F77">
        <w:rPr>
          <w:rFonts w:cs="Arial"/>
        </w:rPr>
        <w:t xml:space="preserve"> shortly after publication of direct price disclosure outcomes</w:t>
      </w:r>
      <w:r w:rsidR="00053D1D" w:rsidRPr="00D0481A">
        <w:rPr>
          <w:rFonts w:cs="Arial"/>
        </w:rPr>
        <w:t xml:space="preserve">. </w:t>
      </w:r>
      <w:r w:rsidR="002D6B08" w:rsidRPr="00D0481A">
        <w:rPr>
          <w:rFonts w:cs="Arial"/>
        </w:rPr>
        <w:t xml:space="preserve">See the </w:t>
      </w:r>
      <w:r w:rsidR="002D6B08" w:rsidRPr="00D0481A">
        <w:rPr>
          <w:i/>
        </w:rPr>
        <w:t>Treatment of combination drug list brands</w:t>
      </w:r>
      <w:r w:rsidR="002D6B08">
        <w:t xml:space="preserve"> section under the heading </w:t>
      </w:r>
      <w:r w:rsidR="002D6B08" w:rsidRPr="00D0481A">
        <w:rPr>
          <w:b/>
        </w:rPr>
        <w:t>Initiation and Overview</w:t>
      </w:r>
      <w:r w:rsidR="002D6B08">
        <w:t xml:space="preserve"> above.</w:t>
      </w:r>
    </w:p>
    <w:p w14:paraId="02AB37F7" w14:textId="77777777" w:rsidR="00053D1D" w:rsidRPr="00D551D3" w:rsidRDefault="00053D1D" w:rsidP="0018413E">
      <w:pPr>
        <w:pStyle w:val="Heading4"/>
      </w:pPr>
      <w:r>
        <w:t>Changes to Pricing Quantity after the end of Data Collection</w:t>
      </w:r>
    </w:p>
    <w:p w14:paraId="7D8EC130" w14:textId="77777777" w:rsidR="00FC71D8" w:rsidRDefault="00053D1D" w:rsidP="004E4CC8">
      <w:pPr>
        <w:pStyle w:val="ListParagraph"/>
        <w:numPr>
          <w:ilvl w:val="0"/>
          <w:numId w:val="48"/>
        </w:numPr>
        <w:ind w:left="851" w:hanging="491"/>
        <w:contextualSpacing w:val="0"/>
        <w:rPr>
          <w:rFonts w:cs="Arial"/>
        </w:rPr>
      </w:pPr>
      <w:r>
        <w:rPr>
          <w:rFonts w:cs="Arial"/>
        </w:rPr>
        <w:t xml:space="preserve">If changes to pack size for </w:t>
      </w:r>
      <w:r w:rsidR="000E2E7F">
        <w:rPr>
          <w:rFonts w:cs="Arial"/>
        </w:rPr>
        <w:t xml:space="preserve">a </w:t>
      </w:r>
      <w:r w:rsidRPr="00D41810">
        <w:rPr>
          <w:rFonts w:cs="Arial"/>
          <w:b/>
        </w:rPr>
        <w:t xml:space="preserve">PBS </w:t>
      </w:r>
      <w:r w:rsidR="000E2E7F">
        <w:rPr>
          <w:rFonts w:cs="Arial"/>
          <w:b/>
        </w:rPr>
        <w:t>pack quantity</w:t>
      </w:r>
      <w:r w:rsidR="00F0322D">
        <w:rPr>
          <w:rFonts w:cs="Arial"/>
        </w:rPr>
        <w:t xml:space="preserve"> </w:t>
      </w:r>
      <w:r w:rsidR="000E2E7F">
        <w:rPr>
          <w:rFonts w:cs="Arial"/>
        </w:rPr>
        <w:t xml:space="preserve">of a brand of pharmaceutical item occur </w:t>
      </w:r>
      <w:r w:rsidR="00F0322D">
        <w:rPr>
          <w:rFonts w:cs="Arial"/>
        </w:rPr>
        <w:t xml:space="preserve">after the </w:t>
      </w:r>
      <w:r w:rsidR="000E2E7F">
        <w:rPr>
          <w:rFonts w:cs="Arial"/>
        </w:rPr>
        <w:t>relevant day (</w:t>
      </w:r>
      <w:r w:rsidR="00E03B52">
        <w:rPr>
          <w:rFonts w:cs="Arial"/>
        </w:rPr>
        <w:t>i.e.,</w:t>
      </w:r>
      <w:r w:rsidR="000E2E7F">
        <w:rPr>
          <w:rFonts w:cs="Arial"/>
        </w:rPr>
        <w:t xml:space="preserve"> day after the </w:t>
      </w:r>
      <w:r w:rsidR="00F0322D">
        <w:rPr>
          <w:rFonts w:cs="Arial"/>
        </w:rPr>
        <w:t xml:space="preserve">end of </w:t>
      </w:r>
      <w:r>
        <w:rPr>
          <w:rFonts w:cs="Arial"/>
        </w:rPr>
        <w:t>t</w:t>
      </w:r>
      <w:r w:rsidR="00F0322D">
        <w:rPr>
          <w:rFonts w:cs="Arial"/>
        </w:rPr>
        <w:t>he</w:t>
      </w:r>
      <w:r>
        <w:rPr>
          <w:rFonts w:cs="Arial"/>
        </w:rPr>
        <w:t xml:space="preserve"> data collection period</w:t>
      </w:r>
      <w:r w:rsidR="000E2E7F">
        <w:rPr>
          <w:rFonts w:cs="Arial"/>
        </w:rPr>
        <w:t>)</w:t>
      </w:r>
      <w:r w:rsidR="00657439">
        <w:rPr>
          <w:rFonts w:cs="Arial"/>
        </w:rPr>
        <w:t xml:space="preserve">, </w:t>
      </w:r>
      <w:r>
        <w:rPr>
          <w:rFonts w:cs="Arial"/>
        </w:rPr>
        <w:t>caus</w:t>
      </w:r>
      <w:r w:rsidR="000E2E7F">
        <w:rPr>
          <w:rFonts w:cs="Arial"/>
        </w:rPr>
        <w:t>ing</w:t>
      </w:r>
      <w:r>
        <w:rPr>
          <w:rFonts w:cs="Arial"/>
        </w:rPr>
        <w:t xml:space="preserve"> a change to the pricing quantity for the brand, then</w:t>
      </w:r>
      <w:r w:rsidR="00FC71D8">
        <w:rPr>
          <w:rFonts w:cs="Arial"/>
        </w:rPr>
        <w:t>:</w:t>
      </w:r>
    </w:p>
    <w:p w14:paraId="68965310" w14:textId="77777777" w:rsidR="00FC71D8" w:rsidRDefault="00FC71D8" w:rsidP="00B93854">
      <w:pPr>
        <w:pStyle w:val="ListParagraph"/>
        <w:numPr>
          <w:ilvl w:val="1"/>
          <w:numId w:val="12"/>
        </w:numPr>
        <w:contextualSpacing w:val="0"/>
        <w:rPr>
          <w:rFonts w:cs="Arial"/>
        </w:rPr>
      </w:pPr>
      <w:r>
        <w:rPr>
          <w:rFonts w:cs="Arial"/>
        </w:rPr>
        <w:t xml:space="preserve">the weighted average disclosed price (and adjusted ex-manufacturer price for any brand that will have a reduction) will be determined based on the pricing quantity that applied on the </w:t>
      </w:r>
      <w:r w:rsidR="000E2E7F">
        <w:rPr>
          <w:rFonts w:cs="Arial"/>
        </w:rPr>
        <w:t>relevant day</w:t>
      </w:r>
      <w:r>
        <w:rPr>
          <w:rFonts w:cs="Arial"/>
        </w:rPr>
        <w:t>;</w:t>
      </w:r>
      <w:r w:rsidR="000D1ABC">
        <w:rPr>
          <w:rFonts w:cs="Arial"/>
        </w:rPr>
        <w:t xml:space="preserve"> and</w:t>
      </w:r>
    </w:p>
    <w:p w14:paraId="69FD6AB2" w14:textId="77777777" w:rsidR="00053D1D" w:rsidRDefault="00053D1D" w:rsidP="00B93854">
      <w:pPr>
        <w:pStyle w:val="ListParagraph"/>
        <w:numPr>
          <w:ilvl w:val="1"/>
          <w:numId w:val="12"/>
        </w:numPr>
        <w:contextualSpacing w:val="0"/>
        <w:rPr>
          <w:rFonts w:cs="Arial"/>
        </w:rPr>
      </w:pPr>
      <w:r>
        <w:rPr>
          <w:rFonts w:cs="Arial"/>
        </w:rPr>
        <w:t xml:space="preserve">the approved ex-manufacturer price applying on the reduction day will be adjusted to reflect the new pricing quantity. </w:t>
      </w:r>
    </w:p>
    <w:p w14:paraId="39F31F5B" w14:textId="77777777" w:rsidR="00925E92" w:rsidRDefault="00A90943" w:rsidP="00B93854">
      <w:pPr>
        <w:pStyle w:val="ListParagraph"/>
        <w:contextualSpacing w:val="0"/>
        <w:rPr>
          <w:rFonts w:cs="Arial"/>
          <w:i/>
        </w:rPr>
      </w:pPr>
      <w:r w:rsidRPr="00386169">
        <w:rPr>
          <w:rFonts w:cs="Arial"/>
          <w:i/>
        </w:rPr>
        <w:t>The exampl</w:t>
      </w:r>
      <w:r w:rsidR="004E4CC8">
        <w:rPr>
          <w:rFonts w:cs="Arial"/>
          <w:i/>
        </w:rPr>
        <w:t>e on the following page</w:t>
      </w:r>
      <w:r w:rsidRPr="00386169">
        <w:rPr>
          <w:rFonts w:cs="Arial"/>
          <w:i/>
        </w:rPr>
        <w:t xml:space="preserve"> demonstrates how</w:t>
      </w:r>
      <w:r>
        <w:rPr>
          <w:rFonts w:cs="Arial"/>
          <w:i/>
        </w:rPr>
        <w:t xml:space="preserve"> </w:t>
      </w:r>
      <w:r w:rsidR="00B904AB">
        <w:rPr>
          <w:rFonts w:cs="Arial"/>
          <w:i/>
        </w:rPr>
        <w:t xml:space="preserve">an </w:t>
      </w:r>
      <w:r>
        <w:rPr>
          <w:rFonts w:cs="Arial"/>
          <w:i/>
        </w:rPr>
        <w:t>adjustment will be made if</w:t>
      </w:r>
      <w:r w:rsidR="008702F1">
        <w:rPr>
          <w:rFonts w:cs="Arial"/>
          <w:i/>
        </w:rPr>
        <w:t xml:space="preserve"> a change to PBS pack size </w:t>
      </w:r>
      <w:r>
        <w:rPr>
          <w:rFonts w:cs="Arial"/>
          <w:i/>
        </w:rPr>
        <w:t>cause</w:t>
      </w:r>
      <w:r w:rsidR="008702F1">
        <w:rPr>
          <w:rFonts w:cs="Arial"/>
          <w:i/>
        </w:rPr>
        <w:t>s</w:t>
      </w:r>
      <w:r>
        <w:rPr>
          <w:rFonts w:cs="Arial"/>
          <w:i/>
        </w:rPr>
        <w:t xml:space="preserve"> a change</w:t>
      </w:r>
      <w:r w:rsidR="008702F1">
        <w:rPr>
          <w:rFonts w:cs="Arial"/>
          <w:i/>
        </w:rPr>
        <w:t xml:space="preserve"> to the pricing quantity for a</w:t>
      </w:r>
      <w:r>
        <w:rPr>
          <w:rFonts w:cs="Arial"/>
          <w:i/>
        </w:rPr>
        <w:t xml:space="preserve"> brand</w:t>
      </w:r>
      <w:r w:rsidR="00FC71D8">
        <w:rPr>
          <w:rFonts w:cs="Arial"/>
          <w:i/>
        </w:rPr>
        <w:t xml:space="preserve"> after the </w:t>
      </w:r>
      <w:r w:rsidR="000E2E7F">
        <w:rPr>
          <w:rFonts w:cs="Arial"/>
          <w:i/>
        </w:rPr>
        <w:t>relevant day</w:t>
      </w:r>
      <w:r w:rsidR="00FC71D8">
        <w:rPr>
          <w:rFonts w:cs="Arial"/>
          <w:i/>
        </w:rPr>
        <w:t xml:space="preserve"> and </w:t>
      </w:r>
      <w:r w:rsidR="00B97418">
        <w:rPr>
          <w:rFonts w:cs="Arial"/>
          <w:i/>
        </w:rPr>
        <w:t xml:space="preserve">on / </w:t>
      </w:r>
      <w:r w:rsidR="00FC71D8">
        <w:rPr>
          <w:rFonts w:cs="Arial"/>
          <w:i/>
        </w:rPr>
        <w:t>before the reduction day</w:t>
      </w:r>
      <w:r w:rsidRPr="00386169">
        <w:rPr>
          <w:rFonts w:cs="Arial"/>
          <w:i/>
        </w:rPr>
        <w:t xml:space="preserve">. </w:t>
      </w:r>
    </w:p>
    <w:p w14:paraId="3F06C717" w14:textId="77777777" w:rsidR="004E4CC8" w:rsidRDefault="004E4CC8">
      <w:pPr>
        <w:spacing w:before="0" w:line="240" w:lineRule="auto"/>
        <w:rPr>
          <w:rFonts w:cs="Arial"/>
          <w:i/>
        </w:rPr>
      </w:pPr>
      <w:r>
        <w:rPr>
          <w:rFonts w:cs="Arial"/>
          <w:i/>
        </w:rPr>
        <w:br w:type="page"/>
      </w:r>
    </w:p>
    <w:p w14:paraId="02109FD1" w14:textId="77777777" w:rsidR="00B93854" w:rsidRDefault="00B93854" w:rsidP="00B93854">
      <w:pPr>
        <w:pStyle w:val="ListParagraph"/>
        <w:contextualSpacing w:val="0"/>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XAMPLE – Apportioning if pricing quantity changes "/>
      </w:tblPr>
      <w:tblGrid>
        <w:gridCol w:w="9243"/>
      </w:tblGrid>
      <w:tr w:rsidR="0087798B" w:rsidRPr="00BB28F3" w14:paraId="066ABE90" w14:textId="77777777" w:rsidTr="00BB28F3">
        <w:tc>
          <w:tcPr>
            <w:tcW w:w="9243" w:type="dxa"/>
            <w:shd w:val="clear" w:color="auto" w:fill="17365D"/>
          </w:tcPr>
          <w:p w14:paraId="52CFBBF6" w14:textId="77777777" w:rsidR="0087798B" w:rsidRPr="00BB28F3" w:rsidRDefault="0087798B" w:rsidP="00EA4D2C">
            <w:pPr>
              <w:spacing w:after="120" w:line="240" w:lineRule="auto"/>
              <w:rPr>
                <w:rFonts w:cs="Arial"/>
                <w:b/>
              </w:rPr>
            </w:pPr>
            <w:r w:rsidRPr="00BB28F3">
              <w:rPr>
                <w:rFonts w:cs="Arial"/>
                <w:b/>
                <w:color w:val="FFFFFF"/>
              </w:rPr>
              <w:t xml:space="preserve">EXAMPLE – </w:t>
            </w:r>
            <w:r w:rsidR="007C4351" w:rsidRPr="00BB28F3">
              <w:rPr>
                <w:rFonts w:cs="Arial"/>
                <w:b/>
                <w:i/>
                <w:color w:val="FFFFFF"/>
              </w:rPr>
              <w:t>Apportioning if pricing quantity changes</w:t>
            </w:r>
            <w:r w:rsidRPr="00BB28F3">
              <w:rPr>
                <w:rFonts w:cs="Arial"/>
                <w:b/>
                <w:color w:val="FFFFFF"/>
              </w:rPr>
              <w:t xml:space="preserve"> </w:t>
            </w:r>
          </w:p>
        </w:tc>
      </w:tr>
      <w:tr w:rsidR="0042755D" w:rsidRPr="00BB28F3" w14:paraId="6306BE1C" w14:textId="77777777" w:rsidTr="00BB28F3">
        <w:tblPrEx>
          <w:shd w:val="clear" w:color="auto" w:fill="C6D9F1"/>
        </w:tblPrEx>
        <w:tc>
          <w:tcPr>
            <w:tcW w:w="9243" w:type="dxa"/>
            <w:shd w:val="clear" w:color="auto" w:fill="C6D9F1"/>
          </w:tcPr>
          <w:p w14:paraId="481D5DE6" w14:textId="77777777" w:rsidR="000B5929" w:rsidRPr="00BB28F3" w:rsidRDefault="000B5929" w:rsidP="00BB28F3">
            <w:pPr>
              <w:spacing w:line="240" w:lineRule="auto"/>
              <w:rPr>
                <w:rFonts w:cs="Arial"/>
                <w:b/>
                <w:i/>
              </w:rPr>
            </w:pPr>
            <w:r w:rsidRPr="00BB28F3">
              <w:rPr>
                <w:rFonts w:cs="Arial"/>
                <w:b/>
                <w:i/>
              </w:rPr>
              <w:t>Example – Working out the approved ex-manufacturer price on the reduction day</w:t>
            </w:r>
          </w:p>
          <w:p w14:paraId="29A81440" w14:textId="77777777" w:rsidR="005E6633" w:rsidRPr="00BB28F3" w:rsidRDefault="0069430B" w:rsidP="00BB28F3">
            <w:pPr>
              <w:spacing w:line="240" w:lineRule="auto"/>
              <w:rPr>
                <w:rFonts w:cs="Arial"/>
              </w:rPr>
            </w:pPr>
            <w:r w:rsidRPr="00BB28F3">
              <w:rPr>
                <w:rFonts w:cs="Arial"/>
              </w:rPr>
              <w:t>Zeus tablet 25 mg</w:t>
            </w:r>
            <w:r w:rsidR="00C325E4" w:rsidRPr="00BB28F3">
              <w:rPr>
                <w:rFonts w:cs="Arial"/>
              </w:rPr>
              <w:t xml:space="preserve"> </w:t>
            </w:r>
            <w:r w:rsidR="0042755D" w:rsidRPr="00BB28F3">
              <w:rPr>
                <w:rFonts w:cs="Arial"/>
              </w:rPr>
              <w:t>has a p</w:t>
            </w:r>
            <w:r w:rsidR="005E6633" w:rsidRPr="00BB28F3">
              <w:rPr>
                <w:rFonts w:cs="Arial"/>
              </w:rPr>
              <w:t>ricing quantity of 20 tablets</w:t>
            </w:r>
            <w:r w:rsidR="00F0322D" w:rsidRPr="00BB28F3">
              <w:rPr>
                <w:rFonts w:cs="Arial"/>
              </w:rPr>
              <w:t xml:space="preserve"> on the </w:t>
            </w:r>
            <w:r w:rsidR="000E2E7F" w:rsidRPr="00BB28F3">
              <w:rPr>
                <w:rFonts w:cs="Arial"/>
              </w:rPr>
              <w:t xml:space="preserve">relevant day </w:t>
            </w:r>
            <w:r w:rsidR="00400D9E" w:rsidRPr="00BB28F3">
              <w:rPr>
                <w:rFonts w:cs="Arial"/>
              </w:rPr>
              <w:t>(i.e.</w:t>
            </w:r>
            <w:r w:rsidR="00E200ED">
              <w:rPr>
                <w:rFonts w:cs="Arial"/>
              </w:rPr>
              <w:t>,</w:t>
            </w:r>
            <w:r w:rsidR="000E2E7F" w:rsidRPr="00BB28F3">
              <w:rPr>
                <w:rFonts w:cs="Arial"/>
              </w:rPr>
              <w:t xml:space="preserve"> day after the </w:t>
            </w:r>
            <w:r w:rsidR="00F0322D" w:rsidRPr="00BB28F3">
              <w:rPr>
                <w:rFonts w:cs="Arial"/>
              </w:rPr>
              <w:t>last day of the data collection period</w:t>
            </w:r>
            <w:r w:rsidR="000E2E7F" w:rsidRPr="00BB28F3">
              <w:rPr>
                <w:rFonts w:cs="Arial"/>
              </w:rPr>
              <w:t>)</w:t>
            </w:r>
            <w:r w:rsidR="005E6633" w:rsidRPr="00BB28F3">
              <w:rPr>
                <w:rFonts w:cs="Arial"/>
              </w:rPr>
              <w:t xml:space="preserve">. </w:t>
            </w:r>
          </w:p>
          <w:p w14:paraId="301DB0F8" w14:textId="77777777" w:rsidR="005E6633" w:rsidRPr="00BB28F3" w:rsidRDefault="005E6633" w:rsidP="00BB28F3">
            <w:pPr>
              <w:spacing w:line="240" w:lineRule="auto"/>
              <w:rPr>
                <w:rFonts w:cs="Arial"/>
              </w:rPr>
            </w:pPr>
          </w:p>
          <w:p w14:paraId="7E1AEC23" w14:textId="77777777" w:rsidR="0042755D" w:rsidRPr="00BB28F3" w:rsidRDefault="0042755D" w:rsidP="00BB28F3">
            <w:pPr>
              <w:spacing w:line="240" w:lineRule="auto"/>
              <w:rPr>
                <w:rFonts w:cs="Arial"/>
              </w:rPr>
            </w:pPr>
            <w:r w:rsidRPr="00BB28F3">
              <w:rPr>
                <w:rFonts w:cs="Arial"/>
              </w:rPr>
              <w:t xml:space="preserve">The </w:t>
            </w:r>
            <w:r w:rsidR="000C70E0" w:rsidRPr="00BB28F3">
              <w:rPr>
                <w:rFonts w:cs="Arial"/>
              </w:rPr>
              <w:t>WADP</w:t>
            </w:r>
            <w:r w:rsidRPr="00BB28F3">
              <w:rPr>
                <w:rFonts w:cs="Arial"/>
              </w:rPr>
              <w:t xml:space="preserve"> </w:t>
            </w:r>
            <w:r w:rsidR="00BE5F56" w:rsidRPr="00BB28F3">
              <w:rPr>
                <w:rFonts w:cs="Arial"/>
              </w:rPr>
              <w:t xml:space="preserve">for the pricing quantity </w:t>
            </w:r>
            <w:r w:rsidRPr="00BB28F3">
              <w:rPr>
                <w:rFonts w:cs="Arial"/>
              </w:rPr>
              <w:t xml:space="preserve">is $20. </w:t>
            </w:r>
          </w:p>
          <w:p w14:paraId="69E1F6F2" w14:textId="77777777" w:rsidR="00C325E4" w:rsidRPr="00BB28F3" w:rsidRDefault="00C325E4" w:rsidP="00BB28F3">
            <w:pPr>
              <w:spacing w:line="240" w:lineRule="auto"/>
              <w:rPr>
                <w:rFonts w:cs="Arial"/>
              </w:rPr>
            </w:pPr>
          </w:p>
          <w:p w14:paraId="1CCB820D" w14:textId="77777777" w:rsidR="0042755D" w:rsidRPr="00BB28F3" w:rsidRDefault="008F3D87" w:rsidP="00BB28F3">
            <w:pPr>
              <w:spacing w:line="240" w:lineRule="auto"/>
              <w:rPr>
                <w:rFonts w:cs="Arial"/>
              </w:rPr>
            </w:pPr>
            <w:r w:rsidRPr="00BB28F3">
              <w:rPr>
                <w:rFonts w:cs="Arial"/>
              </w:rPr>
              <w:t>A n</w:t>
            </w:r>
            <w:r w:rsidR="0042755D" w:rsidRPr="00BB28F3">
              <w:rPr>
                <w:rFonts w:cs="Arial"/>
              </w:rPr>
              <w:t>ew pack size of 10 lists</w:t>
            </w:r>
            <w:r w:rsidR="00F0322D" w:rsidRPr="00BB28F3">
              <w:rPr>
                <w:rFonts w:cs="Arial"/>
              </w:rPr>
              <w:t xml:space="preserve"> after the </w:t>
            </w:r>
            <w:r w:rsidR="000E2E7F" w:rsidRPr="00BB28F3">
              <w:rPr>
                <w:rFonts w:cs="Arial"/>
              </w:rPr>
              <w:t>relevant day</w:t>
            </w:r>
            <w:r w:rsidR="0042755D" w:rsidRPr="00BB28F3">
              <w:rPr>
                <w:rFonts w:cs="Arial"/>
              </w:rPr>
              <w:t xml:space="preserve">. </w:t>
            </w:r>
          </w:p>
          <w:p w14:paraId="4648E1EC" w14:textId="77777777" w:rsidR="00C325E4" w:rsidRPr="00BB28F3" w:rsidRDefault="00C325E4" w:rsidP="00BB28F3">
            <w:pPr>
              <w:spacing w:line="240" w:lineRule="auto"/>
              <w:rPr>
                <w:rFonts w:cs="Arial"/>
              </w:rPr>
            </w:pPr>
          </w:p>
          <w:p w14:paraId="750FF339" w14:textId="77777777" w:rsidR="0042755D" w:rsidRPr="00BB28F3" w:rsidRDefault="0042755D" w:rsidP="00BB28F3">
            <w:pPr>
              <w:spacing w:line="240" w:lineRule="auto"/>
              <w:rPr>
                <w:rFonts w:cs="Arial"/>
              </w:rPr>
            </w:pPr>
            <w:r w:rsidRPr="00BB28F3">
              <w:rPr>
                <w:rFonts w:cs="Arial"/>
              </w:rPr>
              <w:t>Zeus tablet 25 mg has a</w:t>
            </w:r>
            <w:r w:rsidR="008F3D87" w:rsidRPr="00BB28F3">
              <w:rPr>
                <w:rFonts w:cs="Arial"/>
              </w:rPr>
              <w:t xml:space="preserve"> new</w:t>
            </w:r>
            <w:r w:rsidRPr="00BB28F3">
              <w:rPr>
                <w:rFonts w:cs="Arial"/>
              </w:rPr>
              <w:t xml:space="preserve"> pricing quantity of 10 tablets</w:t>
            </w:r>
            <w:r w:rsidR="00F0322D" w:rsidRPr="00BB28F3">
              <w:rPr>
                <w:rFonts w:cs="Arial"/>
              </w:rPr>
              <w:t xml:space="preserve"> applicable on the reduction day</w:t>
            </w:r>
            <w:r w:rsidRPr="00BB28F3">
              <w:rPr>
                <w:rFonts w:cs="Arial"/>
              </w:rPr>
              <w:t xml:space="preserve">. </w:t>
            </w:r>
          </w:p>
          <w:p w14:paraId="7FF2BF66" w14:textId="77777777" w:rsidR="00C325E4" w:rsidRPr="00BB28F3" w:rsidRDefault="00C325E4" w:rsidP="00BB28F3">
            <w:pPr>
              <w:spacing w:line="240" w:lineRule="auto"/>
              <w:rPr>
                <w:rFonts w:cs="Arial"/>
              </w:rPr>
            </w:pPr>
          </w:p>
          <w:p w14:paraId="1EA5A943" w14:textId="77777777" w:rsidR="00C325E4" w:rsidRPr="00BB28F3" w:rsidRDefault="005E527F" w:rsidP="00BB28F3">
            <w:pPr>
              <w:spacing w:line="240" w:lineRule="auto"/>
              <w:rPr>
                <w:rFonts w:cs="Arial"/>
              </w:rPr>
            </w:pPr>
            <w:r w:rsidRPr="00BB28F3">
              <w:rPr>
                <w:rFonts w:cs="Arial"/>
              </w:rPr>
              <w:t>The following formula is applied t</w:t>
            </w:r>
            <w:r w:rsidR="00C325E4" w:rsidRPr="00BB28F3">
              <w:rPr>
                <w:rFonts w:cs="Arial"/>
              </w:rPr>
              <w:t xml:space="preserve">o calculate the </w:t>
            </w:r>
            <w:r w:rsidR="00F0322D" w:rsidRPr="00BB28F3">
              <w:rPr>
                <w:rFonts w:cs="Arial"/>
              </w:rPr>
              <w:t>new price on the reduction day</w:t>
            </w:r>
            <w:r w:rsidR="00C325E4" w:rsidRPr="00BB28F3">
              <w:rPr>
                <w:rFonts w:cs="Arial"/>
              </w:rPr>
              <w:t xml:space="preserve"> for the new pricing quantity: </w:t>
            </w:r>
          </w:p>
          <w:p w14:paraId="545B36E5" w14:textId="77777777" w:rsidR="006615FE" w:rsidRPr="00BB28F3" w:rsidRDefault="006615FE" w:rsidP="00BB28F3">
            <w:pPr>
              <w:spacing w:line="240" w:lineRule="auto"/>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345"/>
              <w:gridCol w:w="1825"/>
              <w:gridCol w:w="426"/>
              <w:gridCol w:w="4531"/>
            </w:tblGrid>
            <w:tr w:rsidR="0018413E" w:rsidRPr="00BB28F3" w14:paraId="71516833" w14:textId="77777777" w:rsidTr="00BB28F3">
              <w:tc>
                <w:tcPr>
                  <w:tcW w:w="1799" w:type="dxa"/>
                  <w:tcBorders>
                    <w:top w:val="nil"/>
                    <w:left w:val="nil"/>
                    <w:bottom w:val="single" w:sz="12" w:space="0" w:color="auto"/>
                    <w:right w:val="nil"/>
                  </w:tcBorders>
                  <w:shd w:val="clear" w:color="auto" w:fill="auto"/>
                  <w:vAlign w:val="center"/>
                </w:tcPr>
                <w:p w14:paraId="4A55DAF0" w14:textId="77777777" w:rsidR="00911B6D" w:rsidRPr="00BB28F3" w:rsidRDefault="00911B6D" w:rsidP="00BB28F3">
                  <w:pPr>
                    <w:spacing w:line="240" w:lineRule="auto"/>
                    <w:jc w:val="center"/>
                    <w:rPr>
                      <w:rFonts w:cs="Arial"/>
                      <w:b/>
                      <w:sz w:val="20"/>
                      <w:szCs w:val="20"/>
                    </w:rPr>
                  </w:pPr>
                  <w:r w:rsidRPr="00BB28F3">
                    <w:rPr>
                      <w:rFonts w:cs="Arial"/>
                      <w:b/>
                      <w:i/>
                      <w:sz w:val="20"/>
                      <w:szCs w:val="20"/>
                    </w:rPr>
                    <w:t>Zeus tablet 25 mg (20) WADP</w:t>
                  </w:r>
                </w:p>
              </w:tc>
              <w:tc>
                <w:tcPr>
                  <w:tcW w:w="345" w:type="dxa"/>
                  <w:vMerge w:val="restart"/>
                  <w:tcBorders>
                    <w:top w:val="nil"/>
                    <w:left w:val="nil"/>
                    <w:bottom w:val="nil"/>
                    <w:right w:val="nil"/>
                  </w:tcBorders>
                  <w:shd w:val="clear" w:color="auto" w:fill="auto"/>
                  <w:vAlign w:val="center"/>
                </w:tcPr>
                <w:p w14:paraId="5ABD0AAB" w14:textId="77777777" w:rsidR="00911B6D" w:rsidRPr="00BB28F3" w:rsidRDefault="00911B6D" w:rsidP="00BB28F3">
                  <w:pPr>
                    <w:spacing w:line="240" w:lineRule="auto"/>
                    <w:jc w:val="center"/>
                    <w:rPr>
                      <w:rFonts w:cs="Arial"/>
                      <w:b/>
                      <w:sz w:val="20"/>
                      <w:szCs w:val="20"/>
                    </w:rPr>
                  </w:pPr>
                  <w:r w:rsidRPr="00BB28F3">
                    <w:rPr>
                      <w:rFonts w:cs="Arial"/>
                      <w:b/>
                      <w:i/>
                      <w:sz w:val="20"/>
                      <w:szCs w:val="20"/>
                    </w:rPr>
                    <w:t>×</w:t>
                  </w:r>
                </w:p>
              </w:tc>
              <w:tc>
                <w:tcPr>
                  <w:tcW w:w="1825" w:type="dxa"/>
                  <w:vMerge w:val="restart"/>
                  <w:tcBorders>
                    <w:top w:val="nil"/>
                    <w:left w:val="nil"/>
                    <w:bottom w:val="nil"/>
                    <w:right w:val="nil"/>
                  </w:tcBorders>
                  <w:shd w:val="clear" w:color="auto" w:fill="auto"/>
                  <w:vAlign w:val="center"/>
                </w:tcPr>
                <w:p w14:paraId="214F2807" w14:textId="77777777" w:rsidR="00911B6D" w:rsidRPr="00BB28F3" w:rsidRDefault="00F0322D" w:rsidP="00BB28F3">
                  <w:pPr>
                    <w:spacing w:line="240" w:lineRule="auto"/>
                    <w:jc w:val="center"/>
                    <w:rPr>
                      <w:rFonts w:cs="Arial"/>
                      <w:b/>
                      <w:sz w:val="20"/>
                      <w:szCs w:val="20"/>
                    </w:rPr>
                  </w:pPr>
                  <w:r w:rsidRPr="00BB28F3">
                    <w:rPr>
                      <w:rFonts w:cs="Arial"/>
                      <w:b/>
                      <w:i/>
                      <w:sz w:val="20"/>
                      <w:szCs w:val="20"/>
                    </w:rPr>
                    <w:t>N</w:t>
                  </w:r>
                  <w:r w:rsidR="00911B6D" w:rsidRPr="00BB28F3">
                    <w:rPr>
                      <w:rFonts w:cs="Arial"/>
                      <w:b/>
                      <w:i/>
                      <w:sz w:val="20"/>
                      <w:szCs w:val="20"/>
                    </w:rPr>
                    <w:t>ew pricing quantity</w:t>
                  </w:r>
                </w:p>
              </w:tc>
              <w:tc>
                <w:tcPr>
                  <w:tcW w:w="426" w:type="dxa"/>
                  <w:vMerge w:val="restart"/>
                  <w:tcBorders>
                    <w:top w:val="nil"/>
                    <w:left w:val="nil"/>
                    <w:bottom w:val="nil"/>
                    <w:right w:val="nil"/>
                  </w:tcBorders>
                  <w:shd w:val="clear" w:color="auto" w:fill="auto"/>
                  <w:vAlign w:val="center"/>
                </w:tcPr>
                <w:p w14:paraId="74BF4937" w14:textId="77777777" w:rsidR="00911B6D" w:rsidRPr="00BB28F3" w:rsidRDefault="00911B6D" w:rsidP="00BB28F3">
                  <w:pPr>
                    <w:spacing w:line="240" w:lineRule="auto"/>
                    <w:jc w:val="center"/>
                    <w:rPr>
                      <w:rFonts w:cs="Arial"/>
                      <w:b/>
                      <w:sz w:val="20"/>
                      <w:szCs w:val="20"/>
                    </w:rPr>
                  </w:pPr>
                  <w:r w:rsidRPr="00BB28F3">
                    <w:rPr>
                      <w:rFonts w:cs="Arial"/>
                      <w:b/>
                      <w:sz w:val="20"/>
                      <w:szCs w:val="20"/>
                    </w:rPr>
                    <w:t>=</w:t>
                  </w:r>
                </w:p>
              </w:tc>
              <w:tc>
                <w:tcPr>
                  <w:tcW w:w="4531" w:type="dxa"/>
                  <w:vMerge w:val="restart"/>
                  <w:tcBorders>
                    <w:top w:val="nil"/>
                    <w:left w:val="nil"/>
                    <w:bottom w:val="nil"/>
                    <w:right w:val="nil"/>
                  </w:tcBorders>
                  <w:shd w:val="clear" w:color="auto" w:fill="auto"/>
                  <w:vAlign w:val="center"/>
                </w:tcPr>
                <w:p w14:paraId="6968B76B" w14:textId="77777777" w:rsidR="00911B6D" w:rsidRPr="00BB28F3" w:rsidRDefault="00F0322D" w:rsidP="00BB28F3">
                  <w:pPr>
                    <w:spacing w:line="240" w:lineRule="auto"/>
                    <w:rPr>
                      <w:rFonts w:cs="Arial"/>
                      <w:b/>
                      <w:sz w:val="20"/>
                      <w:szCs w:val="20"/>
                    </w:rPr>
                  </w:pPr>
                  <w:r w:rsidRPr="00BB28F3">
                    <w:rPr>
                      <w:rFonts w:cs="Arial"/>
                      <w:b/>
                      <w:i/>
                      <w:sz w:val="20"/>
                      <w:szCs w:val="20"/>
                    </w:rPr>
                    <w:t xml:space="preserve">Zeus tablet 25 mg (10) </w:t>
                  </w:r>
                  <w:r w:rsidRPr="00BB28F3">
                    <w:rPr>
                      <w:rFonts w:cs="Arial"/>
                      <w:b/>
                      <w:i/>
                      <w:sz w:val="20"/>
                      <w:szCs w:val="20"/>
                    </w:rPr>
                    <w:br/>
                    <w:t>price on reduction day</w:t>
                  </w:r>
                </w:p>
              </w:tc>
            </w:tr>
            <w:tr w:rsidR="0018413E" w:rsidRPr="00BB28F3" w14:paraId="6D11D361" w14:textId="77777777" w:rsidTr="00BB28F3">
              <w:tc>
                <w:tcPr>
                  <w:tcW w:w="1799" w:type="dxa"/>
                  <w:tcBorders>
                    <w:top w:val="single" w:sz="12" w:space="0" w:color="auto"/>
                    <w:left w:val="nil"/>
                    <w:bottom w:val="nil"/>
                    <w:right w:val="nil"/>
                  </w:tcBorders>
                  <w:shd w:val="clear" w:color="auto" w:fill="auto"/>
                  <w:vAlign w:val="center"/>
                </w:tcPr>
                <w:p w14:paraId="5B174EAF" w14:textId="77777777" w:rsidR="00911B6D" w:rsidRPr="00BB28F3" w:rsidRDefault="00F0322D" w:rsidP="00BB28F3">
                  <w:pPr>
                    <w:spacing w:line="240" w:lineRule="auto"/>
                    <w:jc w:val="center"/>
                    <w:rPr>
                      <w:rFonts w:cs="Arial"/>
                      <w:b/>
                      <w:sz w:val="20"/>
                      <w:szCs w:val="20"/>
                    </w:rPr>
                  </w:pPr>
                  <w:r w:rsidRPr="00BB28F3">
                    <w:rPr>
                      <w:rFonts w:cs="Arial"/>
                      <w:b/>
                      <w:i/>
                      <w:sz w:val="20"/>
                      <w:szCs w:val="20"/>
                    </w:rPr>
                    <w:t xml:space="preserve">Old </w:t>
                  </w:r>
                  <w:r w:rsidR="00911B6D" w:rsidRPr="00BB28F3">
                    <w:rPr>
                      <w:rFonts w:cs="Arial"/>
                      <w:b/>
                      <w:i/>
                      <w:sz w:val="20"/>
                      <w:szCs w:val="20"/>
                    </w:rPr>
                    <w:t>pricing quantity</w:t>
                  </w:r>
                </w:p>
              </w:tc>
              <w:tc>
                <w:tcPr>
                  <w:tcW w:w="345" w:type="dxa"/>
                  <w:vMerge/>
                  <w:tcBorders>
                    <w:top w:val="nil"/>
                    <w:left w:val="nil"/>
                    <w:bottom w:val="nil"/>
                    <w:right w:val="nil"/>
                  </w:tcBorders>
                  <w:shd w:val="clear" w:color="auto" w:fill="auto"/>
                </w:tcPr>
                <w:p w14:paraId="2832679E" w14:textId="77777777" w:rsidR="00911B6D" w:rsidRPr="00BB28F3" w:rsidRDefault="00911B6D" w:rsidP="00BB28F3">
                  <w:pPr>
                    <w:spacing w:line="240" w:lineRule="auto"/>
                    <w:rPr>
                      <w:rFonts w:cs="Arial"/>
                      <w:b/>
                      <w:sz w:val="20"/>
                      <w:szCs w:val="20"/>
                    </w:rPr>
                  </w:pPr>
                </w:p>
              </w:tc>
              <w:tc>
                <w:tcPr>
                  <w:tcW w:w="1825" w:type="dxa"/>
                  <w:vMerge/>
                  <w:tcBorders>
                    <w:top w:val="nil"/>
                    <w:left w:val="nil"/>
                    <w:bottom w:val="nil"/>
                    <w:right w:val="nil"/>
                  </w:tcBorders>
                  <w:shd w:val="clear" w:color="auto" w:fill="auto"/>
                </w:tcPr>
                <w:p w14:paraId="30BDDC49" w14:textId="77777777" w:rsidR="00911B6D" w:rsidRPr="00BB28F3" w:rsidRDefault="00911B6D" w:rsidP="00BB28F3">
                  <w:pPr>
                    <w:spacing w:line="240" w:lineRule="auto"/>
                    <w:rPr>
                      <w:rFonts w:cs="Arial"/>
                      <w:b/>
                      <w:sz w:val="20"/>
                      <w:szCs w:val="20"/>
                    </w:rPr>
                  </w:pPr>
                </w:p>
              </w:tc>
              <w:tc>
                <w:tcPr>
                  <w:tcW w:w="426" w:type="dxa"/>
                  <w:vMerge/>
                  <w:tcBorders>
                    <w:top w:val="nil"/>
                    <w:left w:val="nil"/>
                    <w:bottom w:val="nil"/>
                    <w:right w:val="nil"/>
                  </w:tcBorders>
                  <w:shd w:val="clear" w:color="auto" w:fill="auto"/>
                </w:tcPr>
                <w:p w14:paraId="7EB8A5B9" w14:textId="77777777" w:rsidR="00911B6D" w:rsidRPr="00BB28F3" w:rsidRDefault="00911B6D" w:rsidP="00BB28F3">
                  <w:pPr>
                    <w:spacing w:line="240" w:lineRule="auto"/>
                    <w:rPr>
                      <w:rFonts w:cs="Arial"/>
                      <w:b/>
                      <w:sz w:val="20"/>
                      <w:szCs w:val="20"/>
                    </w:rPr>
                  </w:pPr>
                </w:p>
              </w:tc>
              <w:tc>
                <w:tcPr>
                  <w:tcW w:w="4531" w:type="dxa"/>
                  <w:vMerge/>
                  <w:tcBorders>
                    <w:top w:val="nil"/>
                    <w:left w:val="nil"/>
                    <w:bottom w:val="nil"/>
                    <w:right w:val="nil"/>
                  </w:tcBorders>
                  <w:shd w:val="clear" w:color="auto" w:fill="auto"/>
                </w:tcPr>
                <w:p w14:paraId="0CBA95CF" w14:textId="77777777" w:rsidR="00911B6D" w:rsidRPr="00BB28F3" w:rsidRDefault="00911B6D" w:rsidP="00BB28F3">
                  <w:pPr>
                    <w:spacing w:line="240" w:lineRule="auto"/>
                    <w:rPr>
                      <w:rFonts w:cs="Arial"/>
                      <w:b/>
                      <w:sz w:val="20"/>
                      <w:szCs w:val="20"/>
                    </w:rPr>
                  </w:pPr>
                </w:p>
              </w:tc>
            </w:tr>
          </w:tbl>
          <w:p w14:paraId="5FE71E62" w14:textId="77777777" w:rsidR="008763CF" w:rsidRPr="00BB28F3" w:rsidRDefault="008763CF" w:rsidP="00BB28F3">
            <w:pPr>
              <w:spacing w:line="240" w:lineRule="auto"/>
              <w:rPr>
                <w:rFonts w:cs="Arial"/>
                <w:sz w:val="20"/>
                <w:szCs w:val="20"/>
              </w:rPr>
            </w:pPr>
          </w:p>
          <w:p w14:paraId="4085700A" w14:textId="77777777" w:rsidR="00331654" w:rsidRPr="00BB28F3" w:rsidRDefault="00331654" w:rsidP="00BB28F3">
            <w:pPr>
              <w:spacing w:line="240" w:lineRule="auto"/>
              <w:rPr>
                <w:rFonts w:cs="Arial"/>
                <w:sz w:val="20"/>
                <w:szCs w:val="20"/>
              </w:rPr>
            </w:pPr>
          </w:p>
          <w:tbl>
            <w:tblPr>
              <w:tblW w:w="8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63"/>
              <w:gridCol w:w="345"/>
              <w:gridCol w:w="1122"/>
              <w:gridCol w:w="382"/>
              <w:gridCol w:w="1331"/>
              <w:gridCol w:w="3118"/>
            </w:tblGrid>
            <w:tr w:rsidR="0018413E" w:rsidRPr="00BB28F3" w14:paraId="24BA34A8" w14:textId="77777777" w:rsidTr="00BB28F3">
              <w:tc>
                <w:tcPr>
                  <w:tcW w:w="567" w:type="dxa"/>
                  <w:vMerge w:val="restart"/>
                  <w:tcBorders>
                    <w:top w:val="nil"/>
                    <w:left w:val="nil"/>
                    <w:right w:val="nil"/>
                  </w:tcBorders>
                  <w:shd w:val="clear" w:color="auto" w:fill="auto"/>
                  <w:vAlign w:val="center"/>
                </w:tcPr>
                <w:p w14:paraId="5A2812B0" w14:textId="77777777" w:rsidR="00AE3123" w:rsidRPr="00BB28F3" w:rsidRDefault="00E03B52" w:rsidP="00BB28F3">
                  <w:pPr>
                    <w:spacing w:line="240" w:lineRule="auto"/>
                    <w:jc w:val="center"/>
                    <w:rPr>
                      <w:rFonts w:cs="Arial"/>
                      <w:b/>
                      <w:i/>
                      <w:sz w:val="20"/>
                      <w:szCs w:val="20"/>
                    </w:rPr>
                  </w:pPr>
                  <w:r w:rsidRPr="00BB28F3">
                    <w:rPr>
                      <w:rFonts w:cs="Arial"/>
                      <w:b/>
                      <w:i/>
                      <w:sz w:val="20"/>
                      <w:szCs w:val="20"/>
                    </w:rPr>
                    <w:t>I.e.,</w:t>
                  </w:r>
                </w:p>
              </w:tc>
              <w:tc>
                <w:tcPr>
                  <w:tcW w:w="1863" w:type="dxa"/>
                  <w:tcBorders>
                    <w:top w:val="nil"/>
                    <w:left w:val="nil"/>
                    <w:bottom w:val="single" w:sz="12" w:space="0" w:color="auto"/>
                    <w:right w:val="nil"/>
                  </w:tcBorders>
                  <w:shd w:val="clear" w:color="auto" w:fill="auto"/>
                  <w:vAlign w:val="center"/>
                </w:tcPr>
                <w:p w14:paraId="4E61C8B9" w14:textId="77777777" w:rsidR="00AE3123" w:rsidRPr="00BB28F3" w:rsidRDefault="00AE3123" w:rsidP="00BB28F3">
                  <w:pPr>
                    <w:spacing w:line="240" w:lineRule="auto"/>
                    <w:jc w:val="center"/>
                    <w:rPr>
                      <w:rFonts w:cs="Arial"/>
                      <w:b/>
                      <w:sz w:val="20"/>
                      <w:szCs w:val="20"/>
                    </w:rPr>
                  </w:pPr>
                  <w:r w:rsidRPr="00BB28F3">
                    <w:rPr>
                      <w:rFonts w:cs="Arial"/>
                      <w:b/>
                      <w:i/>
                      <w:sz w:val="20"/>
                      <w:szCs w:val="20"/>
                    </w:rPr>
                    <w:t>$20</w:t>
                  </w:r>
                </w:p>
              </w:tc>
              <w:tc>
                <w:tcPr>
                  <w:tcW w:w="345" w:type="dxa"/>
                  <w:vMerge w:val="restart"/>
                  <w:tcBorders>
                    <w:top w:val="nil"/>
                    <w:left w:val="nil"/>
                    <w:bottom w:val="nil"/>
                    <w:right w:val="nil"/>
                  </w:tcBorders>
                  <w:shd w:val="clear" w:color="auto" w:fill="auto"/>
                  <w:vAlign w:val="center"/>
                </w:tcPr>
                <w:p w14:paraId="185E326F" w14:textId="77777777" w:rsidR="00AE3123" w:rsidRPr="00BB28F3" w:rsidRDefault="00AE3123" w:rsidP="00BB28F3">
                  <w:pPr>
                    <w:spacing w:line="240" w:lineRule="auto"/>
                    <w:jc w:val="center"/>
                    <w:rPr>
                      <w:rFonts w:cs="Arial"/>
                      <w:b/>
                      <w:sz w:val="20"/>
                      <w:szCs w:val="20"/>
                    </w:rPr>
                  </w:pPr>
                  <w:r w:rsidRPr="00BB28F3">
                    <w:rPr>
                      <w:rFonts w:cs="Arial"/>
                      <w:b/>
                      <w:i/>
                      <w:sz w:val="20"/>
                      <w:szCs w:val="20"/>
                    </w:rPr>
                    <w:t>×</w:t>
                  </w:r>
                </w:p>
              </w:tc>
              <w:tc>
                <w:tcPr>
                  <w:tcW w:w="1122" w:type="dxa"/>
                  <w:vMerge w:val="restart"/>
                  <w:tcBorders>
                    <w:top w:val="nil"/>
                    <w:left w:val="nil"/>
                    <w:bottom w:val="nil"/>
                    <w:right w:val="nil"/>
                  </w:tcBorders>
                  <w:shd w:val="clear" w:color="auto" w:fill="auto"/>
                  <w:vAlign w:val="center"/>
                </w:tcPr>
                <w:p w14:paraId="70C17BE7" w14:textId="77777777" w:rsidR="00AE3123" w:rsidRPr="00BB28F3" w:rsidRDefault="00AE3123" w:rsidP="00BB28F3">
                  <w:pPr>
                    <w:spacing w:line="240" w:lineRule="auto"/>
                    <w:jc w:val="center"/>
                    <w:rPr>
                      <w:rFonts w:cs="Arial"/>
                      <w:b/>
                      <w:sz w:val="20"/>
                      <w:szCs w:val="20"/>
                    </w:rPr>
                  </w:pPr>
                  <w:r w:rsidRPr="00BB28F3">
                    <w:rPr>
                      <w:rFonts w:cs="Arial"/>
                      <w:b/>
                      <w:i/>
                      <w:sz w:val="20"/>
                      <w:szCs w:val="20"/>
                    </w:rPr>
                    <w:t>10 tablets</w:t>
                  </w:r>
                </w:p>
              </w:tc>
              <w:tc>
                <w:tcPr>
                  <w:tcW w:w="382" w:type="dxa"/>
                  <w:vMerge w:val="restart"/>
                  <w:tcBorders>
                    <w:top w:val="nil"/>
                    <w:left w:val="nil"/>
                    <w:bottom w:val="nil"/>
                    <w:right w:val="nil"/>
                  </w:tcBorders>
                  <w:shd w:val="clear" w:color="auto" w:fill="auto"/>
                  <w:vAlign w:val="center"/>
                </w:tcPr>
                <w:p w14:paraId="49BB33DF" w14:textId="77777777" w:rsidR="00AE3123" w:rsidRPr="00BB28F3" w:rsidRDefault="00AE3123" w:rsidP="00BB28F3">
                  <w:pPr>
                    <w:spacing w:line="240" w:lineRule="auto"/>
                    <w:jc w:val="center"/>
                    <w:rPr>
                      <w:rFonts w:cs="Arial"/>
                      <w:b/>
                      <w:sz w:val="20"/>
                      <w:szCs w:val="20"/>
                    </w:rPr>
                  </w:pPr>
                  <w:r w:rsidRPr="00BB28F3">
                    <w:rPr>
                      <w:rFonts w:cs="Arial"/>
                      <w:b/>
                      <w:sz w:val="20"/>
                      <w:szCs w:val="20"/>
                    </w:rPr>
                    <w:t>=</w:t>
                  </w:r>
                </w:p>
              </w:tc>
              <w:tc>
                <w:tcPr>
                  <w:tcW w:w="1331" w:type="dxa"/>
                  <w:vMerge w:val="restart"/>
                  <w:tcBorders>
                    <w:top w:val="nil"/>
                    <w:left w:val="nil"/>
                    <w:bottom w:val="nil"/>
                    <w:right w:val="nil"/>
                  </w:tcBorders>
                  <w:shd w:val="clear" w:color="auto" w:fill="auto"/>
                  <w:vAlign w:val="center"/>
                </w:tcPr>
                <w:p w14:paraId="2DC1BBAB" w14:textId="77777777" w:rsidR="00AE3123" w:rsidRPr="00BB28F3" w:rsidRDefault="00AE3123" w:rsidP="00BB28F3">
                  <w:pPr>
                    <w:spacing w:line="240" w:lineRule="auto"/>
                    <w:rPr>
                      <w:rFonts w:cs="Arial"/>
                      <w:b/>
                      <w:sz w:val="20"/>
                      <w:szCs w:val="20"/>
                    </w:rPr>
                  </w:pPr>
                  <w:r w:rsidRPr="00BB28F3">
                    <w:rPr>
                      <w:rFonts w:cs="Arial"/>
                      <w:b/>
                      <w:i/>
                      <w:sz w:val="20"/>
                      <w:szCs w:val="20"/>
                    </w:rPr>
                    <w:t>$10 =</w:t>
                  </w:r>
                </w:p>
              </w:tc>
              <w:tc>
                <w:tcPr>
                  <w:tcW w:w="3118" w:type="dxa"/>
                  <w:vMerge w:val="restart"/>
                  <w:tcBorders>
                    <w:top w:val="nil"/>
                    <w:left w:val="nil"/>
                    <w:bottom w:val="nil"/>
                    <w:right w:val="nil"/>
                  </w:tcBorders>
                  <w:shd w:val="clear" w:color="auto" w:fill="auto"/>
                  <w:vAlign w:val="center"/>
                </w:tcPr>
                <w:p w14:paraId="7C4957CC" w14:textId="77777777" w:rsidR="00AE3123" w:rsidRPr="00BB28F3" w:rsidRDefault="00AE3123" w:rsidP="00BB28F3">
                  <w:pPr>
                    <w:spacing w:line="240" w:lineRule="auto"/>
                    <w:rPr>
                      <w:rFonts w:cs="Arial"/>
                      <w:b/>
                      <w:i/>
                      <w:sz w:val="20"/>
                      <w:szCs w:val="20"/>
                    </w:rPr>
                  </w:pPr>
                  <w:r w:rsidRPr="00BB28F3">
                    <w:rPr>
                      <w:rFonts w:cs="Arial"/>
                      <w:b/>
                      <w:i/>
                      <w:sz w:val="20"/>
                      <w:szCs w:val="20"/>
                    </w:rPr>
                    <w:t xml:space="preserve">Approved ex-manufacturer </w:t>
                  </w:r>
                  <w:r w:rsidRPr="00BB28F3">
                    <w:rPr>
                      <w:rFonts w:cs="Arial"/>
                      <w:b/>
                      <w:i/>
                      <w:sz w:val="20"/>
                      <w:szCs w:val="20"/>
                    </w:rPr>
                    <w:br/>
                    <w:t>price on reduction day</w:t>
                  </w:r>
                </w:p>
              </w:tc>
            </w:tr>
            <w:tr w:rsidR="0018413E" w:rsidRPr="00BB28F3" w14:paraId="2CCC68D9" w14:textId="77777777" w:rsidTr="00BB28F3">
              <w:tc>
                <w:tcPr>
                  <w:tcW w:w="567" w:type="dxa"/>
                  <w:vMerge/>
                  <w:tcBorders>
                    <w:left w:val="nil"/>
                    <w:bottom w:val="nil"/>
                    <w:right w:val="nil"/>
                  </w:tcBorders>
                  <w:shd w:val="clear" w:color="auto" w:fill="auto"/>
                </w:tcPr>
                <w:p w14:paraId="1682DB23" w14:textId="77777777" w:rsidR="00AE3123" w:rsidRPr="00BB28F3" w:rsidRDefault="00AE3123" w:rsidP="00BB28F3">
                  <w:pPr>
                    <w:spacing w:line="240" w:lineRule="auto"/>
                    <w:jc w:val="center"/>
                    <w:rPr>
                      <w:rFonts w:cs="Arial"/>
                      <w:b/>
                      <w:i/>
                    </w:rPr>
                  </w:pPr>
                </w:p>
              </w:tc>
              <w:tc>
                <w:tcPr>
                  <w:tcW w:w="1863" w:type="dxa"/>
                  <w:tcBorders>
                    <w:top w:val="single" w:sz="12" w:space="0" w:color="auto"/>
                    <w:left w:val="nil"/>
                    <w:bottom w:val="nil"/>
                    <w:right w:val="nil"/>
                  </w:tcBorders>
                  <w:shd w:val="clear" w:color="auto" w:fill="auto"/>
                  <w:vAlign w:val="center"/>
                </w:tcPr>
                <w:p w14:paraId="351D99D8" w14:textId="77777777" w:rsidR="00AE3123" w:rsidRPr="00BB28F3" w:rsidRDefault="00AE3123" w:rsidP="00EA4D2C">
                  <w:pPr>
                    <w:spacing w:after="120" w:line="240" w:lineRule="auto"/>
                    <w:jc w:val="center"/>
                    <w:rPr>
                      <w:rFonts w:cs="Arial"/>
                      <w:b/>
                      <w:sz w:val="20"/>
                      <w:szCs w:val="20"/>
                    </w:rPr>
                  </w:pPr>
                  <w:r w:rsidRPr="00BB28F3">
                    <w:rPr>
                      <w:rFonts w:cs="Arial"/>
                      <w:b/>
                      <w:i/>
                      <w:sz w:val="20"/>
                      <w:szCs w:val="20"/>
                    </w:rPr>
                    <w:t>20 tablets</w:t>
                  </w:r>
                </w:p>
              </w:tc>
              <w:tc>
                <w:tcPr>
                  <w:tcW w:w="345" w:type="dxa"/>
                  <w:vMerge/>
                  <w:tcBorders>
                    <w:top w:val="nil"/>
                    <w:left w:val="nil"/>
                    <w:bottom w:val="nil"/>
                    <w:right w:val="nil"/>
                  </w:tcBorders>
                  <w:shd w:val="clear" w:color="auto" w:fill="auto"/>
                </w:tcPr>
                <w:p w14:paraId="4BA3BBED" w14:textId="77777777" w:rsidR="00AE3123" w:rsidRPr="00BB28F3" w:rsidRDefault="00AE3123" w:rsidP="00BB28F3">
                  <w:pPr>
                    <w:spacing w:line="240" w:lineRule="auto"/>
                    <w:rPr>
                      <w:rFonts w:cs="Arial"/>
                    </w:rPr>
                  </w:pPr>
                </w:p>
              </w:tc>
              <w:tc>
                <w:tcPr>
                  <w:tcW w:w="1122" w:type="dxa"/>
                  <w:vMerge/>
                  <w:tcBorders>
                    <w:top w:val="nil"/>
                    <w:left w:val="nil"/>
                    <w:bottom w:val="nil"/>
                    <w:right w:val="nil"/>
                  </w:tcBorders>
                  <w:shd w:val="clear" w:color="auto" w:fill="auto"/>
                </w:tcPr>
                <w:p w14:paraId="636D3F5F" w14:textId="77777777" w:rsidR="00AE3123" w:rsidRPr="00BB28F3" w:rsidRDefault="00AE3123" w:rsidP="00BB28F3">
                  <w:pPr>
                    <w:spacing w:line="240" w:lineRule="auto"/>
                    <w:rPr>
                      <w:rFonts w:cs="Arial"/>
                    </w:rPr>
                  </w:pPr>
                </w:p>
              </w:tc>
              <w:tc>
                <w:tcPr>
                  <w:tcW w:w="382" w:type="dxa"/>
                  <w:vMerge/>
                  <w:tcBorders>
                    <w:top w:val="nil"/>
                    <w:left w:val="nil"/>
                    <w:bottom w:val="nil"/>
                    <w:right w:val="nil"/>
                  </w:tcBorders>
                  <w:shd w:val="clear" w:color="auto" w:fill="auto"/>
                </w:tcPr>
                <w:p w14:paraId="71251C44" w14:textId="77777777" w:rsidR="00AE3123" w:rsidRPr="00BB28F3" w:rsidRDefault="00AE3123" w:rsidP="00BB28F3">
                  <w:pPr>
                    <w:spacing w:line="240" w:lineRule="auto"/>
                    <w:rPr>
                      <w:rFonts w:cs="Arial"/>
                    </w:rPr>
                  </w:pPr>
                </w:p>
              </w:tc>
              <w:tc>
                <w:tcPr>
                  <w:tcW w:w="1331" w:type="dxa"/>
                  <w:vMerge/>
                  <w:tcBorders>
                    <w:top w:val="nil"/>
                    <w:left w:val="nil"/>
                    <w:bottom w:val="nil"/>
                    <w:right w:val="nil"/>
                  </w:tcBorders>
                  <w:shd w:val="clear" w:color="auto" w:fill="auto"/>
                </w:tcPr>
                <w:p w14:paraId="37BA471A" w14:textId="77777777" w:rsidR="00AE3123" w:rsidRPr="00BB28F3" w:rsidRDefault="00AE3123" w:rsidP="00BB28F3">
                  <w:pPr>
                    <w:spacing w:line="240" w:lineRule="auto"/>
                    <w:rPr>
                      <w:rFonts w:cs="Arial"/>
                    </w:rPr>
                  </w:pPr>
                </w:p>
              </w:tc>
              <w:tc>
                <w:tcPr>
                  <w:tcW w:w="3118" w:type="dxa"/>
                  <w:vMerge/>
                  <w:tcBorders>
                    <w:top w:val="nil"/>
                    <w:left w:val="nil"/>
                    <w:bottom w:val="nil"/>
                    <w:right w:val="nil"/>
                  </w:tcBorders>
                  <w:shd w:val="clear" w:color="auto" w:fill="auto"/>
                </w:tcPr>
                <w:p w14:paraId="00468797" w14:textId="77777777" w:rsidR="00AE3123" w:rsidRPr="00BB28F3" w:rsidRDefault="00AE3123" w:rsidP="00BB28F3">
                  <w:pPr>
                    <w:spacing w:line="240" w:lineRule="auto"/>
                    <w:rPr>
                      <w:rFonts w:cs="Arial"/>
                    </w:rPr>
                  </w:pPr>
                </w:p>
              </w:tc>
            </w:tr>
          </w:tbl>
          <w:p w14:paraId="38DF2121" w14:textId="77777777" w:rsidR="00974DC6" w:rsidRPr="00BB28F3" w:rsidRDefault="00974DC6" w:rsidP="00BB28F3">
            <w:pPr>
              <w:spacing w:line="240" w:lineRule="auto"/>
              <w:rPr>
                <w:rFonts w:cs="Arial"/>
              </w:rPr>
            </w:pPr>
          </w:p>
        </w:tc>
      </w:tr>
    </w:tbl>
    <w:p w14:paraId="14B8312F" w14:textId="77777777" w:rsidR="00676933" w:rsidRPr="00BB28F3" w:rsidRDefault="00676933" w:rsidP="00925E92">
      <w:pPr>
        <w:rPr>
          <w:b/>
          <w:bCs/>
          <w:iCs/>
          <w:color w:val="244061"/>
        </w:rPr>
      </w:pPr>
    </w:p>
    <w:p w14:paraId="794398F5" w14:textId="77777777" w:rsidR="0065768A" w:rsidRPr="0065768A" w:rsidRDefault="009F5FBD" w:rsidP="0018413E">
      <w:pPr>
        <w:pStyle w:val="Heading4"/>
      </w:pPr>
      <w:r>
        <w:br w:type="page"/>
      </w:r>
      <w:r w:rsidR="00150D95">
        <w:lastRenderedPageBreak/>
        <w:t>Claimed Price Reductions – Premium adj</w:t>
      </w:r>
      <w:r w:rsidR="0065768A">
        <w:t>ustments under Price Disclosure</w:t>
      </w:r>
    </w:p>
    <w:p w14:paraId="314FFABF" w14:textId="77777777" w:rsidR="00F85108" w:rsidRPr="000B186E" w:rsidRDefault="00D41810" w:rsidP="004E4CC8">
      <w:pPr>
        <w:pStyle w:val="ListParagraph"/>
        <w:numPr>
          <w:ilvl w:val="0"/>
          <w:numId w:val="48"/>
        </w:numPr>
        <w:ind w:left="851" w:hanging="491"/>
        <w:contextualSpacing w:val="0"/>
        <w:rPr>
          <w:rFonts w:cs="Arial"/>
        </w:rPr>
      </w:pPr>
      <w:r w:rsidRPr="008A2A8E">
        <w:rPr>
          <w:rFonts w:cs="Arial"/>
        </w:rPr>
        <w:t xml:space="preserve">Any brand </w:t>
      </w:r>
      <w:r w:rsidR="00B10C81" w:rsidRPr="008A2A8E">
        <w:rPr>
          <w:rFonts w:cs="Arial"/>
        </w:rPr>
        <w:t>with</w:t>
      </w:r>
      <w:r w:rsidRPr="008A2A8E">
        <w:rPr>
          <w:rFonts w:cs="Arial"/>
          <w:b/>
        </w:rPr>
        <w:t xml:space="preserve"> </w:t>
      </w:r>
      <w:r w:rsidRPr="008A2A8E">
        <w:rPr>
          <w:rFonts w:cs="Arial"/>
        </w:rPr>
        <w:t xml:space="preserve">a </w:t>
      </w:r>
      <w:r w:rsidR="004C6BD0" w:rsidRPr="008A2A8E">
        <w:rPr>
          <w:rFonts w:cs="Arial"/>
        </w:rPr>
        <w:t>premium (</w:t>
      </w:r>
      <w:r w:rsidR="00CC79D9" w:rsidRPr="008A2A8E">
        <w:rPr>
          <w:rFonts w:cs="Arial"/>
        </w:rPr>
        <w:t xml:space="preserve">brand premium, therapeutic group premium or </w:t>
      </w:r>
      <w:r w:rsidR="00805CBA" w:rsidRPr="008A2A8E">
        <w:rPr>
          <w:rFonts w:cs="Arial"/>
        </w:rPr>
        <w:t xml:space="preserve">other </w:t>
      </w:r>
      <w:r w:rsidR="00CC79D9" w:rsidRPr="008A2A8E">
        <w:rPr>
          <w:rFonts w:cs="Arial"/>
        </w:rPr>
        <w:t>special patient contribution</w:t>
      </w:r>
      <w:r w:rsidR="004C6BD0" w:rsidRPr="008A2A8E">
        <w:rPr>
          <w:rFonts w:cs="Arial"/>
        </w:rPr>
        <w:t>)</w:t>
      </w:r>
      <w:r w:rsidR="00B11F10" w:rsidRPr="008A2A8E">
        <w:rPr>
          <w:rFonts w:cs="Arial"/>
        </w:rPr>
        <w:t xml:space="preserve"> that </w:t>
      </w:r>
      <w:r w:rsidR="00B10C81" w:rsidRPr="008A2A8E">
        <w:rPr>
          <w:rFonts w:cs="Arial"/>
        </w:rPr>
        <w:t>is</w:t>
      </w:r>
      <w:r w:rsidR="00B11F10" w:rsidRPr="008A2A8E">
        <w:rPr>
          <w:rFonts w:cs="Arial"/>
        </w:rPr>
        <w:t xml:space="preserve"> subject to a price disclosure reduction in a </w:t>
      </w:r>
      <w:r w:rsidR="001B06D3" w:rsidRPr="008A2A8E">
        <w:rPr>
          <w:rFonts w:cs="Arial"/>
        </w:rPr>
        <w:t xml:space="preserve">disclosure </w:t>
      </w:r>
      <w:r w:rsidR="00B11F10" w:rsidRPr="008A2A8E">
        <w:rPr>
          <w:rFonts w:cs="Arial"/>
        </w:rPr>
        <w:t>cycle require</w:t>
      </w:r>
      <w:r w:rsidR="00B10C81" w:rsidRPr="008A2A8E">
        <w:rPr>
          <w:rFonts w:cs="Arial"/>
        </w:rPr>
        <w:t>s a reduction to</w:t>
      </w:r>
      <w:r w:rsidR="00B11F10" w:rsidRPr="008A2A8E">
        <w:rPr>
          <w:rFonts w:cs="Arial"/>
        </w:rPr>
        <w:t xml:space="preserve"> the claimed price for the pack quantity of the brand of pharmaceutical item. </w:t>
      </w:r>
      <w:r w:rsidR="008A2A8E">
        <w:t>The</w:t>
      </w:r>
      <w:r w:rsidR="00F85108" w:rsidRPr="00045940">
        <w:t xml:space="preserve"> </w:t>
      </w:r>
      <w:r w:rsidR="00DD6652">
        <w:t xml:space="preserve">new </w:t>
      </w:r>
      <w:r w:rsidR="008A2A8E">
        <w:t xml:space="preserve">reduced </w:t>
      </w:r>
      <w:r w:rsidR="00F85108">
        <w:t>p</w:t>
      </w:r>
      <w:r w:rsidR="00F85108" w:rsidRPr="00045940">
        <w:t xml:space="preserve">remium for a brand of a pharmaceutical item that has a </w:t>
      </w:r>
      <w:r w:rsidR="004439A9">
        <w:t xml:space="preserve">price </w:t>
      </w:r>
      <w:r w:rsidR="00F85108" w:rsidRPr="00045940">
        <w:t>determination in force under subsection 85B</w:t>
      </w:r>
      <w:r w:rsidR="00F3601C">
        <w:t> </w:t>
      </w:r>
      <w:r w:rsidR="00F85108" w:rsidRPr="00045940">
        <w:t>(3) of the Act can be calculated by following the steps</w:t>
      </w:r>
      <w:r w:rsidR="00643E58">
        <w:t xml:space="preserve"> below</w:t>
      </w:r>
      <w:r w:rsidR="00F85108" w:rsidRPr="00045940">
        <w:t xml:space="preserve">: </w:t>
      </w:r>
    </w:p>
    <w:p w14:paraId="64534215" w14:textId="77777777" w:rsidR="00D14035" w:rsidRDefault="00D14035" w:rsidP="00925E92">
      <w:pPr>
        <w:spacing w:line="240" w:lineRule="auto"/>
        <w:ind w:left="425"/>
        <w:rPr>
          <w:rFonts w:cs="Arial"/>
          <w:b/>
          <w:bCs/>
          <w:i/>
        </w:rPr>
      </w:pPr>
    </w:p>
    <w:p w14:paraId="691B1185" w14:textId="77777777" w:rsidR="004A215F" w:rsidRPr="00C91DE4" w:rsidRDefault="004A215F" w:rsidP="00925E92">
      <w:pPr>
        <w:spacing w:line="240" w:lineRule="auto"/>
        <w:ind w:left="425"/>
        <w:rPr>
          <w:rFonts w:cs="Arial"/>
          <w:b/>
          <w:bCs/>
          <w:i/>
        </w:rPr>
      </w:pPr>
      <w:r w:rsidRPr="00C91DE4">
        <w:rPr>
          <w:rFonts w:cs="Arial"/>
          <w:b/>
          <w:bCs/>
          <w:i/>
        </w:rPr>
        <w:t>Step 1: Identify the prices to be used in the calculation</w:t>
      </w:r>
    </w:p>
    <w:p w14:paraId="4E7BF8C0" w14:textId="77777777" w:rsidR="004A215F" w:rsidRPr="004A215F" w:rsidRDefault="00CF3ADB" w:rsidP="00B93854">
      <w:pPr>
        <w:numPr>
          <w:ilvl w:val="0"/>
          <w:numId w:val="10"/>
        </w:numPr>
        <w:tabs>
          <w:tab w:val="clear" w:pos="720"/>
          <w:tab w:val="num" w:pos="1418"/>
        </w:tabs>
        <w:spacing w:line="240" w:lineRule="auto"/>
        <w:ind w:left="1418" w:hanging="284"/>
        <w:rPr>
          <w:rFonts w:cs="Arial"/>
        </w:rPr>
      </w:pPr>
      <w:r>
        <w:rPr>
          <w:rFonts w:cs="Arial"/>
        </w:rPr>
        <w:t xml:space="preserve">Price that would have been the </w:t>
      </w:r>
      <w:r w:rsidR="004A215F" w:rsidRPr="004A215F">
        <w:rPr>
          <w:rFonts w:cs="Arial"/>
        </w:rPr>
        <w:t>Approv</w:t>
      </w:r>
      <w:r w:rsidR="004439A9">
        <w:rPr>
          <w:rFonts w:cs="Arial"/>
        </w:rPr>
        <w:t xml:space="preserve">ed </w:t>
      </w:r>
      <w:r w:rsidR="00D91369">
        <w:rPr>
          <w:rFonts w:cs="Arial"/>
        </w:rPr>
        <w:t xml:space="preserve">(Commonwealth) </w:t>
      </w:r>
      <w:r>
        <w:rPr>
          <w:rFonts w:cs="Arial"/>
        </w:rPr>
        <w:t>Ex-Manufacturer P</w:t>
      </w:r>
      <w:r w:rsidR="004439A9">
        <w:rPr>
          <w:rFonts w:cs="Arial"/>
        </w:rPr>
        <w:t xml:space="preserve">rice on </w:t>
      </w:r>
      <w:r w:rsidR="004A215F" w:rsidRPr="004A215F">
        <w:rPr>
          <w:rFonts w:cs="Arial"/>
        </w:rPr>
        <w:t>reduction day</w:t>
      </w:r>
      <w:r w:rsidR="00D91369">
        <w:rPr>
          <w:rFonts w:cs="Arial"/>
        </w:rPr>
        <w:t xml:space="preserve"> </w:t>
      </w:r>
      <w:r>
        <w:rPr>
          <w:rFonts w:cs="Arial"/>
        </w:rPr>
        <w:t xml:space="preserve">if there was no price disclosure reduction </w:t>
      </w:r>
      <w:r w:rsidR="00D91369">
        <w:rPr>
          <w:rFonts w:cs="Arial"/>
        </w:rPr>
        <w:t>(</w:t>
      </w:r>
      <w:r w:rsidR="008A2A8E" w:rsidRPr="000B186E">
        <w:rPr>
          <w:rFonts w:cs="Arial"/>
          <w:b/>
        </w:rPr>
        <w:t>C</w:t>
      </w:r>
      <w:r w:rsidR="008A2A8E">
        <w:rPr>
          <w:rFonts w:cs="Arial"/>
          <w:b/>
        </w:rPr>
        <w:t xml:space="preserve">urrent </w:t>
      </w:r>
      <w:r w:rsidR="00D91369" w:rsidRPr="00D91369">
        <w:rPr>
          <w:rFonts w:cs="Arial"/>
          <w:b/>
        </w:rPr>
        <w:t>AEMP</w:t>
      </w:r>
      <w:r w:rsidR="00D91369">
        <w:rPr>
          <w:rFonts w:cs="Arial"/>
        </w:rPr>
        <w:t>)</w:t>
      </w:r>
    </w:p>
    <w:p w14:paraId="0502CB00" w14:textId="77777777" w:rsidR="004A215F" w:rsidRPr="004A215F" w:rsidRDefault="00CF3ADB" w:rsidP="00B93854">
      <w:pPr>
        <w:numPr>
          <w:ilvl w:val="0"/>
          <w:numId w:val="10"/>
        </w:numPr>
        <w:tabs>
          <w:tab w:val="clear" w:pos="720"/>
          <w:tab w:val="num" w:pos="1418"/>
        </w:tabs>
        <w:spacing w:line="240" w:lineRule="auto"/>
        <w:ind w:left="1418" w:hanging="284"/>
        <w:rPr>
          <w:rFonts w:cs="Arial"/>
        </w:rPr>
      </w:pPr>
      <w:r>
        <w:rPr>
          <w:rFonts w:cs="Arial"/>
        </w:rPr>
        <w:t>Adjusted Approved</w:t>
      </w:r>
      <w:r w:rsidR="004A215F" w:rsidRPr="004A215F">
        <w:rPr>
          <w:rFonts w:cs="Arial"/>
        </w:rPr>
        <w:t xml:space="preserve"> </w:t>
      </w:r>
      <w:r>
        <w:rPr>
          <w:rFonts w:cs="Arial"/>
        </w:rPr>
        <w:t>(Commonwealth) E</w:t>
      </w:r>
      <w:r w:rsidR="004A215F" w:rsidRPr="004A215F">
        <w:rPr>
          <w:rFonts w:cs="Arial"/>
        </w:rPr>
        <w:t>x-</w:t>
      </w:r>
      <w:r>
        <w:rPr>
          <w:rFonts w:cs="Arial"/>
        </w:rPr>
        <w:t>M</w:t>
      </w:r>
      <w:r w:rsidR="004A215F" w:rsidRPr="004A215F">
        <w:rPr>
          <w:rFonts w:cs="Arial"/>
        </w:rPr>
        <w:t xml:space="preserve">anufacturer </w:t>
      </w:r>
      <w:r>
        <w:rPr>
          <w:rFonts w:cs="Arial"/>
        </w:rPr>
        <w:t>P</w:t>
      </w:r>
      <w:r w:rsidR="004A215F" w:rsidRPr="004A215F">
        <w:rPr>
          <w:rFonts w:cs="Arial"/>
        </w:rPr>
        <w:t xml:space="preserve">rice </w:t>
      </w:r>
      <w:r w:rsidR="004439A9">
        <w:rPr>
          <w:rFonts w:cs="Arial"/>
        </w:rPr>
        <w:t>o</w:t>
      </w:r>
      <w:r w:rsidR="00D91369">
        <w:rPr>
          <w:rFonts w:cs="Arial"/>
        </w:rPr>
        <w:t xml:space="preserve">n the reduction day - </w:t>
      </w:r>
      <w:r w:rsidR="004439A9">
        <w:rPr>
          <w:rFonts w:cs="Arial"/>
        </w:rPr>
        <w:t xml:space="preserve">usually the price </w:t>
      </w:r>
      <w:r w:rsidR="008A2A8E">
        <w:rPr>
          <w:rFonts w:cs="Arial"/>
        </w:rPr>
        <w:t xml:space="preserve">in the price </w:t>
      </w:r>
      <w:r w:rsidR="004439A9">
        <w:rPr>
          <w:rFonts w:cs="Arial"/>
        </w:rPr>
        <w:t>disclosure determination</w:t>
      </w:r>
      <w:r w:rsidR="00D91369">
        <w:rPr>
          <w:rFonts w:cs="Arial"/>
        </w:rPr>
        <w:t xml:space="preserve"> </w:t>
      </w:r>
      <w:r w:rsidR="00D91369" w:rsidRPr="004A215F">
        <w:rPr>
          <w:rFonts w:cs="Arial"/>
        </w:rPr>
        <w:t>(</w:t>
      </w:r>
      <w:r w:rsidRPr="00CF3ADB">
        <w:rPr>
          <w:rFonts w:cs="Arial"/>
          <w:b/>
        </w:rPr>
        <w:t xml:space="preserve">Adjusted </w:t>
      </w:r>
      <w:r w:rsidR="00D91369" w:rsidRPr="00D91369">
        <w:rPr>
          <w:rFonts w:cs="Arial"/>
          <w:b/>
        </w:rPr>
        <w:t>AEMP</w:t>
      </w:r>
      <w:r>
        <w:rPr>
          <w:rFonts w:cs="Arial"/>
          <w:b/>
        </w:rPr>
        <w:t>)</w:t>
      </w:r>
    </w:p>
    <w:p w14:paraId="57326C08" w14:textId="77777777" w:rsidR="004A215F" w:rsidRPr="004A215F" w:rsidRDefault="008A2A8E" w:rsidP="00B93854">
      <w:pPr>
        <w:numPr>
          <w:ilvl w:val="0"/>
          <w:numId w:val="10"/>
        </w:numPr>
        <w:tabs>
          <w:tab w:val="clear" w:pos="720"/>
          <w:tab w:val="num" w:pos="1418"/>
        </w:tabs>
        <w:spacing w:line="240" w:lineRule="auto"/>
        <w:ind w:left="1418" w:hanging="284"/>
        <w:rPr>
          <w:rFonts w:cs="Arial"/>
        </w:rPr>
      </w:pPr>
      <w:r>
        <w:rPr>
          <w:rFonts w:cs="Arial"/>
        </w:rPr>
        <w:t>C</w:t>
      </w:r>
      <w:r w:rsidR="004A215F" w:rsidRPr="004A215F">
        <w:rPr>
          <w:rFonts w:cs="Arial"/>
        </w:rPr>
        <w:t xml:space="preserve">laimed </w:t>
      </w:r>
      <w:r w:rsidR="00D91369">
        <w:rPr>
          <w:rFonts w:cs="Arial"/>
        </w:rPr>
        <w:t>(</w:t>
      </w:r>
      <w:r>
        <w:rPr>
          <w:rFonts w:cs="Arial"/>
        </w:rPr>
        <w:t>M</w:t>
      </w:r>
      <w:r w:rsidR="004A215F" w:rsidRPr="004A215F">
        <w:rPr>
          <w:rFonts w:cs="Arial"/>
        </w:rPr>
        <w:t>anufacturer’s</w:t>
      </w:r>
      <w:r w:rsidR="00D91369">
        <w:rPr>
          <w:rFonts w:cs="Arial"/>
        </w:rPr>
        <w:t>)</w:t>
      </w:r>
      <w:r w:rsidR="004A215F" w:rsidRPr="004A215F">
        <w:rPr>
          <w:rFonts w:cs="Arial"/>
        </w:rPr>
        <w:t xml:space="preserve"> </w:t>
      </w:r>
      <w:r w:rsidR="00D91369">
        <w:rPr>
          <w:rFonts w:cs="Arial"/>
        </w:rPr>
        <w:t xml:space="preserve">ex-manufacturer price </w:t>
      </w:r>
      <w:r w:rsidR="004439A9">
        <w:rPr>
          <w:rFonts w:cs="Arial"/>
        </w:rPr>
        <w:t xml:space="preserve">on the day </w:t>
      </w:r>
      <w:r w:rsidR="004A215F" w:rsidRPr="004A215F">
        <w:rPr>
          <w:rFonts w:cs="Arial"/>
        </w:rPr>
        <w:t>before the reduction d</w:t>
      </w:r>
      <w:r w:rsidR="00705358">
        <w:rPr>
          <w:rFonts w:cs="Arial"/>
        </w:rPr>
        <w:t>ay</w:t>
      </w:r>
      <w:r w:rsidR="00D91369">
        <w:rPr>
          <w:rFonts w:cs="Arial"/>
        </w:rPr>
        <w:t xml:space="preserve"> </w:t>
      </w:r>
      <w:r w:rsidR="00D91369" w:rsidRPr="004A215F">
        <w:rPr>
          <w:rFonts w:cs="Arial"/>
        </w:rPr>
        <w:t>(</w:t>
      </w:r>
      <w:r>
        <w:rPr>
          <w:rFonts w:cs="Arial"/>
          <w:b/>
        </w:rPr>
        <w:t>C</w:t>
      </w:r>
      <w:r w:rsidR="00D91369" w:rsidRPr="00D91369">
        <w:rPr>
          <w:rFonts w:cs="Arial"/>
          <w:b/>
        </w:rPr>
        <w:t xml:space="preserve">urrent Claimed </w:t>
      </w:r>
      <w:r w:rsidR="00D91369">
        <w:rPr>
          <w:rFonts w:cs="Arial"/>
          <w:b/>
        </w:rPr>
        <w:t>P</w:t>
      </w:r>
      <w:r w:rsidR="00D91369" w:rsidRPr="00D91369">
        <w:rPr>
          <w:rFonts w:cs="Arial"/>
          <w:b/>
        </w:rPr>
        <w:t>rice</w:t>
      </w:r>
      <w:r w:rsidR="00D91369" w:rsidRPr="004A215F">
        <w:rPr>
          <w:rFonts w:cs="Arial"/>
        </w:rPr>
        <w:t>)</w:t>
      </w:r>
    </w:p>
    <w:p w14:paraId="44674F1D" w14:textId="77777777" w:rsidR="00D14035" w:rsidRDefault="00D14035" w:rsidP="00925E92">
      <w:pPr>
        <w:spacing w:line="240" w:lineRule="auto"/>
        <w:ind w:left="425"/>
        <w:rPr>
          <w:rFonts w:cs="Arial"/>
          <w:b/>
          <w:bCs/>
          <w:i/>
        </w:rPr>
      </w:pPr>
    </w:p>
    <w:p w14:paraId="4A52EE11" w14:textId="77777777" w:rsidR="004A215F" w:rsidRPr="00C91DE4" w:rsidRDefault="004A215F" w:rsidP="00925E92">
      <w:pPr>
        <w:spacing w:line="240" w:lineRule="auto"/>
        <w:ind w:left="425"/>
        <w:rPr>
          <w:rFonts w:cs="Arial"/>
          <w:b/>
          <w:bCs/>
          <w:i/>
        </w:rPr>
      </w:pPr>
      <w:r w:rsidRPr="00C91DE4">
        <w:rPr>
          <w:rFonts w:cs="Arial"/>
          <w:b/>
          <w:bCs/>
          <w:i/>
        </w:rPr>
        <w:t xml:space="preserve">Step 2: Calculate the New Claimed </w:t>
      </w:r>
      <w:r w:rsidR="00BC4029">
        <w:rPr>
          <w:rFonts w:cs="Arial"/>
          <w:b/>
          <w:bCs/>
          <w:i/>
        </w:rPr>
        <w:t>Price (</w:t>
      </w:r>
      <w:r w:rsidR="00E03B52">
        <w:rPr>
          <w:rFonts w:cs="Arial"/>
          <w:b/>
          <w:bCs/>
          <w:i/>
        </w:rPr>
        <w:t>i.e.,</w:t>
      </w:r>
      <w:r w:rsidR="00CF3ADB">
        <w:rPr>
          <w:rFonts w:cs="Arial"/>
          <w:b/>
          <w:bCs/>
          <w:i/>
        </w:rPr>
        <w:t xml:space="preserve"> New M</w:t>
      </w:r>
      <w:r w:rsidRPr="00C91DE4">
        <w:rPr>
          <w:rFonts w:cs="Arial"/>
          <w:b/>
          <w:bCs/>
          <w:i/>
        </w:rPr>
        <w:t xml:space="preserve">anufacturer’s </w:t>
      </w:r>
      <w:r w:rsidR="00805CBA">
        <w:rPr>
          <w:rFonts w:cs="Arial"/>
          <w:b/>
          <w:bCs/>
          <w:i/>
        </w:rPr>
        <w:t>E</w:t>
      </w:r>
      <w:r w:rsidRPr="00C91DE4">
        <w:rPr>
          <w:rFonts w:cs="Arial"/>
          <w:b/>
          <w:i/>
        </w:rPr>
        <w:t xml:space="preserve">x-manufacturer </w:t>
      </w:r>
      <w:r w:rsidR="00805CBA">
        <w:rPr>
          <w:rFonts w:cs="Arial"/>
          <w:b/>
          <w:i/>
        </w:rPr>
        <w:t>P</w:t>
      </w:r>
      <w:r w:rsidRPr="00C91DE4">
        <w:rPr>
          <w:rFonts w:cs="Arial"/>
          <w:b/>
          <w:i/>
        </w:rPr>
        <w:t>rice</w:t>
      </w:r>
      <w:r w:rsidR="00CF3ADB">
        <w:rPr>
          <w:rFonts w:cs="Arial"/>
          <w:b/>
          <w:bCs/>
          <w:i/>
        </w:rPr>
        <w:t>)</w:t>
      </w:r>
    </w:p>
    <w:p w14:paraId="6A83D68B" w14:textId="77777777" w:rsidR="00041DEC" w:rsidRDefault="004A215F" w:rsidP="00657D79">
      <w:pPr>
        <w:spacing w:after="240" w:line="240" w:lineRule="auto"/>
        <w:ind w:left="425"/>
        <w:rPr>
          <w:rFonts w:cs="Arial"/>
        </w:rPr>
      </w:pPr>
      <w:r w:rsidRPr="004A215F">
        <w:rPr>
          <w:rFonts w:cs="Arial"/>
        </w:rPr>
        <w:t xml:space="preserve">To </w:t>
      </w:r>
      <w:r w:rsidR="00D91369">
        <w:rPr>
          <w:rFonts w:cs="Arial"/>
        </w:rPr>
        <w:t>work out</w:t>
      </w:r>
      <w:r w:rsidRPr="004A215F">
        <w:rPr>
          <w:rFonts w:cs="Arial"/>
        </w:rPr>
        <w:t xml:space="preserve"> a new claimed </w:t>
      </w:r>
      <w:r w:rsidR="00CF3ADB">
        <w:rPr>
          <w:rFonts w:cs="Arial"/>
        </w:rPr>
        <w:t xml:space="preserve">price </w:t>
      </w:r>
      <w:r w:rsidRPr="004A215F">
        <w:rPr>
          <w:rFonts w:cs="Arial"/>
        </w:rPr>
        <w:t>calculate the reduction percentage that needs t</w:t>
      </w:r>
      <w:r w:rsidR="00CF3ADB">
        <w:rPr>
          <w:rFonts w:cs="Arial"/>
        </w:rPr>
        <w:t>o apply to the current claimed</w:t>
      </w:r>
      <w:r w:rsidR="00D91369">
        <w:rPr>
          <w:rFonts w:cs="Arial"/>
        </w:rPr>
        <w:t xml:space="preserve"> price</w:t>
      </w:r>
      <w:r w:rsidRPr="004A215F">
        <w:rPr>
          <w:rFonts w:cs="Arial"/>
        </w:rPr>
        <w:t xml:space="preserve">, as prescribed in subsection 99ADH (4) of the Act. This method is tabled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4A0" w:firstRow="1" w:lastRow="0" w:firstColumn="1" w:lastColumn="0" w:noHBand="0" w:noVBand="1"/>
      </w:tblPr>
      <w:tblGrid>
        <w:gridCol w:w="9243"/>
      </w:tblGrid>
      <w:tr w:rsidR="00041DEC" w:rsidRPr="00BB28F3" w14:paraId="2184AC7F" w14:textId="77777777" w:rsidTr="00BB28F3">
        <w:tc>
          <w:tcPr>
            <w:tcW w:w="9243" w:type="dxa"/>
            <w:shd w:val="clear" w:color="auto" w:fill="C6D9F1"/>
          </w:tcPr>
          <w:tbl>
            <w:tblPr>
              <w:tblW w:w="0" w:type="auto"/>
              <w:tblLayout w:type="fixed"/>
              <w:tblLook w:val="04A0" w:firstRow="1" w:lastRow="0" w:firstColumn="1" w:lastColumn="0" w:noHBand="0" w:noVBand="1"/>
            </w:tblPr>
            <w:tblGrid>
              <w:gridCol w:w="1545"/>
              <w:gridCol w:w="283"/>
              <w:gridCol w:w="2126"/>
              <w:gridCol w:w="409"/>
              <w:gridCol w:w="584"/>
              <w:gridCol w:w="445"/>
              <w:gridCol w:w="3620"/>
            </w:tblGrid>
            <w:tr w:rsidR="0018413E" w:rsidRPr="00BB28F3" w14:paraId="3381FBB3" w14:textId="77777777" w:rsidTr="00BB28F3">
              <w:tc>
                <w:tcPr>
                  <w:tcW w:w="1545" w:type="dxa"/>
                  <w:tcBorders>
                    <w:bottom w:val="single" w:sz="12" w:space="0" w:color="auto"/>
                  </w:tcBorders>
                  <w:shd w:val="clear" w:color="auto" w:fill="auto"/>
                  <w:vAlign w:val="center"/>
                </w:tcPr>
                <w:p w14:paraId="5ECA8090" w14:textId="77777777" w:rsidR="00041DEC" w:rsidRPr="00BB28F3" w:rsidRDefault="008A2A8E" w:rsidP="00BB28F3">
                  <w:pPr>
                    <w:spacing w:line="240" w:lineRule="auto"/>
                    <w:jc w:val="center"/>
                    <w:rPr>
                      <w:rFonts w:cs="Arial"/>
                      <w:b/>
                      <w:i/>
                      <w:sz w:val="20"/>
                      <w:szCs w:val="20"/>
                    </w:rPr>
                  </w:pPr>
                  <w:r w:rsidRPr="00BB28F3">
                    <w:rPr>
                      <w:rFonts w:cs="Arial"/>
                      <w:b/>
                      <w:i/>
                      <w:sz w:val="20"/>
                      <w:szCs w:val="20"/>
                    </w:rPr>
                    <w:t xml:space="preserve">Current </w:t>
                  </w:r>
                  <w:r w:rsidR="00041DEC" w:rsidRPr="00BB28F3">
                    <w:rPr>
                      <w:rFonts w:cs="Arial"/>
                      <w:b/>
                      <w:i/>
                      <w:sz w:val="20"/>
                      <w:szCs w:val="20"/>
                    </w:rPr>
                    <w:t xml:space="preserve">AEMP </w:t>
                  </w:r>
                </w:p>
              </w:tc>
              <w:tc>
                <w:tcPr>
                  <w:tcW w:w="283" w:type="dxa"/>
                  <w:tcBorders>
                    <w:bottom w:val="single" w:sz="12" w:space="0" w:color="auto"/>
                  </w:tcBorders>
                  <w:shd w:val="clear" w:color="auto" w:fill="auto"/>
                  <w:vAlign w:val="center"/>
                </w:tcPr>
                <w:p w14:paraId="19B30E00" w14:textId="77777777" w:rsidR="00041DEC" w:rsidRPr="00BB28F3" w:rsidRDefault="00041DEC" w:rsidP="00BB28F3">
                  <w:pPr>
                    <w:spacing w:line="240" w:lineRule="auto"/>
                    <w:jc w:val="center"/>
                    <w:rPr>
                      <w:rFonts w:cs="Arial"/>
                      <w:i/>
                      <w:sz w:val="20"/>
                      <w:szCs w:val="20"/>
                    </w:rPr>
                  </w:pPr>
                  <w:r w:rsidRPr="00BB28F3">
                    <w:rPr>
                      <w:rFonts w:cs="Arial"/>
                    </w:rPr>
                    <w:t>–</w:t>
                  </w:r>
                </w:p>
              </w:tc>
              <w:tc>
                <w:tcPr>
                  <w:tcW w:w="2126" w:type="dxa"/>
                  <w:tcBorders>
                    <w:bottom w:val="single" w:sz="12" w:space="0" w:color="auto"/>
                  </w:tcBorders>
                  <w:shd w:val="clear" w:color="auto" w:fill="auto"/>
                  <w:vAlign w:val="center"/>
                </w:tcPr>
                <w:p w14:paraId="052CC8E1"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Adjusted AEMP</w:t>
                  </w:r>
                </w:p>
              </w:tc>
              <w:tc>
                <w:tcPr>
                  <w:tcW w:w="409" w:type="dxa"/>
                  <w:vMerge w:val="restart"/>
                  <w:shd w:val="clear" w:color="auto" w:fill="auto"/>
                  <w:vAlign w:val="center"/>
                </w:tcPr>
                <w:p w14:paraId="22232007"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584" w:type="dxa"/>
                  <w:vMerge w:val="restart"/>
                  <w:shd w:val="clear" w:color="auto" w:fill="auto"/>
                  <w:vAlign w:val="center"/>
                </w:tcPr>
                <w:p w14:paraId="3890808A"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100</w:t>
                  </w:r>
                </w:p>
              </w:tc>
              <w:tc>
                <w:tcPr>
                  <w:tcW w:w="445" w:type="dxa"/>
                  <w:vMerge w:val="restart"/>
                  <w:shd w:val="clear" w:color="auto" w:fill="auto"/>
                  <w:vAlign w:val="center"/>
                </w:tcPr>
                <w:p w14:paraId="1A9FF95D"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3620" w:type="dxa"/>
                  <w:vMerge w:val="restart"/>
                  <w:shd w:val="clear" w:color="auto" w:fill="auto"/>
                  <w:vAlign w:val="center"/>
                </w:tcPr>
                <w:p w14:paraId="062E265A" w14:textId="77777777" w:rsidR="00041DEC" w:rsidRPr="00BB28F3" w:rsidRDefault="00041DEC" w:rsidP="00BB28F3">
                  <w:pPr>
                    <w:spacing w:line="240" w:lineRule="auto"/>
                    <w:rPr>
                      <w:rFonts w:cs="Arial"/>
                      <w:b/>
                      <w:i/>
                      <w:sz w:val="20"/>
                      <w:szCs w:val="20"/>
                    </w:rPr>
                  </w:pPr>
                  <w:r w:rsidRPr="00BB28F3">
                    <w:rPr>
                      <w:rFonts w:cs="Arial"/>
                      <w:b/>
                      <w:i/>
                      <w:color w:val="0000FF"/>
                      <w:sz w:val="20"/>
                      <w:szCs w:val="20"/>
                    </w:rPr>
                    <w:t>calculated percentage</w:t>
                  </w:r>
                </w:p>
              </w:tc>
            </w:tr>
            <w:tr w:rsidR="0018413E" w:rsidRPr="00BB28F3" w14:paraId="1137D573" w14:textId="77777777" w:rsidTr="00BB28F3">
              <w:tc>
                <w:tcPr>
                  <w:tcW w:w="3954" w:type="dxa"/>
                  <w:gridSpan w:val="3"/>
                  <w:tcBorders>
                    <w:top w:val="single" w:sz="12" w:space="0" w:color="auto"/>
                  </w:tcBorders>
                  <w:shd w:val="clear" w:color="auto" w:fill="auto"/>
                  <w:vAlign w:val="center"/>
                </w:tcPr>
                <w:p w14:paraId="1CA1D3ED" w14:textId="77777777" w:rsidR="00041DEC" w:rsidRPr="00BB28F3" w:rsidRDefault="008A2A8E" w:rsidP="00BB28F3">
                  <w:pPr>
                    <w:spacing w:line="240" w:lineRule="auto"/>
                    <w:jc w:val="center"/>
                    <w:rPr>
                      <w:rFonts w:cs="Arial"/>
                      <w:b/>
                      <w:i/>
                      <w:sz w:val="20"/>
                      <w:szCs w:val="20"/>
                    </w:rPr>
                  </w:pPr>
                  <w:r w:rsidRPr="00BB28F3">
                    <w:rPr>
                      <w:rFonts w:cs="Arial"/>
                      <w:b/>
                      <w:i/>
                      <w:sz w:val="20"/>
                      <w:szCs w:val="20"/>
                    </w:rPr>
                    <w:t xml:space="preserve">Current </w:t>
                  </w:r>
                  <w:r w:rsidR="00041DEC" w:rsidRPr="00BB28F3">
                    <w:rPr>
                      <w:rFonts w:cs="Arial"/>
                      <w:b/>
                      <w:i/>
                      <w:sz w:val="20"/>
                      <w:szCs w:val="20"/>
                    </w:rPr>
                    <w:t>AEMP</w:t>
                  </w:r>
                </w:p>
              </w:tc>
              <w:tc>
                <w:tcPr>
                  <w:tcW w:w="409" w:type="dxa"/>
                  <w:vMerge/>
                  <w:shd w:val="clear" w:color="auto" w:fill="auto"/>
                </w:tcPr>
                <w:p w14:paraId="074BF308" w14:textId="77777777" w:rsidR="00041DEC" w:rsidRPr="00BB28F3" w:rsidRDefault="00041DEC" w:rsidP="00BB28F3">
                  <w:pPr>
                    <w:spacing w:line="240" w:lineRule="auto"/>
                    <w:rPr>
                      <w:rFonts w:cs="Arial"/>
                      <w:sz w:val="20"/>
                      <w:szCs w:val="20"/>
                    </w:rPr>
                  </w:pPr>
                </w:p>
              </w:tc>
              <w:tc>
                <w:tcPr>
                  <w:tcW w:w="584" w:type="dxa"/>
                  <w:vMerge/>
                  <w:shd w:val="clear" w:color="auto" w:fill="auto"/>
                </w:tcPr>
                <w:p w14:paraId="07B73BC6" w14:textId="77777777" w:rsidR="00041DEC" w:rsidRPr="00BB28F3" w:rsidRDefault="00041DEC" w:rsidP="00BB28F3">
                  <w:pPr>
                    <w:spacing w:line="240" w:lineRule="auto"/>
                    <w:rPr>
                      <w:rFonts w:cs="Arial"/>
                      <w:sz w:val="20"/>
                      <w:szCs w:val="20"/>
                    </w:rPr>
                  </w:pPr>
                </w:p>
              </w:tc>
              <w:tc>
                <w:tcPr>
                  <w:tcW w:w="445" w:type="dxa"/>
                  <w:vMerge/>
                  <w:shd w:val="clear" w:color="auto" w:fill="auto"/>
                </w:tcPr>
                <w:p w14:paraId="1B7CC172" w14:textId="77777777" w:rsidR="00041DEC" w:rsidRPr="00BB28F3" w:rsidRDefault="00041DEC" w:rsidP="00BB28F3">
                  <w:pPr>
                    <w:spacing w:line="240" w:lineRule="auto"/>
                    <w:rPr>
                      <w:rFonts w:cs="Arial"/>
                      <w:sz w:val="20"/>
                      <w:szCs w:val="20"/>
                    </w:rPr>
                  </w:pPr>
                </w:p>
              </w:tc>
              <w:tc>
                <w:tcPr>
                  <w:tcW w:w="3620" w:type="dxa"/>
                  <w:vMerge/>
                  <w:shd w:val="clear" w:color="auto" w:fill="auto"/>
                </w:tcPr>
                <w:p w14:paraId="1C15F3D4" w14:textId="77777777" w:rsidR="00041DEC" w:rsidRPr="00BB28F3" w:rsidRDefault="00041DEC" w:rsidP="00BB28F3">
                  <w:pPr>
                    <w:spacing w:line="240" w:lineRule="auto"/>
                    <w:rPr>
                      <w:rFonts w:cs="Arial"/>
                      <w:sz w:val="20"/>
                      <w:szCs w:val="20"/>
                    </w:rPr>
                  </w:pPr>
                </w:p>
              </w:tc>
            </w:tr>
          </w:tbl>
          <w:p w14:paraId="2604508E" w14:textId="77777777" w:rsidR="00041DEC" w:rsidRPr="00BB28F3" w:rsidRDefault="00041DEC" w:rsidP="00BB28F3">
            <w:pPr>
              <w:spacing w:line="240" w:lineRule="auto"/>
              <w:rPr>
                <w:rFonts w:cs="Arial"/>
                <w:sz w:val="16"/>
                <w:szCs w:val="16"/>
              </w:rPr>
            </w:pPr>
          </w:p>
          <w:tbl>
            <w:tblPr>
              <w:tblW w:w="0" w:type="auto"/>
              <w:tblLayout w:type="fixed"/>
              <w:tblLook w:val="04A0" w:firstRow="1" w:lastRow="0" w:firstColumn="1" w:lastColumn="0" w:noHBand="0" w:noVBand="1"/>
            </w:tblPr>
            <w:tblGrid>
              <w:gridCol w:w="2405"/>
              <w:gridCol w:w="284"/>
              <w:gridCol w:w="2341"/>
              <w:gridCol w:w="390"/>
              <w:gridCol w:w="2860"/>
            </w:tblGrid>
            <w:tr w:rsidR="0018413E" w:rsidRPr="00BB28F3" w14:paraId="4D8BAF36" w14:textId="77777777" w:rsidTr="00BB28F3">
              <w:tc>
                <w:tcPr>
                  <w:tcW w:w="2405" w:type="dxa"/>
                  <w:shd w:val="clear" w:color="auto" w:fill="auto"/>
                  <w:vAlign w:val="center"/>
                </w:tcPr>
                <w:p w14:paraId="0E931EC5"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Current Claimed Price</w:t>
                  </w:r>
                </w:p>
              </w:tc>
              <w:tc>
                <w:tcPr>
                  <w:tcW w:w="284" w:type="dxa"/>
                  <w:shd w:val="clear" w:color="auto" w:fill="auto"/>
                  <w:vAlign w:val="center"/>
                </w:tcPr>
                <w:p w14:paraId="3D103479" w14:textId="77777777" w:rsidR="00041DEC" w:rsidRPr="00BB28F3" w:rsidRDefault="00041DEC" w:rsidP="00BB28F3">
                  <w:pPr>
                    <w:spacing w:line="240" w:lineRule="auto"/>
                    <w:jc w:val="center"/>
                    <w:rPr>
                      <w:rFonts w:cs="Arial"/>
                      <w:i/>
                      <w:sz w:val="20"/>
                      <w:szCs w:val="20"/>
                    </w:rPr>
                  </w:pPr>
                  <w:r w:rsidRPr="00BB28F3">
                    <w:rPr>
                      <w:rFonts w:cs="Arial"/>
                    </w:rPr>
                    <w:t>–</w:t>
                  </w:r>
                </w:p>
              </w:tc>
              <w:tc>
                <w:tcPr>
                  <w:tcW w:w="2341" w:type="dxa"/>
                  <w:shd w:val="clear" w:color="auto" w:fill="auto"/>
                  <w:vAlign w:val="center"/>
                </w:tcPr>
                <w:p w14:paraId="31B9D5AF" w14:textId="77777777" w:rsidR="00041DEC" w:rsidRPr="00BB28F3" w:rsidRDefault="00041DEC" w:rsidP="00BB28F3">
                  <w:pPr>
                    <w:spacing w:line="240" w:lineRule="auto"/>
                    <w:rPr>
                      <w:rFonts w:cs="Arial"/>
                      <w:b/>
                      <w:i/>
                      <w:sz w:val="20"/>
                      <w:szCs w:val="20"/>
                    </w:rPr>
                  </w:pPr>
                  <w:r w:rsidRPr="00BB28F3">
                    <w:rPr>
                      <w:rFonts w:cs="Arial"/>
                      <w:b/>
                      <w:i/>
                      <w:color w:val="0000FF"/>
                      <w:sz w:val="20"/>
                      <w:szCs w:val="20"/>
                    </w:rPr>
                    <w:t>calculated percentage</w:t>
                  </w:r>
                </w:p>
              </w:tc>
              <w:tc>
                <w:tcPr>
                  <w:tcW w:w="390" w:type="dxa"/>
                  <w:shd w:val="clear" w:color="auto" w:fill="auto"/>
                  <w:vAlign w:val="center"/>
                </w:tcPr>
                <w:p w14:paraId="4147583E" w14:textId="77777777" w:rsidR="00041DEC" w:rsidRPr="00BB28F3" w:rsidRDefault="00041DEC" w:rsidP="00BB28F3">
                  <w:pPr>
                    <w:spacing w:line="240" w:lineRule="auto"/>
                    <w:jc w:val="center"/>
                    <w:rPr>
                      <w:rFonts w:cs="Arial"/>
                      <w:b/>
                      <w:i/>
                      <w:sz w:val="20"/>
                      <w:szCs w:val="20"/>
                    </w:rPr>
                  </w:pPr>
                  <w:r w:rsidRPr="00BB28F3">
                    <w:rPr>
                      <w:rFonts w:cs="Arial"/>
                      <w:b/>
                      <w:i/>
                      <w:sz w:val="20"/>
                      <w:szCs w:val="20"/>
                    </w:rPr>
                    <w:t>=</w:t>
                  </w:r>
                </w:p>
              </w:tc>
              <w:tc>
                <w:tcPr>
                  <w:tcW w:w="2860" w:type="dxa"/>
                  <w:shd w:val="clear" w:color="auto" w:fill="auto"/>
                  <w:vAlign w:val="center"/>
                </w:tcPr>
                <w:p w14:paraId="691108CE" w14:textId="77777777" w:rsidR="00041DEC" w:rsidRPr="00BB28F3" w:rsidRDefault="00041DEC" w:rsidP="00EA4D2C">
                  <w:pPr>
                    <w:spacing w:after="120" w:line="240" w:lineRule="auto"/>
                    <w:rPr>
                      <w:rFonts w:cs="Arial"/>
                      <w:b/>
                      <w:i/>
                      <w:sz w:val="20"/>
                      <w:szCs w:val="20"/>
                    </w:rPr>
                  </w:pPr>
                  <w:r w:rsidRPr="00BB28F3">
                    <w:rPr>
                      <w:rFonts w:cs="Arial"/>
                      <w:b/>
                      <w:i/>
                      <w:sz w:val="20"/>
                      <w:szCs w:val="20"/>
                    </w:rPr>
                    <w:t>New Claimed Price</w:t>
                  </w:r>
                </w:p>
              </w:tc>
            </w:tr>
          </w:tbl>
          <w:p w14:paraId="02CD856F" w14:textId="77777777" w:rsidR="00041DEC" w:rsidRPr="00BB28F3" w:rsidRDefault="00041DEC" w:rsidP="00BB28F3">
            <w:pPr>
              <w:spacing w:line="240" w:lineRule="auto"/>
              <w:rPr>
                <w:rFonts w:cs="Arial"/>
              </w:rPr>
            </w:pPr>
          </w:p>
        </w:tc>
      </w:tr>
    </w:tbl>
    <w:p w14:paraId="79DA4E51" w14:textId="77777777" w:rsidR="00D14035" w:rsidRDefault="00D14035" w:rsidP="00925E92">
      <w:pPr>
        <w:spacing w:line="240" w:lineRule="auto"/>
        <w:ind w:firstLine="425"/>
        <w:rPr>
          <w:rFonts w:cs="Arial"/>
          <w:b/>
          <w:bCs/>
          <w:i/>
        </w:rPr>
      </w:pPr>
      <w:bookmarkStart w:id="75" w:name="How_do_I_calculate_a_new_Brand_Premium"/>
      <w:bookmarkEnd w:id="75"/>
    </w:p>
    <w:p w14:paraId="46FB6386" w14:textId="77777777" w:rsidR="00705358" w:rsidRPr="00C91DE4" w:rsidRDefault="00D16B83" w:rsidP="00925E92">
      <w:pPr>
        <w:spacing w:line="240" w:lineRule="auto"/>
        <w:ind w:firstLine="425"/>
        <w:rPr>
          <w:rFonts w:cs="Arial"/>
          <w:i/>
        </w:rPr>
      </w:pPr>
      <w:r w:rsidRPr="00C91DE4">
        <w:rPr>
          <w:rFonts w:cs="Arial"/>
          <w:b/>
          <w:bCs/>
          <w:i/>
        </w:rPr>
        <w:t xml:space="preserve">Step 3: Calculate the Premium </w:t>
      </w:r>
    </w:p>
    <w:p w14:paraId="3525ED50" w14:textId="77777777" w:rsidR="00705358" w:rsidRPr="00CF3ADB" w:rsidRDefault="00D16B83" w:rsidP="00925E92">
      <w:pPr>
        <w:spacing w:line="240" w:lineRule="auto"/>
        <w:ind w:left="425"/>
        <w:rPr>
          <w:rFonts w:cs="Arial"/>
          <w:b/>
          <w:bCs/>
          <w:i/>
        </w:rPr>
      </w:pPr>
      <w:r w:rsidRPr="00410C27">
        <w:rPr>
          <w:rFonts w:cs="Arial"/>
          <w:b/>
          <w:bCs/>
          <w:i/>
        </w:rPr>
        <w:t xml:space="preserve">Calculate the </w:t>
      </w:r>
      <w:r w:rsidR="00177F4B" w:rsidRPr="00410C27">
        <w:rPr>
          <w:rFonts w:cs="Arial"/>
          <w:b/>
          <w:bCs/>
          <w:i/>
        </w:rPr>
        <w:t xml:space="preserve">Claimed </w:t>
      </w:r>
      <w:r w:rsidR="00805CBA">
        <w:rPr>
          <w:rFonts w:cs="Arial"/>
          <w:b/>
          <w:bCs/>
          <w:i/>
        </w:rPr>
        <w:t xml:space="preserve">DPMQ </w:t>
      </w:r>
      <w:r w:rsidR="00805CBA" w:rsidRPr="00CF3ADB">
        <w:rPr>
          <w:rFonts w:cs="Arial"/>
          <w:b/>
          <w:bCs/>
          <w:i/>
        </w:rPr>
        <w:t>(</w:t>
      </w:r>
      <w:r w:rsidR="00E03B52">
        <w:rPr>
          <w:rFonts w:cs="Arial"/>
          <w:b/>
          <w:bCs/>
          <w:i/>
        </w:rPr>
        <w:t>i.e.,</w:t>
      </w:r>
      <w:r w:rsidR="00805CBA" w:rsidRPr="00CF3ADB">
        <w:rPr>
          <w:rFonts w:cs="Arial"/>
          <w:b/>
          <w:bCs/>
          <w:i/>
        </w:rPr>
        <w:t xml:space="preserve"> </w:t>
      </w:r>
      <w:r w:rsidR="00177F4B" w:rsidRPr="00CF3ADB">
        <w:rPr>
          <w:rFonts w:cs="Arial"/>
          <w:b/>
          <w:bCs/>
          <w:i/>
        </w:rPr>
        <w:t>M</w:t>
      </w:r>
      <w:r w:rsidRPr="00CF3ADB">
        <w:rPr>
          <w:rFonts w:cs="Arial"/>
          <w:b/>
          <w:bCs/>
          <w:i/>
        </w:rPr>
        <w:t>anufacturer’s Dispens</w:t>
      </w:r>
      <w:r w:rsidR="00177F4B" w:rsidRPr="00CF3ADB">
        <w:rPr>
          <w:rFonts w:cs="Arial"/>
          <w:b/>
          <w:bCs/>
          <w:i/>
        </w:rPr>
        <w:t>ed Price for Maximum Quantity</w:t>
      </w:r>
      <w:r w:rsidR="00805CBA" w:rsidRPr="00CF3ADB">
        <w:rPr>
          <w:rFonts w:cs="Arial"/>
          <w:b/>
          <w:bCs/>
          <w:i/>
        </w:rPr>
        <w:t xml:space="preserve">, </w:t>
      </w:r>
      <w:r w:rsidR="00177F4B" w:rsidRPr="00CF3ADB">
        <w:rPr>
          <w:rFonts w:cs="Arial"/>
          <w:b/>
          <w:bCs/>
          <w:i/>
        </w:rPr>
        <w:t>including Premium)</w:t>
      </w:r>
    </w:p>
    <w:p w14:paraId="0B0DE38B" w14:textId="77777777" w:rsidR="00705358" w:rsidRPr="00410C27" w:rsidRDefault="00E246B3" w:rsidP="00925E92">
      <w:pPr>
        <w:spacing w:line="240" w:lineRule="auto"/>
        <w:ind w:left="425"/>
        <w:rPr>
          <w:rFonts w:cs="Arial"/>
        </w:rPr>
      </w:pPr>
      <w:r w:rsidRPr="00410C27">
        <w:rPr>
          <w:rFonts w:cs="Arial"/>
        </w:rPr>
        <w:t xml:space="preserve">New </w:t>
      </w:r>
      <w:r w:rsidR="00805CBA">
        <w:rPr>
          <w:rFonts w:cs="Arial"/>
        </w:rPr>
        <w:t>C</w:t>
      </w:r>
      <w:r w:rsidR="00D16B83" w:rsidRPr="00410C27">
        <w:rPr>
          <w:rFonts w:cs="Arial"/>
        </w:rPr>
        <w:t xml:space="preserve">laimed </w:t>
      </w:r>
      <w:r w:rsidR="00D055F4" w:rsidRPr="00410C27">
        <w:rPr>
          <w:rFonts w:cs="Arial"/>
        </w:rPr>
        <w:t>P</w:t>
      </w:r>
      <w:r w:rsidR="00805CBA">
        <w:rPr>
          <w:rFonts w:cs="Arial"/>
        </w:rPr>
        <w:t>rice</w:t>
      </w:r>
      <w:r w:rsidRPr="00410C27">
        <w:rPr>
          <w:rFonts w:cs="Arial"/>
        </w:rPr>
        <w:t xml:space="preserve"> + </w:t>
      </w:r>
      <w:r w:rsidR="00805CBA">
        <w:rPr>
          <w:rFonts w:cs="Arial"/>
        </w:rPr>
        <w:t xml:space="preserve">applicable wholesale mark-up + </w:t>
      </w:r>
      <w:r w:rsidRPr="00410C27">
        <w:rPr>
          <w:rFonts w:cs="Arial"/>
        </w:rPr>
        <w:t>applicable p</w:t>
      </w:r>
      <w:r w:rsidR="00D16B83" w:rsidRPr="00410C27">
        <w:rPr>
          <w:rFonts w:cs="Arial"/>
        </w:rPr>
        <w:t xml:space="preserve">harmacy </w:t>
      </w:r>
      <w:r w:rsidRPr="00410C27">
        <w:rPr>
          <w:rFonts w:cs="Arial"/>
        </w:rPr>
        <w:t>mark-up</w:t>
      </w:r>
      <w:r w:rsidR="00177F4B" w:rsidRPr="00410C27">
        <w:rPr>
          <w:rFonts w:cs="Arial"/>
        </w:rPr>
        <w:t xml:space="preserve"> + applicable </w:t>
      </w:r>
      <w:r w:rsidRPr="00410C27">
        <w:rPr>
          <w:rFonts w:cs="Arial"/>
        </w:rPr>
        <w:t>dispensing f</w:t>
      </w:r>
      <w:r w:rsidR="00177F4B" w:rsidRPr="00410C27">
        <w:rPr>
          <w:rFonts w:cs="Arial"/>
        </w:rPr>
        <w:t xml:space="preserve">ee = </w:t>
      </w:r>
      <w:r w:rsidRPr="00410C27">
        <w:rPr>
          <w:rFonts w:cs="Arial"/>
        </w:rPr>
        <w:t xml:space="preserve">Claimed </w:t>
      </w:r>
      <w:r w:rsidR="00D16B83" w:rsidRPr="00410C27">
        <w:rPr>
          <w:rFonts w:cs="Arial"/>
        </w:rPr>
        <w:t xml:space="preserve">DPMQ </w:t>
      </w:r>
    </w:p>
    <w:p w14:paraId="2EDEF7EE" w14:textId="77777777" w:rsidR="00705358" w:rsidRPr="00CF3ADB" w:rsidRDefault="00D16B83" w:rsidP="00925E92">
      <w:pPr>
        <w:spacing w:line="240" w:lineRule="auto"/>
        <w:ind w:left="425"/>
        <w:rPr>
          <w:rFonts w:cs="Arial"/>
          <w:b/>
          <w:bCs/>
          <w:i/>
        </w:rPr>
      </w:pPr>
      <w:r w:rsidRPr="00410C27">
        <w:rPr>
          <w:rFonts w:cs="Arial"/>
          <w:b/>
          <w:bCs/>
          <w:i/>
        </w:rPr>
        <w:t xml:space="preserve">Calculate the </w:t>
      </w:r>
      <w:r w:rsidR="00805CBA">
        <w:rPr>
          <w:rFonts w:cs="Arial"/>
          <w:b/>
          <w:bCs/>
          <w:i/>
        </w:rPr>
        <w:t xml:space="preserve">DPMQ </w:t>
      </w:r>
      <w:r w:rsidR="00805CBA" w:rsidRPr="00CF3ADB">
        <w:rPr>
          <w:rFonts w:cs="Arial"/>
          <w:b/>
          <w:bCs/>
          <w:i/>
        </w:rPr>
        <w:t>(</w:t>
      </w:r>
      <w:r w:rsidR="00E03B52">
        <w:rPr>
          <w:rFonts w:cs="Arial"/>
          <w:b/>
          <w:bCs/>
          <w:i/>
        </w:rPr>
        <w:t>i.e.,</w:t>
      </w:r>
      <w:r w:rsidR="00805CBA" w:rsidRPr="00CF3ADB">
        <w:rPr>
          <w:rFonts w:cs="Arial"/>
          <w:b/>
          <w:bCs/>
          <w:i/>
        </w:rPr>
        <w:t xml:space="preserve"> Commonwealth </w:t>
      </w:r>
      <w:r w:rsidRPr="00CF3ADB">
        <w:rPr>
          <w:rFonts w:cs="Arial"/>
          <w:b/>
          <w:bCs/>
          <w:i/>
        </w:rPr>
        <w:t xml:space="preserve">Dispensed Price for Maximum Quantity </w:t>
      </w:r>
      <w:r w:rsidR="00805CBA" w:rsidRPr="00CF3ADB">
        <w:rPr>
          <w:rFonts w:cs="Arial"/>
          <w:b/>
          <w:bCs/>
          <w:i/>
        </w:rPr>
        <w:t xml:space="preserve">with </w:t>
      </w:r>
      <w:r w:rsidRPr="00CF3ADB">
        <w:rPr>
          <w:rFonts w:cs="Arial"/>
          <w:b/>
          <w:bCs/>
          <w:i/>
        </w:rPr>
        <w:t>no Premium)</w:t>
      </w:r>
    </w:p>
    <w:p w14:paraId="3ADA3449" w14:textId="77777777" w:rsidR="00705358" w:rsidRPr="00410C27" w:rsidRDefault="00D16B83" w:rsidP="00925E92">
      <w:pPr>
        <w:spacing w:line="240" w:lineRule="auto"/>
        <w:ind w:left="425"/>
        <w:rPr>
          <w:rFonts w:cs="Arial"/>
        </w:rPr>
      </w:pPr>
      <w:r w:rsidRPr="00410C27">
        <w:rPr>
          <w:rFonts w:cs="Arial"/>
        </w:rPr>
        <w:t>A</w:t>
      </w:r>
      <w:r w:rsidR="00177F4B" w:rsidRPr="00410C27">
        <w:rPr>
          <w:rFonts w:cs="Arial"/>
        </w:rPr>
        <w:t xml:space="preserve">djusted </w:t>
      </w:r>
      <w:r w:rsidR="00805CBA">
        <w:rPr>
          <w:rFonts w:cs="Arial"/>
        </w:rPr>
        <w:t>A</w:t>
      </w:r>
      <w:r w:rsidRPr="00410C27">
        <w:rPr>
          <w:rFonts w:cs="Arial"/>
        </w:rPr>
        <w:t>EMP</w:t>
      </w:r>
      <w:r w:rsidR="00E246B3" w:rsidRPr="00410C27">
        <w:rPr>
          <w:rFonts w:cs="Arial"/>
        </w:rPr>
        <w:t xml:space="preserve"> + </w:t>
      </w:r>
      <w:r w:rsidR="00805CBA">
        <w:rPr>
          <w:rFonts w:cs="Arial"/>
        </w:rPr>
        <w:t xml:space="preserve">applicable wholesale mark-up + </w:t>
      </w:r>
      <w:r w:rsidR="00E246B3" w:rsidRPr="00410C27">
        <w:rPr>
          <w:rFonts w:cs="Arial"/>
        </w:rPr>
        <w:t>applicable pharmacy m</w:t>
      </w:r>
      <w:r w:rsidRPr="00410C27">
        <w:rPr>
          <w:rFonts w:cs="Arial"/>
        </w:rPr>
        <w:t>ark</w:t>
      </w:r>
      <w:r w:rsidR="00E246B3" w:rsidRPr="00410C27">
        <w:rPr>
          <w:rFonts w:cs="Arial"/>
        </w:rPr>
        <w:t>-up + applicable d</w:t>
      </w:r>
      <w:r w:rsidRPr="00410C27">
        <w:rPr>
          <w:rFonts w:cs="Arial"/>
        </w:rPr>
        <w:t xml:space="preserve">ispensing </w:t>
      </w:r>
      <w:r w:rsidR="00E246B3" w:rsidRPr="00410C27">
        <w:rPr>
          <w:rFonts w:cs="Arial"/>
        </w:rPr>
        <w:t>f</w:t>
      </w:r>
      <w:r w:rsidR="00705358" w:rsidRPr="00410C27">
        <w:rPr>
          <w:rFonts w:cs="Arial"/>
        </w:rPr>
        <w:t>ee = DPMQ</w:t>
      </w:r>
    </w:p>
    <w:p w14:paraId="6014B1A7" w14:textId="77777777" w:rsidR="00705358" w:rsidRPr="00410C27" w:rsidRDefault="00D16B83" w:rsidP="00925E92">
      <w:pPr>
        <w:spacing w:line="240" w:lineRule="auto"/>
        <w:ind w:left="425"/>
        <w:rPr>
          <w:rFonts w:cs="Arial"/>
          <w:b/>
          <w:bCs/>
          <w:i/>
        </w:rPr>
      </w:pPr>
      <w:r w:rsidRPr="00410C27">
        <w:rPr>
          <w:rFonts w:cs="Arial"/>
          <w:b/>
          <w:bCs/>
          <w:i/>
        </w:rPr>
        <w:t>Calculate the Premium</w:t>
      </w:r>
    </w:p>
    <w:p w14:paraId="14F04B68" w14:textId="77777777" w:rsidR="00775BD5" w:rsidRDefault="00E246B3" w:rsidP="00925E92">
      <w:pPr>
        <w:spacing w:line="240" w:lineRule="auto"/>
        <w:ind w:left="425"/>
        <w:rPr>
          <w:rFonts w:cs="Arial"/>
        </w:rPr>
      </w:pPr>
      <w:r w:rsidRPr="00410C27">
        <w:rPr>
          <w:rFonts w:cs="Arial"/>
        </w:rPr>
        <w:t>Claimed D</w:t>
      </w:r>
      <w:r w:rsidR="00177F4B" w:rsidRPr="00410C27">
        <w:rPr>
          <w:rFonts w:cs="Arial"/>
        </w:rPr>
        <w:t>PMQ – DPMQ = new</w:t>
      </w:r>
      <w:r w:rsidR="00D16B83" w:rsidRPr="00410C27">
        <w:rPr>
          <w:rFonts w:cs="Arial"/>
        </w:rPr>
        <w:t xml:space="preserve"> Premium</w:t>
      </w:r>
    </w:p>
    <w:p w14:paraId="6189924C" w14:textId="77777777" w:rsidR="00657D79" w:rsidRDefault="00657D79" w:rsidP="00925E92">
      <w:pPr>
        <w:rPr>
          <w:rFonts w:cs="Arial"/>
        </w:rPr>
      </w:pPr>
    </w:p>
    <w:p w14:paraId="75BE4C51" w14:textId="77777777" w:rsidR="00775BD5" w:rsidRDefault="00657D79" w:rsidP="00925E92">
      <w:pPr>
        <w:rPr>
          <w:rFonts w:cs="Arial"/>
        </w:rPr>
      </w:pPr>
      <w:r>
        <w:rPr>
          <w:rFonts w:cs="Arial"/>
        </w:rPr>
        <w:t xml:space="preserve">An example calculation is provided below. </w:t>
      </w:r>
      <w:r w:rsidR="00775BD5">
        <w:rPr>
          <w:rFonts w:cs="Arial"/>
        </w:rPr>
        <w:br w:type="page"/>
      </w:r>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657D79" w:rsidRPr="00BB28F3" w14:paraId="50A87022" w14:textId="77777777" w:rsidTr="00BB28F3">
        <w:tc>
          <w:tcPr>
            <w:tcW w:w="9243" w:type="dxa"/>
            <w:shd w:val="clear" w:color="auto" w:fill="17365D"/>
          </w:tcPr>
          <w:p w14:paraId="2082B00C" w14:textId="77777777" w:rsidR="00657D79" w:rsidRPr="00BB28F3" w:rsidRDefault="00657D79" w:rsidP="00EA4D2C">
            <w:pPr>
              <w:spacing w:after="120" w:line="240" w:lineRule="auto"/>
              <w:rPr>
                <w:rFonts w:cs="Arial"/>
                <w:b/>
                <w:color w:val="FF0000"/>
              </w:rPr>
            </w:pPr>
            <w:r w:rsidRPr="00BB28F3">
              <w:rPr>
                <w:rFonts w:cs="Arial"/>
                <w:b/>
                <w:color w:val="FFFFFF"/>
              </w:rPr>
              <w:lastRenderedPageBreak/>
              <w:t xml:space="preserve">EXAMPLE – </w:t>
            </w:r>
            <w:r w:rsidRPr="00BB28F3">
              <w:rPr>
                <w:rFonts w:cs="Arial"/>
                <w:b/>
                <w:i/>
                <w:color w:val="FFFFFF"/>
              </w:rPr>
              <w:t>Calculating a new Premium for Price Disclosure</w:t>
            </w:r>
          </w:p>
        </w:tc>
      </w:tr>
    </w:tbl>
    <w:p w14:paraId="68E2B5E5" w14:textId="77777777" w:rsidR="00410C27" w:rsidRPr="00C91DE4" w:rsidRDefault="00657D79" w:rsidP="00925E92">
      <w:pPr>
        <w:spacing w:line="240" w:lineRule="auto"/>
        <w:ind w:left="425"/>
        <w:rPr>
          <w:rFonts w:cs="Arial"/>
          <w:b/>
          <w:bCs/>
          <w:i/>
        </w:rPr>
      </w:pPr>
      <w:r w:rsidRPr="00C91DE4">
        <w:rPr>
          <w:rFonts w:cs="Arial"/>
          <w:b/>
          <w:bCs/>
          <w:i/>
        </w:rPr>
        <w:t xml:space="preserve"> </w:t>
      </w:r>
      <w:r w:rsidR="00410C27" w:rsidRPr="00C91DE4">
        <w:rPr>
          <w:rFonts w:cs="Arial"/>
          <w:b/>
          <w:bCs/>
          <w:i/>
        </w:rPr>
        <w:t>Step 1: Identify the prices required for the calculation</w:t>
      </w:r>
    </w:p>
    <w:p w14:paraId="5C690175" w14:textId="77777777" w:rsidR="00410C27" w:rsidRPr="004A215F" w:rsidRDefault="00657D79" w:rsidP="00B93854">
      <w:pPr>
        <w:numPr>
          <w:ilvl w:val="0"/>
          <w:numId w:val="11"/>
        </w:numPr>
        <w:spacing w:line="240" w:lineRule="auto"/>
        <w:ind w:firstLine="414"/>
        <w:rPr>
          <w:rFonts w:cs="Arial"/>
        </w:rPr>
      </w:pPr>
      <w:r>
        <w:rPr>
          <w:rFonts w:cs="Arial"/>
        </w:rPr>
        <w:t xml:space="preserve"> </w:t>
      </w:r>
      <w:r w:rsidR="008A2A8E">
        <w:rPr>
          <w:rFonts w:cs="Arial"/>
        </w:rPr>
        <w:t xml:space="preserve">Current </w:t>
      </w:r>
      <w:r w:rsidR="00410C27">
        <w:rPr>
          <w:rFonts w:cs="Arial"/>
        </w:rPr>
        <w:t>A</w:t>
      </w:r>
      <w:r w:rsidR="00410C27" w:rsidRPr="00705358">
        <w:rPr>
          <w:rFonts w:cs="Arial"/>
        </w:rPr>
        <w:t>EMP = $0.85¢</w:t>
      </w:r>
    </w:p>
    <w:p w14:paraId="4369DB97" w14:textId="77777777" w:rsidR="00410C27" w:rsidRPr="004A215F" w:rsidRDefault="00410C27" w:rsidP="00B93854">
      <w:pPr>
        <w:numPr>
          <w:ilvl w:val="0"/>
          <w:numId w:val="11"/>
        </w:numPr>
        <w:spacing w:line="240" w:lineRule="auto"/>
        <w:ind w:left="1418" w:hanging="284"/>
        <w:rPr>
          <w:rFonts w:cs="Arial"/>
        </w:rPr>
      </w:pPr>
      <w:r>
        <w:rPr>
          <w:rFonts w:cs="Arial"/>
        </w:rPr>
        <w:t>A</w:t>
      </w:r>
      <w:r w:rsidRPr="00705358">
        <w:rPr>
          <w:rFonts w:cs="Arial"/>
        </w:rPr>
        <w:t>djusted AEMP = $0.76¢</w:t>
      </w:r>
    </w:p>
    <w:p w14:paraId="4F1A13E2" w14:textId="77777777" w:rsidR="00410C27" w:rsidRPr="004A215F" w:rsidRDefault="00410C27" w:rsidP="00B93854">
      <w:pPr>
        <w:numPr>
          <w:ilvl w:val="0"/>
          <w:numId w:val="11"/>
        </w:numPr>
        <w:spacing w:line="240" w:lineRule="auto"/>
        <w:ind w:left="1418" w:hanging="284"/>
        <w:rPr>
          <w:rFonts w:cs="Arial"/>
        </w:rPr>
      </w:pPr>
      <w:r w:rsidRPr="004A215F">
        <w:rPr>
          <w:rFonts w:cs="Arial"/>
        </w:rPr>
        <w:t>C</w:t>
      </w:r>
      <w:r w:rsidRPr="00705358">
        <w:rPr>
          <w:rFonts w:cs="Arial"/>
        </w:rPr>
        <w:t xml:space="preserve">urrent Claimed </w:t>
      </w:r>
      <w:r w:rsidR="00020526">
        <w:rPr>
          <w:rFonts w:cs="Arial"/>
        </w:rPr>
        <w:t>Price</w:t>
      </w:r>
      <w:r w:rsidRPr="00705358">
        <w:rPr>
          <w:rFonts w:cs="Arial"/>
        </w:rPr>
        <w:t xml:space="preserve"> = $1.42</w:t>
      </w:r>
    </w:p>
    <w:p w14:paraId="3679B1C0" w14:textId="77777777" w:rsidR="004A215F" w:rsidRDefault="00410C27" w:rsidP="00183E5A">
      <w:pPr>
        <w:spacing w:before="360" w:after="240" w:line="240" w:lineRule="auto"/>
        <w:ind w:left="425"/>
        <w:rPr>
          <w:rFonts w:cs="Arial"/>
          <w:b/>
          <w:i/>
        </w:rPr>
      </w:pPr>
      <w:r w:rsidRPr="00C91DE4">
        <w:rPr>
          <w:rFonts w:cs="Arial"/>
          <w:b/>
          <w:bCs/>
          <w:i/>
        </w:rPr>
        <w:t>Step 2: Calculate the New Claimed P</w:t>
      </w:r>
      <w:r w:rsidRPr="00C91DE4">
        <w:rPr>
          <w:rFonts w:cs="Arial"/>
          <w:b/>
          <w:i/>
        </w:rPr>
        <w:t>rice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9243"/>
      </w:tblGrid>
      <w:tr w:rsidR="004A215F" w:rsidRPr="00BB28F3" w14:paraId="6D9B2FAF" w14:textId="77777777" w:rsidTr="00BB28F3">
        <w:tc>
          <w:tcPr>
            <w:tcW w:w="9243" w:type="dxa"/>
            <w:shd w:val="clear" w:color="auto" w:fill="C6D9F1"/>
          </w:tcPr>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67"/>
              <w:gridCol w:w="1037"/>
              <w:gridCol w:w="283"/>
              <w:gridCol w:w="839"/>
              <w:gridCol w:w="393"/>
              <w:gridCol w:w="709"/>
              <w:gridCol w:w="333"/>
              <w:gridCol w:w="4866"/>
            </w:tblGrid>
            <w:tr w:rsidR="0018413E" w:rsidRPr="00BB28F3" w14:paraId="690A829E" w14:textId="77777777" w:rsidTr="00BB28F3">
              <w:tc>
                <w:tcPr>
                  <w:tcW w:w="567" w:type="dxa"/>
                  <w:vMerge w:val="restart"/>
                  <w:tcBorders>
                    <w:top w:val="nil"/>
                    <w:left w:val="nil"/>
                    <w:right w:val="nil"/>
                  </w:tcBorders>
                  <w:shd w:val="clear" w:color="auto" w:fill="auto"/>
                  <w:vAlign w:val="center"/>
                </w:tcPr>
                <w:p w14:paraId="75A4D4C2" w14:textId="77777777" w:rsidR="00705358" w:rsidRPr="00BB28F3" w:rsidRDefault="00E03B52" w:rsidP="00BB28F3">
                  <w:pPr>
                    <w:spacing w:line="240" w:lineRule="auto"/>
                    <w:jc w:val="center"/>
                    <w:rPr>
                      <w:rFonts w:cs="Arial"/>
                      <w:b/>
                      <w:i/>
                      <w:sz w:val="20"/>
                      <w:szCs w:val="20"/>
                    </w:rPr>
                  </w:pPr>
                  <w:r w:rsidRPr="00BB28F3">
                    <w:rPr>
                      <w:rFonts w:cs="Arial"/>
                      <w:b/>
                      <w:i/>
                      <w:sz w:val="20"/>
                      <w:szCs w:val="20"/>
                    </w:rPr>
                    <w:t>I.e.,</w:t>
                  </w:r>
                </w:p>
              </w:tc>
              <w:tc>
                <w:tcPr>
                  <w:tcW w:w="1037" w:type="dxa"/>
                  <w:tcBorders>
                    <w:top w:val="nil"/>
                    <w:left w:val="nil"/>
                    <w:bottom w:val="single" w:sz="12" w:space="0" w:color="auto"/>
                    <w:right w:val="nil"/>
                  </w:tcBorders>
                  <w:shd w:val="clear" w:color="auto" w:fill="auto"/>
                  <w:vAlign w:val="center"/>
                </w:tcPr>
                <w:p w14:paraId="4F8317A7"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$0.85</w:t>
                  </w:r>
                  <w:r w:rsidRPr="00BB28F3">
                    <w:rPr>
                      <w:rFonts w:cs="Arial"/>
                    </w:rPr>
                    <w:t>¢</w:t>
                  </w:r>
                </w:p>
              </w:tc>
              <w:tc>
                <w:tcPr>
                  <w:tcW w:w="283" w:type="dxa"/>
                  <w:tcBorders>
                    <w:top w:val="nil"/>
                    <w:left w:val="nil"/>
                    <w:bottom w:val="single" w:sz="12" w:space="0" w:color="auto"/>
                    <w:right w:val="nil"/>
                  </w:tcBorders>
                  <w:shd w:val="clear" w:color="auto" w:fill="auto"/>
                  <w:vAlign w:val="center"/>
                </w:tcPr>
                <w:p w14:paraId="732F4133"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839" w:type="dxa"/>
                  <w:tcBorders>
                    <w:top w:val="nil"/>
                    <w:left w:val="nil"/>
                    <w:bottom w:val="single" w:sz="12" w:space="0" w:color="auto"/>
                    <w:right w:val="nil"/>
                  </w:tcBorders>
                  <w:shd w:val="clear" w:color="auto" w:fill="auto"/>
                  <w:vAlign w:val="center"/>
                </w:tcPr>
                <w:p w14:paraId="76E53211"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$0.76</w:t>
                  </w:r>
                  <w:r w:rsidRPr="00BB28F3">
                    <w:rPr>
                      <w:rFonts w:cs="Arial"/>
                    </w:rPr>
                    <w:t>¢</w:t>
                  </w:r>
                </w:p>
              </w:tc>
              <w:tc>
                <w:tcPr>
                  <w:tcW w:w="393" w:type="dxa"/>
                  <w:vMerge w:val="restart"/>
                  <w:tcBorders>
                    <w:top w:val="nil"/>
                    <w:left w:val="nil"/>
                    <w:bottom w:val="nil"/>
                    <w:right w:val="nil"/>
                  </w:tcBorders>
                  <w:shd w:val="clear" w:color="auto" w:fill="auto"/>
                  <w:vAlign w:val="center"/>
                </w:tcPr>
                <w:p w14:paraId="51BEAFC9"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709" w:type="dxa"/>
                  <w:vMerge w:val="restart"/>
                  <w:tcBorders>
                    <w:top w:val="nil"/>
                    <w:left w:val="nil"/>
                    <w:bottom w:val="nil"/>
                    <w:right w:val="nil"/>
                  </w:tcBorders>
                  <w:shd w:val="clear" w:color="auto" w:fill="auto"/>
                  <w:vAlign w:val="center"/>
                </w:tcPr>
                <w:p w14:paraId="1B6A845E"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100</w:t>
                  </w:r>
                </w:p>
              </w:tc>
              <w:tc>
                <w:tcPr>
                  <w:tcW w:w="333" w:type="dxa"/>
                  <w:vMerge w:val="restart"/>
                  <w:tcBorders>
                    <w:top w:val="nil"/>
                    <w:left w:val="nil"/>
                    <w:bottom w:val="nil"/>
                    <w:right w:val="nil"/>
                  </w:tcBorders>
                  <w:shd w:val="clear" w:color="auto" w:fill="auto"/>
                  <w:vAlign w:val="center"/>
                </w:tcPr>
                <w:p w14:paraId="6064D586" w14:textId="77777777" w:rsidR="00705358" w:rsidRPr="00BB28F3" w:rsidRDefault="00705358" w:rsidP="00BB28F3">
                  <w:pPr>
                    <w:spacing w:line="240" w:lineRule="auto"/>
                    <w:jc w:val="center"/>
                    <w:rPr>
                      <w:rFonts w:cs="Arial"/>
                      <w:b/>
                      <w:i/>
                      <w:sz w:val="20"/>
                      <w:szCs w:val="20"/>
                    </w:rPr>
                  </w:pPr>
                  <w:r w:rsidRPr="00BB28F3">
                    <w:rPr>
                      <w:rFonts w:cs="Arial"/>
                      <w:b/>
                      <w:i/>
                      <w:sz w:val="20"/>
                      <w:szCs w:val="20"/>
                    </w:rPr>
                    <w:t>=</w:t>
                  </w:r>
                </w:p>
              </w:tc>
              <w:tc>
                <w:tcPr>
                  <w:tcW w:w="4866" w:type="dxa"/>
                  <w:vMerge w:val="restart"/>
                  <w:tcBorders>
                    <w:top w:val="nil"/>
                    <w:left w:val="nil"/>
                    <w:bottom w:val="nil"/>
                    <w:right w:val="nil"/>
                  </w:tcBorders>
                  <w:shd w:val="clear" w:color="auto" w:fill="auto"/>
                  <w:vAlign w:val="center"/>
                </w:tcPr>
                <w:p w14:paraId="17606B8B" w14:textId="77777777" w:rsidR="00705358" w:rsidRPr="00BB28F3" w:rsidRDefault="00705358" w:rsidP="00BB28F3">
                  <w:pPr>
                    <w:spacing w:line="240" w:lineRule="auto"/>
                    <w:rPr>
                      <w:rFonts w:cs="Arial"/>
                      <w:b/>
                      <w:i/>
                      <w:sz w:val="20"/>
                      <w:szCs w:val="20"/>
                    </w:rPr>
                  </w:pPr>
                  <w:r w:rsidRPr="00BB28F3">
                    <w:rPr>
                      <w:rFonts w:cs="Arial"/>
                      <w:b/>
                      <w:i/>
                      <w:sz w:val="20"/>
                      <w:szCs w:val="20"/>
                    </w:rPr>
                    <w:t>10.59% (reduction percentage)</w:t>
                  </w:r>
                </w:p>
              </w:tc>
            </w:tr>
            <w:tr w:rsidR="0018413E" w:rsidRPr="00BB28F3" w14:paraId="3CA9B775" w14:textId="77777777" w:rsidTr="00BB28F3">
              <w:tc>
                <w:tcPr>
                  <w:tcW w:w="567" w:type="dxa"/>
                  <w:vMerge/>
                  <w:tcBorders>
                    <w:left w:val="nil"/>
                    <w:bottom w:val="nil"/>
                    <w:right w:val="nil"/>
                  </w:tcBorders>
                  <w:shd w:val="clear" w:color="auto" w:fill="auto"/>
                </w:tcPr>
                <w:p w14:paraId="5341E068" w14:textId="77777777" w:rsidR="00705358" w:rsidRPr="00BB28F3" w:rsidRDefault="00705358" w:rsidP="00BB28F3">
                  <w:pPr>
                    <w:spacing w:line="240" w:lineRule="auto"/>
                    <w:jc w:val="center"/>
                    <w:rPr>
                      <w:rFonts w:cs="Arial"/>
                      <w:b/>
                      <w:i/>
                      <w:sz w:val="20"/>
                      <w:szCs w:val="20"/>
                    </w:rPr>
                  </w:pPr>
                </w:p>
              </w:tc>
              <w:tc>
                <w:tcPr>
                  <w:tcW w:w="2159" w:type="dxa"/>
                  <w:gridSpan w:val="3"/>
                  <w:tcBorders>
                    <w:top w:val="single" w:sz="12" w:space="0" w:color="auto"/>
                    <w:left w:val="nil"/>
                    <w:bottom w:val="nil"/>
                    <w:right w:val="nil"/>
                  </w:tcBorders>
                  <w:shd w:val="clear" w:color="auto" w:fill="auto"/>
                  <w:vAlign w:val="center"/>
                </w:tcPr>
                <w:p w14:paraId="214ADD09" w14:textId="77777777" w:rsidR="00705358" w:rsidRPr="00BB28F3" w:rsidRDefault="00705358" w:rsidP="00EA4D2C">
                  <w:pPr>
                    <w:spacing w:after="120" w:line="240" w:lineRule="auto"/>
                    <w:jc w:val="center"/>
                    <w:rPr>
                      <w:rFonts w:cs="Arial"/>
                      <w:b/>
                      <w:i/>
                      <w:sz w:val="20"/>
                      <w:szCs w:val="20"/>
                    </w:rPr>
                  </w:pPr>
                  <w:r w:rsidRPr="00BB28F3">
                    <w:rPr>
                      <w:rFonts w:cs="Arial"/>
                      <w:b/>
                      <w:i/>
                      <w:sz w:val="20"/>
                      <w:szCs w:val="20"/>
                    </w:rPr>
                    <w:t>$0.85</w:t>
                  </w:r>
                  <w:r w:rsidRPr="00BB28F3">
                    <w:rPr>
                      <w:rFonts w:cs="Arial"/>
                    </w:rPr>
                    <w:t>¢</w:t>
                  </w:r>
                </w:p>
              </w:tc>
              <w:tc>
                <w:tcPr>
                  <w:tcW w:w="393" w:type="dxa"/>
                  <w:vMerge/>
                  <w:tcBorders>
                    <w:top w:val="nil"/>
                    <w:left w:val="nil"/>
                    <w:bottom w:val="nil"/>
                    <w:right w:val="nil"/>
                  </w:tcBorders>
                  <w:shd w:val="clear" w:color="auto" w:fill="auto"/>
                </w:tcPr>
                <w:p w14:paraId="500E6149" w14:textId="77777777" w:rsidR="00705358" w:rsidRPr="00BB28F3" w:rsidRDefault="00705358" w:rsidP="00BB28F3">
                  <w:pPr>
                    <w:spacing w:line="240" w:lineRule="auto"/>
                    <w:rPr>
                      <w:rFonts w:cs="Arial"/>
                      <w:b/>
                      <w:i/>
                      <w:sz w:val="20"/>
                      <w:szCs w:val="20"/>
                    </w:rPr>
                  </w:pPr>
                </w:p>
              </w:tc>
              <w:tc>
                <w:tcPr>
                  <w:tcW w:w="709" w:type="dxa"/>
                  <w:vMerge/>
                  <w:tcBorders>
                    <w:top w:val="nil"/>
                    <w:left w:val="nil"/>
                    <w:bottom w:val="nil"/>
                    <w:right w:val="nil"/>
                  </w:tcBorders>
                  <w:shd w:val="clear" w:color="auto" w:fill="auto"/>
                </w:tcPr>
                <w:p w14:paraId="52B6FE24" w14:textId="77777777" w:rsidR="00705358" w:rsidRPr="00BB28F3" w:rsidRDefault="00705358" w:rsidP="00BB28F3">
                  <w:pPr>
                    <w:spacing w:line="240" w:lineRule="auto"/>
                    <w:rPr>
                      <w:rFonts w:cs="Arial"/>
                      <w:b/>
                      <w:i/>
                      <w:sz w:val="20"/>
                      <w:szCs w:val="20"/>
                    </w:rPr>
                  </w:pPr>
                </w:p>
              </w:tc>
              <w:tc>
                <w:tcPr>
                  <w:tcW w:w="333" w:type="dxa"/>
                  <w:vMerge/>
                  <w:tcBorders>
                    <w:top w:val="nil"/>
                    <w:left w:val="nil"/>
                    <w:bottom w:val="nil"/>
                    <w:right w:val="nil"/>
                  </w:tcBorders>
                  <w:shd w:val="clear" w:color="auto" w:fill="auto"/>
                </w:tcPr>
                <w:p w14:paraId="51409600" w14:textId="77777777" w:rsidR="00705358" w:rsidRPr="00BB28F3" w:rsidRDefault="00705358" w:rsidP="00BB28F3">
                  <w:pPr>
                    <w:spacing w:line="240" w:lineRule="auto"/>
                    <w:rPr>
                      <w:rFonts w:cs="Arial"/>
                      <w:b/>
                      <w:i/>
                      <w:sz w:val="20"/>
                      <w:szCs w:val="20"/>
                    </w:rPr>
                  </w:pPr>
                </w:p>
              </w:tc>
              <w:tc>
                <w:tcPr>
                  <w:tcW w:w="4866" w:type="dxa"/>
                  <w:vMerge/>
                  <w:tcBorders>
                    <w:top w:val="nil"/>
                    <w:left w:val="nil"/>
                    <w:bottom w:val="nil"/>
                    <w:right w:val="nil"/>
                  </w:tcBorders>
                  <w:shd w:val="clear" w:color="auto" w:fill="auto"/>
                </w:tcPr>
                <w:p w14:paraId="35C75F8F" w14:textId="77777777" w:rsidR="00705358" w:rsidRPr="00BB28F3" w:rsidRDefault="00705358" w:rsidP="00BB28F3">
                  <w:pPr>
                    <w:spacing w:line="240" w:lineRule="auto"/>
                    <w:rPr>
                      <w:rFonts w:cs="Arial"/>
                      <w:b/>
                      <w:i/>
                      <w:sz w:val="20"/>
                      <w:szCs w:val="20"/>
                    </w:rPr>
                  </w:pPr>
                </w:p>
              </w:tc>
            </w:tr>
          </w:tbl>
          <w:p w14:paraId="55EFDA6B" w14:textId="77777777" w:rsidR="004A215F" w:rsidRPr="00BB28F3" w:rsidRDefault="004A215F" w:rsidP="00BB28F3">
            <w:pPr>
              <w:spacing w:line="240" w:lineRule="auto"/>
              <w:rPr>
                <w:rFonts w:cs="Arial"/>
                <w:sz w:val="20"/>
                <w:szCs w:val="20"/>
              </w:rPr>
            </w:pPr>
          </w:p>
        </w:tc>
      </w:tr>
    </w:tbl>
    <w:p w14:paraId="75812D3B" w14:textId="77777777" w:rsidR="00D16B83" w:rsidRPr="00363857" w:rsidRDefault="00D055F4" w:rsidP="00925E92">
      <w:pPr>
        <w:spacing w:line="240" w:lineRule="auto"/>
        <w:ind w:left="544" w:firstLine="590"/>
        <w:rPr>
          <w:rFonts w:cs="Arial"/>
        </w:rPr>
      </w:pPr>
      <w:r w:rsidRPr="00363857">
        <w:rPr>
          <w:rFonts w:cs="Arial"/>
        </w:rPr>
        <w:t>$1.42</w:t>
      </w:r>
      <w:r w:rsidR="00D16B83" w:rsidRPr="00363857">
        <w:rPr>
          <w:rFonts w:cs="Arial"/>
        </w:rPr>
        <w:t xml:space="preserve"> (current Claimed</w:t>
      </w:r>
      <w:r w:rsidRPr="00363857">
        <w:rPr>
          <w:rFonts w:cs="Arial"/>
        </w:rPr>
        <w:t xml:space="preserve"> </w:t>
      </w:r>
      <w:r w:rsidR="00020526">
        <w:rPr>
          <w:rFonts w:cs="Arial"/>
        </w:rPr>
        <w:t>Price</w:t>
      </w:r>
      <w:r w:rsidR="00D16B83" w:rsidRPr="00363857">
        <w:rPr>
          <w:rFonts w:cs="Arial"/>
        </w:rPr>
        <w:t xml:space="preserve">) </w:t>
      </w:r>
      <w:r w:rsidRPr="00363857">
        <w:rPr>
          <w:rFonts w:cs="Arial"/>
        </w:rPr>
        <w:t>–</w:t>
      </w:r>
      <w:r w:rsidR="00D16B83" w:rsidRPr="00363857">
        <w:rPr>
          <w:rFonts w:cs="Arial"/>
        </w:rPr>
        <w:t xml:space="preserve"> 1</w:t>
      </w:r>
      <w:r w:rsidRPr="00363857">
        <w:rPr>
          <w:rFonts w:cs="Arial"/>
        </w:rPr>
        <w:t>0.59% = $1.27</w:t>
      </w:r>
    </w:p>
    <w:p w14:paraId="77B1168F" w14:textId="77777777" w:rsidR="00D16B83" w:rsidRDefault="00D055F4" w:rsidP="00925E92">
      <w:pPr>
        <w:spacing w:line="240" w:lineRule="auto"/>
        <w:ind w:left="544" w:firstLine="590"/>
        <w:rPr>
          <w:rFonts w:cs="Arial"/>
        </w:rPr>
      </w:pPr>
      <w:r w:rsidRPr="00363857">
        <w:rPr>
          <w:rFonts w:cs="Arial"/>
        </w:rPr>
        <w:t xml:space="preserve">The new Claimed </w:t>
      </w:r>
      <w:r w:rsidR="00020526">
        <w:rPr>
          <w:rFonts w:cs="Arial"/>
        </w:rPr>
        <w:t>Price</w:t>
      </w:r>
      <w:r w:rsidR="00D16B83" w:rsidRPr="00363857">
        <w:rPr>
          <w:rFonts w:cs="Arial"/>
        </w:rPr>
        <w:t xml:space="preserve"> for this brand </w:t>
      </w:r>
      <w:r w:rsidRPr="00363857">
        <w:rPr>
          <w:rFonts w:cs="Arial"/>
        </w:rPr>
        <w:t>of pharmaceutical item is $1.27</w:t>
      </w:r>
    </w:p>
    <w:p w14:paraId="5FBB5BF7" w14:textId="77777777" w:rsidR="00363857" w:rsidRPr="00C91DE4" w:rsidRDefault="00363857" w:rsidP="00183E5A">
      <w:pPr>
        <w:spacing w:before="360" w:line="240" w:lineRule="auto"/>
        <w:ind w:firstLine="425"/>
        <w:rPr>
          <w:rFonts w:cs="Arial"/>
          <w:i/>
        </w:rPr>
      </w:pPr>
      <w:r w:rsidRPr="00C91DE4">
        <w:rPr>
          <w:rFonts w:cs="Arial"/>
          <w:b/>
          <w:bCs/>
          <w:i/>
        </w:rPr>
        <w:t xml:space="preserve">Step 3: Calculate the </w:t>
      </w:r>
      <w:r w:rsidR="00403E07" w:rsidRPr="00C91DE4">
        <w:rPr>
          <w:rFonts w:cs="Arial"/>
          <w:b/>
          <w:bCs/>
          <w:i/>
        </w:rPr>
        <w:t xml:space="preserve">new </w:t>
      </w:r>
      <w:r w:rsidRPr="00C91DE4">
        <w:rPr>
          <w:rFonts w:cs="Arial"/>
          <w:b/>
          <w:bCs/>
          <w:i/>
        </w:rPr>
        <w:t xml:space="preserve">Premium </w:t>
      </w:r>
    </w:p>
    <w:p w14:paraId="31C401DA" w14:textId="77777777" w:rsidR="00363857" w:rsidRPr="00410C27" w:rsidRDefault="00363857" w:rsidP="00925E92">
      <w:pPr>
        <w:spacing w:line="240" w:lineRule="auto"/>
        <w:ind w:left="425" w:firstLine="709"/>
        <w:rPr>
          <w:rFonts w:cs="Arial"/>
          <w:b/>
          <w:bCs/>
          <w:i/>
        </w:rPr>
      </w:pPr>
      <w:r w:rsidRPr="00410C27">
        <w:rPr>
          <w:rFonts w:cs="Arial"/>
          <w:b/>
          <w:bCs/>
          <w:i/>
        </w:rPr>
        <w:t>Calculate the Claimed DPMQ</w:t>
      </w:r>
    </w:p>
    <w:p w14:paraId="4787C9FB" w14:textId="77777777" w:rsidR="00403E07" w:rsidRDefault="00403E07" w:rsidP="00925E92">
      <w:pPr>
        <w:spacing w:line="240" w:lineRule="auto"/>
        <w:ind w:left="544" w:firstLine="590"/>
        <w:rPr>
          <w:rFonts w:cs="Arial"/>
          <w:b/>
          <w:bCs/>
        </w:rPr>
      </w:pPr>
      <w:r w:rsidRPr="00363857">
        <w:rPr>
          <w:rFonts w:cs="Arial"/>
        </w:rPr>
        <w:t xml:space="preserve">$1.27 + </w:t>
      </w:r>
      <w:r w:rsidR="00020526">
        <w:rPr>
          <w:rFonts w:cs="Arial"/>
        </w:rPr>
        <w:t xml:space="preserve">($1.27 x 7.52%) + </w:t>
      </w:r>
      <w:r w:rsidRPr="00363857">
        <w:rPr>
          <w:rFonts w:cs="Arial"/>
        </w:rPr>
        <w:t>($1.</w:t>
      </w:r>
      <w:r w:rsidR="00020526">
        <w:rPr>
          <w:rFonts w:cs="Arial"/>
        </w:rPr>
        <w:t>3</w:t>
      </w:r>
      <w:r w:rsidRPr="00363857">
        <w:rPr>
          <w:rFonts w:cs="Arial"/>
        </w:rPr>
        <w:t xml:space="preserve">7 × 15%) + $6.63 </w:t>
      </w:r>
      <w:r w:rsidRPr="00363857">
        <w:rPr>
          <w:rFonts w:cs="Arial"/>
          <w:b/>
          <w:bCs/>
        </w:rPr>
        <w:t>= $8.21</w:t>
      </w:r>
    </w:p>
    <w:p w14:paraId="3F5C8E75" w14:textId="77777777" w:rsidR="00403E07" w:rsidRPr="00363857" w:rsidRDefault="00403E07" w:rsidP="00925E92">
      <w:pPr>
        <w:spacing w:line="240" w:lineRule="auto"/>
        <w:ind w:left="1134"/>
        <w:rPr>
          <w:rFonts w:cs="Arial"/>
        </w:rPr>
      </w:pPr>
      <w:r w:rsidRPr="00363857">
        <w:rPr>
          <w:rFonts w:cs="Arial"/>
        </w:rPr>
        <w:t xml:space="preserve">(New Claimed Price + </w:t>
      </w:r>
      <w:r w:rsidR="00020526">
        <w:rPr>
          <w:rFonts w:cs="Arial"/>
        </w:rPr>
        <w:t xml:space="preserve">applicable wholesale mark-up + </w:t>
      </w:r>
      <w:r w:rsidRPr="00363857">
        <w:rPr>
          <w:rFonts w:cs="Arial"/>
        </w:rPr>
        <w:t xml:space="preserve">applicable pharmacy mark-up + applicable dispensing fee = Claimed DPMQ) </w:t>
      </w:r>
    </w:p>
    <w:p w14:paraId="5CD1E409" w14:textId="77777777" w:rsidR="00363857" w:rsidRPr="00410C27" w:rsidRDefault="00363857" w:rsidP="00925E92">
      <w:pPr>
        <w:spacing w:line="240" w:lineRule="auto"/>
        <w:ind w:left="425" w:firstLine="709"/>
        <w:rPr>
          <w:rFonts w:cs="Arial"/>
          <w:b/>
          <w:bCs/>
          <w:i/>
        </w:rPr>
      </w:pPr>
      <w:r w:rsidRPr="00410C27">
        <w:rPr>
          <w:rFonts w:cs="Arial"/>
          <w:b/>
          <w:bCs/>
          <w:i/>
        </w:rPr>
        <w:t>Calculate DPMQ</w:t>
      </w:r>
    </w:p>
    <w:p w14:paraId="7B261CAF" w14:textId="77777777" w:rsidR="00403E07" w:rsidRDefault="00403E07" w:rsidP="00925E92">
      <w:pPr>
        <w:spacing w:line="240" w:lineRule="auto"/>
        <w:ind w:left="544" w:firstLine="590"/>
        <w:rPr>
          <w:rFonts w:cs="Arial"/>
          <w:b/>
          <w:bCs/>
        </w:rPr>
      </w:pPr>
      <w:r w:rsidRPr="00363857">
        <w:rPr>
          <w:rFonts w:cs="Arial"/>
        </w:rPr>
        <w:t xml:space="preserve">$0.76¢ + </w:t>
      </w:r>
      <w:r w:rsidR="00020526">
        <w:rPr>
          <w:rFonts w:cs="Arial"/>
        </w:rPr>
        <w:t>($</w:t>
      </w:r>
      <w:r w:rsidR="00DC13FF">
        <w:rPr>
          <w:rFonts w:cs="Arial"/>
        </w:rPr>
        <w:t>0</w:t>
      </w:r>
      <w:r w:rsidR="00020526">
        <w:rPr>
          <w:rFonts w:cs="Arial"/>
        </w:rPr>
        <w:t>.76</w:t>
      </w:r>
      <w:r w:rsidR="00020526" w:rsidRPr="00363857">
        <w:rPr>
          <w:rFonts w:cs="Arial"/>
        </w:rPr>
        <w:t>¢</w:t>
      </w:r>
      <w:r w:rsidR="00020526">
        <w:rPr>
          <w:rFonts w:cs="Arial"/>
        </w:rPr>
        <w:t xml:space="preserve"> x 7.52%) + </w:t>
      </w:r>
      <w:r w:rsidRPr="00363857">
        <w:rPr>
          <w:rFonts w:cs="Arial"/>
        </w:rPr>
        <w:t>($0.</w:t>
      </w:r>
      <w:r w:rsidR="00020526">
        <w:rPr>
          <w:rFonts w:cs="Arial"/>
        </w:rPr>
        <w:t>82</w:t>
      </w:r>
      <w:r w:rsidRPr="00363857">
        <w:rPr>
          <w:rFonts w:cs="Arial"/>
        </w:rPr>
        <w:t xml:space="preserve">¢ × 15%) + $6.63 </w:t>
      </w:r>
      <w:r w:rsidRPr="00363857">
        <w:rPr>
          <w:rFonts w:cs="Arial"/>
          <w:b/>
          <w:bCs/>
        </w:rPr>
        <w:t>= $7.57</w:t>
      </w:r>
    </w:p>
    <w:p w14:paraId="0027699A" w14:textId="77777777" w:rsidR="00403E07" w:rsidRPr="00363857" w:rsidRDefault="00403E07" w:rsidP="00925E92">
      <w:pPr>
        <w:spacing w:line="240" w:lineRule="auto"/>
        <w:ind w:left="1134"/>
        <w:rPr>
          <w:rFonts w:cs="Arial"/>
        </w:rPr>
      </w:pPr>
      <w:r w:rsidRPr="00363857">
        <w:rPr>
          <w:rFonts w:cs="Arial"/>
        </w:rPr>
        <w:t xml:space="preserve">(Adjusted AEMP </w:t>
      </w:r>
      <w:r w:rsidR="00020526" w:rsidRPr="00363857">
        <w:rPr>
          <w:rFonts w:cs="Arial"/>
        </w:rPr>
        <w:t xml:space="preserve">+ </w:t>
      </w:r>
      <w:r w:rsidR="00020526">
        <w:rPr>
          <w:rFonts w:cs="Arial"/>
        </w:rPr>
        <w:t xml:space="preserve">applicable wholesale mark-up </w:t>
      </w:r>
      <w:r w:rsidRPr="00363857">
        <w:rPr>
          <w:rFonts w:cs="Arial"/>
        </w:rPr>
        <w:t xml:space="preserve">+ applicable pharmacy mark-up + applicable dispensing fee = DPMQ) </w:t>
      </w:r>
    </w:p>
    <w:p w14:paraId="030AEE86" w14:textId="77777777" w:rsidR="00363857" w:rsidRPr="00410C27" w:rsidRDefault="00403E07" w:rsidP="00925E92">
      <w:pPr>
        <w:spacing w:line="240" w:lineRule="auto"/>
        <w:ind w:left="1134"/>
        <w:rPr>
          <w:rFonts w:cs="Arial"/>
          <w:b/>
          <w:bCs/>
          <w:i/>
        </w:rPr>
      </w:pPr>
      <w:r>
        <w:rPr>
          <w:rFonts w:cs="Arial"/>
          <w:b/>
          <w:bCs/>
          <w:i/>
        </w:rPr>
        <w:t xml:space="preserve">Calculate </w:t>
      </w:r>
      <w:r w:rsidR="00363857" w:rsidRPr="00410C27">
        <w:rPr>
          <w:rFonts w:cs="Arial"/>
          <w:b/>
          <w:bCs/>
          <w:i/>
        </w:rPr>
        <w:t>Premium</w:t>
      </w:r>
    </w:p>
    <w:p w14:paraId="556D3949" w14:textId="77777777" w:rsidR="00403E07" w:rsidRDefault="00403E07" w:rsidP="00925E92">
      <w:pPr>
        <w:tabs>
          <w:tab w:val="left" w:pos="3460"/>
        </w:tabs>
        <w:spacing w:line="240" w:lineRule="auto"/>
        <w:ind w:left="544" w:firstLine="590"/>
        <w:rPr>
          <w:rFonts w:cs="Arial"/>
        </w:rPr>
      </w:pPr>
      <w:r w:rsidRPr="00363857">
        <w:rPr>
          <w:rFonts w:cs="Arial"/>
        </w:rPr>
        <w:t xml:space="preserve">$8.21 - $7.57 = </w:t>
      </w:r>
      <w:r w:rsidRPr="00363857">
        <w:rPr>
          <w:rFonts w:cs="Arial"/>
          <w:b/>
          <w:bCs/>
        </w:rPr>
        <w:t>$0.64</w:t>
      </w:r>
      <w:r>
        <w:rPr>
          <w:rFonts w:cs="Arial"/>
        </w:rPr>
        <w:t>¢</w:t>
      </w:r>
    </w:p>
    <w:p w14:paraId="5A3B8CFC" w14:textId="77777777" w:rsidR="00403E07" w:rsidRPr="00363857" w:rsidRDefault="00403E07" w:rsidP="00925E92">
      <w:pPr>
        <w:tabs>
          <w:tab w:val="left" w:pos="3460"/>
        </w:tabs>
        <w:spacing w:line="240" w:lineRule="auto"/>
        <w:ind w:left="544" w:firstLine="590"/>
        <w:rPr>
          <w:rFonts w:cs="Arial"/>
        </w:rPr>
      </w:pPr>
      <w:r w:rsidRPr="00363857">
        <w:rPr>
          <w:rFonts w:cs="Arial"/>
        </w:rPr>
        <w:t xml:space="preserve">(Claimed DPMQ – DPMQ = Premium) </w:t>
      </w:r>
    </w:p>
    <w:p w14:paraId="399C738B" w14:textId="77777777" w:rsidR="00183E5A" w:rsidRDefault="00183E5A" w:rsidP="00183E5A">
      <w:pPr>
        <w:pStyle w:val="Heading4"/>
        <w:spacing w:before="120"/>
        <w:ind w:left="544"/>
        <w:rPr>
          <w:b w:val="0"/>
          <w:color w:val="auto"/>
        </w:rPr>
      </w:pPr>
    </w:p>
    <w:p w14:paraId="420966B9" w14:textId="77777777" w:rsidR="009F5FBD" w:rsidRDefault="00947F6E" w:rsidP="00183E5A">
      <w:pPr>
        <w:pStyle w:val="Heading4"/>
        <w:spacing w:before="120"/>
        <w:ind w:left="544"/>
        <w:rPr>
          <w:b w:val="0"/>
          <w:color w:val="auto"/>
        </w:rPr>
      </w:pPr>
      <w:r w:rsidRPr="00947F6E">
        <w:rPr>
          <w:b w:val="0"/>
          <w:color w:val="auto"/>
        </w:rPr>
        <w:t xml:space="preserve">Details </w:t>
      </w:r>
      <w:r>
        <w:rPr>
          <w:b w:val="0"/>
          <w:color w:val="auto"/>
        </w:rPr>
        <w:t>about calculation of fees and mark-up</w:t>
      </w:r>
      <w:r w:rsidR="00183E5A">
        <w:rPr>
          <w:b w:val="0"/>
          <w:color w:val="auto"/>
        </w:rPr>
        <w:t>s</w:t>
      </w:r>
      <w:r>
        <w:rPr>
          <w:b w:val="0"/>
          <w:color w:val="auto"/>
        </w:rPr>
        <w:t xml:space="preserve"> are available in the Medicare Aus</w:t>
      </w:r>
      <w:r w:rsidR="00183E5A">
        <w:rPr>
          <w:b w:val="0"/>
          <w:color w:val="auto"/>
        </w:rPr>
        <w:t>tralia Explanation of PBS Pricing -</w:t>
      </w:r>
      <w:r w:rsidR="00F4579D">
        <w:rPr>
          <w:b w:val="0"/>
          <w:color w:val="auto"/>
        </w:rPr>
        <w:t xml:space="preserve"> see: </w:t>
      </w:r>
      <w:hyperlink r:id="rId44" w:history="1">
        <w:r w:rsidR="00BB336D" w:rsidRPr="00836B20">
          <w:rPr>
            <w:rStyle w:val="Hyperlink"/>
            <w:b w:val="0"/>
          </w:rPr>
          <w:t>www.medicareaustralia.gov.au/provider/pbs/pharmacists/pricing.jsp</w:t>
        </w:r>
      </w:hyperlink>
    </w:p>
    <w:p w14:paraId="7DB6AF21" w14:textId="77777777" w:rsidR="00183E5A" w:rsidRDefault="00183E5A" w:rsidP="00925E92">
      <w:pPr>
        <w:pStyle w:val="Heading4"/>
        <w:spacing w:before="120"/>
      </w:pPr>
    </w:p>
    <w:p w14:paraId="646982B7" w14:textId="77777777" w:rsidR="005D35C4" w:rsidRPr="00D551D3" w:rsidRDefault="00F31DC4" w:rsidP="00925E92">
      <w:pPr>
        <w:pStyle w:val="Heading4"/>
        <w:spacing w:before="120"/>
      </w:pPr>
      <w:r w:rsidRPr="00D551D3">
        <w:t>Price disclosure</w:t>
      </w:r>
      <w:r w:rsidR="008A2A8E">
        <w:t>,</w:t>
      </w:r>
      <w:r w:rsidRPr="00D551D3">
        <w:t xml:space="preserve"> Statutory Price Reductions</w:t>
      </w:r>
      <w:r w:rsidR="008A2A8E">
        <w:t xml:space="preserve"> &amp; other price changes</w:t>
      </w:r>
      <w:r w:rsidRPr="00D551D3">
        <w:t xml:space="preserve"> </w:t>
      </w:r>
    </w:p>
    <w:p w14:paraId="3EC89EE4" w14:textId="77777777" w:rsidR="005D35C4" w:rsidRDefault="00784787" w:rsidP="004E4CC8">
      <w:pPr>
        <w:pStyle w:val="ListParagraph"/>
        <w:numPr>
          <w:ilvl w:val="0"/>
          <w:numId w:val="48"/>
        </w:numPr>
        <w:ind w:left="851" w:hanging="494"/>
        <w:contextualSpacing w:val="0"/>
        <w:rPr>
          <w:rFonts w:cs="Arial"/>
        </w:rPr>
      </w:pPr>
      <w:r>
        <w:rPr>
          <w:rFonts w:cs="Arial"/>
        </w:rPr>
        <w:t xml:space="preserve">Brands of pharmaceutical </w:t>
      </w:r>
      <w:r w:rsidR="00F31DC4" w:rsidRPr="0088351C">
        <w:rPr>
          <w:rFonts w:cs="Arial"/>
        </w:rPr>
        <w:t>items which</w:t>
      </w:r>
      <w:r w:rsidR="00B124FE" w:rsidRPr="0088351C">
        <w:rPr>
          <w:rFonts w:cs="Arial"/>
        </w:rPr>
        <w:t xml:space="preserve"> are </w:t>
      </w:r>
      <w:r w:rsidR="00465DED">
        <w:rPr>
          <w:rFonts w:cs="Arial"/>
        </w:rPr>
        <w:t xml:space="preserve">taking </w:t>
      </w:r>
      <w:r w:rsidR="00B124FE" w:rsidRPr="0088351C">
        <w:rPr>
          <w:rFonts w:cs="Arial"/>
        </w:rPr>
        <w:t>or</w:t>
      </w:r>
      <w:r w:rsidR="00F31DC4" w:rsidRPr="0088351C">
        <w:rPr>
          <w:rFonts w:cs="Arial"/>
        </w:rPr>
        <w:t xml:space="preserve"> have </w:t>
      </w:r>
      <w:r w:rsidR="00465DED">
        <w:rPr>
          <w:rFonts w:cs="Arial"/>
        </w:rPr>
        <w:t xml:space="preserve">taken </w:t>
      </w:r>
      <w:r w:rsidR="00F31DC4" w:rsidRPr="0088351C">
        <w:rPr>
          <w:rFonts w:cs="Arial"/>
        </w:rPr>
        <w:t>a price</w:t>
      </w:r>
      <w:r>
        <w:rPr>
          <w:rFonts w:cs="Arial"/>
        </w:rPr>
        <w:t xml:space="preserve"> disclosure</w:t>
      </w:r>
      <w:r w:rsidR="00F31DC4" w:rsidRPr="0088351C">
        <w:rPr>
          <w:rFonts w:cs="Arial"/>
        </w:rPr>
        <w:t xml:space="preserve"> </w:t>
      </w:r>
      <w:r w:rsidR="00465DED">
        <w:rPr>
          <w:rFonts w:cs="Arial"/>
        </w:rPr>
        <w:t xml:space="preserve">reduction </w:t>
      </w:r>
      <w:r>
        <w:rPr>
          <w:rFonts w:cs="Arial"/>
        </w:rPr>
        <w:t>w</w:t>
      </w:r>
      <w:r w:rsidR="00F31DC4" w:rsidRPr="0088351C">
        <w:rPr>
          <w:rFonts w:cs="Arial"/>
        </w:rPr>
        <w:t xml:space="preserve">ill not be subject to </w:t>
      </w:r>
      <w:r w:rsidR="00E03C90">
        <w:rPr>
          <w:rFonts w:cs="Arial"/>
        </w:rPr>
        <w:t xml:space="preserve">a ‘first new brand’ </w:t>
      </w:r>
      <w:r w:rsidR="00F31DC4" w:rsidRPr="0088351C">
        <w:rPr>
          <w:rFonts w:cs="Arial"/>
        </w:rPr>
        <w:t>Statutory Price Reduction</w:t>
      </w:r>
      <w:r w:rsidR="001F6528">
        <w:rPr>
          <w:rFonts w:cs="Arial"/>
        </w:rPr>
        <w:t>.</w:t>
      </w:r>
      <w:r w:rsidR="00F31DC4" w:rsidRPr="0088351C">
        <w:rPr>
          <w:rFonts w:cs="Arial"/>
        </w:rPr>
        <w:t xml:space="preserve"> </w:t>
      </w:r>
    </w:p>
    <w:p w14:paraId="318466B2" w14:textId="77777777" w:rsidR="00EA4D2C" w:rsidRDefault="00465DED" w:rsidP="004E4CC8">
      <w:pPr>
        <w:pStyle w:val="ListParagraph"/>
        <w:numPr>
          <w:ilvl w:val="0"/>
          <w:numId w:val="48"/>
        </w:numPr>
        <w:ind w:left="851" w:hanging="494"/>
        <w:contextualSpacing w:val="0"/>
        <w:rPr>
          <w:rFonts w:cs="Arial"/>
        </w:rPr>
      </w:pPr>
      <w:r>
        <w:rPr>
          <w:rFonts w:cs="Arial"/>
        </w:rPr>
        <w:t xml:space="preserve">Where brands of a drug in a therapeutic group take a </w:t>
      </w:r>
      <w:r w:rsidRPr="0088351C">
        <w:rPr>
          <w:rFonts w:cs="Arial"/>
        </w:rPr>
        <w:t>price</w:t>
      </w:r>
      <w:r>
        <w:rPr>
          <w:rFonts w:cs="Arial"/>
        </w:rPr>
        <w:t xml:space="preserve"> disclosure</w:t>
      </w:r>
      <w:r w:rsidRPr="0088351C">
        <w:rPr>
          <w:rFonts w:cs="Arial"/>
        </w:rPr>
        <w:t xml:space="preserve"> </w:t>
      </w:r>
      <w:r w:rsidR="00183E5A">
        <w:rPr>
          <w:rFonts w:cs="Arial"/>
        </w:rPr>
        <w:t>reduction, that</w:t>
      </w:r>
      <w:r>
        <w:rPr>
          <w:rFonts w:cs="Arial"/>
        </w:rPr>
        <w:t xml:space="preserve"> drug w</w:t>
      </w:r>
      <w:r w:rsidRPr="0088351C">
        <w:rPr>
          <w:rFonts w:cs="Arial"/>
        </w:rPr>
        <w:t xml:space="preserve">ill </w:t>
      </w:r>
      <w:r>
        <w:rPr>
          <w:rFonts w:cs="Arial"/>
        </w:rPr>
        <w:t>be removed from its therapeutic group.</w:t>
      </w:r>
    </w:p>
    <w:p w14:paraId="3F649AA6" w14:textId="77777777" w:rsidR="00465DED" w:rsidRDefault="00EA4D2C" w:rsidP="00EA4D2C">
      <w:pPr>
        <w:pStyle w:val="ListParagraph"/>
        <w:ind w:left="357"/>
        <w:contextualSpacing w:val="0"/>
        <w:rPr>
          <w:rFonts w:cs="Arial"/>
        </w:rPr>
      </w:pPr>
      <w:r>
        <w:rPr>
          <w:rFonts w:cs="Arial"/>
        </w:rPr>
        <w:br w:type="page"/>
      </w:r>
    </w:p>
    <w:p w14:paraId="118D9FEF" w14:textId="77777777" w:rsidR="00B93854" w:rsidRPr="00BB28F3" w:rsidRDefault="00F31DC4" w:rsidP="004E4CC8">
      <w:pPr>
        <w:pStyle w:val="ListParagraph"/>
        <w:numPr>
          <w:ilvl w:val="0"/>
          <w:numId w:val="48"/>
        </w:numPr>
        <w:spacing w:after="200"/>
        <w:ind w:left="851" w:hanging="494"/>
        <w:contextualSpacing w:val="0"/>
        <w:rPr>
          <w:b/>
          <w:bCs/>
          <w:iCs/>
          <w:color w:val="244061"/>
        </w:rPr>
      </w:pPr>
      <w:r w:rsidRPr="00183E5A">
        <w:rPr>
          <w:rFonts w:cs="Arial"/>
        </w:rPr>
        <w:lastRenderedPageBreak/>
        <w:t xml:space="preserve">In the event of a </w:t>
      </w:r>
      <w:r w:rsidR="008A2A8E" w:rsidRPr="00183E5A">
        <w:rPr>
          <w:rFonts w:cs="Arial"/>
        </w:rPr>
        <w:t xml:space="preserve">price change </w:t>
      </w:r>
      <w:r w:rsidR="00465DED" w:rsidRPr="00183E5A">
        <w:rPr>
          <w:rFonts w:cs="Arial"/>
        </w:rPr>
        <w:t xml:space="preserve">during a data collection period </w:t>
      </w:r>
      <w:r w:rsidR="008A2A8E" w:rsidRPr="00183E5A">
        <w:rPr>
          <w:rFonts w:cs="Arial"/>
        </w:rPr>
        <w:t>(e</w:t>
      </w:r>
      <w:r w:rsidR="00BF2B3A" w:rsidRPr="00183E5A">
        <w:rPr>
          <w:rFonts w:cs="Arial"/>
        </w:rPr>
        <w:t>.</w:t>
      </w:r>
      <w:r w:rsidR="008A2A8E" w:rsidRPr="00183E5A">
        <w:rPr>
          <w:rFonts w:cs="Arial"/>
        </w:rPr>
        <w:t>g</w:t>
      </w:r>
      <w:r w:rsidR="00BF2B3A" w:rsidRPr="00183E5A">
        <w:rPr>
          <w:rFonts w:cs="Arial"/>
        </w:rPr>
        <w:t>.</w:t>
      </w:r>
      <w:r w:rsidR="008A2A8E" w:rsidRPr="00183E5A">
        <w:rPr>
          <w:rFonts w:cs="Arial"/>
        </w:rPr>
        <w:t xml:space="preserve"> price disclosure or other s</w:t>
      </w:r>
      <w:r w:rsidRPr="00183E5A">
        <w:rPr>
          <w:rFonts w:cs="Arial"/>
        </w:rPr>
        <w:t xml:space="preserve">tatutory </w:t>
      </w:r>
      <w:r w:rsidR="008A2A8E" w:rsidRPr="00183E5A">
        <w:rPr>
          <w:rFonts w:cs="Arial"/>
        </w:rPr>
        <w:t>p</w:t>
      </w:r>
      <w:r w:rsidR="00784787" w:rsidRPr="00183E5A">
        <w:rPr>
          <w:rFonts w:cs="Arial"/>
        </w:rPr>
        <w:t>r</w:t>
      </w:r>
      <w:r w:rsidRPr="00183E5A">
        <w:rPr>
          <w:rFonts w:cs="Arial"/>
        </w:rPr>
        <w:t>ice</w:t>
      </w:r>
      <w:r w:rsidR="00784787" w:rsidRPr="00183E5A">
        <w:rPr>
          <w:rFonts w:cs="Arial"/>
        </w:rPr>
        <w:t xml:space="preserve"> r</w:t>
      </w:r>
      <w:r w:rsidRPr="00183E5A">
        <w:rPr>
          <w:rFonts w:cs="Arial"/>
        </w:rPr>
        <w:t>eduction</w:t>
      </w:r>
      <w:r w:rsidR="00784787" w:rsidRPr="00183E5A">
        <w:rPr>
          <w:rFonts w:cs="Arial"/>
        </w:rPr>
        <w:t>, an administrative reduction or a price increase)</w:t>
      </w:r>
      <w:r w:rsidRPr="00183E5A">
        <w:rPr>
          <w:rFonts w:cs="Arial"/>
        </w:rPr>
        <w:t>,</w:t>
      </w:r>
      <w:r w:rsidR="00722553" w:rsidRPr="00183E5A">
        <w:rPr>
          <w:rFonts w:cs="Arial"/>
        </w:rPr>
        <w:t xml:space="preserve"> </w:t>
      </w:r>
      <w:r w:rsidRPr="00183E5A">
        <w:rPr>
          <w:rFonts w:cs="Arial"/>
        </w:rPr>
        <w:t xml:space="preserve">the </w:t>
      </w:r>
      <w:r w:rsidR="00784787" w:rsidRPr="00183E5A">
        <w:rPr>
          <w:rFonts w:cs="Arial"/>
        </w:rPr>
        <w:t xml:space="preserve">PBS </w:t>
      </w:r>
      <w:r w:rsidRPr="00183E5A">
        <w:rPr>
          <w:rFonts w:cs="Arial"/>
        </w:rPr>
        <w:t xml:space="preserve">price used </w:t>
      </w:r>
      <w:r w:rsidR="00465DED" w:rsidRPr="00183E5A">
        <w:rPr>
          <w:rFonts w:cs="Arial"/>
        </w:rPr>
        <w:t>to</w:t>
      </w:r>
      <w:r w:rsidRPr="00183E5A">
        <w:rPr>
          <w:rFonts w:cs="Arial"/>
        </w:rPr>
        <w:t xml:space="preserve"> calculat</w:t>
      </w:r>
      <w:r w:rsidR="00465DED" w:rsidRPr="00183E5A">
        <w:rPr>
          <w:rFonts w:cs="Arial"/>
        </w:rPr>
        <w:t>e the weighted average disclosed price</w:t>
      </w:r>
      <w:r w:rsidRPr="00183E5A">
        <w:rPr>
          <w:rFonts w:cs="Arial"/>
        </w:rPr>
        <w:t xml:space="preserve"> is</w:t>
      </w:r>
      <w:r w:rsidR="00722553" w:rsidRPr="00183E5A">
        <w:rPr>
          <w:rFonts w:cs="Arial"/>
        </w:rPr>
        <w:t xml:space="preserve"> the </w:t>
      </w:r>
      <w:r w:rsidR="00784787" w:rsidRPr="00183E5A">
        <w:rPr>
          <w:rFonts w:cs="Arial"/>
        </w:rPr>
        <w:t xml:space="preserve">average of the </w:t>
      </w:r>
      <w:r w:rsidR="00722553" w:rsidRPr="00183E5A">
        <w:rPr>
          <w:rFonts w:cs="Arial"/>
        </w:rPr>
        <w:t>approved ex-manufacturer price</w:t>
      </w:r>
      <w:r w:rsidR="00784787" w:rsidRPr="00183E5A">
        <w:rPr>
          <w:rFonts w:cs="Arial"/>
        </w:rPr>
        <w:t>s</w:t>
      </w:r>
      <w:r w:rsidRPr="00183E5A">
        <w:rPr>
          <w:rFonts w:cs="Arial"/>
        </w:rPr>
        <w:t xml:space="preserve"> </w:t>
      </w:r>
      <w:r w:rsidR="00784787" w:rsidRPr="00183E5A">
        <w:rPr>
          <w:rFonts w:cs="Arial"/>
        </w:rPr>
        <w:t xml:space="preserve">that were applicable during the </w:t>
      </w:r>
      <w:r w:rsidRPr="00183E5A">
        <w:rPr>
          <w:rFonts w:cs="Arial"/>
        </w:rPr>
        <w:t>data collection period.</w:t>
      </w:r>
      <w:r w:rsidR="00784787" w:rsidRPr="00183E5A">
        <w:rPr>
          <w:rFonts w:cs="Arial"/>
        </w:rPr>
        <w:t xml:space="preserve"> See Regulation 37J </w:t>
      </w:r>
      <w:r w:rsidR="00465DED" w:rsidRPr="00183E5A">
        <w:rPr>
          <w:rFonts w:cs="Arial"/>
        </w:rPr>
        <w:t>and the definition of ‘price sampling day’ in the Regulations</w:t>
      </w:r>
      <w:r w:rsidR="00784787" w:rsidRPr="00183E5A">
        <w:rPr>
          <w:rFonts w:cs="Arial"/>
        </w:rPr>
        <w:t>.</w:t>
      </w:r>
      <w:r w:rsidR="00183E5A" w:rsidRPr="00183E5A">
        <w:rPr>
          <w:rFonts w:cs="Arial"/>
        </w:rPr>
        <w:t xml:space="preserve"> </w:t>
      </w:r>
    </w:p>
    <w:p w14:paraId="013D4E33" w14:textId="77777777" w:rsidR="005D35C4" w:rsidRPr="00D551D3" w:rsidRDefault="00F31DC4" w:rsidP="00925E92">
      <w:pPr>
        <w:pStyle w:val="Heading4"/>
        <w:spacing w:before="120"/>
      </w:pPr>
      <w:r w:rsidRPr="000C5D1A">
        <w:t>Circumstances when a price change will not occur</w:t>
      </w:r>
      <w:r w:rsidRPr="00D551D3">
        <w:t xml:space="preserve"> </w:t>
      </w:r>
    </w:p>
    <w:p w14:paraId="27ED9AC0" w14:textId="77777777" w:rsidR="00375605" w:rsidRDefault="00F31DC4" w:rsidP="004E4CC8">
      <w:pPr>
        <w:pStyle w:val="ListParagraph"/>
        <w:numPr>
          <w:ilvl w:val="0"/>
          <w:numId w:val="48"/>
        </w:numPr>
        <w:ind w:left="851" w:hanging="491"/>
        <w:contextualSpacing w:val="0"/>
        <w:rPr>
          <w:rFonts w:cs="Arial"/>
        </w:rPr>
      </w:pPr>
      <w:r w:rsidRPr="0099173D">
        <w:rPr>
          <w:rFonts w:cs="Arial"/>
        </w:rPr>
        <w:t>There will be no change to the approved ex-manufacturer price if the</w:t>
      </w:r>
      <w:r w:rsidR="00784787">
        <w:rPr>
          <w:rFonts w:cs="Arial"/>
        </w:rPr>
        <w:t>re is not a 10% difference between the</w:t>
      </w:r>
      <w:r w:rsidRPr="0099173D">
        <w:rPr>
          <w:rFonts w:cs="Arial"/>
        </w:rPr>
        <w:t xml:space="preserve"> </w:t>
      </w:r>
      <w:r w:rsidR="00784787">
        <w:rPr>
          <w:rFonts w:cs="Arial"/>
        </w:rPr>
        <w:t>weighted average disclosed price determined for a brand of pharmaceutical item and the approved ex-manufacturer price for the brand on the relevant day. The relevant day is the day after the end of the data collection period, which will usually be a price disclosure reduction day</w:t>
      </w:r>
      <w:r w:rsidR="000C5D1A">
        <w:rPr>
          <w:rFonts w:cs="Arial"/>
        </w:rPr>
        <w:t>.</w:t>
      </w:r>
    </w:p>
    <w:p w14:paraId="61566F45" w14:textId="77777777" w:rsidR="00375605" w:rsidRPr="00CE3C30" w:rsidRDefault="000C5D1A" w:rsidP="004E4CC8">
      <w:pPr>
        <w:pStyle w:val="ListParagraph"/>
        <w:numPr>
          <w:ilvl w:val="0"/>
          <w:numId w:val="48"/>
        </w:numPr>
        <w:ind w:left="851" w:hanging="491"/>
        <w:contextualSpacing w:val="0"/>
        <w:rPr>
          <w:rFonts w:cs="Arial"/>
        </w:rPr>
      </w:pPr>
      <w:r w:rsidRPr="00CE3C30">
        <w:rPr>
          <w:rFonts w:cs="Arial"/>
        </w:rPr>
        <w:t>For brands of a pharmaceutical item that meet the ‘no reduction’ criteria, their weighted average disclosed price is taken to be their applicable PBS price</w:t>
      </w:r>
      <w:r w:rsidR="00004502">
        <w:rPr>
          <w:rFonts w:cs="Arial"/>
        </w:rPr>
        <w:t xml:space="preserve"> </w:t>
      </w:r>
      <w:r w:rsidR="00004502">
        <w:t>(usually the current price since the last reduction day)</w:t>
      </w:r>
      <w:r w:rsidRPr="00CE3C30">
        <w:rPr>
          <w:rFonts w:cs="Arial"/>
        </w:rPr>
        <w:t xml:space="preserve">, rather than the reduced </w:t>
      </w:r>
      <w:r w:rsidRPr="000C5D1A">
        <w:t xml:space="preserve">price that would normally be determined along with other brands of a drug/MoA taking a reduction.  This means the ‘no reduction’ brands </w:t>
      </w:r>
      <w:r w:rsidRPr="00CE3C30">
        <w:t xml:space="preserve">do not meet the 10% test, so no reduction is applied under the Act.  See the </w:t>
      </w:r>
      <w:r w:rsidRPr="00587FC2">
        <w:rPr>
          <w:i/>
        </w:rPr>
        <w:t>Low Volume / Low Discount</w:t>
      </w:r>
      <w:r w:rsidR="00375605" w:rsidRPr="00E25402">
        <w:rPr>
          <w:i/>
        </w:rPr>
        <w:t xml:space="preserve"> </w:t>
      </w:r>
      <w:r w:rsidR="00E25402" w:rsidRPr="00E25402">
        <w:rPr>
          <w:i/>
        </w:rPr>
        <w:t>No Reduction Items</w:t>
      </w:r>
      <w:r w:rsidR="00E25402">
        <w:t xml:space="preserve"> </w:t>
      </w:r>
      <w:r>
        <w:t xml:space="preserve">section under the heading </w:t>
      </w:r>
      <w:r w:rsidR="00E25402">
        <w:rPr>
          <w:b/>
        </w:rPr>
        <w:t>Calculation</w:t>
      </w:r>
      <w:r>
        <w:t xml:space="preserve"> above</w:t>
      </w:r>
      <w:r w:rsidR="00375605">
        <w:t>.</w:t>
      </w:r>
    </w:p>
    <w:p w14:paraId="4BF7A642" w14:textId="77777777" w:rsidR="00375605" w:rsidRPr="00004502" w:rsidRDefault="00375605" w:rsidP="004E4CC8">
      <w:pPr>
        <w:pStyle w:val="ListParagraph"/>
        <w:numPr>
          <w:ilvl w:val="0"/>
          <w:numId w:val="48"/>
        </w:numPr>
        <w:ind w:left="851" w:hanging="494"/>
        <w:contextualSpacing w:val="0"/>
        <w:rPr>
          <w:rFonts w:cs="Arial"/>
        </w:rPr>
      </w:pPr>
      <w:r>
        <w:t xml:space="preserve">If </w:t>
      </w:r>
      <w:r w:rsidRPr="00375605">
        <w:t>application of the price disclosure outcome would result in an increase to the approved ex-manufacturer price on the reduction day (e.g. because there has been a lower price offered since the end of data collection) then there will be no price disclosure related change to the approved ex-manufacturer price.</w:t>
      </w:r>
    </w:p>
    <w:p w14:paraId="76B2219E" w14:textId="77777777" w:rsidR="006976C6" w:rsidRPr="001212C3" w:rsidRDefault="001212C3" w:rsidP="00925E92">
      <w:pPr>
        <w:rPr>
          <w:rFonts w:ascii="Times New Roman" w:hAnsi="Times New Roman"/>
          <w:sz w:val="24"/>
          <w:szCs w:val="24"/>
        </w:rPr>
      </w:pPr>
      <w:r>
        <w:rPr>
          <w:rFonts w:ascii="Times New Roman" w:hAnsi="Times New Roman"/>
          <w:sz w:val="24"/>
          <w:szCs w:val="24"/>
        </w:rPr>
        <w:br w:type="page"/>
      </w:r>
    </w:p>
    <w:p w14:paraId="2AC09CF7" w14:textId="77777777" w:rsidR="00861F85" w:rsidRDefault="00861F85" w:rsidP="00925E92">
      <w:pPr>
        <w:jc w:val="right"/>
        <w:rPr>
          <w:rFonts w:cs="Arial"/>
          <w:color w:val="00B0F0"/>
          <w:sz w:val="144"/>
          <w:szCs w:val="144"/>
        </w:rPr>
      </w:pPr>
    </w:p>
    <w:p w14:paraId="3A527F3B" w14:textId="77777777" w:rsidR="00861F85" w:rsidRDefault="00861F85" w:rsidP="00925E92">
      <w:pPr>
        <w:jc w:val="right"/>
        <w:rPr>
          <w:rFonts w:cs="Arial"/>
          <w:color w:val="00B0F0"/>
          <w:sz w:val="144"/>
          <w:szCs w:val="144"/>
        </w:rPr>
      </w:pPr>
    </w:p>
    <w:p w14:paraId="09E7C990" w14:textId="77777777" w:rsidR="007D6DEF" w:rsidRPr="003615BD" w:rsidRDefault="005313A6" w:rsidP="00925E92">
      <w:pPr>
        <w:jc w:val="right"/>
        <w:rPr>
          <w:rFonts w:cs="Arial"/>
          <w:color w:val="00B0F0"/>
          <w:sz w:val="144"/>
          <w:szCs w:val="144"/>
        </w:rPr>
      </w:pPr>
      <w:r w:rsidRPr="003615BD">
        <w:rPr>
          <w:rFonts w:cs="Arial"/>
          <w:color w:val="00B0F0"/>
          <w:sz w:val="144"/>
          <w:szCs w:val="144"/>
        </w:rPr>
        <w:t>3</w:t>
      </w:r>
    </w:p>
    <w:p w14:paraId="1C2C4599" w14:textId="77777777" w:rsidR="00EA4D2C" w:rsidRPr="00EA4D2C" w:rsidRDefault="00F31DC4" w:rsidP="00EA4D2C">
      <w:pPr>
        <w:pStyle w:val="Heading1"/>
        <w:rPr>
          <w:color w:val="365F91"/>
          <w:sz w:val="40"/>
          <w:szCs w:val="40"/>
        </w:rPr>
      </w:pPr>
      <w:bookmarkStart w:id="76" w:name="_Toc367914227"/>
      <w:bookmarkStart w:id="77" w:name="_Toc454283981"/>
      <w:r w:rsidRPr="00EA4D2C">
        <w:rPr>
          <w:color w:val="365F91"/>
          <w:sz w:val="40"/>
          <w:szCs w:val="40"/>
        </w:rPr>
        <w:t>Compliance Guidelines</w:t>
      </w:r>
      <w:bookmarkEnd w:id="76"/>
      <w:bookmarkEnd w:id="77"/>
    </w:p>
    <w:p w14:paraId="6976BF78" w14:textId="77777777" w:rsidR="005D35C4" w:rsidRPr="007D6DEF" w:rsidRDefault="00EA4D2C" w:rsidP="00EA4D2C">
      <w:pPr>
        <w:pStyle w:val="Heading2"/>
      </w:pPr>
      <w:r>
        <w:rPr>
          <w:color w:val="365F91"/>
        </w:rPr>
        <w:br w:type="page"/>
      </w:r>
      <w:bookmarkStart w:id="78" w:name="_Toc367914228"/>
      <w:bookmarkStart w:id="79" w:name="_Toc454283982"/>
      <w:r w:rsidR="00F31DC4" w:rsidRPr="00D551D3">
        <w:lastRenderedPageBreak/>
        <w:t>A compliance culture</w:t>
      </w:r>
      <w:bookmarkEnd w:id="78"/>
      <w:bookmarkEnd w:id="79"/>
      <w:r w:rsidR="00F31DC4" w:rsidRPr="00D551D3">
        <w:t xml:space="preserve"> </w:t>
      </w:r>
    </w:p>
    <w:p w14:paraId="0B9C43FA" w14:textId="77777777" w:rsidR="005D35C4" w:rsidRPr="007D6DEF" w:rsidRDefault="00F31DC4" w:rsidP="004E4CC8">
      <w:pPr>
        <w:pStyle w:val="ListParagraph"/>
        <w:numPr>
          <w:ilvl w:val="0"/>
          <w:numId w:val="48"/>
        </w:numPr>
        <w:ind w:left="851" w:hanging="494"/>
        <w:contextualSpacing w:val="0"/>
        <w:rPr>
          <w:rFonts w:cs="Arial"/>
        </w:rPr>
      </w:pPr>
      <w:r w:rsidRPr="007D6DEF">
        <w:rPr>
          <w:rFonts w:cs="Arial"/>
        </w:rPr>
        <w:t xml:space="preserve">It is expected that responsible persons will operate within an organisational framework and culture which supports compliance. </w:t>
      </w:r>
    </w:p>
    <w:p w14:paraId="04E87815"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 xml:space="preserve">They should practice good corporate governance and have appropriate systems in place. </w:t>
      </w:r>
    </w:p>
    <w:p w14:paraId="65538230"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 xml:space="preserve">Their financial records are expected to be maintained in accordance with applicable Australian Accounting Standards. </w:t>
      </w:r>
    </w:p>
    <w:p w14:paraId="4FB64CFE" w14:textId="77777777" w:rsidR="00B93854" w:rsidRDefault="00F31DC4" w:rsidP="004E4CC8">
      <w:pPr>
        <w:pStyle w:val="ListParagraph"/>
        <w:numPr>
          <w:ilvl w:val="0"/>
          <w:numId w:val="48"/>
        </w:numPr>
        <w:ind w:left="993" w:hanging="633"/>
        <w:contextualSpacing w:val="0"/>
        <w:rPr>
          <w:rFonts w:cs="Arial"/>
        </w:rPr>
      </w:pPr>
      <w:r w:rsidRPr="007D6DEF">
        <w:rPr>
          <w:rFonts w:cs="Arial"/>
        </w:rPr>
        <w:t xml:space="preserve">Compliant organisations tend to: </w:t>
      </w:r>
    </w:p>
    <w:p w14:paraId="1FB49926" w14:textId="77777777" w:rsidR="00B93854" w:rsidRDefault="00F31DC4" w:rsidP="004E4CC8">
      <w:pPr>
        <w:pStyle w:val="ListParagraph"/>
        <w:numPr>
          <w:ilvl w:val="1"/>
          <w:numId w:val="48"/>
        </w:numPr>
        <w:contextualSpacing w:val="0"/>
        <w:rPr>
          <w:rFonts w:cs="Arial"/>
        </w:rPr>
      </w:pPr>
      <w:r w:rsidRPr="00B93854">
        <w:rPr>
          <w:rFonts w:cs="Arial"/>
        </w:rPr>
        <w:t>establish values</w:t>
      </w:r>
      <w:r w:rsidR="00F46C79" w:rsidRPr="00B93854">
        <w:rPr>
          <w:rFonts w:cs="Arial"/>
        </w:rPr>
        <w:t xml:space="preserve"> aligned with compliance</w:t>
      </w:r>
      <w:r w:rsidRPr="00B93854">
        <w:rPr>
          <w:rFonts w:cs="Arial"/>
        </w:rPr>
        <w:t xml:space="preserve">; </w:t>
      </w:r>
    </w:p>
    <w:p w14:paraId="6E63F75B" w14:textId="77777777" w:rsidR="00B93854" w:rsidRDefault="00F31DC4" w:rsidP="004E4CC8">
      <w:pPr>
        <w:pStyle w:val="ListParagraph"/>
        <w:numPr>
          <w:ilvl w:val="1"/>
          <w:numId w:val="48"/>
        </w:numPr>
        <w:contextualSpacing w:val="0"/>
        <w:rPr>
          <w:rFonts w:cs="Arial"/>
        </w:rPr>
      </w:pPr>
      <w:r w:rsidRPr="00B93854">
        <w:rPr>
          <w:rFonts w:cs="Arial"/>
        </w:rPr>
        <w:t xml:space="preserve">build systems which are consistent with, and support, the delivery of these values; </w:t>
      </w:r>
    </w:p>
    <w:p w14:paraId="0C1552E0" w14:textId="77777777" w:rsidR="00B93854" w:rsidRDefault="00F31DC4" w:rsidP="004E4CC8">
      <w:pPr>
        <w:pStyle w:val="ListParagraph"/>
        <w:numPr>
          <w:ilvl w:val="1"/>
          <w:numId w:val="48"/>
        </w:numPr>
        <w:contextualSpacing w:val="0"/>
        <w:rPr>
          <w:rFonts w:cs="Arial"/>
        </w:rPr>
      </w:pPr>
      <w:r w:rsidRPr="00B93854">
        <w:rPr>
          <w:rFonts w:cs="Arial"/>
        </w:rPr>
        <w:t xml:space="preserve">promote, recognise and reward behaviours which are consistent with the delivery of these values; </w:t>
      </w:r>
    </w:p>
    <w:p w14:paraId="291915BF" w14:textId="77777777" w:rsidR="00B93854" w:rsidRDefault="00F31DC4" w:rsidP="004E4CC8">
      <w:pPr>
        <w:pStyle w:val="ListParagraph"/>
        <w:numPr>
          <w:ilvl w:val="1"/>
          <w:numId w:val="48"/>
        </w:numPr>
        <w:contextualSpacing w:val="0"/>
        <w:rPr>
          <w:rFonts w:cs="Arial"/>
        </w:rPr>
      </w:pPr>
      <w:r w:rsidRPr="00B93854">
        <w:rPr>
          <w:rFonts w:cs="Arial"/>
        </w:rPr>
        <w:t xml:space="preserve">ensure adequately skilled resources exist to manage and respond to rules or obligations applied to the business; </w:t>
      </w:r>
    </w:p>
    <w:p w14:paraId="426406F8" w14:textId="77777777" w:rsidR="00B93854" w:rsidRDefault="00F31DC4" w:rsidP="004E4CC8">
      <w:pPr>
        <w:pStyle w:val="ListParagraph"/>
        <w:numPr>
          <w:ilvl w:val="1"/>
          <w:numId w:val="48"/>
        </w:numPr>
        <w:contextualSpacing w:val="0"/>
        <w:rPr>
          <w:rFonts w:cs="Arial"/>
        </w:rPr>
      </w:pPr>
      <w:r w:rsidRPr="00B93854">
        <w:rPr>
          <w:rFonts w:cs="Arial"/>
        </w:rPr>
        <w:t xml:space="preserve">develop, design and implement policies and processes to support the intent to be compliant; </w:t>
      </w:r>
    </w:p>
    <w:p w14:paraId="126C35FB" w14:textId="77777777" w:rsidR="00B93854" w:rsidRDefault="00F31DC4" w:rsidP="004E4CC8">
      <w:pPr>
        <w:pStyle w:val="ListParagraph"/>
        <w:numPr>
          <w:ilvl w:val="1"/>
          <w:numId w:val="48"/>
        </w:numPr>
        <w:contextualSpacing w:val="0"/>
        <w:rPr>
          <w:rFonts w:cs="Arial"/>
        </w:rPr>
      </w:pPr>
      <w:r w:rsidRPr="00B93854">
        <w:rPr>
          <w:rFonts w:cs="Arial"/>
        </w:rPr>
        <w:t xml:space="preserve">deliver effective compliance testing and monitoring; and </w:t>
      </w:r>
    </w:p>
    <w:p w14:paraId="5C5FA883" w14:textId="77777777" w:rsidR="005D35C4" w:rsidRPr="00B93854" w:rsidRDefault="00F31DC4" w:rsidP="004E4CC8">
      <w:pPr>
        <w:pStyle w:val="ListParagraph"/>
        <w:numPr>
          <w:ilvl w:val="1"/>
          <w:numId w:val="48"/>
        </w:numPr>
        <w:contextualSpacing w:val="0"/>
        <w:rPr>
          <w:rFonts w:cs="Arial"/>
        </w:rPr>
      </w:pPr>
      <w:r w:rsidRPr="00B93854">
        <w:rPr>
          <w:rFonts w:cs="Arial"/>
        </w:rPr>
        <w:t xml:space="preserve">obtain independent assurance that the overall system of internal control and compliance operates as intended. </w:t>
      </w:r>
    </w:p>
    <w:p w14:paraId="5CD08A9F"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 xml:space="preserve">Serious penalties apply for </w:t>
      </w:r>
      <w:r w:rsidR="00D551D3" w:rsidRPr="007D6DEF">
        <w:rPr>
          <w:rFonts w:cs="Arial"/>
        </w:rPr>
        <w:t>non-compliance</w:t>
      </w:r>
      <w:r w:rsidRPr="007D6DEF">
        <w:rPr>
          <w:rFonts w:cs="Arial"/>
        </w:rPr>
        <w:t xml:space="preserve"> with </w:t>
      </w:r>
      <w:r w:rsidR="00B31D1C">
        <w:rPr>
          <w:rFonts w:cs="Arial"/>
        </w:rPr>
        <w:t>price disclosure</w:t>
      </w:r>
      <w:r w:rsidR="00B31D1C" w:rsidRPr="007D6DEF">
        <w:rPr>
          <w:rFonts w:cs="Arial"/>
        </w:rPr>
        <w:t xml:space="preserve"> </w:t>
      </w:r>
      <w:r w:rsidRPr="007D6DEF">
        <w:rPr>
          <w:rFonts w:cs="Arial"/>
        </w:rPr>
        <w:t xml:space="preserve">requirements. Responsible persons should develop a working knowledge of how the price disclosure process works. Responsible persons will need to make themselves aware of their obligations under the </w:t>
      </w:r>
      <w:r w:rsidR="00B31D1C">
        <w:rPr>
          <w:rFonts w:cs="Arial"/>
        </w:rPr>
        <w:t xml:space="preserve">price disclosure </w:t>
      </w:r>
      <w:r w:rsidRPr="007D6DEF">
        <w:rPr>
          <w:rFonts w:cs="Arial"/>
        </w:rPr>
        <w:t xml:space="preserve">arrangements and how these affect their record keeping and reporting requirements. </w:t>
      </w:r>
    </w:p>
    <w:p w14:paraId="4762D838"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 xml:space="preserve">Responsible persons should ensure that appropriate methodologies for extracting and/or estimating data have been developed, documented and applied in a consistent manner. A detailed audit trail should be documented and maintained so that data submitted can be traced to the underlying transactional data. </w:t>
      </w:r>
    </w:p>
    <w:p w14:paraId="360DA9BF"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The Department may request that a responsible person agrees to participate in an audit of their price disclosure data and methodologies. This may involve the Department</w:t>
      </w:r>
      <w:r w:rsidR="00B31D1C">
        <w:rPr>
          <w:rFonts w:cs="Arial"/>
        </w:rPr>
        <w:t>, the PDDA,</w:t>
      </w:r>
      <w:r w:rsidRPr="007D6DEF">
        <w:rPr>
          <w:rFonts w:cs="Arial"/>
        </w:rPr>
        <w:t xml:space="preserve"> or </w:t>
      </w:r>
      <w:r w:rsidR="00B31D1C">
        <w:rPr>
          <w:rFonts w:cs="Arial"/>
        </w:rPr>
        <w:t>an</w:t>
      </w:r>
      <w:r w:rsidRPr="007D6DEF">
        <w:rPr>
          <w:rFonts w:cs="Arial"/>
        </w:rPr>
        <w:t xml:space="preserve"> </w:t>
      </w:r>
      <w:r w:rsidR="00B31D1C">
        <w:rPr>
          <w:rFonts w:cs="Arial"/>
        </w:rPr>
        <w:t xml:space="preserve">alternative </w:t>
      </w:r>
      <w:r w:rsidRPr="007D6DEF">
        <w:rPr>
          <w:rFonts w:cs="Arial"/>
        </w:rPr>
        <w:t xml:space="preserve">appointed auditor checking business records against the disclosure statements submitted to the Department. Responsible persons should therefore complete their submissions carefully and keep adequate records to support their submissions. </w:t>
      </w:r>
    </w:p>
    <w:p w14:paraId="4535D037" w14:textId="77777777" w:rsidR="005D35C4" w:rsidRPr="007D6DEF" w:rsidRDefault="00F31DC4" w:rsidP="004E4CC8">
      <w:pPr>
        <w:pStyle w:val="ListParagraph"/>
        <w:numPr>
          <w:ilvl w:val="0"/>
          <w:numId w:val="48"/>
        </w:numPr>
        <w:ind w:left="851" w:hanging="491"/>
        <w:contextualSpacing w:val="0"/>
        <w:rPr>
          <w:rFonts w:cs="Arial"/>
        </w:rPr>
      </w:pPr>
      <w:r w:rsidRPr="007D6DEF">
        <w:rPr>
          <w:rFonts w:cs="Arial"/>
        </w:rPr>
        <w:t xml:space="preserve">All documents, methodologies, detailed transactional records and any other </w:t>
      </w:r>
      <w:r w:rsidR="008218D1">
        <w:rPr>
          <w:rFonts w:cs="Arial"/>
        </w:rPr>
        <w:t>d</w:t>
      </w:r>
      <w:r w:rsidRPr="007D6DEF">
        <w:rPr>
          <w:rFonts w:cs="Arial"/>
        </w:rPr>
        <w:t xml:space="preserve">ocuments relating to price disclosure arrangements must be kept for two years </w:t>
      </w:r>
      <w:r w:rsidR="008218D1">
        <w:rPr>
          <w:rFonts w:cs="Arial"/>
        </w:rPr>
        <w:br/>
      </w:r>
      <w:r w:rsidRPr="007D6DEF">
        <w:rPr>
          <w:rFonts w:cs="Arial"/>
        </w:rPr>
        <w:t xml:space="preserve">from the end of the annual collection cycle to which those records relate. </w:t>
      </w:r>
    </w:p>
    <w:p w14:paraId="3C81A0ED" w14:textId="77777777" w:rsidR="005D35C4" w:rsidRPr="00D551D3" w:rsidRDefault="00F31DC4" w:rsidP="00925E92">
      <w:pPr>
        <w:pStyle w:val="Heading3"/>
        <w:spacing w:before="120"/>
      </w:pPr>
      <w:bookmarkStart w:id="80" w:name="_Toc367914229"/>
      <w:bookmarkStart w:id="81" w:name="_Toc454283983"/>
      <w:r w:rsidRPr="00D551D3">
        <w:lastRenderedPageBreak/>
        <w:t>Non-compliance</w:t>
      </w:r>
      <w:bookmarkEnd w:id="80"/>
      <w:bookmarkEnd w:id="81"/>
      <w:r w:rsidRPr="00D551D3">
        <w:t xml:space="preserve"> </w:t>
      </w:r>
    </w:p>
    <w:p w14:paraId="540780DC" w14:textId="77777777" w:rsidR="00B93854" w:rsidRDefault="00F31DC4" w:rsidP="004E4CC8">
      <w:pPr>
        <w:pStyle w:val="ListParagraph"/>
        <w:numPr>
          <w:ilvl w:val="0"/>
          <w:numId w:val="48"/>
        </w:numPr>
        <w:ind w:left="851" w:hanging="491"/>
        <w:contextualSpacing w:val="0"/>
        <w:rPr>
          <w:rFonts w:cs="Arial"/>
        </w:rPr>
      </w:pPr>
      <w:r w:rsidRPr="007D6DEF">
        <w:rPr>
          <w:rFonts w:cs="Arial"/>
        </w:rPr>
        <w:t xml:space="preserve">There are a number of different ways in which a responsible person can be considered to be non-compliant with the price disclosure requirements. These include the following: </w:t>
      </w:r>
    </w:p>
    <w:p w14:paraId="3EE74CD1" w14:textId="77777777" w:rsidR="00B93854" w:rsidRDefault="00DD6652" w:rsidP="004E4CC8">
      <w:pPr>
        <w:pStyle w:val="ListParagraph"/>
        <w:numPr>
          <w:ilvl w:val="1"/>
          <w:numId w:val="48"/>
        </w:numPr>
        <w:contextualSpacing w:val="0"/>
        <w:rPr>
          <w:rFonts w:cs="Arial"/>
        </w:rPr>
      </w:pPr>
      <w:r w:rsidRPr="00B93854">
        <w:rPr>
          <w:rFonts w:cs="Arial"/>
        </w:rPr>
        <w:t>t</w:t>
      </w:r>
      <w:r w:rsidR="00F31DC4" w:rsidRPr="00B93854">
        <w:rPr>
          <w:rFonts w:cs="Arial"/>
        </w:rPr>
        <w:t xml:space="preserve">he responsible person did not submit any data when required to do so; </w:t>
      </w:r>
    </w:p>
    <w:p w14:paraId="4A7AC00C" w14:textId="77777777" w:rsidR="00B93854" w:rsidRDefault="00DD6652" w:rsidP="004E4CC8">
      <w:pPr>
        <w:pStyle w:val="ListParagraph"/>
        <w:numPr>
          <w:ilvl w:val="1"/>
          <w:numId w:val="48"/>
        </w:numPr>
        <w:contextualSpacing w:val="0"/>
        <w:rPr>
          <w:rFonts w:cs="Arial"/>
        </w:rPr>
      </w:pPr>
      <w:r w:rsidRPr="00B93854">
        <w:rPr>
          <w:rFonts w:cs="Arial"/>
        </w:rPr>
        <w:t>t</w:t>
      </w:r>
      <w:r w:rsidR="00F31DC4" w:rsidRPr="00B93854">
        <w:rPr>
          <w:rFonts w:cs="Arial"/>
        </w:rPr>
        <w:t xml:space="preserve">he responsible person submitted partial and/or incomplete data; </w:t>
      </w:r>
    </w:p>
    <w:p w14:paraId="62266932" w14:textId="77777777" w:rsidR="00B93854" w:rsidRDefault="00DD6652" w:rsidP="004E4CC8">
      <w:pPr>
        <w:pStyle w:val="ListParagraph"/>
        <w:numPr>
          <w:ilvl w:val="1"/>
          <w:numId w:val="48"/>
        </w:numPr>
        <w:contextualSpacing w:val="0"/>
        <w:rPr>
          <w:rFonts w:cs="Arial"/>
        </w:rPr>
      </w:pPr>
      <w:r w:rsidRPr="00B93854">
        <w:rPr>
          <w:rFonts w:cs="Arial"/>
        </w:rPr>
        <w:t>t</w:t>
      </w:r>
      <w:r w:rsidR="00F31DC4" w:rsidRPr="00B93854">
        <w:rPr>
          <w:rFonts w:cs="Arial"/>
        </w:rPr>
        <w:t xml:space="preserve">he responsible person submitted inaccurate data; and </w:t>
      </w:r>
    </w:p>
    <w:p w14:paraId="769E7F06" w14:textId="77777777" w:rsidR="005D35C4" w:rsidRPr="00B93854" w:rsidRDefault="00DD6652" w:rsidP="004E4CC8">
      <w:pPr>
        <w:pStyle w:val="ListParagraph"/>
        <w:numPr>
          <w:ilvl w:val="1"/>
          <w:numId w:val="48"/>
        </w:numPr>
        <w:contextualSpacing w:val="0"/>
        <w:rPr>
          <w:rFonts w:cs="Arial"/>
        </w:rPr>
      </w:pPr>
      <w:r w:rsidRPr="00B93854">
        <w:rPr>
          <w:rFonts w:cs="Arial"/>
        </w:rPr>
        <w:t>t</w:t>
      </w:r>
      <w:r w:rsidR="00F31DC4" w:rsidRPr="00B93854">
        <w:rPr>
          <w:rFonts w:cs="Arial"/>
        </w:rPr>
        <w:t xml:space="preserve">he responsible person submitted all required data, however, it was late. </w:t>
      </w:r>
    </w:p>
    <w:p w14:paraId="397BFD8B" w14:textId="77777777" w:rsidR="00B93854" w:rsidRDefault="00F31DC4" w:rsidP="004E4CC8">
      <w:pPr>
        <w:pStyle w:val="ListParagraph"/>
        <w:numPr>
          <w:ilvl w:val="0"/>
          <w:numId w:val="48"/>
        </w:numPr>
        <w:tabs>
          <w:tab w:val="left" w:pos="851"/>
        </w:tabs>
        <w:ind w:left="851" w:hanging="491"/>
        <w:contextualSpacing w:val="0"/>
        <w:rPr>
          <w:rFonts w:cs="Arial"/>
        </w:rPr>
      </w:pPr>
      <w:r w:rsidRPr="007D6DEF">
        <w:rPr>
          <w:rFonts w:cs="Arial"/>
        </w:rPr>
        <w:t xml:space="preserve">On identifying a case of non-compliance the Department will formally notify the responsible person that: </w:t>
      </w:r>
    </w:p>
    <w:p w14:paraId="64BA9AC8" w14:textId="77777777" w:rsidR="00B93854" w:rsidRDefault="00F31DC4" w:rsidP="004E4CC8">
      <w:pPr>
        <w:pStyle w:val="ListParagraph"/>
        <w:numPr>
          <w:ilvl w:val="1"/>
          <w:numId w:val="48"/>
        </w:numPr>
        <w:tabs>
          <w:tab w:val="left" w:pos="851"/>
        </w:tabs>
        <w:contextualSpacing w:val="0"/>
        <w:rPr>
          <w:rFonts w:cs="Arial"/>
        </w:rPr>
      </w:pPr>
      <w:r w:rsidRPr="00B93854">
        <w:rPr>
          <w:rFonts w:cs="Arial"/>
        </w:rPr>
        <w:t xml:space="preserve">non-compliance has occurred; </w:t>
      </w:r>
    </w:p>
    <w:p w14:paraId="65D0C9F7" w14:textId="77777777" w:rsidR="00B93854" w:rsidRDefault="00F31DC4" w:rsidP="004E4CC8">
      <w:pPr>
        <w:pStyle w:val="ListParagraph"/>
        <w:numPr>
          <w:ilvl w:val="1"/>
          <w:numId w:val="48"/>
        </w:numPr>
        <w:tabs>
          <w:tab w:val="left" w:pos="851"/>
        </w:tabs>
        <w:contextualSpacing w:val="0"/>
        <w:rPr>
          <w:rFonts w:cs="Arial"/>
        </w:rPr>
      </w:pPr>
      <w:r w:rsidRPr="00B93854">
        <w:rPr>
          <w:rFonts w:cs="Arial"/>
        </w:rPr>
        <w:t xml:space="preserve">the nature of the non-compliance; </w:t>
      </w:r>
    </w:p>
    <w:p w14:paraId="15E0E45F" w14:textId="77777777" w:rsidR="00B93854" w:rsidRDefault="00F31DC4" w:rsidP="004E4CC8">
      <w:pPr>
        <w:pStyle w:val="ListParagraph"/>
        <w:numPr>
          <w:ilvl w:val="1"/>
          <w:numId w:val="48"/>
        </w:numPr>
        <w:tabs>
          <w:tab w:val="left" w:pos="851"/>
        </w:tabs>
        <w:contextualSpacing w:val="0"/>
        <w:rPr>
          <w:rFonts w:cs="Arial"/>
        </w:rPr>
      </w:pPr>
      <w:r w:rsidRPr="00B93854">
        <w:rPr>
          <w:rFonts w:cs="Arial"/>
        </w:rPr>
        <w:t xml:space="preserve">the details of the non-compliance; </w:t>
      </w:r>
    </w:p>
    <w:p w14:paraId="6FA5C99B" w14:textId="77777777" w:rsidR="00B93854" w:rsidRDefault="00F31DC4" w:rsidP="004E4CC8">
      <w:pPr>
        <w:pStyle w:val="ListParagraph"/>
        <w:numPr>
          <w:ilvl w:val="1"/>
          <w:numId w:val="48"/>
        </w:numPr>
        <w:tabs>
          <w:tab w:val="left" w:pos="851"/>
        </w:tabs>
        <w:contextualSpacing w:val="0"/>
        <w:rPr>
          <w:rFonts w:cs="Arial"/>
        </w:rPr>
      </w:pPr>
      <w:r w:rsidRPr="00B93854">
        <w:rPr>
          <w:rFonts w:cs="Arial"/>
        </w:rPr>
        <w:t xml:space="preserve">the action which the Department is now asking the responsible person to take and the timeframes for that action; and </w:t>
      </w:r>
    </w:p>
    <w:p w14:paraId="463428E2" w14:textId="77777777" w:rsidR="005D35C4" w:rsidRPr="00B93854" w:rsidRDefault="00F31DC4" w:rsidP="004E4CC8">
      <w:pPr>
        <w:pStyle w:val="ListParagraph"/>
        <w:numPr>
          <w:ilvl w:val="1"/>
          <w:numId w:val="48"/>
        </w:numPr>
        <w:tabs>
          <w:tab w:val="left" w:pos="851"/>
        </w:tabs>
        <w:contextualSpacing w:val="0"/>
        <w:rPr>
          <w:rFonts w:cs="Arial"/>
        </w:rPr>
      </w:pPr>
      <w:r w:rsidRPr="00B93854">
        <w:rPr>
          <w:rFonts w:cs="Arial"/>
        </w:rPr>
        <w:t xml:space="preserve">any action which the Department now intends to take and the timeframes for that action. </w:t>
      </w:r>
    </w:p>
    <w:p w14:paraId="5A113D64" w14:textId="77777777" w:rsidR="005D35C4" w:rsidRPr="007D6DEF" w:rsidRDefault="00F31DC4" w:rsidP="004E4CC8">
      <w:pPr>
        <w:pStyle w:val="ListParagraph"/>
        <w:numPr>
          <w:ilvl w:val="0"/>
          <w:numId w:val="48"/>
        </w:numPr>
        <w:tabs>
          <w:tab w:val="left" w:pos="851"/>
        </w:tabs>
        <w:ind w:left="851" w:hanging="491"/>
        <w:contextualSpacing w:val="0"/>
        <w:rPr>
          <w:rFonts w:cs="Arial"/>
        </w:rPr>
      </w:pPr>
      <w:r w:rsidRPr="007D6DEF">
        <w:rPr>
          <w:rFonts w:cs="Arial"/>
        </w:rPr>
        <w:t xml:space="preserve">For example if the data which the responsible person submitted at the due date was incomplete </w:t>
      </w:r>
      <w:r w:rsidR="0050571F">
        <w:rPr>
          <w:rFonts w:cs="Arial"/>
        </w:rPr>
        <w:t xml:space="preserve">or appears inaccurate </w:t>
      </w:r>
      <w:r w:rsidRPr="007D6DEF">
        <w:rPr>
          <w:rFonts w:cs="Arial"/>
        </w:rPr>
        <w:t xml:space="preserve">the Department may notify the responsible person and ask </w:t>
      </w:r>
      <w:r w:rsidR="0050571F">
        <w:rPr>
          <w:rFonts w:cs="Arial"/>
        </w:rPr>
        <w:t>for</w:t>
      </w:r>
      <w:r w:rsidRPr="007D6DEF">
        <w:rPr>
          <w:rFonts w:cs="Arial"/>
        </w:rPr>
        <w:t xml:space="preserve"> submi</w:t>
      </w:r>
      <w:r w:rsidR="0050571F">
        <w:rPr>
          <w:rFonts w:cs="Arial"/>
        </w:rPr>
        <w:t>ssion of</w:t>
      </w:r>
      <w:r w:rsidRPr="007D6DEF">
        <w:rPr>
          <w:rFonts w:cs="Arial"/>
        </w:rPr>
        <w:t xml:space="preserve"> the required data </w:t>
      </w:r>
      <w:r w:rsidR="00B31D1C">
        <w:rPr>
          <w:rFonts w:cs="Arial"/>
        </w:rPr>
        <w:t xml:space="preserve">as soon as possible, and no longer than 1 </w:t>
      </w:r>
      <w:r w:rsidR="0050571F">
        <w:rPr>
          <w:rFonts w:cs="Arial"/>
        </w:rPr>
        <w:t>business day</w:t>
      </w:r>
      <w:r w:rsidRPr="007D6DEF">
        <w:rPr>
          <w:rFonts w:cs="Arial"/>
        </w:rPr>
        <w:t xml:space="preserve">. </w:t>
      </w:r>
    </w:p>
    <w:p w14:paraId="626D169E" w14:textId="77777777" w:rsidR="005D35C4" w:rsidRPr="007D6DEF" w:rsidRDefault="00F31DC4" w:rsidP="004E4CC8">
      <w:pPr>
        <w:pStyle w:val="ListParagraph"/>
        <w:numPr>
          <w:ilvl w:val="0"/>
          <w:numId w:val="48"/>
        </w:numPr>
        <w:tabs>
          <w:tab w:val="left" w:pos="851"/>
        </w:tabs>
        <w:ind w:left="851" w:hanging="491"/>
        <w:contextualSpacing w:val="0"/>
        <w:rPr>
          <w:rFonts w:cs="Arial"/>
        </w:rPr>
      </w:pPr>
      <w:r w:rsidRPr="007D6DEF">
        <w:rPr>
          <w:rFonts w:cs="Arial"/>
        </w:rPr>
        <w:t xml:space="preserve">If a responsible person knows prior to the due date that it will be unable to comply then the responsible person should notify the </w:t>
      </w:r>
      <w:r w:rsidR="001D6B0F" w:rsidRPr="007D6DEF">
        <w:rPr>
          <w:rFonts w:cs="Arial"/>
        </w:rPr>
        <w:t>PDDA</w:t>
      </w:r>
      <w:r w:rsidRPr="007D6DEF">
        <w:rPr>
          <w:rFonts w:cs="Arial"/>
        </w:rPr>
        <w:t xml:space="preserve"> of the likely non-compliance as soon as it becomes aware of it. The </w:t>
      </w:r>
      <w:r w:rsidR="001D6B0F" w:rsidRPr="007D6DEF">
        <w:rPr>
          <w:rFonts w:cs="Arial"/>
        </w:rPr>
        <w:t xml:space="preserve">PDDA or the </w:t>
      </w:r>
      <w:r w:rsidRPr="007D6DEF">
        <w:rPr>
          <w:rFonts w:cs="Arial"/>
        </w:rPr>
        <w:t xml:space="preserve">Department will then advise the responsible person what course of action the responsible person and Department will need to take to minimise the impact of the non-compliance. </w:t>
      </w:r>
      <w:r w:rsidR="0050571F">
        <w:rPr>
          <w:rFonts w:cs="Arial"/>
        </w:rPr>
        <w:t>Responsible persons should take all reasonable actions to ensure submission by the due date – it should not leave preparation for submissions until late in the submission period.</w:t>
      </w:r>
    </w:p>
    <w:p w14:paraId="0E099DD1" w14:textId="77777777" w:rsidR="005D35C4" w:rsidRPr="007D6DEF" w:rsidRDefault="00F31DC4" w:rsidP="004E4CC8">
      <w:pPr>
        <w:pStyle w:val="ListParagraph"/>
        <w:numPr>
          <w:ilvl w:val="0"/>
          <w:numId w:val="48"/>
        </w:numPr>
        <w:tabs>
          <w:tab w:val="left" w:pos="851"/>
        </w:tabs>
        <w:ind w:left="851" w:hanging="491"/>
        <w:contextualSpacing w:val="0"/>
        <w:rPr>
          <w:rFonts w:cs="Arial"/>
        </w:rPr>
      </w:pPr>
      <w:r w:rsidRPr="007D6DEF">
        <w:rPr>
          <w:rFonts w:cs="Arial"/>
        </w:rPr>
        <w:t>If</w:t>
      </w:r>
      <w:r w:rsidR="00DD6652">
        <w:rPr>
          <w:rFonts w:cs="Arial"/>
        </w:rPr>
        <w:t>,</w:t>
      </w:r>
      <w:r w:rsidRPr="007D6DEF">
        <w:rPr>
          <w:rFonts w:cs="Arial"/>
        </w:rPr>
        <w:t xml:space="preserve"> after the submission due date</w:t>
      </w:r>
      <w:r w:rsidR="00DD6652">
        <w:rPr>
          <w:rFonts w:cs="Arial"/>
        </w:rPr>
        <w:t>,</w:t>
      </w:r>
      <w:r w:rsidRPr="007D6DEF">
        <w:rPr>
          <w:rFonts w:cs="Arial"/>
        </w:rPr>
        <w:t xml:space="preserve"> the responsible person becomes aware that it has acted in a non-compliant manner then it should advise the </w:t>
      </w:r>
      <w:r w:rsidR="001D6B0F" w:rsidRPr="007D6DEF">
        <w:rPr>
          <w:rFonts w:cs="Arial"/>
        </w:rPr>
        <w:t xml:space="preserve">PDDA or the </w:t>
      </w:r>
      <w:r w:rsidRPr="007D6DEF">
        <w:rPr>
          <w:rFonts w:cs="Arial"/>
        </w:rPr>
        <w:t xml:space="preserve">Department immediately. The Department will then advise the responsible person what course of action the responsible person and Department will need to take to minimise the impact of the non-compliance. </w:t>
      </w:r>
    </w:p>
    <w:p w14:paraId="21F81C6A" w14:textId="77777777" w:rsidR="005D35C4" w:rsidRPr="00D551D3" w:rsidRDefault="00DA35D0" w:rsidP="0018413E">
      <w:pPr>
        <w:pStyle w:val="Heading3"/>
      </w:pPr>
      <w:bookmarkStart w:id="82" w:name="_Toc367914230"/>
      <w:r>
        <w:br w:type="page"/>
      </w:r>
      <w:bookmarkStart w:id="83" w:name="_Toc454283984"/>
      <w:r w:rsidR="00F31DC4" w:rsidRPr="00D551D3">
        <w:lastRenderedPageBreak/>
        <w:t xml:space="preserve">Consequences of </w:t>
      </w:r>
      <w:r w:rsidR="00D551D3" w:rsidRPr="00D551D3">
        <w:t>non-compliance</w:t>
      </w:r>
      <w:r w:rsidR="00F31DC4" w:rsidRPr="00D551D3">
        <w:t xml:space="preserve"> with disclosure requirements</w:t>
      </w:r>
      <w:bookmarkEnd w:id="82"/>
      <w:bookmarkEnd w:id="83"/>
      <w:r w:rsidR="00F31DC4" w:rsidRPr="00D551D3">
        <w:t xml:space="preserve"> </w:t>
      </w:r>
    </w:p>
    <w:p w14:paraId="4666DEE8" w14:textId="77777777" w:rsidR="00B93854" w:rsidRDefault="00F31DC4" w:rsidP="004E4CC8">
      <w:pPr>
        <w:pStyle w:val="ListParagraph"/>
        <w:numPr>
          <w:ilvl w:val="0"/>
          <w:numId w:val="48"/>
        </w:numPr>
        <w:ind w:left="851" w:hanging="491"/>
        <w:contextualSpacing w:val="0"/>
        <w:rPr>
          <w:rFonts w:cs="Arial"/>
        </w:rPr>
      </w:pPr>
      <w:r w:rsidRPr="007D6DEF">
        <w:rPr>
          <w:rFonts w:cs="Arial"/>
        </w:rPr>
        <w:t>There are a range of</w:t>
      </w:r>
      <w:r w:rsidR="001D6B0F" w:rsidRPr="007D6DEF">
        <w:rPr>
          <w:rFonts w:cs="Arial"/>
        </w:rPr>
        <w:t xml:space="preserve"> potential</w:t>
      </w:r>
      <w:r w:rsidRPr="007D6DEF">
        <w:rPr>
          <w:rFonts w:cs="Arial"/>
        </w:rPr>
        <w:t xml:space="preserve"> actions for </w:t>
      </w:r>
      <w:r w:rsidR="00D551D3" w:rsidRPr="007D6DEF">
        <w:rPr>
          <w:rFonts w:cs="Arial"/>
        </w:rPr>
        <w:t>non-compliance</w:t>
      </w:r>
      <w:r w:rsidRPr="007D6DEF">
        <w:rPr>
          <w:rFonts w:cs="Arial"/>
        </w:rPr>
        <w:t xml:space="preserve"> by responsible </w:t>
      </w:r>
      <w:r w:rsidR="008218D1">
        <w:rPr>
          <w:rFonts w:cs="Arial"/>
        </w:rPr>
        <w:t>p</w:t>
      </w:r>
      <w:r w:rsidRPr="007D6DEF">
        <w:rPr>
          <w:rFonts w:cs="Arial"/>
        </w:rPr>
        <w:t xml:space="preserve">ersons. </w:t>
      </w:r>
      <w:r w:rsidR="00D551D3" w:rsidRPr="007D6DEF">
        <w:rPr>
          <w:rFonts w:cs="Arial"/>
        </w:rPr>
        <w:t>Non-compliance</w:t>
      </w:r>
      <w:r w:rsidRPr="007D6DEF">
        <w:rPr>
          <w:rFonts w:cs="Arial"/>
        </w:rPr>
        <w:t xml:space="preserve"> is considered to be failure to disclose price</w:t>
      </w:r>
      <w:r w:rsidR="006905FD">
        <w:rPr>
          <w:rFonts w:cs="Arial"/>
        </w:rPr>
        <w:t xml:space="preserve"> disclosure</w:t>
      </w:r>
      <w:r w:rsidRPr="007D6DEF">
        <w:rPr>
          <w:rFonts w:cs="Arial"/>
        </w:rPr>
        <w:t xml:space="preserve"> information to the Department in accordance with the legislative requirements. Penalties for non-compliance include: </w:t>
      </w:r>
    </w:p>
    <w:p w14:paraId="7382404C" w14:textId="77777777" w:rsidR="00B93854" w:rsidRDefault="00DD6652" w:rsidP="004E4CC8">
      <w:pPr>
        <w:pStyle w:val="ListParagraph"/>
        <w:numPr>
          <w:ilvl w:val="1"/>
          <w:numId w:val="48"/>
        </w:numPr>
        <w:contextualSpacing w:val="0"/>
        <w:rPr>
          <w:rFonts w:cs="Arial"/>
        </w:rPr>
      </w:pPr>
      <w:r w:rsidRPr="00B93854">
        <w:rPr>
          <w:rFonts w:cs="Arial"/>
        </w:rPr>
        <w:t>c</w:t>
      </w:r>
      <w:r w:rsidR="00F31DC4" w:rsidRPr="00B93854">
        <w:rPr>
          <w:rFonts w:cs="Arial"/>
        </w:rPr>
        <w:t xml:space="preserve">riminal </w:t>
      </w:r>
      <w:r w:rsidRPr="00B93854">
        <w:rPr>
          <w:rFonts w:cs="Arial"/>
        </w:rPr>
        <w:t>p</w:t>
      </w:r>
      <w:r w:rsidR="00F31DC4" w:rsidRPr="00B93854">
        <w:rPr>
          <w:rFonts w:cs="Arial"/>
        </w:rPr>
        <w:t xml:space="preserve">enalties for: </w:t>
      </w:r>
    </w:p>
    <w:p w14:paraId="66E99187" w14:textId="77777777" w:rsidR="00B93854" w:rsidRDefault="006905FD" w:rsidP="004E4CC8">
      <w:pPr>
        <w:pStyle w:val="ListParagraph"/>
        <w:numPr>
          <w:ilvl w:val="2"/>
          <w:numId w:val="48"/>
        </w:numPr>
        <w:contextualSpacing w:val="0"/>
        <w:rPr>
          <w:rFonts w:cs="Arial"/>
        </w:rPr>
      </w:pPr>
      <w:r w:rsidRPr="00B93854">
        <w:rPr>
          <w:rFonts w:cs="Arial"/>
        </w:rPr>
        <w:t>f</w:t>
      </w:r>
      <w:r w:rsidR="00F31DC4" w:rsidRPr="00B93854">
        <w:rPr>
          <w:rFonts w:cs="Arial"/>
        </w:rPr>
        <w:t xml:space="preserve">ailure to comply with price disclosure requirements </w:t>
      </w:r>
    </w:p>
    <w:p w14:paraId="2980D3DE" w14:textId="77777777" w:rsidR="00B93854" w:rsidRDefault="006905FD" w:rsidP="004E4CC8">
      <w:pPr>
        <w:pStyle w:val="ListParagraph"/>
        <w:numPr>
          <w:ilvl w:val="2"/>
          <w:numId w:val="48"/>
        </w:numPr>
        <w:contextualSpacing w:val="0"/>
        <w:rPr>
          <w:rFonts w:cs="Arial"/>
        </w:rPr>
      </w:pPr>
      <w:r w:rsidRPr="00B93854">
        <w:rPr>
          <w:rFonts w:cs="Arial"/>
        </w:rPr>
        <w:t>k</w:t>
      </w:r>
      <w:r w:rsidR="00F31DC4" w:rsidRPr="00B93854">
        <w:rPr>
          <w:rFonts w:cs="Arial"/>
        </w:rPr>
        <w:t>nowingly or recklessly providing false and misleading information</w:t>
      </w:r>
      <w:r w:rsidR="005F7F4A" w:rsidRPr="00B93854">
        <w:rPr>
          <w:rFonts w:cs="Arial"/>
        </w:rPr>
        <w:t>;</w:t>
      </w:r>
      <w:r w:rsidR="00F31DC4" w:rsidRPr="00B93854">
        <w:rPr>
          <w:rFonts w:cs="Arial"/>
        </w:rPr>
        <w:t xml:space="preserve"> </w:t>
      </w:r>
    </w:p>
    <w:p w14:paraId="4E4CADBC" w14:textId="77777777" w:rsidR="00B93854" w:rsidRDefault="00C53FAD" w:rsidP="004E4CC8">
      <w:pPr>
        <w:pStyle w:val="ListParagraph"/>
        <w:numPr>
          <w:ilvl w:val="1"/>
          <w:numId w:val="48"/>
        </w:numPr>
        <w:contextualSpacing w:val="0"/>
        <w:rPr>
          <w:rFonts w:cs="Arial"/>
        </w:rPr>
      </w:pPr>
      <w:r w:rsidRPr="00B93854">
        <w:rPr>
          <w:rFonts w:cs="Arial"/>
        </w:rPr>
        <w:t xml:space="preserve">financial </w:t>
      </w:r>
      <w:r w:rsidR="00DD6652" w:rsidRPr="00B93854">
        <w:rPr>
          <w:rFonts w:cs="Arial"/>
        </w:rPr>
        <w:t>p</w:t>
      </w:r>
      <w:r w:rsidR="00F31DC4" w:rsidRPr="00B93854">
        <w:rPr>
          <w:rFonts w:cs="Arial"/>
        </w:rPr>
        <w:t xml:space="preserve">enalties of up to 60 penalty units for each offence; and </w:t>
      </w:r>
    </w:p>
    <w:p w14:paraId="6EB1E713" w14:textId="77777777" w:rsidR="00F5786F" w:rsidRPr="00B93854" w:rsidRDefault="00DD6652" w:rsidP="004E4CC8">
      <w:pPr>
        <w:pStyle w:val="ListParagraph"/>
        <w:numPr>
          <w:ilvl w:val="1"/>
          <w:numId w:val="48"/>
        </w:numPr>
        <w:contextualSpacing w:val="0"/>
        <w:rPr>
          <w:rFonts w:cs="Arial"/>
        </w:rPr>
      </w:pPr>
      <w:r w:rsidRPr="00B93854">
        <w:rPr>
          <w:rFonts w:cs="Arial"/>
        </w:rPr>
        <w:t>n</w:t>
      </w:r>
      <w:r w:rsidR="00F31DC4" w:rsidRPr="00B93854">
        <w:rPr>
          <w:rFonts w:cs="Arial"/>
        </w:rPr>
        <w:t xml:space="preserve">on-compliance may result in delisting from the PBS for brands not providing data and any other listed brands of the responsible person and/or refusal to list new brands of the same responsible person depending on the reason for </w:t>
      </w:r>
      <w:r w:rsidR="00D551D3" w:rsidRPr="00B93854">
        <w:rPr>
          <w:rFonts w:cs="Arial"/>
        </w:rPr>
        <w:t>non-supply</w:t>
      </w:r>
      <w:r w:rsidR="00F31DC4" w:rsidRPr="00B93854">
        <w:rPr>
          <w:rFonts w:cs="Arial"/>
        </w:rPr>
        <w:t xml:space="preserve"> of data and the period of non-compliance. </w:t>
      </w:r>
    </w:p>
    <w:p w14:paraId="39FAC5AE" w14:textId="77777777" w:rsidR="00B93854" w:rsidRDefault="00F31DC4" w:rsidP="004E4CC8">
      <w:pPr>
        <w:pStyle w:val="ListParagraph"/>
        <w:numPr>
          <w:ilvl w:val="0"/>
          <w:numId w:val="48"/>
        </w:numPr>
        <w:tabs>
          <w:tab w:val="left" w:pos="851"/>
        </w:tabs>
        <w:ind w:left="851" w:hanging="491"/>
        <w:contextualSpacing w:val="0"/>
        <w:rPr>
          <w:rFonts w:cs="Arial"/>
        </w:rPr>
      </w:pPr>
      <w:r w:rsidRPr="00F5786F">
        <w:rPr>
          <w:rFonts w:cs="Arial"/>
        </w:rPr>
        <w:t xml:space="preserve">Not all penalties will apply in all circumstances. In deciding whether to take one of the actions above, the Minister may take into account: </w:t>
      </w:r>
    </w:p>
    <w:p w14:paraId="647E6EC3"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the number of times that the responsible person did not comply with the price disclosure requirements; </w:t>
      </w:r>
    </w:p>
    <w:p w14:paraId="616C24C6"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the period of time over which the various failures to comply with the EAPD requirements occurred; </w:t>
      </w:r>
    </w:p>
    <w:p w14:paraId="0CCBBC64"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the duration of each non-compliance; </w:t>
      </w:r>
    </w:p>
    <w:p w14:paraId="7F06F07C"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the reason for the non-compliance; </w:t>
      </w:r>
    </w:p>
    <w:p w14:paraId="4844D309"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whether the reasons are, in the opinion of the Minister, reasonable; and </w:t>
      </w:r>
    </w:p>
    <w:p w14:paraId="1360E234" w14:textId="77777777" w:rsidR="005D35C4" w:rsidRPr="00B93854" w:rsidRDefault="00F31DC4" w:rsidP="004E4CC8">
      <w:pPr>
        <w:pStyle w:val="ListParagraph"/>
        <w:numPr>
          <w:ilvl w:val="1"/>
          <w:numId w:val="48"/>
        </w:numPr>
        <w:tabs>
          <w:tab w:val="left" w:pos="993"/>
        </w:tabs>
        <w:contextualSpacing w:val="0"/>
        <w:rPr>
          <w:rFonts w:cs="Arial"/>
        </w:rPr>
      </w:pPr>
      <w:r w:rsidRPr="00B93854">
        <w:rPr>
          <w:rFonts w:cs="Arial"/>
        </w:rPr>
        <w:t>any other matter that the Minister thinks is relevant.</w:t>
      </w:r>
      <w:r w:rsidRPr="00B93854">
        <w:rPr>
          <w:rFonts w:ascii="Times New Roman" w:hAnsi="Times New Roman"/>
          <w:sz w:val="24"/>
          <w:szCs w:val="24"/>
        </w:rPr>
        <w:t xml:space="preserve"> </w:t>
      </w:r>
    </w:p>
    <w:p w14:paraId="06D2A7E1" w14:textId="77777777" w:rsidR="007D6DEF" w:rsidRDefault="007D6DEF" w:rsidP="00925E92">
      <w:pPr>
        <w:rPr>
          <w:rFonts w:ascii="Times New Roman" w:hAnsi="Times New Roman"/>
          <w:b/>
          <w:sz w:val="24"/>
          <w:szCs w:val="24"/>
        </w:rPr>
      </w:pPr>
      <w:r>
        <w:rPr>
          <w:rFonts w:ascii="Times New Roman" w:hAnsi="Times New Roman"/>
          <w:b/>
          <w:sz w:val="24"/>
          <w:szCs w:val="24"/>
        </w:rPr>
        <w:br w:type="page"/>
      </w:r>
    </w:p>
    <w:p w14:paraId="5A7F250C" w14:textId="77777777" w:rsidR="00B93854" w:rsidRDefault="00B93854" w:rsidP="00925E92">
      <w:pPr>
        <w:jc w:val="right"/>
        <w:rPr>
          <w:rFonts w:cs="Arial"/>
          <w:color w:val="00B0F0"/>
          <w:sz w:val="144"/>
          <w:szCs w:val="144"/>
        </w:rPr>
      </w:pPr>
    </w:p>
    <w:p w14:paraId="5ABD340B" w14:textId="77777777" w:rsidR="00B93854" w:rsidRDefault="00B93854" w:rsidP="00925E92">
      <w:pPr>
        <w:jc w:val="right"/>
        <w:rPr>
          <w:rFonts w:cs="Arial"/>
          <w:color w:val="00B0F0"/>
          <w:sz w:val="144"/>
          <w:szCs w:val="144"/>
        </w:rPr>
      </w:pPr>
    </w:p>
    <w:p w14:paraId="27827F69" w14:textId="77777777" w:rsidR="007D6DEF" w:rsidRPr="003615BD" w:rsidRDefault="007D6DEF" w:rsidP="00925E92">
      <w:pPr>
        <w:jc w:val="right"/>
        <w:rPr>
          <w:rFonts w:cs="Arial"/>
          <w:color w:val="00B0F0"/>
          <w:sz w:val="144"/>
          <w:szCs w:val="144"/>
        </w:rPr>
      </w:pPr>
      <w:r w:rsidRPr="003615BD">
        <w:rPr>
          <w:rFonts w:cs="Arial"/>
          <w:color w:val="00B0F0"/>
          <w:sz w:val="144"/>
          <w:szCs w:val="144"/>
        </w:rPr>
        <w:t>4</w:t>
      </w:r>
    </w:p>
    <w:p w14:paraId="545EAAD2" w14:textId="77777777" w:rsidR="005D35C4" w:rsidRPr="00BB28F3" w:rsidRDefault="00F31DC4" w:rsidP="00925E92">
      <w:pPr>
        <w:pStyle w:val="Heading1"/>
        <w:spacing w:before="120"/>
        <w:rPr>
          <w:color w:val="365F91"/>
          <w:sz w:val="40"/>
          <w:szCs w:val="40"/>
        </w:rPr>
      </w:pPr>
      <w:bookmarkStart w:id="84" w:name="_Toc367914231"/>
      <w:bookmarkStart w:id="85" w:name="_Toc454283985"/>
      <w:r w:rsidRPr="00BB28F3">
        <w:rPr>
          <w:color w:val="365F91"/>
          <w:sz w:val="40"/>
          <w:szCs w:val="40"/>
        </w:rPr>
        <w:t>Security Arrangements for Commercial in</w:t>
      </w:r>
      <w:r w:rsidR="006F71B0" w:rsidRPr="00BB28F3">
        <w:rPr>
          <w:color w:val="365F91"/>
          <w:sz w:val="40"/>
          <w:szCs w:val="40"/>
        </w:rPr>
        <w:br/>
      </w:r>
      <w:r w:rsidRPr="00BB28F3">
        <w:rPr>
          <w:color w:val="365F91"/>
          <w:sz w:val="40"/>
          <w:szCs w:val="40"/>
        </w:rPr>
        <w:t>Confidence Material</w:t>
      </w:r>
      <w:bookmarkEnd w:id="84"/>
      <w:bookmarkEnd w:id="85"/>
    </w:p>
    <w:p w14:paraId="4ECC25A9" w14:textId="77777777" w:rsidR="005D35C4" w:rsidRPr="00455FDF" w:rsidRDefault="007D6DEF" w:rsidP="0018413E">
      <w:pPr>
        <w:pStyle w:val="Heading2"/>
      </w:pPr>
      <w:r>
        <w:rPr>
          <w:rFonts w:ascii="Times New Roman" w:hAnsi="Times New Roman"/>
          <w:b/>
          <w:sz w:val="24"/>
          <w:szCs w:val="24"/>
        </w:rPr>
        <w:br w:type="page"/>
      </w:r>
      <w:bookmarkStart w:id="86" w:name="_Toc367914232"/>
      <w:bookmarkStart w:id="87" w:name="_Toc454283986"/>
      <w:r w:rsidR="00F31DC4" w:rsidRPr="00455FDF">
        <w:lastRenderedPageBreak/>
        <w:t>Confidentiality of the responsible persons’ disclosed price information</w:t>
      </w:r>
      <w:bookmarkEnd w:id="86"/>
      <w:bookmarkEnd w:id="87"/>
      <w:r w:rsidR="00F31DC4" w:rsidRPr="00455FDF">
        <w:t xml:space="preserve"> </w:t>
      </w:r>
    </w:p>
    <w:p w14:paraId="08CDA967" w14:textId="77777777" w:rsidR="00B93854" w:rsidRDefault="00F31DC4" w:rsidP="004E4CC8">
      <w:pPr>
        <w:pStyle w:val="ListParagraph"/>
        <w:numPr>
          <w:ilvl w:val="0"/>
          <w:numId w:val="48"/>
        </w:numPr>
        <w:tabs>
          <w:tab w:val="left" w:pos="993"/>
        </w:tabs>
        <w:ind w:left="851" w:hanging="494"/>
        <w:contextualSpacing w:val="0"/>
        <w:rPr>
          <w:rFonts w:cs="Arial"/>
        </w:rPr>
      </w:pPr>
      <w:r w:rsidRPr="00FD272F">
        <w:rPr>
          <w:rFonts w:cs="Arial"/>
        </w:rPr>
        <w:t xml:space="preserve">The Department </w:t>
      </w:r>
      <w:r w:rsidR="00FD272F" w:rsidRPr="00FD272F">
        <w:rPr>
          <w:rFonts w:cs="Arial"/>
          <w:iCs/>
          <w:color w:val="000000"/>
        </w:rPr>
        <w:t xml:space="preserve">and the </w:t>
      </w:r>
      <w:r w:rsidR="00FD272F">
        <w:rPr>
          <w:rFonts w:cs="Arial"/>
          <w:iCs/>
          <w:color w:val="000000"/>
        </w:rPr>
        <w:t xml:space="preserve">PDDA </w:t>
      </w:r>
      <w:r w:rsidR="00FD272F" w:rsidRPr="00FD272F">
        <w:rPr>
          <w:rFonts w:cs="Arial"/>
          <w:iCs/>
        </w:rPr>
        <w:t>consider sales and incentive information submitted by responsible persons to be commercial-in-confidence, and recognise the responsible persons’ expectation that commercial-in-confidence information will be protected from inadvertent, unintended or improper</w:t>
      </w:r>
      <w:r w:rsidR="00FD272F">
        <w:rPr>
          <w:rFonts w:cs="Arial"/>
          <w:iCs/>
        </w:rPr>
        <w:t xml:space="preserve"> disclosure</w:t>
      </w:r>
      <w:r w:rsidRPr="007D6DEF">
        <w:rPr>
          <w:rFonts w:cs="Arial"/>
        </w:rPr>
        <w:t xml:space="preserve">. </w:t>
      </w:r>
    </w:p>
    <w:p w14:paraId="54E88233" w14:textId="77777777" w:rsidR="00B93854" w:rsidRDefault="00F31DC4" w:rsidP="004E4CC8">
      <w:pPr>
        <w:pStyle w:val="ListParagraph"/>
        <w:numPr>
          <w:ilvl w:val="0"/>
          <w:numId w:val="48"/>
        </w:numPr>
        <w:tabs>
          <w:tab w:val="left" w:pos="993"/>
        </w:tabs>
        <w:ind w:left="851" w:hanging="494"/>
        <w:contextualSpacing w:val="0"/>
        <w:rPr>
          <w:rFonts w:cs="Arial"/>
        </w:rPr>
      </w:pPr>
      <w:r w:rsidRPr="00B93854">
        <w:rPr>
          <w:rFonts w:cs="Arial"/>
        </w:rPr>
        <w:t xml:space="preserve">In accordance with its legal responsibilities the Department </w:t>
      </w:r>
      <w:r w:rsidR="00FD272F" w:rsidRPr="00B93854">
        <w:rPr>
          <w:rFonts w:cs="Arial"/>
          <w:iCs/>
        </w:rPr>
        <w:t xml:space="preserve">and the service provider will treat all information received from the responsible person as confidential and will not disclose that information to any person without the prior consent of the responsible person (which consent will not be unreasonably withheld), except where the confidential </w:t>
      </w:r>
      <w:r w:rsidRPr="00B93854">
        <w:rPr>
          <w:rFonts w:cs="Arial"/>
        </w:rPr>
        <w:t xml:space="preserve">information: </w:t>
      </w:r>
    </w:p>
    <w:p w14:paraId="76D7B7B0"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is required, or authorised, to be disclosed by law</w:t>
      </w:r>
      <w:r w:rsidR="00F46C79" w:rsidRPr="00B93854">
        <w:rPr>
          <w:rFonts w:cs="Arial"/>
        </w:rPr>
        <w:t xml:space="preserve">, </w:t>
      </w:r>
      <w:r w:rsidR="00FD272F" w:rsidRPr="00B93854">
        <w:rPr>
          <w:rFonts w:cs="Arial"/>
        </w:rPr>
        <w:t>(</w:t>
      </w:r>
      <w:r w:rsidR="00FD272F" w:rsidRPr="00B93854">
        <w:rPr>
          <w:rFonts w:cs="Arial"/>
          <w:iCs/>
        </w:rPr>
        <w:t>including disclosure within the Department and its contractors for administration of the PBS</w:t>
      </w:r>
      <w:r w:rsidR="00A76F15" w:rsidRPr="00B93854">
        <w:rPr>
          <w:rFonts w:cs="Arial"/>
          <w:iCs/>
        </w:rPr>
        <w:t>, or for court proceedings</w:t>
      </w:r>
      <w:r w:rsidR="00FD272F" w:rsidRPr="00B93854">
        <w:rPr>
          <w:rFonts w:cs="Arial"/>
          <w:iCs/>
        </w:rPr>
        <w:t>)</w:t>
      </w:r>
      <w:r w:rsidRPr="00B93854">
        <w:rPr>
          <w:rFonts w:cs="Arial"/>
        </w:rPr>
        <w:t xml:space="preserve">; </w:t>
      </w:r>
    </w:p>
    <w:p w14:paraId="4CAEE0FC"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must be disclosed to the </w:t>
      </w:r>
      <w:r w:rsidR="00455FDF" w:rsidRPr="00B93854">
        <w:rPr>
          <w:rFonts w:cs="Arial"/>
        </w:rPr>
        <w:t>Department’s</w:t>
      </w:r>
      <w:r w:rsidRPr="00B93854">
        <w:rPr>
          <w:rFonts w:cs="Arial"/>
        </w:rPr>
        <w:t xml:space="preserve"> solicitors, auditors, insurers, advisers or Commonwealth Ombudsman; </w:t>
      </w:r>
    </w:p>
    <w:p w14:paraId="6BF9FBBC" w14:textId="77777777" w:rsidR="00B93854" w:rsidRDefault="00F31DC4" w:rsidP="004E4CC8">
      <w:pPr>
        <w:pStyle w:val="ListParagraph"/>
        <w:numPr>
          <w:ilvl w:val="1"/>
          <w:numId w:val="48"/>
        </w:numPr>
        <w:tabs>
          <w:tab w:val="left" w:pos="993"/>
        </w:tabs>
        <w:contextualSpacing w:val="0"/>
        <w:rPr>
          <w:rFonts w:cs="Arial"/>
        </w:rPr>
      </w:pPr>
      <w:r w:rsidRPr="00B93854">
        <w:rPr>
          <w:rFonts w:cs="Arial"/>
        </w:rPr>
        <w:t xml:space="preserve">is reasonably necessary for the enforcement of the criminal law or for the protection of public revenue; </w:t>
      </w:r>
    </w:p>
    <w:p w14:paraId="703B537B" w14:textId="77777777" w:rsidR="00FD272F" w:rsidRPr="00EA4D2C" w:rsidRDefault="00F31DC4" w:rsidP="004E4CC8">
      <w:pPr>
        <w:pStyle w:val="ListParagraph"/>
        <w:numPr>
          <w:ilvl w:val="1"/>
          <w:numId w:val="48"/>
        </w:numPr>
        <w:tabs>
          <w:tab w:val="left" w:pos="993"/>
        </w:tabs>
        <w:contextualSpacing w:val="0"/>
        <w:rPr>
          <w:rFonts w:ascii="Times New Roman" w:hAnsi="Times New Roman"/>
          <w:b/>
          <w:sz w:val="24"/>
          <w:szCs w:val="24"/>
        </w:rPr>
      </w:pPr>
      <w:r w:rsidRPr="00EA4D2C">
        <w:rPr>
          <w:rFonts w:cs="Arial"/>
        </w:rPr>
        <w:t xml:space="preserve">is generally available to the public. </w:t>
      </w:r>
    </w:p>
    <w:p w14:paraId="2EFE7D03" w14:textId="77777777" w:rsidR="00B93854" w:rsidRDefault="00B93854">
      <w:pPr>
        <w:spacing w:before="0" w:after="200"/>
        <w:rPr>
          <w:rFonts w:cs="Arial"/>
          <w:color w:val="00B0F0"/>
          <w:sz w:val="144"/>
          <w:szCs w:val="144"/>
        </w:rPr>
      </w:pPr>
      <w:r>
        <w:rPr>
          <w:rFonts w:cs="Arial"/>
          <w:color w:val="00B0F0"/>
          <w:sz w:val="144"/>
          <w:szCs w:val="144"/>
        </w:rPr>
        <w:br w:type="page"/>
      </w:r>
    </w:p>
    <w:p w14:paraId="740EA225" w14:textId="77777777" w:rsidR="00B93854" w:rsidRDefault="00B93854" w:rsidP="00925E92">
      <w:pPr>
        <w:jc w:val="right"/>
        <w:rPr>
          <w:rFonts w:cs="Arial"/>
          <w:color w:val="00B0F0"/>
          <w:sz w:val="144"/>
          <w:szCs w:val="144"/>
        </w:rPr>
      </w:pPr>
    </w:p>
    <w:p w14:paraId="706F5F46" w14:textId="77777777" w:rsidR="00B93854" w:rsidRDefault="00B93854" w:rsidP="00925E92">
      <w:pPr>
        <w:jc w:val="right"/>
        <w:rPr>
          <w:rFonts w:cs="Arial"/>
          <w:color w:val="00B0F0"/>
          <w:sz w:val="144"/>
          <w:szCs w:val="144"/>
        </w:rPr>
      </w:pPr>
    </w:p>
    <w:p w14:paraId="7BA6E7C1" w14:textId="77777777" w:rsidR="00DF63A8" w:rsidRPr="006B6469" w:rsidRDefault="00DF63A8" w:rsidP="00925E92">
      <w:pPr>
        <w:jc w:val="right"/>
        <w:rPr>
          <w:rFonts w:cs="Arial"/>
          <w:color w:val="00B0F0"/>
          <w:sz w:val="144"/>
          <w:szCs w:val="144"/>
        </w:rPr>
      </w:pPr>
      <w:r w:rsidRPr="006B6469">
        <w:rPr>
          <w:rFonts w:cs="Arial"/>
          <w:color w:val="00B0F0"/>
          <w:sz w:val="144"/>
          <w:szCs w:val="144"/>
        </w:rPr>
        <w:t>5</w:t>
      </w:r>
    </w:p>
    <w:p w14:paraId="4D15C389" w14:textId="77777777" w:rsidR="00DF63A8" w:rsidRPr="00EA4D2C" w:rsidRDefault="00DF63A8" w:rsidP="00925E92">
      <w:pPr>
        <w:pStyle w:val="Heading1"/>
        <w:spacing w:before="120"/>
        <w:rPr>
          <w:color w:val="365F91"/>
          <w:sz w:val="40"/>
          <w:szCs w:val="40"/>
        </w:rPr>
      </w:pPr>
      <w:bookmarkStart w:id="88" w:name="_Toc454283987"/>
      <w:r w:rsidRPr="00EA4D2C">
        <w:rPr>
          <w:color w:val="365F91"/>
          <w:sz w:val="40"/>
          <w:szCs w:val="40"/>
        </w:rPr>
        <w:t>Definitions</w:t>
      </w:r>
      <w:bookmarkEnd w:id="88"/>
    </w:p>
    <w:p w14:paraId="56FB3250" w14:textId="77777777" w:rsidR="00DF63A8" w:rsidRPr="00BB28F3" w:rsidRDefault="00DF63A8" w:rsidP="006C63FB">
      <w:pPr>
        <w:rPr>
          <w:b/>
          <w:bCs/>
          <w:iCs/>
          <w:color w:val="244061"/>
        </w:rPr>
      </w:pPr>
      <w:r>
        <w:rPr>
          <w:rFonts w:cs="Arial"/>
          <w:b/>
          <w:sz w:val="24"/>
          <w:szCs w:val="24"/>
        </w:rPr>
        <w:br w:type="page"/>
      </w:r>
      <w:r w:rsidRPr="00BB28F3">
        <w:rPr>
          <w:b/>
          <w:bCs/>
          <w:iCs/>
          <w:color w:val="244061"/>
        </w:rPr>
        <w:lastRenderedPageBreak/>
        <w:t>Adjusted Approved Ex-Manufacturer Price (Adjusted AEMP)</w:t>
      </w:r>
    </w:p>
    <w:p w14:paraId="7DC61534" w14:textId="77777777" w:rsidR="00DF63A8" w:rsidRPr="00DF63A8" w:rsidRDefault="00DF63A8" w:rsidP="00925E92">
      <w:r w:rsidRPr="00DF63A8">
        <w:t xml:space="preserve">Where a price disclosure reduction is to apply, this will usually be the new ex-manufacturer price on reduction day. It is the same price as the weighted average disclosed price in the price disclosure legal determination. However, adjustments might be required to this new price if there are other pricing or listing changes between the end of the data collection period and the reduction day. See subsection </w:t>
      </w:r>
      <w:r w:rsidR="006E1064" w:rsidRPr="00DF63A8">
        <w:t>99ADB (</w:t>
      </w:r>
      <w:r w:rsidRPr="00DF63A8">
        <w:t>1) of the Act.</w:t>
      </w:r>
    </w:p>
    <w:p w14:paraId="33286C8B" w14:textId="77777777" w:rsidR="00DF63A8" w:rsidRPr="00BB28F3" w:rsidRDefault="00DF63A8" w:rsidP="00925E92">
      <w:pPr>
        <w:keepNext/>
        <w:keepLines/>
        <w:outlineLvl w:val="3"/>
        <w:rPr>
          <w:b/>
          <w:bCs/>
          <w:iCs/>
          <w:color w:val="244061"/>
        </w:rPr>
      </w:pPr>
      <w:r w:rsidRPr="00BB28F3">
        <w:rPr>
          <w:b/>
          <w:bCs/>
          <w:iCs/>
          <w:color w:val="244061"/>
        </w:rPr>
        <w:t>Applicable Approved Ex-Manufacturer Price</w:t>
      </w:r>
    </w:p>
    <w:p w14:paraId="30D8E5B1" w14:textId="77777777" w:rsidR="00DF63A8" w:rsidRPr="00DF63A8" w:rsidRDefault="00DF63A8" w:rsidP="00925E92">
      <w:pPr>
        <w:rPr>
          <w:rFonts w:cs="Arial"/>
        </w:rPr>
      </w:pPr>
      <w:r w:rsidRPr="00DF63A8">
        <w:rPr>
          <w:rFonts w:cs="Arial"/>
        </w:rPr>
        <w:t xml:space="preserve">The applicable approved ex-manufacturer price of a brand of a pharmaceutical item is the PBS </w:t>
      </w:r>
      <w:r w:rsidRPr="00DF63A8">
        <w:rPr>
          <w:rFonts w:cs="Arial"/>
          <w:i/>
        </w:rPr>
        <w:t xml:space="preserve">Approved Ex-Manufacturer Price of the brand the day </w:t>
      </w:r>
      <w:r w:rsidRPr="00DF63A8">
        <w:rPr>
          <w:rFonts w:cs="Arial"/>
          <w:i/>
          <w:u w:val="single"/>
        </w:rPr>
        <w:t>after</w:t>
      </w:r>
      <w:r w:rsidRPr="00DF63A8">
        <w:rPr>
          <w:rFonts w:cs="Arial"/>
          <w:i/>
        </w:rPr>
        <w:t xml:space="preserve"> the end of the corresponding data collection period</w:t>
      </w:r>
      <w:r w:rsidRPr="00DF63A8">
        <w:rPr>
          <w:rFonts w:cs="Arial"/>
        </w:rPr>
        <w:t xml:space="preserve">. See subsection </w:t>
      </w:r>
      <w:r w:rsidR="006E1064" w:rsidRPr="00DF63A8">
        <w:rPr>
          <w:rFonts w:cs="Arial"/>
        </w:rPr>
        <w:t>99ADB (</w:t>
      </w:r>
      <w:r w:rsidRPr="00DF63A8">
        <w:rPr>
          <w:rFonts w:cs="Arial"/>
        </w:rPr>
        <w:t>3A) of the Act.</w:t>
      </w:r>
    </w:p>
    <w:p w14:paraId="0BF07EF0" w14:textId="77777777" w:rsidR="00DF63A8" w:rsidRPr="00BB28F3" w:rsidRDefault="00DF63A8" w:rsidP="00925E92">
      <w:pPr>
        <w:keepNext/>
        <w:keepLines/>
        <w:outlineLvl w:val="3"/>
        <w:rPr>
          <w:b/>
          <w:bCs/>
          <w:iCs/>
          <w:color w:val="244061"/>
        </w:rPr>
      </w:pPr>
      <w:r w:rsidRPr="00BB28F3">
        <w:rPr>
          <w:b/>
          <w:bCs/>
          <w:iCs/>
          <w:color w:val="244061"/>
        </w:rPr>
        <w:t>Approved Ex-Manufacturer Price (AEMP)</w:t>
      </w:r>
    </w:p>
    <w:p w14:paraId="2442632E" w14:textId="77777777" w:rsidR="00DF63A8" w:rsidRPr="00DF63A8" w:rsidRDefault="00DF63A8" w:rsidP="00925E92">
      <w:pPr>
        <w:rPr>
          <w:rFonts w:cs="Arial"/>
        </w:rPr>
      </w:pPr>
      <w:r w:rsidRPr="00DF63A8">
        <w:rPr>
          <w:rFonts w:cs="Arial"/>
        </w:rPr>
        <w:t>The base price for PBS pricing subsidy. It is the price agreed or determined under the Act for the Pricing Quantity of a brand. See sections 85AD and 85B of the Act.</w:t>
      </w:r>
    </w:p>
    <w:p w14:paraId="21E392B6" w14:textId="77777777" w:rsidR="00DF63A8" w:rsidRPr="00BB28F3" w:rsidRDefault="00DF63A8" w:rsidP="00925E92">
      <w:pPr>
        <w:keepNext/>
        <w:keepLines/>
        <w:outlineLvl w:val="3"/>
        <w:rPr>
          <w:b/>
          <w:bCs/>
          <w:iCs/>
          <w:color w:val="244061"/>
        </w:rPr>
      </w:pPr>
      <w:r w:rsidRPr="00BB28F3">
        <w:rPr>
          <w:b/>
          <w:bCs/>
          <w:iCs/>
          <w:color w:val="244061"/>
        </w:rPr>
        <w:t>Authorised Representative</w:t>
      </w:r>
    </w:p>
    <w:p w14:paraId="32801008" w14:textId="77777777" w:rsidR="00DF63A8" w:rsidRPr="00DF63A8" w:rsidRDefault="00DF63A8" w:rsidP="00925E92">
      <w:pPr>
        <w:rPr>
          <w:rFonts w:cs="Arial"/>
        </w:rPr>
      </w:pPr>
      <w:r w:rsidRPr="00DF63A8">
        <w:rPr>
          <w:rFonts w:cs="Arial"/>
        </w:rPr>
        <w:t xml:space="preserve">An authorised representative is an individual who has company authority to enter into price agreements, submit price disclosure data and otherwise deal with the Minister, the Department of Health and its delegates in relation to the responsible person’s brands of pharmaceutical items. </w:t>
      </w:r>
    </w:p>
    <w:p w14:paraId="75F3DA6B" w14:textId="77777777" w:rsidR="00DF63A8" w:rsidRPr="00BB28F3" w:rsidRDefault="00DF63A8" w:rsidP="00925E92">
      <w:pPr>
        <w:keepNext/>
        <w:keepLines/>
        <w:outlineLvl w:val="3"/>
        <w:rPr>
          <w:b/>
          <w:bCs/>
          <w:iCs/>
          <w:color w:val="244061"/>
        </w:rPr>
      </w:pPr>
      <w:r w:rsidRPr="00BB28F3">
        <w:rPr>
          <w:b/>
          <w:bCs/>
          <w:iCs/>
          <w:color w:val="244061"/>
        </w:rPr>
        <w:t>Average Approved Ex-Manufacturer Price (Average AEMP)</w:t>
      </w:r>
    </w:p>
    <w:p w14:paraId="270F4112" w14:textId="77777777" w:rsidR="00DF63A8" w:rsidRPr="00DF63A8" w:rsidRDefault="00DF63A8" w:rsidP="00925E92">
      <w:r w:rsidRPr="00DF63A8">
        <w:t xml:space="preserve">The average AEMP is worked out in accordance with regulation 37J of the Regulations. </w:t>
      </w:r>
    </w:p>
    <w:p w14:paraId="0F400F4E" w14:textId="77777777" w:rsidR="00DF63A8" w:rsidRPr="00DF63A8" w:rsidRDefault="00DF63A8" w:rsidP="00925E92">
      <w:r w:rsidRPr="00DF63A8">
        <w:t xml:space="preserve">In summary, the average approved ex-manufacturer price of a brand of pharmaceutical item is the weighted average AEMP across the data collection period for the brand (weighted by time). It is the price used to compare to disclosed prices and from which the ‘weighted average percentage difference’ (WAPD) will be deducted to calculate the determined weighted average disclosed price (WADP). </w:t>
      </w:r>
    </w:p>
    <w:p w14:paraId="2797ECEB" w14:textId="77777777" w:rsidR="00DF63A8" w:rsidRPr="00DF63A8" w:rsidRDefault="00DF63A8" w:rsidP="00925E92">
      <w:pPr>
        <w:rPr>
          <w:i/>
        </w:rPr>
      </w:pPr>
      <w:r w:rsidRPr="00DF63A8">
        <w:t xml:space="preserve">Broadly speaking, the average AEMP is based on the price for brands of a pharmaceutical item in each month of the data collection period, divided by the number of months in that collection period. The method for working out the average AEMP is set out in the Regulations and is explained in the Explanatory Memorandum for the </w:t>
      </w:r>
      <w:r w:rsidRPr="00DF63A8">
        <w:rPr>
          <w:i/>
        </w:rPr>
        <w:t xml:space="preserve">National Health (Pharmaceutical Benefits) Amendment (Price Disclosure) Regulation 2014. </w:t>
      </w:r>
      <w:r w:rsidRPr="00DF63A8">
        <w:t xml:space="preserve">An example of how it works is in the sample calculation on the price disclosure web page, see: </w:t>
      </w:r>
      <w:r w:rsidR="00893442" w:rsidRPr="00893442">
        <w:t xml:space="preserve"> </w:t>
      </w:r>
      <w:hyperlink r:id="rId45" w:history="1">
        <w:r w:rsidR="00893442" w:rsidRPr="00C40ABF">
          <w:rPr>
            <w:rStyle w:val="Hyperlink"/>
          </w:rPr>
          <w:t>http://www.pbs.gov.au/industry/pricing/price-disclosure-spd/removal-originator-brand-sample-pd-calculation.pdf</w:t>
        </w:r>
      </w:hyperlink>
    </w:p>
    <w:p w14:paraId="0A68B516" w14:textId="77777777" w:rsidR="00DF63A8" w:rsidRPr="00BB28F3" w:rsidRDefault="00DF63A8" w:rsidP="00925E92">
      <w:pPr>
        <w:keepNext/>
        <w:keepLines/>
        <w:outlineLvl w:val="3"/>
        <w:rPr>
          <w:b/>
          <w:bCs/>
          <w:iCs/>
          <w:color w:val="244061"/>
        </w:rPr>
      </w:pPr>
      <w:r w:rsidRPr="00BB28F3">
        <w:rPr>
          <w:b/>
          <w:bCs/>
          <w:iCs/>
          <w:color w:val="244061"/>
        </w:rPr>
        <w:t xml:space="preserve">Bonus Stock </w:t>
      </w:r>
    </w:p>
    <w:p w14:paraId="6DF7CBEE" w14:textId="77777777" w:rsidR="00DF63A8" w:rsidRPr="00DF63A8" w:rsidRDefault="00DF63A8" w:rsidP="00925E92">
      <w:pPr>
        <w:rPr>
          <w:rFonts w:cs="Arial"/>
        </w:rPr>
      </w:pPr>
      <w:r w:rsidRPr="00DF63A8">
        <w:rPr>
          <w:rFonts w:cs="Arial"/>
        </w:rPr>
        <w:t xml:space="preserve">Stock supplied free of charge as an incentive to purchase the disclosing brand. </w:t>
      </w:r>
    </w:p>
    <w:p w14:paraId="5657597A" w14:textId="77777777" w:rsidR="00190A06" w:rsidRDefault="00190A06">
      <w:pPr>
        <w:spacing w:before="0" w:line="240" w:lineRule="auto"/>
        <w:rPr>
          <w:b/>
          <w:bCs/>
          <w:iCs/>
          <w:color w:val="244061"/>
        </w:rPr>
      </w:pPr>
      <w:r>
        <w:rPr>
          <w:b/>
          <w:bCs/>
          <w:iCs/>
          <w:color w:val="244061"/>
        </w:rPr>
        <w:br w:type="page"/>
      </w:r>
    </w:p>
    <w:p w14:paraId="70108C70" w14:textId="77777777" w:rsidR="00DF63A8" w:rsidRPr="00BB28F3" w:rsidRDefault="00DF63A8" w:rsidP="00925E92">
      <w:pPr>
        <w:keepNext/>
        <w:keepLines/>
        <w:outlineLvl w:val="3"/>
        <w:rPr>
          <w:b/>
          <w:bCs/>
          <w:iCs/>
          <w:color w:val="244061"/>
        </w:rPr>
      </w:pPr>
      <w:r w:rsidRPr="00BB28F3">
        <w:rPr>
          <w:b/>
          <w:bCs/>
          <w:iCs/>
          <w:color w:val="244061"/>
        </w:rPr>
        <w:lastRenderedPageBreak/>
        <w:t xml:space="preserve">Brand </w:t>
      </w:r>
    </w:p>
    <w:p w14:paraId="45E88CD6" w14:textId="77777777" w:rsidR="00DF63A8" w:rsidRPr="00DF63A8" w:rsidRDefault="00DF63A8" w:rsidP="00925E92">
      <w:pPr>
        <w:rPr>
          <w:rFonts w:cs="Arial"/>
        </w:rPr>
      </w:pPr>
      <w:r w:rsidRPr="00DF63A8">
        <w:rPr>
          <w:rFonts w:cs="Arial"/>
        </w:rPr>
        <w:t xml:space="preserve">Brand of a pharmaceutical item is defined in subsection 84(1) of the Act. It means: </w:t>
      </w:r>
    </w:p>
    <w:p w14:paraId="056FDA2B" w14:textId="77777777" w:rsidR="00DF63A8" w:rsidRPr="00DF63A8" w:rsidRDefault="00DF63A8" w:rsidP="00B93854">
      <w:pPr>
        <w:numPr>
          <w:ilvl w:val="0"/>
          <w:numId w:val="1"/>
        </w:numPr>
        <w:ind w:left="1418" w:hanging="709"/>
        <w:rPr>
          <w:rFonts w:cs="Arial"/>
        </w:rPr>
      </w:pPr>
      <w:r w:rsidRPr="00DF63A8">
        <w:rPr>
          <w:rFonts w:cs="Arial"/>
        </w:rPr>
        <w:t xml:space="preserve">the trade name under which the person who is or will be the responsible person supplies the pharmaceutical item; or </w:t>
      </w:r>
    </w:p>
    <w:p w14:paraId="2F1150BB" w14:textId="77777777" w:rsidR="00DF63A8" w:rsidRPr="00DF63A8" w:rsidRDefault="00DF63A8" w:rsidP="00B93854">
      <w:pPr>
        <w:numPr>
          <w:ilvl w:val="0"/>
          <w:numId w:val="1"/>
        </w:numPr>
        <w:ind w:left="1418" w:hanging="709"/>
        <w:rPr>
          <w:rFonts w:cs="Arial"/>
        </w:rPr>
      </w:pPr>
      <w:r w:rsidRPr="00DF63A8">
        <w:rPr>
          <w:rFonts w:cs="Arial"/>
        </w:rPr>
        <w:t xml:space="preserve">if there is no trade name – the name of the person who is or will be the responsible person. </w:t>
      </w:r>
    </w:p>
    <w:p w14:paraId="4652D6BF" w14:textId="77777777" w:rsidR="00DF63A8" w:rsidRPr="00BB28F3" w:rsidRDefault="00DF63A8" w:rsidP="00925E92">
      <w:pPr>
        <w:keepNext/>
        <w:keepLines/>
        <w:outlineLvl w:val="3"/>
        <w:rPr>
          <w:b/>
          <w:bCs/>
          <w:iCs/>
          <w:color w:val="244061"/>
        </w:rPr>
      </w:pPr>
      <w:r w:rsidRPr="00BB28F3">
        <w:rPr>
          <w:b/>
          <w:bCs/>
          <w:iCs/>
          <w:color w:val="244061"/>
        </w:rPr>
        <w:t xml:space="preserve">Bundling Discounts </w:t>
      </w:r>
    </w:p>
    <w:p w14:paraId="73053BCB" w14:textId="77777777" w:rsidR="00DF63A8" w:rsidRPr="00DF63A8" w:rsidRDefault="00DF63A8" w:rsidP="00925E92">
      <w:pPr>
        <w:rPr>
          <w:rFonts w:cs="Arial"/>
        </w:rPr>
      </w:pPr>
      <w:r w:rsidRPr="00DF63A8">
        <w:rPr>
          <w:rFonts w:cs="Arial"/>
        </w:rPr>
        <w:t xml:space="preserve">Discount offered when multiple brands are bundled and sold together by the responsible person. </w:t>
      </w:r>
    </w:p>
    <w:p w14:paraId="2AD3D5DB" w14:textId="77777777" w:rsidR="00DF63A8" w:rsidRPr="00BB28F3" w:rsidRDefault="00DF63A8" w:rsidP="00925E92">
      <w:pPr>
        <w:keepNext/>
        <w:keepLines/>
        <w:outlineLvl w:val="3"/>
        <w:rPr>
          <w:b/>
          <w:bCs/>
          <w:iCs/>
          <w:color w:val="244061"/>
        </w:rPr>
      </w:pPr>
      <w:r w:rsidRPr="00BB28F3">
        <w:rPr>
          <w:b/>
          <w:bCs/>
          <w:iCs/>
          <w:color w:val="244061"/>
        </w:rPr>
        <w:t xml:space="preserve">Charge Backs </w:t>
      </w:r>
    </w:p>
    <w:p w14:paraId="1BBFF6D2" w14:textId="77777777" w:rsidR="00DF63A8" w:rsidRPr="00DF63A8" w:rsidRDefault="00DF63A8" w:rsidP="00925E92">
      <w:pPr>
        <w:rPr>
          <w:rFonts w:cs="Arial"/>
        </w:rPr>
      </w:pPr>
      <w:r w:rsidRPr="00DF63A8">
        <w:rPr>
          <w:rFonts w:cs="Arial"/>
        </w:rPr>
        <w:t xml:space="preserve">A charge back occurs when the wholesaler sells a PBS item to its customer at a contract price and then “charges back” an additional amount to the responsible person. It may also occur when a pharmacist purchases a product from a wholesaler and then claims back a rebate from the responsible person. </w:t>
      </w:r>
    </w:p>
    <w:p w14:paraId="2E6C9BF9" w14:textId="77777777" w:rsidR="00DF63A8" w:rsidRPr="00BB28F3" w:rsidRDefault="00DF63A8" w:rsidP="00925E92">
      <w:pPr>
        <w:keepNext/>
        <w:keepLines/>
        <w:outlineLvl w:val="3"/>
        <w:rPr>
          <w:b/>
          <w:bCs/>
          <w:iCs/>
          <w:color w:val="244061"/>
        </w:rPr>
      </w:pPr>
      <w:r w:rsidRPr="00BB28F3">
        <w:rPr>
          <w:b/>
          <w:bCs/>
          <w:iCs/>
          <w:color w:val="244061"/>
        </w:rPr>
        <w:t>Combination Drug List</w:t>
      </w:r>
    </w:p>
    <w:p w14:paraId="17A87674" w14:textId="77777777" w:rsidR="00DF63A8" w:rsidRPr="00DF63A8" w:rsidRDefault="00DF63A8" w:rsidP="00925E92">
      <w:pPr>
        <w:rPr>
          <w:rFonts w:cs="Arial"/>
          <w:sz w:val="24"/>
          <w:szCs w:val="24"/>
          <w:u w:val="single"/>
        </w:rPr>
      </w:pPr>
      <w:r w:rsidRPr="00DF63A8">
        <w:rPr>
          <w:rFonts w:cs="Arial"/>
        </w:rPr>
        <w:t xml:space="preserve">The combination drug list is the list of single brand combination drugs that meet the criteria under subsection 85AB (5) of the Act. They can be identified in the formulary allocation list </w:t>
      </w:r>
      <w:r w:rsidRPr="00DF63A8">
        <w:rPr>
          <w:rFonts w:cs="Arial"/>
        </w:rPr>
        <w:br/>
        <w:t xml:space="preserve">on the </w:t>
      </w:r>
      <w:r w:rsidRPr="00DF63A8">
        <w:rPr>
          <w:rFonts w:cs="Arial"/>
          <w:i/>
        </w:rPr>
        <w:t>Pricing of PBS Items</w:t>
      </w:r>
      <w:r w:rsidRPr="00DF63A8">
        <w:rPr>
          <w:rFonts w:cs="Arial"/>
        </w:rPr>
        <w:t xml:space="preserve"> webpage: </w:t>
      </w:r>
      <w:hyperlink r:id="rId46" w:history="1">
        <w:r w:rsidRPr="00BB28F3">
          <w:rPr>
            <w:color w:val="0000FF"/>
            <w:u w:val="single"/>
          </w:rPr>
          <w:t>www.pbs.gov.au/info/industry/pricing/pbs-items</w:t>
        </w:r>
      </w:hyperlink>
    </w:p>
    <w:p w14:paraId="34D4EF32" w14:textId="77777777" w:rsidR="00DF63A8" w:rsidRPr="00BB28F3" w:rsidRDefault="00DF63A8" w:rsidP="00925E92">
      <w:pPr>
        <w:keepNext/>
        <w:keepLines/>
        <w:outlineLvl w:val="3"/>
        <w:rPr>
          <w:b/>
          <w:bCs/>
          <w:iCs/>
          <w:color w:val="244061"/>
        </w:rPr>
      </w:pPr>
      <w:r w:rsidRPr="00BB28F3">
        <w:rPr>
          <w:b/>
          <w:bCs/>
          <w:iCs/>
          <w:color w:val="244061"/>
        </w:rPr>
        <w:t xml:space="preserve">Combination Item </w:t>
      </w:r>
    </w:p>
    <w:p w14:paraId="67E92DB3" w14:textId="77777777" w:rsidR="00DF63A8" w:rsidRPr="00DF63A8" w:rsidRDefault="00DF63A8" w:rsidP="00925E92">
      <w:pPr>
        <w:rPr>
          <w:rFonts w:cs="Arial"/>
        </w:rPr>
      </w:pPr>
      <w:r w:rsidRPr="00DF63A8">
        <w:rPr>
          <w:rFonts w:cs="Arial"/>
        </w:rPr>
        <w:t>Combination item is defined in subsection 84(1) of the Act. In summary, combination item means a pharmaceutical item that has a drug that contains at least two</w:t>
      </w:r>
      <w:r w:rsidRPr="00DF63A8">
        <w:rPr>
          <w:rFonts w:cs="Arial"/>
          <w:sz w:val="24"/>
          <w:szCs w:val="24"/>
        </w:rPr>
        <w:t xml:space="preserve"> </w:t>
      </w:r>
      <w:r w:rsidRPr="00DF63A8">
        <w:rPr>
          <w:rFonts w:cs="Arial"/>
        </w:rPr>
        <w:t>other drugs or medicinal preparations, at least one of which is a PBS listed drug. It may be an item containing a drug(s) on the combination drug list or a drug on the F2 formulary.</w:t>
      </w:r>
    </w:p>
    <w:p w14:paraId="778B1260" w14:textId="77777777" w:rsidR="00DF63A8" w:rsidRPr="00BB28F3" w:rsidRDefault="00DF63A8" w:rsidP="00925E92">
      <w:pPr>
        <w:keepNext/>
        <w:keepLines/>
        <w:outlineLvl w:val="3"/>
        <w:rPr>
          <w:b/>
          <w:bCs/>
          <w:iCs/>
          <w:color w:val="244061"/>
        </w:rPr>
      </w:pPr>
      <w:r w:rsidRPr="00BB28F3">
        <w:rPr>
          <w:b/>
          <w:bCs/>
          <w:iCs/>
          <w:color w:val="244061"/>
        </w:rPr>
        <w:t xml:space="preserve">Data Collection Period </w:t>
      </w:r>
    </w:p>
    <w:p w14:paraId="2D4CF1B9" w14:textId="77777777" w:rsidR="00DF63A8" w:rsidRPr="00DF63A8" w:rsidRDefault="00DF63A8" w:rsidP="00925E92">
      <w:pPr>
        <w:rPr>
          <w:rFonts w:cs="Arial"/>
        </w:rPr>
      </w:pPr>
      <w:r w:rsidRPr="00DF63A8">
        <w:rPr>
          <w:rFonts w:cs="Arial"/>
        </w:rPr>
        <w:t xml:space="preserve">Data collection period is defined in regulation 37C of the Regulations. </w:t>
      </w:r>
    </w:p>
    <w:p w14:paraId="7BE221FE" w14:textId="77777777" w:rsidR="00DF63A8" w:rsidRPr="00DF63A8" w:rsidRDefault="00DF63A8" w:rsidP="00925E92">
      <w:pPr>
        <w:rPr>
          <w:rFonts w:cs="Arial"/>
        </w:rPr>
      </w:pPr>
      <w:r w:rsidRPr="00DF63A8">
        <w:rPr>
          <w:rFonts w:cs="Arial"/>
        </w:rPr>
        <w:t>In summary, for each cycle there is a data collection period for brands for which data is collected by responsible persons about brands of pharmaceutical items.</w:t>
      </w:r>
    </w:p>
    <w:p w14:paraId="2D3EFAAC" w14:textId="77777777" w:rsidR="00DF63A8" w:rsidRPr="00DF63A8" w:rsidRDefault="00DF63A8" w:rsidP="00925E92">
      <w:pPr>
        <w:rPr>
          <w:rFonts w:cs="Arial"/>
        </w:rPr>
      </w:pPr>
      <w:r w:rsidRPr="00DF63A8">
        <w:rPr>
          <w:rFonts w:cs="Arial"/>
        </w:rPr>
        <w:t xml:space="preserve">Responsible persons are required to submit data about their brands of pharmaceutical items for periods ending on 31 March and 30 September each year (data is required to be submitted by 12 May and 11 November respectively). </w:t>
      </w:r>
    </w:p>
    <w:p w14:paraId="64235373" w14:textId="77777777" w:rsidR="00DF63A8" w:rsidRPr="00DF63A8" w:rsidRDefault="00DF63A8" w:rsidP="00925E92">
      <w:pPr>
        <w:rPr>
          <w:rFonts w:cs="Arial"/>
        </w:rPr>
      </w:pPr>
      <w:r w:rsidRPr="00DF63A8">
        <w:rPr>
          <w:rFonts w:cs="Arial"/>
        </w:rPr>
        <w:t xml:space="preserve">Data will be collected for a period of at least six months across brands of each drug and manner of administration - a responsible person may therefore be required to submit data twice for their first data collection period. More detail about collection of data and the relevant submission periods is set out under the headings </w:t>
      </w:r>
      <w:r w:rsidRPr="00DF63A8">
        <w:rPr>
          <w:rFonts w:cs="Arial"/>
          <w:b/>
        </w:rPr>
        <w:t>Collection</w:t>
      </w:r>
      <w:r w:rsidRPr="00DF63A8">
        <w:rPr>
          <w:rFonts w:cs="Arial"/>
        </w:rPr>
        <w:t xml:space="preserve"> and </w:t>
      </w:r>
      <w:r w:rsidRPr="00DF63A8">
        <w:rPr>
          <w:rFonts w:cs="Arial"/>
          <w:b/>
        </w:rPr>
        <w:t>Submission</w:t>
      </w:r>
      <w:r w:rsidRPr="00DF63A8">
        <w:rPr>
          <w:rFonts w:cs="Arial"/>
        </w:rPr>
        <w:t>.</w:t>
      </w:r>
    </w:p>
    <w:p w14:paraId="3A45611B" w14:textId="77777777" w:rsidR="00DF63A8" w:rsidRPr="00DF63A8" w:rsidRDefault="00DF63A8" w:rsidP="00925E92">
      <w:pPr>
        <w:rPr>
          <w:rFonts w:cs="Arial"/>
        </w:rPr>
      </w:pPr>
      <w:r w:rsidRPr="00DF63A8">
        <w:rPr>
          <w:rFonts w:cs="Arial"/>
        </w:rPr>
        <w:t xml:space="preserve">Subsequent data collection periods start immediately after the end of the previous data collection period. </w:t>
      </w:r>
    </w:p>
    <w:p w14:paraId="12AB2C17" w14:textId="77777777" w:rsidR="00190A06" w:rsidRDefault="00190A06">
      <w:pPr>
        <w:spacing w:before="0" w:line="240" w:lineRule="auto"/>
        <w:rPr>
          <w:rFonts w:cs="Arial"/>
        </w:rPr>
      </w:pPr>
      <w:r>
        <w:rPr>
          <w:rFonts w:cs="Arial"/>
        </w:rPr>
        <w:br w:type="page"/>
      </w:r>
    </w:p>
    <w:p w14:paraId="4BC73BAE" w14:textId="77777777" w:rsidR="00DF63A8" w:rsidRPr="00DF63A8" w:rsidRDefault="00DF63A8" w:rsidP="00925E92">
      <w:pPr>
        <w:rPr>
          <w:rFonts w:cs="Arial"/>
          <w:sz w:val="24"/>
          <w:szCs w:val="24"/>
        </w:rPr>
      </w:pPr>
      <w:r w:rsidRPr="00DF63A8">
        <w:rPr>
          <w:rFonts w:cs="Arial"/>
        </w:rPr>
        <w:lastRenderedPageBreak/>
        <w:t>In a disclosure cycle:</w:t>
      </w:r>
      <w:r w:rsidRPr="00DF63A8">
        <w:rPr>
          <w:rFonts w:cs="Arial"/>
          <w:sz w:val="24"/>
          <w:szCs w:val="24"/>
        </w:rPr>
        <w:t xml:space="preserve"> </w:t>
      </w:r>
    </w:p>
    <w:p w14:paraId="35496D6F" w14:textId="77777777" w:rsidR="00DF63A8" w:rsidRPr="00DF63A8" w:rsidRDefault="00DF63A8" w:rsidP="00B93854">
      <w:pPr>
        <w:numPr>
          <w:ilvl w:val="0"/>
          <w:numId w:val="6"/>
        </w:numPr>
        <w:ind w:left="1418" w:hanging="709"/>
        <w:rPr>
          <w:rFonts w:cs="Arial"/>
        </w:rPr>
      </w:pPr>
      <w:r w:rsidRPr="00DF63A8">
        <w:rPr>
          <w:rFonts w:cs="Arial"/>
        </w:rPr>
        <w:t xml:space="preserve">there is only one data collection period for each brand of a pharmaceutical item (there may be two data submissions for the first data collection period); </w:t>
      </w:r>
    </w:p>
    <w:p w14:paraId="5CF81264" w14:textId="77777777" w:rsidR="00DF63A8" w:rsidRPr="00DF63A8" w:rsidRDefault="00DF63A8" w:rsidP="00B93854">
      <w:pPr>
        <w:numPr>
          <w:ilvl w:val="0"/>
          <w:numId w:val="6"/>
        </w:numPr>
        <w:ind w:left="1418" w:hanging="709"/>
        <w:rPr>
          <w:rFonts w:cs="Arial"/>
        </w:rPr>
      </w:pPr>
      <w:r w:rsidRPr="00DF63A8">
        <w:rPr>
          <w:rFonts w:cs="Arial"/>
        </w:rPr>
        <w:t xml:space="preserve">the data collection periods for different brands of pharmaceutical items can commence on different days (depending on when they list or become subject to price disclosure); and </w:t>
      </w:r>
    </w:p>
    <w:p w14:paraId="33E662B7" w14:textId="77777777" w:rsidR="00DF63A8" w:rsidRPr="00DF63A8" w:rsidRDefault="00DF63A8" w:rsidP="00B93854">
      <w:pPr>
        <w:numPr>
          <w:ilvl w:val="0"/>
          <w:numId w:val="6"/>
        </w:numPr>
        <w:ind w:left="714" w:hanging="5"/>
        <w:rPr>
          <w:rFonts w:cs="Arial"/>
          <w:sz w:val="24"/>
          <w:szCs w:val="24"/>
        </w:rPr>
      </w:pPr>
      <w:r w:rsidRPr="00DF63A8">
        <w:rPr>
          <w:rFonts w:cs="Arial"/>
        </w:rPr>
        <w:t>all data collection periods for related brands end on the same day.</w:t>
      </w:r>
      <w:r w:rsidRPr="00DF63A8">
        <w:rPr>
          <w:rFonts w:cs="Arial"/>
          <w:sz w:val="24"/>
          <w:szCs w:val="24"/>
        </w:rPr>
        <w:t xml:space="preserve"> </w:t>
      </w:r>
    </w:p>
    <w:p w14:paraId="2865DEE6" w14:textId="77777777" w:rsidR="00DF63A8" w:rsidRPr="00BB28F3" w:rsidRDefault="00DF63A8" w:rsidP="00925E92">
      <w:pPr>
        <w:keepNext/>
        <w:keepLines/>
        <w:outlineLvl w:val="3"/>
        <w:rPr>
          <w:b/>
          <w:bCs/>
          <w:iCs/>
          <w:color w:val="244061"/>
        </w:rPr>
      </w:pPr>
      <w:r w:rsidRPr="00BB28F3">
        <w:rPr>
          <w:b/>
          <w:bCs/>
          <w:iCs/>
          <w:color w:val="244061"/>
        </w:rPr>
        <w:t>Data Submission Period</w:t>
      </w:r>
    </w:p>
    <w:p w14:paraId="6724DDEB" w14:textId="77777777" w:rsidR="00DF63A8" w:rsidRPr="00DF63A8" w:rsidRDefault="00DF63A8" w:rsidP="00925E92">
      <w:pPr>
        <w:rPr>
          <w:rFonts w:cs="Arial"/>
        </w:rPr>
      </w:pPr>
      <w:r w:rsidRPr="00DF63A8">
        <w:rPr>
          <w:rFonts w:cs="Arial"/>
        </w:rPr>
        <w:t>The period ending approximately six weeks after each 31 March and 30 September:</w:t>
      </w:r>
    </w:p>
    <w:p w14:paraId="0C625B56" w14:textId="77777777" w:rsidR="00DF63A8" w:rsidRPr="00DF63A8" w:rsidRDefault="00DF63A8" w:rsidP="00B93854">
      <w:pPr>
        <w:numPr>
          <w:ilvl w:val="0"/>
          <w:numId w:val="15"/>
        </w:numPr>
        <w:ind w:left="714" w:hanging="357"/>
        <w:rPr>
          <w:rFonts w:cs="Arial"/>
        </w:rPr>
      </w:pPr>
      <w:r w:rsidRPr="00DF63A8">
        <w:rPr>
          <w:rFonts w:cs="Arial"/>
        </w:rPr>
        <w:t xml:space="preserve">For the period ending 31 March, data is to be submitted by 12 May* </w:t>
      </w:r>
    </w:p>
    <w:p w14:paraId="3456B95A" w14:textId="77777777" w:rsidR="00DF63A8" w:rsidRPr="00DF63A8" w:rsidRDefault="00DF63A8" w:rsidP="00B93854">
      <w:pPr>
        <w:numPr>
          <w:ilvl w:val="0"/>
          <w:numId w:val="15"/>
        </w:numPr>
        <w:ind w:left="714" w:hanging="357"/>
        <w:rPr>
          <w:rFonts w:cs="Arial"/>
        </w:rPr>
      </w:pPr>
      <w:r w:rsidRPr="00DF63A8">
        <w:rPr>
          <w:rFonts w:cs="Arial"/>
        </w:rPr>
        <w:t xml:space="preserve">For the period ending 30 September, data is to be submitted by 11 November*. </w:t>
      </w:r>
    </w:p>
    <w:p w14:paraId="7E1173A1" w14:textId="77777777" w:rsidR="00DF63A8" w:rsidRPr="00DF63A8" w:rsidRDefault="00DF63A8" w:rsidP="00925E92">
      <w:pPr>
        <w:rPr>
          <w:rFonts w:cs="Arial"/>
          <w:sz w:val="18"/>
        </w:rPr>
      </w:pPr>
      <w:r w:rsidRPr="00DF63A8">
        <w:rPr>
          <w:rFonts w:cs="Arial"/>
          <w:sz w:val="18"/>
        </w:rPr>
        <w:t xml:space="preserve">*If 12 May or 11 November falls on a weekend or a public holiday, data submission is required on the next business day. </w:t>
      </w:r>
    </w:p>
    <w:p w14:paraId="7E8DE1B1" w14:textId="77777777" w:rsidR="00DF63A8" w:rsidRPr="00BB28F3" w:rsidRDefault="00DF63A8" w:rsidP="00925E92">
      <w:pPr>
        <w:keepNext/>
        <w:keepLines/>
        <w:outlineLvl w:val="3"/>
        <w:rPr>
          <w:b/>
          <w:bCs/>
          <w:iCs/>
          <w:color w:val="244061"/>
        </w:rPr>
      </w:pPr>
      <w:r w:rsidRPr="00BB28F3">
        <w:rPr>
          <w:b/>
          <w:bCs/>
          <w:iCs/>
          <w:color w:val="244061"/>
        </w:rPr>
        <w:t>Disclosure Cycle</w:t>
      </w:r>
    </w:p>
    <w:p w14:paraId="24184D65" w14:textId="77777777" w:rsidR="00DF63A8" w:rsidRPr="00DF63A8" w:rsidRDefault="00DF63A8" w:rsidP="00925E92">
      <w:r w:rsidRPr="00DF63A8">
        <w:rPr>
          <w:rFonts w:cs="Arial"/>
        </w:rPr>
        <w:t xml:space="preserve">There is one </w:t>
      </w:r>
      <w:r w:rsidRPr="00DF63A8">
        <w:t>ongoing administrative cycle</w:t>
      </w:r>
      <w:r w:rsidR="00EA448C">
        <w:t xml:space="preserve"> of at least 12 months</w:t>
      </w:r>
      <w:r w:rsidRPr="00DF63A8">
        <w:t xml:space="preserve">, consisting of: </w:t>
      </w:r>
    </w:p>
    <w:p w14:paraId="535DEC8A" w14:textId="77777777" w:rsidR="00DF63A8" w:rsidRPr="00DF63A8" w:rsidRDefault="00DF63A8" w:rsidP="00B93854">
      <w:pPr>
        <w:numPr>
          <w:ilvl w:val="0"/>
          <w:numId w:val="16"/>
        </w:numPr>
        <w:ind w:left="714" w:hanging="357"/>
      </w:pPr>
      <w:r w:rsidRPr="00DF63A8">
        <w:t xml:space="preserve">a six month data collection period* (ending 31 March and 30 September each year); </w:t>
      </w:r>
    </w:p>
    <w:p w14:paraId="55484399" w14:textId="77777777" w:rsidR="00DF63A8" w:rsidRPr="00DF63A8" w:rsidRDefault="00DF63A8" w:rsidP="00B93854">
      <w:pPr>
        <w:numPr>
          <w:ilvl w:val="0"/>
          <w:numId w:val="16"/>
        </w:numPr>
        <w:ind w:left="714" w:hanging="357"/>
      </w:pPr>
      <w:r w:rsidRPr="00DF63A8">
        <w:t>six months for data submission and processing, publication of prices, and any administrative dispute resolution; and</w:t>
      </w:r>
    </w:p>
    <w:p w14:paraId="505619C6" w14:textId="77777777" w:rsidR="00DF63A8" w:rsidRPr="00DF63A8" w:rsidRDefault="00DF63A8" w:rsidP="00B93854">
      <w:pPr>
        <w:numPr>
          <w:ilvl w:val="0"/>
          <w:numId w:val="16"/>
        </w:numPr>
        <w:ind w:left="714" w:hanging="357"/>
      </w:pPr>
      <w:r w:rsidRPr="00DF63A8">
        <w:t>corresponding regular reduction days on 1 October and 1 April, respectively**.</w:t>
      </w:r>
    </w:p>
    <w:p w14:paraId="1227AEED" w14:textId="77777777" w:rsidR="00DF63A8" w:rsidRPr="00DF63A8" w:rsidRDefault="00DF63A8" w:rsidP="00925E92">
      <w:pPr>
        <w:rPr>
          <w:sz w:val="18"/>
        </w:rPr>
      </w:pPr>
      <w:r w:rsidRPr="00DF63A8">
        <w:rPr>
          <w:sz w:val="18"/>
        </w:rPr>
        <w:t>*For the first administrative cycle for a drug and manner of administration the data collection period may be longer than six months.</w:t>
      </w:r>
    </w:p>
    <w:p w14:paraId="176E8674" w14:textId="77777777" w:rsidR="00DF63A8" w:rsidRPr="00DF63A8" w:rsidRDefault="00DF63A8" w:rsidP="00925E92">
      <w:pPr>
        <w:rPr>
          <w:rFonts w:cs="Arial"/>
        </w:rPr>
      </w:pPr>
      <w:r w:rsidRPr="00DF63A8">
        <w:rPr>
          <w:sz w:val="18"/>
        </w:rPr>
        <w:t>** There is also provision in the Regulations for reduction days on 1 August and 1 December each year if required.</w:t>
      </w:r>
    </w:p>
    <w:p w14:paraId="0628C724" w14:textId="77777777" w:rsidR="00DF63A8" w:rsidRPr="00BB28F3" w:rsidRDefault="00DF63A8" w:rsidP="00925E92">
      <w:pPr>
        <w:keepNext/>
        <w:keepLines/>
        <w:outlineLvl w:val="3"/>
        <w:rPr>
          <w:b/>
          <w:bCs/>
          <w:iCs/>
          <w:color w:val="244061"/>
        </w:rPr>
      </w:pPr>
      <w:r w:rsidRPr="00BB28F3">
        <w:rPr>
          <w:b/>
          <w:bCs/>
          <w:iCs/>
          <w:color w:val="244061"/>
        </w:rPr>
        <w:t xml:space="preserve">Drug </w:t>
      </w:r>
    </w:p>
    <w:p w14:paraId="656C6FFD" w14:textId="77777777" w:rsidR="00DF63A8" w:rsidRPr="00DF63A8" w:rsidRDefault="00DF63A8" w:rsidP="00925E92">
      <w:pPr>
        <w:rPr>
          <w:rFonts w:cs="Arial"/>
        </w:rPr>
      </w:pPr>
      <w:r w:rsidRPr="00DF63A8">
        <w:rPr>
          <w:rFonts w:cs="Arial"/>
        </w:rPr>
        <w:t xml:space="preserve">A drug or medicinal preparation in relation to which a declaration under subsection 85 (2) of the Act is in force (PBS listed drug). </w:t>
      </w:r>
    </w:p>
    <w:p w14:paraId="0C113ACB" w14:textId="77777777" w:rsidR="00DF63A8" w:rsidRPr="00BB28F3" w:rsidRDefault="00DF63A8" w:rsidP="00925E92">
      <w:pPr>
        <w:keepNext/>
        <w:keepLines/>
        <w:outlineLvl w:val="3"/>
        <w:rPr>
          <w:b/>
          <w:bCs/>
          <w:iCs/>
          <w:color w:val="244061"/>
        </w:rPr>
      </w:pPr>
      <w:r w:rsidRPr="00BB28F3">
        <w:rPr>
          <w:b/>
          <w:bCs/>
          <w:iCs/>
          <w:color w:val="244061"/>
        </w:rPr>
        <w:t xml:space="preserve">Expanded and Accelerated Price Disclosure (EAPD) </w:t>
      </w:r>
    </w:p>
    <w:p w14:paraId="0C093738" w14:textId="77777777" w:rsidR="00DF63A8" w:rsidRPr="00BB28F3" w:rsidRDefault="00DF63A8" w:rsidP="00925E92">
      <w:pPr>
        <w:rPr>
          <w:b/>
          <w:bCs/>
          <w:iCs/>
          <w:color w:val="244061"/>
        </w:rPr>
      </w:pPr>
      <w:r w:rsidRPr="00DF63A8">
        <w:rPr>
          <w:rFonts w:cs="Arial"/>
        </w:rPr>
        <w:t xml:space="preserve">EAPD commenced on 1 December 2010 and was the first extension of price disclosure arrangements. Under EAPD all brands of non-exempt pharmaceutical items containing drugs on the F2 Formulary of the PBS became subject to price disclosure requirements. The last reduction under EAPD occurred on 1 August 2014. For reduction days thereafter the Simplified Price Disclosure method </w:t>
      </w:r>
      <w:r w:rsidR="00EA448C">
        <w:rPr>
          <w:rFonts w:cs="Arial"/>
        </w:rPr>
        <w:t>has</w:t>
      </w:r>
      <w:r w:rsidRPr="00DF63A8">
        <w:rPr>
          <w:rFonts w:cs="Arial"/>
        </w:rPr>
        <w:t xml:space="preserve"> be</w:t>
      </w:r>
      <w:r w:rsidR="00EA448C">
        <w:rPr>
          <w:rFonts w:cs="Arial"/>
        </w:rPr>
        <w:t>en</w:t>
      </w:r>
      <w:r w:rsidRPr="00DF63A8">
        <w:rPr>
          <w:rFonts w:cs="Arial"/>
        </w:rPr>
        <w:t xml:space="preserve"> used for calculations.</w:t>
      </w:r>
    </w:p>
    <w:p w14:paraId="58981F08" w14:textId="77777777" w:rsidR="00190A06" w:rsidRDefault="00190A06">
      <w:pPr>
        <w:spacing w:before="0" w:line="240" w:lineRule="auto"/>
        <w:rPr>
          <w:b/>
          <w:bCs/>
          <w:iCs/>
          <w:color w:val="244061"/>
        </w:rPr>
      </w:pPr>
      <w:r>
        <w:rPr>
          <w:b/>
          <w:bCs/>
          <w:iCs/>
          <w:color w:val="244061"/>
        </w:rPr>
        <w:br w:type="page"/>
      </w:r>
    </w:p>
    <w:p w14:paraId="5EEB5EE1" w14:textId="77777777" w:rsidR="00DF63A8" w:rsidRPr="00BB28F3" w:rsidRDefault="00DF63A8" w:rsidP="00925E92">
      <w:pPr>
        <w:keepNext/>
        <w:keepLines/>
        <w:outlineLvl w:val="3"/>
        <w:rPr>
          <w:b/>
          <w:bCs/>
          <w:iCs/>
          <w:color w:val="244061"/>
        </w:rPr>
      </w:pPr>
      <w:r w:rsidRPr="00BB28F3">
        <w:rPr>
          <w:b/>
          <w:bCs/>
          <w:iCs/>
          <w:color w:val="244061"/>
        </w:rPr>
        <w:lastRenderedPageBreak/>
        <w:t xml:space="preserve">F1 Formulary </w:t>
      </w:r>
    </w:p>
    <w:p w14:paraId="06A3C9F0" w14:textId="77777777" w:rsidR="00DF63A8" w:rsidRPr="00DF63A8" w:rsidRDefault="00DF63A8" w:rsidP="00925E92">
      <w:pPr>
        <w:rPr>
          <w:rFonts w:cs="Arial"/>
        </w:rPr>
      </w:pPr>
      <w:r w:rsidRPr="00DF63A8">
        <w:rPr>
          <w:rFonts w:cs="Arial"/>
        </w:rPr>
        <w:t xml:space="preserve">F1 contains drugs that are determined to be on F1 in the relevant legal instrument made under the Act. Generally this will be drugs that: </w:t>
      </w:r>
    </w:p>
    <w:p w14:paraId="5486BAC0" w14:textId="77777777" w:rsidR="00DF63A8" w:rsidRPr="00DF63A8" w:rsidRDefault="00DF63A8" w:rsidP="00893442">
      <w:pPr>
        <w:numPr>
          <w:ilvl w:val="0"/>
          <w:numId w:val="7"/>
        </w:numPr>
        <w:ind w:left="1426" w:hanging="720"/>
        <w:rPr>
          <w:rFonts w:cs="Arial"/>
        </w:rPr>
      </w:pPr>
      <w:r w:rsidRPr="00DF63A8">
        <w:rPr>
          <w:rFonts w:cs="Arial"/>
        </w:rPr>
        <w:t>have only one brand of each pharmaceutical item listed on the PBS</w:t>
      </w:r>
      <w:r w:rsidR="00EA448C">
        <w:rPr>
          <w:rFonts w:cs="Arial"/>
        </w:rPr>
        <w:t xml:space="preserve"> (there can be multiple brands of a pharmaceutical item if they are not considered to be bioequivalent or biosimilar)</w:t>
      </w:r>
      <w:r w:rsidRPr="00DF63A8">
        <w:rPr>
          <w:rFonts w:cs="Arial"/>
        </w:rPr>
        <w:t xml:space="preserve">; </w:t>
      </w:r>
    </w:p>
    <w:p w14:paraId="4FB74B4A" w14:textId="77777777" w:rsidR="00DF63A8" w:rsidRPr="00DF63A8" w:rsidRDefault="00DF63A8" w:rsidP="00B93854">
      <w:pPr>
        <w:numPr>
          <w:ilvl w:val="0"/>
          <w:numId w:val="7"/>
        </w:numPr>
        <w:ind w:left="1418" w:hanging="709"/>
        <w:rPr>
          <w:rFonts w:cs="Arial"/>
        </w:rPr>
      </w:pPr>
      <w:r w:rsidRPr="00DF63A8">
        <w:rPr>
          <w:rFonts w:cs="Arial"/>
        </w:rPr>
        <w:t>are not considered to have bioequivalent or biosimilar brands of different pharmaceutical items; and</w:t>
      </w:r>
    </w:p>
    <w:p w14:paraId="45D0332B" w14:textId="77777777" w:rsidR="00DF63A8" w:rsidRPr="00DF63A8" w:rsidRDefault="00DF63A8" w:rsidP="00B93854">
      <w:pPr>
        <w:numPr>
          <w:ilvl w:val="0"/>
          <w:numId w:val="7"/>
        </w:numPr>
        <w:ind w:left="1418" w:hanging="709"/>
        <w:rPr>
          <w:rFonts w:cs="Arial"/>
        </w:rPr>
      </w:pPr>
      <w:r w:rsidRPr="00DF63A8">
        <w:rPr>
          <w:rFonts w:cs="Arial"/>
        </w:rPr>
        <w:t xml:space="preserve">are not in a therapeutic group with a drug on the F2 formulary (i.e., a therapeutic group made under section 84AG of the Act). </w:t>
      </w:r>
    </w:p>
    <w:p w14:paraId="5F47D7EE" w14:textId="77777777" w:rsidR="00DF63A8" w:rsidRPr="00BB28F3" w:rsidRDefault="00DF63A8" w:rsidP="00925E92">
      <w:pPr>
        <w:keepNext/>
        <w:keepLines/>
        <w:outlineLvl w:val="3"/>
        <w:rPr>
          <w:b/>
          <w:bCs/>
          <w:iCs/>
          <w:color w:val="244061"/>
        </w:rPr>
      </w:pPr>
      <w:r w:rsidRPr="00BB28F3">
        <w:rPr>
          <w:b/>
          <w:bCs/>
          <w:iCs/>
          <w:color w:val="244061"/>
        </w:rPr>
        <w:t xml:space="preserve">F2 Formulary </w:t>
      </w:r>
    </w:p>
    <w:p w14:paraId="6233A119" w14:textId="77777777" w:rsidR="00DF63A8" w:rsidRPr="00DF63A8" w:rsidRDefault="00DF63A8" w:rsidP="00925E92">
      <w:pPr>
        <w:rPr>
          <w:rFonts w:cs="Arial"/>
          <w:sz w:val="24"/>
          <w:szCs w:val="24"/>
          <w:u w:val="single"/>
        </w:rPr>
      </w:pPr>
      <w:r w:rsidRPr="00DF63A8">
        <w:rPr>
          <w:rFonts w:cs="Arial"/>
        </w:rPr>
        <w:t xml:space="preserve">F2 contains all drugs that do not meet the criteria for F1 and are not on the combination drug list. Generally this is multi-branded drugs or those that have been multi-branded. </w:t>
      </w:r>
    </w:p>
    <w:p w14:paraId="71B81B8A" w14:textId="77777777" w:rsidR="00DF63A8" w:rsidRPr="00BB28F3" w:rsidRDefault="00DF63A8" w:rsidP="00925E92">
      <w:pPr>
        <w:keepNext/>
        <w:keepLines/>
        <w:outlineLvl w:val="3"/>
        <w:rPr>
          <w:b/>
          <w:bCs/>
          <w:iCs/>
          <w:color w:val="244061"/>
        </w:rPr>
      </w:pPr>
      <w:r w:rsidRPr="00BB28F3">
        <w:rPr>
          <w:b/>
          <w:bCs/>
          <w:iCs/>
          <w:color w:val="244061"/>
        </w:rPr>
        <w:t>Form</w:t>
      </w:r>
    </w:p>
    <w:p w14:paraId="3F0566B5" w14:textId="77777777" w:rsidR="00DF63A8" w:rsidRPr="00BB28F3" w:rsidRDefault="00DF63A8" w:rsidP="00925E92">
      <w:pPr>
        <w:rPr>
          <w:b/>
          <w:bCs/>
          <w:iCs/>
          <w:color w:val="244061"/>
        </w:rPr>
      </w:pPr>
      <w:r w:rsidRPr="00DF63A8">
        <w:rPr>
          <w:rFonts w:cs="Arial"/>
        </w:rPr>
        <w:t xml:space="preserve">The form for a PBS listed drug as determined under subsection 85 (3) of the Act. This refers </w:t>
      </w:r>
      <w:r w:rsidRPr="00DF63A8">
        <w:rPr>
          <w:rFonts w:cs="Arial"/>
        </w:rPr>
        <w:br/>
        <w:t xml:space="preserve">to the strength, type of unit (e.g. tablet or capsule), size of unit (e.g. quantity) or other distinguishing criteria. </w:t>
      </w:r>
    </w:p>
    <w:p w14:paraId="4D42050B" w14:textId="77777777" w:rsidR="00DF63A8" w:rsidRPr="00BB28F3" w:rsidRDefault="00DF63A8" w:rsidP="00925E92">
      <w:pPr>
        <w:keepNext/>
        <w:keepLines/>
        <w:outlineLvl w:val="3"/>
        <w:rPr>
          <w:b/>
          <w:bCs/>
          <w:iCs/>
          <w:color w:val="244061"/>
        </w:rPr>
      </w:pPr>
      <w:r w:rsidRPr="00BB28F3">
        <w:rPr>
          <w:b/>
          <w:bCs/>
          <w:iCs/>
          <w:color w:val="244061"/>
        </w:rPr>
        <w:t xml:space="preserve">Incentive </w:t>
      </w:r>
    </w:p>
    <w:p w14:paraId="78C86849" w14:textId="77777777" w:rsidR="00DF63A8" w:rsidRPr="00DF63A8" w:rsidRDefault="00DF63A8" w:rsidP="00925E92">
      <w:pPr>
        <w:spacing w:line="240" w:lineRule="auto"/>
        <w:rPr>
          <w:rFonts w:cs="Arial"/>
        </w:rPr>
      </w:pPr>
      <w:r w:rsidRPr="00DF63A8">
        <w:rPr>
          <w:rFonts w:cs="Arial"/>
        </w:rPr>
        <w:t>An incentive is defined in sub regulation 5(1) of the Regulations. Broadly, it is any benefit which is offered to encourage a purchase to be made of the disclosing brand or a product range which includes the disclosing brand. These include both monetary and non-monetary benefits. The Regulations define ‘incentive’ as follows:</w:t>
      </w:r>
    </w:p>
    <w:p w14:paraId="3B55AAF0" w14:textId="77777777" w:rsidR="00DF63A8" w:rsidRPr="00DF63A8" w:rsidRDefault="00DF63A8" w:rsidP="00925E92">
      <w:pPr>
        <w:spacing w:line="240" w:lineRule="auto"/>
        <w:ind w:left="720"/>
        <w:rPr>
          <w:rFonts w:cs="Arial"/>
        </w:rPr>
      </w:pPr>
      <w:r w:rsidRPr="00DF63A8">
        <w:rPr>
          <w:rFonts w:cs="Arial"/>
          <w:b/>
          <w:bCs/>
          <w:i/>
          <w:iCs/>
        </w:rPr>
        <w:t>incentive</w:t>
      </w:r>
      <w:r w:rsidRPr="00DF63A8">
        <w:rPr>
          <w:rFonts w:cs="Arial"/>
        </w:rPr>
        <w:t>, for a brand of a pharmaceutical item, includes anything given as an incentive to take supply of the brand (including a delisted brand before it was delisted) whether the incentive is given:</w:t>
      </w:r>
    </w:p>
    <w:p w14:paraId="608B7AC0" w14:textId="77777777" w:rsidR="00DF63A8" w:rsidRPr="00DF63A8" w:rsidRDefault="00DF63A8" w:rsidP="00925E92">
      <w:pPr>
        <w:spacing w:line="240" w:lineRule="auto"/>
        <w:ind w:left="720" w:firstLine="720"/>
        <w:rPr>
          <w:rFonts w:cs="Arial"/>
        </w:rPr>
      </w:pPr>
      <w:r w:rsidRPr="00DF63A8">
        <w:rPr>
          <w:rFonts w:cs="Arial"/>
        </w:rPr>
        <w:t>(a) before the supply of the brand, but on condition of taking supply; or</w:t>
      </w:r>
    </w:p>
    <w:p w14:paraId="61F0EF1D" w14:textId="77777777" w:rsidR="00DF63A8" w:rsidRPr="00DF63A8" w:rsidRDefault="00DF63A8" w:rsidP="00925E92">
      <w:pPr>
        <w:spacing w:line="240" w:lineRule="auto"/>
        <w:ind w:left="720" w:firstLine="720"/>
        <w:rPr>
          <w:rFonts w:cs="Arial"/>
        </w:rPr>
      </w:pPr>
      <w:r w:rsidRPr="00DF63A8">
        <w:rPr>
          <w:rFonts w:cs="Arial"/>
        </w:rPr>
        <w:t>(b) at, or after, the time of the supply of the brand; or</w:t>
      </w:r>
    </w:p>
    <w:p w14:paraId="731223CB" w14:textId="77777777" w:rsidR="00DF63A8" w:rsidRPr="00DF63A8" w:rsidRDefault="00DF63A8" w:rsidP="00925E92">
      <w:pPr>
        <w:spacing w:line="240" w:lineRule="auto"/>
        <w:ind w:left="720" w:firstLine="720"/>
        <w:rPr>
          <w:rFonts w:cs="Arial"/>
        </w:rPr>
      </w:pPr>
      <w:r w:rsidRPr="00DF63A8">
        <w:rPr>
          <w:rFonts w:cs="Arial"/>
        </w:rPr>
        <w:t>(c) over a period of time; or</w:t>
      </w:r>
    </w:p>
    <w:p w14:paraId="19F4110B" w14:textId="77777777" w:rsidR="00DF63A8" w:rsidRPr="00DF63A8" w:rsidRDefault="00DF63A8" w:rsidP="00925E92">
      <w:pPr>
        <w:spacing w:line="240" w:lineRule="auto"/>
        <w:ind w:left="720" w:firstLine="720"/>
        <w:rPr>
          <w:rFonts w:cs="Arial"/>
        </w:rPr>
      </w:pPr>
      <w:r w:rsidRPr="00DF63A8">
        <w:rPr>
          <w:rFonts w:cs="Arial"/>
        </w:rPr>
        <w:t>(d) directly for the brand; or</w:t>
      </w:r>
    </w:p>
    <w:p w14:paraId="433E94DC" w14:textId="77777777" w:rsidR="00DF63A8" w:rsidRPr="00DF63A8" w:rsidRDefault="00DF63A8" w:rsidP="00925E92">
      <w:pPr>
        <w:spacing w:line="240" w:lineRule="auto"/>
        <w:ind w:left="1724" w:hanging="284"/>
        <w:rPr>
          <w:rFonts w:cs="Arial"/>
        </w:rPr>
      </w:pPr>
      <w:r w:rsidRPr="00DF63A8">
        <w:rPr>
          <w:rFonts w:cs="Arial"/>
        </w:rPr>
        <w:t>(e) indirectly for the brand (for a group of brands of pharmaceutical items or other products, for example).</w:t>
      </w:r>
    </w:p>
    <w:p w14:paraId="52E188CC" w14:textId="77777777" w:rsidR="00DF63A8" w:rsidRPr="00BB28F3" w:rsidRDefault="00DF63A8" w:rsidP="00925E92">
      <w:pPr>
        <w:keepNext/>
        <w:keepLines/>
        <w:outlineLvl w:val="3"/>
        <w:rPr>
          <w:b/>
          <w:bCs/>
          <w:iCs/>
          <w:color w:val="244061"/>
        </w:rPr>
      </w:pPr>
      <w:r w:rsidRPr="00BB28F3">
        <w:rPr>
          <w:b/>
          <w:bCs/>
          <w:iCs/>
          <w:color w:val="244061"/>
        </w:rPr>
        <w:t xml:space="preserve">Manner of Administration (MoA) </w:t>
      </w:r>
    </w:p>
    <w:p w14:paraId="3149E1E3" w14:textId="77777777" w:rsidR="00DF63A8" w:rsidRPr="00DF63A8" w:rsidRDefault="00DF63A8" w:rsidP="00925E92">
      <w:pPr>
        <w:rPr>
          <w:rFonts w:cs="Arial"/>
        </w:rPr>
      </w:pPr>
      <w:r w:rsidRPr="00DF63A8">
        <w:rPr>
          <w:rFonts w:cs="Arial"/>
        </w:rPr>
        <w:t xml:space="preserve">The route by which the drug enters the body or is applied as determined under subsection </w:t>
      </w:r>
      <w:r w:rsidRPr="00DF63A8">
        <w:rPr>
          <w:rFonts w:cs="Arial"/>
        </w:rPr>
        <w:br/>
        <w:t xml:space="preserve">85 (5) of the Act. For example: </w:t>
      </w:r>
    </w:p>
    <w:p w14:paraId="7A6B8AE4" w14:textId="77777777" w:rsidR="00DF63A8" w:rsidRPr="00DF63A8" w:rsidRDefault="00DF63A8" w:rsidP="00B93854">
      <w:pPr>
        <w:numPr>
          <w:ilvl w:val="0"/>
          <w:numId w:val="2"/>
        </w:numPr>
        <w:rPr>
          <w:rFonts w:cs="Arial"/>
        </w:rPr>
      </w:pPr>
      <w:r w:rsidRPr="00DF63A8">
        <w:rPr>
          <w:rFonts w:cs="Arial"/>
        </w:rPr>
        <w:t xml:space="preserve">Application </w:t>
      </w:r>
    </w:p>
    <w:p w14:paraId="0ABC4D55" w14:textId="77777777" w:rsidR="00DF63A8" w:rsidRPr="00DF63A8" w:rsidRDefault="00DF63A8" w:rsidP="00B93854">
      <w:pPr>
        <w:numPr>
          <w:ilvl w:val="0"/>
          <w:numId w:val="2"/>
        </w:numPr>
        <w:ind w:left="714" w:hanging="357"/>
        <w:rPr>
          <w:rFonts w:cs="Arial"/>
        </w:rPr>
      </w:pPr>
      <w:r w:rsidRPr="00DF63A8">
        <w:rPr>
          <w:rFonts w:cs="Arial"/>
        </w:rPr>
        <w:t xml:space="preserve">Application to the ear </w:t>
      </w:r>
    </w:p>
    <w:p w14:paraId="74EF7D22" w14:textId="77777777" w:rsidR="00DF63A8" w:rsidRPr="00DF63A8" w:rsidRDefault="00DF63A8" w:rsidP="00B93854">
      <w:pPr>
        <w:numPr>
          <w:ilvl w:val="0"/>
          <w:numId w:val="2"/>
        </w:numPr>
        <w:ind w:left="714" w:hanging="357"/>
        <w:rPr>
          <w:rFonts w:cs="Arial"/>
        </w:rPr>
      </w:pPr>
      <w:r w:rsidRPr="00DF63A8">
        <w:rPr>
          <w:rFonts w:cs="Arial"/>
        </w:rPr>
        <w:t xml:space="preserve">Application to the eye </w:t>
      </w:r>
    </w:p>
    <w:p w14:paraId="22A07797" w14:textId="77777777" w:rsidR="00DF63A8" w:rsidRPr="00DF63A8" w:rsidRDefault="00DF63A8" w:rsidP="00B93854">
      <w:pPr>
        <w:numPr>
          <w:ilvl w:val="0"/>
          <w:numId w:val="2"/>
        </w:numPr>
        <w:ind w:left="714" w:hanging="357"/>
        <w:rPr>
          <w:rFonts w:cs="Arial"/>
        </w:rPr>
      </w:pPr>
      <w:r w:rsidRPr="00DF63A8">
        <w:rPr>
          <w:rFonts w:cs="Arial"/>
        </w:rPr>
        <w:t xml:space="preserve">Application to the eye/ear </w:t>
      </w:r>
    </w:p>
    <w:p w14:paraId="0118A79D" w14:textId="77777777" w:rsidR="00DF63A8" w:rsidRPr="00DF63A8" w:rsidRDefault="00DF63A8" w:rsidP="00B93854">
      <w:pPr>
        <w:numPr>
          <w:ilvl w:val="0"/>
          <w:numId w:val="2"/>
        </w:numPr>
        <w:ind w:left="714" w:hanging="357"/>
        <w:rPr>
          <w:rFonts w:cs="Arial"/>
        </w:rPr>
      </w:pPr>
      <w:r w:rsidRPr="00DF63A8">
        <w:rPr>
          <w:rFonts w:cs="Arial"/>
        </w:rPr>
        <w:t xml:space="preserve">Buccal </w:t>
      </w:r>
    </w:p>
    <w:p w14:paraId="29E2D7A7" w14:textId="77777777" w:rsidR="00DF63A8" w:rsidRPr="00DF63A8" w:rsidRDefault="00DF63A8" w:rsidP="00B93854">
      <w:pPr>
        <w:numPr>
          <w:ilvl w:val="0"/>
          <w:numId w:val="2"/>
        </w:numPr>
        <w:ind w:left="714" w:hanging="357"/>
        <w:rPr>
          <w:rFonts w:cs="Arial"/>
        </w:rPr>
      </w:pPr>
      <w:r w:rsidRPr="00DF63A8">
        <w:rPr>
          <w:rFonts w:cs="Arial"/>
        </w:rPr>
        <w:lastRenderedPageBreak/>
        <w:t xml:space="preserve">Buccal/sublingual </w:t>
      </w:r>
    </w:p>
    <w:p w14:paraId="7E77DC2F" w14:textId="77777777" w:rsidR="00DF63A8" w:rsidRPr="00DF63A8" w:rsidRDefault="00DF63A8" w:rsidP="00B93854">
      <w:pPr>
        <w:numPr>
          <w:ilvl w:val="0"/>
          <w:numId w:val="2"/>
        </w:numPr>
        <w:ind w:left="714" w:hanging="357"/>
        <w:rPr>
          <w:rFonts w:cs="Arial"/>
        </w:rPr>
      </w:pPr>
      <w:r w:rsidRPr="00DF63A8">
        <w:rPr>
          <w:rFonts w:cs="Arial"/>
        </w:rPr>
        <w:t xml:space="preserve">For external use </w:t>
      </w:r>
    </w:p>
    <w:p w14:paraId="5746FD75" w14:textId="77777777" w:rsidR="00DF63A8" w:rsidRPr="00DF63A8" w:rsidRDefault="00DF63A8" w:rsidP="00B93854">
      <w:pPr>
        <w:numPr>
          <w:ilvl w:val="0"/>
          <w:numId w:val="2"/>
        </w:numPr>
        <w:ind w:left="714" w:hanging="357"/>
        <w:rPr>
          <w:rFonts w:cs="Arial"/>
        </w:rPr>
      </w:pPr>
      <w:r w:rsidRPr="00DF63A8">
        <w:rPr>
          <w:rFonts w:cs="Arial"/>
        </w:rPr>
        <w:t xml:space="preserve">Inhalation by mouth </w:t>
      </w:r>
    </w:p>
    <w:p w14:paraId="597655D5" w14:textId="77777777" w:rsidR="00DF63A8" w:rsidRPr="00DF63A8" w:rsidRDefault="00DF63A8" w:rsidP="00B93854">
      <w:pPr>
        <w:numPr>
          <w:ilvl w:val="0"/>
          <w:numId w:val="2"/>
        </w:numPr>
        <w:ind w:left="714" w:hanging="357"/>
        <w:rPr>
          <w:rFonts w:cs="Arial"/>
        </w:rPr>
      </w:pPr>
      <w:r w:rsidRPr="00DF63A8">
        <w:rPr>
          <w:rFonts w:cs="Arial"/>
        </w:rPr>
        <w:t xml:space="preserve">Inhalation </w:t>
      </w:r>
    </w:p>
    <w:p w14:paraId="2BC7AE89" w14:textId="77777777" w:rsidR="00DF63A8" w:rsidRPr="00DF63A8" w:rsidRDefault="00DF63A8" w:rsidP="00B93854">
      <w:pPr>
        <w:numPr>
          <w:ilvl w:val="0"/>
          <w:numId w:val="2"/>
        </w:numPr>
        <w:ind w:left="714" w:hanging="357"/>
        <w:rPr>
          <w:rFonts w:cs="Arial"/>
        </w:rPr>
      </w:pPr>
      <w:r w:rsidRPr="00DF63A8">
        <w:rPr>
          <w:rFonts w:cs="Arial"/>
        </w:rPr>
        <w:t xml:space="preserve">Implantation </w:t>
      </w:r>
    </w:p>
    <w:p w14:paraId="267F95AA" w14:textId="77777777" w:rsidR="00DF63A8" w:rsidRPr="00DF63A8" w:rsidRDefault="00DF63A8" w:rsidP="00B93854">
      <w:pPr>
        <w:numPr>
          <w:ilvl w:val="0"/>
          <w:numId w:val="2"/>
        </w:numPr>
        <w:ind w:left="714" w:hanging="357"/>
        <w:rPr>
          <w:rFonts w:cs="Arial"/>
        </w:rPr>
      </w:pPr>
      <w:r w:rsidRPr="00DF63A8">
        <w:rPr>
          <w:rFonts w:cs="Arial"/>
        </w:rPr>
        <w:t xml:space="preserve">Implantation/oral </w:t>
      </w:r>
    </w:p>
    <w:p w14:paraId="079D50B6" w14:textId="77777777" w:rsidR="00DF63A8" w:rsidRPr="00DF63A8" w:rsidRDefault="00DF63A8" w:rsidP="00B93854">
      <w:pPr>
        <w:numPr>
          <w:ilvl w:val="0"/>
          <w:numId w:val="2"/>
        </w:numPr>
        <w:ind w:left="714" w:hanging="357"/>
        <w:rPr>
          <w:rFonts w:cs="Arial"/>
        </w:rPr>
      </w:pPr>
      <w:r w:rsidRPr="00DF63A8">
        <w:rPr>
          <w:rFonts w:cs="Arial"/>
        </w:rPr>
        <w:t xml:space="preserve">Injection </w:t>
      </w:r>
    </w:p>
    <w:p w14:paraId="392E0134" w14:textId="77777777" w:rsidR="00DF63A8" w:rsidRPr="00DF63A8" w:rsidRDefault="00DF63A8" w:rsidP="00B93854">
      <w:pPr>
        <w:numPr>
          <w:ilvl w:val="0"/>
          <w:numId w:val="2"/>
        </w:numPr>
        <w:ind w:left="714" w:hanging="357"/>
        <w:rPr>
          <w:rFonts w:cs="Arial"/>
        </w:rPr>
      </w:pPr>
      <w:r w:rsidRPr="00DF63A8">
        <w:rPr>
          <w:rFonts w:cs="Arial"/>
        </w:rPr>
        <w:t xml:space="preserve">Injection/oral </w:t>
      </w:r>
    </w:p>
    <w:p w14:paraId="34F0EC60" w14:textId="77777777" w:rsidR="00DF63A8" w:rsidRPr="00DF63A8" w:rsidRDefault="00DF63A8" w:rsidP="00B93854">
      <w:pPr>
        <w:numPr>
          <w:ilvl w:val="0"/>
          <w:numId w:val="2"/>
        </w:numPr>
        <w:ind w:left="714" w:hanging="357"/>
        <w:rPr>
          <w:rFonts w:cs="Arial"/>
        </w:rPr>
      </w:pPr>
      <w:r w:rsidRPr="00DF63A8">
        <w:rPr>
          <w:rFonts w:cs="Arial"/>
        </w:rPr>
        <w:t xml:space="preserve">Injection/intravesical </w:t>
      </w:r>
    </w:p>
    <w:p w14:paraId="19A8F977" w14:textId="77777777" w:rsidR="00DF63A8" w:rsidRPr="00DF63A8" w:rsidRDefault="00DF63A8" w:rsidP="00B93854">
      <w:pPr>
        <w:numPr>
          <w:ilvl w:val="0"/>
          <w:numId w:val="2"/>
        </w:numPr>
        <w:ind w:left="714" w:hanging="357"/>
        <w:rPr>
          <w:rFonts w:cs="Arial"/>
        </w:rPr>
      </w:pPr>
      <w:r w:rsidRPr="00DF63A8">
        <w:rPr>
          <w:rFonts w:cs="Arial"/>
        </w:rPr>
        <w:t xml:space="preserve">Intrauterine </w:t>
      </w:r>
    </w:p>
    <w:p w14:paraId="027714DD" w14:textId="77777777" w:rsidR="00DF63A8" w:rsidRPr="00DF63A8" w:rsidRDefault="00DF63A8" w:rsidP="00B93854">
      <w:pPr>
        <w:numPr>
          <w:ilvl w:val="0"/>
          <w:numId w:val="2"/>
        </w:numPr>
        <w:ind w:left="714" w:hanging="357"/>
        <w:rPr>
          <w:rFonts w:cs="Arial"/>
        </w:rPr>
      </w:pPr>
      <w:r w:rsidRPr="00DF63A8">
        <w:rPr>
          <w:rFonts w:cs="Arial"/>
        </w:rPr>
        <w:t xml:space="preserve">Intravesical </w:t>
      </w:r>
    </w:p>
    <w:p w14:paraId="2D681277" w14:textId="77777777" w:rsidR="00DF63A8" w:rsidRPr="00DF63A8" w:rsidRDefault="00DF63A8" w:rsidP="00B93854">
      <w:pPr>
        <w:numPr>
          <w:ilvl w:val="0"/>
          <w:numId w:val="2"/>
        </w:numPr>
        <w:ind w:left="714" w:hanging="357"/>
        <w:rPr>
          <w:rFonts w:cs="Arial"/>
        </w:rPr>
      </w:pPr>
      <w:r w:rsidRPr="00DF63A8">
        <w:rPr>
          <w:rFonts w:cs="Arial"/>
        </w:rPr>
        <w:t xml:space="preserve">Nasal </w:t>
      </w:r>
    </w:p>
    <w:p w14:paraId="0C993135" w14:textId="77777777" w:rsidR="00DF63A8" w:rsidRPr="00DF63A8" w:rsidRDefault="00DF63A8" w:rsidP="00B93854">
      <w:pPr>
        <w:numPr>
          <w:ilvl w:val="0"/>
          <w:numId w:val="2"/>
        </w:numPr>
        <w:ind w:left="714" w:hanging="357"/>
        <w:rPr>
          <w:rFonts w:cs="Arial"/>
        </w:rPr>
      </w:pPr>
      <w:r w:rsidRPr="00DF63A8">
        <w:rPr>
          <w:rFonts w:cs="Arial"/>
        </w:rPr>
        <w:t xml:space="preserve">Oral </w:t>
      </w:r>
    </w:p>
    <w:p w14:paraId="6C017DCA" w14:textId="77777777" w:rsidR="00DF63A8" w:rsidRPr="00DF63A8" w:rsidRDefault="00DF63A8" w:rsidP="00B93854">
      <w:pPr>
        <w:numPr>
          <w:ilvl w:val="0"/>
          <w:numId w:val="2"/>
        </w:numPr>
        <w:ind w:left="714" w:hanging="357"/>
        <w:rPr>
          <w:rFonts w:cs="Arial"/>
        </w:rPr>
      </w:pPr>
      <w:r w:rsidRPr="00DF63A8">
        <w:rPr>
          <w:rFonts w:cs="Arial"/>
        </w:rPr>
        <w:t xml:space="preserve">Oral application </w:t>
      </w:r>
    </w:p>
    <w:p w14:paraId="1043AFCA" w14:textId="77777777" w:rsidR="00DF63A8" w:rsidRPr="00DF63A8" w:rsidRDefault="00DF63A8" w:rsidP="00B93854">
      <w:pPr>
        <w:numPr>
          <w:ilvl w:val="0"/>
          <w:numId w:val="2"/>
        </w:numPr>
        <w:ind w:left="714" w:hanging="357"/>
        <w:rPr>
          <w:rFonts w:cs="Arial"/>
        </w:rPr>
      </w:pPr>
      <w:r w:rsidRPr="00DF63A8">
        <w:rPr>
          <w:rFonts w:cs="Arial"/>
        </w:rPr>
        <w:t xml:space="preserve">Rectal </w:t>
      </w:r>
    </w:p>
    <w:p w14:paraId="0FBB802C" w14:textId="77777777" w:rsidR="00DF63A8" w:rsidRPr="00DF63A8" w:rsidRDefault="00DF63A8" w:rsidP="00B93854">
      <w:pPr>
        <w:numPr>
          <w:ilvl w:val="0"/>
          <w:numId w:val="2"/>
        </w:numPr>
        <w:ind w:left="714" w:hanging="357"/>
        <w:rPr>
          <w:rFonts w:cs="Arial"/>
        </w:rPr>
      </w:pPr>
      <w:r w:rsidRPr="00DF63A8">
        <w:rPr>
          <w:rFonts w:cs="Arial"/>
        </w:rPr>
        <w:t xml:space="preserve">Sublingual </w:t>
      </w:r>
    </w:p>
    <w:p w14:paraId="2730DCC5" w14:textId="77777777" w:rsidR="00DF63A8" w:rsidRPr="00DF63A8" w:rsidRDefault="00DF63A8" w:rsidP="00B93854">
      <w:pPr>
        <w:numPr>
          <w:ilvl w:val="0"/>
          <w:numId w:val="2"/>
        </w:numPr>
        <w:ind w:left="714" w:hanging="357"/>
        <w:rPr>
          <w:rFonts w:cs="Arial"/>
        </w:rPr>
      </w:pPr>
      <w:r w:rsidRPr="00DF63A8">
        <w:rPr>
          <w:rFonts w:cs="Arial"/>
        </w:rPr>
        <w:t xml:space="preserve">Transdermal </w:t>
      </w:r>
    </w:p>
    <w:p w14:paraId="189241AB" w14:textId="77777777" w:rsidR="00DF63A8" w:rsidRPr="00DF63A8" w:rsidRDefault="00DF63A8" w:rsidP="00B93854">
      <w:pPr>
        <w:numPr>
          <w:ilvl w:val="0"/>
          <w:numId w:val="2"/>
        </w:numPr>
        <w:ind w:left="714" w:hanging="357"/>
        <w:rPr>
          <w:rFonts w:cs="Arial"/>
        </w:rPr>
      </w:pPr>
      <w:r w:rsidRPr="00DF63A8">
        <w:rPr>
          <w:rFonts w:cs="Arial"/>
        </w:rPr>
        <w:t xml:space="preserve">Urethral </w:t>
      </w:r>
    </w:p>
    <w:p w14:paraId="3DEDF744" w14:textId="77777777" w:rsidR="00DF63A8" w:rsidRPr="00DF63A8" w:rsidRDefault="00DF63A8" w:rsidP="00B93854">
      <w:pPr>
        <w:numPr>
          <w:ilvl w:val="0"/>
          <w:numId w:val="2"/>
        </w:numPr>
        <w:ind w:left="714" w:hanging="357"/>
        <w:rPr>
          <w:rFonts w:cs="Arial"/>
        </w:rPr>
      </w:pPr>
      <w:r w:rsidRPr="00DF63A8">
        <w:rPr>
          <w:rFonts w:cs="Arial"/>
        </w:rPr>
        <w:t>Vaginal</w:t>
      </w:r>
    </w:p>
    <w:p w14:paraId="6D33C3BE" w14:textId="77777777" w:rsidR="00DF63A8" w:rsidRPr="00DF63A8" w:rsidRDefault="00DF63A8" w:rsidP="00925E92">
      <w:pPr>
        <w:rPr>
          <w:rFonts w:cs="Arial"/>
          <w:sz w:val="24"/>
          <w:szCs w:val="24"/>
        </w:rPr>
      </w:pPr>
      <w:r w:rsidRPr="00DF63A8">
        <w:rPr>
          <w:rFonts w:cs="Arial"/>
        </w:rPr>
        <w:t xml:space="preserve">For the purposes of price disclosure, medicines are grouped on the basis of ‘drug/MoA’ – i.e., related brands. Therefore </w:t>
      </w:r>
      <w:r w:rsidR="00EA448C">
        <w:rPr>
          <w:rFonts w:cs="Arial"/>
        </w:rPr>
        <w:t xml:space="preserve">brands with </w:t>
      </w:r>
      <w:r w:rsidRPr="00DF63A8">
        <w:rPr>
          <w:rFonts w:cs="Arial"/>
        </w:rPr>
        <w:t xml:space="preserve">the same </w:t>
      </w:r>
      <w:r w:rsidR="00EA448C">
        <w:rPr>
          <w:rFonts w:cs="Arial"/>
        </w:rPr>
        <w:t>drug</w:t>
      </w:r>
      <w:r w:rsidR="00EA448C" w:rsidRPr="00DF63A8">
        <w:rPr>
          <w:rFonts w:cs="Arial"/>
        </w:rPr>
        <w:t xml:space="preserve"> </w:t>
      </w:r>
      <w:r w:rsidR="00EA448C">
        <w:rPr>
          <w:rFonts w:cs="Arial"/>
        </w:rPr>
        <w:t>but</w:t>
      </w:r>
      <w:r w:rsidRPr="00DF63A8">
        <w:rPr>
          <w:rFonts w:cs="Arial"/>
        </w:rPr>
        <w:t xml:space="preserve"> a different manner of administration (MoA) may incur a different level of reduction</w:t>
      </w:r>
      <w:r w:rsidR="00EA448C">
        <w:rPr>
          <w:rFonts w:cs="Arial"/>
        </w:rPr>
        <w:t>, or one MoA may have a reduction while the other does not</w:t>
      </w:r>
      <w:r w:rsidRPr="00DF63A8">
        <w:rPr>
          <w:rFonts w:cs="Arial"/>
        </w:rPr>
        <w:t>.</w:t>
      </w:r>
      <w:r w:rsidRPr="00DF63A8">
        <w:rPr>
          <w:rFonts w:cs="Arial"/>
          <w:sz w:val="24"/>
          <w:szCs w:val="24"/>
        </w:rPr>
        <w:t xml:space="preserve"> </w:t>
      </w:r>
    </w:p>
    <w:p w14:paraId="75E93A45" w14:textId="77777777" w:rsidR="00DF63A8" w:rsidRPr="00BB28F3" w:rsidRDefault="00DF63A8" w:rsidP="00925E92">
      <w:pPr>
        <w:keepNext/>
        <w:keepLines/>
        <w:outlineLvl w:val="3"/>
        <w:rPr>
          <w:b/>
          <w:bCs/>
          <w:iCs/>
          <w:color w:val="244061"/>
        </w:rPr>
      </w:pPr>
      <w:r w:rsidRPr="00BB28F3">
        <w:rPr>
          <w:b/>
          <w:bCs/>
          <w:iCs/>
          <w:color w:val="244061"/>
        </w:rPr>
        <w:t xml:space="preserve">New Brand </w:t>
      </w:r>
    </w:p>
    <w:p w14:paraId="0F6D58CA" w14:textId="77777777" w:rsidR="00DF63A8" w:rsidRPr="00DF63A8" w:rsidRDefault="00DF63A8" w:rsidP="00925E92">
      <w:pPr>
        <w:rPr>
          <w:rFonts w:cs="Arial"/>
        </w:rPr>
      </w:pPr>
      <w:r w:rsidRPr="00DF63A8">
        <w:rPr>
          <w:rFonts w:cs="Arial"/>
        </w:rPr>
        <w:t xml:space="preserve">A brand newly listing on the PBS. </w:t>
      </w:r>
    </w:p>
    <w:p w14:paraId="70F3EA43" w14:textId="77777777" w:rsidR="00825409" w:rsidRDefault="00825409" w:rsidP="00925E92">
      <w:pPr>
        <w:keepNext/>
        <w:keepLines/>
        <w:outlineLvl w:val="3"/>
        <w:rPr>
          <w:b/>
          <w:bCs/>
          <w:iCs/>
          <w:color w:val="244061"/>
        </w:rPr>
      </w:pPr>
      <w:r>
        <w:rPr>
          <w:b/>
          <w:bCs/>
          <w:iCs/>
          <w:color w:val="244061"/>
        </w:rPr>
        <w:t>Originator Brand</w:t>
      </w:r>
    </w:p>
    <w:p w14:paraId="586F04F9" w14:textId="77777777" w:rsidR="00435B24" w:rsidRPr="00435B24" w:rsidRDefault="00435B24" w:rsidP="00925E92">
      <w:pPr>
        <w:keepNext/>
        <w:keepLines/>
        <w:outlineLvl w:val="3"/>
        <w:rPr>
          <w:rFonts w:cs="Arial"/>
        </w:rPr>
      </w:pPr>
      <w:r w:rsidRPr="00435B24">
        <w:rPr>
          <w:rFonts w:cs="Arial"/>
        </w:rPr>
        <w:t>Section 99ADB of the Act provides that the Minister (or delegate) may determine by legislative instrument that a brand of a pharmaceutical item that has a drug on F2 is an ‘originator brand’</w:t>
      </w:r>
      <w:r>
        <w:rPr>
          <w:rFonts w:cs="Arial"/>
        </w:rPr>
        <w:t xml:space="preserve">. </w:t>
      </w:r>
      <w:r w:rsidRPr="00435B24">
        <w:rPr>
          <w:rFonts w:cs="Arial"/>
        </w:rPr>
        <w:t>A brand of an exempt item is not an originator brand due to section 99ADA of the Act.</w:t>
      </w:r>
    </w:p>
    <w:p w14:paraId="361EAF61" w14:textId="77777777" w:rsidR="00DF63A8" w:rsidRPr="00BB28F3" w:rsidRDefault="00DF63A8" w:rsidP="00925E92">
      <w:pPr>
        <w:keepNext/>
        <w:keepLines/>
        <w:outlineLvl w:val="3"/>
        <w:rPr>
          <w:b/>
          <w:bCs/>
          <w:iCs/>
          <w:color w:val="244061"/>
        </w:rPr>
      </w:pPr>
      <w:r w:rsidRPr="00BB28F3">
        <w:rPr>
          <w:b/>
          <w:bCs/>
          <w:iCs/>
          <w:color w:val="244061"/>
        </w:rPr>
        <w:t xml:space="preserve">Over the Counter PBS Item </w:t>
      </w:r>
    </w:p>
    <w:p w14:paraId="523AFDCB" w14:textId="77777777" w:rsidR="00DF63A8" w:rsidRPr="00DF63A8" w:rsidRDefault="00DF63A8" w:rsidP="00925E92">
      <w:pPr>
        <w:rPr>
          <w:rFonts w:cs="Arial"/>
        </w:rPr>
      </w:pPr>
      <w:r w:rsidRPr="00DF63A8">
        <w:rPr>
          <w:rFonts w:cs="Arial"/>
        </w:rPr>
        <w:t xml:space="preserve">A brand of pharmaceutical item that is the same as a medicine that may also be purchased over the counter without a prescription. </w:t>
      </w:r>
    </w:p>
    <w:p w14:paraId="3C27419E" w14:textId="77777777" w:rsidR="00DF63A8" w:rsidRPr="00BB28F3" w:rsidRDefault="00DF63A8" w:rsidP="00925E92">
      <w:pPr>
        <w:keepNext/>
        <w:keepLines/>
        <w:outlineLvl w:val="3"/>
        <w:rPr>
          <w:b/>
          <w:bCs/>
          <w:iCs/>
          <w:color w:val="244061"/>
        </w:rPr>
      </w:pPr>
      <w:r w:rsidRPr="00BB28F3">
        <w:rPr>
          <w:b/>
          <w:bCs/>
          <w:iCs/>
          <w:color w:val="244061"/>
        </w:rPr>
        <w:t xml:space="preserve">PBS </w:t>
      </w:r>
    </w:p>
    <w:p w14:paraId="490D2151" w14:textId="77777777" w:rsidR="00DF63A8" w:rsidRPr="00DF63A8" w:rsidRDefault="00DF63A8" w:rsidP="00925E92">
      <w:pPr>
        <w:rPr>
          <w:rFonts w:cs="Arial"/>
        </w:rPr>
      </w:pPr>
      <w:r w:rsidRPr="00DF63A8">
        <w:rPr>
          <w:rFonts w:cs="Arial"/>
        </w:rPr>
        <w:t xml:space="preserve">The Pharmaceutical Benefits Scheme administered under Part VII of the Act. </w:t>
      </w:r>
    </w:p>
    <w:p w14:paraId="17C3EEE1" w14:textId="77777777" w:rsidR="00190A06" w:rsidRDefault="00190A06">
      <w:pPr>
        <w:spacing w:before="0" w:line="240" w:lineRule="auto"/>
        <w:rPr>
          <w:b/>
          <w:bCs/>
          <w:iCs/>
          <w:color w:val="244061"/>
        </w:rPr>
      </w:pPr>
      <w:r>
        <w:rPr>
          <w:b/>
          <w:bCs/>
          <w:iCs/>
          <w:color w:val="244061"/>
        </w:rPr>
        <w:br w:type="page"/>
      </w:r>
    </w:p>
    <w:p w14:paraId="52AFE808" w14:textId="77777777" w:rsidR="00DF63A8" w:rsidRPr="00BB28F3" w:rsidRDefault="00DF63A8" w:rsidP="00925E92">
      <w:pPr>
        <w:keepNext/>
        <w:keepLines/>
        <w:outlineLvl w:val="3"/>
        <w:rPr>
          <w:b/>
          <w:bCs/>
          <w:iCs/>
          <w:color w:val="244061"/>
        </w:rPr>
      </w:pPr>
      <w:r w:rsidRPr="00BB28F3">
        <w:rPr>
          <w:b/>
          <w:bCs/>
          <w:iCs/>
          <w:color w:val="244061"/>
        </w:rPr>
        <w:lastRenderedPageBreak/>
        <w:t>Pharmaceutical item</w:t>
      </w:r>
    </w:p>
    <w:p w14:paraId="416560E2" w14:textId="77777777" w:rsidR="00DF63A8" w:rsidRPr="00DF63A8" w:rsidRDefault="00DF63A8" w:rsidP="00925E92">
      <w:pPr>
        <w:rPr>
          <w:rFonts w:cs="Arial"/>
        </w:rPr>
      </w:pPr>
      <w:r w:rsidRPr="00DF63A8">
        <w:rPr>
          <w:rFonts w:cs="Arial"/>
        </w:rPr>
        <w:t>A pharmaceutical item as defined in section 84AB of the Act. It is a particular drug, in a specified form with a particular manner of administration.</w:t>
      </w:r>
    </w:p>
    <w:p w14:paraId="6942A01B" w14:textId="77777777" w:rsidR="00DF63A8" w:rsidRPr="00BB28F3" w:rsidRDefault="00DF63A8" w:rsidP="00925E92">
      <w:pPr>
        <w:rPr>
          <w:rFonts w:cs="Arial"/>
          <w:color w:val="000000"/>
        </w:rPr>
      </w:pPr>
      <w:r w:rsidRPr="00DF63A8">
        <w:rPr>
          <w:rFonts w:cs="Arial"/>
        </w:rPr>
        <w:t>For example a particular drug with different forms and MoA will have different pharmaceutical items.</w:t>
      </w:r>
      <w:r w:rsidRPr="00BB28F3">
        <w:rPr>
          <w:rFonts w:cs="Arial"/>
          <w:color w:val="000000"/>
        </w:rPr>
        <w:t xml:space="preserve"> The ‘form’ of a pharmaceutical item may include </w:t>
      </w:r>
      <w:r w:rsidRPr="00DF63A8">
        <w:t>reference to its strength, type of unit, size of unit or other defining characteristic.</w:t>
      </w:r>
    </w:p>
    <w:p w14:paraId="3C051C20" w14:textId="77777777" w:rsidR="00DF63A8" w:rsidRPr="00BB28F3" w:rsidRDefault="00DF63A8" w:rsidP="00925E92">
      <w:pPr>
        <w:rPr>
          <w:rFonts w:cs="Arial"/>
          <w:color w:val="000000"/>
        </w:rPr>
      </w:pPr>
      <w:r w:rsidRPr="00BB28F3">
        <w:rPr>
          <w:rFonts w:cs="Arial"/>
          <w:color w:val="000000"/>
        </w:rPr>
        <w:t xml:space="preserve">A pharmaceutical item may be supplied under more than one unique PBS item code (e.g. for different indications or under different PBS programs). </w:t>
      </w:r>
    </w:p>
    <w:p w14:paraId="2B14DC2E" w14:textId="77777777" w:rsidR="00DF63A8" w:rsidRPr="00DF63A8" w:rsidRDefault="00DF63A8" w:rsidP="00925E92">
      <w:r w:rsidRPr="00DF63A8">
        <w:rPr>
          <w:rFonts w:cs="Arial"/>
        </w:rPr>
        <w:t xml:space="preserve">For further information about the difference between ‘pharmaceutical item’ and ‘PBS item codes’ see the following document explaining changes to PBS pricing that is located on the </w:t>
      </w:r>
      <w:r w:rsidRPr="00DF63A8">
        <w:rPr>
          <w:rFonts w:cs="Arial"/>
          <w:i/>
        </w:rPr>
        <w:t>2012 Changes to PBS Pricing Arrangements</w:t>
      </w:r>
      <w:r w:rsidRPr="00DF63A8">
        <w:rPr>
          <w:rFonts w:cs="Arial"/>
        </w:rPr>
        <w:t xml:space="preserve"> webpage: </w:t>
      </w:r>
      <w:hyperlink r:id="rId47" w:history="1">
        <w:r w:rsidRPr="00BB28F3">
          <w:rPr>
            <w:color w:val="0000FF"/>
            <w:u w:val="single"/>
          </w:rPr>
          <w:t>www.pbs.gov.au/industry/pricing/pricing-arrangements/proposed-ex-manufacturer-pricing-for-the-pbs.pdf</w:t>
        </w:r>
      </w:hyperlink>
    </w:p>
    <w:p w14:paraId="5A4FA168" w14:textId="77777777" w:rsidR="00DF63A8" w:rsidRPr="00BB28F3" w:rsidRDefault="00DF63A8" w:rsidP="00925E92">
      <w:pPr>
        <w:keepNext/>
        <w:keepLines/>
        <w:outlineLvl w:val="3"/>
        <w:rPr>
          <w:b/>
          <w:bCs/>
          <w:iCs/>
          <w:color w:val="244061"/>
        </w:rPr>
      </w:pPr>
      <w:r w:rsidRPr="00BB28F3">
        <w:rPr>
          <w:b/>
          <w:bCs/>
          <w:iCs/>
          <w:color w:val="244061"/>
        </w:rPr>
        <w:t xml:space="preserve">PBAC </w:t>
      </w:r>
    </w:p>
    <w:p w14:paraId="3BF004AC" w14:textId="77777777" w:rsidR="00DF63A8" w:rsidRPr="00DF63A8" w:rsidRDefault="00DF63A8" w:rsidP="00925E92">
      <w:pPr>
        <w:rPr>
          <w:rFonts w:cs="Arial"/>
        </w:rPr>
      </w:pPr>
      <w:r w:rsidRPr="00DF63A8">
        <w:rPr>
          <w:rFonts w:cs="Arial"/>
        </w:rPr>
        <w:t xml:space="preserve">The Pharmaceutical Benefits Advisory Committee. </w:t>
      </w:r>
    </w:p>
    <w:p w14:paraId="01F017ED" w14:textId="77777777" w:rsidR="00DF63A8" w:rsidRPr="00BB28F3" w:rsidRDefault="00DF63A8" w:rsidP="00925E92">
      <w:pPr>
        <w:keepNext/>
        <w:keepLines/>
        <w:outlineLvl w:val="3"/>
        <w:rPr>
          <w:b/>
          <w:bCs/>
          <w:iCs/>
          <w:color w:val="244061"/>
        </w:rPr>
      </w:pPr>
      <w:r w:rsidRPr="00BB28F3">
        <w:rPr>
          <w:b/>
          <w:bCs/>
          <w:iCs/>
          <w:color w:val="244061"/>
        </w:rPr>
        <w:t>Price Disclosure Submission Utility (PDSU)</w:t>
      </w:r>
    </w:p>
    <w:p w14:paraId="72D27F9D" w14:textId="77777777" w:rsidR="00DF63A8" w:rsidRPr="00DF63A8" w:rsidRDefault="00DF63A8" w:rsidP="00925E92">
      <w:pPr>
        <w:rPr>
          <w:rFonts w:cs="Arial"/>
        </w:rPr>
      </w:pPr>
      <w:r w:rsidRPr="00DF63A8">
        <w:rPr>
          <w:rFonts w:cs="Arial"/>
        </w:rPr>
        <w:t>The electronic facility operated by the Price Disclosure Data Administrator for submission of price disclosure data.</w:t>
      </w:r>
    </w:p>
    <w:p w14:paraId="1076A3CD" w14:textId="77777777" w:rsidR="00DF63A8" w:rsidRPr="00BB28F3" w:rsidRDefault="00DF63A8" w:rsidP="00925E92">
      <w:pPr>
        <w:keepNext/>
        <w:keepLines/>
        <w:outlineLvl w:val="3"/>
        <w:rPr>
          <w:b/>
          <w:bCs/>
          <w:iCs/>
          <w:color w:val="244061"/>
        </w:rPr>
      </w:pPr>
      <w:r w:rsidRPr="00BB28F3">
        <w:rPr>
          <w:b/>
          <w:bCs/>
          <w:iCs/>
          <w:color w:val="244061"/>
        </w:rPr>
        <w:t>Price Disclosure Data Administrator (PDDA)</w:t>
      </w:r>
    </w:p>
    <w:p w14:paraId="327699F5" w14:textId="77777777" w:rsidR="00DF63A8" w:rsidRPr="00DF63A8" w:rsidRDefault="00DF63A8" w:rsidP="00925E92">
      <w:pPr>
        <w:rPr>
          <w:rFonts w:cs="Arial"/>
        </w:rPr>
      </w:pPr>
      <w:r w:rsidRPr="00DF63A8">
        <w:rPr>
          <w:rFonts w:cs="Arial"/>
        </w:rPr>
        <w:t xml:space="preserve">The PDDA is an independent service provider contracted by the Department to provide </w:t>
      </w:r>
      <w:r w:rsidRPr="00DF63A8">
        <w:rPr>
          <w:rFonts w:cs="Arial"/>
        </w:rPr>
        <w:br/>
        <w:t xml:space="preserve">data services for price disclosure. Contact details for the PDDA can be found on the last page of this document. </w:t>
      </w:r>
    </w:p>
    <w:p w14:paraId="0AFD2579" w14:textId="77777777" w:rsidR="00DF63A8" w:rsidRPr="00BB28F3" w:rsidRDefault="00DF63A8" w:rsidP="00925E92">
      <w:pPr>
        <w:keepNext/>
        <w:keepLines/>
        <w:outlineLvl w:val="3"/>
        <w:rPr>
          <w:b/>
          <w:bCs/>
          <w:iCs/>
          <w:color w:val="244061"/>
        </w:rPr>
      </w:pPr>
      <w:r w:rsidRPr="00BB28F3">
        <w:rPr>
          <w:b/>
          <w:bCs/>
          <w:iCs/>
          <w:color w:val="244061"/>
        </w:rPr>
        <w:t xml:space="preserve">Pricing Quantity </w:t>
      </w:r>
    </w:p>
    <w:p w14:paraId="2C9341CA" w14:textId="77777777" w:rsidR="00DF63A8" w:rsidRPr="00DF63A8" w:rsidRDefault="00DF63A8" w:rsidP="00925E92">
      <w:r w:rsidRPr="00DF63A8">
        <w:rPr>
          <w:rFonts w:cs="Arial"/>
        </w:rPr>
        <w:t xml:space="preserve">The lowest pack quantity specified in the PBS listing instrument for any brand of each pharmaceutical item. The base PBS price (AEMP) is approved for the </w:t>
      </w:r>
      <w:r w:rsidRPr="00DF63A8">
        <w:rPr>
          <w:rFonts w:cs="Arial"/>
          <w:b/>
        </w:rPr>
        <w:t>pricing quantity</w:t>
      </w:r>
      <w:r w:rsidRPr="00DF63A8">
        <w:rPr>
          <w:rFonts w:cs="Arial"/>
        </w:rPr>
        <w:t xml:space="preserve"> for each brand of a pharmaceutical item. For further information about ‘pricing quantity’ and ‘pack size’ and prices for pack sizes different to the pricing quantity see the following document explaining changes to PBS pricing that is located on the </w:t>
      </w:r>
      <w:r w:rsidRPr="00DF63A8">
        <w:rPr>
          <w:rFonts w:cs="Arial"/>
          <w:i/>
        </w:rPr>
        <w:t>2012 Changes to PBS Pricing Arrangements</w:t>
      </w:r>
      <w:r w:rsidRPr="00DF63A8">
        <w:rPr>
          <w:rFonts w:cs="Arial"/>
        </w:rPr>
        <w:t xml:space="preserve"> webpage: </w:t>
      </w:r>
      <w:hyperlink r:id="rId48" w:history="1">
        <w:r w:rsidRPr="00BB28F3">
          <w:rPr>
            <w:color w:val="0000FF"/>
            <w:u w:val="single"/>
          </w:rPr>
          <w:t>www.pbs.gov.au/industry/pricing/pricing-arrangements/proposed-ex-manufacturer-pricing-for-the-pbs.pdf</w:t>
        </w:r>
      </w:hyperlink>
    </w:p>
    <w:p w14:paraId="284FAA04" w14:textId="77777777" w:rsidR="00DF63A8" w:rsidRPr="00DF63A8" w:rsidRDefault="00DF63A8" w:rsidP="00925E92">
      <w:pPr>
        <w:rPr>
          <w:rFonts w:cs="Arial"/>
        </w:rPr>
      </w:pPr>
      <w:r w:rsidRPr="00DF63A8">
        <w:rPr>
          <w:rFonts w:cs="Arial"/>
        </w:rPr>
        <w:t xml:space="preserve">In disclosing information to the Department, responsible persons will report based on the </w:t>
      </w:r>
      <w:r w:rsidRPr="00DF63A8">
        <w:rPr>
          <w:rFonts w:cs="Arial"/>
        </w:rPr>
        <w:br/>
        <w:t xml:space="preserve">pack size(s) of their brands as supplied to wholesalers, pharmacists and others. Where there is more than one pack size, the responsible person will report separately for each pack size. </w:t>
      </w:r>
      <w:r w:rsidRPr="00DF63A8">
        <w:rPr>
          <w:rFonts w:cs="Arial"/>
        </w:rPr>
        <w:br/>
        <w:t xml:space="preserve">In calculating the weighted average disclosed price, the Department will convert all volumes to the volumes that would have applied if the pack sizes were equivalent to the pricing quantity. </w:t>
      </w:r>
    </w:p>
    <w:p w14:paraId="133A27CF" w14:textId="77777777" w:rsidR="00190A06" w:rsidRDefault="00190A06">
      <w:pPr>
        <w:spacing w:before="0" w:line="240" w:lineRule="auto"/>
        <w:rPr>
          <w:b/>
          <w:bCs/>
          <w:iCs/>
          <w:color w:val="244061"/>
        </w:rPr>
      </w:pPr>
      <w:r>
        <w:rPr>
          <w:b/>
          <w:bCs/>
          <w:iCs/>
          <w:color w:val="244061"/>
        </w:rPr>
        <w:br w:type="page"/>
      </w:r>
    </w:p>
    <w:p w14:paraId="3915E733" w14:textId="77777777" w:rsidR="00DF63A8" w:rsidRPr="00BB28F3" w:rsidRDefault="00DF63A8" w:rsidP="00925E92">
      <w:pPr>
        <w:keepNext/>
        <w:keepLines/>
        <w:outlineLvl w:val="3"/>
        <w:rPr>
          <w:b/>
          <w:bCs/>
          <w:iCs/>
          <w:color w:val="244061"/>
        </w:rPr>
      </w:pPr>
      <w:r w:rsidRPr="00BB28F3">
        <w:rPr>
          <w:b/>
          <w:bCs/>
          <w:iCs/>
          <w:color w:val="244061"/>
        </w:rPr>
        <w:lastRenderedPageBreak/>
        <w:t xml:space="preserve">Processing Period </w:t>
      </w:r>
    </w:p>
    <w:p w14:paraId="18534F72" w14:textId="77777777" w:rsidR="00DF63A8" w:rsidRPr="00DF63A8" w:rsidRDefault="00DF63A8" w:rsidP="00925E92">
      <w:pPr>
        <w:rPr>
          <w:rFonts w:cs="Arial"/>
        </w:rPr>
      </w:pPr>
      <w:r w:rsidRPr="00DF63A8">
        <w:rPr>
          <w:rFonts w:cs="Arial"/>
        </w:rPr>
        <w:t xml:space="preserve">The period following the data collection period and leading up to the reduction day. This includes: </w:t>
      </w:r>
    </w:p>
    <w:p w14:paraId="4F1B7991" w14:textId="77777777" w:rsidR="00DF63A8" w:rsidRPr="00DF63A8" w:rsidRDefault="00DF63A8" w:rsidP="00B93854">
      <w:pPr>
        <w:numPr>
          <w:ilvl w:val="0"/>
          <w:numId w:val="8"/>
        </w:numPr>
        <w:ind w:hanging="11"/>
        <w:rPr>
          <w:rFonts w:cs="Arial"/>
        </w:rPr>
      </w:pPr>
      <w:r w:rsidRPr="00DF63A8">
        <w:rPr>
          <w:rFonts w:cs="Arial"/>
        </w:rPr>
        <w:t xml:space="preserve">data submission; </w:t>
      </w:r>
    </w:p>
    <w:p w14:paraId="6C138F82" w14:textId="77777777" w:rsidR="00DF63A8" w:rsidRPr="00DF63A8" w:rsidRDefault="00DF63A8" w:rsidP="00B93854">
      <w:pPr>
        <w:numPr>
          <w:ilvl w:val="0"/>
          <w:numId w:val="8"/>
        </w:numPr>
        <w:ind w:hanging="11"/>
        <w:rPr>
          <w:rFonts w:cs="Arial"/>
        </w:rPr>
      </w:pPr>
      <w:r w:rsidRPr="00DF63A8">
        <w:rPr>
          <w:rFonts w:cs="Arial"/>
        </w:rPr>
        <w:t xml:space="preserve">calculation; </w:t>
      </w:r>
    </w:p>
    <w:p w14:paraId="45755447" w14:textId="77777777" w:rsidR="00DF63A8" w:rsidRPr="00DF63A8" w:rsidRDefault="00DF63A8" w:rsidP="00B93854">
      <w:pPr>
        <w:numPr>
          <w:ilvl w:val="0"/>
          <w:numId w:val="8"/>
        </w:numPr>
        <w:ind w:hanging="11"/>
        <w:rPr>
          <w:rFonts w:cs="Arial"/>
        </w:rPr>
      </w:pPr>
      <w:r w:rsidRPr="00DF63A8">
        <w:rPr>
          <w:rFonts w:cs="Arial"/>
        </w:rPr>
        <w:t xml:space="preserve">determination; </w:t>
      </w:r>
    </w:p>
    <w:p w14:paraId="412F10EB" w14:textId="77777777" w:rsidR="00DF63A8" w:rsidRPr="00DF63A8" w:rsidRDefault="00DF63A8" w:rsidP="00B93854">
      <w:pPr>
        <w:numPr>
          <w:ilvl w:val="0"/>
          <w:numId w:val="8"/>
        </w:numPr>
        <w:ind w:hanging="11"/>
        <w:rPr>
          <w:rFonts w:cs="Arial"/>
        </w:rPr>
      </w:pPr>
      <w:r w:rsidRPr="00DF63A8">
        <w:rPr>
          <w:rFonts w:cs="Arial"/>
        </w:rPr>
        <w:t xml:space="preserve">dispute resolution; and </w:t>
      </w:r>
    </w:p>
    <w:p w14:paraId="45A8DB24" w14:textId="77777777" w:rsidR="00DF63A8" w:rsidRPr="00DF63A8" w:rsidRDefault="00DF63A8" w:rsidP="00B93854">
      <w:pPr>
        <w:numPr>
          <w:ilvl w:val="0"/>
          <w:numId w:val="8"/>
        </w:numPr>
        <w:ind w:hanging="11"/>
        <w:rPr>
          <w:rFonts w:cs="Arial"/>
        </w:rPr>
      </w:pPr>
      <w:r w:rsidRPr="00DF63A8">
        <w:rPr>
          <w:rFonts w:cs="Arial"/>
        </w:rPr>
        <w:t xml:space="preserve">data transfer/publication. </w:t>
      </w:r>
    </w:p>
    <w:p w14:paraId="79EBD0C3" w14:textId="77777777" w:rsidR="00DF63A8" w:rsidRPr="00DF63A8" w:rsidRDefault="00DF63A8" w:rsidP="00925E92">
      <w:pPr>
        <w:rPr>
          <w:rFonts w:cs="Arial"/>
        </w:rPr>
      </w:pPr>
      <w:r w:rsidRPr="00DF63A8">
        <w:rPr>
          <w:rFonts w:cs="Arial"/>
        </w:rPr>
        <w:t xml:space="preserve">This is a period of six months. </w:t>
      </w:r>
    </w:p>
    <w:p w14:paraId="66B4BD20" w14:textId="77777777" w:rsidR="00DF63A8" w:rsidRPr="00BB28F3" w:rsidRDefault="00DF63A8" w:rsidP="00925E92">
      <w:pPr>
        <w:keepNext/>
        <w:keepLines/>
        <w:outlineLvl w:val="3"/>
        <w:rPr>
          <w:b/>
          <w:bCs/>
          <w:iCs/>
          <w:color w:val="244061"/>
        </w:rPr>
      </w:pPr>
      <w:r w:rsidRPr="00BB28F3">
        <w:rPr>
          <w:b/>
          <w:bCs/>
          <w:iCs/>
          <w:color w:val="244061"/>
        </w:rPr>
        <w:t xml:space="preserve">Reduction day </w:t>
      </w:r>
    </w:p>
    <w:p w14:paraId="3EC8713B" w14:textId="77777777" w:rsidR="00DF63A8" w:rsidRPr="00DF63A8" w:rsidRDefault="00DF63A8" w:rsidP="00925E92">
      <w:pPr>
        <w:rPr>
          <w:rFonts w:cs="Arial"/>
        </w:rPr>
      </w:pPr>
      <w:r w:rsidRPr="00DF63A8">
        <w:rPr>
          <w:rFonts w:cs="Arial"/>
        </w:rPr>
        <w:t xml:space="preserve">The date on which a price reduction as a result of price disclosure may come into effect - generally: </w:t>
      </w:r>
    </w:p>
    <w:p w14:paraId="2AACC0E6" w14:textId="77777777" w:rsidR="00DF63A8" w:rsidRPr="00DF63A8" w:rsidRDefault="00DF63A8" w:rsidP="00B93854">
      <w:pPr>
        <w:numPr>
          <w:ilvl w:val="0"/>
          <w:numId w:val="9"/>
        </w:numPr>
        <w:ind w:hanging="11"/>
        <w:rPr>
          <w:rFonts w:cs="Arial"/>
        </w:rPr>
      </w:pPr>
      <w:r w:rsidRPr="00DF63A8">
        <w:rPr>
          <w:rFonts w:cs="Arial"/>
        </w:rPr>
        <w:t xml:space="preserve">1 April; </w:t>
      </w:r>
    </w:p>
    <w:p w14:paraId="4070F093" w14:textId="77777777" w:rsidR="00DF63A8" w:rsidRPr="00DF63A8" w:rsidRDefault="00DF63A8" w:rsidP="00B93854">
      <w:pPr>
        <w:numPr>
          <w:ilvl w:val="0"/>
          <w:numId w:val="9"/>
        </w:numPr>
        <w:ind w:hanging="11"/>
        <w:rPr>
          <w:rFonts w:cs="Arial"/>
        </w:rPr>
      </w:pPr>
      <w:r w:rsidRPr="00DF63A8">
        <w:rPr>
          <w:rFonts w:cs="Arial"/>
        </w:rPr>
        <w:t>1 October</w:t>
      </w:r>
    </w:p>
    <w:p w14:paraId="47CA1A02" w14:textId="77777777" w:rsidR="00DF63A8" w:rsidRPr="00DF63A8" w:rsidRDefault="00DF63A8" w:rsidP="00925E92">
      <w:pPr>
        <w:rPr>
          <w:rFonts w:cs="Arial"/>
        </w:rPr>
      </w:pPr>
      <w:r w:rsidRPr="00DF63A8">
        <w:rPr>
          <w:rFonts w:cs="Arial"/>
        </w:rPr>
        <w:t xml:space="preserve">It may also be another day prescribed in the Regulation. Regulation 37A provides that 1 August and 1 December are prescribed days. These days are prescribed in case it becomes necessary to use either of these instead of the usual reduction day (e.g. delay associated with legal proceedings). </w:t>
      </w:r>
    </w:p>
    <w:p w14:paraId="2F549A11" w14:textId="77777777" w:rsidR="00DF63A8" w:rsidRPr="00BB28F3" w:rsidRDefault="00DF63A8" w:rsidP="00925E92">
      <w:pPr>
        <w:keepNext/>
        <w:keepLines/>
        <w:outlineLvl w:val="3"/>
        <w:rPr>
          <w:b/>
          <w:bCs/>
          <w:iCs/>
          <w:color w:val="244061"/>
        </w:rPr>
      </w:pPr>
      <w:r w:rsidRPr="00BB28F3">
        <w:rPr>
          <w:b/>
          <w:bCs/>
          <w:iCs/>
          <w:color w:val="244061"/>
        </w:rPr>
        <w:t>Related Brands</w:t>
      </w:r>
    </w:p>
    <w:p w14:paraId="5BA741C2" w14:textId="77777777" w:rsidR="00DF63A8" w:rsidRPr="00DF63A8" w:rsidRDefault="00DF63A8" w:rsidP="00925E92">
      <w:pPr>
        <w:rPr>
          <w:rFonts w:cs="Arial"/>
        </w:rPr>
      </w:pPr>
      <w:r w:rsidRPr="00DF63A8">
        <w:rPr>
          <w:rFonts w:cs="Arial"/>
        </w:rPr>
        <w:t>Brands with the same drug and manner of administration.</w:t>
      </w:r>
    </w:p>
    <w:p w14:paraId="3A92A989" w14:textId="77777777" w:rsidR="00DF63A8" w:rsidRPr="00BB28F3" w:rsidRDefault="00DF63A8" w:rsidP="00925E92">
      <w:pPr>
        <w:keepNext/>
        <w:keepLines/>
        <w:outlineLvl w:val="3"/>
        <w:rPr>
          <w:b/>
          <w:bCs/>
          <w:iCs/>
          <w:color w:val="244061"/>
        </w:rPr>
      </w:pPr>
      <w:r w:rsidRPr="00BB28F3">
        <w:rPr>
          <w:b/>
          <w:bCs/>
          <w:iCs/>
          <w:color w:val="244061"/>
        </w:rPr>
        <w:t xml:space="preserve">Responsible person </w:t>
      </w:r>
    </w:p>
    <w:p w14:paraId="277EC27D" w14:textId="77777777" w:rsidR="00DF63A8" w:rsidRPr="00DF63A8" w:rsidRDefault="00DF63A8" w:rsidP="00925E92">
      <w:pPr>
        <w:rPr>
          <w:rFonts w:cs="Arial"/>
        </w:rPr>
      </w:pPr>
      <w:r w:rsidRPr="00DF63A8">
        <w:rPr>
          <w:rFonts w:cs="Arial"/>
        </w:rPr>
        <w:t xml:space="preserve">Responsible person for a brand of a pharmaceutical item means the person determined by </w:t>
      </w:r>
      <w:r w:rsidRPr="00DF63A8">
        <w:rPr>
          <w:rFonts w:cs="Arial"/>
        </w:rPr>
        <w:br/>
        <w:t xml:space="preserve">the Minister under section 84AF of the Act to be the responsible person for the brand of the pharmaceutical item. This is a legal term and in many cases it will be referring to an entity, such as a company, rather than an individual. </w:t>
      </w:r>
    </w:p>
    <w:p w14:paraId="44F80775" w14:textId="77777777" w:rsidR="00DF63A8" w:rsidRPr="00DF63A8" w:rsidRDefault="00DF63A8" w:rsidP="00925E92">
      <w:pPr>
        <w:rPr>
          <w:rFonts w:cs="Arial"/>
        </w:rPr>
      </w:pPr>
      <w:r w:rsidRPr="00DF63A8">
        <w:rPr>
          <w:rFonts w:cs="Arial"/>
        </w:rPr>
        <w:t xml:space="preserve">Each responsible person appoints at least one authorised representative. An authorised representative is an individual who has company authority to enter into price agreements, submit price disclosure data and otherwise deal with the Minister, the Department of Health and its delegates in relation to the responsible person’s brands of pharmaceutical items. </w:t>
      </w:r>
    </w:p>
    <w:p w14:paraId="7A42E95E" w14:textId="77777777" w:rsidR="00DF63A8" w:rsidRPr="00BB28F3" w:rsidRDefault="00DF63A8" w:rsidP="00925E92">
      <w:pPr>
        <w:keepNext/>
        <w:keepLines/>
        <w:outlineLvl w:val="3"/>
        <w:rPr>
          <w:b/>
          <w:bCs/>
          <w:iCs/>
          <w:color w:val="244061"/>
        </w:rPr>
      </w:pPr>
      <w:r w:rsidRPr="00BB28F3">
        <w:rPr>
          <w:b/>
          <w:bCs/>
          <w:iCs/>
          <w:color w:val="244061"/>
        </w:rPr>
        <w:t xml:space="preserve">Sales revenue </w:t>
      </w:r>
    </w:p>
    <w:p w14:paraId="73FFC17E" w14:textId="77777777" w:rsidR="00DF63A8" w:rsidRPr="00DF63A8" w:rsidRDefault="00DF63A8" w:rsidP="00925E92">
      <w:pPr>
        <w:rPr>
          <w:rFonts w:cs="Arial"/>
        </w:rPr>
      </w:pPr>
      <w:r w:rsidRPr="00DF63A8">
        <w:rPr>
          <w:rFonts w:cs="Arial"/>
        </w:rPr>
        <w:t xml:space="preserve">Sales revenue is the revenue which is generated from the sale of the disclosing brand. The methods used by the responsible person to define sales, recognise and measure revenue for price disclosure purposes should be consistent with the responsible person’s financial accounting policies and standards. </w:t>
      </w:r>
    </w:p>
    <w:p w14:paraId="35AEF2D7" w14:textId="77777777" w:rsidR="00190A06" w:rsidRDefault="00190A06">
      <w:pPr>
        <w:spacing w:before="0" w:line="240" w:lineRule="auto"/>
        <w:rPr>
          <w:b/>
          <w:bCs/>
          <w:iCs/>
          <w:color w:val="244061"/>
        </w:rPr>
      </w:pPr>
      <w:r>
        <w:rPr>
          <w:b/>
          <w:bCs/>
          <w:iCs/>
          <w:color w:val="244061"/>
        </w:rPr>
        <w:br w:type="page"/>
      </w:r>
    </w:p>
    <w:p w14:paraId="13A6E385" w14:textId="77777777" w:rsidR="00DF63A8" w:rsidRPr="00BB28F3" w:rsidRDefault="00DF63A8" w:rsidP="00925E92">
      <w:pPr>
        <w:keepNext/>
        <w:keepLines/>
        <w:outlineLvl w:val="3"/>
        <w:rPr>
          <w:b/>
          <w:bCs/>
          <w:iCs/>
          <w:color w:val="244061"/>
        </w:rPr>
      </w:pPr>
      <w:r w:rsidRPr="00BB28F3">
        <w:rPr>
          <w:b/>
          <w:bCs/>
          <w:iCs/>
          <w:color w:val="244061"/>
        </w:rPr>
        <w:lastRenderedPageBreak/>
        <w:t>Simplified Price Disclosure (SPD)</w:t>
      </w:r>
    </w:p>
    <w:p w14:paraId="04732EC0" w14:textId="77777777" w:rsidR="00DF63A8" w:rsidRPr="00DF63A8" w:rsidRDefault="00DF63A8" w:rsidP="00925E92">
      <w:pPr>
        <w:rPr>
          <w:rFonts w:cs="Arial"/>
        </w:rPr>
      </w:pPr>
      <w:r w:rsidRPr="00DF63A8">
        <w:rPr>
          <w:rFonts w:cs="Arial"/>
        </w:rPr>
        <w:t>SPD is the second extension of price disclosure arrangements</w:t>
      </w:r>
      <w:r w:rsidR="00667B33">
        <w:rPr>
          <w:rFonts w:cs="Arial"/>
        </w:rPr>
        <w:t xml:space="preserve"> (EAPD was the first)</w:t>
      </w:r>
      <w:r w:rsidRPr="00DF63A8">
        <w:rPr>
          <w:rFonts w:cs="Arial"/>
        </w:rPr>
        <w:t>. SPD operate</w:t>
      </w:r>
      <w:r w:rsidR="00667B33">
        <w:rPr>
          <w:rFonts w:cs="Arial"/>
        </w:rPr>
        <w:t>s</w:t>
      </w:r>
      <w:r w:rsidRPr="00DF63A8">
        <w:rPr>
          <w:rFonts w:cs="Arial"/>
        </w:rPr>
        <w:t xml:space="preserve"> with:</w:t>
      </w:r>
    </w:p>
    <w:p w14:paraId="51D52F86" w14:textId="77777777" w:rsidR="00DF63A8" w:rsidRPr="00DF63A8" w:rsidRDefault="00667B33" w:rsidP="00B93854">
      <w:pPr>
        <w:numPr>
          <w:ilvl w:val="0"/>
          <w:numId w:val="17"/>
        </w:numPr>
        <w:spacing w:line="240" w:lineRule="auto"/>
        <w:ind w:left="714" w:hanging="357"/>
        <w:rPr>
          <w:rFonts w:cs="Arial"/>
        </w:rPr>
      </w:pPr>
      <w:r>
        <w:rPr>
          <w:rFonts w:cs="Arial"/>
        </w:rPr>
        <w:t>6 monthly</w:t>
      </w:r>
      <w:r w:rsidR="00DF63A8" w:rsidRPr="00DF63A8">
        <w:rPr>
          <w:rFonts w:cs="Arial"/>
        </w:rPr>
        <w:t xml:space="preserve"> data collection periods*;</w:t>
      </w:r>
    </w:p>
    <w:p w14:paraId="7A8D1539" w14:textId="77777777" w:rsidR="00DF63A8" w:rsidRPr="00DF63A8" w:rsidRDefault="00DF63A8" w:rsidP="00B93854">
      <w:pPr>
        <w:numPr>
          <w:ilvl w:val="0"/>
          <w:numId w:val="17"/>
        </w:numPr>
        <w:spacing w:line="240" w:lineRule="auto"/>
        <w:ind w:left="714" w:hanging="357"/>
        <w:rPr>
          <w:rFonts w:cs="Arial"/>
        </w:rPr>
      </w:pPr>
      <w:r w:rsidRPr="00DF63A8">
        <w:rPr>
          <w:rFonts w:cs="Arial"/>
        </w:rPr>
        <w:t>A single ongoing</w:t>
      </w:r>
      <w:r w:rsidR="00667B33">
        <w:rPr>
          <w:rFonts w:cs="Arial"/>
        </w:rPr>
        <w:t xml:space="preserve"> 12 monthly</w:t>
      </w:r>
      <w:r w:rsidRPr="00DF63A8">
        <w:rPr>
          <w:rFonts w:cs="Arial"/>
        </w:rPr>
        <w:t xml:space="preserve"> administrative cycle**;</w:t>
      </w:r>
    </w:p>
    <w:p w14:paraId="11741AFB" w14:textId="77777777" w:rsidR="00DF63A8" w:rsidRPr="00DF63A8" w:rsidRDefault="00DF63A8" w:rsidP="00B93854">
      <w:pPr>
        <w:numPr>
          <w:ilvl w:val="0"/>
          <w:numId w:val="17"/>
        </w:numPr>
        <w:spacing w:line="240" w:lineRule="auto"/>
        <w:ind w:left="714" w:hanging="357"/>
        <w:rPr>
          <w:rFonts w:cs="Arial"/>
        </w:rPr>
      </w:pPr>
      <w:r w:rsidRPr="00DF63A8">
        <w:rPr>
          <w:rFonts w:cs="Arial"/>
        </w:rPr>
        <w:t xml:space="preserve">Two regular reduction days (1 April and 1 October)***; and </w:t>
      </w:r>
    </w:p>
    <w:p w14:paraId="2E3BB89F" w14:textId="77777777" w:rsidR="00DF63A8" w:rsidRPr="00DF63A8" w:rsidRDefault="00DF63A8" w:rsidP="00B93854">
      <w:pPr>
        <w:numPr>
          <w:ilvl w:val="0"/>
          <w:numId w:val="17"/>
        </w:numPr>
        <w:spacing w:line="240" w:lineRule="auto"/>
        <w:ind w:left="714" w:hanging="357"/>
        <w:rPr>
          <w:rFonts w:cs="Arial"/>
        </w:rPr>
      </w:pPr>
      <w:r w:rsidRPr="00DF63A8">
        <w:rPr>
          <w:rFonts w:cs="Arial"/>
        </w:rPr>
        <w:t>Comparison of the disclosed price against an average PBS approved ex-manufacturer subsidised price.</w:t>
      </w:r>
    </w:p>
    <w:p w14:paraId="44267065" w14:textId="77777777" w:rsidR="00DF63A8" w:rsidRPr="00DF63A8" w:rsidRDefault="00DF63A8" w:rsidP="00925E92">
      <w:pPr>
        <w:rPr>
          <w:rFonts w:cs="Arial"/>
          <w:sz w:val="18"/>
        </w:rPr>
      </w:pPr>
      <w:r w:rsidRPr="00DF63A8">
        <w:rPr>
          <w:rFonts w:cs="Arial"/>
          <w:sz w:val="18"/>
        </w:rPr>
        <w:t>* The first data collection period may be longer than 6 months.</w:t>
      </w:r>
    </w:p>
    <w:p w14:paraId="11B2BB38" w14:textId="77777777" w:rsidR="00DF63A8" w:rsidRPr="00DF63A8" w:rsidRDefault="00DF63A8" w:rsidP="00925E92">
      <w:pPr>
        <w:rPr>
          <w:rFonts w:cs="Arial"/>
          <w:sz w:val="18"/>
        </w:rPr>
      </w:pPr>
      <w:r w:rsidRPr="00DF63A8">
        <w:rPr>
          <w:rFonts w:cs="Arial"/>
          <w:sz w:val="18"/>
        </w:rPr>
        <w:t>** The first administrative cycle may be longer than 12 months.</w:t>
      </w:r>
    </w:p>
    <w:p w14:paraId="10C515BC" w14:textId="77777777" w:rsidR="00DF63A8" w:rsidRPr="00DF63A8" w:rsidRDefault="00DF63A8" w:rsidP="00925E92">
      <w:pPr>
        <w:rPr>
          <w:rFonts w:cs="Arial"/>
        </w:rPr>
      </w:pPr>
      <w:r w:rsidRPr="00DF63A8">
        <w:rPr>
          <w:sz w:val="18"/>
        </w:rPr>
        <w:t>*** There is also provision in the Regulations for reduction days on 1 August and 1 December each year if required.</w:t>
      </w:r>
    </w:p>
    <w:p w14:paraId="73DF7E39" w14:textId="77777777" w:rsidR="00DF63A8" w:rsidRPr="00BB28F3" w:rsidRDefault="00DF63A8" w:rsidP="00893442">
      <w:pPr>
        <w:rPr>
          <w:b/>
          <w:bCs/>
          <w:iCs/>
          <w:color w:val="244061"/>
        </w:rPr>
      </w:pPr>
      <w:r w:rsidRPr="00BB28F3">
        <w:rPr>
          <w:b/>
          <w:bCs/>
          <w:iCs/>
          <w:color w:val="244061"/>
        </w:rPr>
        <w:t>Start day</w:t>
      </w:r>
    </w:p>
    <w:p w14:paraId="5FFA41FF" w14:textId="77777777" w:rsidR="00DF63A8" w:rsidRPr="00DF63A8" w:rsidRDefault="00DF63A8" w:rsidP="00925E92">
      <w:pPr>
        <w:rPr>
          <w:rFonts w:cs="Arial"/>
        </w:rPr>
      </w:pPr>
      <w:r w:rsidRPr="00DF63A8">
        <w:rPr>
          <w:rFonts w:cs="Arial"/>
        </w:rPr>
        <w:t xml:space="preserve">The start day for a brand of pharmaceutical item means the day on which the brand was first required to comply with the price disclosure requirements - the day the brand moved to F2, or was first listed on the PBS in F2.  </w:t>
      </w:r>
    </w:p>
    <w:p w14:paraId="1EC2C60E" w14:textId="77777777" w:rsidR="00DF63A8" w:rsidRPr="00BB28F3" w:rsidRDefault="00DF63A8" w:rsidP="00925E92">
      <w:pPr>
        <w:keepNext/>
        <w:keepLines/>
        <w:outlineLvl w:val="3"/>
        <w:rPr>
          <w:b/>
          <w:bCs/>
          <w:iCs/>
          <w:color w:val="244061"/>
        </w:rPr>
      </w:pPr>
      <w:r w:rsidRPr="00BB28F3">
        <w:rPr>
          <w:b/>
          <w:bCs/>
          <w:iCs/>
          <w:color w:val="244061"/>
        </w:rPr>
        <w:t xml:space="preserve">The Department </w:t>
      </w:r>
    </w:p>
    <w:p w14:paraId="3134C893" w14:textId="77777777" w:rsidR="00DF63A8" w:rsidRPr="00DF63A8" w:rsidRDefault="00DF63A8" w:rsidP="00893442">
      <w:pPr>
        <w:spacing w:after="120"/>
        <w:rPr>
          <w:rFonts w:cs="Arial"/>
        </w:rPr>
      </w:pPr>
      <w:r w:rsidRPr="00DF63A8">
        <w:rPr>
          <w:rFonts w:cs="Arial"/>
        </w:rPr>
        <w:t xml:space="preserve">The Commonwealth Department of Health. </w:t>
      </w:r>
    </w:p>
    <w:p w14:paraId="50FF7FCD" w14:textId="77777777" w:rsidR="00DF63A8" w:rsidRPr="00BB28F3" w:rsidRDefault="00DF63A8" w:rsidP="00667B33">
      <w:pPr>
        <w:keepNext/>
        <w:keepLines/>
        <w:outlineLvl w:val="3"/>
        <w:rPr>
          <w:rFonts w:cs="Arial"/>
          <w:b/>
          <w:bCs/>
          <w:iCs/>
          <w:color w:val="244061"/>
        </w:rPr>
      </w:pPr>
      <w:r w:rsidRPr="00BB28F3">
        <w:rPr>
          <w:rFonts w:cs="Arial"/>
          <w:b/>
          <w:bCs/>
          <w:iCs/>
          <w:color w:val="244061"/>
        </w:rPr>
        <w:t>Unadjusted Price Reduction – 10% test</w:t>
      </w:r>
    </w:p>
    <w:p w14:paraId="74D6B17D" w14:textId="77777777" w:rsidR="00DF63A8" w:rsidRPr="00DF63A8" w:rsidRDefault="00DF63A8" w:rsidP="00925E92">
      <w:r w:rsidRPr="00DF63A8">
        <w:t>This is the difference between:</w:t>
      </w:r>
    </w:p>
    <w:p w14:paraId="6B63F654" w14:textId="77777777" w:rsidR="00DF63A8" w:rsidRPr="00DF63A8" w:rsidRDefault="00DF63A8" w:rsidP="00B93854">
      <w:pPr>
        <w:numPr>
          <w:ilvl w:val="0"/>
          <w:numId w:val="13"/>
        </w:numPr>
        <w:contextualSpacing/>
      </w:pPr>
      <w:r w:rsidRPr="00DF63A8">
        <w:t>the applicable approved ex-manufacturer price of the brand of the pharmaceutical item (price on the relevant day – i.e., day after the end of the data collection period); and</w:t>
      </w:r>
    </w:p>
    <w:p w14:paraId="74EDE056" w14:textId="77777777" w:rsidR="00DF63A8" w:rsidRPr="00DF63A8" w:rsidRDefault="00DF63A8" w:rsidP="00B93854">
      <w:pPr>
        <w:numPr>
          <w:ilvl w:val="0"/>
          <w:numId w:val="13"/>
        </w:numPr>
        <w:contextualSpacing/>
      </w:pPr>
      <w:r w:rsidRPr="00DF63A8">
        <w:t>the weighted average disclosed price determined for the brand of the pharmaceutical item,</w:t>
      </w:r>
    </w:p>
    <w:p w14:paraId="64C42BC4" w14:textId="77777777" w:rsidR="00DF63A8" w:rsidRPr="00DF63A8" w:rsidRDefault="00DF63A8" w:rsidP="00925E92">
      <w:r w:rsidRPr="00DF63A8">
        <w:t>expressed as a percentage of the applicable approved ex-manufacturer price.</w:t>
      </w:r>
    </w:p>
    <w:p w14:paraId="54CFE707" w14:textId="77777777" w:rsidR="00DF63A8" w:rsidRPr="00BB28F3" w:rsidRDefault="00DF63A8" w:rsidP="00925E92">
      <w:pPr>
        <w:rPr>
          <w:b/>
          <w:bCs/>
          <w:iCs/>
          <w:color w:val="244061"/>
        </w:rPr>
      </w:pPr>
      <w:r w:rsidRPr="00DF63A8">
        <w:t xml:space="preserve">A price disclosure reduction occurs if the unadjusted price reduction is at least 10% (see subsection </w:t>
      </w:r>
      <w:r w:rsidR="00400D9E" w:rsidRPr="00DF63A8">
        <w:t>99ADH (</w:t>
      </w:r>
      <w:r w:rsidRPr="00DF63A8">
        <w:t>1</w:t>
      </w:r>
      <w:r w:rsidR="00400D9E" w:rsidRPr="00DF63A8">
        <w:t>) (</w:t>
      </w:r>
      <w:r w:rsidRPr="00DF63A8">
        <w:t>c) of the Act).</w:t>
      </w:r>
    </w:p>
    <w:p w14:paraId="46DED5CD" w14:textId="77777777" w:rsidR="00DF63A8" w:rsidRPr="00BB28F3" w:rsidRDefault="00DF63A8" w:rsidP="00925E92">
      <w:pPr>
        <w:keepNext/>
        <w:keepLines/>
        <w:outlineLvl w:val="3"/>
        <w:rPr>
          <w:b/>
          <w:bCs/>
          <w:iCs/>
          <w:color w:val="244061"/>
        </w:rPr>
      </w:pPr>
      <w:r w:rsidRPr="00BB28F3">
        <w:rPr>
          <w:rFonts w:cs="Arial"/>
          <w:b/>
          <w:bCs/>
          <w:iCs/>
          <w:color w:val="244061"/>
        </w:rPr>
        <w:t>Weighted Average Disclosed Price (</w:t>
      </w:r>
      <w:r w:rsidRPr="00BB28F3">
        <w:rPr>
          <w:b/>
          <w:bCs/>
          <w:iCs/>
          <w:color w:val="244061"/>
        </w:rPr>
        <w:t>WADP)</w:t>
      </w:r>
    </w:p>
    <w:p w14:paraId="6DBD06A4" w14:textId="77777777" w:rsidR="00DF63A8" w:rsidRPr="00DF63A8" w:rsidRDefault="00DF63A8" w:rsidP="00925E92">
      <w:pPr>
        <w:rPr>
          <w:rFonts w:cs="Arial"/>
        </w:rPr>
      </w:pPr>
      <w:r w:rsidRPr="00DF63A8">
        <w:rPr>
          <w:rFonts w:cs="Arial"/>
        </w:rPr>
        <w:t xml:space="preserve">Means the weighted average disclosed price </w:t>
      </w:r>
      <w:r w:rsidR="000E6685">
        <w:rPr>
          <w:rFonts w:cs="Arial"/>
        </w:rPr>
        <w:t xml:space="preserve">which may be </w:t>
      </w:r>
      <w:r w:rsidRPr="00DF63A8">
        <w:rPr>
          <w:rFonts w:cs="Arial"/>
        </w:rPr>
        <w:t xml:space="preserve">determined under the Act and Regulations. See subsection </w:t>
      </w:r>
      <w:r w:rsidR="00400D9E" w:rsidRPr="00DF63A8">
        <w:rPr>
          <w:rFonts w:cs="Arial"/>
        </w:rPr>
        <w:t>99ADB (</w:t>
      </w:r>
      <w:r w:rsidRPr="00DF63A8">
        <w:rPr>
          <w:rFonts w:cs="Arial"/>
        </w:rPr>
        <w:t xml:space="preserve">4) of the Act and Subdivision 2 of Part 6A of the Regulations. WADP determinations are publicly available on the </w:t>
      </w:r>
      <w:r w:rsidR="00FE7373">
        <w:rPr>
          <w:rFonts w:cs="Arial"/>
        </w:rPr>
        <w:t xml:space="preserve">Legislation </w:t>
      </w:r>
      <w:r w:rsidRPr="00DF63A8">
        <w:rPr>
          <w:rFonts w:cs="Arial"/>
        </w:rPr>
        <w:t xml:space="preserve">website: </w:t>
      </w:r>
      <w:r w:rsidR="00FE7373">
        <w:rPr>
          <w:rFonts w:cs="Arial"/>
        </w:rPr>
        <w:t xml:space="preserve"> </w:t>
      </w:r>
      <w:hyperlink r:id="rId49" w:history="1">
        <w:r w:rsidR="00FE7373" w:rsidRPr="00836B20">
          <w:rPr>
            <w:rStyle w:val="Hyperlink"/>
          </w:rPr>
          <w:t>www.legislation.gov.au</w:t>
        </w:r>
      </w:hyperlink>
    </w:p>
    <w:p w14:paraId="07B4B45F" w14:textId="77777777" w:rsidR="00DF63A8" w:rsidRPr="00DF63A8" w:rsidRDefault="00DF63A8" w:rsidP="00925E92">
      <w:pPr>
        <w:rPr>
          <w:rFonts w:cs="Arial"/>
          <w:sz w:val="18"/>
        </w:rPr>
      </w:pPr>
      <w:r w:rsidRPr="00DF63A8">
        <w:rPr>
          <w:rFonts w:cs="Arial"/>
        </w:rPr>
        <w:t xml:space="preserve">Where a reduction is required (i.e., 10% test is met), this price is </w:t>
      </w:r>
      <w:r w:rsidR="000E6685">
        <w:rPr>
          <w:rFonts w:cs="Arial"/>
        </w:rPr>
        <w:t xml:space="preserve">also </w:t>
      </w:r>
      <w:r w:rsidRPr="00DF63A8">
        <w:rPr>
          <w:rFonts w:cs="Arial"/>
        </w:rPr>
        <w:t xml:space="preserve">determined as the adjusted approved ex-manufacturer price, which generally becomes the new approved ex-manufacturer level price on reduction day*. </w:t>
      </w:r>
    </w:p>
    <w:p w14:paraId="3A785E7A" w14:textId="77777777" w:rsidR="00DF63A8" w:rsidRPr="00DF63A8" w:rsidRDefault="00DF63A8" w:rsidP="00925E92">
      <w:pPr>
        <w:rPr>
          <w:rFonts w:cs="Arial"/>
          <w:sz w:val="18"/>
        </w:rPr>
      </w:pPr>
      <w:r w:rsidRPr="00DF63A8">
        <w:rPr>
          <w:rFonts w:cs="Arial"/>
          <w:sz w:val="18"/>
        </w:rPr>
        <w:t>*A</w:t>
      </w:r>
      <w:r w:rsidRPr="00DF63A8">
        <w:rPr>
          <w:sz w:val="18"/>
        </w:rPr>
        <w:t>djustments may be required to this new price if there are other pricing or listing changes between the end of the data collection period and the reduction day.</w:t>
      </w:r>
    </w:p>
    <w:p w14:paraId="36CD507A" w14:textId="77777777" w:rsidR="00DF63A8" w:rsidRPr="00BB28F3" w:rsidRDefault="00DF63A8" w:rsidP="00925E92">
      <w:pPr>
        <w:keepNext/>
        <w:keepLines/>
        <w:outlineLvl w:val="3"/>
        <w:rPr>
          <w:b/>
          <w:bCs/>
          <w:iCs/>
          <w:color w:val="244061"/>
        </w:rPr>
      </w:pPr>
      <w:r w:rsidRPr="00BB28F3">
        <w:rPr>
          <w:rFonts w:cs="Arial"/>
          <w:b/>
          <w:bCs/>
          <w:iCs/>
          <w:color w:val="244061"/>
        </w:rPr>
        <w:lastRenderedPageBreak/>
        <w:t>Weighted Average Percentage Difference (</w:t>
      </w:r>
      <w:r w:rsidRPr="00BB28F3">
        <w:rPr>
          <w:b/>
          <w:bCs/>
          <w:iCs/>
          <w:color w:val="244061"/>
        </w:rPr>
        <w:t>WAPD)</w:t>
      </w:r>
    </w:p>
    <w:p w14:paraId="7D953035" w14:textId="77777777" w:rsidR="00DF63A8" w:rsidRPr="00DF63A8" w:rsidRDefault="00DF63A8" w:rsidP="00925E92">
      <w:pPr>
        <w:rPr>
          <w:rFonts w:cs="Arial"/>
        </w:rPr>
      </w:pPr>
      <w:r w:rsidRPr="00DF63A8">
        <w:rPr>
          <w:rFonts w:cs="Arial"/>
        </w:rPr>
        <w:t xml:space="preserve">The weighted average percentage difference is the percentage difference between the disclosed price and the average AEMP for either: </w:t>
      </w:r>
    </w:p>
    <w:p w14:paraId="5F6763ED" w14:textId="77777777" w:rsidR="00DF63A8" w:rsidRPr="00DF63A8" w:rsidRDefault="00DF63A8" w:rsidP="00925E92">
      <w:pPr>
        <w:ind w:left="720"/>
        <w:rPr>
          <w:rFonts w:cs="Arial"/>
        </w:rPr>
      </w:pPr>
      <w:r w:rsidRPr="00DF63A8">
        <w:rPr>
          <w:rFonts w:cs="Arial"/>
        </w:rPr>
        <w:t xml:space="preserve">a) all brands of a pharmaceutical item, or </w:t>
      </w:r>
    </w:p>
    <w:p w14:paraId="1C7172E9" w14:textId="77777777" w:rsidR="00DF63A8" w:rsidRPr="00DF63A8" w:rsidRDefault="00DF63A8" w:rsidP="00925E92">
      <w:pPr>
        <w:ind w:left="720"/>
        <w:rPr>
          <w:rFonts w:cs="Arial"/>
        </w:rPr>
      </w:pPr>
      <w:r w:rsidRPr="00DF63A8">
        <w:rPr>
          <w:rFonts w:cs="Arial"/>
        </w:rPr>
        <w:t xml:space="preserve">b) all brands of all pharmaceutical items containing a drug/MoA (i.e., related brands). </w:t>
      </w:r>
    </w:p>
    <w:p w14:paraId="47521921" w14:textId="77777777" w:rsidR="00DF63A8" w:rsidRDefault="00DF63A8" w:rsidP="00925E92">
      <w:pPr>
        <w:autoSpaceDE w:val="0"/>
        <w:autoSpaceDN w:val="0"/>
        <w:adjustRightInd w:val="0"/>
        <w:spacing w:line="240" w:lineRule="auto"/>
        <w:ind w:left="720"/>
        <w:rPr>
          <w:rFonts w:cs="Arial"/>
        </w:rPr>
      </w:pPr>
      <w:r w:rsidRPr="00DF63A8">
        <w:rPr>
          <w:rFonts w:cs="Arial"/>
        </w:rPr>
        <w:t xml:space="preserve">The drug/MoA level WAPD is published for each price disclosure cycle at </w:t>
      </w:r>
      <w:hyperlink r:id="rId50" w:history="1">
        <w:r w:rsidRPr="00BB28F3">
          <w:rPr>
            <w:color w:val="0000FF"/>
            <w:u w:val="single"/>
          </w:rPr>
          <w:t>www.pbs.gov.au/info/industry/pricing/price-disclosure-spd</w:t>
        </w:r>
      </w:hyperlink>
      <w:r w:rsidRPr="00DF63A8">
        <w:t xml:space="preserve">. See </w:t>
      </w:r>
      <w:r w:rsidRPr="00DF63A8">
        <w:rPr>
          <w:rFonts w:cs="Arial"/>
        </w:rPr>
        <w:t>regulation 37R of the Regulations. This is the percentage by which the Average AEMP for brands of each pharmaceutical item is reduced to arrive at the WADP for each brand.</w:t>
      </w:r>
    </w:p>
    <w:p w14:paraId="339AE194" w14:textId="77777777" w:rsidR="000E6685" w:rsidRDefault="000E6685" w:rsidP="00893442">
      <w:pPr>
        <w:autoSpaceDE w:val="0"/>
        <w:autoSpaceDN w:val="0"/>
        <w:adjustRightInd w:val="0"/>
        <w:spacing w:line="240" w:lineRule="auto"/>
        <w:rPr>
          <w:rFonts w:ascii="Times New Roman" w:hAnsi="Times New Roman"/>
          <w:b/>
          <w:sz w:val="24"/>
          <w:szCs w:val="24"/>
        </w:rPr>
      </w:pPr>
      <w:r>
        <w:rPr>
          <w:rFonts w:cs="Arial"/>
        </w:rPr>
        <w:t xml:space="preserve">Where a drug/MoA meets the 30 month clock/multi-branded criteria for originator brand removal, the WAPD will also be calculated using data for all brands except the originator brand.  However, originator brand data will still be used for a drug/MoA originator removal calculation where it is an ‘originator only’ pharmaceutical item.  See further information under the heading </w:t>
      </w:r>
      <w:r w:rsidRPr="00893442">
        <w:rPr>
          <w:rFonts w:cs="Arial"/>
          <w:b/>
        </w:rPr>
        <w:t>2016 October Cycle Onward - Removal of Originator Brand Data</w:t>
      </w:r>
      <w:r w:rsidRPr="00893442">
        <w:rPr>
          <w:rFonts w:cs="Arial"/>
        </w:rPr>
        <w:t xml:space="preserve"> </w:t>
      </w:r>
      <w:r w:rsidR="00E25402">
        <w:rPr>
          <w:rFonts w:cs="Arial"/>
        </w:rPr>
        <w:t xml:space="preserve">in the </w:t>
      </w:r>
      <w:r w:rsidR="00E25402">
        <w:rPr>
          <w:rFonts w:cs="Arial"/>
          <w:b/>
        </w:rPr>
        <w:t>C</w:t>
      </w:r>
      <w:r w:rsidR="00E25402" w:rsidRPr="00E25402">
        <w:rPr>
          <w:rFonts w:cs="Arial"/>
          <w:b/>
        </w:rPr>
        <w:t xml:space="preserve">alculation </w:t>
      </w:r>
      <w:r w:rsidR="00E25402">
        <w:rPr>
          <w:rFonts w:cs="Arial"/>
          <w:b/>
        </w:rPr>
        <w:t>S</w:t>
      </w:r>
      <w:r w:rsidR="00E25402" w:rsidRPr="00E25402">
        <w:rPr>
          <w:rFonts w:cs="Arial"/>
          <w:b/>
        </w:rPr>
        <w:t>ection</w:t>
      </w:r>
      <w:r w:rsidR="00E25402">
        <w:rPr>
          <w:rFonts w:cs="Arial"/>
        </w:rPr>
        <w:t xml:space="preserve"> </w:t>
      </w:r>
      <w:r w:rsidRPr="00893442">
        <w:rPr>
          <w:rFonts w:cs="Arial"/>
        </w:rPr>
        <w:t>above</w:t>
      </w:r>
      <w:r>
        <w:rPr>
          <w:rFonts w:cs="Arial"/>
        </w:rPr>
        <w:t>.</w:t>
      </w:r>
    </w:p>
    <w:p w14:paraId="57CCB565" w14:textId="77777777" w:rsidR="00B93854" w:rsidRPr="00893442" w:rsidRDefault="00B93854">
      <w:pPr>
        <w:spacing w:before="0" w:after="200"/>
        <w:rPr>
          <w:rFonts w:cs="Arial"/>
        </w:rPr>
      </w:pPr>
      <w:r>
        <w:rPr>
          <w:rFonts w:cs="Arial"/>
          <w:color w:val="00B0F0"/>
          <w:sz w:val="144"/>
          <w:szCs w:val="144"/>
        </w:rPr>
        <w:br w:type="page"/>
      </w:r>
    </w:p>
    <w:p w14:paraId="6357BA3B" w14:textId="77777777" w:rsidR="00B93854" w:rsidRDefault="00B93854" w:rsidP="00925E92">
      <w:pPr>
        <w:jc w:val="right"/>
        <w:rPr>
          <w:rFonts w:cs="Arial"/>
          <w:color w:val="00B0F0"/>
          <w:sz w:val="144"/>
          <w:szCs w:val="144"/>
        </w:rPr>
      </w:pPr>
    </w:p>
    <w:p w14:paraId="379061C5" w14:textId="77777777" w:rsidR="00B93854" w:rsidRDefault="00B93854" w:rsidP="00925E92">
      <w:pPr>
        <w:jc w:val="right"/>
        <w:rPr>
          <w:rFonts w:cs="Arial"/>
          <w:color w:val="00B0F0"/>
          <w:sz w:val="144"/>
          <w:szCs w:val="144"/>
        </w:rPr>
      </w:pPr>
    </w:p>
    <w:p w14:paraId="39039177" w14:textId="77777777" w:rsidR="007D6DEF" w:rsidRPr="006B6469" w:rsidRDefault="00DF63A8" w:rsidP="00925E92">
      <w:pPr>
        <w:jc w:val="right"/>
        <w:rPr>
          <w:rFonts w:cs="Arial"/>
          <w:color w:val="00B0F0"/>
          <w:sz w:val="144"/>
          <w:szCs w:val="144"/>
        </w:rPr>
      </w:pPr>
      <w:r>
        <w:rPr>
          <w:rFonts w:cs="Arial"/>
          <w:color w:val="00B0F0"/>
          <w:sz w:val="144"/>
          <w:szCs w:val="144"/>
        </w:rPr>
        <w:t>6</w:t>
      </w:r>
    </w:p>
    <w:p w14:paraId="58F06655" w14:textId="77777777" w:rsidR="00E6531F" w:rsidRPr="00EA4D2C" w:rsidRDefault="00F31DC4" w:rsidP="00925E92">
      <w:pPr>
        <w:pStyle w:val="Heading1"/>
        <w:spacing w:before="120"/>
        <w:rPr>
          <w:color w:val="365F91"/>
          <w:sz w:val="40"/>
          <w:szCs w:val="40"/>
        </w:rPr>
      </w:pPr>
      <w:bookmarkStart w:id="89" w:name="_Toc367914233"/>
      <w:bookmarkStart w:id="90" w:name="_Toc454283988"/>
      <w:r w:rsidRPr="00EA4D2C">
        <w:rPr>
          <w:color w:val="365F91"/>
          <w:sz w:val="40"/>
          <w:szCs w:val="40"/>
        </w:rPr>
        <w:t>Related Information</w:t>
      </w:r>
      <w:bookmarkEnd w:id="89"/>
      <w:bookmarkEnd w:id="90"/>
    </w:p>
    <w:p w14:paraId="1992BE7F" w14:textId="77777777" w:rsidR="005D35C4" w:rsidRPr="00A6421E" w:rsidRDefault="00E6531F" w:rsidP="0018413E">
      <w:pPr>
        <w:pStyle w:val="Heading2"/>
      </w:pPr>
      <w:r>
        <w:rPr>
          <w:rFonts w:cs="Arial"/>
          <w:b/>
          <w:sz w:val="24"/>
          <w:szCs w:val="24"/>
        </w:rPr>
        <w:br w:type="page"/>
      </w:r>
      <w:bookmarkStart w:id="91" w:name="_Toc367914234"/>
      <w:bookmarkStart w:id="92" w:name="_Toc454283989"/>
      <w:r w:rsidR="00F31DC4" w:rsidRPr="00A6421E">
        <w:lastRenderedPageBreak/>
        <w:t>Where to go for further information</w:t>
      </w:r>
      <w:bookmarkEnd w:id="91"/>
      <w:bookmarkEnd w:id="92"/>
      <w:r w:rsidR="00F31DC4" w:rsidRPr="00A6421E">
        <w:t xml:space="preserve"> </w:t>
      </w:r>
    </w:p>
    <w:p w14:paraId="2DA2CC07" w14:textId="77777777" w:rsidR="005D35C4" w:rsidRPr="007D6DEF" w:rsidRDefault="005F7F4A" w:rsidP="00B93854">
      <w:pPr>
        <w:pStyle w:val="ListParagraph"/>
        <w:numPr>
          <w:ilvl w:val="0"/>
          <w:numId w:val="5"/>
        </w:numPr>
        <w:tabs>
          <w:tab w:val="left" w:pos="1134"/>
        </w:tabs>
        <w:ind w:left="1135" w:hanging="284"/>
        <w:contextualSpacing w:val="0"/>
        <w:rPr>
          <w:rFonts w:cs="Arial"/>
        </w:rPr>
      </w:pPr>
      <w:r>
        <w:rPr>
          <w:rFonts w:cs="Arial"/>
        </w:rPr>
        <w:t xml:space="preserve">The </w:t>
      </w:r>
      <w:r w:rsidR="0082631C" w:rsidRPr="00DA3EA2">
        <w:rPr>
          <w:rFonts w:cs="Arial"/>
          <w:i/>
        </w:rPr>
        <w:t xml:space="preserve">National Health (Pharmaceutical Benefits) </w:t>
      </w:r>
      <w:r w:rsidR="00F31DC4" w:rsidRPr="00DA3EA2">
        <w:rPr>
          <w:rFonts w:cs="Arial"/>
          <w:i/>
        </w:rPr>
        <w:t>Regulations</w:t>
      </w:r>
      <w:r w:rsidR="0082631C" w:rsidRPr="00DA3EA2">
        <w:rPr>
          <w:rFonts w:cs="Arial"/>
          <w:i/>
        </w:rPr>
        <w:t xml:space="preserve"> 1960</w:t>
      </w:r>
      <w:r w:rsidR="00F31DC4" w:rsidRPr="007D6DEF">
        <w:rPr>
          <w:rFonts w:cs="Arial"/>
        </w:rPr>
        <w:t xml:space="preserve"> and </w:t>
      </w:r>
      <w:r w:rsidR="0082631C">
        <w:rPr>
          <w:rFonts w:cs="Arial"/>
        </w:rPr>
        <w:t xml:space="preserve">the Weighted Average Disclosed Price </w:t>
      </w:r>
      <w:r w:rsidR="00F31DC4" w:rsidRPr="007D6DEF">
        <w:rPr>
          <w:rFonts w:cs="Arial"/>
        </w:rPr>
        <w:t xml:space="preserve">Determinations: </w:t>
      </w:r>
      <w:hyperlink r:id="rId51" w:history="1">
        <w:r w:rsidR="00435B24" w:rsidRPr="00435B24">
          <w:rPr>
            <w:rStyle w:val="Hyperlink"/>
          </w:rPr>
          <w:t>www.legislation.gov.au</w:t>
        </w:r>
      </w:hyperlink>
      <w:r w:rsidR="00F31DC4" w:rsidRPr="007D6DEF">
        <w:rPr>
          <w:rFonts w:cs="Arial"/>
        </w:rPr>
        <w:t xml:space="preserve"> </w:t>
      </w:r>
    </w:p>
    <w:p w14:paraId="597A03BB" w14:textId="77777777" w:rsidR="005D35C4" w:rsidRPr="00B2585A" w:rsidRDefault="00F31DC4" w:rsidP="00893442">
      <w:pPr>
        <w:pStyle w:val="ListParagraph"/>
        <w:numPr>
          <w:ilvl w:val="1"/>
          <w:numId w:val="5"/>
        </w:numPr>
        <w:tabs>
          <w:tab w:val="left" w:pos="1134"/>
        </w:tabs>
        <w:contextualSpacing w:val="0"/>
        <w:rPr>
          <w:rFonts w:cs="Arial"/>
        </w:rPr>
      </w:pPr>
      <w:r w:rsidRPr="00B2585A">
        <w:rPr>
          <w:rFonts w:cs="Arial"/>
        </w:rPr>
        <w:t xml:space="preserve">The </w:t>
      </w:r>
      <w:r w:rsidRPr="004E68A0">
        <w:rPr>
          <w:rFonts w:cs="Arial"/>
        </w:rPr>
        <w:t>National Health Act 1953</w:t>
      </w:r>
      <w:r w:rsidRPr="00B2585A">
        <w:rPr>
          <w:rFonts w:cs="Arial"/>
        </w:rPr>
        <w:t xml:space="preserve">: </w:t>
      </w:r>
      <w:r w:rsidR="00435B24" w:rsidRPr="00435B24">
        <w:t>www.legislation.gov.au/Details/C2016C00527</w:t>
      </w:r>
      <w:r w:rsidR="00435B24" w:rsidRPr="00435B24" w:rsidDel="00435B24">
        <w:t xml:space="preserve"> </w:t>
      </w:r>
      <w:r w:rsidR="006E6BE5" w:rsidRPr="00B2585A">
        <w:rPr>
          <w:rFonts w:cs="Arial"/>
        </w:rPr>
        <w:t>or</w:t>
      </w:r>
      <w:r w:rsidR="00B2585A">
        <w:rPr>
          <w:rFonts w:cs="Arial"/>
        </w:rPr>
        <w:t xml:space="preserve"> </w:t>
      </w:r>
      <w:hyperlink r:id="rId52" w:history="1">
        <w:r w:rsidR="00435B24" w:rsidRPr="00435B24">
          <w:rPr>
            <w:rStyle w:val="Hyperlink"/>
          </w:rPr>
          <w:t>www.</w:t>
        </w:r>
        <w:r w:rsidR="00435B24" w:rsidRPr="000C5D1A">
          <w:rPr>
            <w:rStyle w:val="Hyperlink"/>
          </w:rPr>
          <w:t>legislation</w:t>
        </w:r>
        <w:r w:rsidR="00435B24" w:rsidRPr="00FF351D">
          <w:rPr>
            <w:rStyle w:val="Hyperlink"/>
          </w:rPr>
          <w:t>.gov.au</w:t>
        </w:r>
      </w:hyperlink>
      <w:r w:rsidRPr="00B2585A">
        <w:rPr>
          <w:rFonts w:cs="Arial"/>
        </w:rPr>
        <w:t xml:space="preserve"> </w:t>
      </w:r>
    </w:p>
    <w:p w14:paraId="38EDF8F2" w14:textId="77777777" w:rsidR="00E66094" w:rsidRPr="00947F6E" w:rsidRDefault="00F31DC4" w:rsidP="00B93854">
      <w:pPr>
        <w:pStyle w:val="ListParagraph"/>
        <w:numPr>
          <w:ilvl w:val="0"/>
          <w:numId w:val="5"/>
        </w:numPr>
        <w:tabs>
          <w:tab w:val="left" w:pos="1134"/>
        </w:tabs>
        <w:ind w:left="1135" w:hanging="284"/>
        <w:contextualSpacing w:val="0"/>
        <w:rPr>
          <w:rStyle w:val="Hyperlink"/>
          <w:rFonts w:cs="Arial"/>
          <w:color w:val="auto"/>
          <w:u w:val="none"/>
        </w:rPr>
      </w:pPr>
      <w:r w:rsidRPr="007D6DEF">
        <w:rPr>
          <w:rFonts w:cs="Arial"/>
        </w:rPr>
        <w:t>Pharmaceutical Benefits Scheme (PBS) website</w:t>
      </w:r>
      <w:r w:rsidR="004E68A0">
        <w:rPr>
          <w:rFonts w:cs="Arial"/>
        </w:rPr>
        <w:t xml:space="preserve"> price disclosure page</w:t>
      </w:r>
      <w:r w:rsidRPr="007D6DEF">
        <w:rPr>
          <w:rFonts w:cs="Arial"/>
        </w:rPr>
        <w:t xml:space="preserve">: </w:t>
      </w:r>
      <w:hyperlink r:id="rId53" w:history="1">
        <w:r w:rsidR="00FE7373" w:rsidRPr="00836B20">
          <w:rPr>
            <w:rStyle w:val="Hyperlink"/>
          </w:rPr>
          <w:t>www.pbs.gov.au/info/industry/pricing/price-disclosure-spd</w:t>
        </w:r>
      </w:hyperlink>
    </w:p>
    <w:p w14:paraId="1C7437DB" w14:textId="77777777" w:rsidR="00947F6E" w:rsidRPr="000B186E" w:rsidRDefault="00947F6E" w:rsidP="00925E92">
      <w:pPr>
        <w:pStyle w:val="ListParagraph"/>
        <w:tabs>
          <w:tab w:val="left" w:pos="1134"/>
        </w:tabs>
        <w:ind w:left="1135"/>
        <w:contextualSpacing w:val="0"/>
        <w:rPr>
          <w:rFonts w:cs="Arial"/>
        </w:rPr>
      </w:pPr>
    </w:p>
    <w:p w14:paraId="318F7B2A" w14:textId="77777777" w:rsidR="00947F6E" w:rsidRPr="00A6421E" w:rsidRDefault="00947F6E" w:rsidP="00925E92">
      <w:pPr>
        <w:pStyle w:val="Heading2"/>
        <w:spacing w:before="120"/>
      </w:pPr>
      <w:bookmarkStart w:id="93" w:name="_Toc454283990"/>
      <w:r w:rsidRPr="00A6421E">
        <w:t>Contact Details</w:t>
      </w:r>
      <w:bookmarkEnd w:id="93"/>
      <w:r w:rsidRPr="00A6421E">
        <w:t xml:space="preserve"> </w:t>
      </w:r>
    </w:p>
    <w:p w14:paraId="6874D358" w14:textId="77777777" w:rsidR="005D35C4" w:rsidRPr="00455FDF" w:rsidRDefault="00F31DC4" w:rsidP="00925E92">
      <w:pPr>
        <w:pStyle w:val="Heading4"/>
        <w:spacing w:before="120"/>
      </w:pPr>
      <w:bookmarkStart w:id="94" w:name="_Toc367914235"/>
      <w:r w:rsidRPr="00455FDF">
        <w:t>Contacting the PDDA</w:t>
      </w:r>
      <w:bookmarkEnd w:id="94"/>
      <w:r w:rsidRPr="00455FDF">
        <w:t xml:space="preserve"> </w:t>
      </w:r>
    </w:p>
    <w:p w14:paraId="64DCD60C" w14:textId="77777777" w:rsidR="005D35C4" w:rsidRPr="007D6DEF" w:rsidRDefault="00F31DC4" w:rsidP="00925E92">
      <w:pPr>
        <w:rPr>
          <w:rFonts w:cs="Arial"/>
        </w:rPr>
      </w:pPr>
      <w:r w:rsidRPr="007D6DEF">
        <w:rPr>
          <w:rFonts w:cs="Arial"/>
        </w:rPr>
        <w:t xml:space="preserve">Email: </w:t>
      </w:r>
      <w:hyperlink r:id="rId54" w:history="1">
        <w:r w:rsidRPr="007D6DEF">
          <w:rPr>
            <w:rStyle w:val="Hyperlink"/>
            <w:rFonts w:cs="Arial"/>
          </w:rPr>
          <w:t>admin@pricedisclosure.com.au</w:t>
        </w:r>
      </w:hyperlink>
      <w:r w:rsidRPr="007D6DEF">
        <w:rPr>
          <w:rFonts w:cs="Arial"/>
        </w:rPr>
        <w:t xml:space="preserve"> </w:t>
      </w:r>
    </w:p>
    <w:p w14:paraId="070C669A" w14:textId="77777777" w:rsidR="005D35C4" w:rsidRPr="00383A1C" w:rsidRDefault="00F31DC4" w:rsidP="00925E92">
      <w:pPr>
        <w:rPr>
          <w:rFonts w:ascii="Times New Roman" w:hAnsi="Times New Roman"/>
          <w:sz w:val="24"/>
          <w:szCs w:val="24"/>
        </w:rPr>
      </w:pPr>
      <w:r w:rsidRPr="007D6DEF">
        <w:rPr>
          <w:rFonts w:cs="Arial"/>
        </w:rPr>
        <w:t>Telephone: 1300 336 062</w:t>
      </w:r>
      <w:r w:rsidRPr="00383A1C">
        <w:rPr>
          <w:rFonts w:ascii="Times New Roman" w:hAnsi="Times New Roman"/>
          <w:sz w:val="24"/>
          <w:szCs w:val="24"/>
        </w:rPr>
        <w:t xml:space="preserve"> </w:t>
      </w:r>
    </w:p>
    <w:p w14:paraId="01C8C611" w14:textId="77777777" w:rsidR="005D35C4" w:rsidRPr="00455FDF" w:rsidRDefault="00F31DC4" w:rsidP="00925E92">
      <w:pPr>
        <w:pStyle w:val="Heading4"/>
        <w:spacing w:before="120"/>
      </w:pPr>
      <w:bookmarkStart w:id="95" w:name="_Toc367914236"/>
      <w:r w:rsidRPr="00455FDF">
        <w:t>Contacting the Department</w:t>
      </w:r>
      <w:bookmarkEnd w:id="95"/>
      <w:r w:rsidRPr="00455FDF">
        <w:t xml:space="preserve"> </w:t>
      </w:r>
    </w:p>
    <w:p w14:paraId="0E631C6C" w14:textId="77777777" w:rsidR="005D35C4" w:rsidRPr="007D6DEF" w:rsidRDefault="00F31DC4" w:rsidP="00925E92">
      <w:pPr>
        <w:rPr>
          <w:rFonts w:cs="Arial"/>
        </w:rPr>
      </w:pPr>
      <w:r w:rsidRPr="007D6DEF">
        <w:rPr>
          <w:rFonts w:cs="Arial"/>
        </w:rPr>
        <w:t xml:space="preserve">Email: </w:t>
      </w:r>
      <w:hyperlink r:id="rId55" w:history="1">
        <w:r w:rsidR="00C55484">
          <w:rPr>
            <w:rStyle w:val="Hyperlink"/>
            <w:rFonts w:cs="Arial"/>
          </w:rPr>
          <w:t>pricedisclosure</w:t>
        </w:r>
        <w:r w:rsidR="00C55484" w:rsidRPr="007D6DEF">
          <w:rPr>
            <w:rStyle w:val="Hyperlink"/>
            <w:rFonts w:cs="Arial"/>
          </w:rPr>
          <w:t>@health.gov.au</w:t>
        </w:r>
      </w:hyperlink>
      <w:r w:rsidRPr="007D6DEF">
        <w:rPr>
          <w:rFonts w:cs="Arial"/>
        </w:rPr>
        <w:t xml:space="preserve"> </w:t>
      </w:r>
    </w:p>
    <w:p w14:paraId="0B460F17" w14:textId="77777777" w:rsidR="005D35C4" w:rsidRPr="007D6DEF" w:rsidRDefault="00583F65" w:rsidP="00925E92">
      <w:pPr>
        <w:rPr>
          <w:rFonts w:cs="Arial"/>
        </w:rPr>
      </w:pPr>
      <w:r w:rsidRPr="007D6DEF">
        <w:rPr>
          <w:rFonts w:cs="Arial"/>
        </w:rPr>
        <w:t>Telephone: (02) 6289 2303</w:t>
      </w:r>
    </w:p>
    <w:sectPr w:rsidR="005D35C4" w:rsidRPr="007D6DEF" w:rsidSect="00CF45DE">
      <w:headerReference w:type="default" r:id="rId56"/>
      <w:footerReference w:type="default" r:id="rId57"/>
      <w:pgSz w:w="11907" w:h="16839" w:code="9"/>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A5C5E" w14:textId="77777777" w:rsidR="002B65C4" w:rsidRDefault="002B65C4" w:rsidP="00741812">
      <w:pPr>
        <w:spacing w:before="0" w:line="240" w:lineRule="auto"/>
      </w:pPr>
      <w:r>
        <w:separator/>
      </w:r>
    </w:p>
  </w:endnote>
  <w:endnote w:type="continuationSeparator" w:id="0">
    <w:p w14:paraId="631425ED" w14:textId="77777777" w:rsidR="002B65C4" w:rsidRDefault="002B65C4" w:rsidP="007418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1304" w14:textId="77777777" w:rsidR="002B65C4" w:rsidRPr="00741812" w:rsidRDefault="002B65C4" w:rsidP="00741812">
    <w:pPr>
      <w:rPr>
        <w:rFonts w:cs="Arial"/>
        <w:sz w:val="20"/>
        <w:szCs w:val="20"/>
      </w:rPr>
    </w:pPr>
    <w:r>
      <w:rPr>
        <w:rFonts w:cs="Arial"/>
        <w:sz w:val="20"/>
        <w:szCs w:val="20"/>
      </w:rPr>
      <w:t xml:space="preserve">Price Disclosure </w:t>
    </w:r>
    <w:r w:rsidRPr="00741812">
      <w:rPr>
        <w:rFonts w:cs="Arial"/>
        <w:sz w:val="20"/>
        <w:szCs w:val="20"/>
      </w:rPr>
      <w:t>Procedural and Operational Guidelines</w:t>
    </w:r>
    <w:r>
      <w:rPr>
        <w:rFonts w:cs="Arial"/>
        <w:sz w:val="20"/>
        <w:szCs w:val="20"/>
      </w:rPr>
      <w:tab/>
    </w:r>
    <w:r>
      <w:rPr>
        <w:rFonts w:cs="Arial"/>
        <w:sz w:val="20"/>
        <w:szCs w:val="20"/>
      </w:rPr>
      <w:tab/>
    </w:r>
    <w:r>
      <w:rPr>
        <w:rFonts w:cs="Arial"/>
        <w:sz w:val="20"/>
        <w:szCs w:val="20"/>
      </w:rPr>
      <w:tab/>
    </w:r>
    <w:r w:rsidRPr="00741812">
      <w:rPr>
        <w:rFonts w:cs="Arial"/>
        <w:sz w:val="20"/>
        <w:szCs w:val="20"/>
      </w:rPr>
      <w:t xml:space="preserve">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D763F3">
      <w:rPr>
        <w:rFonts w:cs="Arial"/>
        <w:noProof/>
        <w:sz w:val="20"/>
        <w:szCs w:val="20"/>
      </w:rPr>
      <w:t>2</w:t>
    </w:r>
    <w:r w:rsidRPr="00741812">
      <w:rPr>
        <w:rFonts w:cs="Arial"/>
        <w:noProof/>
        <w:sz w:val="20"/>
        <w:szCs w:val="20"/>
      </w:rPr>
      <w:fldChar w:fldCharType="end"/>
    </w:r>
  </w:p>
  <w:p w14:paraId="5CC3703F" w14:textId="77777777" w:rsidR="002B65C4" w:rsidRDefault="002B65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13F8" w14:textId="77777777" w:rsidR="002B65C4" w:rsidRPr="00741812" w:rsidRDefault="002B65C4" w:rsidP="004E4CC8">
    <w:pPr>
      <w:rPr>
        <w:rFonts w:cs="Arial"/>
        <w:sz w:val="20"/>
        <w:szCs w:val="20"/>
      </w:rPr>
    </w:pPr>
    <w:r>
      <w:rPr>
        <w:rFonts w:cs="Arial"/>
        <w:sz w:val="20"/>
        <w:szCs w:val="20"/>
      </w:rPr>
      <w:t xml:space="preserve">Price Disclosure </w:t>
    </w:r>
    <w:r w:rsidRPr="00741812">
      <w:rPr>
        <w:rFonts w:cs="Arial"/>
        <w:sz w:val="20"/>
        <w:szCs w:val="20"/>
      </w:rPr>
      <w:t>Procedural and Operational Guidelines</w:t>
    </w:r>
    <w:r>
      <w:rPr>
        <w:rFonts w:cs="Arial"/>
        <w:sz w:val="20"/>
        <w:szCs w:val="20"/>
      </w:rPr>
      <w:tab/>
    </w:r>
    <w:r>
      <w:rPr>
        <w:rFonts w:cs="Arial"/>
        <w:sz w:val="20"/>
        <w:szCs w:val="20"/>
      </w:rPr>
      <w:tab/>
    </w:r>
    <w:r>
      <w:rPr>
        <w:rFonts w:cs="Arial"/>
        <w:sz w:val="20"/>
        <w:szCs w:val="20"/>
      </w:rPr>
      <w:tab/>
    </w:r>
    <w:r w:rsidRPr="00741812">
      <w:rPr>
        <w:rFonts w:cs="Arial"/>
        <w:sz w:val="20"/>
        <w:szCs w:val="20"/>
      </w:rPr>
      <w:t xml:space="preserve">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D763F3">
      <w:rPr>
        <w:rFonts w:cs="Arial"/>
        <w:noProof/>
        <w:sz w:val="20"/>
        <w:szCs w:val="20"/>
      </w:rPr>
      <w:t>36</w:t>
    </w:r>
    <w:r w:rsidRPr="00741812">
      <w:rPr>
        <w:rFonts w:cs="Arial"/>
        <w:noProof/>
        <w:sz w:val="20"/>
        <w:szCs w:val="20"/>
      </w:rPr>
      <w:fldChar w:fldCharType="end"/>
    </w:r>
  </w:p>
  <w:p w14:paraId="6E440096" w14:textId="77777777" w:rsidR="002B65C4" w:rsidRDefault="002B6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E513" w14:textId="77777777" w:rsidR="002B65C4" w:rsidRPr="00741812" w:rsidRDefault="002B65C4" w:rsidP="00741812">
    <w:pPr>
      <w:rPr>
        <w:rFonts w:cs="Arial"/>
        <w:sz w:val="20"/>
        <w:szCs w:val="20"/>
      </w:rPr>
    </w:pPr>
    <w:r>
      <w:rPr>
        <w:rFonts w:cs="Arial"/>
        <w:sz w:val="20"/>
        <w:szCs w:val="20"/>
      </w:rPr>
      <w:t xml:space="preserve">Price Disclosure </w:t>
    </w:r>
    <w:r w:rsidRPr="00741812">
      <w:rPr>
        <w:rFonts w:cs="Arial"/>
        <w:sz w:val="20"/>
        <w:szCs w:val="20"/>
      </w:rPr>
      <w:t>Procedural and Operational Guidelines</w:t>
    </w:r>
    <w:r>
      <w:rPr>
        <w:rFonts w:cs="Arial"/>
        <w:sz w:val="20"/>
        <w:szCs w:val="20"/>
      </w:rPr>
      <w:tab/>
    </w:r>
    <w:r>
      <w:rPr>
        <w:rFonts w:cs="Arial"/>
        <w:sz w:val="20"/>
        <w:szCs w:val="20"/>
      </w:rPr>
      <w:tab/>
    </w:r>
    <w:r>
      <w:rPr>
        <w:rFonts w:cs="Arial"/>
        <w:sz w:val="20"/>
        <w:szCs w:val="20"/>
      </w:rPr>
      <w:tab/>
    </w:r>
    <w:r w:rsidRPr="00741812">
      <w:rPr>
        <w:rFonts w:cs="Arial"/>
        <w:sz w:val="20"/>
        <w:szCs w:val="20"/>
      </w:rPr>
      <w:t xml:space="preserve">Department of Health | </w:t>
    </w:r>
    <w:r w:rsidRPr="00741812">
      <w:rPr>
        <w:rFonts w:cs="Arial"/>
        <w:sz w:val="20"/>
        <w:szCs w:val="20"/>
      </w:rPr>
      <w:fldChar w:fldCharType="begin"/>
    </w:r>
    <w:r w:rsidRPr="00741812">
      <w:rPr>
        <w:rFonts w:cs="Arial"/>
        <w:sz w:val="20"/>
        <w:szCs w:val="20"/>
      </w:rPr>
      <w:instrText xml:space="preserve"> PAGE   \* MERGEFORMAT </w:instrText>
    </w:r>
    <w:r w:rsidRPr="00741812">
      <w:rPr>
        <w:rFonts w:cs="Arial"/>
        <w:sz w:val="20"/>
        <w:szCs w:val="20"/>
      </w:rPr>
      <w:fldChar w:fldCharType="separate"/>
    </w:r>
    <w:r w:rsidR="00D763F3">
      <w:rPr>
        <w:rFonts w:cs="Arial"/>
        <w:noProof/>
        <w:sz w:val="20"/>
        <w:szCs w:val="20"/>
      </w:rPr>
      <w:t>62</w:t>
    </w:r>
    <w:r w:rsidRPr="00741812">
      <w:rPr>
        <w:rFonts w:cs="Arial"/>
        <w:noProof/>
        <w:sz w:val="20"/>
        <w:szCs w:val="20"/>
      </w:rPr>
      <w:fldChar w:fldCharType="end"/>
    </w:r>
  </w:p>
  <w:p w14:paraId="7202D9B3" w14:textId="77777777" w:rsidR="002B65C4" w:rsidRDefault="002B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A429A" w14:textId="77777777" w:rsidR="002B65C4" w:rsidRDefault="002B65C4" w:rsidP="00741812">
      <w:pPr>
        <w:spacing w:before="0" w:line="240" w:lineRule="auto"/>
      </w:pPr>
      <w:r>
        <w:separator/>
      </w:r>
    </w:p>
  </w:footnote>
  <w:footnote w:type="continuationSeparator" w:id="0">
    <w:p w14:paraId="529AD04F" w14:textId="77777777" w:rsidR="002B65C4" w:rsidRDefault="002B65C4" w:rsidP="0074181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C02B9" w14:textId="77777777" w:rsidR="002B65C4" w:rsidRDefault="002B65C4" w:rsidP="004E4CC8">
    <w:pPr>
      <w:pStyle w:val="Header"/>
    </w:pPr>
    <w:r w:rsidRPr="00FA1785">
      <w:rPr>
        <w:color w:val="002060"/>
      </w:rPr>
      <w:t>______________________________________________________________________</w:t>
    </w:r>
    <w:r>
      <w:rPr>
        <w:color w:val="002060"/>
      </w:rPr>
      <w:t>___</w:t>
    </w:r>
  </w:p>
  <w:p w14:paraId="7AB16279" w14:textId="77777777" w:rsidR="002B65C4" w:rsidRDefault="002B6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582D" w14:textId="77777777" w:rsidR="002B65C4" w:rsidRDefault="002B65C4" w:rsidP="00D56AD5">
    <w:pPr>
      <w:pStyle w:val="Header"/>
      <w:ind w:firstLine="7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74ECE" w14:textId="77777777" w:rsidR="002B65C4" w:rsidRDefault="002B65C4">
    <w:pPr>
      <w:pStyle w:val="Header"/>
    </w:pPr>
    <w:r w:rsidRPr="00FA1785">
      <w:rPr>
        <w:color w:val="002060"/>
      </w:rPr>
      <w:t>______________________________________________________________________</w:t>
    </w:r>
    <w:r>
      <w:rPr>
        <w:color w:val="002060"/>
      </w:rPr>
      <w:t>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BC262DC"/>
    <w:lvl w:ilvl="0">
      <w:numFmt w:val="bullet"/>
      <w:lvlText w:val="*"/>
      <w:lvlJc w:val="left"/>
    </w:lvl>
  </w:abstractNum>
  <w:abstractNum w:abstractNumId="1" w15:restartNumberingAfterBreak="0">
    <w:nsid w:val="003346EA"/>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 w15:restartNumberingAfterBreak="0">
    <w:nsid w:val="00B41F50"/>
    <w:multiLevelType w:val="multilevel"/>
    <w:tmpl w:val="F87EA812"/>
    <w:styleLink w:val="Style3"/>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D025EC"/>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4" w15:restartNumberingAfterBreak="0">
    <w:nsid w:val="04416C47"/>
    <w:multiLevelType w:val="hybridMultilevel"/>
    <w:tmpl w:val="A8A43328"/>
    <w:lvl w:ilvl="0" w:tplc="02945A74">
      <w:start w:val="1"/>
      <w:numFmt w:val="decimal"/>
      <w:lvlText w:val="%1."/>
      <w:lvlJc w:val="left"/>
      <w:pPr>
        <w:ind w:left="720" w:hanging="360"/>
      </w:pPr>
      <w:rPr>
        <w:rFonts w:ascii="Arial" w:hAnsi="Arial" w:cs="Arial" w:hint="default"/>
        <w:sz w:val="22"/>
        <w:szCs w:val="2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4E27912"/>
    <w:multiLevelType w:val="hybridMultilevel"/>
    <w:tmpl w:val="B94AE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5345C15"/>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7" w15:restartNumberingAfterBreak="0">
    <w:nsid w:val="0761429C"/>
    <w:multiLevelType w:val="hybridMultilevel"/>
    <w:tmpl w:val="5A8AF6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6C3B3E"/>
    <w:multiLevelType w:val="multilevel"/>
    <w:tmpl w:val="0AE6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440753"/>
    <w:multiLevelType w:val="hybridMultilevel"/>
    <w:tmpl w:val="C82A8AB0"/>
    <w:lvl w:ilvl="0" w:tplc="41A4AB94">
      <w:start w:val="1"/>
      <w:numFmt w:val="bullet"/>
      <w:lvlText w:val=""/>
      <w:lvlJc w:val="left"/>
      <w:pPr>
        <w:ind w:left="360" w:hanging="360"/>
      </w:pPr>
      <w:rPr>
        <w:rFonts w:ascii="Symbol" w:hAnsi="Symbol" w:hint="default"/>
      </w:rPr>
    </w:lvl>
    <w:lvl w:ilvl="1" w:tplc="D4E60542">
      <w:start w:val="1"/>
      <w:numFmt w:val="bullet"/>
      <w:lvlText w:val=""/>
      <w:lvlJc w:val="left"/>
      <w:pPr>
        <w:ind w:left="1080" w:hanging="360"/>
      </w:pPr>
      <w:rPr>
        <w:rFonts w:ascii="Symbol" w:hAnsi="Symbol" w:hint="default"/>
      </w:rPr>
    </w:lvl>
    <w:lvl w:ilvl="2" w:tplc="27044850" w:tentative="1">
      <w:start w:val="1"/>
      <w:numFmt w:val="bullet"/>
      <w:lvlText w:val=""/>
      <w:lvlJc w:val="left"/>
      <w:pPr>
        <w:ind w:left="1800" w:hanging="360"/>
      </w:pPr>
      <w:rPr>
        <w:rFonts w:ascii="Wingdings" w:hAnsi="Wingdings" w:hint="default"/>
      </w:rPr>
    </w:lvl>
    <w:lvl w:ilvl="3" w:tplc="96D0250E" w:tentative="1">
      <w:start w:val="1"/>
      <w:numFmt w:val="bullet"/>
      <w:lvlText w:val=""/>
      <w:lvlJc w:val="left"/>
      <w:pPr>
        <w:ind w:left="2520" w:hanging="360"/>
      </w:pPr>
      <w:rPr>
        <w:rFonts w:ascii="Symbol" w:hAnsi="Symbol" w:hint="default"/>
      </w:rPr>
    </w:lvl>
    <w:lvl w:ilvl="4" w:tplc="CFBAA67A" w:tentative="1">
      <w:start w:val="1"/>
      <w:numFmt w:val="bullet"/>
      <w:lvlText w:val="o"/>
      <w:lvlJc w:val="left"/>
      <w:pPr>
        <w:ind w:left="3240" w:hanging="360"/>
      </w:pPr>
      <w:rPr>
        <w:rFonts w:ascii="Courier New" w:hAnsi="Courier New" w:cs="Courier New" w:hint="default"/>
      </w:rPr>
    </w:lvl>
    <w:lvl w:ilvl="5" w:tplc="35C04D8C" w:tentative="1">
      <w:start w:val="1"/>
      <w:numFmt w:val="bullet"/>
      <w:lvlText w:val=""/>
      <w:lvlJc w:val="left"/>
      <w:pPr>
        <w:ind w:left="3960" w:hanging="360"/>
      </w:pPr>
      <w:rPr>
        <w:rFonts w:ascii="Wingdings" w:hAnsi="Wingdings" w:hint="default"/>
      </w:rPr>
    </w:lvl>
    <w:lvl w:ilvl="6" w:tplc="762ABB26" w:tentative="1">
      <w:start w:val="1"/>
      <w:numFmt w:val="bullet"/>
      <w:lvlText w:val=""/>
      <w:lvlJc w:val="left"/>
      <w:pPr>
        <w:ind w:left="4680" w:hanging="360"/>
      </w:pPr>
      <w:rPr>
        <w:rFonts w:ascii="Symbol" w:hAnsi="Symbol" w:hint="default"/>
      </w:rPr>
    </w:lvl>
    <w:lvl w:ilvl="7" w:tplc="4EF0B880" w:tentative="1">
      <w:start w:val="1"/>
      <w:numFmt w:val="bullet"/>
      <w:lvlText w:val="o"/>
      <w:lvlJc w:val="left"/>
      <w:pPr>
        <w:ind w:left="5400" w:hanging="360"/>
      </w:pPr>
      <w:rPr>
        <w:rFonts w:ascii="Courier New" w:hAnsi="Courier New" w:cs="Courier New" w:hint="default"/>
      </w:rPr>
    </w:lvl>
    <w:lvl w:ilvl="8" w:tplc="A412B890" w:tentative="1">
      <w:start w:val="1"/>
      <w:numFmt w:val="bullet"/>
      <w:lvlText w:val=""/>
      <w:lvlJc w:val="left"/>
      <w:pPr>
        <w:ind w:left="6120" w:hanging="360"/>
      </w:pPr>
      <w:rPr>
        <w:rFonts w:ascii="Wingdings" w:hAnsi="Wingdings" w:hint="default"/>
      </w:rPr>
    </w:lvl>
  </w:abstractNum>
  <w:abstractNum w:abstractNumId="10" w15:restartNumberingAfterBreak="0">
    <w:nsid w:val="10DA3196"/>
    <w:multiLevelType w:val="hybridMultilevel"/>
    <w:tmpl w:val="157A2D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141B726B"/>
    <w:multiLevelType w:val="multilevel"/>
    <w:tmpl w:val="75B62992"/>
    <w:lvl w:ilvl="0">
      <w:start w:val="100"/>
      <w:numFmt w:val="decimal"/>
      <w:suff w:val="space"/>
      <w:lvlText w:val="%1."/>
      <w:lvlJc w:val="left"/>
      <w:pPr>
        <w:ind w:left="680" w:hanging="187"/>
      </w:pPr>
      <w:rPr>
        <w:rFonts w:ascii="Arial" w:hAnsi="Arial" w:cs="Arial" w:hint="default"/>
        <w:b w:val="0"/>
        <w:color w:val="auto"/>
        <w:sz w:val="22"/>
        <w:szCs w:val="22"/>
      </w:rPr>
    </w:lvl>
    <w:lvl w:ilvl="1">
      <w:start w:val="1"/>
      <w:numFmt w:val="bullet"/>
      <w:lvlText w:val=""/>
      <w:lvlJc w:val="left"/>
      <w:pPr>
        <w:ind w:left="1224" w:hanging="187"/>
      </w:pPr>
      <w:rPr>
        <w:rFonts w:ascii="Symbol" w:hAnsi="Symbol" w:hint="default"/>
        <w:color w:val="auto"/>
      </w:rPr>
    </w:lvl>
    <w:lvl w:ilvl="2">
      <w:start w:val="1"/>
      <w:numFmt w:val="lowerRoman"/>
      <w:lvlText w:val="%3."/>
      <w:lvlJc w:val="right"/>
      <w:pPr>
        <w:ind w:left="1768" w:hanging="187"/>
      </w:pPr>
      <w:rPr>
        <w:rFonts w:hint="default"/>
      </w:rPr>
    </w:lvl>
    <w:lvl w:ilvl="3">
      <w:start w:val="1"/>
      <w:numFmt w:val="decimal"/>
      <w:lvlText w:val="%4."/>
      <w:lvlJc w:val="left"/>
      <w:pPr>
        <w:ind w:left="2312" w:hanging="187"/>
      </w:pPr>
      <w:rPr>
        <w:rFonts w:hint="default"/>
      </w:rPr>
    </w:lvl>
    <w:lvl w:ilvl="4">
      <w:start w:val="1"/>
      <w:numFmt w:val="lowerLetter"/>
      <w:lvlText w:val="%5."/>
      <w:lvlJc w:val="left"/>
      <w:pPr>
        <w:ind w:left="2856" w:hanging="187"/>
      </w:pPr>
      <w:rPr>
        <w:rFonts w:hint="default"/>
      </w:rPr>
    </w:lvl>
    <w:lvl w:ilvl="5">
      <w:start w:val="1"/>
      <w:numFmt w:val="lowerRoman"/>
      <w:lvlText w:val="%6."/>
      <w:lvlJc w:val="right"/>
      <w:pPr>
        <w:ind w:left="3400" w:hanging="187"/>
      </w:pPr>
      <w:rPr>
        <w:rFonts w:hint="default"/>
      </w:rPr>
    </w:lvl>
    <w:lvl w:ilvl="6">
      <w:start w:val="1"/>
      <w:numFmt w:val="decimal"/>
      <w:lvlText w:val="%7."/>
      <w:lvlJc w:val="left"/>
      <w:pPr>
        <w:ind w:left="3944" w:hanging="187"/>
      </w:pPr>
      <w:rPr>
        <w:rFonts w:hint="default"/>
      </w:rPr>
    </w:lvl>
    <w:lvl w:ilvl="7">
      <w:start w:val="1"/>
      <w:numFmt w:val="lowerLetter"/>
      <w:lvlText w:val="%8."/>
      <w:lvlJc w:val="left"/>
      <w:pPr>
        <w:ind w:left="4488" w:hanging="187"/>
      </w:pPr>
      <w:rPr>
        <w:rFonts w:hint="default"/>
      </w:rPr>
    </w:lvl>
    <w:lvl w:ilvl="8">
      <w:start w:val="1"/>
      <w:numFmt w:val="lowerRoman"/>
      <w:lvlText w:val="%9."/>
      <w:lvlJc w:val="right"/>
      <w:pPr>
        <w:ind w:left="5032" w:hanging="187"/>
      </w:pPr>
      <w:rPr>
        <w:rFonts w:hint="default"/>
      </w:rPr>
    </w:lvl>
  </w:abstractNum>
  <w:abstractNum w:abstractNumId="12" w15:restartNumberingAfterBreak="0">
    <w:nsid w:val="17781EBA"/>
    <w:multiLevelType w:val="multilevel"/>
    <w:tmpl w:val="3190B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D67067"/>
    <w:multiLevelType w:val="multilevel"/>
    <w:tmpl w:val="0C09001D"/>
    <w:styleLink w:val="Style5"/>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4171C3"/>
    <w:multiLevelType w:val="hybridMultilevel"/>
    <w:tmpl w:val="107000BE"/>
    <w:lvl w:ilvl="0" w:tplc="FFFFFFFF">
      <w:start w:val="1"/>
      <w:numFmt w:val="decimal"/>
      <w:lvlText w:val="%1."/>
      <w:lvlJc w:val="left"/>
      <w:pPr>
        <w:ind w:left="720" w:hanging="360"/>
      </w:pPr>
      <w:rPr>
        <w:rFonts w:ascii="Arial" w:hAnsi="Arial" w:cs="Arial" w:hint="default"/>
        <w:b w:val="0"/>
        <w:color w:val="auto"/>
        <w:sz w:val="22"/>
        <w:szCs w:val="22"/>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24319E5"/>
    <w:multiLevelType w:val="hybridMultilevel"/>
    <w:tmpl w:val="3526602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23425954"/>
    <w:multiLevelType w:val="hybridMultilevel"/>
    <w:tmpl w:val="0C66031E"/>
    <w:lvl w:ilvl="0" w:tplc="0C090017">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7" w15:restartNumberingAfterBreak="0">
    <w:nsid w:val="28B435FA"/>
    <w:multiLevelType w:val="multilevel"/>
    <w:tmpl w:val="3F1EBB48"/>
    <w:numStyleLink w:val="Style4"/>
  </w:abstractNum>
  <w:abstractNum w:abstractNumId="18" w15:restartNumberingAfterBreak="0">
    <w:nsid w:val="29461711"/>
    <w:multiLevelType w:val="hybridMultilevel"/>
    <w:tmpl w:val="5EFA310E"/>
    <w:lvl w:ilvl="0" w:tplc="CFAEE15E">
      <w:start w:val="1"/>
      <w:numFmt w:val="bullet"/>
      <w:lvlText w:val=""/>
      <w:lvlJc w:val="left"/>
      <w:pPr>
        <w:ind w:left="815" w:hanging="360"/>
      </w:pPr>
      <w:rPr>
        <w:rFonts w:ascii="Symbol" w:hAnsi="Symbol" w:hint="default"/>
      </w:rPr>
    </w:lvl>
    <w:lvl w:ilvl="1" w:tplc="0C090019" w:tentative="1">
      <w:start w:val="1"/>
      <w:numFmt w:val="bullet"/>
      <w:lvlText w:val="o"/>
      <w:lvlJc w:val="left"/>
      <w:pPr>
        <w:ind w:left="1535" w:hanging="360"/>
      </w:pPr>
      <w:rPr>
        <w:rFonts w:ascii="Courier New" w:hAnsi="Courier New" w:cs="Courier New" w:hint="default"/>
      </w:rPr>
    </w:lvl>
    <w:lvl w:ilvl="2" w:tplc="0C09001B" w:tentative="1">
      <w:start w:val="1"/>
      <w:numFmt w:val="bullet"/>
      <w:lvlText w:val=""/>
      <w:lvlJc w:val="left"/>
      <w:pPr>
        <w:ind w:left="2255" w:hanging="360"/>
      </w:pPr>
      <w:rPr>
        <w:rFonts w:ascii="Wingdings" w:hAnsi="Wingdings" w:hint="default"/>
      </w:rPr>
    </w:lvl>
    <w:lvl w:ilvl="3" w:tplc="0C09000F" w:tentative="1">
      <w:start w:val="1"/>
      <w:numFmt w:val="bullet"/>
      <w:lvlText w:val=""/>
      <w:lvlJc w:val="left"/>
      <w:pPr>
        <w:ind w:left="2975" w:hanging="360"/>
      </w:pPr>
      <w:rPr>
        <w:rFonts w:ascii="Symbol" w:hAnsi="Symbol" w:hint="default"/>
      </w:rPr>
    </w:lvl>
    <w:lvl w:ilvl="4" w:tplc="0C090019" w:tentative="1">
      <w:start w:val="1"/>
      <w:numFmt w:val="bullet"/>
      <w:lvlText w:val="o"/>
      <w:lvlJc w:val="left"/>
      <w:pPr>
        <w:ind w:left="3695" w:hanging="360"/>
      </w:pPr>
      <w:rPr>
        <w:rFonts w:ascii="Courier New" w:hAnsi="Courier New" w:cs="Courier New" w:hint="default"/>
      </w:rPr>
    </w:lvl>
    <w:lvl w:ilvl="5" w:tplc="0C09001B" w:tentative="1">
      <w:start w:val="1"/>
      <w:numFmt w:val="bullet"/>
      <w:lvlText w:val=""/>
      <w:lvlJc w:val="left"/>
      <w:pPr>
        <w:ind w:left="4415" w:hanging="360"/>
      </w:pPr>
      <w:rPr>
        <w:rFonts w:ascii="Wingdings" w:hAnsi="Wingdings" w:hint="default"/>
      </w:rPr>
    </w:lvl>
    <w:lvl w:ilvl="6" w:tplc="0C09000F" w:tentative="1">
      <w:start w:val="1"/>
      <w:numFmt w:val="bullet"/>
      <w:lvlText w:val=""/>
      <w:lvlJc w:val="left"/>
      <w:pPr>
        <w:ind w:left="5135" w:hanging="360"/>
      </w:pPr>
      <w:rPr>
        <w:rFonts w:ascii="Symbol" w:hAnsi="Symbol" w:hint="default"/>
      </w:rPr>
    </w:lvl>
    <w:lvl w:ilvl="7" w:tplc="0C090019" w:tentative="1">
      <w:start w:val="1"/>
      <w:numFmt w:val="bullet"/>
      <w:lvlText w:val="o"/>
      <w:lvlJc w:val="left"/>
      <w:pPr>
        <w:ind w:left="5855" w:hanging="360"/>
      </w:pPr>
      <w:rPr>
        <w:rFonts w:ascii="Courier New" w:hAnsi="Courier New" w:cs="Courier New" w:hint="default"/>
      </w:rPr>
    </w:lvl>
    <w:lvl w:ilvl="8" w:tplc="0C09001B" w:tentative="1">
      <w:start w:val="1"/>
      <w:numFmt w:val="bullet"/>
      <w:lvlText w:val=""/>
      <w:lvlJc w:val="left"/>
      <w:pPr>
        <w:ind w:left="6575" w:hanging="360"/>
      </w:pPr>
      <w:rPr>
        <w:rFonts w:ascii="Wingdings" w:hAnsi="Wingdings" w:hint="default"/>
      </w:rPr>
    </w:lvl>
  </w:abstractNum>
  <w:abstractNum w:abstractNumId="19" w15:restartNumberingAfterBreak="0">
    <w:nsid w:val="2D9F6DFE"/>
    <w:multiLevelType w:val="hybridMultilevel"/>
    <w:tmpl w:val="19E4C9D0"/>
    <w:lvl w:ilvl="0" w:tplc="0C090001">
      <w:start w:val="1"/>
      <w:numFmt w:val="decimal"/>
      <w:lvlText w:val="%1."/>
      <w:lvlJc w:val="left"/>
      <w:pPr>
        <w:ind w:left="720" w:hanging="360"/>
      </w:pPr>
      <w:rPr>
        <w:rFonts w:ascii="Arial" w:hAnsi="Arial" w:cs="Arial" w:hint="default"/>
        <w:b w:val="0"/>
        <w:color w:val="auto"/>
        <w:sz w:val="22"/>
        <w:szCs w:val="22"/>
      </w:rPr>
    </w:lvl>
    <w:lvl w:ilvl="1" w:tplc="0C090003">
      <w:start w:val="1"/>
      <w:numFmt w:val="bullet"/>
      <w:lvlText w:val=""/>
      <w:lvlJc w:val="left"/>
      <w:pPr>
        <w:ind w:left="1440" w:hanging="360"/>
      </w:pPr>
      <w:rPr>
        <w:rFonts w:ascii="Wingdings" w:hAnsi="Wingdings" w:hint="default"/>
      </w:r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2E6B7814"/>
    <w:multiLevelType w:val="multilevel"/>
    <w:tmpl w:val="9F0657B2"/>
    <w:lvl w:ilvl="0">
      <w:start w:val="1"/>
      <w:numFmt w:val="decimal"/>
      <w:suff w:val="space"/>
      <w:lvlText w:val="%1."/>
      <w:lvlJc w:val="left"/>
      <w:pPr>
        <w:ind w:left="680" w:hanging="323"/>
      </w:pPr>
      <w:rPr>
        <w:rFonts w:hint="default"/>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1" w15:restartNumberingAfterBreak="0">
    <w:nsid w:val="2E774CE2"/>
    <w:multiLevelType w:val="hybridMultilevel"/>
    <w:tmpl w:val="B03A2232"/>
    <w:lvl w:ilvl="0" w:tplc="5EAA19CC">
      <w:start w:val="1"/>
      <w:numFmt w:val="bullet"/>
      <w:lvlText w:val=""/>
      <w:lvlJc w:val="left"/>
      <w:pPr>
        <w:ind w:left="404" w:hanging="360"/>
      </w:pPr>
      <w:rPr>
        <w:rFonts w:ascii="Wingdings" w:hAnsi="Wingdings" w:hint="default"/>
      </w:rPr>
    </w:lvl>
    <w:lvl w:ilvl="1" w:tplc="0C090005">
      <w:numFmt w:val="bullet"/>
      <w:lvlText w:val="-"/>
      <w:lvlJc w:val="left"/>
      <w:pPr>
        <w:ind w:left="1124" w:hanging="360"/>
      </w:pPr>
      <w:rPr>
        <w:rFonts w:ascii="Arial" w:eastAsia="Times New Roman" w:hAnsi="Arial" w:cs="Arial" w:hint="default"/>
      </w:rPr>
    </w:lvl>
    <w:lvl w:ilvl="2" w:tplc="0C09001B" w:tentative="1">
      <w:start w:val="1"/>
      <w:numFmt w:val="bullet"/>
      <w:lvlText w:val=""/>
      <w:lvlJc w:val="left"/>
      <w:pPr>
        <w:ind w:left="1844" w:hanging="360"/>
      </w:pPr>
      <w:rPr>
        <w:rFonts w:ascii="Wingdings" w:hAnsi="Wingdings" w:hint="default"/>
      </w:rPr>
    </w:lvl>
    <w:lvl w:ilvl="3" w:tplc="0C09000F" w:tentative="1">
      <w:start w:val="1"/>
      <w:numFmt w:val="bullet"/>
      <w:lvlText w:val=""/>
      <w:lvlJc w:val="left"/>
      <w:pPr>
        <w:ind w:left="2564" w:hanging="360"/>
      </w:pPr>
      <w:rPr>
        <w:rFonts w:ascii="Symbol" w:hAnsi="Symbol" w:hint="default"/>
      </w:rPr>
    </w:lvl>
    <w:lvl w:ilvl="4" w:tplc="0C090019" w:tentative="1">
      <w:start w:val="1"/>
      <w:numFmt w:val="bullet"/>
      <w:lvlText w:val="o"/>
      <w:lvlJc w:val="left"/>
      <w:pPr>
        <w:ind w:left="3284" w:hanging="360"/>
      </w:pPr>
      <w:rPr>
        <w:rFonts w:ascii="Courier New" w:hAnsi="Courier New" w:cs="Courier New" w:hint="default"/>
      </w:rPr>
    </w:lvl>
    <w:lvl w:ilvl="5" w:tplc="0C09001B" w:tentative="1">
      <w:start w:val="1"/>
      <w:numFmt w:val="bullet"/>
      <w:lvlText w:val=""/>
      <w:lvlJc w:val="left"/>
      <w:pPr>
        <w:ind w:left="4004" w:hanging="360"/>
      </w:pPr>
      <w:rPr>
        <w:rFonts w:ascii="Wingdings" w:hAnsi="Wingdings" w:hint="default"/>
      </w:rPr>
    </w:lvl>
    <w:lvl w:ilvl="6" w:tplc="0C09000F" w:tentative="1">
      <w:start w:val="1"/>
      <w:numFmt w:val="bullet"/>
      <w:lvlText w:val=""/>
      <w:lvlJc w:val="left"/>
      <w:pPr>
        <w:ind w:left="4724" w:hanging="360"/>
      </w:pPr>
      <w:rPr>
        <w:rFonts w:ascii="Symbol" w:hAnsi="Symbol" w:hint="default"/>
      </w:rPr>
    </w:lvl>
    <w:lvl w:ilvl="7" w:tplc="0C090019" w:tentative="1">
      <w:start w:val="1"/>
      <w:numFmt w:val="bullet"/>
      <w:lvlText w:val="o"/>
      <w:lvlJc w:val="left"/>
      <w:pPr>
        <w:ind w:left="5444" w:hanging="360"/>
      </w:pPr>
      <w:rPr>
        <w:rFonts w:ascii="Courier New" w:hAnsi="Courier New" w:cs="Courier New" w:hint="default"/>
      </w:rPr>
    </w:lvl>
    <w:lvl w:ilvl="8" w:tplc="0C09001B" w:tentative="1">
      <w:start w:val="1"/>
      <w:numFmt w:val="bullet"/>
      <w:lvlText w:val=""/>
      <w:lvlJc w:val="left"/>
      <w:pPr>
        <w:ind w:left="6164" w:hanging="360"/>
      </w:pPr>
      <w:rPr>
        <w:rFonts w:ascii="Wingdings" w:hAnsi="Wingdings" w:hint="default"/>
      </w:rPr>
    </w:lvl>
  </w:abstractNum>
  <w:abstractNum w:abstractNumId="22" w15:restartNumberingAfterBreak="0">
    <w:nsid w:val="340C6868"/>
    <w:multiLevelType w:val="hybridMultilevel"/>
    <w:tmpl w:val="0FDE2CAC"/>
    <w:lvl w:ilvl="0" w:tplc="0FE6508A">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15:restartNumberingAfterBreak="0">
    <w:nsid w:val="37C8352C"/>
    <w:multiLevelType w:val="multilevel"/>
    <w:tmpl w:val="9F0657B2"/>
    <w:lvl w:ilvl="0">
      <w:start w:val="1"/>
      <w:numFmt w:val="decimal"/>
      <w:suff w:val="space"/>
      <w:lvlText w:val="%1."/>
      <w:lvlJc w:val="left"/>
      <w:pPr>
        <w:ind w:left="680" w:hanging="323"/>
      </w:pPr>
      <w:rPr>
        <w:rFonts w:hint="default"/>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4" w15:restartNumberingAfterBreak="0">
    <w:nsid w:val="3A6566FB"/>
    <w:multiLevelType w:val="hybridMultilevel"/>
    <w:tmpl w:val="03ECEFCE"/>
    <w:lvl w:ilvl="0" w:tplc="47D2994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D860FFC"/>
    <w:multiLevelType w:val="multilevel"/>
    <w:tmpl w:val="525E2FA6"/>
    <w:lvl w:ilvl="0">
      <w:start w:val="122"/>
      <w:numFmt w:val="decimal"/>
      <w:suff w:val="space"/>
      <w:lvlText w:val="%1."/>
      <w:lvlJc w:val="left"/>
      <w:pPr>
        <w:ind w:left="680" w:hanging="323"/>
      </w:pPr>
      <w:rPr>
        <w:rFonts w:ascii="Arial" w:hAnsi="Arial" w:cs="Arial"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26" w15:restartNumberingAfterBreak="0">
    <w:nsid w:val="42AA323D"/>
    <w:multiLevelType w:val="hybridMultilevel"/>
    <w:tmpl w:val="FDFC7A90"/>
    <w:lvl w:ilvl="0" w:tplc="0C090001">
      <w:start w:val="1"/>
      <w:numFmt w:val="bullet"/>
      <w:lvlText w:val=""/>
      <w:lvlJc w:val="left"/>
      <w:pPr>
        <w:ind w:left="1757" w:hanging="360"/>
      </w:pPr>
      <w:rPr>
        <w:rFonts w:ascii="Symbol" w:hAnsi="Symbol" w:hint="default"/>
      </w:rPr>
    </w:lvl>
    <w:lvl w:ilvl="1" w:tplc="0C090003" w:tentative="1">
      <w:start w:val="1"/>
      <w:numFmt w:val="bullet"/>
      <w:lvlText w:val="o"/>
      <w:lvlJc w:val="left"/>
      <w:pPr>
        <w:ind w:left="2477" w:hanging="360"/>
      </w:pPr>
      <w:rPr>
        <w:rFonts w:ascii="Courier New" w:hAnsi="Courier New" w:cs="Courier New" w:hint="default"/>
      </w:rPr>
    </w:lvl>
    <w:lvl w:ilvl="2" w:tplc="0C090005" w:tentative="1">
      <w:start w:val="1"/>
      <w:numFmt w:val="bullet"/>
      <w:lvlText w:val=""/>
      <w:lvlJc w:val="left"/>
      <w:pPr>
        <w:ind w:left="3197" w:hanging="360"/>
      </w:pPr>
      <w:rPr>
        <w:rFonts w:ascii="Wingdings" w:hAnsi="Wingdings" w:hint="default"/>
      </w:rPr>
    </w:lvl>
    <w:lvl w:ilvl="3" w:tplc="0C090001" w:tentative="1">
      <w:start w:val="1"/>
      <w:numFmt w:val="bullet"/>
      <w:lvlText w:val=""/>
      <w:lvlJc w:val="left"/>
      <w:pPr>
        <w:ind w:left="3917" w:hanging="360"/>
      </w:pPr>
      <w:rPr>
        <w:rFonts w:ascii="Symbol" w:hAnsi="Symbol" w:hint="default"/>
      </w:rPr>
    </w:lvl>
    <w:lvl w:ilvl="4" w:tplc="0C090003" w:tentative="1">
      <w:start w:val="1"/>
      <w:numFmt w:val="bullet"/>
      <w:lvlText w:val="o"/>
      <w:lvlJc w:val="left"/>
      <w:pPr>
        <w:ind w:left="4637" w:hanging="360"/>
      </w:pPr>
      <w:rPr>
        <w:rFonts w:ascii="Courier New" w:hAnsi="Courier New" w:cs="Courier New" w:hint="default"/>
      </w:rPr>
    </w:lvl>
    <w:lvl w:ilvl="5" w:tplc="0C090005" w:tentative="1">
      <w:start w:val="1"/>
      <w:numFmt w:val="bullet"/>
      <w:lvlText w:val=""/>
      <w:lvlJc w:val="left"/>
      <w:pPr>
        <w:ind w:left="5357" w:hanging="360"/>
      </w:pPr>
      <w:rPr>
        <w:rFonts w:ascii="Wingdings" w:hAnsi="Wingdings" w:hint="default"/>
      </w:rPr>
    </w:lvl>
    <w:lvl w:ilvl="6" w:tplc="0C090001" w:tentative="1">
      <w:start w:val="1"/>
      <w:numFmt w:val="bullet"/>
      <w:lvlText w:val=""/>
      <w:lvlJc w:val="left"/>
      <w:pPr>
        <w:ind w:left="6077" w:hanging="360"/>
      </w:pPr>
      <w:rPr>
        <w:rFonts w:ascii="Symbol" w:hAnsi="Symbol" w:hint="default"/>
      </w:rPr>
    </w:lvl>
    <w:lvl w:ilvl="7" w:tplc="0C090003" w:tentative="1">
      <w:start w:val="1"/>
      <w:numFmt w:val="bullet"/>
      <w:lvlText w:val="o"/>
      <w:lvlJc w:val="left"/>
      <w:pPr>
        <w:ind w:left="6797" w:hanging="360"/>
      </w:pPr>
      <w:rPr>
        <w:rFonts w:ascii="Courier New" w:hAnsi="Courier New" w:cs="Courier New" w:hint="default"/>
      </w:rPr>
    </w:lvl>
    <w:lvl w:ilvl="8" w:tplc="0C090005" w:tentative="1">
      <w:start w:val="1"/>
      <w:numFmt w:val="bullet"/>
      <w:lvlText w:val=""/>
      <w:lvlJc w:val="left"/>
      <w:pPr>
        <w:ind w:left="7517" w:hanging="360"/>
      </w:pPr>
      <w:rPr>
        <w:rFonts w:ascii="Wingdings" w:hAnsi="Wingdings" w:hint="default"/>
      </w:rPr>
    </w:lvl>
  </w:abstractNum>
  <w:abstractNum w:abstractNumId="27" w15:restartNumberingAfterBreak="0">
    <w:nsid w:val="43BF3568"/>
    <w:multiLevelType w:val="hybridMultilevel"/>
    <w:tmpl w:val="0AE2D0D8"/>
    <w:lvl w:ilvl="0" w:tplc="0C09000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A06842"/>
    <w:multiLevelType w:val="hybridMultilevel"/>
    <w:tmpl w:val="6E6CBF18"/>
    <w:lvl w:ilvl="0" w:tplc="0C090019">
      <w:start w:val="1"/>
      <w:numFmt w:val="bullet"/>
      <w:lvlText w:val=""/>
      <w:lvlJc w:val="left"/>
      <w:pPr>
        <w:ind w:left="720" w:hanging="360"/>
      </w:pPr>
      <w:rPr>
        <w:rFonts w:ascii="Wingdings" w:hAnsi="Wingding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9" w15:restartNumberingAfterBreak="0">
    <w:nsid w:val="44F93941"/>
    <w:multiLevelType w:val="hybridMultilevel"/>
    <w:tmpl w:val="03ECEFCE"/>
    <w:lvl w:ilvl="0" w:tplc="0C090001">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0" w15:restartNumberingAfterBreak="0">
    <w:nsid w:val="45033AA5"/>
    <w:multiLevelType w:val="multilevel"/>
    <w:tmpl w:val="0C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F2201DA"/>
    <w:multiLevelType w:val="multilevel"/>
    <w:tmpl w:val="F87EA812"/>
    <w:numStyleLink w:val="Style3"/>
  </w:abstractNum>
  <w:abstractNum w:abstractNumId="32" w15:restartNumberingAfterBreak="0">
    <w:nsid w:val="50482D50"/>
    <w:multiLevelType w:val="multilevel"/>
    <w:tmpl w:val="9F0657B2"/>
    <w:lvl w:ilvl="0">
      <w:start w:val="1"/>
      <w:numFmt w:val="decimal"/>
      <w:suff w:val="space"/>
      <w:lvlText w:val="%1."/>
      <w:lvlJc w:val="left"/>
      <w:pPr>
        <w:ind w:left="680" w:hanging="323"/>
      </w:pPr>
      <w:rPr>
        <w:rFonts w:hint="default"/>
        <w:b w:val="0"/>
        <w:color w:val="auto"/>
        <w:sz w:val="22"/>
        <w:szCs w:val="22"/>
      </w:rPr>
    </w:lvl>
    <w:lvl w:ilvl="1">
      <w:start w:val="1"/>
      <w:numFmt w:val="bullet"/>
      <w:lvlText w:val=""/>
      <w:lvlJc w:val="left"/>
      <w:pPr>
        <w:ind w:left="1360" w:hanging="323"/>
      </w:pPr>
      <w:rPr>
        <w:rFonts w:ascii="Symbol" w:hAnsi="Symbol" w:hint="default"/>
        <w:color w:val="auto"/>
      </w:rPr>
    </w:lvl>
    <w:lvl w:ilvl="2">
      <w:start w:val="1"/>
      <w:numFmt w:val="lowerRoman"/>
      <w:lvlText w:val="%3."/>
      <w:lvlJc w:val="right"/>
      <w:pPr>
        <w:ind w:left="2040" w:hanging="323"/>
      </w:pPr>
      <w:rPr>
        <w:rFonts w:hint="default"/>
        <w:color w:val="auto"/>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33" w15:restartNumberingAfterBreak="0">
    <w:nsid w:val="50F934DB"/>
    <w:multiLevelType w:val="hybridMultilevel"/>
    <w:tmpl w:val="EB000778"/>
    <w:lvl w:ilvl="0" w:tplc="0C09001B">
      <w:start w:val="1"/>
      <w:numFmt w:val="lowerRoman"/>
      <w:lvlText w:val="%1."/>
      <w:lvlJc w:val="righ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4" w15:restartNumberingAfterBreak="0">
    <w:nsid w:val="518D64B3"/>
    <w:multiLevelType w:val="multilevel"/>
    <w:tmpl w:val="EB4AFE64"/>
    <w:lvl w:ilvl="0">
      <w:start w:val="1"/>
      <w:numFmt w:val="decimal"/>
      <w:lvlText w:val="%1."/>
      <w:lvlJc w:val="left"/>
      <w:pPr>
        <w:tabs>
          <w:tab w:val="num" w:pos="1304"/>
        </w:tabs>
        <w:ind w:left="1304" w:hanging="867"/>
      </w:pPr>
      <w:rPr>
        <w:rFonts w:hint="default"/>
        <w:color w:val="auto"/>
        <w:sz w:val="22"/>
        <w:szCs w:val="22"/>
      </w:rPr>
    </w:lvl>
    <w:lvl w:ilvl="1">
      <w:start w:val="1"/>
      <w:numFmt w:val="lowerLetter"/>
      <w:lvlText w:val="%2)"/>
      <w:lvlJc w:val="left"/>
      <w:pPr>
        <w:ind w:left="1360" w:hanging="323"/>
      </w:pPr>
      <w:rPr>
        <w:rFonts w:hint="default"/>
        <w:color w:val="auto"/>
      </w:rPr>
    </w:lvl>
    <w:lvl w:ilvl="2">
      <w:start w:val="1"/>
      <w:numFmt w:val="lowerRoman"/>
      <w:lvlText w:val="%3."/>
      <w:lvlJc w:val="right"/>
      <w:pPr>
        <w:ind w:left="2040" w:hanging="323"/>
      </w:pPr>
      <w:rPr>
        <w:rFonts w:hint="default"/>
      </w:rPr>
    </w:lvl>
    <w:lvl w:ilvl="3">
      <w:start w:val="1"/>
      <w:numFmt w:val="decimal"/>
      <w:lvlText w:val="%4."/>
      <w:lvlJc w:val="left"/>
      <w:pPr>
        <w:ind w:left="2720" w:hanging="323"/>
      </w:pPr>
      <w:rPr>
        <w:rFonts w:hint="default"/>
      </w:rPr>
    </w:lvl>
    <w:lvl w:ilvl="4">
      <w:start w:val="1"/>
      <w:numFmt w:val="lowerLetter"/>
      <w:lvlText w:val="%5."/>
      <w:lvlJc w:val="left"/>
      <w:pPr>
        <w:ind w:left="3400" w:hanging="323"/>
      </w:pPr>
      <w:rPr>
        <w:rFonts w:hint="default"/>
      </w:rPr>
    </w:lvl>
    <w:lvl w:ilvl="5">
      <w:start w:val="1"/>
      <w:numFmt w:val="lowerRoman"/>
      <w:lvlText w:val="%6."/>
      <w:lvlJc w:val="right"/>
      <w:pPr>
        <w:ind w:left="4080" w:hanging="323"/>
      </w:pPr>
      <w:rPr>
        <w:rFonts w:hint="default"/>
      </w:rPr>
    </w:lvl>
    <w:lvl w:ilvl="6">
      <w:start w:val="1"/>
      <w:numFmt w:val="decimal"/>
      <w:lvlText w:val="%7."/>
      <w:lvlJc w:val="left"/>
      <w:pPr>
        <w:ind w:left="4760" w:hanging="323"/>
      </w:pPr>
      <w:rPr>
        <w:rFonts w:hint="default"/>
      </w:rPr>
    </w:lvl>
    <w:lvl w:ilvl="7">
      <w:start w:val="1"/>
      <w:numFmt w:val="lowerLetter"/>
      <w:lvlText w:val="%8."/>
      <w:lvlJc w:val="left"/>
      <w:pPr>
        <w:ind w:left="5440" w:hanging="323"/>
      </w:pPr>
      <w:rPr>
        <w:rFonts w:hint="default"/>
      </w:rPr>
    </w:lvl>
    <w:lvl w:ilvl="8">
      <w:start w:val="1"/>
      <w:numFmt w:val="lowerRoman"/>
      <w:lvlText w:val="%9."/>
      <w:lvlJc w:val="right"/>
      <w:pPr>
        <w:ind w:left="6120" w:hanging="323"/>
      </w:pPr>
      <w:rPr>
        <w:rFonts w:hint="default"/>
      </w:rPr>
    </w:lvl>
  </w:abstractNum>
  <w:abstractNum w:abstractNumId="35" w15:restartNumberingAfterBreak="0">
    <w:nsid w:val="52A602C5"/>
    <w:multiLevelType w:val="multilevel"/>
    <w:tmpl w:val="3F1EBB48"/>
    <w:numStyleLink w:val="Style4"/>
  </w:abstractNum>
  <w:abstractNum w:abstractNumId="36" w15:restartNumberingAfterBreak="0">
    <w:nsid w:val="565F3994"/>
    <w:multiLevelType w:val="hybridMultilevel"/>
    <w:tmpl w:val="35EAB80C"/>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7" w15:restartNumberingAfterBreak="0">
    <w:nsid w:val="58272B07"/>
    <w:multiLevelType w:val="multilevel"/>
    <w:tmpl w:val="1E2A969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7601C2"/>
    <w:multiLevelType w:val="multilevel"/>
    <w:tmpl w:val="3F1EBB48"/>
    <w:styleLink w:val="Style4"/>
    <w:lvl w:ilvl="0">
      <w:start w:val="1"/>
      <w:numFmt w:val="decimal"/>
      <w:lvlText w:val="%1."/>
      <w:lvlJc w:val="left"/>
      <w:pPr>
        <w:ind w:left="720" w:hanging="360"/>
      </w:pPr>
      <w:rPr>
        <w:rFonts w:ascii="Arial" w:hAnsi="Arial" w:cs="Arial" w:hint="default"/>
        <w:b w:val="0"/>
        <w:color w:val="auto"/>
        <w:sz w:val="22"/>
        <w:szCs w:val="22"/>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8A2025E"/>
    <w:multiLevelType w:val="hybridMultilevel"/>
    <w:tmpl w:val="7702E2EA"/>
    <w:lvl w:ilvl="0" w:tplc="7F28C610">
      <w:start w:val="1"/>
      <w:numFmt w:val="bullet"/>
      <w:lvlText w:val=""/>
      <w:lvlJc w:val="left"/>
      <w:pPr>
        <w:ind w:left="720" w:hanging="360"/>
      </w:pPr>
      <w:rPr>
        <w:rFonts w:ascii="Wingdings" w:hAnsi="Wingdings" w:hint="default"/>
      </w:rPr>
    </w:lvl>
    <w:lvl w:ilvl="1" w:tplc="EB689284">
      <w:start w:val="1"/>
      <w:numFmt w:val="bullet"/>
      <w:lvlText w:val=""/>
      <w:lvlJc w:val="left"/>
      <w:pPr>
        <w:ind w:left="1440" w:hanging="360"/>
      </w:pPr>
      <w:rPr>
        <w:rFonts w:ascii="Wingdings" w:hAnsi="Wingdings" w:hint="default"/>
      </w:rPr>
    </w:lvl>
    <w:lvl w:ilvl="2" w:tplc="350208C6" w:tentative="1">
      <w:start w:val="1"/>
      <w:numFmt w:val="bullet"/>
      <w:lvlText w:val=""/>
      <w:lvlJc w:val="left"/>
      <w:pPr>
        <w:ind w:left="2160" w:hanging="360"/>
      </w:pPr>
      <w:rPr>
        <w:rFonts w:ascii="Wingdings" w:hAnsi="Wingdings" w:hint="default"/>
      </w:rPr>
    </w:lvl>
    <w:lvl w:ilvl="3" w:tplc="EB62AAA4" w:tentative="1">
      <w:start w:val="1"/>
      <w:numFmt w:val="bullet"/>
      <w:lvlText w:val=""/>
      <w:lvlJc w:val="left"/>
      <w:pPr>
        <w:ind w:left="2880" w:hanging="360"/>
      </w:pPr>
      <w:rPr>
        <w:rFonts w:ascii="Symbol" w:hAnsi="Symbol" w:hint="default"/>
      </w:rPr>
    </w:lvl>
    <w:lvl w:ilvl="4" w:tplc="0242E9D2" w:tentative="1">
      <w:start w:val="1"/>
      <w:numFmt w:val="bullet"/>
      <w:lvlText w:val="o"/>
      <w:lvlJc w:val="left"/>
      <w:pPr>
        <w:ind w:left="3600" w:hanging="360"/>
      </w:pPr>
      <w:rPr>
        <w:rFonts w:ascii="Courier New" w:hAnsi="Courier New" w:cs="Courier New" w:hint="default"/>
      </w:rPr>
    </w:lvl>
    <w:lvl w:ilvl="5" w:tplc="B0BC9ABE" w:tentative="1">
      <w:start w:val="1"/>
      <w:numFmt w:val="bullet"/>
      <w:lvlText w:val=""/>
      <w:lvlJc w:val="left"/>
      <w:pPr>
        <w:ind w:left="4320" w:hanging="360"/>
      </w:pPr>
      <w:rPr>
        <w:rFonts w:ascii="Wingdings" w:hAnsi="Wingdings" w:hint="default"/>
      </w:rPr>
    </w:lvl>
    <w:lvl w:ilvl="6" w:tplc="E16C6B32" w:tentative="1">
      <w:start w:val="1"/>
      <w:numFmt w:val="bullet"/>
      <w:lvlText w:val=""/>
      <w:lvlJc w:val="left"/>
      <w:pPr>
        <w:ind w:left="5040" w:hanging="360"/>
      </w:pPr>
      <w:rPr>
        <w:rFonts w:ascii="Symbol" w:hAnsi="Symbol" w:hint="default"/>
      </w:rPr>
    </w:lvl>
    <w:lvl w:ilvl="7" w:tplc="EC0C1D18" w:tentative="1">
      <w:start w:val="1"/>
      <w:numFmt w:val="bullet"/>
      <w:lvlText w:val="o"/>
      <w:lvlJc w:val="left"/>
      <w:pPr>
        <w:ind w:left="5760" w:hanging="360"/>
      </w:pPr>
      <w:rPr>
        <w:rFonts w:ascii="Courier New" w:hAnsi="Courier New" w:cs="Courier New" w:hint="default"/>
      </w:rPr>
    </w:lvl>
    <w:lvl w:ilvl="8" w:tplc="A650E05A" w:tentative="1">
      <w:start w:val="1"/>
      <w:numFmt w:val="bullet"/>
      <w:lvlText w:val=""/>
      <w:lvlJc w:val="left"/>
      <w:pPr>
        <w:ind w:left="6480" w:hanging="360"/>
      </w:pPr>
      <w:rPr>
        <w:rFonts w:ascii="Wingdings" w:hAnsi="Wingdings" w:hint="default"/>
      </w:rPr>
    </w:lvl>
  </w:abstractNum>
  <w:abstractNum w:abstractNumId="40" w15:restartNumberingAfterBreak="0">
    <w:nsid w:val="59500F4D"/>
    <w:multiLevelType w:val="hybridMultilevel"/>
    <w:tmpl w:val="03ECEFCE"/>
    <w:lvl w:ilvl="0" w:tplc="DA662E80">
      <w:start w:val="1"/>
      <w:numFmt w:val="lowerLetter"/>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1" w15:restartNumberingAfterBreak="0">
    <w:nsid w:val="5B620FED"/>
    <w:multiLevelType w:val="multilevel"/>
    <w:tmpl w:val="BE2E87C6"/>
    <w:styleLink w:val="Style1"/>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E0A6D55"/>
    <w:multiLevelType w:val="hybridMultilevel"/>
    <w:tmpl w:val="4D146D9C"/>
    <w:lvl w:ilvl="0" w:tplc="29DC5EB4">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3" w15:restartNumberingAfterBreak="0">
    <w:nsid w:val="609329FB"/>
    <w:multiLevelType w:val="multilevel"/>
    <w:tmpl w:val="ECF651A2"/>
    <w:styleLink w:val="Style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4D16BFC"/>
    <w:multiLevelType w:val="hybridMultilevel"/>
    <w:tmpl w:val="FA785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127A5E"/>
    <w:multiLevelType w:val="hybridMultilevel"/>
    <w:tmpl w:val="03ECEFCE"/>
    <w:lvl w:ilvl="0" w:tplc="29DC5EB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A272F91"/>
    <w:multiLevelType w:val="hybridMultilevel"/>
    <w:tmpl w:val="25EAF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D0B1F0E"/>
    <w:multiLevelType w:val="multilevel"/>
    <w:tmpl w:val="B8983BD4"/>
    <w:lvl w:ilvl="0">
      <w:start w:val="103"/>
      <w:numFmt w:val="decimal"/>
      <w:suff w:val="space"/>
      <w:lvlText w:val="%1."/>
      <w:lvlJc w:val="left"/>
      <w:pPr>
        <w:ind w:left="680" w:hanging="243"/>
      </w:pPr>
      <w:rPr>
        <w:rFonts w:hint="default"/>
      </w:rPr>
    </w:lvl>
    <w:lvl w:ilvl="1">
      <w:start w:val="1"/>
      <w:numFmt w:val="lowerLetter"/>
      <w:lvlText w:val="%2)"/>
      <w:lvlJc w:val="left"/>
      <w:pPr>
        <w:ind w:left="1281" w:hanging="243"/>
      </w:pPr>
      <w:rPr>
        <w:rFonts w:hint="default"/>
        <w:color w:val="auto"/>
      </w:rPr>
    </w:lvl>
    <w:lvl w:ilvl="2">
      <w:start w:val="1"/>
      <w:numFmt w:val="lowerRoman"/>
      <w:lvlText w:val="%3."/>
      <w:lvlJc w:val="right"/>
      <w:pPr>
        <w:ind w:left="1882" w:hanging="243"/>
      </w:pPr>
      <w:rPr>
        <w:rFonts w:hint="default"/>
      </w:rPr>
    </w:lvl>
    <w:lvl w:ilvl="3">
      <w:start w:val="1"/>
      <w:numFmt w:val="decimal"/>
      <w:lvlText w:val="%4."/>
      <w:lvlJc w:val="left"/>
      <w:pPr>
        <w:ind w:left="2483" w:hanging="243"/>
      </w:pPr>
      <w:rPr>
        <w:rFonts w:hint="default"/>
      </w:rPr>
    </w:lvl>
    <w:lvl w:ilvl="4">
      <w:start w:val="1"/>
      <w:numFmt w:val="lowerLetter"/>
      <w:lvlText w:val="%5."/>
      <w:lvlJc w:val="left"/>
      <w:pPr>
        <w:ind w:left="3084" w:hanging="243"/>
      </w:pPr>
      <w:rPr>
        <w:rFonts w:hint="default"/>
      </w:rPr>
    </w:lvl>
    <w:lvl w:ilvl="5">
      <w:start w:val="1"/>
      <w:numFmt w:val="lowerRoman"/>
      <w:lvlText w:val="%6."/>
      <w:lvlJc w:val="right"/>
      <w:pPr>
        <w:ind w:left="3685" w:hanging="243"/>
      </w:pPr>
      <w:rPr>
        <w:rFonts w:hint="default"/>
      </w:rPr>
    </w:lvl>
    <w:lvl w:ilvl="6">
      <w:start w:val="1"/>
      <w:numFmt w:val="decimal"/>
      <w:lvlText w:val="%7."/>
      <w:lvlJc w:val="left"/>
      <w:pPr>
        <w:ind w:left="4286" w:hanging="243"/>
      </w:pPr>
      <w:rPr>
        <w:rFonts w:hint="default"/>
      </w:rPr>
    </w:lvl>
    <w:lvl w:ilvl="7">
      <w:start w:val="1"/>
      <w:numFmt w:val="lowerLetter"/>
      <w:lvlText w:val="%8."/>
      <w:lvlJc w:val="left"/>
      <w:pPr>
        <w:ind w:left="4887" w:hanging="243"/>
      </w:pPr>
      <w:rPr>
        <w:rFonts w:hint="default"/>
      </w:rPr>
    </w:lvl>
    <w:lvl w:ilvl="8">
      <w:start w:val="1"/>
      <w:numFmt w:val="lowerRoman"/>
      <w:lvlText w:val="%9."/>
      <w:lvlJc w:val="right"/>
      <w:pPr>
        <w:ind w:left="5488" w:hanging="243"/>
      </w:pPr>
      <w:rPr>
        <w:rFonts w:hint="default"/>
      </w:rPr>
    </w:lvl>
  </w:abstractNum>
  <w:abstractNum w:abstractNumId="48" w15:restartNumberingAfterBreak="0">
    <w:nsid w:val="71627CDB"/>
    <w:multiLevelType w:val="hybridMultilevel"/>
    <w:tmpl w:val="ABF42688"/>
    <w:lvl w:ilvl="0" w:tplc="0C090001">
      <w:start w:val="1"/>
      <w:numFmt w:val="lowerLetter"/>
      <w:lvlText w:val="%1)"/>
      <w:lvlJc w:val="left"/>
      <w:pPr>
        <w:ind w:left="360" w:hanging="360"/>
      </w:pPr>
      <w:rPr>
        <w:rFonts w:hint="default"/>
      </w:rPr>
    </w:lvl>
    <w:lvl w:ilvl="1" w:tplc="0C090003"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49" w15:restartNumberingAfterBreak="0">
    <w:nsid w:val="7EF13909"/>
    <w:multiLevelType w:val="hybridMultilevel"/>
    <w:tmpl w:val="03ECEFCE"/>
    <w:lvl w:ilvl="0" w:tplc="AFD28F38">
      <w:start w:val="1"/>
      <w:numFmt w:val="lowerLetter"/>
      <w:lvlText w:val="%1)"/>
      <w:lvlJc w:val="left"/>
      <w:pPr>
        <w:ind w:left="720" w:hanging="360"/>
      </w:pPr>
      <w:rPr>
        <w:rFonts w:hint="default"/>
      </w:rPr>
    </w:lvl>
    <w:lvl w:ilvl="1" w:tplc="E3B2A148" w:tentative="1">
      <w:start w:val="1"/>
      <w:numFmt w:val="lowerLetter"/>
      <w:lvlText w:val="%2."/>
      <w:lvlJc w:val="left"/>
      <w:pPr>
        <w:ind w:left="1440" w:hanging="360"/>
      </w:pPr>
    </w:lvl>
    <w:lvl w:ilvl="2" w:tplc="B800538C" w:tentative="1">
      <w:start w:val="1"/>
      <w:numFmt w:val="lowerRoman"/>
      <w:lvlText w:val="%3."/>
      <w:lvlJc w:val="right"/>
      <w:pPr>
        <w:ind w:left="2160" w:hanging="180"/>
      </w:pPr>
    </w:lvl>
    <w:lvl w:ilvl="3" w:tplc="94B44022" w:tentative="1">
      <w:start w:val="1"/>
      <w:numFmt w:val="decimal"/>
      <w:lvlText w:val="%4."/>
      <w:lvlJc w:val="left"/>
      <w:pPr>
        <w:ind w:left="2880" w:hanging="360"/>
      </w:pPr>
    </w:lvl>
    <w:lvl w:ilvl="4" w:tplc="B6BCF8A6" w:tentative="1">
      <w:start w:val="1"/>
      <w:numFmt w:val="lowerLetter"/>
      <w:lvlText w:val="%5."/>
      <w:lvlJc w:val="left"/>
      <w:pPr>
        <w:ind w:left="3600" w:hanging="360"/>
      </w:pPr>
    </w:lvl>
    <w:lvl w:ilvl="5" w:tplc="AEF8D58C" w:tentative="1">
      <w:start w:val="1"/>
      <w:numFmt w:val="lowerRoman"/>
      <w:lvlText w:val="%6."/>
      <w:lvlJc w:val="right"/>
      <w:pPr>
        <w:ind w:left="4320" w:hanging="180"/>
      </w:pPr>
    </w:lvl>
    <w:lvl w:ilvl="6" w:tplc="DB887BCC" w:tentative="1">
      <w:start w:val="1"/>
      <w:numFmt w:val="decimal"/>
      <w:lvlText w:val="%7."/>
      <w:lvlJc w:val="left"/>
      <w:pPr>
        <w:ind w:left="5040" w:hanging="360"/>
      </w:pPr>
    </w:lvl>
    <w:lvl w:ilvl="7" w:tplc="BA0C014C" w:tentative="1">
      <w:start w:val="1"/>
      <w:numFmt w:val="lowerLetter"/>
      <w:lvlText w:val="%8."/>
      <w:lvlJc w:val="left"/>
      <w:pPr>
        <w:ind w:left="5760" w:hanging="360"/>
      </w:pPr>
    </w:lvl>
    <w:lvl w:ilvl="8" w:tplc="3222A370" w:tentative="1">
      <w:start w:val="1"/>
      <w:numFmt w:val="lowerRoman"/>
      <w:lvlText w:val="%9."/>
      <w:lvlJc w:val="right"/>
      <w:pPr>
        <w:ind w:left="6480" w:hanging="180"/>
      </w:pPr>
    </w:lvl>
  </w:abstractNum>
  <w:num w:numId="1">
    <w:abstractNumId w:val="29"/>
  </w:num>
  <w:num w:numId="2">
    <w:abstractNumId w:val="16"/>
  </w:num>
  <w:num w:numId="3">
    <w:abstractNumId w:val="5"/>
  </w:num>
  <w:num w:numId="4">
    <w:abstractNumId w:val="27"/>
  </w:num>
  <w:num w:numId="5">
    <w:abstractNumId w:val="21"/>
  </w:num>
  <w:num w:numId="6">
    <w:abstractNumId w:val="45"/>
  </w:num>
  <w:num w:numId="7">
    <w:abstractNumId w:val="49"/>
  </w:num>
  <w:num w:numId="8">
    <w:abstractNumId w:val="40"/>
  </w:num>
  <w:num w:numId="9">
    <w:abstractNumId w:val="24"/>
  </w:num>
  <w:num w:numId="10">
    <w:abstractNumId w:val="12"/>
  </w:num>
  <w:num w:numId="11">
    <w:abstractNumId w:val="37"/>
  </w:num>
  <w:num w:numId="12">
    <w:abstractNumId w:val="4"/>
  </w:num>
  <w:num w:numId="13">
    <w:abstractNumId w:val="7"/>
  </w:num>
  <w:num w:numId="14">
    <w:abstractNumId w:val="0"/>
    <w:lvlOverride w:ilvl="0">
      <w:lvl w:ilvl="0">
        <w:numFmt w:val="bullet"/>
        <w:lvlText w:val=""/>
        <w:legacy w:legacy="1" w:legacySpace="0" w:legacyIndent="0"/>
        <w:lvlJc w:val="left"/>
        <w:rPr>
          <w:rFonts w:ascii="Symbol" w:hAnsi="Symbol" w:hint="default"/>
          <w:sz w:val="22"/>
        </w:rPr>
      </w:lvl>
    </w:lvlOverride>
  </w:num>
  <w:num w:numId="15">
    <w:abstractNumId w:val="28"/>
  </w:num>
  <w:num w:numId="16">
    <w:abstractNumId w:val="22"/>
  </w:num>
  <w:num w:numId="17">
    <w:abstractNumId w:val="39"/>
  </w:num>
  <w:num w:numId="18">
    <w:abstractNumId w:val="14"/>
  </w:num>
  <w:num w:numId="19">
    <w:abstractNumId w:val="19"/>
  </w:num>
  <w:num w:numId="20">
    <w:abstractNumId w:val="48"/>
  </w:num>
  <w:num w:numId="21">
    <w:abstractNumId w:val="18"/>
  </w:num>
  <w:num w:numId="22">
    <w:abstractNumId w:val="9"/>
  </w:num>
  <w:num w:numId="23">
    <w:abstractNumId w:val="42"/>
  </w:num>
  <w:num w:numId="24">
    <w:abstractNumId w:val="34"/>
  </w:num>
  <w:num w:numId="25">
    <w:abstractNumId w:val="31"/>
  </w:num>
  <w:num w:numId="26">
    <w:abstractNumId w:val="41"/>
  </w:num>
  <w:num w:numId="27">
    <w:abstractNumId w:val="43"/>
  </w:num>
  <w:num w:numId="28">
    <w:abstractNumId w:val="2"/>
  </w:num>
  <w:num w:numId="29">
    <w:abstractNumId w:val="38"/>
  </w:num>
  <w:num w:numId="30">
    <w:abstractNumId w:val="1"/>
  </w:num>
  <w:num w:numId="31">
    <w:abstractNumId w:val="13"/>
  </w:num>
  <w:num w:numId="32">
    <w:abstractNumId w:val="30"/>
  </w:num>
  <w:num w:numId="33">
    <w:abstractNumId w:val="3"/>
  </w:num>
  <w:num w:numId="34">
    <w:abstractNumId w:val="32"/>
  </w:num>
  <w:num w:numId="35">
    <w:abstractNumId w:val="35"/>
  </w:num>
  <w:num w:numId="36">
    <w:abstractNumId w:val="17"/>
  </w:num>
  <w:num w:numId="37">
    <w:abstractNumId w:val="6"/>
  </w:num>
  <w:num w:numId="38">
    <w:abstractNumId w:val="23"/>
  </w:num>
  <w:num w:numId="39">
    <w:abstractNumId w:val="20"/>
  </w:num>
  <w:num w:numId="40">
    <w:abstractNumId w:val="11"/>
  </w:num>
  <w:num w:numId="41">
    <w:abstractNumId w:val="36"/>
  </w:num>
  <w:num w:numId="42">
    <w:abstractNumId w:val="10"/>
  </w:num>
  <w:num w:numId="43">
    <w:abstractNumId w:val="15"/>
  </w:num>
  <w:num w:numId="44">
    <w:abstractNumId w:val="33"/>
  </w:num>
  <w:num w:numId="45">
    <w:abstractNumId w:val="26"/>
  </w:num>
  <w:num w:numId="46">
    <w:abstractNumId w:val="8"/>
  </w:num>
  <w:num w:numId="47">
    <w:abstractNumId w:val="47"/>
  </w:num>
  <w:num w:numId="48">
    <w:abstractNumId w:val="25"/>
  </w:num>
  <w:num w:numId="49">
    <w:abstractNumId w:val="46"/>
  </w:num>
  <w:num w:numId="50">
    <w:abstractNumId w:val="4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D55"/>
    <w:rsid w:val="0000144C"/>
    <w:rsid w:val="000031A0"/>
    <w:rsid w:val="00003A42"/>
    <w:rsid w:val="00004502"/>
    <w:rsid w:val="00006ECC"/>
    <w:rsid w:val="00010317"/>
    <w:rsid w:val="00013129"/>
    <w:rsid w:val="00013AA3"/>
    <w:rsid w:val="00013E37"/>
    <w:rsid w:val="00020526"/>
    <w:rsid w:val="00021544"/>
    <w:rsid w:val="00022066"/>
    <w:rsid w:val="000251C8"/>
    <w:rsid w:val="000261EE"/>
    <w:rsid w:val="00033670"/>
    <w:rsid w:val="000363B9"/>
    <w:rsid w:val="000379B0"/>
    <w:rsid w:val="00041DEC"/>
    <w:rsid w:val="00041FA5"/>
    <w:rsid w:val="00043715"/>
    <w:rsid w:val="00044730"/>
    <w:rsid w:val="00044A90"/>
    <w:rsid w:val="00046246"/>
    <w:rsid w:val="00047F44"/>
    <w:rsid w:val="00050F3F"/>
    <w:rsid w:val="000527A5"/>
    <w:rsid w:val="000527D2"/>
    <w:rsid w:val="00053D1D"/>
    <w:rsid w:val="000541C3"/>
    <w:rsid w:val="000559B7"/>
    <w:rsid w:val="00055CA3"/>
    <w:rsid w:val="0005624B"/>
    <w:rsid w:val="00056562"/>
    <w:rsid w:val="00057AC8"/>
    <w:rsid w:val="00061FC9"/>
    <w:rsid w:val="000643A7"/>
    <w:rsid w:val="00064A56"/>
    <w:rsid w:val="00067083"/>
    <w:rsid w:val="000721FF"/>
    <w:rsid w:val="00072E9C"/>
    <w:rsid w:val="00074855"/>
    <w:rsid w:val="00074BE7"/>
    <w:rsid w:val="0008093B"/>
    <w:rsid w:val="0008363D"/>
    <w:rsid w:val="00083B4A"/>
    <w:rsid w:val="000862F8"/>
    <w:rsid w:val="000879D9"/>
    <w:rsid w:val="000927DA"/>
    <w:rsid w:val="0009306A"/>
    <w:rsid w:val="000931E6"/>
    <w:rsid w:val="00093827"/>
    <w:rsid w:val="0009459A"/>
    <w:rsid w:val="000951DD"/>
    <w:rsid w:val="00095677"/>
    <w:rsid w:val="00096400"/>
    <w:rsid w:val="00097231"/>
    <w:rsid w:val="000975D9"/>
    <w:rsid w:val="0009791E"/>
    <w:rsid w:val="000A2973"/>
    <w:rsid w:val="000A32E4"/>
    <w:rsid w:val="000A4FA9"/>
    <w:rsid w:val="000A5213"/>
    <w:rsid w:val="000A6A31"/>
    <w:rsid w:val="000A7989"/>
    <w:rsid w:val="000B09B0"/>
    <w:rsid w:val="000B186E"/>
    <w:rsid w:val="000B3E4D"/>
    <w:rsid w:val="000B41DD"/>
    <w:rsid w:val="000B46C4"/>
    <w:rsid w:val="000B47B1"/>
    <w:rsid w:val="000B5929"/>
    <w:rsid w:val="000B73C0"/>
    <w:rsid w:val="000C052D"/>
    <w:rsid w:val="000C242F"/>
    <w:rsid w:val="000C5A61"/>
    <w:rsid w:val="000C5D1A"/>
    <w:rsid w:val="000C70E0"/>
    <w:rsid w:val="000C7578"/>
    <w:rsid w:val="000C7AF3"/>
    <w:rsid w:val="000C7D7B"/>
    <w:rsid w:val="000D1ABC"/>
    <w:rsid w:val="000D2B26"/>
    <w:rsid w:val="000D4F94"/>
    <w:rsid w:val="000D5D3E"/>
    <w:rsid w:val="000D6DF8"/>
    <w:rsid w:val="000D7080"/>
    <w:rsid w:val="000D7D29"/>
    <w:rsid w:val="000E1AE6"/>
    <w:rsid w:val="000E23AD"/>
    <w:rsid w:val="000E2815"/>
    <w:rsid w:val="000E2E7F"/>
    <w:rsid w:val="000E3FC5"/>
    <w:rsid w:val="000E4F29"/>
    <w:rsid w:val="000E6685"/>
    <w:rsid w:val="000E7705"/>
    <w:rsid w:val="000F0185"/>
    <w:rsid w:val="000F0B8C"/>
    <w:rsid w:val="000F16F8"/>
    <w:rsid w:val="000F1759"/>
    <w:rsid w:val="000F3968"/>
    <w:rsid w:val="00100AD4"/>
    <w:rsid w:val="001024D4"/>
    <w:rsid w:val="001035C7"/>
    <w:rsid w:val="00103F58"/>
    <w:rsid w:val="001058D5"/>
    <w:rsid w:val="0010653B"/>
    <w:rsid w:val="00110787"/>
    <w:rsid w:val="0011088D"/>
    <w:rsid w:val="00111EB3"/>
    <w:rsid w:val="00112375"/>
    <w:rsid w:val="001136AE"/>
    <w:rsid w:val="001137AF"/>
    <w:rsid w:val="00117A54"/>
    <w:rsid w:val="001212C3"/>
    <w:rsid w:val="00121A13"/>
    <w:rsid w:val="00122146"/>
    <w:rsid w:val="001223BB"/>
    <w:rsid w:val="0012311D"/>
    <w:rsid w:val="00124D04"/>
    <w:rsid w:val="001253E1"/>
    <w:rsid w:val="00127C69"/>
    <w:rsid w:val="00127CBF"/>
    <w:rsid w:val="00127F1B"/>
    <w:rsid w:val="00133997"/>
    <w:rsid w:val="001343C3"/>
    <w:rsid w:val="00134E0B"/>
    <w:rsid w:val="0014096F"/>
    <w:rsid w:val="00141167"/>
    <w:rsid w:val="00141C43"/>
    <w:rsid w:val="0014246B"/>
    <w:rsid w:val="00144650"/>
    <w:rsid w:val="00144BBE"/>
    <w:rsid w:val="001468D2"/>
    <w:rsid w:val="00150BC6"/>
    <w:rsid w:val="00150D95"/>
    <w:rsid w:val="001517DA"/>
    <w:rsid w:val="00151B34"/>
    <w:rsid w:val="00154437"/>
    <w:rsid w:val="00155DDA"/>
    <w:rsid w:val="00155FFD"/>
    <w:rsid w:val="00156C59"/>
    <w:rsid w:val="00157863"/>
    <w:rsid w:val="00157B98"/>
    <w:rsid w:val="0016224C"/>
    <w:rsid w:val="001636C2"/>
    <w:rsid w:val="00163BFF"/>
    <w:rsid w:val="00164924"/>
    <w:rsid w:val="00164A17"/>
    <w:rsid w:val="00167BB8"/>
    <w:rsid w:val="0017013C"/>
    <w:rsid w:val="001723D8"/>
    <w:rsid w:val="00173006"/>
    <w:rsid w:val="00173B6D"/>
    <w:rsid w:val="001764A1"/>
    <w:rsid w:val="00177F4B"/>
    <w:rsid w:val="001831CB"/>
    <w:rsid w:val="00183E5A"/>
    <w:rsid w:val="0018413E"/>
    <w:rsid w:val="0019089B"/>
    <w:rsid w:val="00190A06"/>
    <w:rsid w:val="001917C8"/>
    <w:rsid w:val="00191C4D"/>
    <w:rsid w:val="00194575"/>
    <w:rsid w:val="001951A8"/>
    <w:rsid w:val="00195304"/>
    <w:rsid w:val="0019556B"/>
    <w:rsid w:val="001957B7"/>
    <w:rsid w:val="001959EF"/>
    <w:rsid w:val="00195AE1"/>
    <w:rsid w:val="001A2C14"/>
    <w:rsid w:val="001A3272"/>
    <w:rsid w:val="001A7F77"/>
    <w:rsid w:val="001B06D3"/>
    <w:rsid w:val="001B12B7"/>
    <w:rsid w:val="001B1419"/>
    <w:rsid w:val="001B1F09"/>
    <w:rsid w:val="001B4FC6"/>
    <w:rsid w:val="001B5E55"/>
    <w:rsid w:val="001B66D8"/>
    <w:rsid w:val="001C3AEB"/>
    <w:rsid w:val="001C5A6D"/>
    <w:rsid w:val="001C6BEA"/>
    <w:rsid w:val="001D0348"/>
    <w:rsid w:val="001D1CC9"/>
    <w:rsid w:val="001D5AE8"/>
    <w:rsid w:val="001D6B0F"/>
    <w:rsid w:val="001E55E3"/>
    <w:rsid w:val="001E5906"/>
    <w:rsid w:val="001E5A6E"/>
    <w:rsid w:val="001E6350"/>
    <w:rsid w:val="001E7867"/>
    <w:rsid w:val="001F3A1A"/>
    <w:rsid w:val="001F3A53"/>
    <w:rsid w:val="001F4A58"/>
    <w:rsid w:val="001F4DEB"/>
    <w:rsid w:val="001F6528"/>
    <w:rsid w:val="001F7761"/>
    <w:rsid w:val="0020113D"/>
    <w:rsid w:val="00202D5E"/>
    <w:rsid w:val="00207E1C"/>
    <w:rsid w:val="00211E19"/>
    <w:rsid w:val="00212A9B"/>
    <w:rsid w:val="002138C8"/>
    <w:rsid w:val="00215109"/>
    <w:rsid w:val="00220E93"/>
    <w:rsid w:val="00221062"/>
    <w:rsid w:val="00223007"/>
    <w:rsid w:val="0022553C"/>
    <w:rsid w:val="00226B31"/>
    <w:rsid w:val="00227353"/>
    <w:rsid w:val="00227B39"/>
    <w:rsid w:val="002303EA"/>
    <w:rsid w:val="00231498"/>
    <w:rsid w:val="0023512E"/>
    <w:rsid w:val="002359EF"/>
    <w:rsid w:val="002362EF"/>
    <w:rsid w:val="002410FB"/>
    <w:rsid w:val="002437B2"/>
    <w:rsid w:val="002438A1"/>
    <w:rsid w:val="002438D2"/>
    <w:rsid w:val="00243F3F"/>
    <w:rsid w:val="002451EC"/>
    <w:rsid w:val="00245911"/>
    <w:rsid w:val="00246194"/>
    <w:rsid w:val="002504A4"/>
    <w:rsid w:val="0025051A"/>
    <w:rsid w:val="00254A4F"/>
    <w:rsid w:val="00254FF1"/>
    <w:rsid w:val="0025586F"/>
    <w:rsid w:val="002559C6"/>
    <w:rsid w:val="0025680B"/>
    <w:rsid w:val="0025717A"/>
    <w:rsid w:val="002571AD"/>
    <w:rsid w:val="002573DB"/>
    <w:rsid w:val="00260F73"/>
    <w:rsid w:val="00261FE3"/>
    <w:rsid w:val="00262655"/>
    <w:rsid w:val="00263C15"/>
    <w:rsid w:val="00264230"/>
    <w:rsid w:val="00264CE7"/>
    <w:rsid w:val="00264EA6"/>
    <w:rsid w:val="002653B1"/>
    <w:rsid w:val="0026575B"/>
    <w:rsid w:val="0026640C"/>
    <w:rsid w:val="00267B99"/>
    <w:rsid w:val="00270749"/>
    <w:rsid w:val="002723D7"/>
    <w:rsid w:val="002733F9"/>
    <w:rsid w:val="0027363C"/>
    <w:rsid w:val="00275184"/>
    <w:rsid w:val="0027550B"/>
    <w:rsid w:val="00275AC6"/>
    <w:rsid w:val="00275C12"/>
    <w:rsid w:val="00275CDA"/>
    <w:rsid w:val="00277051"/>
    <w:rsid w:val="002804BD"/>
    <w:rsid w:val="00282EAB"/>
    <w:rsid w:val="0028701C"/>
    <w:rsid w:val="0028709F"/>
    <w:rsid w:val="002879E9"/>
    <w:rsid w:val="00291075"/>
    <w:rsid w:val="00291AB8"/>
    <w:rsid w:val="0029443C"/>
    <w:rsid w:val="002958FC"/>
    <w:rsid w:val="002A22D9"/>
    <w:rsid w:val="002A28D3"/>
    <w:rsid w:val="002A40DC"/>
    <w:rsid w:val="002A58F5"/>
    <w:rsid w:val="002B0A25"/>
    <w:rsid w:val="002B1CCB"/>
    <w:rsid w:val="002B3C0C"/>
    <w:rsid w:val="002B42BF"/>
    <w:rsid w:val="002B4E6F"/>
    <w:rsid w:val="002B65C4"/>
    <w:rsid w:val="002C0420"/>
    <w:rsid w:val="002C0F41"/>
    <w:rsid w:val="002C169A"/>
    <w:rsid w:val="002C1AC0"/>
    <w:rsid w:val="002C2B37"/>
    <w:rsid w:val="002C3366"/>
    <w:rsid w:val="002C4AEA"/>
    <w:rsid w:val="002C6A5B"/>
    <w:rsid w:val="002C7239"/>
    <w:rsid w:val="002C7513"/>
    <w:rsid w:val="002C7CD7"/>
    <w:rsid w:val="002D5B00"/>
    <w:rsid w:val="002D5D9D"/>
    <w:rsid w:val="002D67C7"/>
    <w:rsid w:val="002D6B08"/>
    <w:rsid w:val="002E5FF7"/>
    <w:rsid w:val="002E69C5"/>
    <w:rsid w:val="002F01F8"/>
    <w:rsid w:val="002F0403"/>
    <w:rsid w:val="002F27B8"/>
    <w:rsid w:val="002F297E"/>
    <w:rsid w:val="002F3436"/>
    <w:rsid w:val="002F596A"/>
    <w:rsid w:val="002F6DF4"/>
    <w:rsid w:val="00300D54"/>
    <w:rsid w:val="00302C9A"/>
    <w:rsid w:val="00302EC9"/>
    <w:rsid w:val="00304872"/>
    <w:rsid w:val="0030524A"/>
    <w:rsid w:val="00307B45"/>
    <w:rsid w:val="00310C1A"/>
    <w:rsid w:val="00311A40"/>
    <w:rsid w:val="00312430"/>
    <w:rsid w:val="00313483"/>
    <w:rsid w:val="003144AA"/>
    <w:rsid w:val="003148A7"/>
    <w:rsid w:val="0031599C"/>
    <w:rsid w:val="00315E64"/>
    <w:rsid w:val="00316736"/>
    <w:rsid w:val="00316F9F"/>
    <w:rsid w:val="00320296"/>
    <w:rsid w:val="00321DA2"/>
    <w:rsid w:val="00322B29"/>
    <w:rsid w:val="00322E80"/>
    <w:rsid w:val="00323174"/>
    <w:rsid w:val="00324D8F"/>
    <w:rsid w:val="00325BC4"/>
    <w:rsid w:val="003311CF"/>
    <w:rsid w:val="00331654"/>
    <w:rsid w:val="003326FE"/>
    <w:rsid w:val="003329D9"/>
    <w:rsid w:val="00332DCD"/>
    <w:rsid w:val="0033727D"/>
    <w:rsid w:val="003462C9"/>
    <w:rsid w:val="003509B5"/>
    <w:rsid w:val="003512A0"/>
    <w:rsid w:val="00353ED4"/>
    <w:rsid w:val="00355A30"/>
    <w:rsid w:val="00357767"/>
    <w:rsid w:val="0036001B"/>
    <w:rsid w:val="00361268"/>
    <w:rsid w:val="003615BD"/>
    <w:rsid w:val="00363857"/>
    <w:rsid w:val="00363E0D"/>
    <w:rsid w:val="00364513"/>
    <w:rsid w:val="00364616"/>
    <w:rsid w:val="003709F1"/>
    <w:rsid w:val="003734F1"/>
    <w:rsid w:val="00375605"/>
    <w:rsid w:val="00375FFA"/>
    <w:rsid w:val="00377F36"/>
    <w:rsid w:val="00382153"/>
    <w:rsid w:val="00383A1C"/>
    <w:rsid w:val="00385DD7"/>
    <w:rsid w:val="00386169"/>
    <w:rsid w:val="0038697A"/>
    <w:rsid w:val="00386CF4"/>
    <w:rsid w:val="00386F53"/>
    <w:rsid w:val="00387A68"/>
    <w:rsid w:val="003906BC"/>
    <w:rsid w:val="00390F55"/>
    <w:rsid w:val="00393DE7"/>
    <w:rsid w:val="00394384"/>
    <w:rsid w:val="00394420"/>
    <w:rsid w:val="00394CF5"/>
    <w:rsid w:val="00394E82"/>
    <w:rsid w:val="003A038E"/>
    <w:rsid w:val="003A0C08"/>
    <w:rsid w:val="003A1006"/>
    <w:rsid w:val="003A16CF"/>
    <w:rsid w:val="003B0997"/>
    <w:rsid w:val="003B17FD"/>
    <w:rsid w:val="003B1E10"/>
    <w:rsid w:val="003B4A25"/>
    <w:rsid w:val="003B6973"/>
    <w:rsid w:val="003B7520"/>
    <w:rsid w:val="003C0CD5"/>
    <w:rsid w:val="003C2023"/>
    <w:rsid w:val="003C20CD"/>
    <w:rsid w:val="003C2AA0"/>
    <w:rsid w:val="003C2EDE"/>
    <w:rsid w:val="003C3639"/>
    <w:rsid w:val="003C46A8"/>
    <w:rsid w:val="003C5BEC"/>
    <w:rsid w:val="003C79DB"/>
    <w:rsid w:val="003C7C3E"/>
    <w:rsid w:val="003D1CEB"/>
    <w:rsid w:val="003D1F42"/>
    <w:rsid w:val="003D452B"/>
    <w:rsid w:val="003D6B75"/>
    <w:rsid w:val="003D7357"/>
    <w:rsid w:val="003E03E6"/>
    <w:rsid w:val="003E05A3"/>
    <w:rsid w:val="003E0906"/>
    <w:rsid w:val="003E100F"/>
    <w:rsid w:val="003E2BB9"/>
    <w:rsid w:val="003E439E"/>
    <w:rsid w:val="003E49C5"/>
    <w:rsid w:val="003E5239"/>
    <w:rsid w:val="003E590C"/>
    <w:rsid w:val="003E5942"/>
    <w:rsid w:val="003E6ACF"/>
    <w:rsid w:val="003E6D31"/>
    <w:rsid w:val="003F0652"/>
    <w:rsid w:val="003F4CA1"/>
    <w:rsid w:val="003F6E18"/>
    <w:rsid w:val="003F6FBF"/>
    <w:rsid w:val="003F7656"/>
    <w:rsid w:val="003F7D29"/>
    <w:rsid w:val="00400D9E"/>
    <w:rsid w:val="004012F9"/>
    <w:rsid w:val="00401F4F"/>
    <w:rsid w:val="0040204C"/>
    <w:rsid w:val="00403E07"/>
    <w:rsid w:val="00405A4B"/>
    <w:rsid w:val="00405BD5"/>
    <w:rsid w:val="0040749D"/>
    <w:rsid w:val="00407705"/>
    <w:rsid w:val="00410C27"/>
    <w:rsid w:val="00411272"/>
    <w:rsid w:val="00412EFD"/>
    <w:rsid w:val="0041376F"/>
    <w:rsid w:val="0041486F"/>
    <w:rsid w:val="00417E73"/>
    <w:rsid w:val="00420339"/>
    <w:rsid w:val="00421861"/>
    <w:rsid w:val="00423E0C"/>
    <w:rsid w:val="00424653"/>
    <w:rsid w:val="0042755D"/>
    <w:rsid w:val="00427799"/>
    <w:rsid w:val="0043247F"/>
    <w:rsid w:val="00432ABD"/>
    <w:rsid w:val="00433843"/>
    <w:rsid w:val="004354B0"/>
    <w:rsid w:val="00435B24"/>
    <w:rsid w:val="0044286A"/>
    <w:rsid w:val="0044327C"/>
    <w:rsid w:val="00443408"/>
    <w:rsid w:val="004439A9"/>
    <w:rsid w:val="004467A2"/>
    <w:rsid w:val="004476C6"/>
    <w:rsid w:val="0045401C"/>
    <w:rsid w:val="004545F2"/>
    <w:rsid w:val="0045477F"/>
    <w:rsid w:val="00454F40"/>
    <w:rsid w:val="00455FDF"/>
    <w:rsid w:val="00457595"/>
    <w:rsid w:val="00457B33"/>
    <w:rsid w:val="00460B96"/>
    <w:rsid w:val="00460EDC"/>
    <w:rsid w:val="00461594"/>
    <w:rsid w:val="004623FB"/>
    <w:rsid w:val="00462434"/>
    <w:rsid w:val="0046359E"/>
    <w:rsid w:val="00463918"/>
    <w:rsid w:val="00463C97"/>
    <w:rsid w:val="004645A3"/>
    <w:rsid w:val="0046524D"/>
    <w:rsid w:val="004656E4"/>
    <w:rsid w:val="00465DED"/>
    <w:rsid w:val="00467585"/>
    <w:rsid w:val="0047040A"/>
    <w:rsid w:val="00476D50"/>
    <w:rsid w:val="004800E8"/>
    <w:rsid w:val="00480EF8"/>
    <w:rsid w:val="0048100C"/>
    <w:rsid w:val="004834B9"/>
    <w:rsid w:val="0048526C"/>
    <w:rsid w:val="004876E7"/>
    <w:rsid w:val="00492021"/>
    <w:rsid w:val="00492DA5"/>
    <w:rsid w:val="0049327C"/>
    <w:rsid w:val="00494A52"/>
    <w:rsid w:val="00497EFF"/>
    <w:rsid w:val="004A13AF"/>
    <w:rsid w:val="004A1FE3"/>
    <w:rsid w:val="004A215F"/>
    <w:rsid w:val="004A35E8"/>
    <w:rsid w:val="004A42DF"/>
    <w:rsid w:val="004A4FE3"/>
    <w:rsid w:val="004B0DAF"/>
    <w:rsid w:val="004B4161"/>
    <w:rsid w:val="004B4192"/>
    <w:rsid w:val="004B7C6D"/>
    <w:rsid w:val="004C17D2"/>
    <w:rsid w:val="004C24E2"/>
    <w:rsid w:val="004C5296"/>
    <w:rsid w:val="004C53CA"/>
    <w:rsid w:val="004C5935"/>
    <w:rsid w:val="004C6BD0"/>
    <w:rsid w:val="004D0154"/>
    <w:rsid w:val="004D45B6"/>
    <w:rsid w:val="004D4A82"/>
    <w:rsid w:val="004D7188"/>
    <w:rsid w:val="004D7345"/>
    <w:rsid w:val="004E1340"/>
    <w:rsid w:val="004E16F0"/>
    <w:rsid w:val="004E358E"/>
    <w:rsid w:val="004E4CC8"/>
    <w:rsid w:val="004E4D9C"/>
    <w:rsid w:val="004E5085"/>
    <w:rsid w:val="004E64C5"/>
    <w:rsid w:val="004E68A0"/>
    <w:rsid w:val="004F49F6"/>
    <w:rsid w:val="004F5EB4"/>
    <w:rsid w:val="004F69A4"/>
    <w:rsid w:val="005000C2"/>
    <w:rsid w:val="00500D4A"/>
    <w:rsid w:val="00501F22"/>
    <w:rsid w:val="005042DA"/>
    <w:rsid w:val="00504433"/>
    <w:rsid w:val="0050571F"/>
    <w:rsid w:val="00505975"/>
    <w:rsid w:val="00505A18"/>
    <w:rsid w:val="00505F23"/>
    <w:rsid w:val="00511632"/>
    <w:rsid w:val="005116C2"/>
    <w:rsid w:val="005148FE"/>
    <w:rsid w:val="00520494"/>
    <w:rsid w:val="0052349E"/>
    <w:rsid w:val="005267B8"/>
    <w:rsid w:val="005313A6"/>
    <w:rsid w:val="00532D7B"/>
    <w:rsid w:val="0054311E"/>
    <w:rsid w:val="00543591"/>
    <w:rsid w:val="0054492C"/>
    <w:rsid w:val="00545044"/>
    <w:rsid w:val="00545AB0"/>
    <w:rsid w:val="00545D05"/>
    <w:rsid w:val="00545E6A"/>
    <w:rsid w:val="0055027C"/>
    <w:rsid w:val="005504EF"/>
    <w:rsid w:val="00552A9B"/>
    <w:rsid w:val="00552F37"/>
    <w:rsid w:val="00553F83"/>
    <w:rsid w:val="00560624"/>
    <w:rsid w:val="005612BA"/>
    <w:rsid w:val="00561B47"/>
    <w:rsid w:val="00561D62"/>
    <w:rsid w:val="005626CE"/>
    <w:rsid w:val="00566EBE"/>
    <w:rsid w:val="0056799D"/>
    <w:rsid w:val="0057350A"/>
    <w:rsid w:val="0057413E"/>
    <w:rsid w:val="00574B93"/>
    <w:rsid w:val="00577300"/>
    <w:rsid w:val="00577B0B"/>
    <w:rsid w:val="00580C7A"/>
    <w:rsid w:val="00583F65"/>
    <w:rsid w:val="00583F8D"/>
    <w:rsid w:val="00584FDE"/>
    <w:rsid w:val="00585F54"/>
    <w:rsid w:val="0058604A"/>
    <w:rsid w:val="005862E2"/>
    <w:rsid w:val="00586DD8"/>
    <w:rsid w:val="005879D2"/>
    <w:rsid w:val="00587FC2"/>
    <w:rsid w:val="005927B1"/>
    <w:rsid w:val="00594A22"/>
    <w:rsid w:val="00596C1F"/>
    <w:rsid w:val="00597B43"/>
    <w:rsid w:val="005A261C"/>
    <w:rsid w:val="005A59B4"/>
    <w:rsid w:val="005A69C2"/>
    <w:rsid w:val="005B21BD"/>
    <w:rsid w:val="005B47A0"/>
    <w:rsid w:val="005C019B"/>
    <w:rsid w:val="005C1BFA"/>
    <w:rsid w:val="005C1EA0"/>
    <w:rsid w:val="005C1F70"/>
    <w:rsid w:val="005C3A26"/>
    <w:rsid w:val="005C3B66"/>
    <w:rsid w:val="005C4525"/>
    <w:rsid w:val="005C5666"/>
    <w:rsid w:val="005C5B39"/>
    <w:rsid w:val="005C6A81"/>
    <w:rsid w:val="005D35C4"/>
    <w:rsid w:val="005D5871"/>
    <w:rsid w:val="005D7D34"/>
    <w:rsid w:val="005E1395"/>
    <w:rsid w:val="005E1A9E"/>
    <w:rsid w:val="005E527F"/>
    <w:rsid w:val="005E6633"/>
    <w:rsid w:val="005F03D1"/>
    <w:rsid w:val="005F184A"/>
    <w:rsid w:val="005F1F9E"/>
    <w:rsid w:val="005F415E"/>
    <w:rsid w:val="005F445C"/>
    <w:rsid w:val="005F4AF4"/>
    <w:rsid w:val="005F4F2E"/>
    <w:rsid w:val="005F7F4A"/>
    <w:rsid w:val="00604984"/>
    <w:rsid w:val="0060643B"/>
    <w:rsid w:val="00610FC1"/>
    <w:rsid w:val="006114ED"/>
    <w:rsid w:val="006125EA"/>
    <w:rsid w:val="00614022"/>
    <w:rsid w:val="0061701C"/>
    <w:rsid w:val="0062047E"/>
    <w:rsid w:val="0062144C"/>
    <w:rsid w:val="00621FF1"/>
    <w:rsid w:val="0062220E"/>
    <w:rsid w:val="00624B0F"/>
    <w:rsid w:val="00624BFC"/>
    <w:rsid w:val="00624C65"/>
    <w:rsid w:val="006265E5"/>
    <w:rsid w:val="00626DA7"/>
    <w:rsid w:val="006270D6"/>
    <w:rsid w:val="00631CF3"/>
    <w:rsid w:val="00631DD7"/>
    <w:rsid w:val="00633959"/>
    <w:rsid w:val="00633E65"/>
    <w:rsid w:val="00634D52"/>
    <w:rsid w:val="006359AC"/>
    <w:rsid w:val="00635DF5"/>
    <w:rsid w:val="006377C6"/>
    <w:rsid w:val="0064049D"/>
    <w:rsid w:val="00640FEC"/>
    <w:rsid w:val="006427EA"/>
    <w:rsid w:val="00643CEA"/>
    <w:rsid w:val="00643E58"/>
    <w:rsid w:val="00644A46"/>
    <w:rsid w:val="0064632E"/>
    <w:rsid w:val="00646C88"/>
    <w:rsid w:val="00647FE8"/>
    <w:rsid w:val="00657439"/>
    <w:rsid w:val="0065768A"/>
    <w:rsid w:val="00657D79"/>
    <w:rsid w:val="00660635"/>
    <w:rsid w:val="006615FE"/>
    <w:rsid w:val="00661C02"/>
    <w:rsid w:val="006631BD"/>
    <w:rsid w:val="00663E43"/>
    <w:rsid w:val="006642E2"/>
    <w:rsid w:val="006647D8"/>
    <w:rsid w:val="006653BE"/>
    <w:rsid w:val="00666C0B"/>
    <w:rsid w:val="00667B33"/>
    <w:rsid w:val="0067050E"/>
    <w:rsid w:val="00670BE6"/>
    <w:rsid w:val="0067118A"/>
    <w:rsid w:val="006738D2"/>
    <w:rsid w:val="0067649F"/>
    <w:rsid w:val="00676933"/>
    <w:rsid w:val="00680196"/>
    <w:rsid w:val="00681459"/>
    <w:rsid w:val="00682212"/>
    <w:rsid w:val="006827D4"/>
    <w:rsid w:val="006828E9"/>
    <w:rsid w:val="00686E69"/>
    <w:rsid w:val="00686F8B"/>
    <w:rsid w:val="00687093"/>
    <w:rsid w:val="006876AB"/>
    <w:rsid w:val="00687FE1"/>
    <w:rsid w:val="006905FD"/>
    <w:rsid w:val="00690FD7"/>
    <w:rsid w:val="00691B0D"/>
    <w:rsid w:val="0069430B"/>
    <w:rsid w:val="006957D7"/>
    <w:rsid w:val="006966CC"/>
    <w:rsid w:val="0069696B"/>
    <w:rsid w:val="006976C6"/>
    <w:rsid w:val="00697868"/>
    <w:rsid w:val="00697D8E"/>
    <w:rsid w:val="006A0255"/>
    <w:rsid w:val="006A04DD"/>
    <w:rsid w:val="006A35C6"/>
    <w:rsid w:val="006A4138"/>
    <w:rsid w:val="006A4DBE"/>
    <w:rsid w:val="006A50E8"/>
    <w:rsid w:val="006A5DE2"/>
    <w:rsid w:val="006A717A"/>
    <w:rsid w:val="006A717C"/>
    <w:rsid w:val="006A74A6"/>
    <w:rsid w:val="006B0B3F"/>
    <w:rsid w:val="006B6469"/>
    <w:rsid w:val="006B6D7E"/>
    <w:rsid w:val="006C063F"/>
    <w:rsid w:val="006C17EA"/>
    <w:rsid w:val="006C2903"/>
    <w:rsid w:val="006C481C"/>
    <w:rsid w:val="006C535C"/>
    <w:rsid w:val="006C63FB"/>
    <w:rsid w:val="006D1BB0"/>
    <w:rsid w:val="006D2CA9"/>
    <w:rsid w:val="006D368E"/>
    <w:rsid w:val="006D4E81"/>
    <w:rsid w:val="006D4F70"/>
    <w:rsid w:val="006D56BF"/>
    <w:rsid w:val="006D6B91"/>
    <w:rsid w:val="006D7F2E"/>
    <w:rsid w:val="006E1064"/>
    <w:rsid w:val="006E1EB0"/>
    <w:rsid w:val="006E24E3"/>
    <w:rsid w:val="006E6BE5"/>
    <w:rsid w:val="006F1606"/>
    <w:rsid w:val="006F1E6D"/>
    <w:rsid w:val="006F2E22"/>
    <w:rsid w:val="006F5F2E"/>
    <w:rsid w:val="006F6759"/>
    <w:rsid w:val="006F6C5B"/>
    <w:rsid w:val="006F71B0"/>
    <w:rsid w:val="007014CF"/>
    <w:rsid w:val="00702178"/>
    <w:rsid w:val="007022F0"/>
    <w:rsid w:val="00705358"/>
    <w:rsid w:val="0070559D"/>
    <w:rsid w:val="007062A3"/>
    <w:rsid w:val="0070644D"/>
    <w:rsid w:val="0070732B"/>
    <w:rsid w:val="00707A2D"/>
    <w:rsid w:val="00711841"/>
    <w:rsid w:val="00713937"/>
    <w:rsid w:val="007141CF"/>
    <w:rsid w:val="00714297"/>
    <w:rsid w:val="0071511E"/>
    <w:rsid w:val="00716C30"/>
    <w:rsid w:val="007215CC"/>
    <w:rsid w:val="007221F0"/>
    <w:rsid w:val="0072223C"/>
    <w:rsid w:val="00722553"/>
    <w:rsid w:val="007244CC"/>
    <w:rsid w:val="007266B6"/>
    <w:rsid w:val="00726E3A"/>
    <w:rsid w:val="0072775B"/>
    <w:rsid w:val="00730620"/>
    <w:rsid w:val="00731123"/>
    <w:rsid w:val="00731C51"/>
    <w:rsid w:val="007320ED"/>
    <w:rsid w:val="00732D04"/>
    <w:rsid w:val="0073314F"/>
    <w:rsid w:val="00734BB3"/>
    <w:rsid w:val="0073561F"/>
    <w:rsid w:val="00741812"/>
    <w:rsid w:val="007421E8"/>
    <w:rsid w:val="00742ACD"/>
    <w:rsid w:val="0074383B"/>
    <w:rsid w:val="00744708"/>
    <w:rsid w:val="00744CD8"/>
    <w:rsid w:val="00747028"/>
    <w:rsid w:val="0074761C"/>
    <w:rsid w:val="0075090D"/>
    <w:rsid w:val="00750CD5"/>
    <w:rsid w:val="007529A4"/>
    <w:rsid w:val="00752E3F"/>
    <w:rsid w:val="0075381E"/>
    <w:rsid w:val="007549A4"/>
    <w:rsid w:val="007556B2"/>
    <w:rsid w:val="007566F0"/>
    <w:rsid w:val="00761A25"/>
    <w:rsid w:val="00761AEB"/>
    <w:rsid w:val="00762AFC"/>
    <w:rsid w:val="00762F03"/>
    <w:rsid w:val="007654ED"/>
    <w:rsid w:val="007667E7"/>
    <w:rsid w:val="0077089E"/>
    <w:rsid w:val="00770A1A"/>
    <w:rsid w:val="00772262"/>
    <w:rsid w:val="007742BA"/>
    <w:rsid w:val="007748AE"/>
    <w:rsid w:val="00775BD5"/>
    <w:rsid w:val="00775C5A"/>
    <w:rsid w:val="00776E32"/>
    <w:rsid w:val="00777900"/>
    <w:rsid w:val="00780AAE"/>
    <w:rsid w:val="00782D2D"/>
    <w:rsid w:val="00784787"/>
    <w:rsid w:val="00785EE2"/>
    <w:rsid w:val="00786322"/>
    <w:rsid w:val="007917BF"/>
    <w:rsid w:val="0079343A"/>
    <w:rsid w:val="0079592F"/>
    <w:rsid w:val="00795F6C"/>
    <w:rsid w:val="00795F77"/>
    <w:rsid w:val="00796D62"/>
    <w:rsid w:val="007A0825"/>
    <w:rsid w:val="007A1097"/>
    <w:rsid w:val="007A196D"/>
    <w:rsid w:val="007A230E"/>
    <w:rsid w:val="007A2D9D"/>
    <w:rsid w:val="007A2F97"/>
    <w:rsid w:val="007A38E1"/>
    <w:rsid w:val="007A4F04"/>
    <w:rsid w:val="007A598B"/>
    <w:rsid w:val="007A67DA"/>
    <w:rsid w:val="007A7244"/>
    <w:rsid w:val="007B0ACD"/>
    <w:rsid w:val="007B1074"/>
    <w:rsid w:val="007B2FC1"/>
    <w:rsid w:val="007B5220"/>
    <w:rsid w:val="007B6515"/>
    <w:rsid w:val="007C05A8"/>
    <w:rsid w:val="007C4351"/>
    <w:rsid w:val="007C467A"/>
    <w:rsid w:val="007D0355"/>
    <w:rsid w:val="007D0DDB"/>
    <w:rsid w:val="007D42EF"/>
    <w:rsid w:val="007D6CAE"/>
    <w:rsid w:val="007D6DEF"/>
    <w:rsid w:val="007E01B8"/>
    <w:rsid w:val="007E2AEC"/>
    <w:rsid w:val="007E2CF8"/>
    <w:rsid w:val="007E4029"/>
    <w:rsid w:val="007E41E4"/>
    <w:rsid w:val="007E469F"/>
    <w:rsid w:val="007E6778"/>
    <w:rsid w:val="007F1028"/>
    <w:rsid w:val="007F68D0"/>
    <w:rsid w:val="007F6CCF"/>
    <w:rsid w:val="007F79FE"/>
    <w:rsid w:val="008023AB"/>
    <w:rsid w:val="00802883"/>
    <w:rsid w:val="00802FF2"/>
    <w:rsid w:val="0080366B"/>
    <w:rsid w:val="008050D9"/>
    <w:rsid w:val="00805CBA"/>
    <w:rsid w:val="00813D2F"/>
    <w:rsid w:val="00816F77"/>
    <w:rsid w:val="0082107B"/>
    <w:rsid w:val="00821510"/>
    <w:rsid w:val="008218D1"/>
    <w:rsid w:val="0082200C"/>
    <w:rsid w:val="00824E09"/>
    <w:rsid w:val="00825409"/>
    <w:rsid w:val="0082631C"/>
    <w:rsid w:val="0082647B"/>
    <w:rsid w:val="00830FA8"/>
    <w:rsid w:val="00831538"/>
    <w:rsid w:val="00834348"/>
    <w:rsid w:val="008368E4"/>
    <w:rsid w:val="008371F0"/>
    <w:rsid w:val="00840934"/>
    <w:rsid w:val="008440B7"/>
    <w:rsid w:val="0084596D"/>
    <w:rsid w:val="00850634"/>
    <w:rsid w:val="008541D1"/>
    <w:rsid w:val="00854406"/>
    <w:rsid w:val="00854BC4"/>
    <w:rsid w:val="008560B4"/>
    <w:rsid w:val="008578DB"/>
    <w:rsid w:val="00860595"/>
    <w:rsid w:val="00861F85"/>
    <w:rsid w:val="008622DD"/>
    <w:rsid w:val="00862B05"/>
    <w:rsid w:val="00863B97"/>
    <w:rsid w:val="00864F71"/>
    <w:rsid w:val="008655C0"/>
    <w:rsid w:val="00865740"/>
    <w:rsid w:val="00867F72"/>
    <w:rsid w:val="008702F1"/>
    <w:rsid w:val="00870907"/>
    <w:rsid w:val="00873CF1"/>
    <w:rsid w:val="0087416E"/>
    <w:rsid w:val="008763CF"/>
    <w:rsid w:val="00876BC4"/>
    <w:rsid w:val="00876F70"/>
    <w:rsid w:val="0087798B"/>
    <w:rsid w:val="0088148B"/>
    <w:rsid w:val="0088351C"/>
    <w:rsid w:val="00883FAF"/>
    <w:rsid w:val="00885AEC"/>
    <w:rsid w:val="00885CA6"/>
    <w:rsid w:val="00886378"/>
    <w:rsid w:val="00891DEE"/>
    <w:rsid w:val="00893291"/>
    <w:rsid w:val="00893323"/>
    <w:rsid w:val="00893442"/>
    <w:rsid w:val="00893DB6"/>
    <w:rsid w:val="00895CD1"/>
    <w:rsid w:val="008A0187"/>
    <w:rsid w:val="008A07AB"/>
    <w:rsid w:val="008A2A8E"/>
    <w:rsid w:val="008A3371"/>
    <w:rsid w:val="008A6E71"/>
    <w:rsid w:val="008B19B6"/>
    <w:rsid w:val="008B1A78"/>
    <w:rsid w:val="008B1BA5"/>
    <w:rsid w:val="008B3A9A"/>
    <w:rsid w:val="008B4BD8"/>
    <w:rsid w:val="008C0BAA"/>
    <w:rsid w:val="008C12D1"/>
    <w:rsid w:val="008C218B"/>
    <w:rsid w:val="008C4D07"/>
    <w:rsid w:val="008C6209"/>
    <w:rsid w:val="008D05DC"/>
    <w:rsid w:val="008D364B"/>
    <w:rsid w:val="008E0ECA"/>
    <w:rsid w:val="008E0F23"/>
    <w:rsid w:val="008E1A96"/>
    <w:rsid w:val="008E32A9"/>
    <w:rsid w:val="008F08E6"/>
    <w:rsid w:val="008F145E"/>
    <w:rsid w:val="008F27A3"/>
    <w:rsid w:val="008F3D87"/>
    <w:rsid w:val="008F4F97"/>
    <w:rsid w:val="008F72B1"/>
    <w:rsid w:val="00901626"/>
    <w:rsid w:val="00901648"/>
    <w:rsid w:val="00901B84"/>
    <w:rsid w:val="009041D5"/>
    <w:rsid w:val="009064A4"/>
    <w:rsid w:val="00907D28"/>
    <w:rsid w:val="00910B1A"/>
    <w:rsid w:val="00911B6D"/>
    <w:rsid w:val="00914878"/>
    <w:rsid w:val="00914DE9"/>
    <w:rsid w:val="009179F4"/>
    <w:rsid w:val="0092036C"/>
    <w:rsid w:val="009210C8"/>
    <w:rsid w:val="00924753"/>
    <w:rsid w:val="00924DE1"/>
    <w:rsid w:val="00925E92"/>
    <w:rsid w:val="009269B8"/>
    <w:rsid w:val="00927CE8"/>
    <w:rsid w:val="00930230"/>
    <w:rsid w:val="00933143"/>
    <w:rsid w:val="00935703"/>
    <w:rsid w:val="00937377"/>
    <w:rsid w:val="00942A8F"/>
    <w:rsid w:val="0094356B"/>
    <w:rsid w:val="00943A5B"/>
    <w:rsid w:val="00944680"/>
    <w:rsid w:val="00946B06"/>
    <w:rsid w:val="009473ED"/>
    <w:rsid w:val="00947F6E"/>
    <w:rsid w:val="00951074"/>
    <w:rsid w:val="009540B1"/>
    <w:rsid w:val="00954ADE"/>
    <w:rsid w:val="00957063"/>
    <w:rsid w:val="00960089"/>
    <w:rsid w:val="00961A35"/>
    <w:rsid w:val="009645BE"/>
    <w:rsid w:val="00965C31"/>
    <w:rsid w:val="00965C80"/>
    <w:rsid w:val="0096629B"/>
    <w:rsid w:val="0097205B"/>
    <w:rsid w:val="00972B6B"/>
    <w:rsid w:val="00973E32"/>
    <w:rsid w:val="00974431"/>
    <w:rsid w:val="00974DC6"/>
    <w:rsid w:val="00975879"/>
    <w:rsid w:val="00977235"/>
    <w:rsid w:val="00977AC7"/>
    <w:rsid w:val="009808DD"/>
    <w:rsid w:val="00980D72"/>
    <w:rsid w:val="009857A8"/>
    <w:rsid w:val="00990599"/>
    <w:rsid w:val="009913DB"/>
    <w:rsid w:val="0099173D"/>
    <w:rsid w:val="00992001"/>
    <w:rsid w:val="009941B6"/>
    <w:rsid w:val="00994264"/>
    <w:rsid w:val="009954AB"/>
    <w:rsid w:val="00995A2F"/>
    <w:rsid w:val="00996709"/>
    <w:rsid w:val="009A21BB"/>
    <w:rsid w:val="009A45AD"/>
    <w:rsid w:val="009A47F5"/>
    <w:rsid w:val="009A56CF"/>
    <w:rsid w:val="009A6E9D"/>
    <w:rsid w:val="009A7154"/>
    <w:rsid w:val="009A799F"/>
    <w:rsid w:val="009B0136"/>
    <w:rsid w:val="009B0295"/>
    <w:rsid w:val="009B5F81"/>
    <w:rsid w:val="009C03D0"/>
    <w:rsid w:val="009C3247"/>
    <w:rsid w:val="009C3B71"/>
    <w:rsid w:val="009D05AB"/>
    <w:rsid w:val="009D14D0"/>
    <w:rsid w:val="009D4D14"/>
    <w:rsid w:val="009D5409"/>
    <w:rsid w:val="009E13EE"/>
    <w:rsid w:val="009E1E6F"/>
    <w:rsid w:val="009E21F7"/>
    <w:rsid w:val="009E2869"/>
    <w:rsid w:val="009E3FBE"/>
    <w:rsid w:val="009E7B70"/>
    <w:rsid w:val="009F08F8"/>
    <w:rsid w:val="009F1CFD"/>
    <w:rsid w:val="009F2125"/>
    <w:rsid w:val="009F21F4"/>
    <w:rsid w:val="009F2B26"/>
    <w:rsid w:val="009F30E4"/>
    <w:rsid w:val="009F44BA"/>
    <w:rsid w:val="009F44C1"/>
    <w:rsid w:val="009F4642"/>
    <w:rsid w:val="009F520F"/>
    <w:rsid w:val="009F5FBD"/>
    <w:rsid w:val="009F6535"/>
    <w:rsid w:val="009F7D5D"/>
    <w:rsid w:val="00A0060B"/>
    <w:rsid w:val="00A0160D"/>
    <w:rsid w:val="00A01A4C"/>
    <w:rsid w:val="00A03EF6"/>
    <w:rsid w:val="00A0459E"/>
    <w:rsid w:val="00A049E9"/>
    <w:rsid w:val="00A05AE5"/>
    <w:rsid w:val="00A07630"/>
    <w:rsid w:val="00A114CE"/>
    <w:rsid w:val="00A15A47"/>
    <w:rsid w:val="00A17245"/>
    <w:rsid w:val="00A20527"/>
    <w:rsid w:val="00A209F4"/>
    <w:rsid w:val="00A21D1F"/>
    <w:rsid w:val="00A22A64"/>
    <w:rsid w:val="00A27752"/>
    <w:rsid w:val="00A27AC7"/>
    <w:rsid w:val="00A305CB"/>
    <w:rsid w:val="00A3414E"/>
    <w:rsid w:val="00A40720"/>
    <w:rsid w:val="00A40F0C"/>
    <w:rsid w:val="00A41050"/>
    <w:rsid w:val="00A41BAE"/>
    <w:rsid w:val="00A44221"/>
    <w:rsid w:val="00A4624A"/>
    <w:rsid w:val="00A50817"/>
    <w:rsid w:val="00A50E6D"/>
    <w:rsid w:val="00A5290C"/>
    <w:rsid w:val="00A543C5"/>
    <w:rsid w:val="00A55908"/>
    <w:rsid w:val="00A55F04"/>
    <w:rsid w:val="00A5693F"/>
    <w:rsid w:val="00A56EB2"/>
    <w:rsid w:val="00A57366"/>
    <w:rsid w:val="00A60EB1"/>
    <w:rsid w:val="00A61472"/>
    <w:rsid w:val="00A63FFB"/>
    <w:rsid w:val="00A6421E"/>
    <w:rsid w:val="00A67FD2"/>
    <w:rsid w:val="00A713F6"/>
    <w:rsid w:val="00A73B4E"/>
    <w:rsid w:val="00A743F8"/>
    <w:rsid w:val="00A75210"/>
    <w:rsid w:val="00A76F15"/>
    <w:rsid w:val="00A776EE"/>
    <w:rsid w:val="00A81E3D"/>
    <w:rsid w:val="00A82643"/>
    <w:rsid w:val="00A8343B"/>
    <w:rsid w:val="00A85704"/>
    <w:rsid w:val="00A857E7"/>
    <w:rsid w:val="00A90721"/>
    <w:rsid w:val="00A90943"/>
    <w:rsid w:val="00A90BFE"/>
    <w:rsid w:val="00A90C59"/>
    <w:rsid w:val="00A919B8"/>
    <w:rsid w:val="00A9458B"/>
    <w:rsid w:val="00A94915"/>
    <w:rsid w:val="00A95D4F"/>
    <w:rsid w:val="00AA04E6"/>
    <w:rsid w:val="00AA423E"/>
    <w:rsid w:val="00AA782F"/>
    <w:rsid w:val="00AB15D7"/>
    <w:rsid w:val="00AB2615"/>
    <w:rsid w:val="00AB3312"/>
    <w:rsid w:val="00AB489D"/>
    <w:rsid w:val="00AB5AC5"/>
    <w:rsid w:val="00AB60D0"/>
    <w:rsid w:val="00AB66AB"/>
    <w:rsid w:val="00AB7DBC"/>
    <w:rsid w:val="00AC111D"/>
    <w:rsid w:val="00AC18C3"/>
    <w:rsid w:val="00AC3275"/>
    <w:rsid w:val="00AC34F8"/>
    <w:rsid w:val="00AC6025"/>
    <w:rsid w:val="00AC74D3"/>
    <w:rsid w:val="00AD34C5"/>
    <w:rsid w:val="00AD36A8"/>
    <w:rsid w:val="00AD3AA1"/>
    <w:rsid w:val="00AD57F7"/>
    <w:rsid w:val="00AE1F73"/>
    <w:rsid w:val="00AE22C2"/>
    <w:rsid w:val="00AE300D"/>
    <w:rsid w:val="00AE3123"/>
    <w:rsid w:val="00AE38EE"/>
    <w:rsid w:val="00AE3BCA"/>
    <w:rsid w:val="00AE4D52"/>
    <w:rsid w:val="00AE7793"/>
    <w:rsid w:val="00AE7AF1"/>
    <w:rsid w:val="00AF0D1C"/>
    <w:rsid w:val="00AF1EE8"/>
    <w:rsid w:val="00AF2B23"/>
    <w:rsid w:val="00AF6C79"/>
    <w:rsid w:val="00AF6C98"/>
    <w:rsid w:val="00AF7F20"/>
    <w:rsid w:val="00B0062D"/>
    <w:rsid w:val="00B009EB"/>
    <w:rsid w:val="00B01424"/>
    <w:rsid w:val="00B01B87"/>
    <w:rsid w:val="00B02469"/>
    <w:rsid w:val="00B02706"/>
    <w:rsid w:val="00B0422A"/>
    <w:rsid w:val="00B04600"/>
    <w:rsid w:val="00B05AB8"/>
    <w:rsid w:val="00B07828"/>
    <w:rsid w:val="00B104A4"/>
    <w:rsid w:val="00B10C81"/>
    <w:rsid w:val="00B11F10"/>
    <w:rsid w:val="00B124A4"/>
    <w:rsid w:val="00B124FE"/>
    <w:rsid w:val="00B1532C"/>
    <w:rsid w:val="00B17B85"/>
    <w:rsid w:val="00B206BC"/>
    <w:rsid w:val="00B20AE6"/>
    <w:rsid w:val="00B2257F"/>
    <w:rsid w:val="00B23FB7"/>
    <w:rsid w:val="00B245BB"/>
    <w:rsid w:val="00B24A78"/>
    <w:rsid w:val="00B2585A"/>
    <w:rsid w:val="00B25F24"/>
    <w:rsid w:val="00B26A6B"/>
    <w:rsid w:val="00B26EB7"/>
    <w:rsid w:val="00B31D1C"/>
    <w:rsid w:val="00B40DF1"/>
    <w:rsid w:val="00B41384"/>
    <w:rsid w:val="00B44948"/>
    <w:rsid w:val="00B450D1"/>
    <w:rsid w:val="00B4519B"/>
    <w:rsid w:val="00B452BC"/>
    <w:rsid w:val="00B45773"/>
    <w:rsid w:val="00B56A2E"/>
    <w:rsid w:val="00B579AA"/>
    <w:rsid w:val="00B632C6"/>
    <w:rsid w:val="00B65617"/>
    <w:rsid w:val="00B66F40"/>
    <w:rsid w:val="00B711B9"/>
    <w:rsid w:val="00B71A5D"/>
    <w:rsid w:val="00B71AA6"/>
    <w:rsid w:val="00B72372"/>
    <w:rsid w:val="00B7359D"/>
    <w:rsid w:val="00B761DC"/>
    <w:rsid w:val="00B779AE"/>
    <w:rsid w:val="00B81055"/>
    <w:rsid w:val="00B8278C"/>
    <w:rsid w:val="00B86C18"/>
    <w:rsid w:val="00B87527"/>
    <w:rsid w:val="00B9042D"/>
    <w:rsid w:val="00B904AB"/>
    <w:rsid w:val="00B90F39"/>
    <w:rsid w:val="00B92363"/>
    <w:rsid w:val="00B93854"/>
    <w:rsid w:val="00B941B8"/>
    <w:rsid w:val="00B942C4"/>
    <w:rsid w:val="00B943A3"/>
    <w:rsid w:val="00B96D00"/>
    <w:rsid w:val="00B9723C"/>
    <w:rsid w:val="00B97418"/>
    <w:rsid w:val="00BA00E5"/>
    <w:rsid w:val="00BA1102"/>
    <w:rsid w:val="00BA46D4"/>
    <w:rsid w:val="00BA531F"/>
    <w:rsid w:val="00BA677D"/>
    <w:rsid w:val="00BA6A38"/>
    <w:rsid w:val="00BA7662"/>
    <w:rsid w:val="00BA7883"/>
    <w:rsid w:val="00BB0154"/>
    <w:rsid w:val="00BB28F3"/>
    <w:rsid w:val="00BB32A3"/>
    <w:rsid w:val="00BB336D"/>
    <w:rsid w:val="00BB4A66"/>
    <w:rsid w:val="00BB59AF"/>
    <w:rsid w:val="00BB64A2"/>
    <w:rsid w:val="00BB658B"/>
    <w:rsid w:val="00BB68B0"/>
    <w:rsid w:val="00BB6D0C"/>
    <w:rsid w:val="00BB6F0C"/>
    <w:rsid w:val="00BC0BB2"/>
    <w:rsid w:val="00BC1D36"/>
    <w:rsid w:val="00BC4029"/>
    <w:rsid w:val="00BC6399"/>
    <w:rsid w:val="00BC65D9"/>
    <w:rsid w:val="00BD1A1A"/>
    <w:rsid w:val="00BD3368"/>
    <w:rsid w:val="00BD38E8"/>
    <w:rsid w:val="00BD441A"/>
    <w:rsid w:val="00BD5E06"/>
    <w:rsid w:val="00BD695C"/>
    <w:rsid w:val="00BD77A2"/>
    <w:rsid w:val="00BD7D42"/>
    <w:rsid w:val="00BE0593"/>
    <w:rsid w:val="00BE41C2"/>
    <w:rsid w:val="00BE57CC"/>
    <w:rsid w:val="00BE589E"/>
    <w:rsid w:val="00BE5F56"/>
    <w:rsid w:val="00BF0069"/>
    <w:rsid w:val="00BF0653"/>
    <w:rsid w:val="00BF1488"/>
    <w:rsid w:val="00BF1AC5"/>
    <w:rsid w:val="00BF2B3A"/>
    <w:rsid w:val="00BF42A9"/>
    <w:rsid w:val="00BF4DE0"/>
    <w:rsid w:val="00BF76CE"/>
    <w:rsid w:val="00C00332"/>
    <w:rsid w:val="00C0098E"/>
    <w:rsid w:val="00C00DAF"/>
    <w:rsid w:val="00C01E0E"/>
    <w:rsid w:val="00C01E19"/>
    <w:rsid w:val="00C03365"/>
    <w:rsid w:val="00C03903"/>
    <w:rsid w:val="00C043FD"/>
    <w:rsid w:val="00C04BD3"/>
    <w:rsid w:val="00C05EE1"/>
    <w:rsid w:val="00C10B83"/>
    <w:rsid w:val="00C145D4"/>
    <w:rsid w:val="00C15688"/>
    <w:rsid w:val="00C1624F"/>
    <w:rsid w:val="00C17210"/>
    <w:rsid w:val="00C202E8"/>
    <w:rsid w:val="00C20EC4"/>
    <w:rsid w:val="00C24201"/>
    <w:rsid w:val="00C24E0F"/>
    <w:rsid w:val="00C25F74"/>
    <w:rsid w:val="00C27909"/>
    <w:rsid w:val="00C325E4"/>
    <w:rsid w:val="00C34ED7"/>
    <w:rsid w:val="00C36060"/>
    <w:rsid w:val="00C40ABF"/>
    <w:rsid w:val="00C41C82"/>
    <w:rsid w:val="00C42ADF"/>
    <w:rsid w:val="00C434AA"/>
    <w:rsid w:val="00C44ED7"/>
    <w:rsid w:val="00C53585"/>
    <w:rsid w:val="00C53FAD"/>
    <w:rsid w:val="00C55484"/>
    <w:rsid w:val="00C62259"/>
    <w:rsid w:val="00C631BA"/>
    <w:rsid w:val="00C64DC9"/>
    <w:rsid w:val="00C64FD5"/>
    <w:rsid w:val="00C65684"/>
    <w:rsid w:val="00C65FD8"/>
    <w:rsid w:val="00C67DA1"/>
    <w:rsid w:val="00C7048F"/>
    <w:rsid w:val="00C806CD"/>
    <w:rsid w:val="00C81038"/>
    <w:rsid w:val="00C8114F"/>
    <w:rsid w:val="00C83CEB"/>
    <w:rsid w:val="00C83FC8"/>
    <w:rsid w:val="00C846CB"/>
    <w:rsid w:val="00C84A54"/>
    <w:rsid w:val="00C84A7C"/>
    <w:rsid w:val="00C852EF"/>
    <w:rsid w:val="00C86C07"/>
    <w:rsid w:val="00C87D7D"/>
    <w:rsid w:val="00C90932"/>
    <w:rsid w:val="00C91649"/>
    <w:rsid w:val="00C91DE4"/>
    <w:rsid w:val="00C91F7F"/>
    <w:rsid w:val="00C931AA"/>
    <w:rsid w:val="00C93959"/>
    <w:rsid w:val="00C93965"/>
    <w:rsid w:val="00C9514E"/>
    <w:rsid w:val="00C96C8D"/>
    <w:rsid w:val="00C96CC2"/>
    <w:rsid w:val="00C9732C"/>
    <w:rsid w:val="00C975DF"/>
    <w:rsid w:val="00CA0F21"/>
    <w:rsid w:val="00CA1049"/>
    <w:rsid w:val="00CA305C"/>
    <w:rsid w:val="00CA44FC"/>
    <w:rsid w:val="00CA64E5"/>
    <w:rsid w:val="00CA6EFF"/>
    <w:rsid w:val="00CA7C30"/>
    <w:rsid w:val="00CB033B"/>
    <w:rsid w:val="00CB0D3C"/>
    <w:rsid w:val="00CB286F"/>
    <w:rsid w:val="00CB4140"/>
    <w:rsid w:val="00CB5FF1"/>
    <w:rsid w:val="00CB6634"/>
    <w:rsid w:val="00CB7DE3"/>
    <w:rsid w:val="00CC494B"/>
    <w:rsid w:val="00CC5645"/>
    <w:rsid w:val="00CC5E95"/>
    <w:rsid w:val="00CC7124"/>
    <w:rsid w:val="00CC79D9"/>
    <w:rsid w:val="00CD00A1"/>
    <w:rsid w:val="00CD0E88"/>
    <w:rsid w:val="00CD33CE"/>
    <w:rsid w:val="00CD4F71"/>
    <w:rsid w:val="00CD532A"/>
    <w:rsid w:val="00CD559F"/>
    <w:rsid w:val="00CD7CF0"/>
    <w:rsid w:val="00CE2E6B"/>
    <w:rsid w:val="00CE3C30"/>
    <w:rsid w:val="00CE5060"/>
    <w:rsid w:val="00CF3ADB"/>
    <w:rsid w:val="00CF45DE"/>
    <w:rsid w:val="00CF5396"/>
    <w:rsid w:val="00CF6792"/>
    <w:rsid w:val="00CF6EB1"/>
    <w:rsid w:val="00D01700"/>
    <w:rsid w:val="00D032E5"/>
    <w:rsid w:val="00D0450A"/>
    <w:rsid w:val="00D0481A"/>
    <w:rsid w:val="00D055F4"/>
    <w:rsid w:val="00D05D72"/>
    <w:rsid w:val="00D05DEA"/>
    <w:rsid w:val="00D07335"/>
    <w:rsid w:val="00D07829"/>
    <w:rsid w:val="00D079BF"/>
    <w:rsid w:val="00D113AE"/>
    <w:rsid w:val="00D119E6"/>
    <w:rsid w:val="00D11F1C"/>
    <w:rsid w:val="00D1251E"/>
    <w:rsid w:val="00D14035"/>
    <w:rsid w:val="00D14525"/>
    <w:rsid w:val="00D15A39"/>
    <w:rsid w:val="00D1614F"/>
    <w:rsid w:val="00D166D5"/>
    <w:rsid w:val="00D16B83"/>
    <w:rsid w:val="00D20F61"/>
    <w:rsid w:val="00D23059"/>
    <w:rsid w:val="00D23902"/>
    <w:rsid w:val="00D252CC"/>
    <w:rsid w:val="00D256EA"/>
    <w:rsid w:val="00D339F8"/>
    <w:rsid w:val="00D34789"/>
    <w:rsid w:val="00D3524D"/>
    <w:rsid w:val="00D35CE3"/>
    <w:rsid w:val="00D36674"/>
    <w:rsid w:val="00D411DB"/>
    <w:rsid w:val="00D41810"/>
    <w:rsid w:val="00D43664"/>
    <w:rsid w:val="00D4445A"/>
    <w:rsid w:val="00D4485D"/>
    <w:rsid w:val="00D454E2"/>
    <w:rsid w:val="00D45DAF"/>
    <w:rsid w:val="00D47261"/>
    <w:rsid w:val="00D47483"/>
    <w:rsid w:val="00D47FDA"/>
    <w:rsid w:val="00D53325"/>
    <w:rsid w:val="00D5335E"/>
    <w:rsid w:val="00D54E57"/>
    <w:rsid w:val="00D551D3"/>
    <w:rsid w:val="00D56AD5"/>
    <w:rsid w:val="00D570A5"/>
    <w:rsid w:val="00D60358"/>
    <w:rsid w:val="00D6086F"/>
    <w:rsid w:val="00D61582"/>
    <w:rsid w:val="00D6164D"/>
    <w:rsid w:val="00D62141"/>
    <w:rsid w:val="00D63819"/>
    <w:rsid w:val="00D644B5"/>
    <w:rsid w:val="00D64CB5"/>
    <w:rsid w:val="00D65D1D"/>
    <w:rsid w:val="00D7196B"/>
    <w:rsid w:val="00D71B1D"/>
    <w:rsid w:val="00D73646"/>
    <w:rsid w:val="00D763F3"/>
    <w:rsid w:val="00D76C7B"/>
    <w:rsid w:val="00D8177A"/>
    <w:rsid w:val="00D8331A"/>
    <w:rsid w:val="00D83929"/>
    <w:rsid w:val="00D839E7"/>
    <w:rsid w:val="00D8441C"/>
    <w:rsid w:val="00D84A4A"/>
    <w:rsid w:val="00D854FF"/>
    <w:rsid w:val="00D861A2"/>
    <w:rsid w:val="00D91369"/>
    <w:rsid w:val="00D965CB"/>
    <w:rsid w:val="00DA2CAB"/>
    <w:rsid w:val="00DA35D0"/>
    <w:rsid w:val="00DA3EA2"/>
    <w:rsid w:val="00DB0FC2"/>
    <w:rsid w:val="00DB10C6"/>
    <w:rsid w:val="00DB1B6A"/>
    <w:rsid w:val="00DB2162"/>
    <w:rsid w:val="00DB55AF"/>
    <w:rsid w:val="00DB6179"/>
    <w:rsid w:val="00DB71BA"/>
    <w:rsid w:val="00DC06A3"/>
    <w:rsid w:val="00DC13FF"/>
    <w:rsid w:val="00DC28D4"/>
    <w:rsid w:val="00DC3B67"/>
    <w:rsid w:val="00DC5919"/>
    <w:rsid w:val="00DC7C92"/>
    <w:rsid w:val="00DD170D"/>
    <w:rsid w:val="00DD357A"/>
    <w:rsid w:val="00DD38F7"/>
    <w:rsid w:val="00DD56E2"/>
    <w:rsid w:val="00DD5B50"/>
    <w:rsid w:val="00DD6652"/>
    <w:rsid w:val="00DD6EB9"/>
    <w:rsid w:val="00DD6FFE"/>
    <w:rsid w:val="00DD71A5"/>
    <w:rsid w:val="00DD7485"/>
    <w:rsid w:val="00DE113B"/>
    <w:rsid w:val="00DE21AE"/>
    <w:rsid w:val="00DE4501"/>
    <w:rsid w:val="00DE5578"/>
    <w:rsid w:val="00DE7102"/>
    <w:rsid w:val="00DF47E5"/>
    <w:rsid w:val="00DF4CF1"/>
    <w:rsid w:val="00DF55D9"/>
    <w:rsid w:val="00DF63A8"/>
    <w:rsid w:val="00DF681F"/>
    <w:rsid w:val="00E00AE5"/>
    <w:rsid w:val="00E036A2"/>
    <w:rsid w:val="00E03B52"/>
    <w:rsid w:val="00E03C49"/>
    <w:rsid w:val="00E03C90"/>
    <w:rsid w:val="00E04246"/>
    <w:rsid w:val="00E04B9F"/>
    <w:rsid w:val="00E05127"/>
    <w:rsid w:val="00E06334"/>
    <w:rsid w:val="00E11008"/>
    <w:rsid w:val="00E13B6B"/>
    <w:rsid w:val="00E16F61"/>
    <w:rsid w:val="00E17EF0"/>
    <w:rsid w:val="00E17F80"/>
    <w:rsid w:val="00E200ED"/>
    <w:rsid w:val="00E22A5C"/>
    <w:rsid w:val="00E22B11"/>
    <w:rsid w:val="00E246B3"/>
    <w:rsid w:val="00E25402"/>
    <w:rsid w:val="00E27905"/>
    <w:rsid w:val="00E315FB"/>
    <w:rsid w:val="00E31A49"/>
    <w:rsid w:val="00E32E3F"/>
    <w:rsid w:val="00E33B06"/>
    <w:rsid w:val="00E34E27"/>
    <w:rsid w:val="00E357C6"/>
    <w:rsid w:val="00E35F3D"/>
    <w:rsid w:val="00E366B7"/>
    <w:rsid w:val="00E4318C"/>
    <w:rsid w:val="00E46577"/>
    <w:rsid w:val="00E504D9"/>
    <w:rsid w:val="00E5214B"/>
    <w:rsid w:val="00E52C0E"/>
    <w:rsid w:val="00E555DE"/>
    <w:rsid w:val="00E56652"/>
    <w:rsid w:val="00E56BB8"/>
    <w:rsid w:val="00E57437"/>
    <w:rsid w:val="00E57D0F"/>
    <w:rsid w:val="00E601BC"/>
    <w:rsid w:val="00E624A4"/>
    <w:rsid w:val="00E62F98"/>
    <w:rsid w:val="00E64F52"/>
    <w:rsid w:val="00E6531F"/>
    <w:rsid w:val="00E65801"/>
    <w:rsid w:val="00E66094"/>
    <w:rsid w:val="00E70A58"/>
    <w:rsid w:val="00E7321E"/>
    <w:rsid w:val="00E73AFA"/>
    <w:rsid w:val="00E74405"/>
    <w:rsid w:val="00E81214"/>
    <w:rsid w:val="00E82F79"/>
    <w:rsid w:val="00E855E0"/>
    <w:rsid w:val="00E86A1C"/>
    <w:rsid w:val="00E86C87"/>
    <w:rsid w:val="00E873B6"/>
    <w:rsid w:val="00E87B4D"/>
    <w:rsid w:val="00E90374"/>
    <w:rsid w:val="00E9091D"/>
    <w:rsid w:val="00E90B68"/>
    <w:rsid w:val="00E91294"/>
    <w:rsid w:val="00E96395"/>
    <w:rsid w:val="00E96570"/>
    <w:rsid w:val="00E965B3"/>
    <w:rsid w:val="00EA07A2"/>
    <w:rsid w:val="00EA0F12"/>
    <w:rsid w:val="00EA1857"/>
    <w:rsid w:val="00EA448C"/>
    <w:rsid w:val="00EA4D2C"/>
    <w:rsid w:val="00EA4D69"/>
    <w:rsid w:val="00EA5FFB"/>
    <w:rsid w:val="00EA73B2"/>
    <w:rsid w:val="00EA76C7"/>
    <w:rsid w:val="00EB1E2F"/>
    <w:rsid w:val="00EC1289"/>
    <w:rsid w:val="00EC24EB"/>
    <w:rsid w:val="00EC5A65"/>
    <w:rsid w:val="00EC6DAF"/>
    <w:rsid w:val="00ED01E9"/>
    <w:rsid w:val="00ED0486"/>
    <w:rsid w:val="00ED3D00"/>
    <w:rsid w:val="00ED6945"/>
    <w:rsid w:val="00ED7286"/>
    <w:rsid w:val="00ED7D9E"/>
    <w:rsid w:val="00EE18F9"/>
    <w:rsid w:val="00EE21FB"/>
    <w:rsid w:val="00EE5288"/>
    <w:rsid w:val="00EE657F"/>
    <w:rsid w:val="00EE6592"/>
    <w:rsid w:val="00EE7BAE"/>
    <w:rsid w:val="00EF006A"/>
    <w:rsid w:val="00EF5569"/>
    <w:rsid w:val="00EF57AB"/>
    <w:rsid w:val="00EF6529"/>
    <w:rsid w:val="00EF7480"/>
    <w:rsid w:val="00F00A2E"/>
    <w:rsid w:val="00F013AF"/>
    <w:rsid w:val="00F01B95"/>
    <w:rsid w:val="00F028B3"/>
    <w:rsid w:val="00F0322D"/>
    <w:rsid w:val="00F0551C"/>
    <w:rsid w:val="00F108D0"/>
    <w:rsid w:val="00F118CB"/>
    <w:rsid w:val="00F13A9F"/>
    <w:rsid w:val="00F15AA8"/>
    <w:rsid w:val="00F169BE"/>
    <w:rsid w:val="00F17B62"/>
    <w:rsid w:val="00F24B10"/>
    <w:rsid w:val="00F24D84"/>
    <w:rsid w:val="00F279F5"/>
    <w:rsid w:val="00F303D7"/>
    <w:rsid w:val="00F31DC4"/>
    <w:rsid w:val="00F3403F"/>
    <w:rsid w:val="00F3544B"/>
    <w:rsid w:val="00F35566"/>
    <w:rsid w:val="00F3601C"/>
    <w:rsid w:val="00F41499"/>
    <w:rsid w:val="00F41E46"/>
    <w:rsid w:val="00F43D55"/>
    <w:rsid w:val="00F4579D"/>
    <w:rsid w:val="00F46C79"/>
    <w:rsid w:val="00F50E0E"/>
    <w:rsid w:val="00F53E5E"/>
    <w:rsid w:val="00F54289"/>
    <w:rsid w:val="00F5563A"/>
    <w:rsid w:val="00F576D8"/>
    <w:rsid w:val="00F5786F"/>
    <w:rsid w:val="00F61126"/>
    <w:rsid w:val="00F65DE7"/>
    <w:rsid w:val="00F66863"/>
    <w:rsid w:val="00F71FC3"/>
    <w:rsid w:val="00F7279A"/>
    <w:rsid w:val="00F75A7A"/>
    <w:rsid w:val="00F75E1F"/>
    <w:rsid w:val="00F770F2"/>
    <w:rsid w:val="00F777CF"/>
    <w:rsid w:val="00F80898"/>
    <w:rsid w:val="00F814F6"/>
    <w:rsid w:val="00F81CBE"/>
    <w:rsid w:val="00F83469"/>
    <w:rsid w:val="00F85108"/>
    <w:rsid w:val="00F86B80"/>
    <w:rsid w:val="00F87A67"/>
    <w:rsid w:val="00F913AC"/>
    <w:rsid w:val="00F914DC"/>
    <w:rsid w:val="00F91FC7"/>
    <w:rsid w:val="00F944EC"/>
    <w:rsid w:val="00F9665B"/>
    <w:rsid w:val="00F97297"/>
    <w:rsid w:val="00FA1785"/>
    <w:rsid w:val="00FA1A61"/>
    <w:rsid w:val="00FA2C9B"/>
    <w:rsid w:val="00FA35D6"/>
    <w:rsid w:val="00FA489A"/>
    <w:rsid w:val="00FB2438"/>
    <w:rsid w:val="00FB3D2A"/>
    <w:rsid w:val="00FB6F33"/>
    <w:rsid w:val="00FB7354"/>
    <w:rsid w:val="00FC32C5"/>
    <w:rsid w:val="00FC49DB"/>
    <w:rsid w:val="00FC553F"/>
    <w:rsid w:val="00FC71D8"/>
    <w:rsid w:val="00FC7787"/>
    <w:rsid w:val="00FC7922"/>
    <w:rsid w:val="00FD1134"/>
    <w:rsid w:val="00FD22F4"/>
    <w:rsid w:val="00FD26E8"/>
    <w:rsid w:val="00FD272F"/>
    <w:rsid w:val="00FD3053"/>
    <w:rsid w:val="00FD3A40"/>
    <w:rsid w:val="00FD50A8"/>
    <w:rsid w:val="00FD5269"/>
    <w:rsid w:val="00FD579D"/>
    <w:rsid w:val="00FD5DF4"/>
    <w:rsid w:val="00FD6ECA"/>
    <w:rsid w:val="00FE0BE3"/>
    <w:rsid w:val="00FE3B18"/>
    <w:rsid w:val="00FE5DB2"/>
    <w:rsid w:val="00FE6B60"/>
    <w:rsid w:val="00FE7373"/>
    <w:rsid w:val="00FF0BAB"/>
    <w:rsid w:val="00FF351D"/>
    <w:rsid w:val="00FF5C48"/>
    <w:rsid w:val="00FF7764"/>
    <w:rsid w:val="00FF7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CE3D3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F23"/>
    <w:pPr>
      <w:spacing w:before="120" w:line="276" w:lineRule="auto"/>
    </w:pPr>
    <w:rPr>
      <w:rFonts w:ascii="Arial" w:hAnsi="Arial"/>
      <w:sz w:val="22"/>
      <w:szCs w:val="22"/>
    </w:rPr>
  </w:style>
  <w:style w:type="paragraph" w:styleId="Heading1">
    <w:name w:val="heading 1"/>
    <w:basedOn w:val="Normal"/>
    <w:next w:val="Normal"/>
    <w:link w:val="Heading1Char"/>
    <w:uiPriority w:val="9"/>
    <w:qFormat/>
    <w:rsid w:val="008E0F23"/>
    <w:pPr>
      <w:keepNext/>
      <w:keepLines/>
      <w:spacing w:before="480"/>
      <w:jc w:val="right"/>
      <w:outlineLvl w:val="0"/>
    </w:pPr>
    <w:rPr>
      <w:bCs/>
      <w:color w:val="548DD4"/>
      <w:sz w:val="36"/>
      <w:szCs w:val="28"/>
    </w:rPr>
  </w:style>
  <w:style w:type="paragraph" w:styleId="Heading2">
    <w:name w:val="heading 2"/>
    <w:basedOn w:val="Normal"/>
    <w:next w:val="Normal"/>
    <w:link w:val="Heading2Char"/>
    <w:uiPriority w:val="9"/>
    <w:unhideWhenUsed/>
    <w:qFormat/>
    <w:rsid w:val="00B904AB"/>
    <w:pPr>
      <w:keepNext/>
      <w:keepLines/>
      <w:spacing w:before="200"/>
      <w:outlineLvl w:val="1"/>
    </w:pPr>
    <w:rPr>
      <w:bCs/>
      <w:color w:val="548DD4"/>
      <w:sz w:val="36"/>
      <w:szCs w:val="26"/>
    </w:rPr>
  </w:style>
  <w:style w:type="paragraph" w:styleId="Heading3">
    <w:name w:val="heading 3"/>
    <w:basedOn w:val="Normal"/>
    <w:next w:val="Normal"/>
    <w:link w:val="Heading3Char"/>
    <w:uiPriority w:val="9"/>
    <w:unhideWhenUsed/>
    <w:qFormat/>
    <w:rsid w:val="00B904AB"/>
    <w:pPr>
      <w:keepNext/>
      <w:keepLines/>
      <w:spacing w:before="200"/>
      <w:outlineLvl w:val="2"/>
    </w:pPr>
    <w:rPr>
      <w:bCs/>
      <w:color w:val="365F91"/>
      <w:sz w:val="26"/>
    </w:rPr>
  </w:style>
  <w:style w:type="paragraph" w:styleId="Heading4">
    <w:name w:val="heading 4"/>
    <w:basedOn w:val="Normal"/>
    <w:next w:val="Normal"/>
    <w:link w:val="Heading4Char"/>
    <w:uiPriority w:val="9"/>
    <w:unhideWhenUsed/>
    <w:qFormat/>
    <w:rsid w:val="00E57D0F"/>
    <w:pPr>
      <w:keepNext/>
      <w:keepLines/>
      <w:spacing w:before="200"/>
      <w:outlineLvl w:val="3"/>
    </w:pPr>
    <w:rPr>
      <w:b/>
      <w:bCs/>
      <w:iCs/>
      <w:color w:val="244061"/>
    </w:rPr>
  </w:style>
  <w:style w:type="paragraph" w:styleId="Heading5">
    <w:name w:val="heading 5"/>
    <w:basedOn w:val="Normal"/>
    <w:next w:val="Normal"/>
    <w:link w:val="Heading5Char"/>
    <w:uiPriority w:val="9"/>
    <w:unhideWhenUsed/>
    <w:qFormat/>
    <w:rsid w:val="000527D2"/>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4B416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4161"/>
    <w:rPr>
      <w:rFonts w:ascii="Tahoma" w:hAnsi="Tahoma" w:cs="Tahoma"/>
      <w:sz w:val="16"/>
      <w:szCs w:val="16"/>
    </w:rPr>
  </w:style>
  <w:style w:type="paragraph" w:customStyle="1" w:styleId="definition">
    <w:name w:val="definition"/>
    <w:basedOn w:val="Normal"/>
    <w:rsid w:val="00277051"/>
    <w:pPr>
      <w:spacing w:before="100" w:beforeAutospacing="1" w:after="100" w:afterAutospacing="1" w:line="240" w:lineRule="auto"/>
    </w:pPr>
    <w:rPr>
      <w:rFonts w:ascii="Times New Roman" w:hAnsi="Times New Roman"/>
      <w:sz w:val="24"/>
      <w:szCs w:val="24"/>
    </w:rPr>
  </w:style>
  <w:style w:type="paragraph" w:customStyle="1" w:styleId="paragraph">
    <w:name w:val="paragraph"/>
    <w:aliases w:val="a"/>
    <w:basedOn w:val="Normal"/>
    <w:link w:val="paragraphChar"/>
    <w:rsid w:val="00277051"/>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77051"/>
    <w:pPr>
      <w:ind w:left="720"/>
      <w:contextualSpacing/>
    </w:pPr>
  </w:style>
  <w:style w:type="character" w:customStyle="1" w:styleId="Heading1Char">
    <w:name w:val="Heading 1 Char"/>
    <w:link w:val="Heading1"/>
    <w:uiPriority w:val="9"/>
    <w:rsid w:val="008E0F23"/>
    <w:rPr>
      <w:rFonts w:ascii="Arial" w:eastAsia="Times New Roman" w:hAnsi="Arial" w:cs="Times New Roman"/>
      <w:bCs/>
      <w:color w:val="548DD4"/>
      <w:sz w:val="36"/>
      <w:szCs w:val="28"/>
    </w:rPr>
  </w:style>
  <w:style w:type="paragraph" w:styleId="TOCHeading">
    <w:name w:val="TOC Heading"/>
    <w:basedOn w:val="Heading1"/>
    <w:next w:val="Normal"/>
    <w:uiPriority w:val="39"/>
    <w:semiHidden/>
    <w:unhideWhenUsed/>
    <w:qFormat/>
    <w:rsid w:val="00505F23"/>
    <w:pPr>
      <w:outlineLvl w:val="9"/>
    </w:pPr>
    <w:rPr>
      <w:lang w:val="en-US" w:eastAsia="ja-JP"/>
    </w:rPr>
  </w:style>
  <w:style w:type="character" w:styleId="Hyperlink">
    <w:name w:val="Hyperlink"/>
    <w:uiPriority w:val="99"/>
    <w:unhideWhenUsed/>
    <w:rsid w:val="002C2B37"/>
    <w:rPr>
      <w:color w:val="0000FF"/>
      <w:u w:val="single"/>
    </w:rPr>
  </w:style>
  <w:style w:type="table" w:styleId="TableGrid">
    <w:name w:val="Table Grid"/>
    <w:basedOn w:val="TableNormal"/>
    <w:uiPriority w:val="59"/>
    <w:rsid w:val="00B57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F1F9E"/>
    <w:pPr>
      <w:tabs>
        <w:tab w:val="right" w:pos="9017"/>
      </w:tabs>
      <w:jc w:val="both"/>
    </w:pPr>
    <w:rPr>
      <w:bCs/>
      <w:noProof/>
      <w:color w:val="365F91"/>
      <w:sz w:val="24"/>
      <w:szCs w:val="24"/>
    </w:rPr>
  </w:style>
  <w:style w:type="character" w:customStyle="1" w:styleId="Heading2Char">
    <w:name w:val="Heading 2 Char"/>
    <w:link w:val="Heading2"/>
    <w:uiPriority w:val="9"/>
    <w:rsid w:val="00B904AB"/>
    <w:rPr>
      <w:rFonts w:ascii="Arial" w:eastAsia="Times New Roman" w:hAnsi="Arial" w:cs="Times New Roman"/>
      <w:bCs/>
      <w:color w:val="548DD4"/>
      <w:sz w:val="36"/>
      <w:szCs w:val="26"/>
    </w:rPr>
  </w:style>
  <w:style w:type="character" w:customStyle="1" w:styleId="Heading3Char">
    <w:name w:val="Heading 3 Char"/>
    <w:link w:val="Heading3"/>
    <w:uiPriority w:val="9"/>
    <w:rsid w:val="00B904AB"/>
    <w:rPr>
      <w:rFonts w:ascii="Arial" w:eastAsia="Times New Roman" w:hAnsi="Arial" w:cs="Times New Roman"/>
      <w:bCs/>
      <w:color w:val="365F91"/>
      <w:sz w:val="26"/>
    </w:rPr>
  </w:style>
  <w:style w:type="paragraph" w:styleId="TOC2">
    <w:name w:val="toc 2"/>
    <w:basedOn w:val="Normal"/>
    <w:next w:val="Normal"/>
    <w:autoRedefine/>
    <w:uiPriority w:val="39"/>
    <w:unhideWhenUsed/>
    <w:rsid w:val="0082200C"/>
    <w:rPr>
      <w:bCs/>
      <w:color w:val="244061"/>
      <w:sz w:val="24"/>
      <w:szCs w:val="20"/>
    </w:rPr>
  </w:style>
  <w:style w:type="character" w:customStyle="1" w:styleId="Heading4Char">
    <w:name w:val="Heading 4 Char"/>
    <w:link w:val="Heading4"/>
    <w:uiPriority w:val="9"/>
    <w:rsid w:val="00E57D0F"/>
    <w:rPr>
      <w:rFonts w:ascii="Arial" w:eastAsia="Times New Roman" w:hAnsi="Arial" w:cs="Times New Roman"/>
      <w:b/>
      <w:bCs/>
      <w:iCs/>
      <w:color w:val="244061"/>
    </w:rPr>
  </w:style>
  <w:style w:type="paragraph" w:styleId="TOC3">
    <w:name w:val="toc 3"/>
    <w:basedOn w:val="Normal"/>
    <w:next w:val="Normal"/>
    <w:autoRedefine/>
    <w:uiPriority w:val="39"/>
    <w:unhideWhenUsed/>
    <w:rsid w:val="0082200C"/>
    <w:pPr>
      <w:spacing w:before="0"/>
      <w:ind w:left="220"/>
    </w:pPr>
    <w:rPr>
      <w:szCs w:val="20"/>
    </w:rPr>
  </w:style>
  <w:style w:type="paragraph" w:styleId="TOC4">
    <w:name w:val="toc 4"/>
    <w:basedOn w:val="Normal"/>
    <w:next w:val="Normal"/>
    <w:autoRedefine/>
    <w:uiPriority w:val="39"/>
    <w:unhideWhenUsed/>
    <w:rsid w:val="008E0F23"/>
    <w:pPr>
      <w:spacing w:before="0"/>
      <w:ind w:left="440"/>
    </w:pPr>
    <w:rPr>
      <w:rFonts w:ascii="Calibri" w:hAnsi="Calibri"/>
      <w:sz w:val="20"/>
      <w:szCs w:val="20"/>
    </w:rPr>
  </w:style>
  <w:style w:type="paragraph" w:styleId="TOC5">
    <w:name w:val="toc 5"/>
    <w:basedOn w:val="Normal"/>
    <w:next w:val="Normal"/>
    <w:autoRedefine/>
    <w:uiPriority w:val="39"/>
    <w:unhideWhenUsed/>
    <w:rsid w:val="008E0F23"/>
    <w:pPr>
      <w:spacing w:before="0"/>
      <w:ind w:left="660"/>
    </w:pPr>
    <w:rPr>
      <w:rFonts w:ascii="Calibri" w:hAnsi="Calibri"/>
      <w:sz w:val="20"/>
      <w:szCs w:val="20"/>
    </w:rPr>
  </w:style>
  <w:style w:type="paragraph" w:styleId="TOC6">
    <w:name w:val="toc 6"/>
    <w:basedOn w:val="Normal"/>
    <w:next w:val="Normal"/>
    <w:autoRedefine/>
    <w:uiPriority w:val="39"/>
    <w:unhideWhenUsed/>
    <w:rsid w:val="008E0F23"/>
    <w:pPr>
      <w:spacing w:before="0"/>
      <w:ind w:left="880"/>
    </w:pPr>
    <w:rPr>
      <w:rFonts w:ascii="Calibri" w:hAnsi="Calibri"/>
      <w:sz w:val="20"/>
      <w:szCs w:val="20"/>
    </w:rPr>
  </w:style>
  <w:style w:type="paragraph" w:styleId="TOC7">
    <w:name w:val="toc 7"/>
    <w:basedOn w:val="Normal"/>
    <w:next w:val="Normal"/>
    <w:autoRedefine/>
    <w:uiPriority w:val="39"/>
    <w:unhideWhenUsed/>
    <w:rsid w:val="008E0F23"/>
    <w:pPr>
      <w:spacing w:before="0"/>
      <w:ind w:left="1100"/>
    </w:pPr>
    <w:rPr>
      <w:rFonts w:ascii="Calibri" w:hAnsi="Calibri"/>
      <w:sz w:val="20"/>
      <w:szCs w:val="20"/>
    </w:rPr>
  </w:style>
  <w:style w:type="paragraph" w:styleId="TOC8">
    <w:name w:val="toc 8"/>
    <w:basedOn w:val="Normal"/>
    <w:next w:val="Normal"/>
    <w:autoRedefine/>
    <w:uiPriority w:val="39"/>
    <w:unhideWhenUsed/>
    <w:rsid w:val="008E0F23"/>
    <w:pPr>
      <w:spacing w:before="0"/>
      <w:ind w:left="1320"/>
    </w:pPr>
    <w:rPr>
      <w:rFonts w:ascii="Calibri" w:hAnsi="Calibri"/>
      <w:sz w:val="20"/>
      <w:szCs w:val="20"/>
    </w:rPr>
  </w:style>
  <w:style w:type="paragraph" w:styleId="TOC9">
    <w:name w:val="toc 9"/>
    <w:basedOn w:val="Normal"/>
    <w:next w:val="Normal"/>
    <w:autoRedefine/>
    <w:uiPriority w:val="39"/>
    <w:unhideWhenUsed/>
    <w:rsid w:val="008E0F23"/>
    <w:pPr>
      <w:spacing w:before="0"/>
      <w:ind w:left="1540"/>
    </w:pPr>
    <w:rPr>
      <w:rFonts w:ascii="Calibri" w:hAnsi="Calibri"/>
      <w:sz w:val="20"/>
      <w:szCs w:val="20"/>
    </w:rPr>
  </w:style>
  <w:style w:type="paragraph" w:styleId="Header">
    <w:name w:val="header"/>
    <w:basedOn w:val="Normal"/>
    <w:link w:val="HeaderChar"/>
    <w:uiPriority w:val="99"/>
    <w:unhideWhenUsed/>
    <w:rsid w:val="00741812"/>
    <w:pPr>
      <w:tabs>
        <w:tab w:val="center" w:pos="4513"/>
        <w:tab w:val="right" w:pos="9026"/>
      </w:tabs>
      <w:spacing w:before="0" w:line="240" w:lineRule="auto"/>
    </w:pPr>
  </w:style>
  <w:style w:type="character" w:customStyle="1" w:styleId="HeaderChar">
    <w:name w:val="Header Char"/>
    <w:link w:val="Header"/>
    <w:uiPriority w:val="99"/>
    <w:rsid w:val="00741812"/>
    <w:rPr>
      <w:rFonts w:ascii="Arial" w:hAnsi="Arial"/>
    </w:rPr>
  </w:style>
  <w:style w:type="paragraph" w:styleId="Footer">
    <w:name w:val="footer"/>
    <w:basedOn w:val="Normal"/>
    <w:link w:val="FooterChar"/>
    <w:uiPriority w:val="99"/>
    <w:unhideWhenUsed/>
    <w:rsid w:val="00741812"/>
    <w:pPr>
      <w:tabs>
        <w:tab w:val="center" w:pos="4513"/>
        <w:tab w:val="right" w:pos="9026"/>
      </w:tabs>
      <w:spacing w:before="0" w:line="240" w:lineRule="auto"/>
    </w:pPr>
  </w:style>
  <w:style w:type="character" w:customStyle="1" w:styleId="FooterChar">
    <w:name w:val="Footer Char"/>
    <w:link w:val="Footer"/>
    <w:uiPriority w:val="99"/>
    <w:rsid w:val="00741812"/>
    <w:rPr>
      <w:rFonts w:ascii="Arial" w:hAnsi="Arial"/>
    </w:rPr>
  </w:style>
  <w:style w:type="character" w:styleId="FollowedHyperlink">
    <w:name w:val="FollowedHyperlink"/>
    <w:uiPriority w:val="99"/>
    <w:semiHidden/>
    <w:unhideWhenUsed/>
    <w:rsid w:val="00110787"/>
    <w:rPr>
      <w:color w:val="800080"/>
      <w:u w:val="single"/>
    </w:rPr>
  </w:style>
  <w:style w:type="paragraph" w:customStyle="1" w:styleId="Textbody0">
    <w:name w:val="Text body 0"/>
    <w:aliases w:val="12"/>
    <w:basedOn w:val="Normal"/>
    <w:rsid w:val="00762F03"/>
    <w:pPr>
      <w:spacing w:before="0" w:after="240" w:line="240" w:lineRule="auto"/>
      <w:ind w:right="45"/>
    </w:pPr>
    <w:rPr>
      <w:rFonts w:ascii="Times New Roman" w:hAnsi="Times New Roman"/>
      <w:bCs/>
      <w:sz w:val="24"/>
      <w:szCs w:val="24"/>
    </w:rPr>
  </w:style>
  <w:style w:type="paragraph" w:customStyle="1" w:styleId="notepara">
    <w:name w:val="note(para)"/>
    <w:aliases w:val="na"/>
    <w:basedOn w:val="Normal"/>
    <w:rsid w:val="00762F03"/>
    <w:pPr>
      <w:spacing w:before="40" w:line="198" w:lineRule="exact"/>
      <w:ind w:left="2354" w:hanging="369"/>
    </w:pPr>
    <w:rPr>
      <w:rFonts w:ascii="Times New Roman" w:hAnsi="Times New Roman"/>
      <w:sz w:val="18"/>
      <w:szCs w:val="20"/>
    </w:rPr>
  </w:style>
  <w:style w:type="paragraph" w:customStyle="1" w:styleId="notetext">
    <w:name w:val="note(text)"/>
    <w:aliases w:val="n"/>
    <w:basedOn w:val="Normal"/>
    <w:rsid w:val="00762F03"/>
    <w:pPr>
      <w:spacing w:before="122" w:line="240" w:lineRule="auto"/>
      <w:ind w:left="1985" w:hanging="851"/>
    </w:pPr>
    <w:rPr>
      <w:rFonts w:ascii="Times New Roman" w:hAnsi="Times New Roman"/>
      <w:sz w:val="18"/>
      <w:szCs w:val="20"/>
    </w:rPr>
  </w:style>
  <w:style w:type="paragraph" w:customStyle="1" w:styleId="ActHead5">
    <w:name w:val="ActHead 5"/>
    <w:aliases w:val="s"/>
    <w:basedOn w:val="Normal"/>
    <w:next w:val="subsection"/>
    <w:qFormat/>
    <w:rsid w:val="0009791E"/>
    <w:pPr>
      <w:keepNext/>
      <w:keepLines/>
      <w:spacing w:before="280" w:line="240" w:lineRule="auto"/>
      <w:ind w:left="1134" w:hanging="1134"/>
      <w:outlineLvl w:val="4"/>
    </w:pPr>
    <w:rPr>
      <w:rFonts w:ascii="Times New Roman" w:hAnsi="Times New Roman"/>
      <w:b/>
      <w:kern w:val="28"/>
      <w:sz w:val="24"/>
      <w:szCs w:val="20"/>
    </w:rPr>
  </w:style>
  <w:style w:type="paragraph" w:customStyle="1" w:styleId="subsection">
    <w:name w:val="subsection"/>
    <w:aliases w:val="ss"/>
    <w:basedOn w:val="Normal"/>
    <w:rsid w:val="0009791E"/>
    <w:pPr>
      <w:tabs>
        <w:tab w:val="right" w:pos="1021"/>
      </w:tabs>
      <w:spacing w:before="180" w:line="240" w:lineRule="auto"/>
      <w:ind w:left="1134" w:hanging="1134"/>
    </w:pPr>
    <w:rPr>
      <w:rFonts w:ascii="Times New Roman" w:hAnsi="Times New Roman"/>
      <w:szCs w:val="20"/>
    </w:rPr>
  </w:style>
  <w:style w:type="character" w:customStyle="1" w:styleId="paragraphChar">
    <w:name w:val="paragraph Char"/>
    <w:aliases w:val="a Char"/>
    <w:link w:val="paragraph"/>
    <w:rsid w:val="0009791E"/>
    <w:rPr>
      <w:rFonts w:ascii="Times New Roman" w:eastAsia="Times New Roman" w:hAnsi="Times New Roman" w:cs="Times New Roman"/>
      <w:sz w:val="24"/>
      <w:szCs w:val="24"/>
    </w:rPr>
  </w:style>
  <w:style w:type="paragraph" w:styleId="NormalWeb">
    <w:name w:val="Normal (Web)"/>
    <w:basedOn w:val="Normal"/>
    <w:uiPriority w:val="99"/>
    <w:semiHidden/>
    <w:unhideWhenUsed/>
    <w:rsid w:val="00C631BA"/>
    <w:pPr>
      <w:spacing w:before="100" w:beforeAutospacing="1" w:after="100" w:afterAutospacing="1" w:line="240" w:lineRule="auto"/>
    </w:pPr>
    <w:rPr>
      <w:rFonts w:ascii="Times New Roman" w:hAnsi="Times New Roman"/>
      <w:sz w:val="24"/>
      <w:szCs w:val="24"/>
    </w:rPr>
  </w:style>
  <w:style w:type="character" w:customStyle="1" w:styleId="st1">
    <w:name w:val="st1"/>
    <w:basedOn w:val="DefaultParagraphFont"/>
    <w:rsid w:val="00E04B9F"/>
  </w:style>
  <w:style w:type="character" w:styleId="CommentReference">
    <w:name w:val="annotation reference"/>
    <w:uiPriority w:val="99"/>
    <w:semiHidden/>
    <w:unhideWhenUsed/>
    <w:rsid w:val="00780AAE"/>
    <w:rPr>
      <w:sz w:val="16"/>
      <w:szCs w:val="16"/>
    </w:rPr>
  </w:style>
  <w:style w:type="paragraph" w:styleId="CommentText">
    <w:name w:val="annotation text"/>
    <w:basedOn w:val="Normal"/>
    <w:link w:val="CommentTextChar"/>
    <w:uiPriority w:val="99"/>
    <w:semiHidden/>
    <w:unhideWhenUsed/>
    <w:rsid w:val="00780AAE"/>
    <w:pPr>
      <w:spacing w:line="240" w:lineRule="auto"/>
    </w:pPr>
    <w:rPr>
      <w:sz w:val="20"/>
      <w:szCs w:val="20"/>
    </w:rPr>
  </w:style>
  <w:style w:type="character" w:customStyle="1" w:styleId="CommentTextChar">
    <w:name w:val="Comment Text Char"/>
    <w:link w:val="CommentText"/>
    <w:uiPriority w:val="99"/>
    <w:semiHidden/>
    <w:rsid w:val="00780A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80AAE"/>
    <w:rPr>
      <w:b/>
      <w:bCs/>
    </w:rPr>
  </w:style>
  <w:style w:type="character" w:customStyle="1" w:styleId="CommentSubjectChar">
    <w:name w:val="Comment Subject Char"/>
    <w:link w:val="CommentSubject"/>
    <w:uiPriority w:val="99"/>
    <w:semiHidden/>
    <w:rsid w:val="00780AAE"/>
    <w:rPr>
      <w:rFonts w:ascii="Arial" w:hAnsi="Arial"/>
      <w:b/>
      <w:bCs/>
      <w:sz w:val="20"/>
      <w:szCs w:val="20"/>
    </w:rPr>
  </w:style>
  <w:style w:type="paragraph" w:styleId="Revision">
    <w:name w:val="Revision"/>
    <w:hidden/>
    <w:uiPriority w:val="99"/>
    <w:semiHidden/>
    <w:rsid w:val="00780AAE"/>
    <w:rPr>
      <w:rFonts w:ascii="Arial" w:hAnsi="Arial"/>
      <w:sz w:val="22"/>
      <w:szCs w:val="22"/>
    </w:rPr>
  </w:style>
  <w:style w:type="character" w:customStyle="1" w:styleId="Heading5Char">
    <w:name w:val="Heading 5 Char"/>
    <w:link w:val="Heading5"/>
    <w:uiPriority w:val="9"/>
    <w:rsid w:val="000527D2"/>
    <w:rPr>
      <w:rFonts w:ascii="Cambria" w:eastAsia="Times New Roman" w:hAnsi="Cambria" w:cs="Times New Roman"/>
      <w:color w:val="243F60"/>
    </w:rPr>
  </w:style>
  <w:style w:type="numbering" w:customStyle="1" w:styleId="Style1">
    <w:name w:val="Style1"/>
    <w:uiPriority w:val="99"/>
    <w:rsid w:val="00586DD8"/>
    <w:pPr>
      <w:numPr>
        <w:numId w:val="26"/>
      </w:numPr>
    </w:pPr>
  </w:style>
  <w:style w:type="numbering" w:customStyle="1" w:styleId="Style2">
    <w:name w:val="Style2"/>
    <w:uiPriority w:val="99"/>
    <w:rsid w:val="00586DD8"/>
    <w:pPr>
      <w:numPr>
        <w:numId w:val="27"/>
      </w:numPr>
    </w:pPr>
  </w:style>
  <w:style w:type="numbering" w:customStyle="1" w:styleId="Style3">
    <w:name w:val="Style3"/>
    <w:uiPriority w:val="99"/>
    <w:rsid w:val="00586DD8"/>
    <w:pPr>
      <w:numPr>
        <w:numId w:val="28"/>
      </w:numPr>
    </w:pPr>
  </w:style>
  <w:style w:type="numbering" w:customStyle="1" w:styleId="Style4">
    <w:name w:val="Style4"/>
    <w:uiPriority w:val="99"/>
    <w:rsid w:val="00586DD8"/>
    <w:pPr>
      <w:numPr>
        <w:numId w:val="29"/>
      </w:numPr>
    </w:pPr>
  </w:style>
  <w:style w:type="numbering" w:customStyle="1" w:styleId="Style5">
    <w:name w:val="Style5"/>
    <w:uiPriority w:val="99"/>
    <w:rsid w:val="00980D72"/>
    <w:pPr>
      <w:numPr>
        <w:numId w:val="31"/>
      </w:numPr>
    </w:pPr>
  </w:style>
  <w:style w:type="numbering" w:customStyle="1" w:styleId="Style6">
    <w:name w:val="Style6"/>
    <w:uiPriority w:val="99"/>
    <w:rsid w:val="00980D72"/>
    <w:pPr>
      <w:numPr>
        <w:numId w:val="32"/>
      </w:numPr>
    </w:pPr>
  </w:style>
  <w:style w:type="paragraph" w:styleId="BodyText">
    <w:name w:val="Body Text"/>
    <w:basedOn w:val="Normal"/>
    <w:link w:val="BodyTextChar"/>
    <w:uiPriority w:val="99"/>
    <w:unhideWhenUsed/>
    <w:rsid w:val="00AB489D"/>
    <w:pPr>
      <w:keepNext/>
      <w:keepLines/>
      <w:tabs>
        <w:tab w:val="left" w:pos="9356"/>
      </w:tabs>
      <w:spacing w:after="120" w:line="240" w:lineRule="auto"/>
      <w:ind w:right="-425"/>
      <w:outlineLvl w:val="4"/>
    </w:pPr>
    <w:rPr>
      <w:rFonts w:cs="Arial"/>
    </w:rPr>
  </w:style>
  <w:style w:type="character" w:customStyle="1" w:styleId="BodyTextChar">
    <w:name w:val="Body Text Char"/>
    <w:basedOn w:val="DefaultParagraphFont"/>
    <w:link w:val="BodyText"/>
    <w:uiPriority w:val="99"/>
    <w:rsid w:val="00AB489D"/>
    <w:rPr>
      <w:rFonts w:ascii="Arial" w:hAnsi="Arial" w:cs="Arial"/>
      <w:sz w:val="22"/>
      <w:szCs w:val="22"/>
    </w:rPr>
  </w:style>
  <w:style w:type="paragraph" w:styleId="BlockText">
    <w:name w:val="Block Text"/>
    <w:basedOn w:val="Normal"/>
    <w:uiPriority w:val="99"/>
    <w:unhideWhenUsed/>
    <w:rsid w:val="00AB489D"/>
    <w:pPr>
      <w:keepNext/>
      <w:keepLines/>
      <w:tabs>
        <w:tab w:val="left" w:pos="9356"/>
      </w:tabs>
      <w:spacing w:before="240" w:after="120" w:line="240" w:lineRule="auto"/>
      <w:ind w:left="1134" w:right="-448" w:hanging="1134"/>
      <w:outlineLvl w:val="4"/>
    </w:pPr>
    <w:rPr>
      <w:rFonts w:cs="Arial"/>
      <w:b/>
      <w:bCs/>
      <w:kern w:val="28"/>
    </w:rPr>
  </w:style>
  <w:style w:type="paragraph" w:styleId="Title">
    <w:name w:val="Title"/>
    <w:basedOn w:val="Normal"/>
    <w:next w:val="Normal"/>
    <w:link w:val="TitleChar"/>
    <w:uiPriority w:val="10"/>
    <w:qFormat/>
    <w:rsid w:val="002B65C4"/>
    <w:pPr>
      <w:pBdr>
        <w:top w:val="single" w:sz="18" w:space="1" w:color="auto"/>
        <w:bottom w:val="single" w:sz="18" w:space="1" w:color="auto"/>
      </w:pBdr>
      <w:jc w:val="center"/>
    </w:pPr>
    <w:rPr>
      <w:rFonts w:cs="Arial"/>
      <w:color w:val="365F91"/>
      <w:sz w:val="56"/>
      <w:szCs w:val="56"/>
    </w:rPr>
  </w:style>
  <w:style w:type="character" w:customStyle="1" w:styleId="TitleChar">
    <w:name w:val="Title Char"/>
    <w:basedOn w:val="DefaultParagraphFont"/>
    <w:link w:val="Title"/>
    <w:uiPriority w:val="10"/>
    <w:rsid w:val="002B65C4"/>
    <w:rPr>
      <w:rFonts w:ascii="Arial" w:hAnsi="Arial" w:cs="Arial"/>
      <w:color w:val="365F91"/>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2023">
      <w:bodyDiv w:val="1"/>
      <w:marLeft w:val="0"/>
      <w:marRight w:val="0"/>
      <w:marTop w:val="0"/>
      <w:marBottom w:val="0"/>
      <w:divBdr>
        <w:top w:val="none" w:sz="0" w:space="0" w:color="auto"/>
        <w:left w:val="none" w:sz="0" w:space="0" w:color="auto"/>
        <w:bottom w:val="none" w:sz="0" w:space="0" w:color="auto"/>
        <w:right w:val="none" w:sz="0" w:space="0" w:color="auto"/>
      </w:divBdr>
      <w:divsChild>
        <w:div w:id="542714376">
          <w:marLeft w:val="0"/>
          <w:marRight w:val="0"/>
          <w:marTop w:val="0"/>
          <w:marBottom w:val="0"/>
          <w:divBdr>
            <w:top w:val="none" w:sz="0" w:space="0" w:color="auto"/>
            <w:left w:val="none" w:sz="0" w:space="0" w:color="auto"/>
            <w:bottom w:val="none" w:sz="0" w:space="0" w:color="auto"/>
            <w:right w:val="none" w:sz="0" w:space="0" w:color="auto"/>
          </w:divBdr>
          <w:divsChild>
            <w:div w:id="1299728987">
              <w:marLeft w:val="0"/>
              <w:marRight w:val="0"/>
              <w:marTop w:val="0"/>
              <w:marBottom w:val="0"/>
              <w:divBdr>
                <w:top w:val="none" w:sz="0" w:space="0" w:color="auto"/>
                <w:left w:val="none" w:sz="0" w:space="0" w:color="auto"/>
                <w:bottom w:val="none" w:sz="0" w:space="0" w:color="auto"/>
                <w:right w:val="none" w:sz="0" w:space="0" w:color="auto"/>
              </w:divBdr>
              <w:divsChild>
                <w:div w:id="663700944">
                  <w:marLeft w:val="0"/>
                  <w:marRight w:val="0"/>
                  <w:marTop w:val="0"/>
                  <w:marBottom w:val="0"/>
                  <w:divBdr>
                    <w:top w:val="none" w:sz="0" w:space="0" w:color="auto"/>
                    <w:left w:val="none" w:sz="0" w:space="0" w:color="auto"/>
                    <w:bottom w:val="none" w:sz="0" w:space="0" w:color="auto"/>
                    <w:right w:val="none" w:sz="0" w:space="0" w:color="auto"/>
                  </w:divBdr>
                  <w:divsChild>
                    <w:div w:id="158121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22277">
      <w:bodyDiv w:val="1"/>
      <w:marLeft w:val="0"/>
      <w:marRight w:val="0"/>
      <w:marTop w:val="0"/>
      <w:marBottom w:val="0"/>
      <w:divBdr>
        <w:top w:val="none" w:sz="0" w:space="0" w:color="auto"/>
        <w:left w:val="none" w:sz="0" w:space="0" w:color="auto"/>
        <w:bottom w:val="none" w:sz="0" w:space="0" w:color="auto"/>
        <w:right w:val="none" w:sz="0" w:space="0" w:color="auto"/>
      </w:divBdr>
    </w:div>
    <w:div w:id="386150514">
      <w:bodyDiv w:val="1"/>
      <w:marLeft w:val="0"/>
      <w:marRight w:val="0"/>
      <w:marTop w:val="0"/>
      <w:marBottom w:val="0"/>
      <w:divBdr>
        <w:top w:val="none" w:sz="0" w:space="0" w:color="auto"/>
        <w:left w:val="none" w:sz="0" w:space="0" w:color="auto"/>
        <w:bottom w:val="none" w:sz="0" w:space="0" w:color="auto"/>
        <w:right w:val="none" w:sz="0" w:space="0" w:color="auto"/>
      </w:divBdr>
      <w:divsChild>
        <w:div w:id="593052761">
          <w:marLeft w:val="0"/>
          <w:marRight w:val="0"/>
          <w:marTop w:val="0"/>
          <w:marBottom w:val="0"/>
          <w:divBdr>
            <w:top w:val="none" w:sz="0" w:space="0" w:color="auto"/>
            <w:left w:val="none" w:sz="0" w:space="0" w:color="auto"/>
            <w:bottom w:val="none" w:sz="0" w:space="0" w:color="auto"/>
            <w:right w:val="none" w:sz="0" w:space="0" w:color="auto"/>
          </w:divBdr>
          <w:divsChild>
            <w:div w:id="289629088">
              <w:marLeft w:val="0"/>
              <w:marRight w:val="0"/>
              <w:marTop w:val="0"/>
              <w:marBottom w:val="0"/>
              <w:divBdr>
                <w:top w:val="none" w:sz="0" w:space="0" w:color="auto"/>
                <w:left w:val="none" w:sz="0" w:space="0" w:color="auto"/>
                <w:bottom w:val="none" w:sz="0" w:space="0" w:color="auto"/>
                <w:right w:val="none" w:sz="0" w:space="0" w:color="auto"/>
              </w:divBdr>
              <w:divsChild>
                <w:div w:id="1529181803">
                  <w:marLeft w:val="0"/>
                  <w:marRight w:val="0"/>
                  <w:marTop w:val="0"/>
                  <w:marBottom w:val="0"/>
                  <w:divBdr>
                    <w:top w:val="none" w:sz="0" w:space="0" w:color="auto"/>
                    <w:left w:val="none" w:sz="0" w:space="0" w:color="auto"/>
                    <w:bottom w:val="none" w:sz="0" w:space="0" w:color="auto"/>
                    <w:right w:val="none" w:sz="0" w:space="0" w:color="auto"/>
                  </w:divBdr>
                  <w:divsChild>
                    <w:div w:id="1288437966">
                      <w:marLeft w:val="0"/>
                      <w:marRight w:val="0"/>
                      <w:marTop w:val="0"/>
                      <w:marBottom w:val="0"/>
                      <w:divBdr>
                        <w:top w:val="none" w:sz="0" w:space="0" w:color="auto"/>
                        <w:left w:val="none" w:sz="0" w:space="0" w:color="auto"/>
                        <w:bottom w:val="none" w:sz="0" w:space="0" w:color="auto"/>
                        <w:right w:val="none" w:sz="0" w:space="0" w:color="auto"/>
                      </w:divBdr>
                      <w:divsChild>
                        <w:div w:id="1617449745">
                          <w:marLeft w:val="0"/>
                          <w:marRight w:val="0"/>
                          <w:marTop w:val="0"/>
                          <w:marBottom w:val="0"/>
                          <w:divBdr>
                            <w:top w:val="single" w:sz="6" w:space="0" w:color="828282"/>
                            <w:left w:val="single" w:sz="6" w:space="0" w:color="828282"/>
                            <w:bottom w:val="single" w:sz="6" w:space="0" w:color="828282"/>
                            <w:right w:val="single" w:sz="6" w:space="0" w:color="828282"/>
                          </w:divBdr>
                          <w:divsChild>
                            <w:div w:id="245841083">
                              <w:marLeft w:val="0"/>
                              <w:marRight w:val="0"/>
                              <w:marTop w:val="0"/>
                              <w:marBottom w:val="0"/>
                              <w:divBdr>
                                <w:top w:val="none" w:sz="0" w:space="0" w:color="auto"/>
                                <w:left w:val="none" w:sz="0" w:space="0" w:color="auto"/>
                                <w:bottom w:val="none" w:sz="0" w:space="0" w:color="auto"/>
                                <w:right w:val="none" w:sz="0" w:space="0" w:color="auto"/>
                              </w:divBdr>
                              <w:divsChild>
                                <w:div w:id="1219979088">
                                  <w:marLeft w:val="0"/>
                                  <w:marRight w:val="0"/>
                                  <w:marTop w:val="0"/>
                                  <w:marBottom w:val="0"/>
                                  <w:divBdr>
                                    <w:top w:val="none" w:sz="0" w:space="0" w:color="auto"/>
                                    <w:left w:val="none" w:sz="0" w:space="0" w:color="auto"/>
                                    <w:bottom w:val="none" w:sz="0" w:space="0" w:color="auto"/>
                                    <w:right w:val="none" w:sz="0" w:space="0" w:color="auto"/>
                                  </w:divBdr>
                                  <w:divsChild>
                                    <w:div w:id="487138546">
                                      <w:marLeft w:val="0"/>
                                      <w:marRight w:val="0"/>
                                      <w:marTop w:val="0"/>
                                      <w:marBottom w:val="0"/>
                                      <w:divBdr>
                                        <w:top w:val="none" w:sz="0" w:space="0" w:color="auto"/>
                                        <w:left w:val="none" w:sz="0" w:space="0" w:color="auto"/>
                                        <w:bottom w:val="none" w:sz="0" w:space="0" w:color="auto"/>
                                        <w:right w:val="none" w:sz="0" w:space="0" w:color="auto"/>
                                      </w:divBdr>
                                      <w:divsChild>
                                        <w:div w:id="2075661995">
                                          <w:marLeft w:val="0"/>
                                          <w:marRight w:val="0"/>
                                          <w:marTop w:val="0"/>
                                          <w:marBottom w:val="0"/>
                                          <w:divBdr>
                                            <w:top w:val="none" w:sz="0" w:space="0" w:color="auto"/>
                                            <w:left w:val="none" w:sz="0" w:space="0" w:color="auto"/>
                                            <w:bottom w:val="none" w:sz="0" w:space="0" w:color="auto"/>
                                            <w:right w:val="none" w:sz="0" w:space="0" w:color="auto"/>
                                          </w:divBdr>
                                          <w:divsChild>
                                            <w:div w:id="737556977">
                                              <w:marLeft w:val="0"/>
                                              <w:marRight w:val="0"/>
                                              <w:marTop w:val="0"/>
                                              <w:marBottom w:val="0"/>
                                              <w:divBdr>
                                                <w:top w:val="none" w:sz="0" w:space="0" w:color="auto"/>
                                                <w:left w:val="none" w:sz="0" w:space="0" w:color="auto"/>
                                                <w:bottom w:val="none" w:sz="0" w:space="0" w:color="auto"/>
                                                <w:right w:val="none" w:sz="0" w:space="0" w:color="auto"/>
                                              </w:divBdr>
                                              <w:divsChild>
                                                <w:div w:id="13709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132912">
      <w:bodyDiv w:val="1"/>
      <w:marLeft w:val="0"/>
      <w:marRight w:val="0"/>
      <w:marTop w:val="0"/>
      <w:marBottom w:val="0"/>
      <w:divBdr>
        <w:top w:val="none" w:sz="0" w:space="0" w:color="auto"/>
        <w:left w:val="none" w:sz="0" w:space="0" w:color="auto"/>
        <w:bottom w:val="none" w:sz="0" w:space="0" w:color="auto"/>
        <w:right w:val="none" w:sz="0" w:space="0" w:color="auto"/>
      </w:divBdr>
    </w:div>
    <w:div w:id="960572063">
      <w:bodyDiv w:val="1"/>
      <w:marLeft w:val="0"/>
      <w:marRight w:val="0"/>
      <w:marTop w:val="0"/>
      <w:marBottom w:val="0"/>
      <w:divBdr>
        <w:top w:val="none" w:sz="0" w:space="0" w:color="auto"/>
        <w:left w:val="none" w:sz="0" w:space="0" w:color="auto"/>
        <w:bottom w:val="none" w:sz="0" w:space="0" w:color="auto"/>
        <w:right w:val="none" w:sz="0" w:space="0" w:color="auto"/>
      </w:divBdr>
      <w:divsChild>
        <w:div w:id="2128350287">
          <w:marLeft w:val="0"/>
          <w:marRight w:val="0"/>
          <w:marTop w:val="0"/>
          <w:marBottom w:val="0"/>
          <w:divBdr>
            <w:top w:val="none" w:sz="0" w:space="0" w:color="auto"/>
            <w:left w:val="none" w:sz="0" w:space="0" w:color="auto"/>
            <w:bottom w:val="none" w:sz="0" w:space="0" w:color="auto"/>
            <w:right w:val="none" w:sz="0" w:space="0" w:color="auto"/>
          </w:divBdr>
          <w:divsChild>
            <w:div w:id="1286544125">
              <w:marLeft w:val="0"/>
              <w:marRight w:val="0"/>
              <w:marTop w:val="0"/>
              <w:marBottom w:val="0"/>
              <w:divBdr>
                <w:top w:val="none" w:sz="0" w:space="0" w:color="auto"/>
                <w:left w:val="none" w:sz="0" w:space="0" w:color="auto"/>
                <w:bottom w:val="none" w:sz="0" w:space="0" w:color="auto"/>
                <w:right w:val="none" w:sz="0" w:space="0" w:color="auto"/>
              </w:divBdr>
              <w:divsChild>
                <w:div w:id="382097993">
                  <w:marLeft w:val="0"/>
                  <w:marRight w:val="0"/>
                  <w:marTop w:val="0"/>
                  <w:marBottom w:val="0"/>
                  <w:divBdr>
                    <w:top w:val="none" w:sz="0" w:space="0" w:color="auto"/>
                    <w:left w:val="none" w:sz="0" w:space="0" w:color="auto"/>
                    <w:bottom w:val="none" w:sz="0" w:space="0" w:color="auto"/>
                    <w:right w:val="none" w:sz="0" w:space="0" w:color="auto"/>
                  </w:divBdr>
                  <w:divsChild>
                    <w:div w:id="412047730">
                      <w:marLeft w:val="0"/>
                      <w:marRight w:val="0"/>
                      <w:marTop w:val="0"/>
                      <w:marBottom w:val="0"/>
                      <w:divBdr>
                        <w:top w:val="none" w:sz="0" w:space="0" w:color="auto"/>
                        <w:left w:val="none" w:sz="0" w:space="0" w:color="auto"/>
                        <w:bottom w:val="none" w:sz="0" w:space="0" w:color="auto"/>
                        <w:right w:val="none" w:sz="0" w:space="0" w:color="auto"/>
                      </w:divBdr>
                      <w:divsChild>
                        <w:div w:id="1504738620">
                          <w:marLeft w:val="0"/>
                          <w:marRight w:val="0"/>
                          <w:marTop w:val="0"/>
                          <w:marBottom w:val="0"/>
                          <w:divBdr>
                            <w:top w:val="single" w:sz="6" w:space="0" w:color="828282"/>
                            <w:left w:val="single" w:sz="6" w:space="0" w:color="828282"/>
                            <w:bottom w:val="single" w:sz="6" w:space="0" w:color="828282"/>
                            <w:right w:val="single" w:sz="6" w:space="0" w:color="828282"/>
                          </w:divBdr>
                          <w:divsChild>
                            <w:div w:id="271785785">
                              <w:marLeft w:val="0"/>
                              <w:marRight w:val="0"/>
                              <w:marTop w:val="0"/>
                              <w:marBottom w:val="0"/>
                              <w:divBdr>
                                <w:top w:val="none" w:sz="0" w:space="0" w:color="auto"/>
                                <w:left w:val="none" w:sz="0" w:space="0" w:color="auto"/>
                                <w:bottom w:val="none" w:sz="0" w:space="0" w:color="auto"/>
                                <w:right w:val="none" w:sz="0" w:space="0" w:color="auto"/>
                              </w:divBdr>
                              <w:divsChild>
                                <w:div w:id="1189179096">
                                  <w:marLeft w:val="0"/>
                                  <w:marRight w:val="0"/>
                                  <w:marTop w:val="0"/>
                                  <w:marBottom w:val="0"/>
                                  <w:divBdr>
                                    <w:top w:val="none" w:sz="0" w:space="0" w:color="auto"/>
                                    <w:left w:val="none" w:sz="0" w:space="0" w:color="auto"/>
                                    <w:bottom w:val="none" w:sz="0" w:space="0" w:color="auto"/>
                                    <w:right w:val="none" w:sz="0" w:space="0" w:color="auto"/>
                                  </w:divBdr>
                                  <w:divsChild>
                                    <w:div w:id="275719604">
                                      <w:marLeft w:val="0"/>
                                      <w:marRight w:val="0"/>
                                      <w:marTop w:val="0"/>
                                      <w:marBottom w:val="0"/>
                                      <w:divBdr>
                                        <w:top w:val="none" w:sz="0" w:space="0" w:color="auto"/>
                                        <w:left w:val="none" w:sz="0" w:space="0" w:color="auto"/>
                                        <w:bottom w:val="none" w:sz="0" w:space="0" w:color="auto"/>
                                        <w:right w:val="none" w:sz="0" w:space="0" w:color="auto"/>
                                      </w:divBdr>
                                      <w:divsChild>
                                        <w:div w:id="2112357693">
                                          <w:marLeft w:val="0"/>
                                          <w:marRight w:val="0"/>
                                          <w:marTop w:val="0"/>
                                          <w:marBottom w:val="0"/>
                                          <w:divBdr>
                                            <w:top w:val="none" w:sz="0" w:space="0" w:color="auto"/>
                                            <w:left w:val="none" w:sz="0" w:space="0" w:color="auto"/>
                                            <w:bottom w:val="none" w:sz="0" w:space="0" w:color="auto"/>
                                            <w:right w:val="none" w:sz="0" w:space="0" w:color="auto"/>
                                          </w:divBdr>
                                          <w:divsChild>
                                            <w:div w:id="313140370">
                                              <w:marLeft w:val="0"/>
                                              <w:marRight w:val="0"/>
                                              <w:marTop w:val="0"/>
                                              <w:marBottom w:val="0"/>
                                              <w:divBdr>
                                                <w:top w:val="none" w:sz="0" w:space="0" w:color="auto"/>
                                                <w:left w:val="none" w:sz="0" w:space="0" w:color="auto"/>
                                                <w:bottom w:val="none" w:sz="0" w:space="0" w:color="auto"/>
                                                <w:right w:val="none" w:sz="0" w:space="0" w:color="auto"/>
                                              </w:divBdr>
                                              <w:divsChild>
                                                <w:div w:id="7135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0473159">
      <w:bodyDiv w:val="1"/>
      <w:marLeft w:val="0"/>
      <w:marRight w:val="0"/>
      <w:marTop w:val="0"/>
      <w:marBottom w:val="0"/>
      <w:divBdr>
        <w:top w:val="none" w:sz="0" w:space="0" w:color="auto"/>
        <w:left w:val="none" w:sz="0" w:space="0" w:color="auto"/>
        <w:bottom w:val="none" w:sz="0" w:space="0" w:color="auto"/>
        <w:right w:val="none" w:sz="0" w:space="0" w:color="auto"/>
      </w:divBdr>
      <w:divsChild>
        <w:div w:id="477114159">
          <w:marLeft w:val="0"/>
          <w:marRight w:val="0"/>
          <w:marTop w:val="0"/>
          <w:marBottom w:val="0"/>
          <w:divBdr>
            <w:top w:val="none" w:sz="0" w:space="0" w:color="auto"/>
            <w:left w:val="none" w:sz="0" w:space="0" w:color="auto"/>
            <w:bottom w:val="none" w:sz="0" w:space="0" w:color="auto"/>
            <w:right w:val="none" w:sz="0" w:space="0" w:color="auto"/>
          </w:divBdr>
          <w:divsChild>
            <w:div w:id="348873305">
              <w:marLeft w:val="0"/>
              <w:marRight w:val="0"/>
              <w:marTop w:val="0"/>
              <w:marBottom w:val="0"/>
              <w:divBdr>
                <w:top w:val="none" w:sz="0" w:space="0" w:color="auto"/>
                <w:left w:val="none" w:sz="0" w:space="0" w:color="auto"/>
                <w:bottom w:val="none" w:sz="0" w:space="0" w:color="auto"/>
                <w:right w:val="none" w:sz="0" w:space="0" w:color="auto"/>
              </w:divBdr>
              <w:divsChild>
                <w:div w:id="388000793">
                  <w:marLeft w:val="0"/>
                  <w:marRight w:val="0"/>
                  <w:marTop w:val="0"/>
                  <w:marBottom w:val="0"/>
                  <w:divBdr>
                    <w:top w:val="none" w:sz="0" w:space="0" w:color="auto"/>
                    <w:left w:val="none" w:sz="0" w:space="0" w:color="auto"/>
                    <w:bottom w:val="none" w:sz="0" w:space="0" w:color="auto"/>
                    <w:right w:val="none" w:sz="0" w:space="0" w:color="auto"/>
                  </w:divBdr>
                  <w:divsChild>
                    <w:div w:id="1666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74157">
      <w:bodyDiv w:val="1"/>
      <w:marLeft w:val="0"/>
      <w:marRight w:val="0"/>
      <w:marTop w:val="0"/>
      <w:marBottom w:val="0"/>
      <w:divBdr>
        <w:top w:val="none" w:sz="0" w:space="0" w:color="auto"/>
        <w:left w:val="none" w:sz="0" w:space="0" w:color="auto"/>
        <w:bottom w:val="none" w:sz="0" w:space="0" w:color="auto"/>
        <w:right w:val="none" w:sz="0" w:space="0" w:color="auto"/>
      </w:divBdr>
    </w:div>
    <w:div w:id="1532768762">
      <w:bodyDiv w:val="1"/>
      <w:marLeft w:val="0"/>
      <w:marRight w:val="0"/>
      <w:marTop w:val="0"/>
      <w:marBottom w:val="0"/>
      <w:divBdr>
        <w:top w:val="none" w:sz="0" w:space="0" w:color="auto"/>
        <w:left w:val="none" w:sz="0" w:space="0" w:color="auto"/>
        <w:bottom w:val="none" w:sz="0" w:space="0" w:color="auto"/>
        <w:right w:val="none" w:sz="0" w:space="0" w:color="auto"/>
      </w:divBdr>
    </w:div>
    <w:div w:id="1717075673">
      <w:bodyDiv w:val="1"/>
      <w:marLeft w:val="0"/>
      <w:marRight w:val="0"/>
      <w:marTop w:val="0"/>
      <w:marBottom w:val="0"/>
      <w:divBdr>
        <w:top w:val="none" w:sz="0" w:space="0" w:color="auto"/>
        <w:left w:val="none" w:sz="0" w:space="0" w:color="auto"/>
        <w:bottom w:val="none" w:sz="0" w:space="0" w:color="auto"/>
        <w:right w:val="none" w:sz="0" w:space="0" w:color="auto"/>
      </w:divBdr>
    </w:div>
    <w:div w:id="2117556900">
      <w:bodyDiv w:val="1"/>
      <w:marLeft w:val="0"/>
      <w:marRight w:val="0"/>
      <w:marTop w:val="0"/>
      <w:marBottom w:val="0"/>
      <w:divBdr>
        <w:top w:val="none" w:sz="0" w:space="0" w:color="auto"/>
        <w:left w:val="none" w:sz="0" w:space="0" w:color="auto"/>
        <w:bottom w:val="none" w:sz="0" w:space="0" w:color="auto"/>
        <w:right w:val="none" w:sz="0" w:space="0" w:color="auto"/>
      </w:divBdr>
      <w:divsChild>
        <w:div w:id="1597127857">
          <w:marLeft w:val="0"/>
          <w:marRight w:val="0"/>
          <w:marTop w:val="0"/>
          <w:marBottom w:val="0"/>
          <w:divBdr>
            <w:top w:val="none" w:sz="0" w:space="0" w:color="auto"/>
            <w:left w:val="none" w:sz="0" w:space="0" w:color="auto"/>
            <w:bottom w:val="none" w:sz="0" w:space="0" w:color="auto"/>
            <w:right w:val="none" w:sz="0" w:space="0" w:color="auto"/>
          </w:divBdr>
          <w:divsChild>
            <w:div w:id="1989240802">
              <w:marLeft w:val="0"/>
              <w:marRight w:val="0"/>
              <w:marTop w:val="0"/>
              <w:marBottom w:val="0"/>
              <w:divBdr>
                <w:top w:val="none" w:sz="0" w:space="0" w:color="auto"/>
                <w:left w:val="none" w:sz="0" w:space="0" w:color="auto"/>
                <w:bottom w:val="none" w:sz="0" w:space="0" w:color="auto"/>
                <w:right w:val="none" w:sz="0" w:space="0" w:color="auto"/>
              </w:divBdr>
              <w:divsChild>
                <w:div w:id="1299414158">
                  <w:marLeft w:val="0"/>
                  <w:marRight w:val="0"/>
                  <w:marTop w:val="0"/>
                  <w:marBottom w:val="0"/>
                  <w:divBdr>
                    <w:top w:val="none" w:sz="0" w:space="0" w:color="auto"/>
                    <w:left w:val="none" w:sz="0" w:space="0" w:color="auto"/>
                    <w:bottom w:val="none" w:sz="0" w:space="0" w:color="auto"/>
                    <w:right w:val="none" w:sz="0" w:space="0" w:color="auto"/>
                  </w:divBdr>
                  <w:divsChild>
                    <w:div w:id="17968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pbs.gov.au/industry/pricing/price-disclosure-spd/42-month-clock/2018-03-06-price-disclosure-42-month-clock-examples.pdf" TargetMode="External"/><Relationship Id="rId18" Type="http://schemas.openxmlformats.org/officeDocument/2006/relationships/hyperlink" Target="http://www.pbs.gov.au/info/industry/pricing/price-disclosure-spd" TargetMode="External"/><Relationship Id="rId26" Type="http://schemas.openxmlformats.org/officeDocument/2006/relationships/hyperlink" Target="mailto:hospital.declarations.info@health.gov.au" TargetMode="External"/><Relationship Id="rId39" Type="http://schemas.openxmlformats.org/officeDocument/2006/relationships/hyperlink" Target="http://www.pbs.gov.au" TargetMode="External"/><Relationship Id="rId21" Type="http://schemas.openxmlformats.org/officeDocument/2006/relationships/hyperlink" Target="http://www.pbs.gov.au/info/industry/pricing/price-disclosure-spd" TargetMode="External"/><Relationship Id="rId34" Type="http://schemas.openxmlformats.org/officeDocument/2006/relationships/header" Target="header2.xml"/><Relationship Id="rId42" Type="http://schemas.openxmlformats.org/officeDocument/2006/relationships/hyperlink" Target="http://www.pbs.gov.au/info/industry/pricing/price-disclosure-spd/price-disclosure-dispute-resolution" TargetMode="External"/><Relationship Id="rId47" Type="http://schemas.openxmlformats.org/officeDocument/2006/relationships/hyperlink" Target="http://www.pbs.gov.au/industry/pricing/pricing-arrangements/proposed-ex-manufacturer-pricing-for-the-pbs.pdf" TargetMode="External"/><Relationship Id="rId50" Type="http://schemas.openxmlformats.org/officeDocument/2006/relationships/hyperlink" Target="http://www.pbs.gov.au/info/industry/pricing/price-disclosure-spd" TargetMode="External"/><Relationship Id="rId55" Type="http://schemas.openxmlformats.org/officeDocument/2006/relationships/hyperlink" Target="mailto:eapd@health.gov.au" TargetMode="External"/><Relationship Id="rId7" Type="http://schemas.openxmlformats.org/officeDocument/2006/relationships/endnotes" Target="endnotes.xml"/><Relationship Id="rId12" Type="http://schemas.openxmlformats.org/officeDocument/2006/relationships/hyperlink" Target="http://www.pbs.gov.au/pbs/industry/pricing/price-disclosure-spd/30-percent-unadjusted-price-reduction-fact-sheet" TargetMode="External"/><Relationship Id="rId17" Type="http://schemas.openxmlformats.org/officeDocument/2006/relationships/hyperlink" Target="http://www.pbs.gov.au/info/industry/pricing/price-disclosure-spd" TargetMode="External"/><Relationship Id="rId25" Type="http://schemas.openxmlformats.org/officeDocument/2006/relationships/hyperlink" Target="http://www.pbs.gov.au/industry/pricing/price-disclosure-spd/spd-presentation-slides-6-12-2013.pdf" TargetMode="External"/><Relationship Id="rId33" Type="http://schemas.openxmlformats.org/officeDocument/2006/relationships/footer" Target="footer2.xml"/><Relationship Id="rId38" Type="http://schemas.openxmlformats.org/officeDocument/2006/relationships/hyperlink" Target="http://www.pbs.gov.au/info/industry/pricing/price-disclosure-spd" TargetMode="External"/><Relationship Id="rId46" Type="http://schemas.openxmlformats.org/officeDocument/2006/relationships/hyperlink" Target="http://www.pbs.gov.au/info/industry/pricing/pbs-item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bs.gov.au/info/industry/pricing/price-disclosure-spd" TargetMode="External"/><Relationship Id="rId20" Type="http://schemas.openxmlformats.org/officeDocument/2006/relationships/hyperlink" Target="http://www.pbs.gov.au/info/industry/pricing/eapd" TargetMode="External"/><Relationship Id="rId29" Type="http://schemas.openxmlformats.org/officeDocument/2006/relationships/hyperlink" Target="http://www.pbs.gov.au/industry/pricing/price-disclosure-spd/price-disclosure-originator-removal-30-month-clock.pdf" TargetMode="External"/><Relationship Id="rId41" Type="http://schemas.openxmlformats.org/officeDocument/2006/relationships/hyperlink" Target="http://www.pbs.gov.au" TargetMode="External"/><Relationship Id="rId54" Type="http://schemas.openxmlformats.org/officeDocument/2006/relationships/hyperlink" Target="mailto:admin@pricedisclosure.com.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Details/C2018A00001" TargetMode="External"/><Relationship Id="rId24" Type="http://schemas.openxmlformats.org/officeDocument/2006/relationships/hyperlink" Target="http://www.pbs.gov.au/industry/pricing/price-disclosure-spd/spd-presentation-slides-6-12-2013.pdf" TargetMode="External"/><Relationship Id="rId32" Type="http://schemas.openxmlformats.org/officeDocument/2006/relationships/header" Target="header1.xml"/><Relationship Id="rId37" Type="http://schemas.openxmlformats.org/officeDocument/2006/relationships/hyperlink" Target="http://www.legislation.gov.au/" TargetMode="External"/><Relationship Id="rId40" Type="http://schemas.openxmlformats.org/officeDocument/2006/relationships/hyperlink" Target="http://www.pbs.gov.au/info/industry/pricing/price-disclosure-spd" TargetMode="External"/><Relationship Id="rId45" Type="http://schemas.openxmlformats.org/officeDocument/2006/relationships/hyperlink" Target="http://www.pbs.gov.au/industry/pricing/price-disclosure-spd/removal-originator-brand-sample-pd-calculation.pdf" TargetMode="External"/><Relationship Id="rId53" Type="http://schemas.openxmlformats.org/officeDocument/2006/relationships/hyperlink" Target="http://www.pbs.gov.au/info/industry/pricing/price-disclosure-spd"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gov.au/info/industry/pricing/price-disclosure-spd/pbs-pricing-fact-sheet-2015-price-disclosure-changes" TargetMode="External"/><Relationship Id="rId23" Type="http://schemas.openxmlformats.org/officeDocument/2006/relationships/hyperlink" Target="http://www.pbs.gov.au/info/industry/pricing/price-disclosure-spd" TargetMode="External"/><Relationship Id="rId28" Type="http://schemas.openxmlformats.org/officeDocument/2006/relationships/hyperlink" Target="http://www.pbs.gov.au/industry/pricing/price-disclosure-spd/examples-treatment-single-originator-brand-pharmaceutical-item.pdf" TargetMode="External"/><Relationship Id="rId36" Type="http://schemas.openxmlformats.org/officeDocument/2006/relationships/hyperlink" Target="http://www.pbs.gov.au" TargetMode="External"/><Relationship Id="rId49" Type="http://schemas.openxmlformats.org/officeDocument/2006/relationships/hyperlink" Target="http://www.legislation.gov.au" TargetMode="External"/><Relationship Id="rId57" Type="http://schemas.openxmlformats.org/officeDocument/2006/relationships/footer" Target="footer3.xml"/><Relationship Id="rId10" Type="http://schemas.openxmlformats.org/officeDocument/2006/relationships/hyperlink" Target="http://www.pbs.gov.au/pbs/subscribe" TargetMode="External"/><Relationship Id="rId19" Type="http://schemas.openxmlformats.org/officeDocument/2006/relationships/hyperlink" Target="http://www.pbs.gov.au/info/industry/pricing/disclosure" TargetMode="External"/><Relationship Id="rId31" Type="http://schemas.openxmlformats.org/officeDocument/2006/relationships/hyperlink" Target="http://www.pbs.gov.au/industry/pricing/price-disclosure-spd/removal-originator-brand-sample-pd-calculation.pdf" TargetMode="External"/><Relationship Id="rId44" Type="http://schemas.openxmlformats.org/officeDocument/2006/relationships/hyperlink" Target="http://www.medicareaustralia.gov.au/provider/pbs/pharmacists/pricing.jsp" TargetMode="External"/><Relationship Id="rId52" Type="http://schemas.openxmlformats.org/officeDocument/2006/relationships/hyperlink" Target="http://www.legislation.gov.a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legislation.gov.au/Details/C2017B00224" TargetMode="External"/><Relationship Id="rId22" Type="http://schemas.openxmlformats.org/officeDocument/2006/relationships/hyperlink" Target="http://www.pbs.gov.au/info/industry/pricing/pbs-items/items-exempt-price-reductions" TargetMode="External"/><Relationship Id="rId27" Type="http://schemas.openxmlformats.org/officeDocument/2006/relationships/hyperlink" Target="http://www.pbs.gov.au/info/industry/pricing/price-disclosure-spd" TargetMode="External"/><Relationship Id="rId30" Type="http://schemas.openxmlformats.org/officeDocument/2006/relationships/footer" Target="footer1.xml"/><Relationship Id="rId35" Type="http://schemas.openxmlformats.org/officeDocument/2006/relationships/hyperlink" Target="http://www.pbs.gov.au/info/industry/pricing/price-disclosure-spd" TargetMode="External"/><Relationship Id="rId43" Type="http://schemas.openxmlformats.org/officeDocument/2006/relationships/hyperlink" Target="http://www.pbs.gov.au/info/industry/pricing/price-disclosure-spd" TargetMode="External"/><Relationship Id="rId48" Type="http://schemas.openxmlformats.org/officeDocument/2006/relationships/hyperlink" Target="http://www.pbs.gov.au/industry/pricing/pricing-arrangements/proposed-ex-manufacturer-pricing-for-the-pbs.pdf" TargetMode="External"/><Relationship Id="rId56" Type="http://schemas.openxmlformats.org/officeDocument/2006/relationships/header" Target="header3.xml"/><Relationship Id="rId8" Type="http://schemas.openxmlformats.org/officeDocument/2006/relationships/hyperlink" Target="https://www.pbs.gov.au/info/industry/pricing/price-disclosure-spd/price-disclosure-guidelines" TargetMode="External"/><Relationship Id="rId51" Type="http://schemas.openxmlformats.org/officeDocument/2006/relationships/hyperlink" Target="http://www.legislation.gov.a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CFCF31-CE44-4A99-9990-C85E7E2D0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17377</Words>
  <Characters>99054</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116199</CharactersWithSpaces>
  <SharedDoc>false</SharedDoc>
  <HLinks>
    <vt:vector size="186" baseType="variant">
      <vt:variant>
        <vt:i4>2490461</vt:i4>
      </vt:variant>
      <vt:variant>
        <vt:i4>249</vt:i4>
      </vt:variant>
      <vt:variant>
        <vt:i4>0</vt:i4>
      </vt:variant>
      <vt:variant>
        <vt:i4>5</vt:i4>
      </vt:variant>
      <vt:variant>
        <vt:lpwstr>mailto:eapd@health.gov.au</vt:lpwstr>
      </vt:variant>
      <vt:variant>
        <vt:lpwstr/>
      </vt:variant>
      <vt:variant>
        <vt:i4>6684675</vt:i4>
      </vt:variant>
      <vt:variant>
        <vt:i4>246</vt:i4>
      </vt:variant>
      <vt:variant>
        <vt:i4>0</vt:i4>
      </vt:variant>
      <vt:variant>
        <vt:i4>5</vt:i4>
      </vt:variant>
      <vt:variant>
        <vt:lpwstr>mailto:admin@pricedisclosure.com.au</vt:lpwstr>
      </vt:variant>
      <vt:variant>
        <vt:lpwstr/>
      </vt:variant>
      <vt:variant>
        <vt:i4>5963858</vt:i4>
      </vt:variant>
      <vt:variant>
        <vt:i4>243</vt:i4>
      </vt:variant>
      <vt:variant>
        <vt:i4>0</vt:i4>
      </vt:variant>
      <vt:variant>
        <vt:i4>5</vt:i4>
      </vt:variant>
      <vt:variant>
        <vt:lpwstr>http://www.pbs.gov.au/info/industry/pricing/price-disclosure-spd</vt:lpwstr>
      </vt:variant>
      <vt:variant>
        <vt:lpwstr/>
      </vt:variant>
      <vt:variant>
        <vt:i4>6160468</vt:i4>
      </vt:variant>
      <vt:variant>
        <vt:i4>240</vt:i4>
      </vt:variant>
      <vt:variant>
        <vt:i4>0</vt:i4>
      </vt:variant>
      <vt:variant>
        <vt:i4>5</vt:i4>
      </vt:variant>
      <vt:variant>
        <vt:lpwstr>http://www.comlaw.gov.au/</vt:lpwstr>
      </vt:variant>
      <vt:variant>
        <vt:lpwstr/>
      </vt:variant>
      <vt:variant>
        <vt:i4>196703</vt:i4>
      </vt:variant>
      <vt:variant>
        <vt:i4>237</vt:i4>
      </vt:variant>
      <vt:variant>
        <vt:i4>0</vt:i4>
      </vt:variant>
      <vt:variant>
        <vt:i4>5</vt:i4>
      </vt:variant>
      <vt:variant>
        <vt:lpwstr>http://www.comlaw.gov.au/Details/C2014C00131</vt:lpwstr>
      </vt:variant>
      <vt:variant>
        <vt:lpwstr/>
      </vt:variant>
      <vt:variant>
        <vt:i4>6160468</vt:i4>
      </vt:variant>
      <vt:variant>
        <vt:i4>234</vt:i4>
      </vt:variant>
      <vt:variant>
        <vt:i4>0</vt:i4>
      </vt:variant>
      <vt:variant>
        <vt:i4>5</vt:i4>
      </vt:variant>
      <vt:variant>
        <vt:lpwstr>http://www.comlaw.gov.au/</vt:lpwstr>
      </vt:variant>
      <vt:variant>
        <vt:lpwstr/>
      </vt:variant>
      <vt:variant>
        <vt:i4>5963858</vt:i4>
      </vt:variant>
      <vt:variant>
        <vt:i4>231</vt:i4>
      </vt:variant>
      <vt:variant>
        <vt:i4>0</vt:i4>
      </vt:variant>
      <vt:variant>
        <vt:i4>5</vt:i4>
      </vt:variant>
      <vt:variant>
        <vt:lpwstr>http://www.pbs.gov.au/info/industry/pricing/price-disclosure-spd</vt:lpwstr>
      </vt:variant>
      <vt:variant>
        <vt:lpwstr/>
      </vt:variant>
      <vt:variant>
        <vt:i4>6160468</vt:i4>
      </vt:variant>
      <vt:variant>
        <vt:i4>228</vt:i4>
      </vt:variant>
      <vt:variant>
        <vt:i4>0</vt:i4>
      </vt:variant>
      <vt:variant>
        <vt:i4>5</vt:i4>
      </vt:variant>
      <vt:variant>
        <vt:lpwstr>http://www.comlaw.gov.au/</vt:lpwstr>
      </vt:variant>
      <vt:variant>
        <vt:lpwstr/>
      </vt:variant>
      <vt:variant>
        <vt:i4>1835019</vt:i4>
      </vt:variant>
      <vt:variant>
        <vt:i4>225</vt:i4>
      </vt:variant>
      <vt:variant>
        <vt:i4>0</vt:i4>
      </vt:variant>
      <vt:variant>
        <vt:i4>5</vt:i4>
      </vt:variant>
      <vt:variant>
        <vt:lpwstr>http://www.pbs.gov.au/industry/pricing/pricing-arrangements/proposed-ex-manufacturer-pricing-for-the-pbs.pdf</vt:lpwstr>
      </vt:variant>
      <vt:variant>
        <vt:lpwstr/>
      </vt:variant>
      <vt:variant>
        <vt:i4>1835019</vt:i4>
      </vt:variant>
      <vt:variant>
        <vt:i4>222</vt:i4>
      </vt:variant>
      <vt:variant>
        <vt:i4>0</vt:i4>
      </vt:variant>
      <vt:variant>
        <vt:i4>5</vt:i4>
      </vt:variant>
      <vt:variant>
        <vt:lpwstr>http://www.pbs.gov.au/industry/pricing/pricing-arrangements/proposed-ex-manufacturer-pricing-for-the-pbs.pdf</vt:lpwstr>
      </vt:variant>
      <vt:variant>
        <vt:lpwstr/>
      </vt:variant>
      <vt:variant>
        <vt:i4>5439494</vt:i4>
      </vt:variant>
      <vt:variant>
        <vt:i4>219</vt:i4>
      </vt:variant>
      <vt:variant>
        <vt:i4>0</vt:i4>
      </vt:variant>
      <vt:variant>
        <vt:i4>5</vt:i4>
      </vt:variant>
      <vt:variant>
        <vt:lpwstr>http://www.pbs.gov.au/info/industry/pricing/pbs-items</vt:lpwstr>
      </vt:variant>
      <vt:variant>
        <vt:lpwstr/>
      </vt:variant>
      <vt:variant>
        <vt:i4>7405674</vt:i4>
      </vt:variant>
      <vt:variant>
        <vt:i4>216</vt:i4>
      </vt:variant>
      <vt:variant>
        <vt:i4>0</vt:i4>
      </vt:variant>
      <vt:variant>
        <vt:i4>5</vt:i4>
      </vt:variant>
      <vt:variant>
        <vt:lpwstr>http://www.pbs.gov.au/industry/pricing/price-disclosure-spd/sample-price-disclosure-calculation-1-oct-reduction-day-onward.pdf</vt:lpwstr>
      </vt:variant>
      <vt:variant>
        <vt:lpwstr/>
      </vt:variant>
      <vt:variant>
        <vt:i4>4784153</vt:i4>
      </vt:variant>
      <vt:variant>
        <vt:i4>213</vt:i4>
      </vt:variant>
      <vt:variant>
        <vt:i4>0</vt:i4>
      </vt:variant>
      <vt:variant>
        <vt:i4>5</vt:i4>
      </vt:variant>
      <vt:variant>
        <vt:lpwstr>https://www.medicareaustralia.gov.au/provider/pbs/pharmacists/pricing.jsp</vt:lpwstr>
      </vt:variant>
      <vt:variant>
        <vt:lpwstr/>
      </vt:variant>
      <vt:variant>
        <vt:i4>5963858</vt:i4>
      </vt:variant>
      <vt:variant>
        <vt:i4>210</vt:i4>
      </vt:variant>
      <vt:variant>
        <vt:i4>0</vt:i4>
      </vt:variant>
      <vt:variant>
        <vt:i4>5</vt:i4>
      </vt:variant>
      <vt:variant>
        <vt:lpwstr>http://www.pbs.gov.au/info/industry/pricing/price-disclosure-spd</vt:lpwstr>
      </vt:variant>
      <vt:variant>
        <vt:lpwstr/>
      </vt:variant>
      <vt:variant>
        <vt:i4>4718661</vt:i4>
      </vt:variant>
      <vt:variant>
        <vt:i4>207</vt:i4>
      </vt:variant>
      <vt:variant>
        <vt:i4>0</vt:i4>
      </vt:variant>
      <vt:variant>
        <vt:i4>5</vt:i4>
      </vt:variant>
      <vt:variant>
        <vt:lpwstr>http://www.pbs.gov.au/info/industry/pricing/price-disclosure-spd/price-disclosure-dispute-resolution</vt:lpwstr>
      </vt:variant>
      <vt:variant>
        <vt:lpwstr/>
      </vt:variant>
      <vt:variant>
        <vt:i4>6160468</vt:i4>
      </vt:variant>
      <vt:variant>
        <vt:i4>204</vt:i4>
      </vt:variant>
      <vt:variant>
        <vt:i4>0</vt:i4>
      </vt:variant>
      <vt:variant>
        <vt:i4>5</vt:i4>
      </vt:variant>
      <vt:variant>
        <vt:lpwstr>http://www.comlaw.gov.au/</vt:lpwstr>
      </vt:variant>
      <vt:variant>
        <vt:lpwstr/>
      </vt:variant>
      <vt:variant>
        <vt:i4>7798824</vt:i4>
      </vt:variant>
      <vt:variant>
        <vt:i4>201</vt:i4>
      </vt:variant>
      <vt:variant>
        <vt:i4>0</vt:i4>
      </vt:variant>
      <vt:variant>
        <vt:i4>5</vt:i4>
      </vt:variant>
      <vt:variant>
        <vt:lpwstr>http://www.pbs.gov.au/</vt:lpwstr>
      </vt:variant>
      <vt:variant>
        <vt:lpwstr/>
      </vt:variant>
      <vt:variant>
        <vt:i4>7405674</vt:i4>
      </vt:variant>
      <vt:variant>
        <vt:i4>195</vt:i4>
      </vt:variant>
      <vt:variant>
        <vt:i4>0</vt:i4>
      </vt:variant>
      <vt:variant>
        <vt:i4>5</vt:i4>
      </vt:variant>
      <vt:variant>
        <vt:lpwstr>http://www.pbs.gov.au/industry/pricing/price-disclosure-spd/sample-price-disclosure-calculation-1-oct-reduction-day-onward.pdf</vt:lpwstr>
      </vt:variant>
      <vt:variant>
        <vt:lpwstr/>
      </vt:variant>
      <vt:variant>
        <vt:i4>5963858</vt:i4>
      </vt:variant>
      <vt:variant>
        <vt:i4>192</vt:i4>
      </vt:variant>
      <vt:variant>
        <vt:i4>0</vt:i4>
      </vt:variant>
      <vt:variant>
        <vt:i4>5</vt:i4>
      </vt:variant>
      <vt:variant>
        <vt:lpwstr>http://www.pbs.gov.au/info/industry/pricing/price-disclosure-spd</vt:lpwstr>
      </vt:variant>
      <vt:variant>
        <vt:lpwstr/>
      </vt:variant>
      <vt:variant>
        <vt:i4>1179760</vt:i4>
      </vt:variant>
      <vt:variant>
        <vt:i4>189</vt:i4>
      </vt:variant>
      <vt:variant>
        <vt:i4>0</vt:i4>
      </vt:variant>
      <vt:variant>
        <vt:i4>5</vt:i4>
      </vt:variant>
      <vt:variant>
        <vt:lpwstr>mailto:hospital.declarations.info@health.gov.au</vt:lpwstr>
      </vt:variant>
      <vt:variant>
        <vt:lpwstr/>
      </vt:variant>
      <vt:variant>
        <vt:i4>5963858</vt:i4>
      </vt:variant>
      <vt:variant>
        <vt:i4>186</vt:i4>
      </vt:variant>
      <vt:variant>
        <vt:i4>0</vt:i4>
      </vt:variant>
      <vt:variant>
        <vt:i4>5</vt:i4>
      </vt:variant>
      <vt:variant>
        <vt:lpwstr>http://www.pbs.gov.au/info/industry/pricing/price-disclosure-spd</vt:lpwstr>
      </vt:variant>
      <vt:variant>
        <vt:lpwstr/>
      </vt:variant>
      <vt:variant>
        <vt:i4>5963858</vt:i4>
      </vt:variant>
      <vt:variant>
        <vt:i4>183</vt:i4>
      </vt:variant>
      <vt:variant>
        <vt:i4>0</vt:i4>
      </vt:variant>
      <vt:variant>
        <vt:i4>5</vt:i4>
      </vt:variant>
      <vt:variant>
        <vt:lpwstr>http://www.pbs.gov.au/info/industry/pricing/price-disclosure-spd</vt:lpwstr>
      </vt:variant>
      <vt:variant>
        <vt:lpwstr/>
      </vt:variant>
      <vt:variant>
        <vt:i4>5963858</vt:i4>
      </vt:variant>
      <vt:variant>
        <vt:i4>180</vt:i4>
      </vt:variant>
      <vt:variant>
        <vt:i4>0</vt:i4>
      </vt:variant>
      <vt:variant>
        <vt:i4>5</vt:i4>
      </vt:variant>
      <vt:variant>
        <vt:lpwstr>http://www.pbs.gov.au/info/industry/pricing/price-disclosure-spd</vt:lpwstr>
      </vt:variant>
      <vt:variant>
        <vt:lpwstr/>
      </vt:variant>
      <vt:variant>
        <vt:i4>5963858</vt:i4>
      </vt:variant>
      <vt:variant>
        <vt:i4>177</vt:i4>
      </vt:variant>
      <vt:variant>
        <vt:i4>0</vt:i4>
      </vt:variant>
      <vt:variant>
        <vt:i4>5</vt:i4>
      </vt:variant>
      <vt:variant>
        <vt:lpwstr>http://www.pbs.gov.au/info/industry/pricing/price-disclosure-spd</vt:lpwstr>
      </vt:variant>
      <vt:variant>
        <vt:lpwstr/>
      </vt:variant>
      <vt:variant>
        <vt:i4>2556000</vt:i4>
      </vt:variant>
      <vt:variant>
        <vt:i4>174</vt:i4>
      </vt:variant>
      <vt:variant>
        <vt:i4>0</vt:i4>
      </vt:variant>
      <vt:variant>
        <vt:i4>5</vt:i4>
      </vt:variant>
      <vt:variant>
        <vt:lpwstr>http://www.pbs.gov.au/info/industry/pricing/pbs-items/items-exempt-price-reductions</vt:lpwstr>
      </vt:variant>
      <vt:variant>
        <vt:lpwstr/>
      </vt:variant>
      <vt:variant>
        <vt:i4>5963858</vt:i4>
      </vt:variant>
      <vt:variant>
        <vt:i4>171</vt:i4>
      </vt:variant>
      <vt:variant>
        <vt:i4>0</vt:i4>
      </vt:variant>
      <vt:variant>
        <vt:i4>5</vt:i4>
      </vt:variant>
      <vt:variant>
        <vt:lpwstr>http://www.pbs.gov.au/info/industry/pricing/price-disclosure-spd</vt:lpwstr>
      </vt:variant>
      <vt:variant>
        <vt:lpwstr/>
      </vt:variant>
      <vt:variant>
        <vt:i4>28</vt:i4>
      </vt:variant>
      <vt:variant>
        <vt:i4>168</vt:i4>
      </vt:variant>
      <vt:variant>
        <vt:i4>0</vt:i4>
      </vt:variant>
      <vt:variant>
        <vt:i4>5</vt:i4>
      </vt:variant>
      <vt:variant>
        <vt:lpwstr>http://www.pbs.gov.au/info/industry/pricing/eapd</vt:lpwstr>
      </vt:variant>
      <vt:variant>
        <vt:lpwstr/>
      </vt:variant>
      <vt:variant>
        <vt:i4>7340147</vt:i4>
      </vt:variant>
      <vt:variant>
        <vt:i4>165</vt:i4>
      </vt:variant>
      <vt:variant>
        <vt:i4>0</vt:i4>
      </vt:variant>
      <vt:variant>
        <vt:i4>5</vt:i4>
      </vt:variant>
      <vt:variant>
        <vt:lpwstr>http://www.pbs.gov.au/info/industry/pricing/disclosure</vt:lpwstr>
      </vt:variant>
      <vt:variant>
        <vt:lpwstr/>
      </vt:variant>
      <vt:variant>
        <vt:i4>5963858</vt:i4>
      </vt:variant>
      <vt:variant>
        <vt:i4>162</vt:i4>
      </vt:variant>
      <vt:variant>
        <vt:i4>0</vt:i4>
      </vt:variant>
      <vt:variant>
        <vt:i4>5</vt:i4>
      </vt:variant>
      <vt:variant>
        <vt:lpwstr>http://www.pbs.gov.au/info/industry/pricing/price-disclosure-spd</vt:lpwstr>
      </vt:variant>
      <vt:variant>
        <vt:lpwstr/>
      </vt:variant>
      <vt:variant>
        <vt:i4>5963858</vt:i4>
      </vt:variant>
      <vt:variant>
        <vt:i4>159</vt:i4>
      </vt:variant>
      <vt:variant>
        <vt:i4>0</vt:i4>
      </vt:variant>
      <vt:variant>
        <vt:i4>5</vt:i4>
      </vt:variant>
      <vt:variant>
        <vt:lpwstr>http://www.pbs.gov.au/info/industry/pricing/price-disclosure-spd</vt:lpwstr>
      </vt:variant>
      <vt:variant>
        <vt:lpwstr/>
      </vt:variant>
      <vt:variant>
        <vt:i4>5963858</vt:i4>
      </vt:variant>
      <vt:variant>
        <vt:i4>156</vt:i4>
      </vt:variant>
      <vt:variant>
        <vt:i4>0</vt:i4>
      </vt:variant>
      <vt:variant>
        <vt:i4>5</vt:i4>
      </vt:variant>
      <vt:variant>
        <vt:lpwstr>http://www.pbs.gov.au/info/industry/pricing/price-disclosure-spd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2018-07-09T04:09:00Z</dcterms:created>
  <dcterms:modified xsi:type="dcterms:W3CDTF">2022-10-07T01:12:00Z</dcterms:modified>
</cp:coreProperties>
</file>