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904A" w14:textId="7F9DE843" w:rsidR="00F056CF" w:rsidRPr="009D6858" w:rsidRDefault="00F056CF" w:rsidP="00F056CF">
      <w:pPr>
        <w:rPr>
          <w:rFonts w:cs="Calibri"/>
          <w:color w:val="FF0000"/>
        </w:rPr>
      </w:pPr>
      <w:bookmarkStart w:id="0" w:name="_Toc197460405"/>
      <w:bookmarkStart w:id="1" w:name="_Toc198645868"/>
      <w:r w:rsidRPr="009D6858">
        <w:rPr>
          <w:rFonts w:cs="Calibri"/>
          <w:color w:val="FF0000"/>
        </w:rPr>
        <w:t>An addendum to th</w:t>
      </w:r>
      <w:r w:rsidR="00BC4237">
        <w:rPr>
          <w:rFonts w:cs="Calibri"/>
          <w:color w:val="FF0000"/>
        </w:rPr>
        <w:t>is</w:t>
      </w:r>
      <w:r w:rsidRPr="009D6858">
        <w:rPr>
          <w:rFonts w:cs="Calibri"/>
          <w:color w:val="FF0000"/>
        </w:rPr>
        <w:t xml:space="preserve"> </w:t>
      </w:r>
      <w:r w:rsidR="00F47CD0" w:rsidRPr="00F47CD0">
        <w:rPr>
          <w:rFonts w:asciiTheme="minorHAnsi" w:hAnsiTheme="minorHAnsi"/>
          <w:iCs/>
          <w:color w:val="FF0000"/>
        </w:rPr>
        <w:t>Public Summary Document</w:t>
      </w:r>
      <w:r w:rsidRPr="00F47CD0">
        <w:rPr>
          <w:rFonts w:cs="Calibri"/>
          <w:color w:val="FF0000"/>
        </w:rPr>
        <w:t xml:space="preserve"> </w:t>
      </w:r>
      <w:r w:rsidRPr="009D6858">
        <w:rPr>
          <w:rFonts w:cs="Calibri"/>
          <w:color w:val="FF0000"/>
        </w:rPr>
        <w:t>has been included at the end of the document.</w:t>
      </w:r>
    </w:p>
    <w:p w14:paraId="331366DD" w14:textId="4B2D0100" w:rsidR="00EB0321" w:rsidRPr="00AC6FFD" w:rsidRDefault="00772E6A" w:rsidP="004E36D3">
      <w:pPr>
        <w:pStyle w:val="1-MainHeading"/>
        <w:rPr>
          <w:lang w:val="it-IT"/>
        </w:rPr>
      </w:pPr>
      <w:r w:rsidRPr="00AC6FFD">
        <w:rPr>
          <w:lang w:val="it-IT"/>
        </w:rPr>
        <w:t>5.14</w:t>
      </w:r>
      <w:r w:rsidR="00EB0321" w:rsidRPr="00AC6FFD">
        <w:rPr>
          <w:lang w:val="it-IT"/>
        </w:rPr>
        <w:tab/>
        <w:t>VELMANASE ALFA,</w:t>
      </w:r>
      <w:r w:rsidR="00EB0321" w:rsidRPr="00AC6FFD">
        <w:rPr>
          <w:lang w:val="it-IT"/>
        </w:rPr>
        <w:br/>
        <w:t>Powder for I.V. infusion 10 mg,</w:t>
      </w:r>
      <w:r w:rsidR="00EB0321" w:rsidRPr="00AC6FFD">
        <w:rPr>
          <w:lang w:val="it-IT"/>
        </w:rPr>
        <w:br/>
        <w:t>Lamzede</w:t>
      </w:r>
      <w:r w:rsidR="00EB0321" w:rsidRPr="00AC6FFD">
        <w:rPr>
          <w:vertAlign w:val="superscript"/>
          <w:lang w:val="it-IT"/>
        </w:rPr>
        <w:t>®</w:t>
      </w:r>
      <w:r w:rsidR="00EB0321" w:rsidRPr="00AC6FFD">
        <w:rPr>
          <w:lang w:val="it-IT"/>
        </w:rPr>
        <w:t>,</w:t>
      </w:r>
      <w:r w:rsidR="00EB0321" w:rsidRPr="00AC6FFD">
        <w:rPr>
          <w:lang w:val="it-IT"/>
        </w:rPr>
        <w:br/>
      </w:r>
      <w:bookmarkEnd w:id="0"/>
      <w:bookmarkEnd w:id="1"/>
      <w:r w:rsidR="00736E66" w:rsidRPr="00AC6FFD">
        <w:rPr>
          <w:lang w:val="it-IT"/>
        </w:rPr>
        <w:t>CHIESI AUSTRALIA PTY LTD</w:t>
      </w:r>
      <w:r w:rsidR="00EB0321" w:rsidRPr="00AC6FFD">
        <w:rPr>
          <w:lang w:val="it-IT"/>
        </w:rPr>
        <w:t xml:space="preserve"> </w:t>
      </w:r>
    </w:p>
    <w:p w14:paraId="06CFED74" w14:textId="77777777" w:rsidR="00EB0321" w:rsidRPr="00886D8A" w:rsidRDefault="00EB0321" w:rsidP="004E36D3">
      <w:pPr>
        <w:pStyle w:val="2-SectionHeading"/>
      </w:pPr>
      <w:bookmarkStart w:id="2" w:name="_Toc197460407"/>
      <w:bookmarkStart w:id="3" w:name="_Toc198645870"/>
      <w:r w:rsidRPr="00886D8A">
        <w:t>Purpose of submission</w:t>
      </w:r>
      <w:bookmarkEnd w:id="2"/>
      <w:bookmarkEnd w:id="3"/>
    </w:p>
    <w:p w14:paraId="71D54159" w14:textId="223CB8AB" w:rsidR="00EB0321" w:rsidRPr="00886D8A" w:rsidRDefault="00EB0321" w:rsidP="004E36D3">
      <w:pPr>
        <w:pStyle w:val="3-BodyText"/>
        <w:rPr>
          <w:color w:val="000000" w:themeColor="text1"/>
        </w:rPr>
      </w:pPr>
      <w:r w:rsidRPr="00886D8A">
        <w:rPr>
          <w:color w:val="000000" w:themeColor="text1"/>
        </w:rPr>
        <w:t>The Category 1 submission requested a Section 100 (Highly Specialised Drugs Program) Authority Required (Written) listing for velmanase alfa as an enzyme replacement therapy (ERT) for the treatment of non</w:t>
      </w:r>
      <w:r w:rsidR="0011024A">
        <w:rPr>
          <w:color w:val="000000" w:themeColor="text1"/>
        </w:rPr>
        <w:noBreakHyphen/>
      </w:r>
      <w:r w:rsidRPr="00886D8A">
        <w:rPr>
          <w:color w:val="000000" w:themeColor="text1"/>
        </w:rPr>
        <w:t>neurological manifestations in patients with alpha</w:t>
      </w:r>
      <w:r w:rsidR="0011024A">
        <w:rPr>
          <w:color w:val="000000" w:themeColor="text1"/>
        </w:rPr>
        <w:noBreakHyphen/>
      </w:r>
      <w:r w:rsidRPr="00886D8A">
        <w:rPr>
          <w:color w:val="000000" w:themeColor="text1"/>
        </w:rPr>
        <w:t xml:space="preserve">mannosidosis (AM). </w:t>
      </w:r>
    </w:p>
    <w:p w14:paraId="1D38D4BE" w14:textId="27986ABA" w:rsidR="00EB0321" w:rsidRPr="00886D8A" w:rsidRDefault="00EB0321" w:rsidP="004E36D3">
      <w:pPr>
        <w:pStyle w:val="3-BodyText"/>
        <w:rPr>
          <w:color w:val="000000" w:themeColor="text1"/>
        </w:rPr>
      </w:pPr>
      <w:r w:rsidRPr="00886D8A">
        <w:rPr>
          <w:color w:val="000000" w:themeColor="text1"/>
        </w:rPr>
        <w:t>Listing was requested on the basis of a cost</w:t>
      </w:r>
      <w:r w:rsidR="0011024A">
        <w:rPr>
          <w:color w:val="000000" w:themeColor="text1"/>
        </w:rPr>
        <w:noBreakHyphen/>
      </w:r>
      <w:r w:rsidRPr="00886D8A">
        <w:rPr>
          <w:color w:val="000000" w:themeColor="text1"/>
        </w:rPr>
        <w:t xml:space="preserve">utility analysis (CUA) versus best supportive care (BSC). </w:t>
      </w:r>
    </w:p>
    <w:p w14:paraId="28463599" w14:textId="4E8AA7E6" w:rsidR="00EB0321" w:rsidRPr="00886D8A" w:rsidRDefault="00EB0321" w:rsidP="004E36D3">
      <w:pPr>
        <w:pStyle w:val="TableFigureHeading"/>
        <w:rPr>
          <w:rStyle w:val="CommentReference"/>
          <w:b/>
          <w:color w:val="000000" w:themeColor="text1"/>
          <w:szCs w:val="24"/>
        </w:rPr>
      </w:pPr>
      <w:r w:rsidRPr="00886D8A">
        <w:rPr>
          <w:color w:val="000000" w:themeColor="text1"/>
        </w:rPr>
        <w:t xml:space="preserve">Table </w:t>
      </w:r>
      <w:r w:rsidRPr="00886D8A">
        <w:rPr>
          <w:color w:val="000000" w:themeColor="text1"/>
        </w:rPr>
        <w:fldChar w:fldCharType="begin"/>
      </w:r>
      <w:r w:rsidRPr="00886D8A">
        <w:rPr>
          <w:color w:val="000000" w:themeColor="text1"/>
        </w:rPr>
        <w:instrText xml:space="preserve"> SEQ Table \* ARABIC </w:instrText>
      </w:r>
      <w:r w:rsidRPr="00886D8A">
        <w:rPr>
          <w:color w:val="000000" w:themeColor="text1"/>
        </w:rPr>
        <w:fldChar w:fldCharType="separate"/>
      </w:r>
      <w:r w:rsidR="00B73A9E">
        <w:rPr>
          <w:noProof/>
          <w:color w:val="000000" w:themeColor="text1"/>
        </w:rPr>
        <w:t>1</w:t>
      </w:r>
      <w:r w:rsidRPr="00886D8A">
        <w:rPr>
          <w:color w:val="000000" w:themeColor="text1"/>
        </w:rPr>
        <w:fldChar w:fldCharType="end"/>
      </w:r>
      <w:r w:rsidRPr="00886D8A">
        <w:rPr>
          <w:color w:val="000000" w:themeColor="text1"/>
        </w:rPr>
        <w:t>:</w:t>
      </w:r>
      <w:r w:rsidRPr="00886D8A">
        <w:rPr>
          <w:rStyle w:val="CommentReference"/>
          <w:b/>
          <w:color w:val="000000" w:themeColor="text1"/>
          <w:szCs w:val="24"/>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Description w:val="Key components of the clinical issue addressed by the submission "/>
      </w:tblPr>
      <w:tblGrid>
        <w:gridCol w:w="1315"/>
        <w:gridCol w:w="7702"/>
      </w:tblGrid>
      <w:tr w:rsidR="00EB0321" w:rsidRPr="00886D8A" w14:paraId="4F357BE3" w14:textId="77777777" w:rsidTr="00C81A82">
        <w:trPr>
          <w:cantSplit/>
          <w:tblHeader/>
        </w:trPr>
        <w:tc>
          <w:tcPr>
            <w:tcW w:w="729" w:type="pct"/>
          </w:tcPr>
          <w:p w14:paraId="2882E761" w14:textId="77777777" w:rsidR="00EB0321" w:rsidRPr="00886D8A" w:rsidRDefault="00EB0321" w:rsidP="004E36D3">
            <w:pPr>
              <w:pStyle w:val="In-tableHeading"/>
              <w:rPr>
                <w:color w:val="000000" w:themeColor="text1"/>
                <w:szCs w:val="20"/>
                <w:lang w:val="en-AU"/>
              </w:rPr>
            </w:pPr>
            <w:r w:rsidRPr="00886D8A">
              <w:rPr>
                <w:color w:val="000000" w:themeColor="text1"/>
                <w:lang w:val="en-AU"/>
              </w:rPr>
              <w:t>Component</w:t>
            </w:r>
          </w:p>
        </w:tc>
        <w:tc>
          <w:tcPr>
            <w:tcW w:w="4271" w:type="pct"/>
          </w:tcPr>
          <w:p w14:paraId="40F341F0" w14:textId="77777777" w:rsidR="00EB0321" w:rsidRPr="00886D8A" w:rsidRDefault="00EB0321" w:rsidP="004E36D3">
            <w:pPr>
              <w:pStyle w:val="In-tableHeading"/>
              <w:rPr>
                <w:color w:val="000000" w:themeColor="text1"/>
                <w:lang w:val="en-AU"/>
              </w:rPr>
            </w:pPr>
            <w:r w:rsidRPr="00886D8A">
              <w:rPr>
                <w:color w:val="000000" w:themeColor="text1"/>
                <w:lang w:val="en-AU"/>
              </w:rPr>
              <w:t>Description</w:t>
            </w:r>
          </w:p>
        </w:tc>
      </w:tr>
      <w:tr w:rsidR="00EB0321" w:rsidRPr="00886D8A" w14:paraId="0618CF41" w14:textId="77777777" w:rsidTr="00C81A82">
        <w:trPr>
          <w:cantSplit/>
        </w:trPr>
        <w:tc>
          <w:tcPr>
            <w:tcW w:w="729" w:type="pct"/>
          </w:tcPr>
          <w:p w14:paraId="51DE9C4A" w14:textId="77777777" w:rsidR="00EB0321" w:rsidRPr="00886D8A" w:rsidRDefault="00EB0321" w:rsidP="004E36D3">
            <w:pPr>
              <w:pStyle w:val="TableText0"/>
              <w:rPr>
                <w:color w:val="000000" w:themeColor="text1"/>
              </w:rPr>
            </w:pPr>
            <w:r w:rsidRPr="00886D8A">
              <w:rPr>
                <w:color w:val="000000" w:themeColor="text1"/>
              </w:rPr>
              <w:t>Population</w:t>
            </w:r>
          </w:p>
        </w:tc>
        <w:tc>
          <w:tcPr>
            <w:tcW w:w="4271" w:type="pct"/>
          </w:tcPr>
          <w:p w14:paraId="641EA124" w14:textId="49F92485" w:rsidR="00EB0321" w:rsidRPr="00886D8A" w:rsidRDefault="00EB0321" w:rsidP="004E36D3">
            <w:pPr>
              <w:pStyle w:val="TableText0"/>
              <w:rPr>
                <w:color w:val="000000" w:themeColor="text1"/>
                <w:szCs w:val="20"/>
              </w:rPr>
            </w:pPr>
            <w:r w:rsidRPr="00886D8A">
              <w:rPr>
                <w:color w:val="000000" w:themeColor="text1"/>
              </w:rPr>
              <w:t>Treatment of patients with non</w:t>
            </w:r>
            <w:r w:rsidR="0011024A">
              <w:rPr>
                <w:color w:val="000000" w:themeColor="text1"/>
              </w:rPr>
              <w:noBreakHyphen/>
            </w:r>
            <w:r w:rsidRPr="00886D8A">
              <w:rPr>
                <w:color w:val="000000" w:themeColor="text1"/>
              </w:rPr>
              <w:t>neurological manifestations with alpha</w:t>
            </w:r>
            <w:r w:rsidR="0011024A">
              <w:rPr>
                <w:color w:val="000000" w:themeColor="text1"/>
              </w:rPr>
              <w:noBreakHyphen/>
            </w:r>
            <w:r w:rsidRPr="00886D8A">
              <w:rPr>
                <w:color w:val="000000" w:themeColor="text1"/>
              </w:rPr>
              <w:t>mannosidosis</w:t>
            </w:r>
          </w:p>
        </w:tc>
      </w:tr>
      <w:tr w:rsidR="00EB0321" w:rsidRPr="00886D8A" w14:paraId="01125382" w14:textId="77777777" w:rsidTr="00C81A82">
        <w:trPr>
          <w:cantSplit/>
        </w:trPr>
        <w:tc>
          <w:tcPr>
            <w:tcW w:w="729" w:type="pct"/>
          </w:tcPr>
          <w:p w14:paraId="00D396AE" w14:textId="77777777" w:rsidR="00EB0321" w:rsidRPr="00886D8A" w:rsidRDefault="00EB0321" w:rsidP="004E36D3">
            <w:pPr>
              <w:pStyle w:val="TableText0"/>
              <w:rPr>
                <w:color w:val="000000" w:themeColor="text1"/>
              </w:rPr>
            </w:pPr>
            <w:r w:rsidRPr="00886D8A">
              <w:rPr>
                <w:color w:val="000000" w:themeColor="text1"/>
              </w:rPr>
              <w:t>Intervention</w:t>
            </w:r>
          </w:p>
        </w:tc>
        <w:tc>
          <w:tcPr>
            <w:tcW w:w="4271" w:type="pct"/>
          </w:tcPr>
          <w:p w14:paraId="50484F2D" w14:textId="77777777" w:rsidR="00EB0321" w:rsidRPr="00886D8A" w:rsidRDefault="00EB0321" w:rsidP="004E36D3">
            <w:pPr>
              <w:pStyle w:val="TableText0"/>
              <w:rPr>
                <w:color w:val="000000" w:themeColor="text1"/>
              </w:rPr>
            </w:pPr>
            <w:r w:rsidRPr="00886D8A">
              <w:rPr>
                <w:color w:val="000000" w:themeColor="text1"/>
              </w:rPr>
              <w:t>Velmanase alfa 1 mg/kg of body weight administered once a week by IV infusion plus BSC</w:t>
            </w:r>
          </w:p>
        </w:tc>
      </w:tr>
      <w:tr w:rsidR="00EB0321" w:rsidRPr="00886D8A" w14:paraId="35024EC8" w14:textId="77777777" w:rsidTr="00C81A82">
        <w:trPr>
          <w:cantSplit/>
        </w:trPr>
        <w:tc>
          <w:tcPr>
            <w:tcW w:w="729" w:type="pct"/>
          </w:tcPr>
          <w:p w14:paraId="371A5F38" w14:textId="77777777" w:rsidR="00EB0321" w:rsidRPr="00886D8A" w:rsidRDefault="00EB0321" w:rsidP="004E36D3">
            <w:pPr>
              <w:pStyle w:val="TableText0"/>
              <w:rPr>
                <w:color w:val="000000" w:themeColor="text1"/>
              </w:rPr>
            </w:pPr>
            <w:r w:rsidRPr="00886D8A">
              <w:rPr>
                <w:color w:val="000000" w:themeColor="text1"/>
              </w:rPr>
              <w:t>Comparator</w:t>
            </w:r>
          </w:p>
        </w:tc>
        <w:tc>
          <w:tcPr>
            <w:tcW w:w="4271" w:type="pct"/>
          </w:tcPr>
          <w:p w14:paraId="09C3BBA5" w14:textId="370FF759" w:rsidR="00EB0321" w:rsidRPr="00886D8A" w:rsidRDefault="00EB0321" w:rsidP="004E36D3">
            <w:pPr>
              <w:pStyle w:val="TableText0"/>
              <w:rPr>
                <w:color w:val="000000" w:themeColor="text1"/>
              </w:rPr>
            </w:pPr>
            <w:r w:rsidRPr="00886D8A">
              <w:rPr>
                <w:color w:val="000000" w:themeColor="text1"/>
              </w:rPr>
              <w:t>BSC based on a needs</w:t>
            </w:r>
            <w:r w:rsidR="0011024A">
              <w:rPr>
                <w:color w:val="000000" w:themeColor="text1"/>
              </w:rPr>
              <w:noBreakHyphen/>
            </w:r>
            <w:r w:rsidRPr="00886D8A">
              <w:rPr>
                <w:color w:val="000000" w:themeColor="text1"/>
              </w:rPr>
              <w:t xml:space="preserve">based treatment, dealing with symptoms as they arise, for example, walking aids, ventilation support, major and minor surgical interventions. </w:t>
            </w:r>
          </w:p>
        </w:tc>
      </w:tr>
      <w:tr w:rsidR="00EB0321" w:rsidRPr="00886D8A" w14:paraId="565B7C9B" w14:textId="77777777" w:rsidTr="00C81A82">
        <w:trPr>
          <w:cantSplit/>
        </w:trPr>
        <w:tc>
          <w:tcPr>
            <w:tcW w:w="729" w:type="pct"/>
          </w:tcPr>
          <w:p w14:paraId="34951E15" w14:textId="77777777" w:rsidR="00EB0321" w:rsidRPr="00886D8A" w:rsidRDefault="00EB0321" w:rsidP="004E36D3">
            <w:pPr>
              <w:pStyle w:val="TableText0"/>
              <w:rPr>
                <w:color w:val="000000" w:themeColor="text1"/>
              </w:rPr>
            </w:pPr>
            <w:r w:rsidRPr="00886D8A">
              <w:rPr>
                <w:color w:val="000000" w:themeColor="text1"/>
              </w:rPr>
              <w:t>Outcomes</w:t>
            </w:r>
          </w:p>
        </w:tc>
        <w:tc>
          <w:tcPr>
            <w:tcW w:w="4271" w:type="pct"/>
          </w:tcPr>
          <w:p w14:paraId="57AFD3C9" w14:textId="77777777" w:rsidR="00EB0321" w:rsidRPr="00886D8A" w:rsidRDefault="00EB0321" w:rsidP="004E36D3">
            <w:pPr>
              <w:pStyle w:val="TableText0"/>
              <w:rPr>
                <w:color w:val="000000" w:themeColor="text1"/>
                <w:u w:val="single"/>
              </w:rPr>
            </w:pPr>
            <w:r w:rsidRPr="00886D8A">
              <w:rPr>
                <w:color w:val="000000" w:themeColor="text1"/>
                <w:u w:val="single"/>
              </w:rPr>
              <w:t>Primary outcomes:</w:t>
            </w:r>
          </w:p>
          <w:p w14:paraId="0F5C9CCA" w14:textId="77777777" w:rsidR="00EB0321" w:rsidRPr="00886D8A" w:rsidRDefault="00EB0321" w:rsidP="00CD7617">
            <w:pPr>
              <w:pStyle w:val="TableText0"/>
              <w:numPr>
                <w:ilvl w:val="0"/>
                <w:numId w:val="10"/>
              </w:numPr>
              <w:rPr>
                <w:color w:val="000000" w:themeColor="text1"/>
              </w:rPr>
            </w:pPr>
            <w:r w:rsidRPr="00886D8A">
              <w:rPr>
                <w:color w:val="000000" w:themeColor="text1"/>
              </w:rPr>
              <w:t>Change from baseline to month 12 in serum oligosaccharides</w:t>
            </w:r>
          </w:p>
          <w:p w14:paraId="6EF7B1E5" w14:textId="77777777" w:rsidR="00EB0321" w:rsidRPr="00886D8A" w:rsidRDefault="00EB0321" w:rsidP="00CD7617">
            <w:pPr>
              <w:pStyle w:val="TableText0"/>
              <w:numPr>
                <w:ilvl w:val="0"/>
                <w:numId w:val="10"/>
              </w:numPr>
              <w:rPr>
                <w:color w:val="000000" w:themeColor="text1"/>
              </w:rPr>
            </w:pPr>
            <w:r w:rsidRPr="00886D8A">
              <w:rPr>
                <w:color w:val="000000" w:themeColor="text1"/>
              </w:rPr>
              <w:t>Change from baseline to month 12 in 3MSCT</w:t>
            </w:r>
          </w:p>
          <w:p w14:paraId="2F708718" w14:textId="77777777" w:rsidR="00EB0321" w:rsidRPr="00886D8A" w:rsidRDefault="00EB0321" w:rsidP="00CD7617">
            <w:pPr>
              <w:pStyle w:val="TableText0"/>
              <w:numPr>
                <w:ilvl w:val="0"/>
                <w:numId w:val="10"/>
              </w:numPr>
              <w:rPr>
                <w:color w:val="000000" w:themeColor="text1"/>
              </w:rPr>
            </w:pPr>
            <w:r w:rsidRPr="00886D8A">
              <w:rPr>
                <w:color w:val="000000" w:themeColor="text1"/>
              </w:rPr>
              <w:t>TEAEs</w:t>
            </w:r>
          </w:p>
          <w:p w14:paraId="0AFB6296" w14:textId="77777777" w:rsidR="00EB0321" w:rsidRPr="00886D8A" w:rsidRDefault="00EB0321" w:rsidP="004E36D3">
            <w:pPr>
              <w:pStyle w:val="TableText0"/>
              <w:rPr>
                <w:color w:val="000000" w:themeColor="text1"/>
                <w:u w:val="single"/>
              </w:rPr>
            </w:pPr>
            <w:r w:rsidRPr="00886D8A">
              <w:rPr>
                <w:color w:val="000000" w:themeColor="text1"/>
                <w:u w:val="single"/>
              </w:rPr>
              <w:t>Secondary outcomes:</w:t>
            </w:r>
          </w:p>
          <w:p w14:paraId="6901D72D" w14:textId="77777777" w:rsidR="00EB0321" w:rsidRPr="00886D8A" w:rsidRDefault="00EB0321" w:rsidP="00CD7617">
            <w:pPr>
              <w:pStyle w:val="TableText0"/>
              <w:numPr>
                <w:ilvl w:val="0"/>
                <w:numId w:val="11"/>
              </w:numPr>
              <w:rPr>
                <w:color w:val="000000" w:themeColor="text1"/>
              </w:rPr>
            </w:pPr>
            <w:r w:rsidRPr="00886D8A">
              <w:rPr>
                <w:color w:val="000000" w:themeColor="text1"/>
              </w:rPr>
              <w:t>Change from baseline to month 12 in 6MWT</w:t>
            </w:r>
          </w:p>
          <w:p w14:paraId="06A8CC84" w14:textId="77777777" w:rsidR="00EB0321" w:rsidRPr="00886D8A" w:rsidRDefault="00EB0321" w:rsidP="00CD7617">
            <w:pPr>
              <w:pStyle w:val="TableText0"/>
              <w:numPr>
                <w:ilvl w:val="0"/>
                <w:numId w:val="11"/>
              </w:numPr>
              <w:rPr>
                <w:color w:val="000000" w:themeColor="text1"/>
              </w:rPr>
            </w:pPr>
            <w:r w:rsidRPr="00886D8A">
              <w:rPr>
                <w:color w:val="000000" w:themeColor="text1"/>
              </w:rPr>
              <w:t>Change from baseline to month 12 in FVC % of predicted normal value</w:t>
            </w:r>
          </w:p>
          <w:p w14:paraId="14BA9E66" w14:textId="38A1B251" w:rsidR="00EB0321" w:rsidRPr="00886D8A" w:rsidRDefault="00EB0321" w:rsidP="00CD7617">
            <w:pPr>
              <w:pStyle w:val="TableText0"/>
              <w:numPr>
                <w:ilvl w:val="0"/>
                <w:numId w:val="11"/>
              </w:numPr>
              <w:rPr>
                <w:rFonts w:eastAsia="Times New Roman" w:cs="Arial"/>
                <w:bCs w:val="0"/>
                <w:snapToGrid w:val="0"/>
                <w:color w:val="000000" w:themeColor="text1"/>
                <w:szCs w:val="20"/>
              </w:rPr>
            </w:pPr>
            <w:r w:rsidRPr="00886D8A">
              <w:rPr>
                <w:color w:val="000000" w:themeColor="text1"/>
              </w:rPr>
              <w:t>Change from baseline to other visits in QoL using CHAQ and EQ</w:t>
            </w:r>
            <w:r w:rsidR="0011024A">
              <w:rPr>
                <w:color w:val="000000" w:themeColor="text1"/>
              </w:rPr>
              <w:noBreakHyphen/>
            </w:r>
            <w:r w:rsidRPr="00886D8A">
              <w:rPr>
                <w:color w:val="000000" w:themeColor="text1"/>
              </w:rPr>
              <w:t>5D</w:t>
            </w:r>
            <w:r w:rsidR="0011024A">
              <w:rPr>
                <w:color w:val="000000" w:themeColor="text1"/>
              </w:rPr>
              <w:noBreakHyphen/>
            </w:r>
            <w:r w:rsidRPr="00886D8A">
              <w:rPr>
                <w:color w:val="000000" w:themeColor="text1"/>
              </w:rPr>
              <w:t>5L (total score &amp; domain scores)</w:t>
            </w:r>
          </w:p>
        </w:tc>
      </w:tr>
      <w:tr w:rsidR="00EB0321" w:rsidRPr="00886D8A" w14:paraId="3D393C24" w14:textId="77777777" w:rsidTr="00C81A82">
        <w:trPr>
          <w:cantSplit/>
        </w:trPr>
        <w:tc>
          <w:tcPr>
            <w:tcW w:w="729" w:type="pct"/>
          </w:tcPr>
          <w:p w14:paraId="0EC82013" w14:textId="77777777" w:rsidR="00EB0321" w:rsidRPr="00886D8A" w:rsidRDefault="00EB0321" w:rsidP="004E36D3">
            <w:pPr>
              <w:pStyle w:val="TableText0"/>
              <w:rPr>
                <w:color w:val="000000" w:themeColor="text1"/>
              </w:rPr>
            </w:pPr>
            <w:r w:rsidRPr="00886D8A">
              <w:rPr>
                <w:color w:val="000000" w:themeColor="text1"/>
              </w:rPr>
              <w:t>Clinical claim</w:t>
            </w:r>
          </w:p>
        </w:tc>
        <w:tc>
          <w:tcPr>
            <w:tcW w:w="4271" w:type="pct"/>
          </w:tcPr>
          <w:p w14:paraId="2E83439B" w14:textId="77777777" w:rsidR="00EB0321" w:rsidRPr="00886D8A" w:rsidRDefault="00EB0321" w:rsidP="004E36D3">
            <w:pPr>
              <w:pStyle w:val="TableText0"/>
              <w:rPr>
                <w:color w:val="000000" w:themeColor="text1"/>
              </w:rPr>
            </w:pPr>
            <w:r w:rsidRPr="00886D8A">
              <w:rPr>
                <w:color w:val="000000" w:themeColor="text1"/>
              </w:rPr>
              <w:t>Velmanase alfa is superior in terms of efficacy, as assessed by a statistically significant improvement in serum oligosaccharide levels compared with placebo (BSC).</w:t>
            </w:r>
          </w:p>
          <w:p w14:paraId="7CC56ED1" w14:textId="4CE6FB15" w:rsidR="00EB0321" w:rsidRPr="00886D8A" w:rsidRDefault="00EB0321" w:rsidP="004E36D3">
            <w:pPr>
              <w:pStyle w:val="TableText0"/>
              <w:rPr>
                <w:rFonts w:eastAsia="Times New Roman" w:cs="Arial"/>
                <w:snapToGrid w:val="0"/>
                <w:color w:val="000000" w:themeColor="text1"/>
              </w:rPr>
            </w:pPr>
            <w:r w:rsidRPr="00886D8A">
              <w:rPr>
                <w:color w:val="000000" w:themeColor="text1"/>
              </w:rPr>
              <w:t>Velmanase alfa is associated with some additional AEs compared with placebo and thus has an inferior safety profile. However, with one exception</w:t>
            </w:r>
            <w:r w:rsidR="00F473FC" w:rsidRPr="00886D8A">
              <w:rPr>
                <w:color w:val="000000" w:themeColor="text1"/>
                <w:vertAlign w:val="superscript"/>
              </w:rPr>
              <w:t>a</w:t>
            </w:r>
            <w:r w:rsidRPr="00886D8A">
              <w:rPr>
                <w:color w:val="000000" w:themeColor="text1"/>
              </w:rPr>
              <w:t>, AEs are mild to moderate in severity and no AEs required treatment discontinuation and no TEAE</w:t>
            </w:r>
            <w:r w:rsidR="0011024A">
              <w:rPr>
                <w:color w:val="000000" w:themeColor="text1"/>
              </w:rPr>
              <w:noBreakHyphen/>
            </w:r>
            <w:r w:rsidRPr="00886D8A">
              <w:rPr>
                <w:color w:val="000000" w:themeColor="text1"/>
              </w:rPr>
              <w:t>related deaths were reported.</w:t>
            </w:r>
          </w:p>
        </w:tc>
      </w:tr>
    </w:tbl>
    <w:p w14:paraId="57C5006D" w14:textId="1DC70AF4" w:rsidR="00EB0321" w:rsidRPr="00886D8A" w:rsidRDefault="00EB0321" w:rsidP="004E36D3">
      <w:pPr>
        <w:pStyle w:val="FooterTableFigure"/>
        <w:rPr>
          <w:color w:val="000000" w:themeColor="text1"/>
          <w:szCs w:val="18"/>
        </w:rPr>
      </w:pPr>
      <w:bookmarkStart w:id="4" w:name="_Hlk193289583"/>
      <w:r w:rsidRPr="00886D8A">
        <w:rPr>
          <w:color w:val="000000" w:themeColor="text1"/>
          <w:szCs w:val="18"/>
        </w:rPr>
        <w:t>Source: Table 1.1</w:t>
      </w:r>
      <w:r w:rsidR="0011024A">
        <w:rPr>
          <w:color w:val="000000" w:themeColor="text1"/>
          <w:szCs w:val="18"/>
        </w:rPr>
        <w:noBreakHyphen/>
      </w:r>
      <w:r w:rsidRPr="00886D8A">
        <w:rPr>
          <w:color w:val="000000" w:themeColor="text1"/>
          <w:szCs w:val="18"/>
        </w:rPr>
        <w:t>2, pp5</w:t>
      </w:r>
      <w:r w:rsidR="0011024A">
        <w:rPr>
          <w:color w:val="000000" w:themeColor="text1"/>
          <w:szCs w:val="18"/>
        </w:rPr>
        <w:noBreakHyphen/>
      </w:r>
      <w:r w:rsidRPr="00886D8A">
        <w:rPr>
          <w:color w:val="000000" w:themeColor="text1"/>
          <w:szCs w:val="18"/>
        </w:rPr>
        <w:t xml:space="preserve">6 of the submission. </w:t>
      </w:r>
    </w:p>
    <w:p w14:paraId="3BAE3D26" w14:textId="1BAE6523" w:rsidR="00EB0321" w:rsidRPr="00886D8A" w:rsidRDefault="00EB0321" w:rsidP="004E36D3">
      <w:pPr>
        <w:pStyle w:val="FooterTableFigure"/>
        <w:rPr>
          <w:color w:val="000000" w:themeColor="text1"/>
          <w:szCs w:val="18"/>
        </w:rPr>
      </w:pPr>
      <w:r w:rsidRPr="00886D8A">
        <w:rPr>
          <w:color w:val="000000" w:themeColor="text1"/>
          <w:szCs w:val="18"/>
        </w:rPr>
        <w:t>3MSCT= 3</w:t>
      </w:r>
      <w:r w:rsidR="0011024A">
        <w:rPr>
          <w:color w:val="000000" w:themeColor="text1"/>
          <w:szCs w:val="18"/>
        </w:rPr>
        <w:noBreakHyphen/>
      </w:r>
      <w:r w:rsidRPr="00886D8A">
        <w:rPr>
          <w:color w:val="000000" w:themeColor="text1"/>
          <w:szCs w:val="18"/>
        </w:rPr>
        <w:t>minute stair climb test; 6MWT = 6</w:t>
      </w:r>
      <w:r w:rsidR="0011024A">
        <w:rPr>
          <w:color w:val="000000" w:themeColor="text1"/>
          <w:szCs w:val="18"/>
        </w:rPr>
        <w:noBreakHyphen/>
      </w:r>
      <w:r w:rsidRPr="00886D8A">
        <w:rPr>
          <w:color w:val="000000" w:themeColor="text1"/>
          <w:szCs w:val="18"/>
        </w:rPr>
        <w:t>minute walk test; AE = adverse events; BSC = best supportive care; CHAQ = Childhood health assessment questionnaire; EQ</w:t>
      </w:r>
      <w:r w:rsidR="0011024A">
        <w:rPr>
          <w:color w:val="000000" w:themeColor="text1"/>
          <w:szCs w:val="18"/>
        </w:rPr>
        <w:noBreakHyphen/>
      </w:r>
      <w:r w:rsidRPr="00886D8A">
        <w:rPr>
          <w:color w:val="000000" w:themeColor="text1"/>
          <w:szCs w:val="18"/>
        </w:rPr>
        <w:t>5D</w:t>
      </w:r>
      <w:r w:rsidR="0011024A">
        <w:rPr>
          <w:color w:val="000000" w:themeColor="text1"/>
          <w:szCs w:val="18"/>
        </w:rPr>
        <w:noBreakHyphen/>
      </w:r>
      <w:r w:rsidRPr="00886D8A">
        <w:rPr>
          <w:color w:val="000000" w:themeColor="text1"/>
          <w:szCs w:val="18"/>
        </w:rPr>
        <w:t>5L = EuroQol</w:t>
      </w:r>
      <w:r w:rsidR="0011024A">
        <w:rPr>
          <w:color w:val="000000" w:themeColor="text1"/>
          <w:szCs w:val="18"/>
        </w:rPr>
        <w:noBreakHyphen/>
      </w:r>
      <w:r w:rsidRPr="00886D8A">
        <w:rPr>
          <w:color w:val="000000" w:themeColor="text1"/>
          <w:szCs w:val="18"/>
        </w:rPr>
        <w:t>five dimension</w:t>
      </w:r>
      <w:r w:rsidR="0011024A">
        <w:rPr>
          <w:color w:val="000000" w:themeColor="text1"/>
          <w:szCs w:val="18"/>
        </w:rPr>
        <w:noBreakHyphen/>
      </w:r>
      <w:r w:rsidRPr="00886D8A">
        <w:rPr>
          <w:color w:val="000000" w:themeColor="text1"/>
          <w:szCs w:val="18"/>
        </w:rPr>
        <w:t xml:space="preserve">five level questionnaire; FVC % = forced vital capacity percentage; IV = intravenous; </w:t>
      </w:r>
      <w:r w:rsidR="00A4543B" w:rsidRPr="00886D8A">
        <w:rPr>
          <w:color w:val="000000" w:themeColor="text1"/>
          <w:szCs w:val="18"/>
        </w:rPr>
        <w:t xml:space="preserve">mg/kg = milligram per kilogram; </w:t>
      </w:r>
      <w:r w:rsidRPr="00886D8A">
        <w:rPr>
          <w:color w:val="000000" w:themeColor="text1"/>
          <w:szCs w:val="18"/>
        </w:rPr>
        <w:t>QoL = quality of life; TEAEs = treatment</w:t>
      </w:r>
      <w:r w:rsidR="0011024A">
        <w:rPr>
          <w:color w:val="000000" w:themeColor="text1"/>
          <w:szCs w:val="18"/>
        </w:rPr>
        <w:noBreakHyphen/>
      </w:r>
      <w:r w:rsidRPr="00886D8A">
        <w:rPr>
          <w:color w:val="000000" w:themeColor="text1"/>
          <w:szCs w:val="18"/>
        </w:rPr>
        <w:t>emergent adverse events.</w:t>
      </w:r>
    </w:p>
    <w:p w14:paraId="2E27F36D" w14:textId="73CC6BE8" w:rsidR="0041786A" w:rsidRPr="00886D8A" w:rsidRDefault="00F473FC" w:rsidP="004E36D3">
      <w:pPr>
        <w:pStyle w:val="FooterTableFigure"/>
        <w:rPr>
          <w:color w:val="000000" w:themeColor="text1"/>
          <w:szCs w:val="18"/>
        </w:rPr>
      </w:pPr>
      <w:r w:rsidRPr="00886D8A">
        <w:rPr>
          <w:color w:val="000000" w:themeColor="text1"/>
          <w:szCs w:val="18"/>
          <w:vertAlign w:val="superscript"/>
        </w:rPr>
        <w:t xml:space="preserve">a </w:t>
      </w:r>
      <w:r w:rsidRPr="00886D8A">
        <w:rPr>
          <w:color w:val="000000" w:themeColor="text1"/>
          <w:szCs w:val="18"/>
        </w:rPr>
        <w:t>One severe serious adverse event of sepsis occurred in the velmanase alfa arm in the pivotal (rhLAMAN</w:t>
      </w:r>
      <w:r w:rsidR="0011024A">
        <w:rPr>
          <w:color w:val="000000" w:themeColor="text1"/>
          <w:szCs w:val="18"/>
        </w:rPr>
        <w:noBreakHyphen/>
      </w:r>
      <w:r w:rsidRPr="00886D8A">
        <w:rPr>
          <w:color w:val="000000" w:themeColor="text1"/>
          <w:szCs w:val="18"/>
        </w:rPr>
        <w:t>05) trial.</w:t>
      </w:r>
    </w:p>
    <w:p w14:paraId="266CB5B2" w14:textId="77777777" w:rsidR="00EB0321" w:rsidRPr="00886D8A" w:rsidRDefault="00EB0321" w:rsidP="004E36D3">
      <w:pPr>
        <w:pStyle w:val="2-SectionHeading"/>
      </w:pPr>
      <w:bookmarkStart w:id="5" w:name="_Toc197460408"/>
      <w:bookmarkStart w:id="6" w:name="_Toc198645871"/>
      <w:bookmarkEnd w:id="4"/>
      <w:r w:rsidRPr="00886D8A">
        <w:lastRenderedPageBreak/>
        <w:t>Background</w:t>
      </w:r>
      <w:bookmarkEnd w:id="5"/>
      <w:bookmarkEnd w:id="6"/>
    </w:p>
    <w:p w14:paraId="0D2CE160" w14:textId="367D3DE1" w:rsidR="001C3C83" w:rsidRPr="00886D8A" w:rsidRDefault="0052729A" w:rsidP="004E36D3">
      <w:pPr>
        <w:pStyle w:val="3-BodyText"/>
      </w:pPr>
      <w:r w:rsidRPr="00886D8A">
        <w:t>This submission was considered by the PBAC’s Drug Utilisation Sub</w:t>
      </w:r>
      <w:r w:rsidR="0011024A">
        <w:noBreakHyphen/>
      </w:r>
      <w:r w:rsidRPr="00886D8A">
        <w:t>Committee (DUSC) and Economics Sub</w:t>
      </w:r>
      <w:r w:rsidR="0011024A">
        <w:noBreakHyphen/>
      </w:r>
      <w:r w:rsidRPr="00886D8A">
        <w:t>Committee (ESC), hereafter referred to as the Sub</w:t>
      </w:r>
      <w:r w:rsidR="0011024A">
        <w:noBreakHyphen/>
      </w:r>
      <w:r w:rsidRPr="00886D8A">
        <w:t xml:space="preserve">Committees, at a joint meeting. </w:t>
      </w:r>
    </w:p>
    <w:p w14:paraId="33832DCE" w14:textId="13E61D31" w:rsidR="00EB0321" w:rsidRPr="00886D8A" w:rsidRDefault="00EB0321" w:rsidP="004E36D3">
      <w:pPr>
        <w:pStyle w:val="4-SubsectionHeading"/>
      </w:pPr>
      <w:bookmarkStart w:id="7" w:name="_Toc22897638"/>
      <w:bookmarkStart w:id="8" w:name="_Toc197460409"/>
      <w:bookmarkStart w:id="9" w:name="_Toc198645872"/>
      <w:r w:rsidRPr="00886D8A">
        <w:t>Registration status</w:t>
      </w:r>
      <w:bookmarkEnd w:id="7"/>
      <w:bookmarkEnd w:id="8"/>
      <w:bookmarkEnd w:id="9"/>
    </w:p>
    <w:p w14:paraId="2D4E68DB" w14:textId="4C57F272" w:rsidR="002B61F0" w:rsidRPr="00886D8A" w:rsidRDefault="002B61F0" w:rsidP="004E36D3">
      <w:pPr>
        <w:pStyle w:val="3-BodyText"/>
      </w:pPr>
      <w:bookmarkStart w:id="10" w:name="_Hlk193371486"/>
      <w:r w:rsidRPr="00886D8A">
        <w:t xml:space="preserve">On </w:t>
      </w:r>
      <w:r w:rsidR="00B456EE" w:rsidRPr="00886D8A">
        <w:t>26</w:t>
      </w:r>
      <w:r w:rsidRPr="00886D8A">
        <w:t xml:space="preserve"> March 2025, velmanase alfa was registered on the Australian Register of Therapeutic Goods for the following indication: “enzyme replacement therapy for the treatment of non</w:t>
      </w:r>
      <w:r w:rsidR="0011024A">
        <w:noBreakHyphen/>
      </w:r>
      <w:r w:rsidRPr="00886D8A">
        <w:t>central nervous system manifestations in patients with alpha</w:t>
      </w:r>
      <w:r w:rsidR="0011024A">
        <w:noBreakHyphen/>
      </w:r>
      <w:r w:rsidRPr="00886D8A">
        <w:t>mannosidosis”.</w:t>
      </w:r>
    </w:p>
    <w:p w14:paraId="67660672" w14:textId="69505F31" w:rsidR="00EB0321" w:rsidRPr="00886D8A" w:rsidRDefault="00EB0321" w:rsidP="004E36D3">
      <w:pPr>
        <w:pStyle w:val="2-SectionHeading"/>
      </w:pPr>
      <w:bookmarkStart w:id="11" w:name="_Toc107902078"/>
      <w:bookmarkStart w:id="12" w:name="_Toc197460410"/>
      <w:bookmarkStart w:id="13" w:name="_Toc198645873"/>
      <w:bookmarkEnd w:id="10"/>
      <w:bookmarkEnd w:id="11"/>
      <w:r w:rsidRPr="00886D8A">
        <w:t>Requested listing</w:t>
      </w:r>
      <w:bookmarkEnd w:id="12"/>
      <w:bookmarkEnd w:id="13"/>
    </w:p>
    <w:p w14:paraId="723867F5" w14:textId="77777777" w:rsidR="008F495A" w:rsidRPr="00886D8A" w:rsidRDefault="008F495A" w:rsidP="004E36D3">
      <w:pPr>
        <w:pStyle w:val="3-BodyText"/>
      </w:pPr>
      <w:r w:rsidRPr="00886D8A">
        <w:t>Suggested additions are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1243"/>
        <w:gridCol w:w="2760"/>
        <w:gridCol w:w="960"/>
        <w:gridCol w:w="960"/>
        <w:gridCol w:w="840"/>
        <w:gridCol w:w="982"/>
      </w:tblGrid>
      <w:tr w:rsidR="008F495A" w:rsidRPr="00886D8A" w14:paraId="114B67AC" w14:textId="77777777" w:rsidTr="000D238A">
        <w:trPr>
          <w:cantSplit/>
          <w:trHeight w:val="20"/>
        </w:trPr>
        <w:tc>
          <w:tcPr>
            <w:tcW w:w="2515" w:type="dxa"/>
            <w:gridSpan w:val="2"/>
            <w:vAlign w:val="center"/>
          </w:tcPr>
          <w:p w14:paraId="05B6BEA1" w14:textId="77777777" w:rsidR="008F495A" w:rsidRPr="00886D8A" w:rsidRDefault="008F495A" w:rsidP="004E36D3">
            <w:pPr>
              <w:keepLines/>
              <w:rPr>
                <w:rFonts w:ascii="Arial Narrow" w:hAnsi="Arial Narrow"/>
                <w:b/>
                <w:bCs/>
                <w:sz w:val="20"/>
                <w:szCs w:val="20"/>
              </w:rPr>
            </w:pPr>
            <w:r w:rsidRPr="00886D8A">
              <w:rPr>
                <w:rFonts w:ascii="Arial Narrow" w:hAnsi="Arial Narrow"/>
                <w:b/>
                <w:bCs/>
                <w:sz w:val="20"/>
                <w:szCs w:val="20"/>
              </w:rPr>
              <w:t>MEDICINAL PRODUCT</w:t>
            </w:r>
          </w:p>
          <w:p w14:paraId="4EBBDDDC" w14:textId="77777777" w:rsidR="008F495A" w:rsidRPr="00886D8A" w:rsidRDefault="008F495A" w:rsidP="004E36D3">
            <w:pPr>
              <w:keepLines/>
              <w:rPr>
                <w:rFonts w:ascii="Arial Narrow" w:hAnsi="Arial Narrow"/>
                <w:b/>
                <w:sz w:val="20"/>
                <w:szCs w:val="20"/>
              </w:rPr>
            </w:pPr>
            <w:r w:rsidRPr="00886D8A">
              <w:rPr>
                <w:rFonts w:ascii="Arial Narrow" w:hAnsi="Arial Narrow"/>
                <w:b/>
                <w:bCs/>
                <w:sz w:val="20"/>
                <w:szCs w:val="20"/>
              </w:rPr>
              <w:t>medicinal product pack</w:t>
            </w:r>
          </w:p>
        </w:tc>
        <w:tc>
          <w:tcPr>
            <w:tcW w:w="2760" w:type="dxa"/>
            <w:vAlign w:val="center"/>
          </w:tcPr>
          <w:p w14:paraId="183B23AE" w14:textId="4E3A71E7" w:rsidR="008F495A" w:rsidRPr="00886D8A" w:rsidRDefault="00DA6C10" w:rsidP="004E36D3">
            <w:pPr>
              <w:keepLines/>
              <w:jc w:val="center"/>
              <w:rPr>
                <w:rFonts w:ascii="Arial Narrow" w:hAnsi="Arial Narrow"/>
                <w:b/>
                <w:sz w:val="20"/>
                <w:szCs w:val="20"/>
              </w:rPr>
            </w:pPr>
            <w:r w:rsidRPr="00886D8A">
              <w:rPr>
                <w:rFonts w:ascii="Arial Narrow" w:hAnsi="Arial Narrow"/>
                <w:b/>
                <w:sz w:val="20"/>
                <w:szCs w:val="20"/>
              </w:rPr>
              <w:t>DPMQ</w:t>
            </w:r>
          </w:p>
        </w:tc>
        <w:tc>
          <w:tcPr>
            <w:tcW w:w="960" w:type="dxa"/>
            <w:vAlign w:val="center"/>
          </w:tcPr>
          <w:p w14:paraId="2FD48D20" w14:textId="77777777" w:rsidR="008F495A" w:rsidRPr="00886D8A" w:rsidRDefault="008F495A" w:rsidP="004E36D3">
            <w:pPr>
              <w:keepLines/>
              <w:jc w:val="center"/>
              <w:rPr>
                <w:rFonts w:ascii="Arial Narrow" w:hAnsi="Arial Narrow"/>
                <w:b/>
                <w:sz w:val="20"/>
                <w:szCs w:val="20"/>
              </w:rPr>
            </w:pPr>
            <w:r w:rsidRPr="00886D8A">
              <w:rPr>
                <w:rFonts w:ascii="Arial Narrow" w:hAnsi="Arial Narrow"/>
                <w:b/>
                <w:sz w:val="20"/>
                <w:szCs w:val="20"/>
              </w:rPr>
              <w:t>Max. qty packs</w:t>
            </w:r>
          </w:p>
        </w:tc>
        <w:tc>
          <w:tcPr>
            <w:tcW w:w="960" w:type="dxa"/>
            <w:vAlign w:val="center"/>
          </w:tcPr>
          <w:p w14:paraId="0836BFF9" w14:textId="77777777" w:rsidR="008F495A" w:rsidRPr="00886D8A" w:rsidRDefault="008F495A" w:rsidP="004E36D3">
            <w:pPr>
              <w:keepLines/>
              <w:jc w:val="center"/>
              <w:rPr>
                <w:rFonts w:ascii="Arial Narrow" w:hAnsi="Arial Narrow"/>
                <w:b/>
                <w:sz w:val="20"/>
                <w:szCs w:val="20"/>
              </w:rPr>
            </w:pPr>
            <w:r w:rsidRPr="00886D8A">
              <w:rPr>
                <w:rFonts w:ascii="Arial Narrow" w:hAnsi="Arial Narrow"/>
                <w:b/>
                <w:sz w:val="20"/>
                <w:szCs w:val="20"/>
              </w:rPr>
              <w:t>Max. qty units</w:t>
            </w:r>
          </w:p>
        </w:tc>
        <w:tc>
          <w:tcPr>
            <w:tcW w:w="840" w:type="dxa"/>
            <w:vAlign w:val="center"/>
          </w:tcPr>
          <w:p w14:paraId="376F618A" w14:textId="77777777" w:rsidR="008F495A" w:rsidRPr="00886D8A" w:rsidRDefault="008F495A" w:rsidP="004E36D3">
            <w:pPr>
              <w:keepLines/>
              <w:jc w:val="center"/>
              <w:rPr>
                <w:rFonts w:ascii="Arial Narrow" w:hAnsi="Arial Narrow"/>
                <w:b/>
                <w:sz w:val="20"/>
                <w:szCs w:val="20"/>
              </w:rPr>
            </w:pPr>
            <w:r w:rsidRPr="00886D8A">
              <w:rPr>
                <w:rFonts w:ascii="Arial Narrow" w:hAnsi="Arial Narrow"/>
                <w:b/>
                <w:sz w:val="20"/>
                <w:szCs w:val="20"/>
              </w:rPr>
              <w:t>№.of</w:t>
            </w:r>
          </w:p>
          <w:p w14:paraId="46FDB9CF" w14:textId="77777777" w:rsidR="008F495A" w:rsidRPr="00886D8A" w:rsidRDefault="008F495A" w:rsidP="004E36D3">
            <w:pPr>
              <w:keepLines/>
              <w:jc w:val="center"/>
              <w:rPr>
                <w:rFonts w:ascii="Arial Narrow" w:hAnsi="Arial Narrow"/>
                <w:b/>
                <w:sz w:val="20"/>
                <w:szCs w:val="20"/>
              </w:rPr>
            </w:pPr>
            <w:r w:rsidRPr="00886D8A">
              <w:rPr>
                <w:rFonts w:ascii="Arial Narrow" w:hAnsi="Arial Narrow"/>
                <w:b/>
                <w:sz w:val="20"/>
                <w:szCs w:val="20"/>
              </w:rPr>
              <w:t>Rpts</w:t>
            </w:r>
          </w:p>
        </w:tc>
        <w:tc>
          <w:tcPr>
            <w:tcW w:w="982" w:type="dxa"/>
            <w:vAlign w:val="center"/>
          </w:tcPr>
          <w:p w14:paraId="0ECE0967" w14:textId="77777777" w:rsidR="008F495A" w:rsidRPr="00886D8A" w:rsidRDefault="008F495A" w:rsidP="004E36D3">
            <w:pPr>
              <w:keepLines/>
              <w:rPr>
                <w:rFonts w:ascii="Arial Narrow" w:hAnsi="Arial Narrow"/>
                <w:b/>
                <w:sz w:val="20"/>
                <w:szCs w:val="20"/>
              </w:rPr>
            </w:pPr>
            <w:r w:rsidRPr="00886D8A">
              <w:rPr>
                <w:rFonts w:ascii="Arial Narrow" w:hAnsi="Arial Narrow"/>
                <w:b/>
                <w:sz w:val="20"/>
                <w:szCs w:val="20"/>
              </w:rPr>
              <w:t>Available brands</w:t>
            </w:r>
          </w:p>
        </w:tc>
      </w:tr>
      <w:tr w:rsidR="008F495A" w:rsidRPr="00886D8A" w14:paraId="47C4F301" w14:textId="77777777" w:rsidTr="00B359DE">
        <w:trPr>
          <w:cantSplit/>
          <w:trHeight w:val="20"/>
        </w:trPr>
        <w:tc>
          <w:tcPr>
            <w:tcW w:w="9017" w:type="dxa"/>
            <w:gridSpan w:val="7"/>
            <w:vAlign w:val="center"/>
          </w:tcPr>
          <w:p w14:paraId="14D4EE41" w14:textId="77777777" w:rsidR="008F495A" w:rsidRPr="00886D8A" w:rsidRDefault="008F495A" w:rsidP="004E36D3">
            <w:pPr>
              <w:keepLines/>
              <w:rPr>
                <w:rFonts w:ascii="Arial Narrow" w:hAnsi="Arial Narrow"/>
                <w:sz w:val="20"/>
                <w:szCs w:val="20"/>
              </w:rPr>
            </w:pPr>
            <w:r w:rsidRPr="00886D8A">
              <w:rPr>
                <w:rFonts w:ascii="Arial Narrow" w:hAnsi="Arial Narrow"/>
                <w:sz w:val="20"/>
                <w:szCs w:val="20"/>
              </w:rPr>
              <w:t>VELMANASE ALFA</w:t>
            </w:r>
          </w:p>
        </w:tc>
      </w:tr>
      <w:tr w:rsidR="001E039F" w:rsidRPr="00886D8A" w14:paraId="758D3BD1" w14:textId="77777777" w:rsidTr="000D238A">
        <w:trPr>
          <w:cantSplit/>
          <w:trHeight w:val="20"/>
        </w:trPr>
        <w:tc>
          <w:tcPr>
            <w:tcW w:w="2515" w:type="dxa"/>
            <w:gridSpan w:val="2"/>
            <w:vAlign w:val="center"/>
          </w:tcPr>
          <w:p w14:paraId="69AB3A76" w14:textId="2E705E46" w:rsidR="001E039F" w:rsidRPr="00886D8A" w:rsidRDefault="001E039F" w:rsidP="004E36D3">
            <w:pPr>
              <w:keepLines/>
              <w:jc w:val="left"/>
              <w:rPr>
                <w:rFonts w:ascii="Arial Narrow" w:hAnsi="Arial Narrow"/>
                <w:sz w:val="20"/>
                <w:szCs w:val="20"/>
              </w:rPr>
            </w:pPr>
            <w:r w:rsidRPr="00886D8A">
              <w:rPr>
                <w:rFonts w:ascii="Arial Narrow" w:hAnsi="Arial Narrow"/>
                <w:sz w:val="20"/>
                <w:szCs w:val="20"/>
              </w:rPr>
              <w:t>velmanase alfa 10 mg injection, 1 vial</w:t>
            </w:r>
          </w:p>
        </w:tc>
        <w:tc>
          <w:tcPr>
            <w:tcW w:w="2760" w:type="dxa"/>
          </w:tcPr>
          <w:p w14:paraId="320C7D00" w14:textId="6F422FF0" w:rsidR="001E039F" w:rsidRPr="00886D8A" w:rsidRDefault="001E039F" w:rsidP="004E36D3">
            <w:pPr>
              <w:pStyle w:val="TableText0"/>
              <w:jc w:val="center"/>
              <w:rPr>
                <w:szCs w:val="20"/>
              </w:rPr>
            </w:pPr>
            <w:r w:rsidRPr="00886D8A">
              <w:rPr>
                <w:szCs w:val="20"/>
              </w:rPr>
              <w:t>Public Hospital: $</w:t>
            </w:r>
            <w:r w:rsidR="00ED4AC4" w:rsidRPr="00ED4AC4">
              <w:rPr>
                <w:color w:val="000000"/>
                <w:szCs w:val="20"/>
                <w:shd w:val="solid" w:color="000000" w:fill="000000"/>
                <w14:textFill>
                  <w14:solidFill>
                    <w14:srgbClr w14:val="000000">
                      <w14:alpha w14:val="100000"/>
                    </w14:srgbClr>
                  </w14:solidFill>
                </w14:textFill>
              </w:rPr>
              <w:t>|</w:t>
            </w:r>
          </w:p>
          <w:p w14:paraId="68EEBD8C" w14:textId="0BA8C6D8"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Private Hospital: $</w:t>
            </w:r>
            <w:r w:rsidR="00ED4AC4" w:rsidRPr="00ED4AC4">
              <w:rPr>
                <w:rFonts w:ascii="Arial Narrow" w:hAnsi="Arial Narrow"/>
                <w:color w:val="000000"/>
                <w:sz w:val="20"/>
                <w:szCs w:val="20"/>
                <w:shd w:val="solid" w:color="000000" w:fill="000000"/>
                <w14:textFill>
                  <w14:solidFill>
                    <w14:srgbClr w14:val="000000">
                      <w14:alpha w14:val="100000"/>
                    </w14:srgbClr>
                  </w14:solidFill>
                </w14:textFill>
              </w:rPr>
              <w:t>|</w:t>
            </w:r>
          </w:p>
        </w:tc>
        <w:tc>
          <w:tcPr>
            <w:tcW w:w="960" w:type="dxa"/>
            <w:vAlign w:val="center"/>
          </w:tcPr>
          <w:p w14:paraId="29EA874A" w14:textId="77777777" w:rsidR="001E039F" w:rsidRPr="00886D8A" w:rsidRDefault="001E039F" w:rsidP="004E36D3">
            <w:pPr>
              <w:keepLines/>
              <w:jc w:val="center"/>
              <w:rPr>
                <w:rFonts w:ascii="Arial Narrow" w:hAnsi="Arial Narrow"/>
                <w:i/>
                <w:iCs/>
                <w:sz w:val="20"/>
                <w:szCs w:val="20"/>
              </w:rPr>
            </w:pPr>
            <w:r w:rsidRPr="00886D8A">
              <w:rPr>
                <w:rFonts w:ascii="Arial Narrow" w:hAnsi="Arial Narrow"/>
                <w:sz w:val="20"/>
                <w:szCs w:val="20"/>
              </w:rPr>
              <w:t xml:space="preserve"> </w:t>
            </w:r>
            <w:r w:rsidRPr="00886D8A">
              <w:rPr>
                <w:rFonts w:ascii="Arial Narrow" w:hAnsi="Arial Narrow"/>
                <w:strike/>
                <w:sz w:val="20"/>
                <w:szCs w:val="20"/>
              </w:rPr>
              <w:t xml:space="preserve">4 </w:t>
            </w:r>
            <w:r w:rsidRPr="00886D8A">
              <w:rPr>
                <w:rFonts w:ascii="Arial Narrow" w:hAnsi="Arial Narrow"/>
                <w:i/>
                <w:iCs/>
                <w:sz w:val="20"/>
                <w:szCs w:val="20"/>
              </w:rPr>
              <w:t>1</w:t>
            </w:r>
          </w:p>
        </w:tc>
        <w:tc>
          <w:tcPr>
            <w:tcW w:w="960" w:type="dxa"/>
            <w:vAlign w:val="center"/>
          </w:tcPr>
          <w:p w14:paraId="2554FD26" w14:textId="77777777" w:rsidR="001E039F" w:rsidRPr="00886D8A" w:rsidRDefault="001E039F" w:rsidP="004E36D3">
            <w:pPr>
              <w:keepLines/>
              <w:jc w:val="center"/>
              <w:rPr>
                <w:rFonts w:ascii="Arial Narrow" w:hAnsi="Arial Narrow"/>
                <w:sz w:val="20"/>
                <w:szCs w:val="20"/>
              </w:rPr>
            </w:pPr>
            <w:r w:rsidRPr="00886D8A">
              <w:rPr>
                <w:rFonts w:ascii="Arial Narrow" w:hAnsi="Arial Narrow"/>
                <w:strike/>
                <w:sz w:val="20"/>
                <w:szCs w:val="20"/>
              </w:rPr>
              <w:t xml:space="preserve">4 </w:t>
            </w:r>
            <w:r w:rsidRPr="00886D8A">
              <w:rPr>
                <w:rFonts w:ascii="Arial Narrow" w:hAnsi="Arial Narrow"/>
                <w:i/>
                <w:iCs/>
                <w:sz w:val="20"/>
                <w:szCs w:val="20"/>
              </w:rPr>
              <w:t xml:space="preserve">1 </w:t>
            </w:r>
          </w:p>
        </w:tc>
        <w:tc>
          <w:tcPr>
            <w:tcW w:w="840" w:type="dxa"/>
            <w:vAlign w:val="center"/>
          </w:tcPr>
          <w:p w14:paraId="4880576C" w14:textId="77777777"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5</w:t>
            </w:r>
          </w:p>
        </w:tc>
        <w:tc>
          <w:tcPr>
            <w:tcW w:w="982" w:type="dxa"/>
            <w:vMerge w:val="restart"/>
            <w:vAlign w:val="center"/>
          </w:tcPr>
          <w:p w14:paraId="59A3A211" w14:textId="77777777" w:rsidR="001E039F" w:rsidRPr="00886D8A" w:rsidRDefault="001E039F" w:rsidP="004E36D3">
            <w:pPr>
              <w:keepLines/>
              <w:jc w:val="center"/>
              <w:rPr>
                <w:rFonts w:ascii="Arial Narrow" w:hAnsi="Arial Narrow"/>
                <w:i/>
                <w:iCs/>
                <w:sz w:val="20"/>
                <w:szCs w:val="20"/>
              </w:rPr>
            </w:pPr>
            <w:r w:rsidRPr="00886D8A">
              <w:rPr>
                <w:rFonts w:ascii="Arial Narrow" w:hAnsi="Arial Narrow"/>
                <w:i/>
                <w:iCs/>
                <w:sz w:val="20"/>
                <w:szCs w:val="20"/>
              </w:rPr>
              <w:t>Lamzede</w:t>
            </w:r>
          </w:p>
        </w:tc>
      </w:tr>
      <w:tr w:rsidR="001E039F" w:rsidRPr="00886D8A" w14:paraId="60A65BDA" w14:textId="77777777" w:rsidTr="000D238A">
        <w:trPr>
          <w:cantSplit/>
          <w:trHeight w:val="20"/>
        </w:trPr>
        <w:tc>
          <w:tcPr>
            <w:tcW w:w="2515" w:type="dxa"/>
            <w:gridSpan w:val="2"/>
            <w:vAlign w:val="center"/>
          </w:tcPr>
          <w:p w14:paraId="463CB25E" w14:textId="57758DD8" w:rsidR="001E039F" w:rsidRPr="00886D8A" w:rsidRDefault="001E039F" w:rsidP="004E36D3">
            <w:pPr>
              <w:keepLines/>
              <w:jc w:val="left"/>
              <w:rPr>
                <w:rFonts w:ascii="Arial Narrow" w:hAnsi="Arial Narrow"/>
                <w:sz w:val="20"/>
                <w:szCs w:val="20"/>
              </w:rPr>
            </w:pPr>
            <w:r w:rsidRPr="00886D8A">
              <w:rPr>
                <w:rFonts w:ascii="Arial Narrow" w:hAnsi="Arial Narrow"/>
                <w:sz w:val="20"/>
                <w:szCs w:val="20"/>
              </w:rPr>
              <w:t>velmanase alfa 10 mg injection, 5 vial</w:t>
            </w:r>
          </w:p>
        </w:tc>
        <w:tc>
          <w:tcPr>
            <w:tcW w:w="2760" w:type="dxa"/>
          </w:tcPr>
          <w:p w14:paraId="1A8D2D2A" w14:textId="12902365" w:rsidR="001E039F" w:rsidRPr="00886D8A" w:rsidRDefault="001E039F" w:rsidP="004E36D3">
            <w:pPr>
              <w:pStyle w:val="TableText0"/>
              <w:jc w:val="center"/>
              <w:rPr>
                <w:szCs w:val="20"/>
              </w:rPr>
            </w:pPr>
            <w:r w:rsidRPr="00886D8A">
              <w:rPr>
                <w:szCs w:val="20"/>
              </w:rPr>
              <w:t>Public Hospital: $</w:t>
            </w:r>
            <w:r w:rsidR="00ED4AC4" w:rsidRPr="00ED4AC4">
              <w:rPr>
                <w:color w:val="000000"/>
                <w:szCs w:val="20"/>
                <w:shd w:val="solid" w:color="000000" w:fill="000000"/>
                <w14:textFill>
                  <w14:solidFill>
                    <w14:srgbClr w14:val="000000">
                      <w14:alpha w14:val="100000"/>
                    </w14:srgbClr>
                  </w14:solidFill>
                </w14:textFill>
              </w:rPr>
              <w:t>|</w:t>
            </w:r>
          </w:p>
          <w:p w14:paraId="21939A4A" w14:textId="0516480F"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Private Hospital: $</w:t>
            </w:r>
            <w:r w:rsidR="00ED4AC4" w:rsidRPr="00ED4AC4">
              <w:rPr>
                <w:rFonts w:ascii="Arial Narrow" w:hAnsi="Arial Narrow"/>
                <w:color w:val="000000"/>
                <w:sz w:val="20"/>
                <w:szCs w:val="20"/>
                <w:shd w:val="solid" w:color="000000" w:fill="000000"/>
                <w14:textFill>
                  <w14:solidFill>
                    <w14:srgbClr w14:val="000000">
                      <w14:alpha w14:val="100000"/>
                    </w14:srgbClr>
                  </w14:solidFill>
                </w14:textFill>
              </w:rPr>
              <w:t>|</w:t>
            </w:r>
          </w:p>
        </w:tc>
        <w:tc>
          <w:tcPr>
            <w:tcW w:w="960" w:type="dxa"/>
            <w:vAlign w:val="center"/>
          </w:tcPr>
          <w:p w14:paraId="3692D011" w14:textId="77777777" w:rsidR="001E039F" w:rsidRPr="00886D8A" w:rsidRDefault="001E039F" w:rsidP="004E36D3">
            <w:pPr>
              <w:keepLines/>
              <w:jc w:val="center"/>
              <w:rPr>
                <w:rFonts w:ascii="Arial Narrow" w:hAnsi="Arial Narrow"/>
                <w:i/>
                <w:iCs/>
                <w:sz w:val="20"/>
                <w:szCs w:val="20"/>
              </w:rPr>
            </w:pPr>
            <w:r w:rsidRPr="00886D8A">
              <w:rPr>
                <w:rFonts w:ascii="Arial Narrow" w:hAnsi="Arial Narrow"/>
                <w:strike/>
                <w:sz w:val="20"/>
                <w:szCs w:val="20"/>
              </w:rPr>
              <w:t>4</w:t>
            </w:r>
            <w:r w:rsidRPr="00886D8A">
              <w:rPr>
                <w:rFonts w:ascii="Arial Narrow" w:hAnsi="Arial Narrow"/>
                <w:i/>
                <w:iCs/>
                <w:strike/>
                <w:sz w:val="20"/>
                <w:szCs w:val="20"/>
              </w:rPr>
              <w:t xml:space="preserve"> </w:t>
            </w:r>
            <w:r w:rsidRPr="00886D8A">
              <w:rPr>
                <w:rFonts w:ascii="Arial Narrow" w:hAnsi="Arial Narrow"/>
                <w:i/>
                <w:iCs/>
                <w:sz w:val="20"/>
                <w:szCs w:val="20"/>
              </w:rPr>
              <w:t xml:space="preserve">1 </w:t>
            </w:r>
          </w:p>
        </w:tc>
        <w:tc>
          <w:tcPr>
            <w:tcW w:w="960" w:type="dxa"/>
            <w:vAlign w:val="center"/>
          </w:tcPr>
          <w:p w14:paraId="3944E515" w14:textId="77777777" w:rsidR="001E039F" w:rsidRPr="00886D8A" w:rsidRDefault="001E039F" w:rsidP="004E36D3">
            <w:pPr>
              <w:keepLines/>
              <w:jc w:val="center"/>
              <w:rPr>
                <w:rFonts w:ascii="Arial Narrow" w:hAnsi="Arial Narrow"/>
                <w:sz w:val="20"/>
                <w:szCs w:val="20"/>
              </w:rPr>
            </w:pPr>
            <w:r w:rsidRPr="00886D8A">
              <w:rPr>
                <w:rFonts w:ascii="Arial Narrow" w:hAnsi="Arial Narrow"/>
                <w:strike/>
                <w:sz w:val="20"/>
                <w:szCs w:val="20"/>
              </w:rPr>
              <w:t>20</w:t>
            </w:r>
            <w:r w:rsidRPr="00886D8A">
              <w:rPr>
                <w:rFonts w:ascii="Arial Narrow" w:hAnsi="Arial Narrow"/>
                <w:sz w:val="20"/>
                <w:szCs w:val="20"/>
              </w:rPr>
              <w:t xml:space="preserve"> </w:t>
            </w:r>
            <w:r w:rsidRPr="00886D8A">
              <w:rPr>
                <w:rFonts w:ascii="Arial Narrow" w:hAnsi="Arial Narrow"/>
                <w:i/>
                <w:iCs/>
                <w:sz w:val="20"/>
                <w:szCs w:val="20"/>
              </w:rPr>
              <w:t xml:space="preserve">1 </w:t>
            </w:r>
          </w:p>
        </w:tc>
        <w:tc>
          <w:tcPr>
            <w:tcW w:w="840" w:type="dxa"/>
            <w:vAlign w:val="center"/>
          </w:tcPr>
          <w:p w14:paraId="2315265B" w14:textId="77777777"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5</w:t>
            </w:r>
          </w:p>
        </w:tc>
        <w:tc>
          <w:tcPr>
            <w:tcW w:w="982" w:type="dxa"/>
            <w:vMerge/>
            <w:vAlign w:val="center"/>
          </w:tcPr>
          <w:p w14:paraId="7D6D2EB9" w14:textId="77777777" w:rsidR="001E039F" w:rsidRPr="00886D8A" w:rsidRDefault="001E039F" w:rsidP="004E36D3">
            <w:pPr>
              <w:keepLines/>
              <w:rPr>
                <w:rFonts w:ascii="Arial Narrow" w:hAnsi="Arial Narrow"/>
                <w:sz w:val="20"/>
                <w:szCs w:val="20"/>
              </w:rPr>
            </w:pPr>
          </w:p>
        </w:tc>
      </w:tr>
      <w:tr w:rsidR="001E039F" w:rsidRPr="00886D8A" w14:paraId="18A6EB67" w14:textId="77777777" w:rsidTr="000D238A">
        <w:trPr>
          <w:cantSplit/>
          <w:trHeight w:val="20"/>
        </w:trPr>
        <w:tc>
          <w:tcPr>
            <w:tcW w:w="2515" w:type="dxa"/>
            <w:gridSpan w:val="2"/>
            <w:vAlign w:val="center"/>
          </w:tcPr>
          <w:p w14:paraId="691EA2B8" w14:textId="1C4DCABE" w:rsidR="001E039F" w:rsidRPr="00886D8A" w:rsidRDefault="001E039F" w:rsidP="004E36D3">
            <w:pPr>
              <w:keepLines/>
              <w:jc w:val="left"/>
              <w:rPr>
                <w:rFonts w:ascii="Arial Narrow" w:hAnsi="Arial Narrow"/>
                <w:sz w:val="20"/>
                <w:szCs w:val="20"/>
              </w:rPr>
            </w:pPr>
            <w:r w:rsidRPr="00886D8A">
              <w:rPr>
                <w:rFonts w:ascii="Arial Narrow" w:hAnsi="Arial Narrow"/>
                <w:sz w:val="20"/>
                <w:szCs w:val="20"/>
              </w:rPr>
              <w:t>velmanase alfa 10 mg injection, 10 vial</w:t>
            </w:r>
          </w:p>
        </w:tc>
        <w:tc>
          <w:tcPr>
            <w:tcW w:w="2760" w:type="dxa"/>
            <w:vAlign w:val="center"/>
          </w:tcPr>
          <w:p w14:paraId="6AEB40E9" w14:textId="0F39E2ED" w:rsidR="001E039F" w:rsidRPr="00886D8A" w:rsidRDefault="001E039F" w:rsidP="004E36D3">
            <w:pPr>
              <w:pStyle w:val="TableText0"/>
              <w:jc w:val="center"/>
              <w:rPr>
                <w:szCs w:val="20"/>
              </w:rPr>
            </w:pPr>
            <w:r w:rsidRPr="00886D8A">
              <w:rPr>
                <w:szCs w:val="20"/>
              </w:rPr>
              <w:t>Public Hospital: $</w:t>
            </w:r>
            <w:r w:rsidR="00ED4AC4" w:rsidRPr="00ED4AC4">
              <w:rPr>
                <w:color w:val="000000"/>
                <w:szCs w:val="20"/>
                <w:shd w:val="solid" w:color="000000" w:fill="000000"/>
                <w14:textFill>
                  <w14:solidFill>
                    <w14:srgbClr w14:val="000000">
                      <w14:alpha w14:val="100000"/>
                    </w14:srgbClr>
                  </w14:solidFill>
                </w14:textFill>
              </w:rPr>
              <w:t>|</w:t>
            </w:r>
          </w:p>
          <w:p w14:paraId="57555598" w14:textId="30DD1DBE"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Private Hospital: $</w:t>
            </w:r>
            <w:r w:rsidR="00ED4AC4" w:rsidRPr="00ED4AC4">
              <w:rPr>
                <w:rFonts w:ascii="Arial Narrow" w:hAnsi="Arial Narrow"/>
                <w:color w:val="000000"/>
                <w:sz w:val="20"/>
                <w:szCs w:val="20"/>
                <w:shd w:val="solid" w:color="000000" w:fill="000000"/>
                <w14:textFill>
                  <w14:solidFill>
                    <w14:srgbClr w14:val="000000">
                      <w14:alpha w14:val="100000"/>
                    </w14:srgbClr>
                  </w14:solidFill>
                </w14:textFill>
              </w:rPr>
              <w:t>|</w:t>
            </w:r>
          </w:p>
        </w:tc>
        <w:tc>
          <w:tcPr>
            <w:tcW w:w="960" w:type="dxa"/>
            <w:vAlign w:val="center"/>
          </w:tcPr>
          <w:p w14:paraId="7FC17F82" w14:textId="77777777" w:rsidR="001E039F" w:rsidRPr="00886D8A" w:rsidRDefault="001E039F" w:rsidP="004E36D3">
            <w:pPr>
              <w:keepLines/>
              <w:jc w:val="center"/>
              <w:rPr>
                <w:rFonts w:ascii="Arial Narrow" w:hAnsi="Arial Narrow"/>
                <w:i/>
                <w:iCs/>
                <w:sz w:val="20"/>
                <w:szCs w:val="20"/>
              </w:rPr>
            </w:pPr>
            <w:r w:rsidRPr="00886D8A">
              <w:rPr>
                <w:rFonts w:ascii="Arial Narrow" w:hAnsi="Arial Narrow"/>
                <w:strike/>
                <w:sz w:val="20"/>
                <w:szCs w:val="20"/>
              </w:rPr>
              <w:t xml:space="preserve">4 </w:t>
            </w:r>
            <w:r w:rsidRPr="00886D8A">
              <w:rPr>
                <w:rFonts w:ascii="Arial Narrow" w:hAnsi="Arial Narrow"/>
                <w:i/>
                <w:iCs/>
                <w:sz w:val="20"/>
                <w:szCs w:val="20"/>
              </w:rPr>
              <w:t>1</w:t>
            </w:r>
          </w:p>
        </w:tc>
        <w:tc>
          <w:tcPr>
            <w:tcW w:w="960" w:type="dxa"/>
            <w:vAlign w:val="center"/>
          </w:tcPr>
          <w:p w14:paraId="3D458F85" w14:textId="77777777" w:rsidR="001E039F" w:rsidRPr="00886D8A" w:rsidRDefault="001E039F" w:rsidP="004E36D3">
            <w:pPr>
              <w:keepLines/>
              <w:jc w:val="center"/>
              <w:rPr>
                <w:rFonts w:ascii="Arial Narrow" w:hAnsi="Arial Narrow"/>
                <w:sz w:val="20"/>
                <w:szCs w:val="20"/>
              </w:rPr>
            </w:pPr>
            <w:r w:rsidRPr="00886D8A">
              <w:rPr>
                <w:rFonts w:ascii="Arial Narrow" w:hAnsi="Arial Narrow"/>
                <w:strike/>
                <w:sz w:val="20"/>
                <w:szCs w:val="20"/>
              </w:rPr>
              <w:t>40</w:t>
            </w:r>
            <w:r w:rsidRPr="00886D8A">
              <w:rPr>
                <w:rFonts w:ascii="Arial Narrow" w:hAnsi="Arial Narrow"/>
                <w:sz w:val="20"/>
                <w:szCs w:val="20"/>
              </w:rPr>
              <w:t xml:space="preserve"> </w:t>
            </w:r>
            <w:r w:rsidRPr="00886D8A">
              <w:rPr>
                <w:rFonts w:ascii="Arial Narrow" w:hAnsi="Arial Narrow"/>
                <w:i/>
                <w:iCs/>
                <w:sz w:val="20"/>
                <w:szCs w:val="20"/>
              </w:rPr>
              <w:t xml:space="preserve">1 </w:t>
            </w:r>
          </w:p>
        </w:tc>
        <w:tc>
          <w:tcPr>
            <w:tcW w:w="840" w:type="dxa"/>
            <w:vAlign w:val="center"/>
          </w:tcPr>
          <w:p w14:paraId="309FAD5F" w14:textId="77777777" w:rsidR="001E039F" w:rsidRPr="00886D8A" w:rsidRDefault="001E039F" w:rsidP="004E36D3">
            <w:pPr>
              <w:keepLines/>
              <w:jc w:val="center"/>
              <w:rPr>
                <w:rFonts w:ascii="Arial Narrow" w:hAnsi="Arial Narrow"/>
                <w:sz w:val="20"/>
                <w:szCs w:val="20"/>
              </w:rPr>
            </w:pPr>
            <w:r w:rsidRPr="00886D8A">
              <w:rPr>
                <w:rFonts w:ascii="Arial Narrow" w:hAnsi="Arial Narrow"/>
                <w:sz w:val="20"/>
                <w:szCs w:val="20"/>
              </w:rPr>
              <w:t>5</w:t>
            </w:r>
          </w:p>
        </w:tc>
        <w:tc>
          <w:tcPr>
            <w:tcW w:w="982" w:type="dxa"/>
            <w:vMerge/>
            <w:vAlign w:val="center"/>
          </w:tcPr>
          <w:p w14:paraId="78CAD6FF" w14:textId="77777777" w:rsidR="001E039F" w:rsidRPr="00886D8A" w:rsidRDefault="001E039F" w:rsidP="004E36D3">
            <w:pPr>
              <w:keepLines/>
              <w:rPr>
                <w:rFonts w:ascii="Arial Narrow" w:hAnsi="Arial Narrow"/>
                <w:sz w:val="20"/>
                <w:szCs w:val="20"/>
              </w:rPr>
            </w:pPr>
          </w:p>
        </w:tc>
      </w:tr>
      <w:tr w:rsidR="008F495A" w:rsidRPr="00886D8A" w14:paraId="0C714655" w14:textId="77777777" w:rsidTr="00B359DE">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56A17E25" w14:textId="77777777" w:rsidR="008F495A" w:rsidRPr="00886D8A" w:rsidRDefault="008F495A" w:rsidP="004E36D3">
            <w:pPr>
              <w:rPr>
                <w:rFonts w:ascii="Arial Narrow" w:hAnsi="Arial Narrow"/>
                <w:sz w:val="20"/>
                <w:szCs w:val="20"/>
              </w:rPr>
            </w:pPr>
          </w:p>
        </w:tc>
      </w:tr>
      <w:tr w:rsidR="008F495A" w:rsidRPr="00886D8A" w14:paraId="76F8106D" w14:textId="77777777" w:rsidTr="00B359DE">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70A3EC24" w14:textId="77777777" w:rsidR="008F495A" w:rsidRPr="00886D8A" w:rsidRDefault="008F495A" w:rsidP="004E36D3">
            <w:pPr>
              <w:jc w:val="left"/>
              <w:rPr>
                <w:rFonts w:ascii="Arial Narrow" w:hAnsi="Arial Narrow"/>
                <w:sz w:val="20"/>
                <w:szCs w:val="20"/>
              </w:rPr>
            </w:pPr>
            <w:r w:rsidRPr="00886D8A">
              <w:rPr>
                <w:rFonts w:ascii="Arial Narrow" w:hAnsi="Arial Narrow"/>
                <w:b/>
                <w:sz w:val="20"/>
                <w:szCs w:val="20"/>
              </w:rPr>
              <w:t>Concept ID</w:t>
            </w:r>
          </w:p>
          <w:p w14:paraId="5BA702EF" w14:textId="77777777" w:rsidR="008F495A" w:rsidRPr="00886D8A" w:rsidRDefault="008F495A" w:rsidP="004E36D3">
            <w:pPr>
              <w:jc w:val="left"/>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1286D5B" w14:textId="77777777" w:rsidR="008F495A" w:rsidRPr="00886D8A" w:rsidRDefault="008F495A" w:rsidP="004E36D3">
            <w:pPr>
              <w:keepLines/>
              <w:jc w:val="left"/>
              <w:rPr>
                <w:rFonts w:ascii="Arial Narrow" w:hAnsi="Arial Narrow"/>
                <w:sz w:val="20"/>
                <w:szCs w:val="20"/>
              </w:rPr>
            </w:pPr>
            <w:r w:rsidRPr="00886D8A">
              <w:rPr>
                <w:rFonts w:ascii="Arial Narrow" w:hAnsi="Arial Narrow"/>
                <w:b/>
                <w:sz w:val="20"/>
                <w:szCs w:val="20"/>
              </w:rPr>
              <w:t>Category / Program:</w:t>
            </w:r>
            <w:r w:rsidRPr="00886D8A">
              <w:rPr>
                <w:rFonts w:ascii="Arial Narrow" w:hAnsi="Arial Narrow"/>
                <w:sz w:val="20"/>
                <w:szCs w:val="20"/>
              </w:rPr>
              <w:fldChar w:fldCharType="begin">
                <w:ffData>
                  <w:name w:val=""/>
                  <w:enabled/>
                  <w:calcOnExit w:val="0"/>
                  <w:checkBox>
                    <w:sizeAuto/>
                    <w:default w:val="1"/>
                  </w:checkBox>
                </w:ffData>
              </w:fldChar>
            </w:r>
            <w:r w:rsidRPr="00886D8A">
              <w:rPr>
                <w:rFonts w:ascii="Arial Narrow" w:hAnsi="Arial Narrow"/>
                <w:sz w:val="20"/>
                <w:szCs w:val="20"/>
              </w:rPr>
              <w:instrText xml:space="preserve"> FORMCHECKBOX </w:instrText>
            </w:r>
            <w:r w:rsidRPr="00886D8A">
              <w:rPr>
                <w:rFonts w:ascii="Arial Narrow" w:hAnsi="Arial Narrow"/>
                <w:sz w:val="20"/>
                <w:szCs w:val="20"/>
              </w:rPr>
            </w:r>
            <w:r w:rsidRPr="00886D8A">
              <w:rPr>
                <w:rFonts w:ascii="Arial Narrow" w:hAnsi="Arial Narrow"/>
                <w:sz w:val="20"/>
                <w:szCs w:val="20"/>
              </w:rPr>
              <w:fldChar w:fldCharType="separate"/>
            </w:r>
            <w:r w:rsidRPr="00886D8A">
              <w:rPr>
                <w:rFonts w:ascii="Arial Narrow" w:hAnsi="Arial Narrow"/>
                <w:sz w:val="20"/>
                <w:szCs w:val="20"/>
              </w:rPr>
              <w:fldChar w:fldCharType="end"/>
            </w:r>
            <w:r w:rsidRPr="00886D8A">
              <w:rPr>
                <w:rFonts w:ascii="Arial Narrow" w:hAnsi="Arial Narrow"/>
                <w:sz w:val="20"/>
                <w:szCs w:val="20"/>
              </w:rPr>
              <w:t xml:space="preserve"> </w:t>
            </w:r>
            <w:r w:rsidRPr="00886D8A">
              <w:rPr>
                <w:rFonts w:ascii="Arial Narrow" w:eastAsia="Calibri" w:hAnsi="Arial Narrow"/>
                <w:sz w:val="20"/>
                <w:szCs w:val="20"/>
              </w:rPr>
              <w:t>Section 100 – Highly Specialised Drugs Program – Public (Code HB) / Private (Code HS)</w:t>
            </w:r>
          </w:p>
        </w:tc>
      </w:tr>
      <w:tr w:rsidR="008F495A" w:rsidRPr="00886D8A" w14:paraId="5DF35A29" w14:textId="77777777" w:rsidTr="00B359DE">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259B13AB" w14:textId="77777777" w:rsidR="008F495A" w:rsidRPr="00886D8A" w:rsidRDefault="008F495A" w:rsidP="004E36D3">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94E5A84" w14:textId="77777777" w:rsidR="008F495A" w:rsidRPr="00886D8A" w:rsidRDefault="008F495A" w:rsidP="004E36D3">
            <w:pPr>
              <w:keepLines/>
              <w:jc w:val="left"/>
              <w:rPr>
                <w:rFonts w:ascii="Arial Narrow" w:hAnsi="Arial Narrow"/>
                <w:b/>
                <w:sz w:val="20"/>
                <w:szCs w:val="20"/>
              </w:rPr>
            </w:pPr>
            <w:r w:rsidRPr="00886D8A">
              <w:rPr>
                <w:rFonts w:ascii="Arial Narrow" w:hAnsi="Arial Narrow"/>
                <w:b/>
                <w:sz w:val="20"/>
                <w:szCs w:val="20"/>
              </w:rPr>
              <w:t xml:space="preserve">Prescriber type: </w:t>
            </w:r>
            <w:r w:rsidRPr="00886D8A">
              <w:rPr>
                <w:rFonts w:ascii="Arial Narrow" w:hAnsi="Arial Narrow"/>
                <w:sz w:val="20"/>
                <w:szCs w:val="20"/>
              </w:rPr>
              <w:fldChar w:fldCharType="begin">
                <w:ffData>
                  <w:name w:val=""/>
                  <w:enabled/>
                  <w:calcOnExit w:val="0"/>
                  <w:checkBox>
                    <w:sizeAuto/>
                    <w:default w:val="1"/>
                  </w:checkBox>
                </w:ffData>
              </w:fldChar>
            </w:r>
            <w:r w:rsidRPr="00886D8A">
              <w:rPr>
                <w:rFonts w:ascii="Arial Narrow" w:hAnsi="Arial Narrow"/>
                <w:sz w:val="20"/>
                <w:szCs w:val="20"/>
              </w:rPr>
              <w:instrText xml:space="preserve"> FORMCHECKBOX </w:instrText>
            </w:r>
            <w:r w:rsidRPr="00886D8A">
              <w:rPr>
                <w:rFonts w:ascii="Arial Narrow" w:hAnsi="Arial Narrow"/>
                <w:sz w:val="20"/>
                <w:szCs w:val="20"/>
              </w:rPr>
            </w:r>
            <w:r w:rsidRPr="00886D8A">
              <w:rPr>
                <w:rFonts w:ascii="Arial Narrow" w:hAnsi="Arial Narrow"/>
                <w:sz w:val="20"/>
                <w:szCs w:val="20"/>
              </w:rPr>
              <w:fldChar w:fldCharType="separate"/>
            </w:r>
            <w:r w:rsidRPr="00886D8A">
              <w:rPr>
                <w:rFonts w:ascii="Arial Narrow" w:hAnsi="Arial Narrow"/>
                <w:sz w:val="20"/>
                <w:szCs w:val="20"/>
              </w:rPr>
              <w:fldChar w:fldCharType="end"/>
            </w:r>
            <w:r w:rsidRPr="00886D8A">
              <w:rPr>
                <w:rFonts w:ascii="Arial Narrow" w:hAnsi="Arial Narrow"/>
                <w:sz w:val="20"/>
                <w:szCs w:val="20"/>
              </w:rPr>
              <w:t xml:space="preserve"> Medical Practitioners </w:t>
            </w:r>
          </w:p>
        </w:tc>
      </w:tr>
      <w:tr w:rsidR="008F495A" w:rsidRPr="00886D8A" w14:paraId="720C17CC" w14:textId="77777777" w:rsidTr="00B359DE">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right w:val="single" w:sz="4" w:space="0" w:color="auto"/>
            </w:tcBorders>
          </w:tcPr>
          <w:p w14:paraId="5BD6B96D" w14:textId="77777777" w:rsidR="008F495A" w:rsidRPr="00886D8A" w:rsidRDefault="008F495A" w:rsidP="004E36D3">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7945EF7" w14:textId="77777777" w:rsidR="008F495A" w:rsidRPr="00886D8A" w:rsidRDefault="008F495A" w:rsidP="004E36D3">
            <w:pPr>
              <w:keepLines/>
              <w:jc w:val="left"/>
              <w:rPr>
                <w:rFonts w:ascii="Arial Narrow" w:eastAsia="Calibri" w:hAnsi="Arial Narrow"/>
                <w:sz w:val="20"/>
                <w:szCs w:val="20"/>
              </w:rPr>
            </w:pPr>
            <w:r w:rsidRPr="00886D8A">
              <w:rPr>
                <w:rFonts w:ascii="Arial Narrow" w:hAnsi="Arial Narrow"/>
                <w:b/>
                <w:sz w:val="20"/>
                <w:szCs w:val="20"/>
              </w:rPr>
              <w:t>Benefit type:</w:t>
            </w:r>
            <w:r w:rsidRPr="00886D8A">
              <w:rPr>
                <w:rFonts w:ascii="Arial Narrow" w:hAnsi="Arial Narrow"/>
                <w:sz w:val="20"/>
                <w:szCs w:val="20"/>
              </w:rPr>
              <w:fldChar w:fldCharType="begin">
                <w:ffData>
                  <w:name w:val=""/>
                  <w:enabled/>
                  <w:calcOnExit w:val="0"/>
                  <w:checkBox>
                    <w:sizeAuto/>
                    <w:default w:val="1"/>
                  </w:checkBox>
                </w:ffData>
              </w:fldChar>
            </w:r>
            <w:r w:rsidRPr="00886D8A">
              <w:rPr>
                <w:rFonts w:ascii="Arial Narrow" w:hAnsi="Arial Narrow"/>
                <w:sz w:val="20"/>
                <w:szCs w:val="20"/>
              </w:rPr>
              <w:instrText xml:space="preserve"> FORMCHECKBOX </w:instrText>
            </w:r>
            <w:r w:rsidRPr="00886D8A">
              <w:rPr>
                <w:rFonts w:ascii="Arial Narrow" w:hAnsi="Arial Narrow"/>
                <w:sz w:val="20"/>
                <w:szCs w:val="20"/>
              </w:rPr>
            </w:r>
            <w:r w:rsidRPr="00886D8A">
              <w:rPr>
                <w:rFonts w:ascii="Arial Narrow" w:hAnsi="Arial Narrow"/>
                <w:sz w:val="20"/>
                <w:szCs w:val="20"/>
              </w:rPr>
              <w:fldChar w:fldCharType="separate"/>
            </w:r>
            <w:r w:rsidRPr="00886D8A">
              <w:rPr>
                <w:rFonts w:ascii="Arial Narrow" w:hAnsi="Arial Narrow"/>
                <w:sz w:val="20"/>
                <w:szCs w:val="20"/>
              </w:rPr>
              <w:fldChar w:fldCharType="end"/>
            </w:r>
            <w:r w:rsidRPr="00886D8A">
              <w:rPr>
                <w:rFonts w:ascii="Arial Narrow" w:hAnsi="Arial Narrow"/>
                <w:sz w:val="20"/>
                <w:szCs w:val="20"/>
              </w:rPr>
              <w:t xml:space="preserve"> </w:t>
            </w:r>
            <w:r w:rsidRPr="00886D8A">
              <w:rPr>
                <w:rFonts w:ascii="Arial Narrow" w:eastAsia="Calibri" w:hAnsi="Arial Narrow"/>
                <w:sz w:val="20"/>
                <w:szCs w:val="20"/>
              </w:rPr>
              <w:t xml:space="preserve">Authority Required (FULL assessment) in writing only via post/HPOS upload)  </w:t>
            </w:r>
          </w:p>
        </w:tc>
      </w:tr>
      <w:tr w:rsidR="008F495A" w:rsidRPr="00886D8A" w14:paraId="3705F433" w14:textId="77777777" w:rsidTr="00B359DE">
        <w:tblPrEx>
          <w:tblCellMar>
            <w:top w:w="15" w:type="dxa"/>
            <w:bottom w:w="15" w:type="dxa"/>
          </w:tblCellMar>
          <w:tblLook w:val="04A0" w:firstRow="1" w:lastRow="0" w:firstColumn="1" w:lastColumn="0" w:noHBand="0" w:noVBand="1"/>
        </w:tblPrEx>
        <w:trPr>
          <w:trHeight w:val="20"/>
        </w:trPr>
        <w:tc>
          <w:tcPr>
            <w:tcW w:w="1272" w:type="dxa"/>
            <w:vMerge/>
            <w:tcBorders>
              <w:left w:val="single" w:sz="4" w:space="0" w:color="auto"/>
              <w:bottom w:val="single" w:sz="4" w:space="0" w:color="auto"/>
              <w:right w:val="single" w:sz="4" w:space="0" w:color="auto"/>
            </w:tcBorders>
          </w:tcPr>
          <w:p w14:paraId="54F9E6CB" w14:textId="77777777" w:rsidR="008F495A" w:rsidRPr="00886D8A" w:rsidRDefault="008F495A" w:rsidP="004E36D3">
            <w:pPr>
              <w:jc w:val="left"/>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217D2FD" w14:textId="77777777" w:rsidR="008F495A" w:rsidRPr="00886D8A" w:rsidRDefault="008F495A" w:rsidP="004E36D3">
            <w:pPr>
              <w:keepLines/>
              <w:jc w:val="left"/>
              <w:rPr>
                <w:rFonts w:ascii="Arial Narrow" w:eastAsia="Calibri" w:hAnsi="Arial Narrow"/>
                <w:i/>
                <w:iCs/>
                <w:color w:val="FF0000"/>
                <w:sz w:val="20"/>
                <w:szCs w:val="20"/>
              </w:rPr>
            </w:pPr>
            <w:r w:rsidRPr="00886D8A">
              <w:rPr>
                <w:rFonts w:ascii="Arial Narrow" w:hAnsi="Arial Narrow"/>
                <w:b/>
                <w:i/>
                <w:iCs/>
                <w:sz w:val="20"/>
                <w:szCs w:val="20"/>
              </w:rPr>
              <w:t xml:space="preserve">Authority type: </w:t>
            </w:r>
            <w:r w:rsidRPr="00886D8A">
              <w:rPr>
                <w:rFonts w:ascii="Arial Narrow" w:hAnsi="Arial Narrow"/>
                <w:i/>
                <w:iCs/>
                <w:sz w:val="20"/>
                <w:szCs w:val="20"/>
              </w:rPr>
              <w:fldChar w:fldCharType="begin">
                <w:ffData>
                  <w:name w:val=""/>
                  <w:enabled/>
                  <w:calcOnExit w:val="0"/>
                  <w:checkBox>
                    <w:sizeAuto/>
                    <w:default w:val="1"/>
                  </w:checkBox>
                </w:ffData>
              </w:fldChar>
            </w:r>
            <w:r w:rsidRPr="00886D8A">
              <w:rPr>
                <w:rFonts w:ascii="Arial Narrow" w:hAnsi="Arial Narrow"/>
                <w:i/>
                <w:iCs/>
                <w:sz w:val="20"/>
                <w:szCs w:val="20"/>
              </w:rPr>
              <w:instrText xml:space="preserve"> FORMCHECKBOX </w:instrText>
            </w:r>
            <w:r w:rsidRPr="00886D8A">
              <w:rPr>
                <w:rFonts w:ascii="Arial Narrow" w:hAnsi="Arial Narrow"/>
                <w:i/>
                <w:iCs/>
                <w:sz w:val="20"/>
                <w:szCs w:val="20"/>
              </w:rPr>
            </w:r>
            <w:r w:rsidRPr="00886D8A">
              <w:rPr>
                <w:rFonts w:ascii="Arial Narrow" w:hAnsi="Arial Narrow"/>
                <w:i/>
                <w:iCs/>
                <w:sz w:val="20"/>
                <w:szCs w:val="20"/>
              </w:rPr>
              <w:fldChar w:fldCharType="separate"/>
            </w:r>
            <w:r w:rsidRPr="00886D8A">
              <w:rPr>
                <w:rFonts w:ascii="Arial Narrow" w:hAnsi="Arial Narrow"/>
                <w:i/>
                <w:iCs/>
                <w:sz w:val="20"/>
                <w:szCs w:val="20"/>
              </w:rPr>
              <w:fldChar w:fldCharType="end"/>
            </w:r>
            <w:r w:rsidRPr="00886D8A">
              <w:rPr>
                <w:rFonts w:ascii="Arial Narrow" w:hAnsi="Arial Narrow"/>
                <w:i/>
                <w:iCs/>
                <w:sz w:val="20"/>
                <w:szCs w:val="20"/>
              </w:rPr>
              <w:t xml:space="preserve"> </w:t>
            </w:r>
            <w:r w:rsidRPr="00886D8A">
              <w:rPr>
                <w:rFonts w:ascii="Arial Narrow" w:eastAsia="Calibri" w:hAnsi="Arial Narrow"/>
                <w:i/>
                <w:iCs/>
                <w:sz w:val="20"/>
                <w:szCs w:val="20"/>
              </w:rPr>
              <w:t>Complex Authority Required (CAR)</w:t>
            </w:r>
          </w:p>
        </w:tc>
      </w:tr>
      <w:tr w:rsidR="008F495A" w:rsidRPr="00886D8A" w14:paraId="14A2AB36" w14:textId="77777777" w:rsidTr="00B359DE">
        <w:tblPrEx>
          <w:tblCellMar>
            <w:top w:w="15" w:type="dxa"/>
            <w:bottom w:w="15" w:type="dxa"/>
          </w:tblCellMar>
          <w:tblLook w:val="04A0" w:firstRow="1" w:lastRow="0" w:firstColumn="1" w:lastColumn="0" w:noHBand="0" w:noVBand="1"/>
        </w:tblPrEx>
        <w:trPr>
          <w:trHeight w:val="186"/>
        </w:trPr>
        <w:tc>
          <w:tcPr>
            <w:tcW w:w="1272" w:type="dxa"/>
            <w:tcBorders>
              <w:left w:val="single" w:sz="4" w:space="0" w:color="auto"/>
              <w:bottom w:val="single" w:sz="4" w:space="0" w:color="auto"/>
              <w:right w:val="single" w:sz="4" w:space="0" w:color="auto"/>
            </w:tcBorders>
          </w:tcPr>
          <w:p w14:paraId="7A761C85" w14:textId="77777777" w:rsidR="008F495A" w:rsidRPr="00886D8A" w:rsidRDefault="008F495A" w:rsidP="004E36D3">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0310BE9" w14:textId="77777777" w:rsidR="008F495A" w:rsidRPr="00886D8A" w:rsidRDefault="008F495A" w:rsidP="004E36D3">
            <w:pPr>
              <w:pStyle w:val="pf0"/>
              <w:spacing w:before="0" w:beforeAutospacing="0" w:after="0" w:afterAutospacing="0"/>
              <w:rPr>
                <w:rFonts w:ascii="Arial Narrow" w:hAnsi="Arial Narrow" w:cs="Arial"/>
                <w:b/>
                <w:sz w:val="20"/>
                <w:szCs w:val="20"/>
              </w:rPr>
            </w:pPr>
            <w:r w:rsidRPr="00886D8A">
              <w:rPr>
                <w:rFonts w:ascii="Arial Narrow" w:hAnsi="Arial Narrow" w:cs="Arial"/>
                <w:b/>
                <w:sz w:val="20"/>
                <w:szCs w:val="20"/>
              </w:rPr>
              <w:t xml:space="preserve">Prescribing rule level: </w:t>
            </w:r>
          </w:p>
        </w:tc>
      </w:tr>
      <w:tr w:rsidR="008F495A" w:rsidRPr="00886D8A" w14:paraId="1254A442" w14:textId="77777777" w:rsidTr="00B359DE">
        <w:tblPrEx>
          <w:tblCellMar>
            <w:top w:w="15" w:type="dxa"/>
            <w:bottom w:w="15" w:type="dxa"/>
          </w:tblCellMar>
          <w:tblLook w:val="04A0" w:firstRow="1" w:lastRow="0" w:firstColumn="1" w:lastColumn="0" w:noHBand="0" w:noVBand="1"/>
        </w:tblPrEx>
        <w:trPr>
          <w:trHeight w:val="186"/>
        </w:trPr>
        <w:tc>
          <w:tcPr>
            <w:tcW w:w="1272" w:type="dxa"/>
            <w:tcBorders>
              <w:left w:val="single" w:sz="4" w:space="0" w:color="auto"/>
              <w:bottom w:val="single" w:sz="4" w:space="0" w:color="auto"/>
              <w:right w:val="single" w:sz="4" w:space="0" w:color="auto"/>
            </w:tcBorders>
          </w:tcPr>
          <w:p w14:paraId="3F8EE79F" w14:textId="77777777" w:rsidR="008F495A" w:rsidRPr="00886D8A" w:rsidRDefault="008F495A" w:rsidP="004E36D3">
            <w:pPr>
              <w:jc w:val="center"/>
              <w:rPr>
                <w:rFonts w:ascii="Arial Narrow" w:hAnsi="Arial Narrow"/>
                <w:i/>
                <w:iCs/>
                <w:sz w:val="20"/>
                <w:szCs w:val="20"/>
              </w:rPr>
            </w:pPr>
          </w:p>
          <w:p w14:paraId="28B26B54" w14:textId="129A9A52" w:rsidR="008F495A" w:rsidRPr="00886D8A" w:rsidRDefault="008F495A" w:rsidP="004E36D3">
            <w:pPr>
              <w:jc w:val="center"/>
              <w:rPr>
                <w:rFonts w:ascii="Arial Narrow" w:hAnsi="Arial Narrow"/>
                <w:i/>
                <w:iCs/>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CC3760" w14:textId="77777777" w:rsidR="008F495A" w:rsidRPr="00886D8A" w:rsidRDefault="008F495A" w:rsidP="004E36D3">
            <w:pPr>
              <w:pStyle w:val="pf0"/>
              <w:spacing w:before="0" w:beforeAutospacing="0" w:after="0" w:afterAutospacing="0"/>
              <w:rPr>
                <w:rFonts w:ascii="Arial Narrow" w:hAnsi="Arial Narrow" w:cs="Arial"/>
                <w:b/>
                <w:i/>
                <w:iCs/>
                <w:sz w:val="20"/>
                <w:szCs w:val="20"/>
              </w:rPr>
            </w:pPr>
            <w:r w:rsidRPr="00886D8A">
              <w:rPr>
                <w:rFonts w:ascii="Arial Narrow" w:hAnsi="Arial Narrow" w:cs="Arial"/>
                <w:b/>
                <w:i/>
                <w:iCs/>
                <w:sz w:val="20"/>
                <w:szCs w:val="20"/>
              </w:rPr>
              <w:t>Administrative Advice:</w:t>
            </w:r>
          </w:p>
          <w:p w14:paraId="3875511E"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Any queries concerning the arrangements to prescribe may be directed to Services Australia on 1800 700 270 (hours of operation 8 a.m. to 5 p.m. Monday to Friday).</w:t>
            </w:r>
          </w:p>
          <w:p w14:paraId="07B5AD51" w14:textId="77777777" w:rsidR="008F495A" w:rsidRPr="00886D8A" w:rsidRDefault="008F495A" w:rsidP="004E36D3">
            <w:pPr>
              <w:rPr>
                <w:rFonts w:ascii="Arial Narrow" w:hAnsi="Arial Narrow"/>
                <w:i/>
                <w:iCs/>
                <w:sz w:val="20"/>
                <w:szCs w:val="20"/>
              </w:rPr>
            </w:pPr>
          </w:p>
          <w:p w14:paraId="5FC69F7E" w14:textId="77777777" w:rsidR="008F495A" w:rsidRPr="00886D8A" w:rsidRDefault="008F495A" w:rsidP="004E36D3">
            <w:r w:rsidRPr="00886D8A">
              <w:rPr>
                <w:rFonts w:ascii="Arial Narrow" w:hAnsi="Arial Narrow"/>
                <w:i/>
                <w:iCs/>
                <w:sz w:val="20"/>
                <w:szCs w:val="20"/>
              </w:rPr>
              <w:t xml:space="preserve">Prescribing information (including Authority Application forms and other relevant documentation as applicable) is available on the Services Australia website at </w:t>
            </w:r>
            <w:hyperlink r:id="rId11" w:history="1">
              <w:r w:rsidRPr="00886D8A">
                <w:rPr>
                  <w:rStyle w:val="Hyperlink"/>
                  <w:rFonts w:ascii="Arial Narrow" w:hAnsi="Arial Narrow"/>
                  <w:i/>
                  <w:iCs/>
                  <w:color w:val="auto"/>
                  <w:sz w:val="20"/>
                  <w:szCs w:val="20"/>
                </w:rPr>
                <w:t>www.servicesaustralia.gov.au</w:t>
              </w:r>
            </w:hyperlink>
          </w:p>
          <w:p w14:paraId="61E17EE9" w14:textId="77777777" w:rsidR="008F495A" w:rsidRPr="00886D8A" w:rsidRDefault="008F495A" w:rsidP="004E36D3"/>
          <w:p w14:paraId="22CE9E31"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Applications for authorisation under this restriction should be made using the Online PBS Authorities system (see www.servicesaustralia.gov.au/hpos)</w:t>
            </w:r>
          </w:p>
          <w:p w14:paraId="6B9786B4" w14:textId="77777777" w:rsidR="008F495A" w:rsidRPr="00886D8A" w:rsidRDefault="008F495A" w:rsidP="004E36D3">
            <w:pPr>
              <w:rPr>
                <w:rFonts w:ascii="Arial Narrow" w:hAnsi="Arial Narrow"/>
                <w:i/>
                <w:iCs/>
                <w:sz w:val="20"/>
                <w:szCs w:val="20"/>
              </w:rPr>
            </w:pPr>
          </w:p>
          <w:p w14:paraId="2F179D7B"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 xml:space="preserve">Alternatively, applications for authority to prescribe  can be submitted online using the form upload facility in Health Professional Online Services (HPOS) at </w:t>
            </w:r>
            <w:hyperlink r:id="rId12" w:history="1">
              <w:r w:rsidRPr="00886D8A">
                <w:rPr>
                  <w:rStyle w:val="Hyperlink"/>
                  <w:rFonts w:ascii="Arial Narrow" w:hAnsi="Arial Narrow"/>
                  <w:i/>
                  <w:iCs/>
                  <w:color w:val="auto"/>
                  <w:sz w:val="20"/>
                  <w:szCs w:val="20"/>
                </w:rPr>
                <w:t>www.servicesaustralia.gov.au/hpos</w:t>
              </w:r>
            </w:hyperlink>
          </w:p>
          <w:p w14:paraId="3801355A" w14:textId="77777777" w:rsidR="008F495A" w:rsidRPr="00886D8A" w:rsidRDefault="008F495A" w:rsidP="004E36D3">
            <w:pPr>
              <w:rPr>
                <w:rFonts w:ascii="Arial Narrow" w:hAnsi="Arial Narrow"/>
                <w:i/>
                <w:iCs/>
                <w:sz w:val="20"/>
                <w:szCs w:val="20"/>
              </w:rPr>
            </w:pPr>
          </w:p>
          <w:p w14:paraId="216883FB"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Or mailed to:</w:t>
            </w:r>
          </w:p>
          <w:p w14:paraId="419BF632"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Services Australia</w:t>
            </w:r>
          </w:p>
          <w:p w14:paraId="1740B6FB"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Complex Drugs</w:t>
            </w:r>
          </w:p>
          <w:p w14:paraId="28B8745B"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Reply Paid 9826</w:t>
            </w:r>
          </w:p>
          <w:p w14:paraId="4754913D" w14:textId="77777777" w:rsidR="008F495A" w:rsidRPr="00886D8A" w:rsidRDefault="008F495A" w:rsidP="004E36D3">
            <w:pPr>
              <w:rPr>
                <w:rFonts w:ascii="Arial Narrow" w:hAnsi="Arial Narrow"/>
                <w:sz w:val="20"/>
                <w:szCs w:val="20"/>
              </w:rPr>
            </w:pPr>
            <w:r w:rsidRPr="00886D8A">
              <w:rPr>
                <w:rFonts w:ascii="Arial Narrow" w:hAnsi="Arial Narrow"/>
                <w:i/>
                <w:iCs/>
                <w:sz w:val="20"/>
                <w:szCs w:val="20"/>
              </w:rPr>
              <w:lastRenderedPageBreak/>
              <w:t>HOBART TAS 7001</w:t>
            </w:r>
          </w:p>
        </w:tc>
      </w:tr>
      <w:tr w:rsidR="008F495A" w:rsidRPr="00886D8A" w14:paraId="1F98605A" w14:textId="77777777" w:rsidTr="00B359DE">
        <w:tblPrEx>
          <w:tblCellMar>
            <w:top w:w="15" w:type="dxa"/>
            <w:bottom w:w="15" w:type="dxa"/>
          </w:tblCellMar>
          <w:tblLook w:val="04A0" w:firstRow="1" w:lastRow="0" w:firstColumn="1" w:lastColumn="0" w:noHBand="0" w:noVBand="1"/>
        </w:tblPrEx>
        <w:trPr>
          <w:trHeight w:val="20"/>
        </w:trPr>
        <w:tc>
          <w:tcPr>
            <w:tcW w:w="1272" w:type="dxa"/>
            <w:tcBorders>
              <w:left w:val="single" w:sz="4" w:space="0" w:color="auto"/>
              <w:bottom w:val="single" w:sz="4" w:space="0" w:color="auto"/>
              <w:right w:val="single" w:sz="4" w:space="0" w:color="auto"/>
            </w:tcBorders>
            <w:shd w:val="clear" w:color="auto" w:fill="BFBFBF" w:themeFill="background1" w:themeFillShade="BF"/>
          </w:tcPr>
          <w:p w14:paraId="542E3C4F" w14:textId="77777777" w:rsidR="008F495A" w:rsidRPr="00886D8A" w:rsidRDefault="008F495A" w:rsidP="004E36D3">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CC95B8" w14:textId="77777777" w:rsidR="008F495A" w:rsidRPr="00886D8A" w:rsidRDefault="008F495A" w:rsidP="004E36D3">
            <w:pPr>
              <w:keepLines/>
              <w:rPr>
                <w:rFonts w:ascii="Arial Narrow" w:hAnsi="Arial Narrow"/>
                <w:b/>
                <w:bCs/>
                <w:color w:val="333333"/>
                <w:sz w:val="20"/>
                <w:szCs w:val="20"/>
              </w:rPr>
            </w:pPr>
            <w:r w:rsidRPr="00886D8A">
              <w:rPr>
                <w:rFonts w:ascii="Arial Narrow" w:hAnsi="Arial Narrow"/>
                <w:b/>
                <w:sz w:val="20"/>
                <w:szCs w:val="20"/>
              </w:rPr>
              <w:t>Restriction Summary [new1] / Treatment of Concept: [new1A]</w:t>
            </w:r>
          </w:p>
        </w:tc>
      </w:tr>
      <w:tr w:rsidR="008F495A" w:rsidRPr="00886D8A" w14:paraId="52BC2D58" w14:textId="77777777" w:rsidTr="00B359DE">
        <w:tblPrEx>
          <w:tblCellMar>
            <w:top w:w="15" w:type="dxa"/>
            <w:bottom w:w="15" w:type="dxa"/>
          </w:tblCellMar>
          <w:tblLook w:val="04A0" w:firstRow="1" w:lastRow="0" w:firstColumn="1" w:lastColumn="0" w:noHBand="0" w:noVBand="1"/>
        </w:tblPrEx>
        <w:trPr>
          <w:cantSplit/>
          <w:trHeight w:val="20"/>
        </w:trPr>
        <w:tc>
          <w:tcPr>
            <w:tcW w:w="1272" w:type="dxa"/>
            <w:vMerge w:val="restart"/>
          </w:tcPr>
          <w:p w14:paraId="33B5327D" w14:textId="77777777" w:rsidR="008F495A" w:rsidRPr="00886D8A" w:rsidRDefault="008F495A" w:rsidP="004E36D3">
            <w:pPr>
              <w:keepLines/>
              <w:jc w:val="center"/>
              <w:rPr>
                <w:rFonts w:ascii="Arial Narrow" w:hAnsi="Arial Narrow"/>
                <w:sz w:val="20"/>
                <w:szCs w:val="20"/>
              </w:rPr>
            </w:pPr>
          </w:p>
        </w:tc>
        <w:tc>
          <w:tcPr>
            <w:tcW w:w="7745" w:type="dxa"/>
            <w:gridSpan w:val="6"/>
            <w:vAlign w:val="center"/>
          </w:tcPr>
          <w:p w14:paraId="495EBE6D" w14:textId="77777777" w:rsidR="008F495A" w:rsidRPr="00886D8A" w:rsidRDefault="008F495A" w:rsidP="004E36D3">
            <w:pPr>
              <w:keepLines/>
              <w:rPr>
                <w:rFonts w:ascii="Arial Narrow" w:hAnsi="Arial Narrow"/>
                <w:i/>
                <w:iCs/>
                <w:sz w:val="20"/>
                <w:szCs w:val="20"/>
              </w:rPr>
            </w:pPr>
            <w:r w:rsidRPr="00886D8A">
              <w:rPr>
                <w:rFonts w:ascii="Arial Narrow" w:hAnsi="Arial Narrow"/>
                <w:b/>
                <w:bCs/>
                <w:i/>
                <w:iCs/>
                <w:sz w:val="20"/>
                <w:szCs w:val="20"/>
              </w:rPr>
              <w:t>Episodicity:</w:t>
            </w:r>
            <w:r w:rsidRPr="00886D8A">
              <w:rPr>
                <w:rFonts w:ascii="Arial Narrow" w:hAnsi="Arial Narrow"/>
                <w:i/>
                <w:iCs/>
                <w:sz w:val="20"/>
                <w:szCs w:val="20"/>
              </w:rPr>
              <w:t xml:space="preserve"> [blank] </w:t>
            </w:r>
          </w:p>
        </w:tc>
      </w:tr>
      <w:tr w:rsidR="008F495A" w:rsidRPr="00886D8A" w14:paraId="64B7F0E3" w14:textId="77777777" w:rsidTr="00B359DE">
        <w:tblPrEx>
          <w:tblCellMar>
            <w:top w:w="15" w:type="dxa"/>
            <w:bottom w:w="15" w:type="dxa"/>
          </w:tblCellMar>
          <w:tblLook w:val="04A0" w:firstRow="1" w:lastRow="0" w:firstColumn="1" w:lastColumn="0" w:noHBand="0" w:noVBand="1"/>
        </w:tblPrEx>
        <w:trPr>
          <w:cantSplit/>
          <w:trHeight w:val="20"/>
        </w:trPr>
        <w:tc>
          <w:tcPr>
            <w:tcW w:w="1272" w:type="dxa"/>
            <w:vMerge/>
          </w:tcPr>
          <w:p w14:paraId="18246954" w14:textId="77777777" w:rsidR="008F495A" w:rsidRPr="00886D8A" w:rsidRDefault="008F495A" w:rsidP="004E36D3">
            <w:pPr>
              <w:keepLines/>
              <w:jc w:val="center"/>
              <w:rPr>
                <w:rFonts w:ascii="Arial Narrow" w:hAnsi="Arial Narrow"/>
                <w:sz w:val="20"/>
                <w:szCs w:val="20"/>
              </w:rPr>
            </w:pPr>
          </w:p>
        </w:tc>
        <w:tc>
          <w:tcPr>
            <w:tcW w:w="7745" w:type="dxa"/>
            <w:gridSpan w:val="6"/>
            <w:vAlign w:val="center"/>
          </w:tcPr>
          <w:p w14:paraId="47E9859F" w14:textId="77777777" w:rsidR="008F495A" w:rsidRPr="00886D8A" w:rsidRDefault="008F495A" w:rsidP="004E36D3">
            <w:pPr>
              <w:keepLines/>
              <w:rPr>
                <w:rFonts w:ascii="Arial Narrow" w:hAnsi="Arial Narrow"/>
                <w:i/>
                <w:iCs/>
                <w:sz w:val="20"/>
                <w:szCs w:val="20"/>
              </w:rPr>
            </w:pPr>
            <w:r w:rsidRPr="00886D8A">
              <w:rPr>
                <w:rFonts w:ascii="Arial Narrow" w:hAnsi="Arial Narrow"/>
                <w:b/>
                <w:bCs/>
                <w:i/>
                <w:iCs/>
                <w:sz w:val="20"/>
                <w:szCs w:val="20"/>
              </w:rPr>
              <w:t xml:space="preserve">Severity: </w:t>
            </w:r>
            <w:r w:rsidRPr="00886D8A">
              <w:rPr>
                <w:rFonts w:ascii="Arial Narrow" w:hAnsi="Arial Narrow"/>
                <w:i/>
                <w:iCs/>
                <w:sz w:val="20"/>
                <w:szCs w:val="20"/>
              </w:rPr>
              <w:t xml:space="preserve">[blank] </w:t>
            </w:r>
          </w:p>
        </w:tc>
      </w:tr>
      <w:tr w:rsidR="008F495A" w:rsidRPr="00886D8A" w14:paraId="420E2FA7" w14:textId="77777777" w:rsidTr="00B359DE">
        <w:tblPrEx>
          <w:tblCellMar>
            <w:top w:w="15" w:type="dxa"/>
            <w:bottom w:w="15" w:type="dxa"/>
          </w:tblCellMar>
          <w:tblLook w:val="04A0" w:firstRow="1" w:lastRow="0" w:firstColumn="1" w:lastColumn="0" w:noHBand="0" w:noVBand="1"/>
        </w:tblPrEx>
        <w:trPr>
          <w:cantSplit/>
          <w:trHeight w:val="20"/>
        </w:trPr>
        <w:tc>
          <w:tcPr>
            <w:tcW w:w="1272" w:type="dxa"/>
            <w:vMerge/>
          </w:tcPr>
          <w:p w14:paraId="7FA12348" w14:textId="77777777" w:rsidR="008F495A" w:rsidRPr="00886D8A" w:rsidRDefault="008F495A" w:rsidP="004E36D3">
            <w:pPr>
              <w:keepLines/>
              <w:jc w:val="center"/>
              <w:rPr>
                <w:rFonts w:ascii="Arial Narrow" w:hAnsi="Arial Narrow"/>
                <w:sz w:val="20"/>
                <w:szCs w:val="20"/>
              </w:rPr>
            </w:pPr>
          </w:p>
        </w:tc>
        <w:tc>
          <w:tcPr>
            <w:tcW w:w="7745" w:type="dxa"/>
            <w:gridSpan w:val="6"/>
            <w:vAlign w:val="center"/>
          </w:tcPr>
          <w:p w14:paraId="63D373CB" w14:textId="1175DE47" w:rsidR="008F495A" w:rsidRPr="00886D8A" w:rsidRDefault="008F495A" w:rsidP="004E36D3">
            <w:pPr>
              <w:keepLines/>
              <w:rPr>
                <w:rFonts w:ascii="Arial Narrow" w:hAnsi="Arial Narrow"/>
                <w:i/>
                <w:iCs/>
                <w:sz w:val="20"/>
                <w:szCs w:val="20"/>
              </w:rPr>
            </w:pPr>
            <w:r w:rsidRPr="00886D8A">
              <w:rPr>
                <w:rFonts w:ascii="Arial Narrow" w:hAnsi="Arial Narrow"/>
                <w:b/>
                <w:bCs/>
                <w:i/>
                <w:iCs/>
                <w:sz w:val="20"/>
                <w:szCs w:val="20"/>
              </w:rPr>
              <w:t xml:space="preserve">Condition: </w:t>
            </w:r>
            <w:r w:rsidRPr="00886D8A">
              <w:rPr>
                <w:rFonts w:ascii="Arial Narrow" w:hAnsi="Arial Narrow"/>
                <w:i/>
                <w:iCs/>
                <w:sz w:val="20"/>
                <w:szCs w:val="20"/>
              </w:rPr>
              <w:t>Alpha</w:t>
            </w:r>
            <w:r w:rsidR="0011024A">
              <w:rPr>
                <w:rFonts w:ascii="Arial Narrow" w:hAnsi="Arial Narrow"/>
                <w:i/>
                <w:iCs/>
                <w:sz w:val="20"/>
                <w:szCs w:val="20"/>
              </w:rPr>
              <w:noBreakHyphen/>
            </w:r>
            <w:r w:rsidRPr="00886D8A">
              <w:rPr>
                <w:rFonts w:ascii="Arial Narrow" w:hAnsi="Arial Narrow"/>
                <w:i/>
                <w:iCs/>
                <w:sz w:val="20"/>
                <w:szCs w:val="20"/>
              </w:rPr>
              <w:t xml:space="preserve"> mannosidosis (AM)</w:t>
            </w:r>
          </w:p>
        </w:tc>
      </w:tr>
      <w:tr w:rsidR="008F495A" w:rsidRPr="00886D8A" w14:paraId="096D496E" w14:textId="77777777" w:rsidTr="00334CD9">
        <w:tblPrEx>
          <w:tblCellMar>
            <w:top w:w="15" w:type="dxa"/>
            <w:bottom w:w="15" w:type="dxa"/>
          </w:tblCellMar>
          <w:tblLook w:val="04A0" w:firstRow="1" w:lastRow="0" w:firstColumn="1" w:lastColumn="0" w:noHBand="0" w:noVBand="1"/>
        </w:tblPrEx>
        <w:trPr>
          <w:cantSplit/>
          <w:trHeight w:val="20"/>
        </w:trPr>
        <w:tc>
          <w:tcPr>
            <w:tcW w:w="1272" w:type="dxa"/>
          </w:tcPr>
          <w:p w14:paraId="3546EBA4" w14:textId="501EF3C3" w:rsidR="008F495A" w:rsidRPr="00886D8A" w:rsidRDefault="008F495A" w:rsidP="004E36D3">
            <w:pPr>
              <w:keepLines/>
              <w:jc w:val="center"/>
              <w:rPr>
                <w:rFonts w:ascii="Arial Narrow" w:hAnsi="Arial Narrow"/>
                <w:sz w:val="20"/>
                <w:szCs w:val="20"/>
              </w:rPr>
            </w:pPr>
          </w:p>
        </w:tc>
        <w:tc>
          <w:tcPr>
            <w:tcW w:w="7745" w:type="dxa"/>
            <w:gridSpan w:val="6"/>
            <w:vAlign w:val="center"/>
            <w:hideMark/>
          </w:tcPr>
          <w:p w14:paraId="7CCAC179" w14:textId="46709FA5" w:rsidR="008F495A" w:rsidRPr="00886D8A" w:rsidRDefault="008F495A" w:rsidP="004E36D3">
            <w:pPr>
              <w:keepLines/>
              <w:rPr>
                <w:rFonts w:ascii="Arial Narrow" w:hAnsi="Arial Narrow"/>
                <w:sz w:val="20"/>
                <w:szCs w:val="20"/>
              </w:rPr>
            </w:pPr>
            <w:r w:rsidRPr="00886D8A">
              <w:rPr>
                <w:rFonts w:ascii="Arial Narrow" w:hAnsi="Arial Narrow"/>
                <w:b/>
                <w:bCs/>
                <w:sz w:val="20"/>
                <w:szCs w:val="20"/>
              </w:rPr>
              <w:t>Indication:</w:t>
            </w:r>
            <w:r w:rsidRPr="00886D8A">
              <w:rPr>
                <w:rFonts w:ascii="Arial Narrow" w:hAnsi="Arial Narrow"/>
                <w:sz w:val="20"/>
                <w:szCs w:val="20"/>
              </w:rPr>
              <w:t xml:space="preserve"> </w:t>
            </w:r>
            <w:r w:rsidRPr="00886D8A">
              <w:rPr>
                <w:rFonts w:ascii="Arial Narrow" w:hAnsi="Arial Narrow"/>
                <w:strike/>
                <w:sz w:val="20"/>
                <w:szCs w:val="20"/>
              </w:rPr>
              <w:t>Enzyme replacement therapy for the treatment of non</w:t>
            </w:r>
            <w:r w:rsidR="0011024A">
              <w:rPr>
                <w:rFonts w:ascii="Arial Narrow" w:hAnsi="Arial Narrow"/>
                <w:strike/>
                <w:sz w:val="20"/>
                <w:szCs w:val="20"/>
              </w:rPr>
              <w:noBreakHyphen/>
            </w:r>
            <w:r w:rsidRPr="00886D8A">
              <w:rPr>
                <w:rFonts w:ascii="Arial Narrow" w:hAnsi="Arial Narrow"/>
                <w:strike/>
                <w:sz w:val="20"/>
                <w:szCs w:val="20"/>
              </w:rPr>
              <w:t xml:space="preserve">neurological manifestations in patients with </w:t>
            </w:r>
            <w:r w:rsidRPr="00886D8A">
              <w:rPr>
                <w:rFonts w:ascii="Arial Narrow" w:hAnsi="Arial Narrow"/>
                <w:i/>
                <w:iCs/>
                <w:strike/>
                <w:sz w:val="20"/>
                <w:szCs w:val="20"/>
              </w:rPr>
              <w:t xml:space="preserve">a </w:t>
            </w:r>
            <w:r w:rsidRPr="00886D8A">
              <w:rPr>
                <w:rFonts w:ascii="Arial Narrow" w:hAnsi="Arial Narrow"/>
                <w:i/>
                <w:iCs/>
                <w:sz w:val="20"/>
                <w:szCs w:val="20"/>
              </w:rPr>
              <w:t>Alpha</w:t>
            </w:r>
            <w:r w:rsidR="0011024A">
              <w:rPr>
                <w:rFonts w:ascii="Arial Narrow" w:hAnsi="Arial Narrow"/>
                <w:sz w:val="20"/>
                <w:szCs w:val="20"/>
              </w:rPr>
              <w:noBreakHyphen/>
            </w:r>
            <w:r w:rsidRPr="00886D8A">
              <w:rPr>
                <w:rFonts w:ascii="Arial Narrow" w:hAnsi="Arial Narrow"/>
                <w:sz w:val="20"/>
                <w:szCs w:val="20"/>
              </w:rPr>
              <w:t>mannosidosis (AM)</w:t>
            </w:r>
          </w:p>
        </w:tc>
      </w:tr>
      <w:tr w:rsidR="008F495A" w:rsidRPr="00886D8A" w14:paraId="1D496B2F" w14:textId="77777777" w:rsidTr="00334CD9">
        <w:tblPrEx>
          <w:tblCellMar>
            <w:top w:w="15" w:type="dxa"/>
            <w:bottom w:w="15" w:type="dxa"/>
          </w:tblCellMar>
          <w:tblLook w:val="04A0" w:firstRow="1" w:lastRow="0" w:firstColumn="1" w:lastColumn="0" w:noHBand="0" w:noVBand="1"/>
        </w:tblPrEx>
        <w:trPr>
          <w:cantSplit/>
          <w:trHeight w:val="20"/>
        </w:trPr>
        <w:tc>
          <w:tcPr>
            <w:tcW w:w="1272" w:type="dxa"/>
          </w:tcPr>
          <w:p w14:paraId="40A6A7D9" w14:textId="77777777" w:rsidR="008F495A" w:rsidRPr="00886D8A" w:rsidRDefault="008F495A" w:rsidP="004E36D3">
            <w:pPr>
              <w:jc w:val="center"/>
              <w:rPr>
                <w:rFonts w:ascii="Arial Narrow" w:hAnsi="Arial Narrow"/>
                <w:sz w:val="20"/>
                <w:szCs w:val="20"/>
              </w:rPr>
            </w:pPr>
          </w:p>
        </w:tc>
        <w:tc>
          <w:tcPr>
            <w:tcW w:w="7745" w:type="dxa"/>
            <w:gridSpan w:val="6"/>
            <w:vAlign w:val="center"/>
            <w:hideMark/>
          </w:tcPr>
          <w:p w14:paraId="54821416" w14:textId="77777777" w:rsidR="008F495A" w:rsidRPr="00886D8A" w:rsidRDefault="008F495A" w:rsidP="004E36D3">
            <w:pPr>
              <w:rPr>
                <w:rFonts w:ascii="Arial Narrow" w:hAnsi="Arial Narrow"/>
                <w:strike/>
                <w:sz w:val="20"/>
                <w:szCs w:val="20"/>
              </w:rPr>
            </w:pPr>
            <w:r w:rsidRPr="00886D8A">
              <w:rPr>
                <w:rFonts w:ascii="Arial Narrow" w:hAnsi="Arial Narrow"/>
                <w:b/>
                <w:bCs/>
                <w:strike/>
                <w:sz w:val="20"/>
                <w:szCs w:val="20"/>
              </w:rPr>
              <w:t>Treatment Phase:</w:t>
            </w:r>
            <w:r w:rsidRPr="00886D8A">
              <w:rPr>
                <w:rFonts w:ascii="Arial Narrow" w:hAnsi="Arial Narrow"/>
                <w:strike/>
                <w:sz w:val="20"/>
                <w:szCs w:val="20"/>
              </w:rPr>
              <w:t xml:space="preserve"> Initial and continuing treatment </w:t>
            </w:r>
          </w:p>
        </w:tc>
      </w:tr>
      <w:tr w:rsidR="008F495A" w:rsidRPr="00886D8A" w14:paraId="35375869"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24A19FBA" w14:textId="4E7A4D9D" w:rsidR="008F495A" w:rsidRPr="00886D8A" w:rsidRDefault="008F495A" w:rsidP="004E36D3">
            <w:pPr>
              <w:jc w:val="center"/>
              <w:rPr>
                <w:rFonts w:ascii="Arial Narrow" w:hAnsi="Arial Narrow"/>
                <w:color w:val="333333"/>
                <w:sz w:val="20"/>
                <w:szCs w:val="20"/>
              </w:rPr>
            </w:pPr>
          </w:p>
        </w:tc>
        <w:tc>
          <w:tcPr>
            <w:tcW w:w="7745" w:type="dxa"/>
            <w:gridSpan w:val="6"/>
            <w:vAlign w:val="center"/>
            <w:hideMark/>
          </w:tcPr>
          <w:p w14:paraId="67795824" w14:textId="77777777" w:rsidR="008F495A" w:rsidRPr="00886D8A" w:rsidRDefault="008F495A" w:rsidP="004E36D3">
            <w:pPr>
              <w:rPr>
                <w:rFonts w:ascii="Arial Narrow" w:hAnsi="Arial Narrow"/>
                <w:sz w:val="20"/>
                <w:szCs w:val="20"/>
              </w:rPr>
            </w:pPr>
            <w:r w:rsidRPr="00886D8A">
              <w:rPr>
                <w:rFonts w:ascii="Arial Narrow" w:hAnsi="Arial Narrow"/>
                <w:b/>
                <w:bCs/>
                <w:color w:val="333333"/>
                <w:sz w:val="20"/>
                <w:szCs w:val="20"/>
              </w:rPr>
              <w:t xml:space="preserve">Clinical criteria: </w:t>
            </w:r>
          </w:p>
        </w:tc>
      </w:tr>
      <w:tr w:rsidR="008F495A" w:rsidRPr="00886D8A" w14:paraId="0D19F0D4"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27478D3C" w14:textId="45006EB4" w:rsidR="008F495A" w:rsidRPr="00886D8A" w:rsidRDefault="008F495A" w:rsidP="004E36D3">
            <w:pPr>
              <w:jc w:val="center"/>
              <w:rPr>
                <w:rFonts w:ascii="Arial Narrow" w:hAnsi="Arial Narrow"/>
                <w:color w:val="333333"/>
                <w:sz w:val="20"/>
                <w:szCs w:val="20"/>
              </w:rPr>
            </w:pPr>
          </w:p>
        </w:tc>
        <w:tc>
          <w:tcPr>
            <w:tcW w:w="7745" w:type="dxa"/>
            <w:gridSpan w:val="6"/>
            <w:vAlign w:val="center"/>
            <w:hideMark/>
          </w:tcPr>
          <w:p w14:paraId="7F020F82" w14:textId="51FCF186" w:rsidR="008F495A" w:rsidRPr="00886D8A" w:rsidRDefault="008F495A" w:rsidP="004E36D3">
            <w:pPr>
              <w:rPr>
                <w:rFonts w:ascii="Arial Narrow" w:hAnsi="Arial Narrow"/>
                <w:color w:val="333333"/>
                <w:sz w:val="20"/>
                <w:szCs w:val="20"/>
              </w:rPr>
            </w:pPr>
            <w:r w:rsidRPr="00886D8A">
              <w:rPr>
                <w:rFonts w:ascii="Arial Narrow" w:hAnsi="Arial Narrow"/>
                <w:color w:val="333333"/>
                <w:sz w:val="20"/>
                <w:szCs w:val="20"/>
              </w:rPr>
              <w:t>Patient must have a confirmed diagnosis of alpha</w:t>
            </w:r>
            <w:r w:rsidR="0011024A">
              <w:rPr>
                <w:rFonts w:ascii="Arial Narrow" w:hAnsi="Arial Narrow"/>
                <w:color w:val="333333"/>
                <w:sz w:val="20"/>
                <w:szCs w:val="20"/>
              </w:rPr>
              <w:noBreakHyphen/>
            </w:r>
            <w:r w:rsidRPr="00886D8A">
              <w:rPr>
                <w:rFonts w:ascii="Arial Narrow" w:hAnsi="Arial Narrow"/>
                <w:color w:val="333333"/>
                <w:sz w:val="20"/>
                <w:szCs w:val="20"/>
              </w:rPr>
              <w:t>mannosidosis diagnosed by leukocyte</w:t>
            </w:r>
            <w:r w:rsidR="0011024A">
              <w:rPr>
                <w:rFonts w:ascii="Arial Narrow" w:hAnsi="Arial Narrow"/>
                <w:color w:val="333333"/>
                <w:sz w:val="20"/>
                <w:szCs w:val="20"/>
              </w:rPr>
              <w:noBreakHyphen/>
            </w:r>
            <w:r w:rsidRPr="00886D8A">
              <w:rPr>
                <w:rFonts w:ascii="Arial Narrow" w:hAnsi="Arial Narrow"/>
                <w:color w:val="333333"/>
                <w:sz w:val="20"/>
                <w:szCs w:val="20"/>
              </w:rPr>
              <w:t xml:space="preserve">based assay </w:t>
            </w:r>
            <w:r w:rsidRPr="00886D8A">
              <w:rPr>
                <w:rFonts w:ascii="Arial Narrow" w:hAnsi="Arial Narrow"/>
                <w:strike/>
                <w:color w:val="333333"/>
                <w:sz w:val="20"/>
                <w:szCs w:val="20"/>
              </w:rPr>
              <w:t>with or without genetic testing</w:t>
            </w:r>
            <w:r w:rsidRPr="00886D8A">
              <w:rPr>
                <w:rFonts w:ascii="Arial Narrow" w:hAnsi="Arial Narrow"/>
                <w:color w:val="333333"/>
                <w:sz w:val="20"/>
                <w:szCs w:val="20"/>
              </w:rPr>
              <w:t xml:space="preserve"> </w:t>
            </w:r>
          </w:p>
        </w:tc>
      </w:tr>
      <w:tr w:rsidR="008F495A" w:rsidRPr="00886D8A" w14:paraId="5E6F4420" w14:textId="77777777" w:rsidTr="00334CD9">
        <w:tblPrEx>
          <w:tblCellMar>
            <w:top w:w="15" w:type="dxa"/>
            <w:bottom w:w="15" w:type="dxa"/>
          </w:tblCellMar>
          <w:tblLook w:val="04A0" w:firstRow="1" w:lastRow="0" w:firstColumn="1" w:lastColumn="0" w:noHBand="0" w:noVBand="1"/>
        </w:tblPrEx>
        <w:trPr>
          <w:cantSplit/>
          <w:trHeight w:val="20"/>
        </w:trPr>
        <w:tc>
          <w:tcPr>
            <w:tcW w:w="1272" w:type="dxa"/>
          </w:tcPr>
          <w:p w14:paraId="3738BF92" w14:textId="77777777" w:rsidR="008F495A" w:rsidRPr="00886D8A" w:rsidRDefault="008F495A" w:rsidP="004E36D3">
            <w:pPr>
              <w:jc w:val="center"/>
              <w:rPr>
                <w:rFonts w:ascii="Arial Narrow" w:hAnsi="Arial Narrow"/>
                <w:color w:val="333333"/>
                <w:sz w:val="20"/>
                <w:szCs w:val="20"/>
              </w:rPr>
            </w:pPr>
          </w:p>
        </w:tc>
        <w:tc>
          <w:tcPr>
            <w:tcW w:w="7745" w:type="dxa"/>
            <w:gridSpan w:val="6"/>
            <w:vAlign w:val="center"/>
            <w:hideMark/>
          </w:tcPr>
          <w:p w14:paraId="171A139E" w14:textId="77777777" w:rsidR="008F495A" w:rsidRPr="00886D8A" w:rsidRDefault="008F495A" w:rsidP="004E36D3">
            <w:pPr>
              <w:rPr>
                <w:rFonts w:ascii="Arial Narrow" w:hAnsi="Arial Narrow"/>
                <w:color w:val="333333"/>
                <w:sz w:val="20"/>
                <w:szCs w:val="20"/>
              </w:rPr>
            </w:pPr>
            <w:r w:rsidRPr="00886D8A">
              <w:rPr>
                <w:rFonts w:ascii="Arial Narrow" w:hAnsi="Arial Narrow"/>
                <w:b/>
                <w:bCs/>
                <w:color w:val="333333"/>
                <w:sz w:val="20"/>
                <w:szCs w:val="20"/>
              </w:rPr>
              <w:t>AND</w:t>
            </w:r>
          </w:p>
        </w:tc>
      </w:tr>
      <w:tr w:rsidR="008F495A" w:rsidRPr="00886D8A" w14:paraId="3738F8EA"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6D957483" w14:textId="3CA3D418" w:rsidR="008F495A" w:rsidRPr="00886D8A" w:rsidRDefault="008F495A" w:rsidP="004E36D3">
            <w:pPr>
              <w:jc w:val="center"/>
              <w:rPr>
                <w:rFonts w:ascii="Arial Narrow" w:hAnsi="Arial Narrow"/>
                <w:i/>
                <w:iCs/>
                <w:color w:val="333333"/>
                <w:sz w:val="20"/>
                <w:szCs w:val="20"/>
              </w:rPr>
            </w:pPr>
          </w:p>
        </w:tc>
        <w:tc>
          <w:tcPr>
            <w:tcW w:w="7745" w:type="dxa"/>
            <w:gridSpan w:val="6"/>
            <w:vAlign w:val="center"/>
          </w:tcPr>
          <w:p w14:paraId="19A3AD38" w14:textId="77777777" w:rsidR="008F495A" w:rsidRPr="00886D8A" w:rsidRDefault="008F495A" w:rsidP="004E36D3">
            <w:pPr>
              <w:rPr>
                <w:rFonts w:ascii="Arial Narrow" w:hAnsi="Arial Narrow"/>
                <w:b/>
                <w:bCs/>
                <w:i/>
                <w:iCs/>
                <w:color w:val="333333"/>
                <w:sz w:val="20"/>
                <w:szCs w:val="20"/>
              </w:rPr>
            </w:pPr>
            <w:r w:rsidRPr="00886D8A">
              <w:rPr>
                <w:rFonts w:ascii="Arial Narrow" w:hAnsi="Arial Narrow"/>
                <w:b/>
                <w:bCs/>
                <w:i/>
                <w:iCs/>
                <w:color w:val="333333"/>
                <w:sz w:val="20"/>
                <w:szCs w:val="20"/>
              </w:rPr>
              <w:t>Clinical criteria:</w:t>
            </w:r>
          </w:p>
        </w:tc>
      </w:tr>
      <w:tr w:rsidR="008F495A" w:rsidRPr="00886D8A" w14:paraId="1FB5D59A"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1FB1EBFF" w14:textId="740C7B5A" w:rsidR="008F495A" w:rsidRPr="00886D8A" w:rsidRDefault="008F495A" w:rsidP="004E36D3">
            <w:pPr>
              <w:jc w:val="center"/>
              <w:rPr>
                <w:rFonts w:ascii="Arial Narrow" w:hAnsi="Arial Narrow"/>
                <w:i/>
                <w:iCs/>
                <w:color w:val="333333"/>
                <w:sz w:val="20"/>
                <w:szCs w:val="20"/>
              </w:rPr>
            </w:pPr>
          </w:p>
        </w:tc>
        <w:tc>
          <w:tcPr>
            <w:tcW w:w="7745" w:type="dxa"/>
            <w:gridSpan w:val="6"/>
            <w:vAlign w:val="center"/>
          </w:tcPr>
          <w:p w14:paraId="07B757F4" w14:textId="3C28CC6D" w:rsidR="008F495A" w:rsidRPr="00886D8A" w:rsidRDefault="008F495A" w:rsidP="004E36D3">
            <w:pPr>
              <w:rPr>
                <w:rFonts w:ascii="Arial Narrow" w:hAnsi="Arial Narrow"/>
                <w:b/>
                <w:bCs/>
                <w:i/>
                <w:iCs/>
                <w:color w:val="333333"/>
                <w:sz w:val="20"/>
                <w:szCs w:val="20"/>
              </w:rPr>
            </w:pPr>
            <w:r w:rsidRPr="00886D8A">
              <w:rPr>
                <w:rFonts w:ascii="Arial Narrow" w:hAnsi="Arial Narrow"/>
                <w:i/>
                <w:iCs/>
                <w:sz w:val="20"/>
                <w:szCs w:val="20"/>
              </w:rPr>
              <w:t>Patient must have non</w:t>
            </w:r>
            <w:r w:rsidR="0011024A">
              <w:rPr>
                <w:rFonts w:ascii="Arial Narrow" w:hAnsi="Arial Narrow"/>
                <w:i/>
                <w:iCs/>
                <w:sz w:val="20"/>
                <w:szCs w:val="20"/>
              </w:rPr>
              <w:noBreakHyphen/>
            </w:r>
            <w:r w:rsidRPr="00886D8A">
              <w:rPr>
                <w:rFonts w:ascii="Arial Narrow" w:hAnsi="Arial Narrow"/>
                <w:i/>
                <w:iCs/>
                <w:sz w:val="20"/>
                <w:szCs w:val="20"/>
              </w:rPr>
              <w:t>neurological manifestations of alpha</w:t>
            </w:r>
            <w:r w:rsidR="0011024A">
              <w:rPr>
                <w:rFonts w:ascii="Arial Narrow" w:hAnsi="Arial Narrow"/>
                <w:i/>
                <w:iCs/>
                <w:sz w:val="20"/>
                <w:szCs w:val="20"/>
              </w:rPr>
              <w:noBreakHyphen/>
            </w:r>
            <w:r w:rsidRPr="00886D8A">
              <w:rPr>
                <w:rFonts w:ascii="Arial Narrow" w:hAnsi="Arial Narrow"/>
                <w:i/>
                <w:iCs/>
                <w:sz w:val="20"/>
                <w:szCs w:val="20"/>
              </w:rPr>
              <w:t>mannosidosis</w:t>
            </w:r>
          </w:p>
        </w:tc>
      </w:tr>
      <w:tr w:rsidR="008F495A" w:rsidRPr="00886D8A" w14:paraId="35E83D70"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1DD043FF" w14:textId="77777777" w:rsidR="008F495A" w:rsidRPr="00886D8A" w:rsidRDefault="008F495A" w:rsidP="004E36D3">
            <w:pPr>
              <w:jc w:val="center"/>
              <w:rPr>
                <w:rFonts w:ascii="Arial Narrow" w:hAnsi="Arial Narrow"/>
                <w:i/>
                <w:iCs/>
                <w:color w:val="333333"/>
                <w:sz w:val="20"/>
                <w:szCs w:val="20"/>
              </w:rPr>
            </w:pPr>
          </w:p>
        </w:tc>
        <w:tc>
          <w:tcPr>
            <w:tcW w:w="7745" w:type="dxa"/>
            <w:gridSpan w:val="6"/>
            <w:vAlign w:val="center"/>
          </w:tcPr>
          <w:p w14:paraId="59CD5950" w14:textId="77777777" w:rsidR="008F495A" w:rsidRPr="00886D8A" w:rsidRDefault="008F495A" w:rsidP="004E36D3">
            <w:pPr>
              <w:rPr>
                <w:rFonts w:ascii="Arial Narrow" w:hAnsi="Arial Narrow"/>
                <w:b/>
                <w:bCs/>
                <w:i/>
                <w:iCs/>
                <w:color w:val="333333"/>
                <w:sz w:val="20"/>
                <w:szCs w:val="20"/>
              </w:rPr>
            </w:pPr>
            <w:r w:rsidRPr="00886D8A">
              <w:rPr>
                <w:rFonts w:ascii="Arial Narrow" w:hAnsi="Arial Narrow"/>
                <w:b/>
                <w:bCs/>
                <w:i/>
                <w:iCs/>
                <w:color w:val="333333"/>
                <w:sz w:val="20"/>
                <w:szCs w:val="20"/>
              </w:rPr>
              <w:t>AND</w:t>
            </w:r>
          </w:p>
        </w:tc>
      </w:tr>
      <w:tr w:rsidR="008F495A" w:rsidRPr="00886D8A" w14:paraId="4D28DE8F"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2989B054" w14:textId="1DE51559" w:rsidR="008F495A" w:rsidRPr="00886D8A" w:rsidRDefault="008F495A" w:rsidP="004E36D3">
            <w:pPr>
              <w:jc w:val="center"/>
              <w:rPr>
                <w:rFonts w:ascii="Arial Narrow" w:hAnsi="Arial Narrow"/>
                <w:color w:val="333333"/>
                <w:sz w:val="20"/>
                <w:szCs w:val="20"/>
              </w:rPr>
            </w:pPr>
          </w:p>
        </w:tc>
        <w:tc>
          <w:tcPr>
            <w:tcW w:w="7745" w:type="dxa"/>
            <w:gridSpan w:val="6"/>
            <w:vAlign w:val="center"/>
            <w:hideMark/>
          </w:tcPr>
          <w:p w14:paraId="223E5AAA" w14:textId="77777777" w:rsidR="008F495A" w:rsidRPr="00886D8A" w:rsidRDefault="008F495A" w:rsidP="004E36D3">
            <w:pPr>
              <w:rPr>
                <w:rFonts w:ascii="Arial Narrow" w:hAnsi="Arial Narrow"/>
                <w:color w:val="333333"/>
                <w:sz w:val="20"/>
                <w:szCs w:val="20"/>
              </w:rPr>
            </w:pPr>
            <w:r w:rsidRPr="00886D8A">
              <w:rPr>
                <w:rFonts w:ascii="Arial Narrow" w:hAnsi="Arial Narrow"/>
                <w:b/>
                <w:bCs/>
                <w:color w:val="333333"/>
                <w:sz w:val="20"/>
                <w:szCs w:val="20"/>
              </w:rPr>
              <w:t>Clinical criteria:</w:t>
            </w:r>
          </w:p>
        </w:tc>
      </w:tr>
      <w:tr w:rsidR="008F495A" w:rsidRPr="00886D8A" w14:paraId="7725A5F2"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33EEF3A2" w14:textId="7870AF4D" w:rsidR="008F495A" w:rsidRPr="00886D8A" w:rsidRDefault="008F495A" w:rsidP="004E36D3">
            <w:pPr>
              <w:jc w:val="center"/>
              <w:rPr>
                <w:rFonts w:ascii="Arial Narrow" w:hAnsi="Arial Narrow"/>
                <w:color w:val="333333"/>
                <w:sz w:val="20"/>
                <w:szCs w:val="20"/>
              </w:rPr>
            </w:pPr>
          </w:p>
        </w:tc>
        <w:tc>
          <w:tcPr>
            <w:tcW w:w="7745" w:type="dxa"/>
            <w:gridSpan w:val="6"/>
            <w:vAlign w:val="center"/>
          </w:tcPr>
          <w:p w14:paraId="710565F7" w14:textId="77777777" w:rsidR="008F495A" w:rsidRPr="00886D8A" w:rsidRDefault="008F495A" w:rsidP="004E36D3">
            <w:pPr>
              <w:rPr>
                <w:rFonts w:ascii="Arial Narrow" w:hAnsi="Arial Narrow"/>
                <w:sz w:val="20"/>
                <w:szCs w:val="20"/>
              </w:rPr>
            </w:pPr>
            <w:r w:rsidRPr="00886D8A">
              <w:rPr>
                <w:rFonts w:ascii="Arial Narrow" w:hAnsi="Arial Narrow"/>
                <w:sz w:val="20"/>
                <w:szCs w:val="20"/>
              </w:rPr>
              <w:t>The treatment must be given concomitantly with best supportive care for this condition</w:t>
            </w:r>
          </w:p>
        </w:tc>
      </w:tr>
      <w:tr w:rsidR="008F495A" w:rsidRPr="00886D8A" w14:paraId="4EEC1D8D"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7A5C206F" w14:textId="77777777" w:rsidR="008F495A" w:rsidRPr="00886D8A" w:rsidRDefault="008F495A" w:rsidP="004E36D3">
            <w:pPr>
              <w:jc w:val="center"/>
              <w:rPr>
                <w:rFonts w:ascii="Arial Narrow" w:hAnsi="Arial Narrow"/>
                <w:color w:val="333333"/>
                <w:sz w:val="20"/>
                <w:szCs w:val="20"/>
              </w:rPr>
            </w:pPr>
          </w:p>
        </w:tc>
        <w:tc>
          <w:tcPr>
            <w:tcW w:w="7745" w:type="dxa"/>
            <w:gridSpan w:val="6"/>
            <w:vAlign w:val="center"/>
            <w:hideMark/>
          </w:tcPr>
          <w:p w14:paraId="3B553557" w14:textId="77777777" w:rsidR="008F495A" w:rsidRPr="00886D8A" w:rsidRDefault="008F495A" w:rsidP="004E36D3">
            <w:pPr>
              <w:rPr>
                <w:rFonts w:ascii="Arial Narrow" w:hAnsi="Arial Narrow"/>
                <w:color w:val="333333"/>
                <w:sz w:val="20"/>
                <w:szCs w:val="20"/>
              </w:rPr>
            </w:pPr>
            <w:r w:rsidRPr="00886D8A">
              <w:rPr>
                <w:rFonts w:ascii="Arial Narrow" w:hAnsi="Arial Narrow"/>
                <w:b/>
                <w:bCs/>
                <w:color w:val="333333"/>
                <w:sz w:val="20"/>
                <w:szCs w:val="20"/>
              </w:rPr>
              <w:t>AND</w:t>
            </w:r>
          </w:p>
        </w:tc>
      </w:tr>
      <w:tr w:rsidR="008F495A" w:rsidRPr="00886D8A" w14:paraId="0FCC2F2D"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533686FC" w14:textId="1602111D" w:rsidR="008F495A" w:rsidRPr="00886D8A" w:rsidRDefault="008F495A" w:rsidP="004E36D3">
            <w:pPr>
              <w:jc w:val="center"/>
              <w:rPr>
                <w:rFonts w:ascii="Arial Narrow" w:hAnsi="Arial Narrow"/>
                <w:sz w:val="20"/>
                <w:szCs w:val="20"/>
              </w:rPr>
            </w:pPr>
          </w:p>
        </w:tc>
        <w:tc>
          <w:tcPr>
            <w:tcW w:w="7745" w:type="dxa"/>
            <w:gridSpan w:val="6"/>
            <w:vAlign w:val="center"/>
            <w:hideMark/>
          </w:tcPr>
          <w:p w14:paraId="6DE54670" w14:textId="77777777" w:rsidR="008F495A" w:rsidRPr="00886D8A" w:rsidRDefault="008F495A" w:rsidP="004E36D3">
            <w:pPr>
              <w:rPr>
                <w:rFonts w:ascii="Arial Narrow" w:hAnsi="Arial Narrow"/>
                <w:color w:val="333333"/>
                <w:sz w:val="20"/>
                <w:szCs w:val="20"/>
              </w:rPr>
            </w:pPr>
            <w:r w:rsidRPr="00886D8A">
              <w:rPr>
                <w:rFonts w:ascii="Arial Narrow" w:hAnsi="Arial Narrow"/>
                <w:b/>
                <w:bCs/>
                <w:color w:val="333333"/>
                <w:sz w:val="20"/>
                <w:szCs w:val="20"/>
              </w:rPr>
              <w:t>Clinical criteria:</w:t>
            </w:r>
          </w:p>
        </w:tc>
      </w:tr>
      <w:tr w:rsidR="008F495A" w:rsidRPr="00886D8A" w14:paraId="4A44292B"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273A87D3" w14:textId="68574DFD" w:rsidR="008F495A" w:rsidRPr="00886D8A" w:rsidRDefault="008F495A" w:rsidP="004E36D3">
            <w:pPr>
              <w:jc w:val="center"/>
              <w:rPr>
                <w:rFonts w:ascii="Arial Narrow" w:hAnsi="Arial Narrow"/>
                <w:sz w:val="20"/>
                <w:szCs w:val="20"/>
              </w:rPr>
            </w:pPr>
          </w:p>
        </w:tc>
        <w:tc>
          <w:tcPr>
            <w:tcW w:w="7745" w:type="dxa"/>
            <w:gridSpan w:val="6"/>
            <w:vAlign w:val="center"/>
            <w:hideMark/>
          </w:tcPr>
          <w:p w14:paraId="0B795F28" w14:textId="55703AB9" w:rsidR="008F495A" w:rsidRPr="00886D8A" w:rsidRDefault="008F495A" w:rsidP="004E36D3">
            <w:pPr>
              <w:rPr>
                <w:rFonts w:ascii="Arial Narrow" w:hAnsi="Arial Narrow"/>
                <w:sz w:val="20"/>
                <w:szCs w:val="20"/>
              </w:rPr>
            </w:pPr>
            <w:r w:rsidRPr="00886D8A">
              <w:rPr>
                <w:rFonts w:ascii="Arial Narrow" w:hAnsi="Arial Narrow"/>
                <w:sz w:val="20"/>
                <w:szCs w:val="20"/>
              </w:rPr>
              <w:t>The treatment must be the sole PBS</w:t>
            </w:r>
            <w:r w:rsidR="0011024A">
              <w:rPr>
                <w:rFonts w:ascii="Arial Narrow" w:hAnsi="Arial Narrow"/>
                <w:sz w:val="20"/>
                <w:szCs w:val="20"/>
              </w:rPr>
              <w:noBreakHyphen/>
            </w:r>
            <w:r w:rsidRPr="00886D8A">
              <w:rPr>
                <w:rFonts w:ascii="Arial Narrow" w:hAnsi="Arial Narrow"/>
                <w:sz w:val="20"/>
                <w:szCs w:val="20"/>
              </w:rPr>
              <w:t>subsidised therapy for this condition.</w:t>
            </w:r>
          </w:p>
        </w:tc>
      </w:tr>
      <w:tr w:rsidR="008F495A" w:rsidRPr="00886D8A" w14:paraId="5278549A"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33EC33D5" w14:textId="7857D58C" w:rsidR="008F495A" w:rsidRPr="00886D8A" w:rsidRDefault="008F495A" w:rsidP="004E36D3">
            <w:pPr>
              <w:jc w:val="center"/>
              <w:rPr>
                <w:rFonts w:ascii="Arial Narrow" w:hAnsi="Arial Narrow"/>
                <w:sz w:val="20"/>
                <w:szCs w:val="20"/>
              </w:rPr>
            </w:pPr>
          </w:p>
        </w:tc>
        <w:tc>
          <w:tcPr>
            <w:tcW w:w="7745" w:type="dxa"/>
            <w:gridSpan w:val="6"/>
            <w:vAlign w:val="center"/>
          </w:tcPr>
          <w:p w14:paraId="078D4AB9" w14:textId="77777777" w:rsidR="008F495A" w:rsidRPr="00886D8A" w:rsidRDefault="008F495A" w:rsidP="004E36D3">
            <w:pPr>
              <w:autoSpaceDE w:val="0"/>
              <w:autoSpaceDN w:val="0"/>
              <w:adjustRightInd w:val="0"/>
              <w:rPr>
                <w:rFonts w:ascii="Arial Narrow" w:hAnsi="Arial Narrow" w:cs="Arial Narrow"/>
                <w:iCs/>
                <w:color w:val="FF0000"/>
                <w:sz w:val="20"/>
                <w:szCs w:val="20"/>
              </w:rPr>
            </w:pPr>
            <w:r w:rsidRPr="00886D8A">
              <w:rPr>
                <w:rFonts w:ascii="Arial Narrow" w:hAnsi="Arial Narrow"/>
                <w:b/>
                <w:bCs/>
                <w:color w:val="333333"/>
                <w:sz w:val="20"/>
                <w:szCs w:val="20"/>
              </w:rPr>
              <w:t>Treatment criteria:</w:t>
            </w:r>
          </w:p>
        </w:tc>
      </w:tr>
      <w:tr w:rsidR="008F495A" w:rsidRPr="00886D8A" w14:paraId="7D376AB7"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6D527707" w14:textId="5CA8589D" w:rsidR="008F495A" w:rsidRPr="00886D8A" w:rsidRDefault="008F495A" w:rsidP="004E36D3">
            <w:pPr>
              <w:jc w:val="center"/>
              <w:rPr>
                <w:rFonts w:ascii="Arial Narrow" w:hAnsi="Arial Narrow"/>
                <w:sz w:val="20"/>
                <w:szCs w:val="20"/>
              </w:rPr>
            </w:pPr>
          </w:p>
        </w:tc>
        <w:tc>
          <w:tcPr>
            <w:tcW w:w="7745" w:type="dxa"/>
            <w:gridSpan w:val="6"/>
            <w:vAlign w:val="center"/>
          </w:tcPr>
          <w:p w14:paraId="0FAD34A4" w14:textId="1F039DD5" w:rsidR="008F495A" w:rsidRPr="00886D8A" w:rsidRDefault="008F495A" w:rsidP="004E36D3">
            <w:pPr>
              <w:autoSpaceDE w:val="0"/>
              <w:autoSpaceDN w:val="0"/>
              <w:adjustRightInd w:val="0"/>
              <w:rPr>
                <w:rFonts w:ascii="Arial Narrow" w:hAnsi="Arial Narrow"/>
                <w:strike/>
                <w:sz w:val="20"/>
                <w:szCs w:val="20"/>
              </w:rPr>
            </w:pPr>
            <w:r w:rsidRPr="00886D8A">
              <w:rPr>
                <w:rFonts w:ascii="Arial Narrow" w:hAnsi="Arial Narrow"/>
                <w:strike/>
                <w:sz w:val="20"/>
                <w:szCs w:val="20"/>
              </w:rPr>
              <w:t>Must be treated by a specialist medical practitioner experienced in the diagnosis and management of patients with alpha</w:t>
            </w:r>
            <w:r w:rsidR="0011024A">
              <w:rPr>
                <w:rFonts w:ascii="Arial Narrow" w:hAnsi="Arial Narrow"/>
                <w:strike/>
                <w:sz w:val="20"/>
                <w:szCs w:val="20"/>
              </w:rPr>
              <w:noBreakHyphen/>
            </w:r>
            <w:r w:rsidRPr="00886D8A">
              <w:rPr>
                <w:rFonts w:ascii="Arial Narrow" w:hAnsi="Arial Narrow"/>
                <w:strike/>
                <w:sz w:val="20"/>
                <w:szCs w:val="20"/>
              </w:rPr>
              <w:t>mannosidase or associated with a metabolic clinic of a recognised hospital in the management of alpha</w:t>
            </w:r>
            <w:r w:rsidR="0011024A">
              <w:rPr>
                <w:rFonts w:ascii="Arial Narrow" w:hAnsi="Arial Narrow"/>
                <w:strike/>
                <w:sz w:val="20"/>
                <w:szCs w:val="20"/>
              </w:rPr>
              <w:noBreakHyphen/>
            </w:r>
            <w:r w:rsidRPr="00886D8A">
              <w:rPr>
                <w:rFonts w:ascii="Arial Narrow" w:hAnsi="Arial Narrow"/>
                <w:strike/>
                <w:sz w:val="20"/>
                <w:szCs w:val="20"/>
              </w:rPr>
              <w:t xml:space="preserve">mannosidase. </w:t>
            </w:r>
          </w:p>
          <w:p w14:paraId="02C93D0A" w14:textId="44F4A76F" w:rsidR="008F495A" w:rsidRPr="00886D8A" w:rsidRDefault="008F495A" w:rsidP="004E36D3">
            <w:pPr>
              <w:autoSpaceDE w:val="0"/>
              <w:autoSpaceDN w:val="0"/>
              <w:adjustRightInd w:val="0"/>
              <w:rPr>
                <w:rFonts w:ascii="Arial Narrow" w:hAnsi="Arial Narrow"/>
                <w:i/>
                <w:iCs/>
                <w:sz w:val="20"/>
                <w:szCs w:val="20"/>
              </w:rPr>
            </w:pPr>
            <w:r w:rsidRPr="00886D8A">
              <w:rPr>
                <w:rFonts w:ascii="Arial Narrow" w:hAnsi="Arial Narrow"/>
                <w:i/>
                <w:iCs/>
                <w:sz w:val="20"/>
                <w:szCs w:val="20"/>
              </w:rPr>
              <w:t>Must be treated by a physician with expertise in the diagnosis and management of alpha</w:t>
            </w:r>
            <w:r w:rsidR="0011024A">
              <w:rPr>
                <w:rFonts w:ascii="Arial Narrow" w:hAnsi="Arial Narrow"/>
                <w:i/>
                <w:iCs/>
                <w:sz w:val="20"/>
                <w:szCs w:val="20"/>
              </w:rPr>
              <w:noBreakHyphen/>
            </w:r>
            <w:r w:rsidRPr="00886D8A">
              <w:rPr>
                <w:rFonts w:ascii="Arial Narrow" w:hAnsi="Arial Narrow"/>
                <w:i/>
                <w:iCs/>
                <w:sz w:val="20"/>
                <w:szCs w:val="20"/>
              </w:rPr>
              <w:t>mannosidase, OR</w:t>
            </w:r>
          </w:p>
        </w:tc>
      </w:tr>
      <w:tr w:rsidR="008F495A" w:rsidRPr="00886D8A" w14:paraId="49DF77FC"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5205F6A0" w14:textId="415C6982" w:rsidR="008F495A" w:rsidRPr="00886D8A" w:rsidRDefault="008F495A" w:rsidP="004E36D3">
            <w:pPr>
              <w:jc w:val="center"/>
              <w:rPr>
                <w:rFonts w:ascii="Arial Narrow" w:hAnsi="Arial Narrow"/>
                <w:i/>
                <w:iCs/>
                <w:sz w:val="20"/>
                <w:szCs w:val="20"/>
              </w:rPr>
            </w:pPr>
          </w:p>
        </w:tc>
        <w:tc>
          <w:tcPr>
            <w:tcW w:w="7745" w:type="dxa"/>
            <w:gridSpan w:val="6"/>
            <w:vAlign w:val="center"/>
          </w:tcPr>
          <w:p w14:paraId="49D34A8A" w14:textId="303497B5" w:rsidR="008F495A" w:rsidRPr="00886D8A" w:rsidRDefault="008F495A" w:rsidP="004E36D3">
            <w:pPr>
              <w:autoSpaceDE w:val="0"/>
              <w:autoSpaceDN w:val="0"/>
              <w:adjustRightInd w:val="0"/>
              <w:rPr>
                <w:rFonts w:ascii="Arial Narrow" w:hAnsi="Arial Narrow"/>
                <w:i/>
                <w:iCs/>
                <w:sz w:val="20"/>
                <w:szCs w:val="20"/>
              </w:rPr>
            </w:pPr>
            <w:r w:rsidRPr="00886D8A">
              <w:rPr>
                <w:rFonts w:ascii="Arial Narrow" w:hAnsi="Arial Narrow"/>
                <w:i/>
                <w:iCs/>
                <w:sz w:val="20"/>
                <w:szCs w:val="20"/>
              </w:rPr>
              <w:t>Must be treated by a physician affiliated with a metabolic clinic or a hospital recognised in the management of alpha</w:t>
            </w:r>
            <w:r w:rsidR="0011024A">
              <w:rPr>
                <w:rFonts w:ascii="Arial Narrow" w:hAnsi="Arial Narrow"/>
                <w:i/>
                <w:iCs/>
                <w:sz w:val="20"/>
                <w:szCs w:val="20"/>
              </w:rPr>
              <w:noBreakHyphen/>
            </w:r>
            <w:r w:rsidRPr="00886D8A">
              <w:rPr>
                <w:rFonts w:ascii="Arial Narrow" w:hAnsi="Arial Narrow"/>
                <w:i/>
                <w:iCs/>
                <w:sz w:val="20"/>
                <w:szCs w:val="20"/>
              </w:rPr>
              <w:t>mannosid</w:t>
            </w:r>
            <w:r w:rsidR="003959A7" w:rsidRPr="00886D8A">
              <w:rPr>
                <w:rFonts w:ascii="Arial Narrow" w:hAnsi="Arial Narrow"/>
                <w:i/>
                <w:iCs/>
                <w:sz w:val="20"/>
                <w:szCs w:val="20"/>
              </w:rPr>
              <w:t>osis</w:t>
            </w:r>
            <w:r w:rsidRPr="00886D8A">
              <w:rPr>
                <w:rFonts w:ascii="Arial Narrow" w:hAnsi="Arial Narrow"/>
                <w:i/>
                <w:iCs/>
                <w:sz w:val="20"/>
                <w:szCs w:val="20"/>
              </w:rPr>
              <w:t xml:space="preserve">. </w:t>
            </w:r>
          </w:p>
        </w:tc>
      </w:tr>
      <w:tr w:rsidR="008F495A" w:rsidRPr="00886D8A" w14:paraId="05FE35AC" w14:textId="77777777" w:rsidTr="00334CD9">
        <w:tblPrEx>
          <w:tblCellMar>
            <w:top w:w="15" w:type="dxa"/>
            <w:bottom w:w="15" w:type="dxa"/>
          </w:tblCellMar>
          <w:tblLook w:val="04A0" w:firstRow="1" w:lastRow="0" w:firstColumn="1" w:lastColumn="0" w:noHBand="0" w:noVBand="1"/>
        </w:tblPrEx>
        <w:trPr>
          <w:cantSplit/>
          <w:trHeight w:val="20"/>
        </w:trPr>
        <w:tc>
          <w:tcPr>
            <w:tcW w:w="1272" w:type="dxa"/>
          </w:tcPr>
          <w:p w14:paraId="3F4E6B62" w14:textId="1D888CB6" w:rsidR="008F495A" w:rsidRPr="00886D8A" w:rsidRDefault="008F495A" w:rsidP="004E36D3">
            <w:pPr>
              <w:jc w:val="center"/>
              <w:rPr>
                <w:rFonts w:ascii="Arial Narrow" w:hAnsi="Arial Narrow"/>
                <w:i/>
                <w:iCs/>
                <w:color w:val="333333"/>
                <w:sz w:val="20"/>
                <w:szCs w:val="20"/>
              </w:rPr>
            </w:pPr>
          </w:p>
        </w:tc>
        <w:tc>
          <w:tcPr>
            <w:tcW w:w="7745" w:type="dxa"/>
            <w:gridSpan w:val="6"/>
            <w:vAlign w:val="center"/>
            <w:hideMark/>
          </w:tcPr>
          <w:p w14:paraId="3E7A53FC" w14:textId="77777777" w:rsidR="008F495A" w:rsidRPr="00886D8A" w:rsidRDefault="008F495A" w:rsidP="004E36D3">
            <w:pPr>
              <w:rPr>
                <w:rFonts w:ascii="Arial Narrow" w:hAnsi="Arial Narrow"/>
                <w:b/>
                <w:bCs/>
                <w:strike/>
                <w:color w:val="333333"/>
                <w:sz w:val="20"/>
                <w:szCs w:val="20"/>
              </w:rPr>
            </w:pPr>
            <w:r w:rsidRPr="00886D8A">
              <w:rPr>
                <w:rFonts w:ascii="Arial Narrow" w:hAnsi="Arial Narrow"/>
                <w:b/>
                <w:bCs/>
                <w:strike/>
                <w:color w:val="333333"/>
                <w:sz w:val="20"/>
                <w:szCs w:val="20"/>
              </w:rPr>
              <w:t xml:space="preserve">Administrative Advice: </w:t>
            </w:r>
          </w:p>
          <w:p w14:paraId="75F4CC07" w14:textId="77777777" w:rsidR="008F495A" w:rsidRPr="00886D8A" w:rsidRDefault="008F495A" w:rsidP="004E36D3">
            <w:pPr>
              <w:rPr>
                <w:rFonts w:ascii="Arial Narrow" w:hAnsi="Arial Narrow"/>
                <w:strike/>
                <w:sz w:val="20"/>
                <w:szCs w:val="20"/>
              </w:rPr>
            </w:pPr>
            <w:r w:rsidRPr="00886D8A">
              <w:rPr>
                <w:rFonts w:ascii="Arial Narrow" w:hAnsi="Arial Narrow"/>
                <w:strike/>
                <w:sz w:val="20"/>
                <w:szCs w:val="20"/>
              </w:rPr>
              <w:t xml:space="preserve">At the time of authority application, medical practitioners must request the appropriate number of vials of appropriate strength(s) to provide sufficient drug, based on the weight of the patient, adequate for 4 weeks, according to the specified dosage in the approved Product Information (PI). A separate authority prescription form must be completed for each strength requested. Up to a maximum of 5 repeats will be authorised. </w:t>
            </w:r>
          </w:p>
          <w:p w14:paraId="4B440E72" w14:textId="77777777" w:rsidR="008F495A" w:rsidRPr="00886D8A" w:rsidRDefault="008F495A" w:rsidP="004E36D3">
            <w:pPr>
              <w:rPr>
                <w:rFonts w:ascii="Arial Narrow" w:hAnsi="Arial Narrow"/>
                <w:strike/>
                <w:sz w:val="20"/>
                <w:szCs w:val="20"/>
              </w:rPr>
            </w:pPr>
          </w:p>
          <w:p w14:paraId="0CEB0675" w14:textId="77777777" w:rsidR="008F495A" w:rsidRPr="00886D8A" w:rsidRDefault="008F495A" w:rsidP="004E36D3">
            <w:pPr>
              <w:rPr>
                <w:rFonts w:ascii="Arial Narrow" w:hAnsi="Arial Narrow"/>
                <w:strike/>
                <w:sz w:val="20"/>
                <w:szCs w:val="20"/>
              </w:rPr>
            </w:pPr>
            <w:r w:rsidRPr="00886D8A">
              <w:rPr>
                <w:rFonts w:ascii="Arial Narrow" w:hAnsi="Arial Narrow"/>
                <w:strike/>
                <w:sz w:val="20"/>
                <w:szCs w:val="20"/>
              </w:rPr>
              <w:t xml:space="preserve">Confirmation of eligibility for treatment with diagnostic reports must be documented in the patient’s medical records. </w:t>
            </w:r>
          </w:p>
          <w:p w14:paraId="2F635E38" w14:textId="77777777" w:rsidR="008F495A" w:rsidRPr="00886D8A" w:rsidRDefault="008F495A" w:rsidP="004E36D3">
            <w:pPr>
              <w:rPr>
                <w:rFonts w:ascii="Arial Narrow" w:hAnsi="Arial Narrow"/>
                <w:strike/>
                <w:sz w:val="20"/>
                <w:szCs w:val="20"/>
              </w:rPr>
            </w:pPr>
          </w:p>
          <w:p w14:paraId="1222482A" w14:textId="77777777" w:rsidR="008F495A" w:rsidRPr="00886D8A" w:rsidRDefault="008F495A" w:rsidP="004E36D3">
            <w:pPr>
              <w:rPr>
                <w:rFonts w:ascii="Arial Narrow" w:hAnsi="Arial Narrow"/>
                <w:b/>
                <w:bCs/>
                <w:i/>
                <w:iCs/>
                <w:sz w:val="20"/>
                <w:szCs w:val="20"/>
              </w:rPr>
            </w:pPr>
            <w:r w:rsidRPr="00886D8A">
              <w:rPr>
                <w:rFonts w:ascii="Arial Narrow" w:hAnsi="Arial Narrow"/>
                <w:b/>
                <w:bCs/>
                <w:i/>
                <w:iCs/>
                <w:sz w:val="20"/>
                <w:szCs w:val="20"/>
              </w:rPr>
              <w:t xml:space="preserve">Prescribing Instruction: </w:t>
            </w:r>
          </w:p>
          <w:p w14:paraId="4837211D" w14:textId="77777777" w:rsidR="008F495A" w:rsidRPr="00886D8A" w:rsidRDefault="008F495A" w:rsidP="004E36D3">
            <w:pPr>
              <w:rPr>
                <w:rFonts w:ascii="Arial Narrow" w:hAnsi="Arial Narrow"/>
                <w:i/>
                <w:iCs/>
                <w:sz w:val="20"/>
                <w:szCs w:val="20"/>
              </w:rPr>
            </w:pPr>
            <w:r w:rsidRPr="00886D8A">
              <w:rPr>
                <w:rFonts w:ascii="Arial Narrow" w:hAnsi="Arial Narrow"/>
                <w:i/>
                <w:iCs/>
                <w:sz w:val="20"/>
                <w:szCs w:val="20"/>
              </w:rPr>
              <w:t xml:space="preserve">At the time of authority application, prescribers must request the appropriate number of vials, based on the body weight of the patient, to provide sufficient drug for 4 weeks of treatment, according to the specified dosage in the Therapeutic Goods Administration (TGA) approved Product Information. </w:t>
            </w:r>
          </w:p>
        </w:tc>
      </w:tr>
      <w:tr w:rsidR="008F495A" w:rsidRPr="00886D8A" w14:paraId="12AF4712"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045DBCB0" w14:textId="1A8AF092" w:rsidR="008F495A" w:rsidRPr="00886D8A" w:rsidRDefault="008F495A" w:rsidP="004E36D3">
            <w:pPr>
              <w:jc w:val="center"/>
              <w:rPr>
                <w:rFonts w:ascii="Arial Narrow" w:hAnsi="Arial Narrow"/>
                <w:i/>
                <w:iCs/>
                <w:color w:val="333333"/>
                <w:sz w:val="20"/>
                <w:szCs w:val="20"/>
              </w:rPr>
            </w:pPr>
          </w:p>
        </w:tc>
        <w:tc>
          <w:tcPr>
            <w:tcW w:w="7745" w:type="dxa"/>
            <w:gridSpan w:val="6"/>
            <w:vAlign w:val="center"/>
          </w:tcPr>
          <w:p w14:paraId="1B1C5E11" w14:textId="77777777" w:rsidR="008F495A" w:rsidRPr="00886D8A" w:rsidRDefault="008F495A" w:rsidP="004E36D3">
            <w:pPr>
              <w:jc w:val="left"/>
              <w:rPr>
                <w:rFonts w:ascii="Arial Narrow" w:hAnsi="Arial Narrow"/>
                <w:b/>
                <w:bCs/>
                <w:i/>
                <w:iCs/>
                <w:color w:val="333333"/>
                <w:sz w:val="20"/>
                <w:szCs w:val="20"/>
              </w:rPr>
            </w:pPr>
            <w:r w:rsidRPr="00886D8A">
              <w:rPr>
                <w:rFonts w:ascii="Arial Narrow" w:hAnsi="Arial Narrow"/>
                <w:b/>
                <w:bCs/>
                <w:i/>
                <w:iCs/>
                <w:color w:val="333333"/>
                <w:sz w:val="20"/>
                <w:szCs w:val="20"/>
              </w:rPr>
              <w:t>Prescribing Instruction:</w:t>
            </w:r>
          </w:p>
          <w:p w14:paraId="2A517982" w14:textId="3DEE96AF" w:rsidR="008F495A" w:rsidRPr="00886D8A" w:rsidRDefault="008F495A" w:rsidP="004E36D3">
            <w:pPr>
              <w:jc w:val="left"/>
              <w:rPr>
                <w:rFonts w:ascii="Arial Narrow" w:hAnsi="Arial Narrow"/>
                <w:b/>
                <w:bCs/>
                <w:i/>
                <w:iCs/>
                <w:strike/>
                <w:color w:val="333333"/>
                <w:sz w:val="20"/>
                <w:szCs w:val="20"/>
              </w:rPr>
            </w:pPr>
            <w:r w:rsidRPr="00886D8A">
              <w:rPr>
                <w:rFonts w:ascii="Arial Narrow" w:hAnsi="Arial Narrow"/>
                <w:i/>
                <w:iCs/>
                <w:color w:val="333333"/>
                <w:sz w:val="20"/>
                <w:szCs w:val="20"/>
              </w:rPr>
              <w:t>Confirmation of eligibility for treatment with diagnostic reports including leukocyte</w:t>
            </w:r>
            <w:r w:rsidR="0011024A">
              <w:rPr>
                <w:rFonts w:ascii="Arial Narrow" w:hAnsi="Arial Narrow"/>
                <w:i/>
                <w:iCs/>
                <w:color w:val="333333"/>
                <w:sz w:val="20"/>
                <w:szCs w:val="20"/>
              </w:rPr>
              <w:noBreakHyphen/>
            </w:r>
            <w:r w:rsidRPr="00886D8A">
              <w:rPr>
                <w:rFonts w:ascii="Arial Narrow" w:hAnsi="Arial Narrow"/>
                <w:i/>
                <w:iCs/>
                <w:color w:val="333333"/>
                <w:sz w:val="20"/>
                <w:szCs w:val="20"/>
              </w:rPr>
              <w:t xml:space="preserve">based assay, echocardiogram and genetic testing (if applicable) must be documented in the patient’s medical records. </w:t>
            </w:r>
          </w:p>
        </w:tc>
      </w:tr>
      <w:tr w:rsidR="008F495A" w:rsidRPr="00886D8A" w14:paraId="6F7FE4C4" w14:textId="77777777" w:rsidTr="00B359DE">
        <w:tblPrEx>
          <w:tblCellMar>
            <w:top w:w="15" w:type="dxa"/>
            <w:bottom w:w="15" w:type="dxa"/>
          </w:tblCellMar>
          <w:tblLook w:val="04A0" w:firstRow="1" w:lastRow="0" w:firstColumn="1" w:lastColumn="0" w:noHBand="0" w:noVBand="1"/>
        </w:tblPrEx>
        <w:trPr>
          <w:cantSplit/>
          <w:trHeight w:val="20"/>
        </w:trPr>
        <w:tc>
          <w:tcPr>
            <w:tcW w:w="1272" w:type="dxa"/>
          </w:tcPr>
          <w:p w14:paraId="47D2B598" w14:textId="2EE0744F" w:rsidR="008F495A" w:rsidRPr="00886D8A" w:rsidRDefault="008F495A" w:rsidP="004E36D3">
            <w:pPr>
              <w:jc w:val="center"/>
              <w:rPr>
                <w:rFonts w:ascii="Arial Narrow" w:hAnsi="Arial Narrow"/>
                <w:i/>
                <w:iCs/>
                <w:color w:val="333333"/>
                <w:sz w:val="20"/>
                <w:szCs w:val="20"/>
              </w:rPr>
            </w:pPr>
          </w:p>
        </w:tc>
        <w:tc>
          <w:tcPr>
            <w:tcW w:w="7745" w:type="dxa"/>
            <w:gridSpan w:val="6"/>
            <w:vAlign w:val="center"/>
          </w:tcPr>
          <w:p w14:paraId="798D6DD1" w14:textId="77777777" w:rsidR="008F495A" w:rsidRPr="00886D8A" w:rsidRDefault="008F495A" w:rsidP="004E36D3">
            <w:pPr>
              <w:rPr>
                <w:rFonts w:ascii="Arial Narrow" w:hAnsi="Arial Narrow"/>
                <w:b/>
                <w:bCs/>
                <w:i/>
                <w:iCs/>
                <w:color w:val="333333"/>
                <w:sz w:val="20"/>
                <w:szCs w:val="20"/>
              </w:rPr>
            </w:pPr>
            <w:r w:rsidRPr="00886D8A">
              <w:rPr>
                <w:rFonts w:ascii="Arial Narrow" w:hAnsi="Arial Narrow"/>
                <w:b/>
                <w:bCs/>
                <w:i/>
                <w:iCs/>
                <w:color w:val="333333"/>
                <w:sz w:val="20"/>
                <w:szCs w:val="20"/>
              </w:rPr>
              <w:t>Prescribing Instruction:</w:t>
            </w:r>
          </w:p>
          <w:p w14:paraId="41BAF6D1" w14:textId="77777777" w:rsidR="008F495A" w:rsidRPr="00886D8A" w:rsidRDefault="008F495A" w:rsidP="004E36D3">
            <w:pPr>
              <w:rPr>
                <w:rFonts w:ascii="Arial Narrow" w:hAnsi="Arial Narrow"/>
                <w:i/>
                <w:iCs/>
                <w:color w:val="333333"/>
                <w:sz w:val="20"/>
                <w:szCs w:val="20"/>
              </w:rPr>
            </w:pPr>
            <w:r w:rsidRPr="00886D8A">
              <w:rPr>
                <w:rFonts w:ascii="Arial Narrow" w:hAnsi="Arial Narrow"/>
                <w:i/>
                <w:iCs/>
                <w:color w:val="333333"/>
                <w:sz w:val="20"/>
                <w:szCs w:val="20"/>
              </w:rPr>
              <w:t>The authority application must be made in writing and must include:</w:t>
            </w:r>
          </w:p>
          <w:p w14:paraId="3C9B8E90" w14:textId="77777777" w:rsidR="008F495A" w:rsidRPr="00886D8A" w:rsidRDefault="008F495A" w:rsidP="004E36D3">
            <w:pPr>
              <w:rPr>
                <w:rFonts w:ascii="Arial Narrow" w:hAnsi="Arial Narrow"/>
                <w:i/>
                <w:iCs/>
                <w:color w:val="333333"/>
                <w:sz w:val="20"/>
                <w:szCs w:val="20"/>
              </w:rPr>
            </w:pPr>
            <w:r w:rsidRPr="00886D8A">
              <w:rPr>
                <w:rFonts w:ascii="Arial Narrow" w:hAnsi="Arial Narrow"/>
                <w:i/>
                <w:iCs/>
                <w:color w:val="333333"/>
                <w:sz w:val="20"/>
                <w:szCs w:val="20"/>
              </w:rPr>
              <w:t>(1) details of the proposed prescription; and</w:t>
            </w:r>
          </w:p>
          <w:p w14:paraId="36B8ED99" w14:textId="77777777" w:rsidR="008F495A" w:rsidRPr="00886D8A" w:rsidRDefault="008F495A" w:rsidP="004E36D3">
            <w:pPr>
              <w:rPr>
                <w:rFonts w:ascii="Arial Narrow" w:hAnsi="Arial Narrow"/>
                <w:i/>
                <w:iCs/>
                <w:color w:val="333333"/>
                <w:sz w:val="20"/>
                <w:szCs w:val="20"/>
              </w:rPr>
            </w:pPr>
            <w:r w:rsidRPr="00886D8A">
              <w:rPr>
                <w:rFonts w:ascii="Arial Narrow" w:hAnsi="Arial Narrow"/>
                <w:i/>
                <w:iCs/>
                <w:color w:val="333333"/>
                <w:sz w:val="20"/>
                <w:szCs w:val="20"/>
              </w:rPr>
              <w:t>(2) a completed authority application form relevant to the indication and treatment phase (the latest version is located on the website specified in the Administrative Advice).</w:t>
            </w:r>
          </w:p>
        </w:tc>
      </w:tr>
    </w:tbl>
    <w:p w14:paraId="764FC652" w14:textId="77777777" w:rsidR="008F495A" w:rsidRPr="00886D8A" w:rsidRDefault="008F495A" w:rsidP="004E36D3">
      <w:pPr>
        <w:pStyle w:val="3-BodyText"/>
        <w:numPr>
          <w:ilvl w:val="0"/>
          <w:numId w:val="0"/>
        </w:numPr>
      </w:pPr>
    </w:p>
    <w:p w14:paraId="00F2CC7D" w14:textId="31A5184A" w:rsidR="00D1341D" w:rsidRPr="00886D8A" w:rsidRDefault="00D1341D" w:rsidP="004E36D3">
      <w:pPr>
        <w:pStyle w:val="3-BodyText"/>
      </w:pPr>
      <w:r w:rsidRPr="00886D8A">
        <w:t>The submission did not propose a Special Pricing Arrangement</w:t>
      </w:r>
      <w:r w:rsidR="00066B89" w:rsidRPr="00886D8A">
        <w:t>. The requested ex</w:t>
      </w:r>
      <w:r w:rsidR="0011024A">
        <w:noBreakHyphen/>
      </w:r>
      <w:r w:rsidR="00066B89" w:rsidRPr="00886D8A">
        <w:t>manufacturer price per vial was $</w:t>
      </w:r>
      <w:r w:rsidR="00ED4AC4" w:rsidRPr="001E6CE7">
        <w:rPr>
          <w:color w:val="000000"/>
          <w:w w:val="15"/>
          <w:shd w:val="solid" w:color="000000" w:fill="000000"/>
          <w:fitText w:val="-20" w:id="-628411392"/>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392"/>
          <w14:textFill>
            <w14:solidFill>
              <w14:srgbClr w14:val="000000">
                <w14:alpha w14:val="100000"/>
              </w14:srgbClr>
            </w14:solidFill>
          </w14:textFill>
        </w:rPr>
        <w:t>|</w:t>
      </w:r>
      <w:r w:rsidR="00EC0A55" w:rsidRPr="00886D8A">
        <w:t>.</w:t>
      </w:r>
    </w:p>
    <w:p w14:paraId="3B49E36F" w14:textId="6735405B" w:rsidR="00EB0321" w:rsidRPr="00886D8A" w:rsidRDefault="5DD88181" w:rsidP="004E36D3">
      <w:pPr>
        <w:pStyle w:val="3-BodyText"/>
      </w:pPr>
      <w:r w:rsidRPr="00886D8A">
        <w:t xml:space="preserve">The requested restriction does not define </w:t>
      </w:r>
      <w:r w:rsidR="00714F24" w:rsidRPr="00886D8A">
        <w:t xml:space="preserve">severity of </w:t>
      </w:r>
      <w:r w:rsidRPr="00886D8A">
        <w:t>AM</w:t>
      </w:r>
      <w:r w:rsidR="00714F24" w:rsidRPr="00886D8A">
        <w:t xml:space="preserve">, which </w:t>
      </w:r>
      <w:r w:rsidRPr="00886D8A">
        <w:t xml:space="preserve">may be justified, as both the TGA Delegate’s Overview and ACM minutes stated that referencing severity of disease was inappropriate and would limit clinical discretion. </w:t>
      </w:r>
    </w:p>
    <w:p w14:paraId="1CA6E29B" w14:textId="1ACF4451" w:rsidR="00EB0321" w:rsidRPr="00886D8A" w:rsidRDefault="00A122B0" w:rsidP="004E36D3">
      <w:pPr>
        <w:pStyle w:val="3-BodyText"/>
      </w:pPr>
      <w:r w:rsidRPr="00886D8A">
        <w:t>T</w:t>
      </w:r>
      <w:r w:rsidR="00EB0321" w:rsidRPr="00886D8A">
        <w:t>he requested restriction does not specify an age limit</w:t>
      </w:r>
      <w:r w:rsidRPr="00886D8A">
        <w:t xml:space="preserve"> which</w:t>
      </w:r>
      <w:r w:rsidR="00EB0321" w:rsidRPr="00886D8A">
        <w:t xml:space="preserve"> is consistent with the approved TGA indication. As stated in the TGA Delegates’ Overview, AM may present early in life and early treatment may prevent irreversible organ damage. However, the pivotal clinical trial for velmanase alfa (rhLAMAN</w:t>
      </w:r>
      <w:r w:rsidR="0011024A">
        <w:noBreakHyphen/>
      </w:r>
      <w:r w:rsidR="00EB0321" w:rsidRPr="00886D8A">
        <w:t>05) enrolled patients aged six years and older, and the only study involving younger patients (rhLAMAN</w:t>
      </w:r>
      <w:r w:rsidR="0011024A">
        <w:noBreakHyphen/>
      </w:r>
      <w:r w:rsidR="00EB0321" w:rsidRPr="00886D8A">
        <w:t xml:space="preserve">08) included five participants. </w:t>
      </w:r>
      <w:r w:rsidR="006A507C" w:rsidRPr="00886D8A">
        <w:t>The Sub</w:t>
      </w:r>
      <w:r w:rsidR="0011024A">
        <w:noBreakHyphen/>
      </w:r>
      <w:r w:rsidR="006A507C" w:rsidRPr="00886D8A">
        <w:t xml:space="preserve">Committees noted patients </w:t>
      </w:r>
      <w:r w:rsidR="004B5AE7" w:rsidRPr="00886D8A">
        <w:t xml:space="preserve">under 6 years of age </w:t>
      </w:r>
      <w:r w:rsidR="006A507C" w:rsidRPr="00886D8A">
        <w:t>are more likely to received haematopoietic stem cell transplants</w:t>
      </w:r>
      <w:r w:rsidR="001D3C2A" w:rsidRPr="00886D8A">
        <w:t xml:space="preserve"> (HSCTs)</w:t>
      </w:r>
      <w:r w:rsidR="00D31C62" w:rsidRPr="00886D8A">
        <w:t xml:space="preserve"> which </w:t>
      </w:r>
      <w:r w:rsidR="001D3C2A" w:rsidRPr="00886D8A">
        <w:t xml:space="preserve">are </w:t>
      </w:r>
      <w:r w:rsidR="00D31C62" w:rsidRPr="00886D8A">
        <w:t xml:space="preserve">considered curative. </w:t>
      </w:r>
      <w:r w:rsidR="000A7258" w:rsidRPr="00886D8A">
        <w:t>The Pre</w:t>
      </w:r>
      <w:r w:rsidR="0011024A">
        <w:noBreakHyphen/>
      </w:r>
      <w:r w:rsidR="000A7258" w:rsidRPr="00886D8A">
        <w:t xml:space="preserve">PBAC Response </w:t>
      </w:r>
      <w:r w:rsidR="000101E7" w:rsidRPr="00886D8A">
        <w:t>stated</w:t>
      </w:r>
      <w:r w:rsidR="00F61082" w:rsidRPr="00886D8A">
        <w:t xml:space="preserve"> that </w:t>
      </w:r>
      <w:r w:rsidR="00874033" w:rsidRPr="00886D8A">
        <w:t>not all patients</w:t>
      </w:r>
      <w:r w:rsidR="00413242" w:rsidRPr="00886D8A">
        <w:t xml:space="preserve"> will adequately respond to </w:t>
      </w:r>
      <w:r w:rsidR="003A4FEE" w:rsidRPr="00886D8A">
        <w:t>HSCT</w:t>
      </w:r>
      <w:r w:rsidR="00413242" w:rsidRPr="00886D8A">
        <w:t xml:space="preserve"> and</w:t>
      </w:r>
      <w:r w:rsidR="00616D36" w:rsidRPr="00886D8A">
        <w:t>,</w:t>
      </w:r>
      <w:r w:rsidR="00413242" w:rsidRPr="00886D8A">
        <w:t xml:space="preserve"> given the high morbidity and mortality risks, </w:t>
      </w:r>
      <w:r w:rsidR="00616D36" w:rsidRPr="00886D8A">
        <w:t>stated that</w:t>
      </w:r>
      <w:r w:rsidR="003A4FEE" w:rsidRPr="00886D8A">
        <w:t xml:space="preserve"> HSCT is</w:t>
      </w:r>
      <w:r w:rsidR="00543DAE" w:rsidRPr="00886D8A">
        <w:t xml:space="preserve"> generally reserved for children aged 6 or younger with severe disease and central nervous system involvement</w:t>
      </w:r>
      <w:r w:rsidR="00EA245E" w:rsidRPr="00886D8A">
        <w:t>.</w:t>
      </w:r>
      <w:r w:rsidR="006A507C" w:rsidRPr="00886D8A">
        <w:t xml:space="preserve"> </w:t>
      </w:r>
    </w:p>
    <w:p w14:paraId="49502083" w14:textId="23704558" w:rsidR="00EB0321" w:rsidRPr="00886D8A" w:rsidRDefault="5DD88181" w:rsidP="004E36D3">
      <w:pPr>
        <w:pStyle w:val="3-BodyText"/>
      </w:pPr>
      <w:bookmarkStart w:id="14" w:name="_Ref196772637"/>
      <w:r w:rsidRPr="00886D8A">
        <w:t xml:space="preserve">Furthermore, the requested restriction does not define circumstances in which patients may or may not receive HSCT in the population criteria. While the exclusion of HSCT as a comparator was reasonable, as described below in paragraph </w:t>
      </w:r>
      <w:r w:rsidR="00EB0321" w:rsidRPr="00886D8A">
        <w:fldChar w:fldCharType="begin"/>
      </w:r>
      <w:r w:rsidR="00EB0321" w:rsidRPr="00886D8A">
        <w:instrText xml:space="preserve"> REF _Ref197071248 \r \h </w:instrText>
      </w:r>
      <w:r w:rsidR="00430C83" w:rsidRPr="00886D8A">
        <w:instrText xml:space="preserve"> \* MERGEFORMAT </w:instrText>
      </w:r>
      <w:r w:rsidR="00EB0321" w:rsidRPr="00886D8A">
        <w:fldChar w:fldCharType="separate"/>
      </w:r>
      <w:r w:rsidR="00B73A9E">
        <w:t>5.2</w:t>
      </w:r>
      <w:r w:rsidR="00EB0321" w:rsidRPr="00886D8A">
        <w:fldChar w:fldCharType="end"/>
      </w:r>
      <w:r w:rsidRPr="00886D8A">
        <w:t xml:space="preserve">, there remains a potential for velmanase alfa to be used in patients as a bridge to HSCT. </w:t>
      </w:r>
      <w:r w:rsidR="006236D2" w:rsidRPr="00886D8A">
        <w:t>E</w:t>
      </w:r>
      <w:r w:rsidRPr="00886D8A">
        <w:t>vidence supporting the use of velmanase alfa as a bridge therapy to HSCT is limited, with only one case study involving a seven-month-old patient receiving velmanase alfa as supporting therapy whilst awaiting HSCT.</w:t>
      </w:r>
      <w:bookmarkEnd w:id="14"/>
      <w:r w:rsidR="00BA1536" w:rsidRPr="00886D8A">
        <w:t xml:space="preserve"> The Sub</w:t>
      </w:r>
      <w:r w:rsidR="0011024A">
        <w:noBreakHyphen/>
      </w:r>
      <w:r w:rsidR="00BA1536" w:rsidRPr="00886D8A">
        <w:t xml:space="preserve">Committees </w:t>
      </w:r>
      <w:r w:rsidR="00EE149F" w:rsidRPr="00886D8A">
        <w:t>noted</w:t>
      </w:r>
      <w:r w:rsidR="007C2835" w:rsidRPr="00886D8A">
        <w:t xml:space="preserve"> that </w:t>
      </w:r>
      <w:r w:rsidR="002C60E6" w:rsidRPr="00886D8A">
        <w:t xml:space="preserve">some </w:t>
      </w:r>
      <w:r w:rsidR="00D42AF6" w:rsidRPr="00886D8A">
        <w:t>young</w:t>
      </w:r>
      <w:r w:rsidR="002C60E6" w:rsidRPr="00886D8A">
        <w:t xml:space="preserve"> </w:t>
      </w:r>
      <w:r w:rsidR="00EE149F" w:rsidRPr="00886D8A">
        <w:t xml:space="preserve">patients </w:t>
      </w:r>
      <w:r w:rsidR="00D42AF6" w:rsidRPr="00886D8A">
        <w:t>may</w:t>
      </w:r>
      <w:r w:rsidR="007C2835" w:rsidRPr="00886D8A">
        <w:t xml:space="preserve"> trial treatment with velmanase alfa</w:t>
      </w:r>
      <w:r w:rsidR="002E4FAE" w:rsidRPr="00886D8A">
        <w:t xml:space="preserve"> </w:t>
      </w:r>
      <w:r w:rsidR="00C265CD" w:rsidRPr="00886D8A">
        <w:t xml:space="preserve">prior to </w:t>
      </w:r>
      <w:r w:rsidR="00544D47" w:rsidRPr="00886D8A">
        <w:t>HSCT.</w:t>
      </w:r>
      <w:r w:rsidR="00DA08CA" w:rsidRPr="00886D8A">
        <w:t xml:space="preserve"> The Pre</w:t>
      </w:r>
      <w:r w:rsidR="0011024A">
        <w:noBreakHyphen/>
      </w:r>
      <w:r w:rsidR="00DA08CA" w:rsidRPr="00886D8A">
        <w:t xml:space="preserve">PBAC Response acknowledged </w:t>
      </w:r>
      <w:r w:rsidR="0001272F" w:rsidRPr="00886D8A">
        <w:t>some young patients may use velmanase alfa in this way</w:t>
      </w:r>
      <w:r w:rsidR="00DA08CA" w:rsidRPr="00886D8A">
        <w:t xml:space="preserve"> but noted there is limited evidence to support use for this purpose. </w:t>
      </w:r>
    </w:p>
    <w:p w14:paraId="13B4AA6B" w14:textId="59800B75" w:rsidR="006236D2" w:rsidRPr="00886D8A" w:rsidRDefault="00945487" w:rsidP="004E36D3">
      <w:pPr>
        <w:pStyle w:val="3-BodyText"/>
      </w:pPr>
      <w:r w:rsidRPr="00886D8A">
        <w:t>Notably, no stopping rule was proposed in the requested restriction. The submission indicated that patients are generally expected to receive velmanase alfa as a lifelong treatment; however, treatment may be discontinued at the discretion of the treating clinician if no clear clinical benefit is observed.</w:t>
      </w:r>
      <w:r w:rsidR="00F1163B" w:rsidRPr="00886D8A">
        <w:t xml:space="preserve"> </w:t>
      </w:r>
      <w:r w:rsidR="00E55F73" w:rsidRPr="00886D8A">
        <w:t>The Sub</w:t>
      </w:r>
      <w:r w:rsidR="0011024A">
        <w:noBreakHyphen/>
      </w:r>
      <w:r w:rsidR="00E55F73" w:rsidRPr="00886D8A">
        <w:t xml:space="preserve">Committees </w:t>
      </w:r>
      <w:r w:rsidR="00B621CF" w:rsidRPr="00886D8A">
        <w:t>considered</w:t>
      </w:r>
      <w:r w:rsidR="00FC310A" w:rsidRPr="00886D8A">
        <w:t xml:space="preserve"> that</w:t>
      </w:r>
      <w:r w:rsidR="00B621CF" w:rsidRPr="00886D8A">
        <w:t>,</w:t>
      </w:r>
      <w:r w:rsidR="00FC310A" w:rsidRPr="00886D8A">
        <w:t xml:space="preserve"> due to </w:t>
      </w:r>
      <w:r w:rsidR="00BB17BB" w:rsidRPr="00886D8A">
        <w:t>its admin</w:t>
      </w:r>
      <w:r w:rsidR="00C273A1" w:rsidRPr="00886D8A">
        <w:t>istrat</w:t>
      </w:r>
      <w:r w:rsidR="00D40C46" w:rsidRPr="00886D8A">
        <w:t>ion</w:t>
      </w:r>
      <w:r w:rsidR="003916F9" w:rsidRPr="00886D8A">
        <w:t xml:space="preserve"> </w:t>
      </w:r>
      <w:r w:rsidR="00C273A1" w:rsidRPr="00886D8A">
        <w:t>as a</w:t>
      </w:r>
      <w:r w:rsidR="005664D4" w:rsidRPr="00886D8A">
        <w:t xml:space="preserve">n intravenous </w:t>
      </w:r>
      <w:r w:rsidR="007C386E" w:rsidRPr="00886D8A">
        <w:t>injection</w:t>
      </w:r>
      <w:r w:rsidR="00E13F0E" w:rsidRPr="00886D8A">
        <w:t xml:space="preserve">, </w:t>
      </w:r>
      <w:r w:rsidR="00C52159" w:rsidRPr="00886D8A">
        <w:t xml:space="preserve">it </w:t>
      </w:r>
      <w:r w:rsidR="00AD1DA6" w:rsidRPr="00886D8A">
        <w:t>was</w:t>
      </w:r>
      <w:r w:rsidR="00C52159" w:rsidRPr="00886D8A">
        <w:t xml:space="preserve"> likely that if there </w:t>
      </w:r>
      <w:r w:rsidR="00AD1DA6" w:rsidRPr="00886D8A">
        <w:t>was</w:t>
      </w:r>
      <w:r w:rsidR="00C52159" w:rsidRPr="00886D8A">
        <w:t xml:space="preserve"> no improvement </w:t>
      </w:r>
      <w:r w:rsidR="000B6125" w:rsidRPr="00886D8A">
        <w:t xml:space="preserve">observed after </w:t>
      </w:r>
      <w:r w:rsidR="00EB1590" w:rsidRPr="00886D8A">
        <w:t>a period of treatment (2 to 3 years)</w:t>
      </w:r>
      <w:r w:rsidR="000B6125" w:rsidRPr="00886D8A">
        <w:t xml:space="preserve">, </w:t>
      </w:r>
      <w:r w:rsidR="00E13F0E" w:rsidRPr="00886D8A">
        <w:t xml:space="preserve">clinicians </w:t>
      </w:r>
      <w:r w:rsidR="000B6125" w:rsidRPr="00886D8A">
        <w:t xml:space="preserve">would </w:t>
      </w:r>
      <w:r w:rsidR="00847B31" w:rsidRPr="00886D8A">
        <w:t xml:space="preserve">discuss </w:t>
      </w:r>
      <w:r w:rsidR="00EB1590" w:rsidRPr="00886D8A">
        <w:t>ceasing</w:t>
      </w:r>
      <w:r w:rsidR="00847B31" w:rsidRPr="00886D8A">
        <w:t xml:space="preserve"> treatment with the patient.</w:t>
      </w:r>
    </w:p>
    <w:p w14:paraId="72C1A787" w14:textId="6222785E" w:rsidR="00F876B4" w:rsidRPr="00886D8A" w:rsidRDefault="00E3714D" w:rsidP="004E36D3">
      <w:pPr>
        <w:pStyle w:val="3-BodyText"/>
      </w:pPr>
      <w:r w:rsidRPr="00886D8A">
        <w:t xml:space="preserve">As the dosing of velmanase alfa is weight </w:t>
      </w:r>
      <w:r w:rsidR="0011024A">
        <w:noBreakHyphen/>
      </w:r>
      <w:r w:rsidRPr="00886D8A">
        <w:t xml:space="preserve">dependent, </w:t>
      </w:r>
      <w:r w:rsidR="00F1163B" w:rsidRPr="00886D8A">
        <w:t xml:space="preserve">i.e., 1 mg/kg of body weight administered once every week by </w:t>
      </w:r>
      <w:r w:rsidR="00882C81" w:rsidRPr="00886D8A">
        <w:t>intravenous infusion</w:t>
      </w:r>
      <w:r w:rsidR="00F1163B" w:rsidRPr="00886D8A">
        <w:t xml:space="preserve">, </w:t>
      </w:r>
      <w:r w:rsidRPr="00886D8A">
        <w:t>dose adjustments are often required</w:t>
      </w:r>
      <w:r w:rsidR="006236D2" w:rsidRPr="00886D8A">
        <w:t>,</w:t>
      </w:r>
      <w:r w:rsidR="00F1163B" w:rsidRPr="00886D8A">
        <w:t xml:space="preserve"> </w:t>
      </w:r>
      <w:r w:rsidRPr="00886D8A">
        <w:t xml:space="preserve">particularly in growing children as their weight (and height) changes. </w:t>
      </w:r>
      <w:r w:rsidR="00760DC6" w:rsidRPr="00886D8A">
        <w:t>Based on the mean (minimum and maximum) weight of patients for three age groups (&lt;12 years</w:t>
      </w:r>
      <w:r w:rsidR="00B261A8" w:rsidRPr="00886D8A">
        <w:t xml:space="preserve"> [</w:t>
      </w:r>
      <w:r w:rsidR="00BC64C0" w:rsidRPr="00886D8A">
        <w:t>35.7 kg]</w:t>
      </w:r>
      <w:r w:rsidR="00760DC6" w:rsidRPr="00886D8A">
        <w:t>, 12 years to &lt;18 years</w:t>
      </w:r>
      <w:r w:rsidR="00BC64C0" w:rsidRPr="00886D8A">
        <w:t xml:space="preserve"> [68.4 kg]</w:t>
      </w:r>
      <w:r w:rsidR="00760DC6" w:rsidRPr="00886D8A">
        <w:t>, and ≥18 years</w:t>
      </w:r>
      <w:r w:rsidR="00BC64C0" w:rsidRPr="00886D8A">
        <w:t xml:space="preserve"> [70.8 kg]</w:t>
      </w:r>
      <w:r w:rsidR="00760DC6" w:rsidRPr="00886D8A">
        <w:t xml:space="preserve">), the number of vials per dose per month (initial script) and the most appropriate combination of vials with pack sizes of one, five and ten of velmanase alfa were determined by the submission. </w:t>
      </w:r>
      <w:r w:rsidR="002744DB" w:rsidRPr="00886D8A">
        <w:t xml:space="preserve">The Secretariat noted that it might be more appropriate to </w:t>
      </w:r>
      <w:r w:rsidR="00335358" w:rsidRPr="00886D8A">
        <w:t>list a single vial</w:t>
      </w:r>
      <w:r w:rsidR="00E6690D" w:rsidRPr="00886D8A">
        <w:t xml:space="preserve">, with </w:t>
      </w:r>
      <w:r w:rsidR="00692D43" w:rsidRPr="00886D8A">
        <w:t>the ability to request the required number of vials.</w:t>
      </w:r>
    </w:p>
    <w:p w14:paraId="3477CC65" w14:textId="285CBDEF" w:rsidR="00796996" w:rsidRPr="00886D8A" w:rsidRDefault="00796996" w:rsidP="004E36D3">
      <w:pPr>
        <w:ind w:firstLine="709"/>
      </w:pPr>
      <w:bookmarkStart w:id="15" w:name="_Hlk76375324"/>
      <w:r w:rsidRPr="00886D8A">
        <w:rPr>
          <w:rFonts w:asciiTheme="minorHAnsi" w:hAnsiTheme="minorHAnsi"/>
          <w:i/>
        </w:rPr>
        <w:t>For more detail on PBAC’s view, see section 7 PBAC outcome.</w:t>
      </w:r>
      <w:bookmarkEnd w:id="15"/>
    </w:p>
    <w:p w14:paraId="21FC1104" w14:textId="4034605A" w:rsidR="00EB0321" w:rsidRPr="00886D8A" w:rsidDel="00195452" w:rsidRDefault="00EB0321" w:rsidP="004E36D3">
      <w:pPr>
        <w:pStyle w:val="2-SectionHeading"/>
      </w:pPr>
      <w:bookmarkStart w:id="16" w:name="_Toc197460411"/>
      <w:bookmarkStart w:id="17" w:name="_Toc198645874"/>
      <w:r w:rsidRPr="00886D8A" w:rsidDel="00195452">
        <w:t>Population and disease</w:t>
      </w:r>
      <w:bookmarkEnd w:id="16"/>
      <w:bookmarkEnd w:id="17"/>
    </w:p>
    <w:p w14:paraId="5E258E9C" w14:textId="2A26C351" w:rsidR="00EB0321" w:rsidRPr="00886D8A" w:rsidRDefault="00EB0321" w:rsidP="004E36D3">
      <w:pPr>
        <w:pStyle w:val="3-BodyText"/>
      </w:pPr>
      <w:r w:rsidRPr="00886D8A">
        <w:t>AM is an ultra-rare and progressive lysosomal storage disorder caused by a deficiency in the lysosomal enzyme, alpha</w:t>
      </w:r>
      <w:r w:rsidR="0011024A">
        <w:noBreakHyphen/>
      </w:r>
      <w:r w:rsidRPr="00886D8A">
        <w:t>mannosidase, that leads to the accumulation of mannose</w:t>
      </w:r>
      <w:r w:rsidR="0011024A">
        <w:noBreakHyphen/>
      </w:r>
      <w:r w:rsidRPr="00886D8A">
        <w:t xml:space="preserve">rich oligosaccharides in all tissues leading to cell and tissue dysfunction affecting multiple systems. </w:t>
      </w:r>
      <w:r w:rsidR="00CB2282" w:rsidRPr="00886D8A">
        <w:t xml:space="preserve">AM is caused by </w:t>
      </w:r>
      <w:r w:rsidR="00560162" w:rsidRPr="00886D8A">
        <w:t xml:space="preserve">pathogenic </w:t>
      </w:r>
      <w:r w:rsidR="00792B4D" w:rsidRPr="00886D8A">
        <w:t>variants in the mannosidase alpha class 2B member 1 (</w:t>
      </w:r>
      <w:r w:rsidR="00792B4D" w:rsidRPr="278BE2B0">
        <w:rPr>
          <w:i/>
          <w:iCs/>
        </w:rPr>
        <w:t>MAN2B1</w:t>
      </w:r>
      <w:r w:rsidR="00792B4D" w:rsidRPr="00886D8A">
        <w:t>) gene and is inherited in an autosomal recessive pattern.</w:t>
      </w:r>
    </w:p>
    <w:p w14:paraId="61DCCD70" w14:textId="7310DDCF" w:rsidR="00EB0321" w:rsidRPr="00886D8A" w:rsidRDefault="00EB0321" w:rsidP="004E36D3">
      <w:pPr>
        <w:pStyle w:val="3-BodyText"/>
      </w:pPr>
      <w:r w:rsidRPr="00886D8A">
        <w:t>AM</w:t>
      </w:r>
      <w:r w:rsidRPr="00886D8A" w:rsidDel="00535EAD">
        <w:t xml:space="preserve"> </w:t>
      </w:r>
      <w:r w:rsidR="00535EAD" w:rsidRPr="00886D8A">
        <w:t>is</w:t>
      </w:r>
      <w:r w:rsidRPr="00886D8A">
        <w:t xml:space="preserve"> classified into three phenotypic subtypes (</w:t>
      </w:r>
      <w:r w:rsidRPr="00886D8A">
        <w:fldChar w:fldCharType="begin"/>
      </w:r>
      <w:r w:rsidRPr="00886D8A">
        <w:instrText xml:space="preserve"> REF _Ref194500377 \h </w:instrText>
      </w:r>
      <w:r w:rsidRPr="00886D8A">
        <w:fldChar w:fldCharType="separate"/>
      </w:r>
      <w:r w:rsidR="00B73A9E" w:rsidRPr="00886D8A">
        <w:t xml:space="preserve">Table </w:t>
      </w:r>
      <w:r w:rsidR="00B73A9E">
        <w:rPr>
          <w:noProof/>
        </w:rPr>
        <w:t>2</w:t>
      </w:r>
      <w:r w:rsidRPr="00886D8A">
        <w:fldChar w:fldCharType="end"/>
      </w:r>
      <w:r w:rsidRPr="00886D8A">
        <w:t>). Only patients with the most severe phenotype are easily recognisable, because of the extensive neurologic involvement and rapidly progressive course associated with this form of the disease.</w:t>
      </w:r>
      <w:r w:rsidRPr="00886D8A">
        <w:rPr>
          <w:rStyle w:val="FootnoteReference"/>
        </w:rPr>
        <w:footnoteReference w:id="2"/>
      </w:r>
      <w:r w:rsidRPr="00886D8A">
        <w:t xml:space="preserve"> All other patients show a range of symptom severity across a continuum from mild to moderate that cannot be easily classified into specific phenotypes, with most individuals presenting with a moderate form.</w:t>
      </w:r>
      <w:r w:rsidRPr="00886D8A">
        <w:rPr>
          <w:rStyle w:val="FootnoteReference"/>
        </w:rPr>
        <w:t>1</w:t>
      </w:r>
      <w:r w:rsidRPr="00886D8A">
        <w:rPr>
          <w:vertAlign w:val="superscript"/>
        </w:rPr>
        <w:t xml:space="preserve"> </w:t>
      </w:r>
    </w:p>
    <w:p w14:paraId="6EC22890" w14:textId="6620D17E" w:rsidR="00EB0321" w:rsidRPr="00886D8A" w:rsidRDefault="00EB0321" w:rsidP="004E36D3">
      <w:pPr>
        <w:pStyle w:val="Caption"/>
      </w:pPr>
      <w:bookmarkStart w:id="18" w:name="_Ref194500377"/>
      <w:r w:rsidRPr="00886D8A">
        <w:t xml:space="preserve">Table </w:t>
      </w:r>
      <w:r>
        <w:fldChar w:fldCharType="begin"/>
      </w:r>
      <w:r>
        <w:instrText>SEQ Table \* ARABIC</w:instrText>
      </w:r>
      <w:r>
        <w:fldChar w:fldCharType="separate"/>
      </w:r>
      <w:r w:rsidR="00B73A9E">
        <w:rPr>
          <w:noProof/>
        </w:rPr>
        <w:t>2</w:t>
      </w:r>
      <w:r>
        <w:fldChar w:fldCharType="end"/>
      </w:r>
      <w:bookmarkEnd w:id="18"/>
      <w:r w:rsidRPr="00886D8A">
        <w:t xml:space="preserve">: </w:t>
      </w:r>
      <w:r w:rsidRPr="00886D8A">
        <w:rPr>
          <w:lang w:eastAsia="en-US"/>
        </w:rPr>
        <w:t>Three phenotypic subtypes of alpha</w:t>
      </w:r>
      <w:r w:rsidR="0011024A">
        <w:rPr>
          <w:lang w:eastAsia="en-US"/>
        </w:rPr>
        <w:noBreakHyphen/>
      </w:r>
      <w:r w:rsidRPr="00886D8A">
        <w:rPr>
          <w:lang w:eastAsia="en-US"/>
        </w:rPr>
        <w:t>mannosidosis and the prominent signs and symptoms</w:t>
      </w:r>
    </w:p>
    <w:tbl>
      <w:tblPr>
        <w:tblStyle w:val="Section3-footnote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Three phenotypic subtypes of alpha mannosidosis and the prominent signs and symptoms"/>
      </w:tblPr>
      <w:tblGrid>
        <w:gridCol w:w="1888"/>
        <w:gridCol w:w="1661"/>
        <w:gridCol w:w="2543"/>
        <w:gridCol w:w="2925"/>
      </w:tblGrid>
      <w:tr w:rsidR="00252722" w:rsidRPr="00886D8A" w14:paraId="258A0EB5" w14:textId="77777777" w:rsidTr="007A43FA">
        <w:trPr>
          <w:cnfStyle w:val="100000000000" w:firstRow="1" w:lastRow="0" w:firstColumn="0" w:lastColumn="0" w:oddVBand="0" w:evenVBand="0" w:oddHBand="0" w:evenHBand="0" w:firstRowFirstColumn="0" w:firstRowLastColumn="0" w:lastRowFirstColumn="0" w:lastRowLastColumn="0"/>
          <w:tblHeader/>
        </w:trPr>
        <w:tc>
          <w:tcPr>
            <w:tcW w:w="1047" w:type="pct"/>
            <w:tcMar>
              <w:left w:w="20" w:type="dxa"/>
              <w:right w:w="20" w:type="dxa"/>
            </w:tcMar>
          </w:tcPr>
          <w:p w14:paraId="299B0537" w14:textId="77777777" w:rsidR="00EB0321" w:rsidRPr="00886D8A" w:rsidRDefault="00EB0321" w:rsidP="004E36D3">
            <w:pPr>
              <w:pStyle w:val="TableText0"/>
              <w:rPr>
                <w:sz w:val="20"/>
                <w:szCs w:val="20"/>
                <w:lang w:val="en-AU"/>
              </w:rPr>
            </w:pPr>
          </w:p>
        </w:tc>
        <w:tc>
          <w:tcPr>
            <w:tcW w:w="921" w:type="pct"/>
            <w:tcMar>
              <w:left w:w="20" w:type="dxa"/>
              <w:right w:w="20" w:type="dxa"/>
            </w:tcMar>
          </w:tcPr>
          <w:p w14:paraId="3B23CDD9" w14:textId="77777777" w:rsidR="00EB0321" w:rsidRPr="00886D8A" w:rsidRDefault="00EB0321" w:rsidP="004E36D3">
            <w:pPr>
              <w:pStyle w:val="TableText0"/>
              <w:rPr>
                <w:sz w:val="20"/>
                <w:szCs w:val="20"/>
                <w:lang w:val="en-AU"/>
              </w:rPr>
            </w:pPr>
            <w:r w:rsidRPr="00886D8A">
              <w:rPr>
                <w:sz w:val="20"/>
                <w:szCs w:val="20"/>
                <w:lang w:val="en-AU"/>
              </w:rPr>
              <w:t>Type 1</w:t>
            </w:r>
          </w:p>
        </w:tc>
        <w:tc>
          <w:tcPr>
            <w:tcW w:w="1410" w:type="pct"/>
            <w:tcMar>
              <w:left w:w="20" w:type="dxa"/>
              <w:right w:w="20" w:type="dxa"/>
            </w:tcMar>
          </w:tcPr>
          <w:p w14:paraId="679CC084" w14:textId="77777777" w:rsidR="00EB0321" w:rsidRPr="00886D8A" w:rsidRDefault="00EB0321" w:rsidP="004E36D3">
            <w:pPr>
              <w:pStyle w:val="TableText0"/>
              <w:rPr>
                <w:sz w:val="20"/>
                <w:szCs w:val="20"/>
                <w:lang w:val="en-AU"/>
              </w:rPr>
            </w:pPr>
            <w:r w:rsidRPr="00886D8A">
              <w:rPr>
                <w:sz w:val="20"/>
                <w:szCs w:val="20"/>
                <w:lang w:val="en-AU"/>
              </w:rPr>
              <w:t>Type 2</w:t>
            </w:r>
          </w:p>
        </w:tc>
        <w:tc>
          <w:tcPr>
            <w:tcW w:w="1622" w:type="pct"/>
            <w:tcMar>
              <w:left w:w="20" w:type="dxa"/>
              <w:right w:w="20" w:type="dxa"/>
            </w:tcMar>
          </w:tcPr>
          <w:p w14:paraId="03927B1F" w14:textId="77777777" w:rsidR="00EB0321" w:rsidRPr="00886D8A" w:rsidRDefault="00EB0321" w:rsidP="004E36D3">
            <w:pPr>
              <w:pStyle w:val="TableText0"/>
              <w:rPr>
                <w:sz w:val="20"/>
                <w:szCs w:val="20"/>
                <w:lang w:val="en-AU"/>
              </w:rPr>
            </w:pPr>
            <w:r w:rsidRPr="00886D8A">
              <w:rPr>
                <w:sz w:val="20"/>
                <w:szCs w:val="20"/>
                <w:lang w:val="en-AU"/>
              </w:rPr>
              <w:t>Type 3</w:t>
            </w:r>
          </w:p>
        </w:tc>
      </w:tr>
      <w:tr w:rsidR="00EB0321" w:rsidRPr="00886D8A" w14:paraId="08703948" w14:textId="77777777" w:rsidTr="00C81A82">
        <w:tc>
          <w:tcPr>
            <w:tcW w:w="1047" w:type="pct"/>
            <w:tcMar>
              <w:left w:w="20" w:type="dxa"/>
              <w:right w:w="20" w:type="dxa"/>
            </w:tcMar>
          </w:tcPr>
          <w:p w14:paraId="3C63034E" w14:textId="77777777" w:rsidR="00EB0321" w:rsidRPr="00886D8A" w:rsidRDefault="00EB0321" w:rsidP="004E36D3">
            <w:pPr>
              <w:pStyle w:val="TableText0"/>
              <w:rPr>
                <w:sz w:val="20"/>
                <w:szCs w:val="20"/>
                <w:lang w:val="en-AU"/>
              </w:rPr>
            </w:pPr>
            <w:r w:rsidRPr="00886D8A">
              <w:rPr>
                <w:sz w:val="20"/>
                <w:szCs w:val="20"/>
                <w:lang w:val="en-AU"/>
              </w:rPr>
              <w:t>Severity</w:t>
            </w:r>
          </w:p>
        </w:tc>
        <w:tc>
          <w:tcPr>
            <w:tcW w:w="921" w:type="pct"/>
            <w:tcMar>
              <w:left w:w="20" w:type="dxa"/>
              <w:right w:w="20" w:type="dxa"/>
            </w:tcMar>
          </w:tcPr>
          <w:p w14:paraId="3D82A11A" w14:textId="77777777" w:rsidR="00EB0321" w:rsidRPr="00886D8A" w:rsidRDefault="00EB0321" w:rsidP="004E36D3">
            <w:pPr>
              <w:pStyle w:val="TableText0"/>
              <w:rPr>
                <w:sz w:val="20"/>
                <w:szCs w:val="20"/>
                <w:lang w:val="en-AU"/>
              </w:rPr>
            </w:pPr>
            <w:r w:rsidRPr="00886D8A">
              <w:rPr>
                <w:sz w:val="20"/>
                <w:szCs w:val="20"/>
                <w:lang w:val="en-AU"/>
              </w:rPr>
              <w:t>Mild</w:t>
            </w:r>
          </w:p>
        </w:tc>
        <w:tc>
          <w:tcPr>
            <w:tcW w:w="1410" w:type="pct"/>
            <w:tcMar>
              <w:left w:w="20" w:type="dxa"/>
              <w:right w:w="20" w:type="dxa"/>
            </w:tcMar>
          </w:tcPr>
          <w:p w14:paraId="576B2D26" w14:textId="77777777" w:rsidR="00EB0321" w:rsidRPr="00886D8A" w:rsidRDefault="00EB0321" w:rsidP="004E36D3">
            <w:pPr>
              <w:pStyle w:val="TableText0"/>
              <w:rPr>
                <w:sz w:val="20"/>
                <w:szCs w:val="20"/>
                <w:lang w:val="en-AU"/>
              </w:rPr>
            </w:pPr>
            <w:r w:rsidRPr="00886D8A">
              <w:rPr>
                <w:sz w:val="20"/>
                <w:szCs w:val="20"/>
                <w:lang w:val="en-AU"/>
              </w:rPr>
              <w:t>Moderate</w:t>
            </w:r>
          </w:p>
        </w:tc>
        <w:tc>
          <w:tcPr>
            <w:tcW w:w="1622" w:type="pct"/>
            <w:tcMar>
              <w:left w:w="20" w:type="dxa"/>
              <w:right w:w="20" w:type="dxa"/>
            </w:tcMar>
          </w:tcPr>
          <w:p w14:paraId="45AFE851" w14:textId="77777777" w:rsidR="00EB0321" w:rsidRPr="00886D8A" w:rsidRDefault="00EB0321" w:rsidP="004E36D3">
            <w:pPr>
              <w:pStyle w:val="TableText0"/>
              <w:rPr>
                <w:sz w:val="20"/>
                <w:szCs w:val="20"/>
                <w:lang w:val="en-AU"/>
              </w:rPr>
            </w:pPr>
            <w:r w:rsidRPr="00886D8A">
              <w:rPr>
                <w:sz w:val="20"/>
                <w:szCs w:val="20"/>
                <w:lang w:val="en-AU"/>
              </w:rPr>
              <w:t>Severe</w:t>
            </w:r>
          </w:p>
        </w:tc>
      </w:tr>
      <w:tr w:rsidR="00EB0321" w:rsidRPr="00886D8A" w14:paraId="38783401" w14:textId="77777777" w:rsidTr="00C81A82">
        <w:tc>
          <w:tcPr>
            <w:tcW w:w="1047" w:type="pct"/>
            <w:tcMar>
              <w:left w:w="20" w:type="dxa"/>
              <w:right w:w="20" w:type="dxa"/>
            </w:tcMar>
          </w:tcPr>
          <w:p w14:paraId="54522811" w14:textId="77777777" w:rsidR="00EB0321" w:rsidRPr="00886D8A" w:rsidRDefault="00EB0321" w:rsidP="004E36D3">
            <w:pPr>
              <w:pStyle w:val="TableText0"/>
              <w:rPr>
                <w:sz w:val="20"/>
                <w:szCs w:val="20"/>
                <w:lang w:val="en-AU"/>
              </w:rPr>
            </w:pPr>
            <w:r w:rsidRPr="00886D8A">
              <w:rPr>
                <w:sz w:val="20"/>
                <w:szCs w:val="20"/>
                <w:lang w:val="en-AU"/>
              </w:rPr>
              <w:t>Age at clinical recognition</w:t>
            </w:r>
          </w:p>
        </w:tc>
        <w:tc>
          <w:tcPr>
            <w:tcW w:w="921" w:type="pct"/>
            <w:tcMar>
              <w:left w:w="20" w:type="dxa"/>
              <w:right w:w="20" w:type="dxa"/>
            </w:tcMar>
          </w:tcPr>
          <w:p w14:paraId="6ED7F4C1" w14:textId="77777777" w:rsidR="00EB0321" w:rsidRPr="00886D8A" w:rsidRDefault="00EB0321" w:rsidP="004E36D3">
            <w:pPr>
              <w:pStyle w:val="TableText0"/>
              <w:rPr>
                <w:sz w:val="20"/>
                <w:szCs w:val="20"/>
                <w:lang w:val="en-AU"/>
              </w:rPr>
            </w:pPr>
            <w:r w:rsidRPr="00886D8A">
              <w:rPr>
                <w:rFonts w:cs="Calibri"/>
                <w:sz w:val="20"/>
                <w:szCs w:val="20"/>
                <w:lang w:val="en-AU"/>
              </w:rPr>
              <w:t>&gt;</w:t>
            </w:r>
            <w:r w:rsidRPr="00886D8A">
              <w:rPr>
                <w:sz w:val="20"/>
                <w:szCs w:val="20"/>
                <w:lang w:val="en-AU"/>
              </w:rPr>
              <w:t xml:space="preserve"> 10 years</w:t>
            </w:r>
          </w:p>
        </w:tc>
        <w:tc>
          <w:tcPr>
            <w:tcW w:w="1410" w:type="pct"/>
            <w:tcMar>
              <w:left w:w="20" w:type="dxa"/>
              <w:right w:w="20" w:type="dxa"/>
            </w:tcMar>
          </w:tcPr>
          <w:p w14:paraId="6DD5957C" w14:textId="77777777" w:rsidR="00EB0321" w:rsidRPr="00886D8A" w:rsidRDefault="00EB0321" w:rsidP="004E36D3">
            <w:pPr>
              <w:pStyle w:val="TableText0"/>
              <w:rPr>
                <w:sz w:val="20"/>
                <w:szCs w:val="20"/>
                <w:lang w:val="en-AU"/>
              </w:rPr>
            </w:pPr>
            <w:r w:rsidRPr="00886D8A">
              <w:rPr>
                <w:rFonts w:cs="Calibri"/>
                <w:sz w:val="20"/>
                <w:szCs w:val="20"/>
                <w:lang w:val="en-AU"/>
              </w:rPr>
              <w:t>≤</w:t>
            </w:r>
            <w:r w:rsidRPr="00886D8A">
              <w:rPr>
                <w:sz w:val="20"/>
                <w:szCs w:val="20"/>
                <w:lang w:val="en-AU"/>
              </w:rPr>
              <w:t xml:space="preserve"> 10 years</w:t>
            </w:r>
          </w:p>
        </w:tc>
        <w:tc>
          <w:tcPr>
            <w:tcW w:w="1622" w:type="pct"/>
            <w:tcMar>
              <w:left w:w="20" w:type="dxa"/>
              <w:right w:w="20" w:type="dxa"/>
            </w:tcMar>
          </w:tcPr>
          <w:p w14:paraId="35D49C2D" w14:textId="77777777" w:rsidR="00EB0321" w:rsidRPr="00886D8A" w:rsidRDefault="00EB0321" w:rsidP="004E36D3">
            <w:pPr>
              <w:pStyle w:val="TableText0"/>
              <w:rPr>
                <w:sz w:val="20"/>
                <w:szCs w:val="20"/>
                <w:lang w:val="en-AU"/>
              </w:rPr>
            </w:pPr>
            <w:r w:rsidRPr="00886D8A">
              <w:rPr>
                <w:sz w:val="20"/>
                <w:szCs w:val="20"/>
                <w:lang w:val="en-AU"/>
              </w:rPr>
              <w:t>Early infancy</w:t>
            </w:r>
          </w:p>
        </w:tc>
      </w:tr>
      <w:tr w:rsidR="00EB0321" w:rsidRPr="00886D8A" w14:paraId="57644B8A" w14:textId="77777777" w:rsidTr="00C81A82">
        <w:tc>
          <w:tcPr>
            <w:tcW w:w="1047" w:type="pct"/>
            <w:tcMar>
              <w:left w:w="20" w:type="dxa"/>
              <w:right w:w="20" w:type="dxa"/>
            </w:tcMar>
          </w:tcPr>
          <w:p w14:paraId="766FD30A" w14:textId="77777777" w:rsidR="00EB0321" w:rsidRPr="00886D8A" w:rsidRDefault="00EB0321" w:rsidP="004E36D3">
            <w:pPr>
              <w:pStyle w:val="TableText0"/>
              <w:rPr>
                <w:sz w:val="20"/>
                <w:szCs w:val="20"/>
                <w:lang w:val="en-AU"/>
              </w:rPr>
            </w:pPr>
            <w:r w:rsidRPr="00886D8A">
              <w:rPr>
                <w:sz w:val="20"/>
                <w:szCs w:val="20"/>
                <w:lang w:val="en-AU"/>
              </w:rPr>
              <w:t>Progression rate</w:t>
            </w:r>
          </w:p>
        </w:tc>
        <w:tc>
          <w:tcPr>
            <w:tcW w:w="921" w:type="pct"/>
            <w:tcMar>
              <w:left w:w="20" w:type="dxa"/>
              <w:right w:w="20" w:type="dxa"/>
            </w:tcMar>
          </w:tcPr>
          <w:p w14:paraId="3B002E2E" w14:textId="77777777" w:rsidR="00EB0321" w:rsidRPr="00886D8A" w:rsidRDefault="00EB0321" w:rsidP="004E36D3">
            <w:pPr>
              <w:pStyle w:val="TableText0"/>
              <w:rPr>
                <w:sz w:val="20"/>
                <w:szCs w:val="20"/>
                <w:lang w:val="en-AU"/>
              </w:rPr>
            </w:pPr>
            <w:r w:rsidRPr="00886D8A">
              <w:rPr>
                <w:sz w:val="20"/>
                <w:szCs w:val="20"/>
                <w:lang w:val="en-AU"/>
              </w:rPr>
              <w:t>Very slow</w:t>
            </w:r>
          </w:p>
        </w:tc>
        <w:tc>
          <w:tcPr>
            <w:tcW w:w="1410" w:type="pct"/>
            <w:tcMar>
              <w:left w:w="20" w:type="dxa"/>
              <w:right w:w="20" w:type="dxa"/>
            </w:tcMar>
          </w:tcPr>
          <w:p w14:paraId="10F864D1" w14:textId="0D98FB5F" w:rsidR="00EB0321" w:rsidRPr="00886D8A" w:rsidRDefault="00EB0321" w:rsidP="004E36D3">
            <w:pPr>
              <w:pStyle w:val="TableText0"/>
              <w:rPr>
                <w:sz w:val="20"/>
                <w:szCs w:val="20"/>
                <w:lang w:val="en-AU"/>
              </w:rPr>
            </w:pPr>
            <w:r w:rsidRPr="00886D8A">
              <w:rPr>
                <w:sz w:val="20"/>
                <w:szCs w:val="20"/>
                <w:lang w:val="en-AU"/>
              </w:rPr>
              <w:t>Slow, ataxia development at 20</w:t>
            </w:r>
            <w:r w:rsidR="0011024A">
              <w:rPr>
                <w:sz w:val="20"/>
                <w:szCs w:val="20"/>
                <w:lang w:val="en-AU"/>
              </w:rPr>
              <w:noBreakHyphen/>
            </w:r>
            <w:r w:rsidRPr="00886D8A">
              <w:rPr>
                <w:sz w:val="20"/>
                <w:szCs w:val="20"/>
                <w:lang w:val="en-AU"/>
              </w:rPr>
              <w:t>30 years of age</w:t>
            </w:r>
          </w:p>
        </w:tc>
        <w:tc>
          <w:tcPr>
            <w:tcW w:w="1622" w:type="pct"/>
            <w:tcMar>
              <w:left w:w="20" w:type="dxa"/>
              <w:right w:w="20" w:type="dxa"/>
            </w:tcMar>
          </w:tcPr>
          <w:p w14:paraId="2440720E" w14:textId="77777777" w:rsidR="00EB0321" w:rsidRPr="00886D8A" w:rsidRDefault="00EB0321" w:rsidP="004E36D3">
            <w:pPr>
              <w:pStyle w:val="TableText0"/>
              <w:rPr>
                <w:sz w:val="20"/>
                <w:szCs w:val="20"/>
                <w:lang w:val="en-AU"/>
              </w:rPr>
            </w:pPr>
            <w:r w:rsidRPr="00886D8A">
              <w:rPr>
                <w:sz w:val="20"/>
                <w:szCs w:val="20"/>
                <w:lang w:val="en-AU"/>
              </w:rPr>
              <w:t>Rapid, early death from primary CNS involvement or myopathy</w:t>
            </w:r>
          </w:p>
        </w:tc>
      </w:tr>
      <w:tr w:rsidR="00EB0321" w:rsidRPr="00886D8A" w14:paraId="32ED661F" w14:textId="77777777" w:rsidTr="00C81A82">
        <w:tc>
          <w:tcPr>
            <w:tcW w:w="1047" w:type="pct"/>
            <w:tcMar>
              <w:left w:w="20" w:type="dxa"/>
              <w:right w:w="20" w:type="dxa"/>
            </w:tcMar>
          </w:tcPr>
          <w:p w14:paraId="3DB2DFC6" w14:textId="77777777" w:rsidR="00EB0321" w:rsidRPr="00886D8A" w:rsidRDefault="00EB0321" w:rsidP="004E36D3">
            <w:pPr>
              <w:pStyle w:val="TableText0"/>
              <w:rPr>
                <w:sz w:val="20"/>
                <w:szCs w:val="20"/>
                <w:lang w:val="en-AU"/>
              </w:rPr>
            </w:pPr>
            <w:r w:rsidRPr="00886D8A">
              <w:rPr>
                <w:sz w:val="20"/>
                <w:szCs w:val="20"/>
                <w:lang w:val="en-AU"/>
              </w:rPr>
              <w:t>Skeletal involvement</w:t>
            </w:r>
          </w:p>
        </w:tc>
        <w:tc>
          <w:tcPr>
            <w:tcW w:w="921" w:type="pct"/>
            <w:tcMar>
              <w:left w:w="20" w:type="dxa"/>
              <w:right w:w="20" w:type="dxa"/>
            </w:tcMar>
          </w:tcPr>
          <w:p w14:paraId="123F8553" w14:textId="77777777" w:rsidR="00EB0321" w:rsidRPr="00886D8A" w:rsidRDefault="00EB0321" w:rsidP="004E36D3">
            <w:pPr>
              <w:pStyle w:val="TableText0"/>
              <w:rPr>
                <w:sz w:val="20"/>
                <w:szCs w:val="20"/>
                <w:lang w:val="en-AU"/>
              </w:rPr>
            </w:pPr>
            <w:r w:rsidRPr="00886D8A">
              <w:rPr>
                <w:sz w:val="20"/>
                <w:szCs w:val="20"/>
                <w:lang w:val="en-AU"/>
              </w:rPr>
              <w:t>No</w:t>
            </w:r>
          </w:p>
        </w:tc>
        <w:tc>
          <w:tcPr>
            <w:tcW w:w="1410" w:type="pct"/>
            <w:tcMar>
              <w:left w:w="20" w:type="dxa"/>
              <w:right w:w="20" w:type="dxa"/>
            </w:tcMar>
          </w:tcPr>
          <w:p w14:paraId="29EA8530" w14:textId="77777777" w:rsidR="00EB0321" w:rsidRPr="00886D8A" w:rsidRDefault="00EB0321" w:rsidP="004E36D3">
            <w:pPr>
              <w:pStyle w:val="TableText0"/>
              <w:rPr>
                <w:sz w:val="20"/>
                <w:szCs w:val="20"/>
                <w:lang w:val="en-AU"/>
              </w:rPr>
            </w:pPr>
            <w:r w:rsidRPr="00886D8A">
              <w:rPr>
                <w:sz w:val="20"/>
                <w:szCs w:val="20"/>
                <w:lang w:val="en-AU"/>
              </w:rPr>
              <w:t>Yes</w:t>
            </w:r>
          </w:p>
        </w:tc>
        <w:tc>
          <w:tcPr>
            <w:tcW w:w="1622" w:type="pct"/>
            <w:tcMar>
              <w:left w:w="20" w:type="dxa"/>
              <w:right w:w="20" w:type="dxa"/>
            </w:tcMar>
          </w:tcPr>
          <w:p w14:paraId="25045995" w14:textId="77777777" w:rsidR="00EB0321" w:rsidRPr="00886D8A" w:rsidRDefault="00EB0321" w:rsidP="004E36D3">
            <w:pPr>
              <w:pStyle w:val="TableText0"/>
              <w:rPr>
                <w:sz w:val="20"/>
                <w:szCs w:val="20"/>
                <w:lang w:val="en-AU"/>
              </w:rPr>
            </w:pPr>
            <w:r w:rsidRPr="00886D8A">
              <w:rPr>
                <w:sz w:val="20"/>
                <w:szCs w:val="20"/>
                <w:lang w:val="en-AU"/>
              </w:rPr>
              <w:t>Yes</w:t>
            </w:r>
          </w:p>
        </w:tc>
      </w:tr>
      <w:tr w:rsidR="00EB0321" w:rsidRPr="00886D8A" w14:paraId="0A31B5C6" w14:textId="77777777" w:rsidTr="00C81A82">
        <w:tc>
          <w:tcPr>
            <w:tcW w:w="1047" w:type="pct"/>
            <w:tcMar>
              <w:left w:w="20" w:type="dxa"/>
              <w:right w:w="20" w:type="dxa"/>
            </w:tcMar>
          </w:tcPr>
          <w:p w14:paraId="5873878E" w14:textId="77777777" w:rsidR="00EB0321" w:rsidRPr="00886D8A" w:rsidRDefault="00EB0321" w:rsidP="004E36D3">
            <w:pPr>
              <w:pStyle w:val="TableText0"/>
              <w:rPr>
                <w:sz w:val="20"/>
                <w:szCs w:val="20"/>
                <w:lang w:val="en-AU"/>
              </w:rPr>
            </w:pPr>
            <w:r w:rsidRPr="00886D8A">
              <w:rPr>
                <w:sz w:val="20"/>
                <w:szCs w:val="20"/>
                <w:lang w:val="en-AU"/>
              </w:rPr>
              <w:t>Prominent signs and symptoms</w:t>
            </w:r>
          </w:p>
        </w:tc>
        <w:tc>
          <w:tcPr>
            <w:tcW w:w="921" w:type="pct"/>
            <w:tcMar>
              <w:left w:w="20" w:type="dxa"/>
              <w:right w:w="20" w:type="dxa"/>
            </w:tcMar>
          </w:tcPr>
          <w:p w14:paraId="632439AF" w14:textId="77777777" w:rsidR="00EB0321" w:rsidRPr="00886D8A" w:rsidRDefault="00EB0321" w:rsidP="004E36D3">
            <w:pPr>
              <w:pStyle w:val="TableText0"/>
              <w:rPr>
                <w:sz w:val="20"/>
                <w:szCs w:val="20"/>
                <w:lang w:val="en-AU"/>
              </w:rPr>
            </w:pPr>
            <w:r w:rsidRPr="00886D8A">
              <w:rPr>
                <w:sz w:val="20"/>
                <w:szCs w:val="20"/>
                <w:lang w:val="en-AU"/>
              </w:rPr>
              <w:t>Hearing loss, ataxia, psychiatric disorder, skeletal disorder, intellectual disability</w:t>
            </w:r>
          </w:p>
        </w:tc>
        <w:tc>
          <w:tcPr>
            <w:tcW w:w="1410" w:type="pct"/>
            <w:tcMar>
              <w:left w:w="20" w:type="dxa"/>
              <w:right w:w="20" w:type="dxa"/>
            </w:tcMar>
          </w:tcPr>
          <w:p w14:paraId="7FC5EC60" w14:textId="77777777" w:rsidR="00EB0321" w:rsidRPr="00886D8A" w:rsidRDefault="00EB0321" w:rsidP="004E36D3">
            <w:pPr>
              <w:pStyle w:val="TableText0"/>
              <w:rPr>
                <w:sz w:val="20"/>
                <w:szCs w:val="20"/>
                <w:lang w:val="en-AU"/>
              </w:rPr>
            </w:pPr>
            <w:r w:rsidRPr="00886D8A">
              <w:rPr>
                <w:sz w:val="20"/>
                <w:szCs w:val="20"/>
                <w:lang w:val="en-AU"/>
              </w:rPr>
              <w:t>Speech delay, hearing loss, developmental delay, motor disturbances/joint laxity, characteristic facial features, infections, mild hepatosplenomegaly, hernia</w:t>
            </w:r>
          </w:p>
        </w:tc>
        <w:tc>
          <w:tcPr>
            <w:tcW w:w="1622" w:type="pct"/>
            <w:tcMar>
              <w:left w:w="20" w:type="dxa"/>
              <w:right w:w="20" w:type="dxa"/>
            </w:tcMar>
          </w:tcPr>
          <w:p w14:paraId="670A1E1A" w14:textId="77777777" w:rsidR="00EB0321" w:rsidRPr="00886D8A" w:rsidRDefault="00EB0321" w:rsidP="004E36D3">
            <w:pPr>
              <w:pStyle w:val="TableText0"/>
              <w:rPr>
                <w:sz w:val="20"/>
                <w:szCs w:val="20"/>
                <w:lang w:val="en-AU"/>
              </w:rPr>
            </w:pPr>
            <w:r w:rsidRPr="00886D8A">
              <w:rPr>
                <w:sz w:val="20"/>
                <w:szCs w:val="20"/>
                <w:lang w:val="en-AU"/>
              </w:rPr>
              <w:t>Skeletal abnormalities, facial dysmorphia, profound hearing loss, hepatosplenomegaly, marked and progressive deterioration in motor and cognitive function</w:t>
            </w:r>
          </w:p>
        </w:tc>
      </w:tr>
    </w:tbl>
    <w:p w14:paraId="301716BE" w14:textId="56044B8A" w:rsidR="00EB0321" w:rsidRPr="00886D8A" w:rsidRDefault="00EB0321" w:rsidP="004E36D3">
      <w:pPr>
        <w:pStyle w:val="FooterTableFigure"/>
        <w:rPr>
          <w:rFonts w:eastAsia="Calibri"/>
          <w:lang w:eastAsia="en-US"/>
        </w:rPr>
      </w:pPr>
      <w:r w:rsidRPr="00886D8A">
        <w:rPr>
          <w:rFonts w:eastAsia="Calibri"/>
          <w:lang w:eastAsia="en-US"/>
        </w:rPr>
        <w:t>Source: Table 1.1</w:t>
      </w:r>
      <w:r w:rsidR="0011024A">
        <w:rPr>
          <w:rFonts w:eastAsia="Calibri"/>
          <w:lang w:eastAsia="en-US"/>
        </w:rPr>
        <w:noBreakHyphen/>
      </w:r>
      <w:r w:rsidRPr="00886D8A">
        <w:rPr>
          <w:rFonts w:eastAsia="Calibri"/>
          <w:lang w:eastAsia="en-US"/>
        </w:rPr>
        <w:t xml:space="preserve">3, p7 of the submission. </w:t>
      </w:r>
    </w:p>
    <w:p w14:paraId="00D03824" w14:textId="77777777" w:rsidR="00EB0321" w:rsidRPr="00886D8A" w:rsidRDefault="00EB0321" w:rsidP="004E36D3">
      <w:pPr>
        <w:pStyle w:val="FooterTableFigure"/>
        <w:rPr>
          <w:rFonts w:eastAsia="Calibri"/>
          <w:lang w:eastAsia="en-US"/>
        </w:rPr>
      </w:pPr>
      <w:r w:rsidRPr="00886D8A">
        <w:rPr>
          <w:rFonts w:eastAsia="Calibri"/>
          <w:lang w:eastAsia="en-US"/>
        </w:rPr>
        <w:t xml:space="preserve">CNS = central nervous system. </w:t>
      </w:r>
    </w:p>
    <w:p w14:paraId="4F066AA2" w14:textId="3FD7CC1F" w:rsidR="00EB0321" w:rsidRPr="00886D8A" w:rsidRDefault="00EB0321" w:rsidP="004E36D3">
      <w:pPr>
        <w:pStyle w:val="3-BodyText"/>
      </w:pPr>
      <w:r w:rsidRPr="00886D8A">
        <w:t xml:space="preserve">There is limited data relating to </w:t>
      </w:r>
      <w:r w:rsidR="53B6FF26" w:rsidRPr="00886D8A">
        <w:t xml:space="preserve">the </w:t>
      </w:r>
      <w:r w:rsidRPr="00886D8A">
        <w:t xml:space="preserve">epidemiology of AM internationally, including </w:t>
      </w:r>
      <w:r w:rsidR="00535EAD" w:rsidRPr="00886D8A">
        <w:t xml:space="preserve">in </w:t>
      </w:r>
      <w:r w:rsidRPr="00886D8A">
        <w:t>Australia. Chin et al. (2011) estimated the incidence and prevalence of AM in Australia at 0.08 per 100,000 live births, with three new post</w:t>
      </w:r>
      <w:r w:rsidR="0011024A">
        <w:noBreakHyphen/>
      </w:r>
      <w:r w:rsidRPr="00886D8A">
        <w:t>natal diagnosis based on 2009</w:t>
      </w:r>
      <w:r w:rsidR="0011024A">
        <w:noBreakHyphen/>
      </w:r>
      <w:r w:rsidRPr="00886D8A">
        <w:t xml:space="preserve">2020 data from the National Referral Laboratory for lysosomal storge disorder. Globally, the incidence of AM is higher, at 1 per 1,231,000 live births, with prevalence ranging from 1 per 500,000 to 1 per 1,000,000. </w:t>
      </w:r>
      <w:r w:rsidR="00675C2F" w:rsidRPr="00886D8A">
        <w:t xml:space="preserve">The clinicians consulted by the sponsor identified </w:t>
      </w:r>
      <w:r w:rsidR="00447397" w:rsidRPr="00447397">
        <w:t xml:space="preserve">&lt;500 </w:t>
      </w:r>
      <w:r w:rsidR="00675C2F" w:rsidRPr="00447397">
        <w:t>patients</w:t>
      </w:r>
      <w:r w:rsidR="00675C2F" w:rsidRPr="00886D8A">
        <w:t xml:space="preserve"> with AM in Australia.</w:t>
      </w:r>
    </w:p>
    <w:p w14:paraId="4435B37A" w14:textId="3A481849" w:rsidR="00EB0321" w:rsidRPr="00886D8A" w:rsidRDefault="00EB0321" w:rsidP="004E36D3">
      <w:pPr>
        <w:pStyle w:val="3-BodyText"/>
        <w:rPr>
          <w:color w:val="0066FF"/>
        </w:rPr>
      </w:pPr>
      <w:r w:rsidRPr="00886D8A">
        <w:t xml:space="preserve">Hennermann et al. (2022), a global retrospective study of 15 patients, reported a median age of death </w:t>
      </w:r>
      <w:r w:rsidR="66A99DC7" w:rsidRPr="00886D8A">
        <w:t>of 45</w:t>
      </w:r>
      <w:r w:rsidRPr="00886D8A">
        <w:t xml:space="preserve"> years (interquartile range [IQR]; 18</w:t>
      </w:r>
      <w:r w:rsidR="0011024A">
        <w:noBreakHyphen/>
      </w:r>
      <w:r w:rsidRPr="00886D8A">
        <w:t>56) and a mean</w:t>
      </w:r>
      <w:r w:rsidR="00DB3557" w:rsidRPr="00886D8A">
        <w:t xml:space="preserve"> age of death</w:t>
      </w:r>
      <w:r w:rsidRPr="00886D8A">
        <w:t xml:space="preserve"> (standard deviation [SD]) of 40 ± 13.2 years. In patients with severe AM, death commonly occurred before the end of the first decade. In those with </w:t>
      </w:r>
      <w:r w:rsidR="00625270" w:rsidRPr="00886D8A">
        <w:t>mild to moderate</w:t>
      </w:r>
      <w:r w:rsidRPr="00886D8A">
        <w:t xml:space="preserve"> AM, death typically occurs in </w:t>
      </w:r>
      <w:r w:rsidR="00B316B8" w:rsidRPr="00886D8A">
        <w:t xml:space="preserve">middle </w:t>
      </w:r>
      <w:r w:rsidRPr="00886D8A">
        <w:t xml:space="preserve">adulthood </w:t>
      </w:r>
      <w:r w:rsidR="0078788E" w:rsidRPr="00886D8A">
        <w:t>(</w:t>
      </w:r>
      <w:r w:rsidR="00625270" w:rsidRPr="00886D8A">
        <w:t xml:space="preserve">approximately 40 years for those with </w:t>
      </w:r>
      <w:r w:rsidR="0078788E" w:rsidRPr="00886D8A">
        <w:t>moderate disease</w:t>
      </w:r>
      <w:r w:rsidR="00625270" w:rsidRPr="00886D8A">
        <w:t xml:space="preserve"> and </w:t>
      </w:r>
      <w:r w:rsidR="00B316B8" w:rsidRPr="00886D8A">
        <w:t xml:space="preserve">50 years for those with </w:t>
      </w:r>
      <w:r w:rsidR="0078788E" w:rsidRPr="00886D8A">
        <w:t xml:space="preserve">mild disease) </w:t>
      </w:r>
      <w:r w:rsidRPr="00886D8A">
        <w:t>years</w:t>
      </w:r>
      <w:r w:rsidR="0078788E" w:rsidRPr="00886D8A">
        <w:t>.</w:t>
      </w:r>
      <w:r w:rsidRPr="00886D8A">
        <w:t xml:space="preserve"> </w:t>
      </w:r>
      <w:r w:rsidR="00675C2F" w:rsidRPr="00886D8A">
        <w:t xml:space="preserve">Infection, including pneumonia, </w:t>
      </w:r>
      <w:r w:rsidRPr="00886D8A">
        <w:t>and cancer were the most common cause of death.</w:t>
      </w:r>
    </w:p>
    <w:p w14:paraId="5B332077" w14:textId="3785CD0A" w:rsidR="00EB0321" w:rsidRPr="00886D8A" w:rsidRDefault="00EB0321" w:rsidP="004E36D3">
      <w:pPr>
        <w:pStyle w:val="3-BodyText"/>
      </w:pPr>
      <w:bookmarkStart w:id="19" w:name="_Ref197492477"/>
      <w:r w:rsidRPr="00886D8A">
        <w:t xml:space="preserve">Currently, there are no approved pharmacological therapies for AM in Australia. For most patients, </w:t>
      </w:r>
      <w:r w:rsidR="00A07393" w:rsidRPr="00886D8A">
        <w:t xml:space="preserve">the </w:t>
      </w:r>
      <w:r w:rsidRPr="00886D8A">
        <w:t xml:space="preserve">current </w:t>
      </w:r>
      <w:r w:rsidR="3F439174" w:rsidRPr="00886D8A">
        <w:t>treatment approach</w:t>
      </w:r>
      <w:r w:rsidRPr="00886D8A">
        <w:t xml:space="preserve"> focuses on symptom management, complication prevention, and optimising quality of life (QoL). This includes walking aids, physiotherapy, infection management (e.g., antibiotics to suppress bacterial infections), ventilation support, general treatment of comorbidities, supportive measures at home and major surgical interventions (e.g., ventriculoperitoneal shunts, cervical spine decompression, joint replacement).</w:t>
      </w:r>
      <w:bookmarkEnd w:id="19"/>
      <w:r w:rsidRPr="00886D8A">
        <w:t xml:space="preserve"> </w:t>
      </w:r>
      <w:r w:rsidR="007F4791" w:rsidRPr="00886D8A">
        <w:t>The Sub</w:t>
      </w:r>
      <w:r w:rsidR="0011024A">
        <w:noBreakHyphen/>
      </w:r>
      <w:r w:rsidR="007F4791" w:rsidRPr="00886D8A">
        <w:t>Committees</w:t>
      </w:r>
      <w:r w:rsidR="00BF3794" w:rsidRPr="00886D8A">
        <w:t xml:space="preserve"> noted non-neurologic manifestations that clinicians hope to see improvement or stabilisation in include </w:t>
      </w:r>
      <w:r w:rsidR="006A5144" w:rsidRPr="00886D8A">
        <w:t>muscle wasting, progressive skeletal dysplasia, hepatosplenomegaly, cataracts/ corneal clouding.</w:t>
      </w:r>
      <w:r w:rsidR="006A267D" w:rsidRPr="00886D8A">
        <w:t xml:space="preserve"> </w:t>
      </w:r>
      <w:r w:rsidR="006A5144" w:rsidRPr="00886D8A">
        <w:t>The Sub</w:t>
      </w:r>
      <w:r w:rsidR="0011024A">
        <w:noBreakHyphen/>
      </w:r>
      <w:r w:rsidR="006A5144" w:rsidRPr="00886D8A">
        <w:t xml:space="preserve">Committees noted </w:t>
      </w:r>
      <w:r w:rsidR="006A267D" w:rsidRPr="00886D8A">
        <w:t xml:space="preserve">the extent </w:t>
      </w:r>
      <w:r w:rsidR="00413D61" w:rsidRPr="00886D8A">
        <w:t xml:space="preserve">to which </w:t>
      </w:r>
      <w:r w:rsidR="006A267D" w:rsidRPr="00886D8A">
        <w:t xml:space="preserve">these manifestations impact individuals is highly variable. </w:t>
      </w:r>
    </w:p>
    <w:p w14:paraId="53716A91" w14:textId="627C8E71" w:rsidR="00EB0321" w:rsidRPr="00886D8A" w:rsidRDefault="00EB0321" w:rsidP="004E36D3">
      <w:pPr>
        <w:pStyle w:val="3-BodyText"/>
      </w:pPr>
      <w:r w:rsidRPr="00886D8A">
        <w:t>Velmanase alfa, a recombinant form of human lysosomal alpha</w:t>
      </w:r>
      <w:r w:rsidR="0011024A">
        <w:noBreakHyphen/>
      </w:r>
      <w:r w:rsidRPr="00886D8A">
        <w:t>mannosidase, is a first</w:t>
      </w:r>
      <w:r w:rsidR="0011024A">
        <w:noBreakHyphen/>
      </w:r>
      <w:r w:rsidRPr="00886D8A">
        <w:t>generation ERT indicated for the treatment of non</w:t>
      </w:r>
      <w:r w:rsidR="0011024A">
        <w:noBreakHyphen/>
      </w:r>
      <w:r w:rsidRPr="00886D8A">
        <w:t>neurological manifestations of AM. Upon administration, velmanase alfa supplements or replaces natural alpha</w:t>
      </w:r>
      <w:r w:rsidR="0011024A">
        <w:noBreakHyphen/>
      </w:r>
      <w:r w:rsidRPr="00886D8A">
        <w:t>mannosidase, enabling the breakdown of hybrid and complex high</w:t>
      </w:r>
      <w:r w:rsidR="0011024A">
        <w:noBreakHyphen/>
      </w:r>
      <w:r w:rsidRPr="00886D8A">
        <w:t>mannose oligosaccharides in the lysosome. This process reduces the accumulation of mannose</w:t>
      </w:r>
      <w:r w:rsidR="0011024A">
        <w:noBreakHyphen/>
      </w:r>
      <w:r w:rsidRPr="00886D8A">
        <w:t>rich oligosaccharides, which is the primary pathological driver of the multi</w:t>
      </w:r>
      <w:r w:rsidR="0011024A">
        <w:noBreakHyphen/>
      </w:r>
      <w:r w:rsidRPr="00886D8A">
        <w:t>morbid, life</w:t>
      </w:r>
      <w:r w:rsidR="0011024A">
        <w:noBreakHyphen/>
      </w:r>
      <w:r w:rsidRPr="00886D8A">
        <w:t>limiting chronic disease.</w:t>
      </w:r>
      <w:r w:rsidR="00A961F5">
        <w:t xml:space="preserve"> </w:t>
      </w:r>
    </w:p>
    <w:p w14:paraId="2A007BAA" w14:textId="25A83E90" w:rsidR="00214E21" w:rsidRPr="00886D8A" w:rsidDel="00195452" w:rsidRDefault="00214E21" w:rsidP="004E36D3">
      <w:pPr>
        <w:ind w:firstLine="709"/>
      </w:pPr>
      <w:r w:rsidRPr="00886D8A">
        <w:rPr>
          <w:rFonts w:asciiTheme="minorHAnsi" w:hAnsiTheme="minorHAnsi"/>
          <w:i/>
        </w:rPr>
        <w:t>For more detail on PBAC’s view, see section 7 PBAC outcome.</w:t>
      </w:r>
    </w:p>
    <w:p w14:paraId="411227C0" w14:textId="77777777" w:rsidR="00EB0321" w:rsidRPr="00886D8A" w:rsidRDefault="00EB0321" w:rsidP="004E36D3">
      <w:pPr>
        <w:pStyle w:val="2-SectionHeading"/>
      </w:pPr>
      <w:bookmarkStart w:id="20" w:name="_Toc197460412"/>
      <w:bookmarkStart w:id="21" w:name="_Toc198645875"/>
      <w:r w:rsidRPr="00886D8A">
        <w:t>Comparator</w:t>
      </w:r>
      <w:bookmarkEnd w:id="20"/>
      <w:bookmarkEnd w:id="21"/>
    </w:p>
    <w:p w14:paraId="708BB9E1" w14:textId="4A260430" w:rsidR="00EB0321" w:rsidRPr="00886D8A" w:rsidRDefault="00EB0321" w:rsidP="004E36D3">
      <w:pPr>
        <w:pStyle w:val="3-BodyText"/>
        <w:rPr>
          <w:iCs/>
        </w:rPr>
      </w:pPr>
      <w:r w:rsidRPr="00886D8A">
        <w:rPr>
          <w:iCs/>
        </w:rPr>
        <w:t xml:space="preserve">The </w:t>
      </w:r>
      <w:r w:rsidR="000755AF" w:rsidRPr="00886D8A">
        <w:rPr>
          <w:iCs/>
        </w:rPr>
        <w:t>Sub</w:t>
      </w:r>
      <w:r w:rsidR="0011024A">
        <w:rPr>
          <w:iCs/>
        </w:rPr>
        <w:noBreakHyphen/>
      </w:r>
      <w:r w:rsidR="000755AF" w:rsidRPr="00886D8A">
        <w:rPr>
          <w:iCs/>
        </w:rPr>
        <w:t>Committees considered that</w:t>
      </w:r>
      <w:r w:rsidRPr="00886D8A">
        <w:rPr>
          <w:iCs/>
        </w:rPr>
        <w:t xml:space="preserve"> BSC alone, defined as symptomatic and supportive treatment as described in paragraph </w:t>
      </w:r>
      <w:r w:rsidRPr="00886D8A">
        <w:rPr>
          <w:iCs/>
        </w:rPr>
        <w:fldChar w:fldCharType="begin"/>
      </w:r>
      <w:r w:rsidRPr="00886D8A">
        <w:rPr>
          <w:iCs/>
        </w:rPr>
        <w:instrText xml:space="preserve"> REF _Ref197492477 \r \h </w:instrText>
      </w:r>
      <w:r w:rsidR="002D6B60" w:rsidRPr="00886D8A">
        <w:rPr>
          <w:iCs/>
        </w:rPr>
        <w:instrText xml:space="preserve"> \* MERGEFORMAT </w:instrText>
      </w:r>
      <w:r w:rsidRPr="00886D8A">
        <w:rPr>
          <w:iCs/>
        </w:rPr>
      </w:r>
      <w:r w:rsidRPr="00886D8A">
        <w:rPr>
          <w:iCs/>
        </w:rPr>
        <w:fldChar w:fldCharType="separate"/>
      </w:r>
      <w:r w:rsidR="00B73A9E">
        <w:rPr>
          <w:iCs/>
        </w:rPr>
        <w:t>4.5</w:t>
      </w:r>
      <w:r w:rsidRPr="00886D8A">
        <w:rPr>
          <w:iCs/>
        </w:rPr>
        <w:fldChar w:fldCharType="end"/>
      </w:r>
      <w:r w:rsidRPr="00886D8A">
        <w:rPr>
          <w:iCs/>
        </w:rPr>
        <w:t>, as the main comparator to velmanase alfa plus BSC</w:t>
      </w:r>
      <w:r w:rsidR="00962FD6" w:rsidRPr="00886D8A">
        <w:rPr>
          <w:iCs/>
        </w:rPr>
        <w:t xml:space="preserve"> to be </w:t>
      </w:r>
      <w:r w:rsidR="00E0317A" w:rsidRPr="00886D8A">
        <w:rPr>
          <w:iCs/>
        </w:rPr>
        <w:t>appropriate</w:t>
      </w:r>
      <w:r w:rsidRPr="00886D8A">
        <w:rPr>
          <w:iCs/>
        </w:rPr>
        <w:t>.</w:t>
      </w:r>
    </w:p>
    <w:p w14:paraId="3B66D15E" w14:textId="5C4AB12F" w:rsidR="00EB0321" w:rsidRPr="00886D8A" w:rsidRDefault="5DD88181" w:rsidP="004E36D3">
      <w:pPr>
        <w:pStyle w:val="3-BodyText"/>
      </w:pPr>
      <w:bookmarkStart w:id="22" w:name="_Ref197071248"/>
      <w:r w:rsidRPr="278BE2B0">
        <w:t xml:space="preserve">The submission excluded HSCT as a comparator, as it is typically targeted towards patients aged six years or younger with potentially reversible central nervous system (CNS) involvement. While no universally accepted criteria exist, the submission stated that HSCT is generally not considered for milder </w:t>
      </w:r>
      <w:r w:rsidR="070BA3CB" w:rsidRPr="278BE2B0">
        <w:t xml:space="preserve">AM </w:t>
      </w:r>
      <w:r w:rsidRPr="278BE2B0">
        <w:t xml:space="preserve">cases due to the associated risks of the procedure. </w:t>
      </w:r>
      <w:bookmarkEnd w:id="22"/>
      <w:r w:rsidR="00A569A5" w:rsidRPr="278BE2B0">
        <w:t>The Sub</w:t>
      </w:r>
      <w:r w:rsidR="0011024A">
        <w:rPr>
          <w:iCs/>
        </w:rPr>
        <w:noBreakHyphen/>
      </w:r>
      <w:r w:rsidR="00A569A5" w:rsidRPr="278BE2B0">
        <w:t xml:space="preserve">Committees noted that HSCT is essentially a cure for </w:t>
      </w:r>
      <w:r w:rsidR="006F59F0" w:rsidRPr="278BE2B0">
        <w:t>AM as it corrects the underlying enzyme deficiency in all tissues including the CNS.</w:t>
      </w:r>
      <w:r w:rsidR="00A961F5">
        <w:t xml:space="preserve"> </w:t>
      </w:r>
      <w:r w:rsidR="006F59F0" w:rsidRPr="278BE2B0">
        <w:t>The Sub</w:t>
      </w:r>
      <w:r w:rsidR="0011024A">
        <w:rPr>
          <w:iCs/>
        </w:rPr>
        <w:noBreakHyphen/>
      </w:r>
      <w:r w:rsidR="006F59F0" w:rsidRPr="278BE2B0">
        <w:t xml:space="preserve">Committee </w:t>
      </w:r>
      <w:r w:rsidR="00AD666D" w:rsidRPr="278BE2B0">
        <w:t xml:space="preserve">further noted that </w:t>
      </w:r>
      <w:r w:rsidR="00C35222" w:rsidRPr="278BE2B0">
        <w:t>HSCT</w:t>
      </w:r>
      <w:r w:rsidR="002B2CE4" w:rsidRPr="278BE2B0">
        <w:t>s</w:t>
      </w:r>
      <w:r w:rsidR="00C35222" w:rsidRPr="278BE2B0">
        <w:t xml:space="preserve"> for non</w:t>
      </w:r>
      <w:r w:rsidR="0011024A">
        <w:rPr>
          <w:iCs/>
        </w:rPr>
        <w:noBreakHyphen/>
      </w:r>
      <w:r w:rsidR="00C35222" w:rsidRPr="278BE2B0">
        <w:t xml:space="preserve">malignant diseases </w:t>
      </w:r>
      <w:r w:rsidR="002B2CE4" w:rsidRPr="278BE2B0">
        <w:t xml:space="preserve">generally </w:t>
      </w:r>
      <w:r w:rsidR="00C35222" w:rsidRPr="278BE2B0">
        <w:t>ha</w:t>
      </w:r>
      <w:r w:rsidR="002B2CE4" w:rsidRPr="278BE2B0">
        <w:t>ve</w:t>
      </w:r>
      <w:r w:rsidR="00C35222" w:rsidRPr="278BE2B0">
        <w:t xml:space="preserve"> excellent engraftment rates and low graft</w:t>
      </w:r>
      <w:r w:rsidR="0011024A">
        <w:rPr>
          <w:iCs/>
        </w:rPr>
        <w:noBreakHyphen/>
      </w:r>
      <w:r w:rsidR="00C35222" w:rsidRPr="278BE2B0">
        <w:t>versus</w:t>
      </w:r>
      <w:r w:rsidR="0011024A">
        <w:rPr>
          <w:iCs/>
        </w:rPr>
        <w:noBreakHyphen/>
      </w:r>
      <w:r w:rsidR="00C35222" w:rsidRPr="278BE2B0">
        <w:t>host</w:t>
      </w:r>
      <w:r w:rsidR="0011024A">
        <w:rPr>
          <w:iCs/>
        </w:rPr>
        <w:noBreakHyphen/>
      </w:r>
      <w:r w:rsidR="00C35222" w:rsidRPr="278BE2B0">
        <w:t xml:space="preserve">disease. </w:t>
      </w:r>
      <w:r w:rsidR="00BA1145" w:rsidRPr="278BE2B0">
        <w:t>The Pre</w:t>
      </w:r>
      <w:r w:rsidR="0011024A">
        <w:rPr>
          <w:iCs/>
        </w:rPr>
        <w:noBreakHyphen/>
      </w:r>
      <w:r w:rsidR="00BA1145" w:rsidRPr="278BE2B0">
        <w:t>PBAC Response</w:t>
      </w:r>
      <w:r w:rsidR="00257C5A" w:rsidRPr="00886D8A">
        <w:rPr>
          <w:iCs/>
        </w:rPr>
        <w:t xml:space="preserve"> </w:t>
      </w:r>
      <w:r w:rsidR="0052729A" w:rsidRPr="278BE2B0">
        <w:t>stated that</w:t>
      </w:r>
      <w:r w:rsidR="00257C5A" w:rsidRPr="278BE2B0">
        <w:t xml:space="preserve"> HSCT </w:t>
      </w:r>
      <w:r w:rsidR="00F72DA2" w:rsidRPr="278BE2B0">
        <w:t xml:space="preserve">may not always be feasible </w:t>
      </w:r>
      <w:r w:rsidR="00774DC6" w:rsidRPr="278BE2B0">
        <w:t>and outcomes for patients are variable</w:t>
      </w:r>
      <w:r w:rsidR="00B423CB" w:rsidRPr="00886D8A">
        <w:rPr>
          <w:iCs/>
        </w:rPr>
        <w:t>.</w:t>
      </w:r>
      <w:r w:rsidR="00A961F5">
        <w:rPr>
          <w:iCs/>
        </w:rPr>
        <w:t xml:space="preserve"> </w:t>
      </w:r>
    </w:p>
    <w:p w14:paraId="36BEE6EF" w14:textId="77777777" w:rsidR="00214E21" w:rsidRPr="00886D8A" w:rsidRDefault="00214E21" w:rsidP="004E36D3">
      <w:pPr>
        <w:ind w:firstLine="709"/>
        <w:rPr>
          <w:rFonts w:asciiTheme="minorHAnsi" w:hAnsiTheme="minorHAnsi"/>
          <w:i/>
        </w:rPr>
      </w:pPr>
      <w:r w:rsidRPr="00886D8A">
        <w:rPr>
          <w:rFonts w:asciiTheme="minorHAnsi" w:hAnsiTheme="minorHAnsi"/>
          <w:i/>
        </w:rPr>
        <w:t>For more detail on PBAC’s view, see section 7 PBAC outcome.</w:t>
      </w:r>
    </w:p>
    <w:p w14:paraId="727ADAE3" w14:textId="77777777" w:rsidR="00EB0321" w:rsidRPr="00886D8A" w:rsidRDefault="00EB0321" w:rsidP="00CD7617">
      <w:pPr>
        <w:pStyle w:val="2-SectionHeading"/>
        <w:numPr>
          <w:ilvl w:val="0"/>
          <w:numId w:val="1"/>
        </w:numPr>
      </w:pPr>
      <w:bookmarkStart w:id="23" w:name="_Toc197460413"/>
      <w:bookmarkStart w:id="24" w:name="_Toc198645876"/>
      <w:bookmarkStart w:id="25" w:name="_Toc22897640"/>
      <w:r w:rsidRPr="00886D8A">
        <w:t>Consideration of the evidence</w:t>
      </w:r>
      <w:bookmarkEnd w:id="23"/>
      <w:bookmarkEnd w:id="24"/>
    </w:p>
    <w:p w14:paraId="0E41253A" w14:textId="77777777" w:rsidR="008C07C7" w:rsidRPr="00886D8A" w:rsidRDefault="008C07C7" w:rsidP="004E36D3">
      <w:pPr>
        <w:pStyle w:val="3-SubsectionHeading"/>
        <w:outlineLvl w:val="1"/>
        <w:rPr>
          <w:lang w:eastAsia="en-AU"/>
        </w:rPr>
      </w:pPr>
      <w:bookmarkStart w:id="26" w:name="_Hlk76375935"/>
      <w:bookmarkStart w:id="27" w:name="_Toc197460414"/>
      <w:bookmarkStart w:id="28" w:name="_Toc198645877"/>
      <w:r w:rsidRPr="00886D8A">
        <w:rPr>
          <w:lang w:eastAsia="en-AU"/>
        </w:rPr>
        <w:t>Sponsor hearing</w:t>
      </w:r>
    </w:p>
    <w:p w14:paraId="4926F322" w14:textId="10178868" w:rsidR="00A424DB" w:rsidRPr="00886D8A" w:rsidRDefault="00A424DB" w:rsidP="00CD7617">
      <w:pPr>
        <w:numPr>
          <w:ilvl w:val="1"/>
          <w:numId w:val="1"/>
        </w:numPr>
        <w:spacing w:after="120"/>
        <w:rPr>
          <w:rFonts w:asciiTheme="minorHAnsi" w:hAnsiTheme="minorHAnsi"/>
          <w:snapToGrid w:val="0"/>
        </w:rPr>
      </w:pPr>
      <w:bookmarkStart w:id="29" w:name="_Hlk76382586"/>
      <w:r w:rsidRPr="278BE2B0">
        <w:rPr>
          <w:rFonts w:asciiTheme="minorHAnsi" w:hAnsiTheme="minorHAnsi"/>
          <w:snapToGrid w:val="0"/>
        </w:rPr>
        <w:t>The Sponsor requested a hearing for this item. The clinician discussed the clinical need for effective treatments for alpha</w:t>
      </w:r>
      <w:r w:rsidR="0011024A">
        <w:rPr>
          <w:rFonts w:asciiTheme="minorHAnsi" w:hAnsiTheme="minorHAnsi"/>
          <w:bCs/>
          <w:snapToGrid w:val="0"/>
        </w:rPr>
        <w:noBreakHyphen/>
      </w:r>
      <w:r w:rsidRPr="278BE2B0">
        <w:rPr>
          <w:rFonts w:asciiTheme="minorHAnsi" w:hAnsiTheme="minorHAnsi"/>
          <w:snapToGrid w:val="0"/>
        </w:rPr>
        <w:t xml:space="preserve">mannosidosis and highlighted that the only treatment option currently </w:t>
      </w:r>
      <w:r w:rsidR="00D21359" w:rsidRPr="278BE2B0">
        <w:rPr>
          <w:rFonts w:asciiTheme="minorHAnsi" w:hAnsiTheme="minorHAnsi"/>
          <w:snapToGrid w:val="0"/>
        </w:rPr>
        <w:t xml:space="preserve">available </w:t>
      </w:r>
      <w:r w:rsidRPr="278BE2B0">
        <w:rPr>
          <w:rFonts w:asciiTheme="minorHAnsi" w:hAnsiTheme="minorHAnsi"/>
          <w:snapToGrid w:val="0"/>
        </w:rPr>
        <w:t xml:space="preserve">to patients in Australia is a </w:t>
      </w:r>
      <w:r w:rsidR="00D21359" w:rsidRPr="278BE2B0">
        <w:rPr>
          <w:rFonts w:asciiTheme="minorHAnsi" w:hAnsiTheme="minorHAnsi"/>
          <w:snapToGrid w:val="0"/>
        </w:rPr>
        <w:t>HSCT</w:t>
      </w:r>
      <w:r w:rsidRPr="278BE2B0">
        <w:rPr>
          <w:rFonts w:asciiTheme="minorHAnsi" w:hAnsiTheme="minorHAnsi"/>
          <w:snapToGrid w:val="0"/>
        </w:rPr>
        <w:t>, which comes with a very high morbidity and mortality risk. The clinician also discussed the how the disease manifests in a multi</w:t>
      </w:r>
      <w:r w:rsidR="0011024A">
        <w:rPr>
          <w:rFonts w:asciiTheme="minorHAnsi" w:hAnsiTheme="minorHAnsi"/>
          <w:bCs/>
          <w:snapToGrid w:val="0"/>
        </w:rPr>
        <w:noBreakHyphen/>
      </w:r>
      <w:r w:rsidRPr="278BE2B0">
        <w:rPr>
          <w:rFonts w:asciiTheme="minorHAnsi" w:hAnsiTheme="minorHAnsi"/>
          <w:snapToGrid w:val="0"/>
        </w:rPr>
        <w:t>systemic way, and that patients face many challenges in terms of skeletal development and mobility, infection risk and organ damage, as well as neurological manifestations including developmental delay and psychiatric disturbance</w:t>
      </w:r>
      <w:r w:rsidR="00D21359" w:rsidRPr="278BE2B0">
        <w:rPr>
          <w:rFonts w:asciiTheme="minorHAnsi" w:hAnsiTheme="minorHAnsi"/>
          <w:snapToGrid w:val="0"/>
        </w:rPr>
        <w:t>. The clinician</w:t>
      </w:r>
      <w:r w:rsidRPr="278BE2B0">
        <w:rPr>
          <w:rFonts w:asciiTheme="minorHAnsi" w:hAnsiTheme="minorHAnsi"/>
          <w:snapToGrid w:val="0"/>
        </w:rPr>
        <w:t xml:space="preserve"> stated that whil</w:t>
      </w:r>
      <w:r w:rsidR="00D21359" w:rsidRPr="278BE2B0">
        <w:rPr>
          <w:rFonts w:asciiTheme="minorHAnsi" w:hAnsiTheme="minorHAnsi"/>
          <w:snapToGrid w:val="0"/>
        </w:rPr>
        <w:t>st</w:t>
      </w:r>
      <w:r w:rsidRPr="278BE2B0">
        <w:rPr>
          <w:rFonts w:asciiTheme="minorHAnsi" w:hAnsiTheme="minorHAnsi"/>
          <w:snapToGrid w:val="0"/>
        </w:rPr>
        <w:t xml:space="preserve"> velmanase alfa is not likely to address neurological manifestations, the hope for stabilisation and improvements in other clinical symptoms will lead to substantial improvements in quality of life and daily function for patients with this ultra</w:t>
      </w:r>
      <w:r w:rsidR="0011024A">
        <w:rPr>
          <w:rFonts w:asciiTheme="minorHAnsi" w:hAnsiTheme="minorHAnsi"/>
          <w:bCs/>
          <w:snapToGrid w:val="0"/>
        </w:rPr>
        <w:noBreakHyphen/>
      </w:r>
      <w:r w:rsidRPr="278BE2B0">
        <w:rPr>
          <w:rFonts w:asciiTheme="minorHAnsi" w:hAnsiTheme="minorHAnsi"/>
          <w:snapToGrid w:val="0"/>
        </w:rPr>
        <w:t>rare condition. In addition, the clinician stated that it was most appropriate for response to treatment and a decision to terminate treatment to be one of clinical judgement, in consultation with patients and their caregivers.</w:t>
      </w:r>
    </w:p>
    <w:bookmarkEnd w:id="29"/>
    <w:p w14:paraId="21B469E1" w14:textId="77777777" w:rsidR="008C07C7" w:rsidRPr="00886D8A" w:rsidRDefault="008C07C7" w:rsidP="004E36D3">
      <w:pPr>
        <w:pStyle w:val="3-SubsectionHeading"/>
        <w:outlineLvl w:val="1"/>
        <w:rPr>
          <w:lang w:eastAsia="en-AU"/>
        </w:rPr>
      </w:pPr>
      <w:r w:rsidRPr="00886D8A">
        <w:rPr>
          <w:lang w:eastAsia="en-AU"/>
        </w:rPr>
        <w:t>Consumer comments</w:t>
      </w:r>
    </w:p>
    <w:p w14:paraId="3181F035" w14:textId="71D8B11B" w:rsidR="00895AC2" w:rsidRPr="00886D8A" w:rsidRDefault="00895AC2" w:rsidP="004E36D3">
      <w:pPr>
        <w:pStyle w:val="3-BodyText"/>
      </w:pPr>
      <w:bookmarkStart w:id="30" w:name="_Hlk76382618"/>
      <w:r w:rsidRPr="278BE2B0">
        <w:t xml:space="preserve">The PBAC noted and welcomed the input from individuals (1), and consumer organisation The International Society for Mannosidosis and Related Diseases (ISMRD) via the Consumer Comments facility on the PBS website. The Committee acknowledged the input from </w:t>
      </w:r>
      <w:r w:rsidR="00793AB1" w:rsidRPr="278BE2B0">
        <w:t>the parent</w:t>
      </w:r>
      <w:r w:rsidRPr="278BE2B0">
        <w:t xml:space="preserve"> of a child with alpha</w:t>
      </w:r>
      <w:r w:rsidR="0011024A">
        <w:rPr>
          <w:bCs/>
        </w:rPr>
        <w:noBreakHyphen/>
      </w:r>
      <w:r w:rsidRPr="278BE2B0">
        <w:t xml:space="preserve">mannosidosis </w:t>
      </w:r>
      <w:r w:rsidR="00904E4D" w:rsidRPr="278BE2B0">
        <w:t xml:space="preserve">who highlighted </w:t>
      </w:r>
      <w:r w:rsidRPr="278BE2B0">
        <w:t>the severe impact of disease on everyday life</w:t>
      </w:r>
      <w:r w:rsidR="00904E4D" w:rsidRPr="00886D8A">
        <w:rPr>
          <w:bCs/>
        </w:rPr>
        <w:t>,</w:t>
      </w:r>
      <w:r w:rsidRPr="278BE2B0">
        <w:t xml:space="preserve"> the mental and physical impacts of the condition, and </w:t>
      </w:r>
      <w:r w:rsidR="00904E4D" w:rsidRPr="278BE2B0">
        <w:t xml:space="preserve">stated </w:t>
      </w:r>
      <w:r w:rsidRPr="278BE2B0">
        <w:t xml:space="preserve">that current </w:t>
      </w:r>
      <w:r w:rsidR="00904E4D" w:rsidRPr="278BE2B0">
        <w:t xml:space="preserve">symptomatic </w:t>
      </w:r>
      <w:r w:rsidRPr="278BE2B0">
        <w:t xml:space="preserve">treatments had not been effective. </w:t>
      </w:r>
    </w:p>
    <w:p w14:paraId="2A5C12E5" w14:textId="1461F855" w:rsidR="00895AC2" w:rsidRPr="00886D8A" w:rsidRDefault="00895AC2" w:rsidP="004E36D3">
      <w:pPr>
        <w:pStyle w:val="3-BodyText"/>
      </w:pPr>
      <w:r w:rsidRPr="00886D8A">
        <w:t>The PBAC welcomed the input from the ISMRD that highlighted the devastating impact of alpha</w:t>
      </w:r>
      <w:r w:rsidR="0011024A">
        <w:noBreakHyphen/>
      </w:r>
      <w:r w:rsidRPr="00886D8A">
        <w:t xml:space="preserve">mannosidosis, which include intellectual disabilities, skeletal abnormalities, ataxia, muscle weakness, mobility issues, seizures and psychiatric symptoms (amongst others) and highlighted the urgent clinical need for velmanase alfa to be made available to Australian patients. The input highlighted the significant positive effects for patients and their families in Europe and the United </w:t>
      </w:r>
      <w:r w:rsidR="00886D8A" w:rsidRPr="00886D8A">
        <w:t>States and</w:t>
      </w:r>
      <w:r w:rsidRPr="00886D8A">
        <w:t xml:space="preserve"> noted studies and anecdotal reports showing improvements in biochemical markers and patient</w:t>
      </w:r>
      <w:r w:rsidR="0011024A">
        <w:noBreakHyphen/>
      </w:r>
      <w:r w:rsidRPr="00886D8A">
        <w:t xml:space="preserve">relevant outcomes like physical function, mobility, ability to engage in daily activities, immune system function, lung function, behaviour and cognitive function. The input also acknowledged that the necessity of weekly </w:t>
      </w:r>
      <w:r w:rsidR="59C41ECF" w:rsidRPr="00886D8A">
        <w:t>in</w:t>
      </w:r>
      <w:r w:rsidRPr="00886D8A">
        <w:t xml:space="preserve">fusions represents a significant commitment for both the patient and their family, but that </w:t>
      </w:r>
      <w:r w:rsidR="00435392" w:rsidRPr="00886D8A">
        <w:t>this</w:t>
      </w:r>
      <w:r w:rsidRPr="00886D8A">
        <w:t xml:space="preserve"> requirement</w:t>
      </w:r>
      <w:r w:rsidR="00A961F5">
        <w:t xml:space="preserve"> </w:t>
      </w:r>
      <w:r w:rsidR="00435392" w:rsidRPr="00886D8A">
        <w:t>is</w:t>
      </w:r>
      <w:r w:rsidRPr="00886D8A">
        <w:t xml:space="preserve"> vastly outweighed by the potential benefits</w:t>
      </w:r>
      <w:r w:rsidR="00435392" w:rsidRPr="00886D8A">
        <w:t xml:space="preserve">. Further, </w:t>
      </w:r>
      <w:r w:rsidRPr="00886D8A">
        <w:t>the potential for infusion in the home can significantly reduce the disruption to daily life and allow treatment to be provided in a more comfortable and familiar setting.</w:t>
      </w:r>
    </w:p>
    <w:bookmarkEnd w:id="26"/>
    <w:bookmarkEnd w:id="30"/>
    <w:p w14:paraId="6E2C2B33" w14:textId="72A226BB" w:rsidR="00EB0321" w:rsidRPr="00886D8A" w:rsidRDefault="00EB0321" w:rsidP="004E36D3">
      <w:pPr>
        <w:pStyle w:val="4-SubsectionHeading"/>
      </w:pPr>
      <w:r w:rsidRPr="00886D8A">
        <w:t>Clinical studies</w:t>
      </w:r>
      <w:bookmarkEnd w:id="25"/>
      <w:bookmarkEnd w:id="27"/>
      <w:bookmarkEnd w:id="28"/>
    </w:p>
    <w:p w14:paraId="2F8243BB" w14:textId="2D8CE4D8" w:rsidR="00EB0321" w:rsidRPr="00886D8A" w:rsidRDefault="00EB0321" w:rsidP="004E36D3">
      <w:pPr>
        <w:pStyle w:val="3-BodyText"/>
      </w:pPr>
      <w:bookmarkStart w:id="31" w:name="_Ref197493940"/>
      <w:r w:rsidRPr="00886D8A">
        <w:rPr>
          <w:snapToGrid/>
        </w:rPr>
        <w:t>The submission was based on one head</w:t>
      </w:r>
      <w:r w:rsidR="0011024A">
        <w:rPr>
          <w:snapToGrid/>
        </w:rPr>
        <w:noBreakHyphen/>
      </w:r>
      <w:r w:rsidRPr="00886D8A">
        <w:rPr>
          <w:snapToGrid/>
        </w:rPr>
        <w:t>to</w:t>
      </w:r>
      <w:r w:rsidR="0011024A">
        <w:rPr>
          <w:snapToGrid/>
        </w:rPr>
        <w:noBreakHyphen/>
      </w:r>
      <w:r w:rsidRPr="00886D8A">
        <w:rPr>
          <w:snapToGrid/>
        </w:rPr>
        <w:t>head randomised trial, rhLAMAN</w:t>
      </w:r>
      <w:r w:rsidR="0011024A">
        <w:rPr>
          <w:snapToGrid/>
        </w:rPr>
        <w:noBreakHyphen/>
      </w:r>
      <w:r w:rsidR="005F3945" w:rsidRPr="00886D8A">
        <w:rPr>
          <w:snapToGrid/>
        </w:rPr>
        <w:t>05,</w:t>
      </w:r>
      <w:r w:rsidRPr="00886D8A">
        <w:rPr>
          <w:snapToGrid/>
        </w:rPr>
        <w:t xml:space="preserve"> that assessed the efficacy and safety of velmanase alfa plus BSC (n=15) compared to placebo (hereafter BSC; n=10).</w:t>
      </w:r>
      <w:bookmarkEnd w:id="31"/>
    </w:p>
    <w:p w14:paraId="336D2EAE" w14:textId="13227763" w:rsidR="00EB0321" w:rsidRPr="00886D8A" w:rsidRDefault="00EB0321" w:rsidP="004E36D3">
      <w:pPr>
        <w:pStyle w:val="3-BodyText"/>
      </w:pPr>
      <w:r w:rsidRPr="00886D8A">
        <w:t>Additionally, the submission presented results from single</w:t>
      </w:r>
      <w:r w:rsidR="0011024A">
        <w:noBreakHyphen/>
      </w:r>
      <w:r w:rsidRPr="00886D8A">
        <w:t>arm and observational studies to support the longer</w:t>
      </w:r>
      <w:r w:rsidR="0011024A">
        <w:noBreakHyphen/>
      </w:r>
      <w:r w:rsidRPr="00886D8A">
        <w:t xml:space="preserve">term efficacy </w:t>
      </w:r>
      <w:r w:rsidR="005D3830" w:rsidRPr="00886D8A">
        <w:t xml:space="preserve">and safety </w:t>
      </w:r>
      <w:r w:rsidRPr="00886D8A">
        <w:t>of velmanase alfa</w:t>
      </w:r>
      <w:r w:rsidR="008306CC" w:rsidRPr="00886D8A">
        <w:t xml:space="preserve"> and its impact</w:t>
      </w:r>
      <w:r w:rsidRPr="00886D8A">
        <w:t xml:space="preserve"> on </w:t>
      </w:r>
      <w:r w:rsidR="00EF49F4" w:rsidRPr="00886D8A">
        <w:t xml:space="preserve">the </w:t>
      </w:r>
      <w:r w:rsidR="008306CC" w:rsidRPr="00886D8A">
        <w:t xml:space="preserve">QoL of </w:t>
      </w:r>
      <w:r w:rsidRPr="00886D8A">
        <w:t>patients with AM and their caregivers, including: rhLAMAN</w:t>
      </w:r>
      <w:r w:rsidR="0011024A">
        <w:noBreakHyphen/>
      </w:r>
      <w:r w:rsidRPr="00886D8A">
        <w:t>08 in paediatric patients aged &lt;6 years, rhLAMAN</w:t>
      </w:r>
      <w:r w:rsidR="0011024A">
        <w:noBreakHyphen/>
      </w:r>
      <w:r w:rsidRPr="00886D8A">
        <w:t>10 integrated analysis, rhLAMAN</w:t>
      </w:r>
      <w:r w:rsidR="0011024A">
        <w:noBreakHyphen/>
      </w:r>
      <w:r w:rsidRPr="00886D8A">
        <w:t xml:space="preserve">11, the SPARKLE registry study, the Etoile Alpha study, the AllStripes registry study, the UK Natural </w:t>
      </w:r>
      <w:r w:rsidR="0A5670EE" w:rsidRPr="00886D8A">
        <w:t>H</w:t>
      </w:r>
      <w:r w:rsidRPr="00886D8A">
        <w:t xml:space="preserve">istory study and the 2022 Patient and Caregiver Survey. </w:t>
      </w:r>
    </w:p>
    <w:p w14:paraId="7EA4A991" w14:textId="4377E28E" w:rsidR="00EB0321" w:rsidRPr="00886D8A" w:rsidRDefault="00EB0321" w:rsidP="004E36D3">
      <w:pPr>
        <w:pStyle w:val="3-BodyText"/>
      </w:pPr>
      <w:r w:rsidRPr="00886D8A">
        <w:rPr>
          <w:snapToGrid/>
        </w:rPr>
        <w:t xml:space="preserve">Details of the studies presented in the submission are provided in </w:t>
      </w:r>
      <w:r w:rsidRPr="00886D8A">
        <w:rPr>
          <w:snapToGrid/>
        </w:rPr>
        <w:fldChar w:fldCharType="begin"/>
      </w:r>
      <w:r w:rsidRPr="00886D8A">
        <w:rPr>
          <w:snapToGrid/>
        </w:rPr>
        <w:instrText xml:space="preserve"> REF _Ref104803956 \h </w:instrText>
      </w:r>
      <w:r w:rsidR="002D6B60" w:rsidRPr="00886D8A">
        <w:rPr>
          <w:snapToGrid/>
        </w:rPr>
        <w:instrText xml:space="preserve"> \* MERGEFORMAT </w:instrText>
      </w:r>
      <w:r w:rsidRPr="00886D8A">
        <w:rPr>
          <w:snapToGrid/>
        </w:rPr>
      </w:r>
      <w:r w:rsidRPr="00886D8A">
        <w:rPr>
          <w:snapToGrid/>
        </w:rPr>
        <w:fldChar w:fldCharType="separate"/>
      </w:r>
      <w:r w:rsidR="00B73A9E" w:rsidRPr="00886D8A">
        <w:t xml:space="preserve">Table </w:t>
      </w:r>
      <w:r w:rsidR="00B73A9E">
        <w:t>3</w:t>
      </w:r>
      <w:r w:rsidRPr="00886D8A">
        <w:rPr>
          <w:snapToGrid/>
        </w:rPr>
        <w:fldChar w:fldCharType="end"/>
      </w:r>
      <w:r w:rsidRPr="00886D8A">
        <w:rPr>
          <w:snapToGrid/>
        </w:rPr>
        <w:t>.</w:t>
      </w:r>
    </w:p>
    <w:p w14:paraId="0E0A1026" w14:textId="36890B8C" w:rsidR="00EB0321" w:rsidRPr="00886D8A" w:rsidRDefault="00EB0321" w:rsidP="004E36D3">
      <w:pPr>
        <w:pStyle w:val="TableFigureHeading"/>
        <w:keepLines/>
        <w:rPr>
          <w:rStyle w:val="CommentReference"/>
          <w:b/>
          <w:szCs w:val="24"/>
        </w:rPr>
      </w:pPr>
      <w:bookmarkStart w:id="32" w:name="_Ref104803956"/>
      <w:r w:rsidRPr="00886D8A">
        <w:t xml:space="preserve">Table </w:t>
      </w:r>
      <w:r>
        <w:fldChar w:fldCharType="begin"/>
      </w:r>
      <w:r>
        <w:instrText>SEQ Table \* ARABIC</w:instrText>
      </w:r>
      <w:r>
        <w:fldChar w:fldCharType="separate"/>
      </w:r>
      <w:r w:rsidR="00B73A9E">
        <w:rPr>
          <w:noProof/>
        </w:rPr>
        <w:t>3</w:t>
      </w:r>
      <w:r>
        <w:fldChar w:fldCharType="end"/>
      </w:r>
      <w:bookmarkEnd w:id="32"/>
      <w:r w:rsidRPr="00886D8A">
        <w:t>:</w:t>
      </w:r>
      <w:r w:rsidRPr="00886D8A">
        <w:rPr>
          <w:rStyle w:val="CommentReference"/>
          <w:b/>
          <w:szCs w:val="24"/>
        </w:rPr>
        <w:t xml:space="preserve">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Studies and associated reports presented in the submission"/>
      </w:tblPr>
      <w:tblGrid>
        <w:gridCol w:w="1378"/>
        <w:gridCol w:w="5474"/>
        <w:gridCol w:w="2165"/>
      </w:tblGrid>
      <w:tr w:rsidR="00EB0321" w:rsidRPr="00886D8A" w14:paraId="4167811A" w14:textId="77777777" w:rsidTr="006571DA">
        <w:trPr>
          <w:cantSplit/>
          <w:tblHeader/>
        </w:trPr>
        <w:tc>
          <w:tcPr>
            <w:tcW w:w="705" w:type="pct"/>
            <w:vAlign w:val="center"/>
          </w:tcPr>
          <w:p w14:paraId="331A27A5" w14:textId="77777777" w:rsidR="00EB0321" w:rsidRPr="00886D8A" w:rsidRDefault="00EB0321" w:rsidP="004E36D3">
            <w:pPr>
              <w:pStyle w:val="In-tableHeading"/>
              <w:keepLines/>
              <w:jc w:val="center"/>
              <w:rPr>
                <w:lang w:val="en-AU"/>
              </w:rPr>
            </w:pPr>
            <w:bookmarkStart w:id="33" w:name="_Hlk197935152"/>
            <w:r w:rsidRPr="00886D8A">
              <w:rPr>
                <w:lang w:val="en-AU"/>
              </w:rPr>
              <w:t>Trial ID</w:t>
            </w:r>
          </w:p>
        </w:tc>
        <w:tc>
          <w:tcPr>
            <w:tcW w:w="3065" w:type="pct"/>
            <w:vAlign w:val="center"/>
          </w:tcPr>
          <w:p w14:paraId="0D6FB45E" w14:textId="77777777" w:rsidR="00EB0321" w:rsidRPr="00886D8A" w:rsidRDefault="00EB0321" w:rsidP="004E36D3">
            <w:pPr>
              <w:pStyle w:val="In-tableHeading"/>
              <w:keepLines/>
              <w:rPr>
                <w:lang w:val="en-AU"/>
              </w:rPr>
            </w:pPr>
            <w:r w:rsidRPr="00886D8A">
              <w:rPr>
                <w:lang w:val="en-AU"/>
              </w:rPr>
              <w:t>Protocol title/ Publication title</w:t>
            </w:r>
          </w:p>
        </w:tc>
        <w:tc>
          <w:tcPr>
            <w:tcW w:w="1230" w:type="pct"/>
            <w:vAlign w:val="center"/>
          </w:tcPr>
          <w:p w14:paraId="1167424F" w14:textId="77777777" w:rsidR="00EB0321" w:rsidRPr="00886D8A" w:rsidRDefault="00EB0321" w:rsidP="004E36D3">
            <w:pPr>
              <w:pStyle w:val="In-tableHeading"/>
              <w:keepLines/>
              <w:rPr>
                <w:lang w:val="en-AU"/>
              </w:rPr>
            </w:pPr>
            <w:r w:rsidRPr="00886D8A">
              <w:rPr>
                <w:lang w:val="en-AU"/>
              </w:rPr>
              <w:t>Publication citation</w:t>
            </w:r>
          </w:p>
        </w:tc>
      </w:tr>
      <w:tr w:rsidR="00EB0321" w:rsidRPr="00886D8A" w14:paraId="7062D461" w14:textId="77777777" w:rsidTr="006571DA">
        <w:trPr>
          <w:cantSplit/>
        </w:trPr>
        <w:tc>
          <w:tcPr>
            <w:tcW w:w="705" w:type="pct"/>
            <w:vMerge w:val="restart"/>
            <w:vAlign w:val="center"/>
          </w:tcPr>
          <w:p w14:paraId="3AD0A953" w14:textId="0DAB69F7" w:rsidR="00EB0321" w:rsidRPr="00886D8A" w:rsidRDefault="00EB0321" w:rsidP="004E36D3">
            <w:pPr>
              <w:pStyle w:val="TableText0"/>
              <w:keepLines/>
              <w:rPr>
                <w:szCs w:val="20"/>
              </w:rPr>
            </w:pPr>
            <w:r w:rsidRPr="00886D8A">
              <w:rPr>
                <w:szCs w:val="20"/>
              </w:rPr>
              <w:t>rhLAMAN</w:t>
            </w:r>
            <w:r w:rsidR="0011024A">
              <w:rPr>
                <w:szCs w:val="20"/>
              </w:rPr>
              <w:noBreakHyphen/>
            </w:r>
            <w:r w:rsidRPr="00886D8A">
              <w:rPr>
                <w:szCs w:val="20"/>
              </w:rPr>
              <w:t xml:space="preserve">05 (NCT01681953) </w:t>
            </w:r>
          </w:p>
        </w:tc>
        <w:tc>
          <w:tcPr>
            <w:tcW w:w="3065" w:type="pct"/>
            <w:vAlign w:val="center"/>
          </w:tcPr>
          <w:p w14:paraId="71FC97B0" w14:textId="5CD489F7" w:rsidR="00EB0321" w:rsidRPr="00886D8A" w:rsidRDefault="00EB0321" w:rsidP="004E36D3">
            <w:pPr>
              <w:pStyle w:val="TableText0"/>
              <w:keepLines/>
            </w:pPr>
            <w:r w:rsidRPr="00886D8A">
              <w:t>A multi</w:t>
            </w:r>
            <w:r w:rsidR="0011024A">
              <w:noBreakHyphen/>
            </w:r>
            <w:r w:rsidRPr="00886D8A">
              <w:t>center, double</w:t>
            </w:r>
            <w:r w:rsidR="0011024A">
              <w:noBreakHyphen/>
            </w:r>
            <w:r w:rsidRPr="00886D8A">
              <w:t>blind, randomized, Placebo</w:t>
            </w:r>
            <w:r w:rsidR="0011024A">
              <w:noBreakHyphen/>
            </w:r>
            <w:r w:rsidRPr="00886D8A">
              <w:t>controlled, parallel group trial, investigating the efficacy and safety of repeated Lamazym treatment of subjects with alpha</w:t>
            </w:r>
            <w:r w:rsidR="0011024A">
              <w:noBreakHyphen/>
            </w:r>
            <w:r w:rsidRPr="00886D8A">
              <w:t>mannosidosis</w:t>
            </w:r>
          </w:p>
        </w:tc>
        <w:tc>
          <w:tcPr>
            <w:tcW w:w="1230" w:type="pct"/>
            <w:vAlign w:val="center"/>
          </w:tcPr>
          <w:p w14:paraId="0254202B" w14:textId="77777777" w:rsidR="00EB0321" w:rsidRPr="00886D8A" w:rsidRDefault="00EB0321" w:rsidP="004E36D3">
            <w:pPr>
              <w:pStyle w:val="TableText0"/>
              <w:keepLines/>
              <w:rPr>
                <w:rFonts w:ascii="Times" w:hAnsi="Times"/>
              </w:rPr>
            </w:pPr>
            <w:r w:rsidRPr="00886D8A">
              <w:t>CSR</w:t>
            </w:r>
          </w:p>
        </w:tc>
      </w:tr>
      <w:tr w:rsidR="00EB0321" w:rsidRPr="00886D8A" w14:paraId="1AC74CB6" w14:textId="77777777" w:rsidTr="006571DA">
        <w:trPr>
          <w:cantSplit/>
        </w:trPr>
        <w:tc>
          <w:tcPr>
            <w:tcW w:w="705" w:type="pct"/>
            <w:vMerge/>
            <w:vAlign w:val="center"/>
          </w:tcPr>
          <w:p w14:paraId="1A7A8760" w14:textId="77777777" w:rsidR="00EB0321" w:rsidRPr="00886D8A" w:rsidRDefault="00EB0321" w:rsidP="004E36D3">
            <w:pPr>
              <w:pStyle w:val="TableText0"/>
              <w:keepLines/>
              <w:jc w:val="center"/>
            </w:pPr>
          </w:p>
        </w:tc>
        <w:tc>
          <w:tcPr>
            <w:tcW w:w="3065" w:type="pct"/>
            <w:vAlign w:val="center"/>
          </w:tcPr>
          <w:p w14:paraId="69A83B46" w14:textId="32AA0DCA" w:rsidR="00EB0321" w:rsidRPr="00886D8A" w:rsidRDefault="00EB0321" w:rsidP="004E36D3">
            <w:pPr>
              <w:pStyle w:val="TableText0"/>
              <w:keepLines/>
            </w:pPr>
            <w:r w:rsidRPr="00886D8A">
              <w:t>Borgwardt L., et al. Efficacy and safety of Velmanase alfa in the treatment of patients with alpha</w:t>
            </w:r>
            <w:r w:rsidR="0011024A">
              <w:noBreakHyphen/>
            </w:r>
            <w:r w:rsidRPr="00886D8A">
              <w:t>mannosidosis: results from the core and extension phase analysis of a phase III multicentre, double</w:t>
            </w:r>
            <w:r w:rsidR="0011024A">
              <w:noBreakHyphen/>
            </w:r>
            <w:r w:rsidRPr="00886D8A">
              <w:t>blind, randomised, placebo</w:t>
            </w:r>
            <w:r w:rsidR="0011024A">
              <w:noBreakHyphen/>
            </w:r>
            <w:r w:rsidRPr="00886D8A">
              <w:t xml:space="preserve">controlled trial. </w:t>
            </w:r>
          </w:p>
        </w:tc>
        <w:tc>
          <w:tcPr>
            <w:tcW w:w="1230" w:type="pct"/>
            <w:vAlign w:val="center"/>
          </w:tcPr>
          <w:p w14:paraId="75F6DE9E" w14:textId="676B2962" w:rsidR="00EB0321" w:rsidRPr="00886D8A" w:rsidRDefault="00EB0321" w:rsidP="004E36D3">
            <w:pPr>
              <w:pStyle w:val="TableText0"/>
              <w:keepLines/>
            </w:pPr>
            <w:r w:rsidRPr="00886D8A">
              <w:t>Journal of Inherited Metabolic Disease 2018, 41(6):1215</w:t>
            </w:r>
            <w:r w:rsidR="0011024A">
              <w:noBreakHyphen/>
            </w:r>
            <w:r w:rsidRPr="00886D8A">
              <w:t xml:space="preserve">1223 </w:t>
            </w:r>
          </w:p>
        </w:tc>
      </w:tr>
      <w:tr w:rsidR="00EB0321" w:rsidRPr="00886D8A" w14:paraId="01772F6D" w14:textId="77777777" w:rsidTr="006571DA">
        <w:trPr>
          <w:cantSplit/>
        </w:trPr>
        <w:tc>
          <w:tcPr>
            <w:tcW w:w="705" w:type="pct"/>
            <w:vMerge/>
            <w:vAlign w:val="center"/>
          </w:tcPr>
          <w:p w14:paraId="6AD69896" w14:textId="77777777" w:rsidR="00EB0321" w:rsidRPr="00886D8A" w:rsidRDefault="00EB0321" w:rsidP="004E36D3">
            <w:pPr>
              <w:pStyle w:val="TableText0"/>
              <w:keepLines/>
              <w:jc w:val="center"/>
            </w:pPr>
          </w:p>
        </w:tc>
        <w:tc>
          <w:tcPr>
            <w:tcW w:w="3065" w:type="pct"/>
            <w:vAlign w:val="center"/>
          </w:tcPr>
          <w:p w14:paraId="45A8B4B8" w14:textId="76CA9DF2" w:rsidR="00EB0321" w:rsidRPr="00886D8A" w:rsidRDefault="00EB0321" w:rsidP="004E36D3">
            <w:pPr>
              <w:pStyle w:val="TableText0"/>
              <w:keepLines/>
            </w:pPr>
            <w:r w:rsidRPr="00886D8A">
              <w:t>Hendriksz, C., et al. Velmanase alfa enzyme replacement therapy for alpha</w:t>
            </w:r>
            <w:r w:rsidR="0011024A">
              <w:noBreakHyphen/>
            </w:r>
            <w:r w:rsidRPr="00886D8A">
              <w:t>mannosidosis improves patient outcomes over standard of care both in terms of clinically relevant improvement and disease stabilization.</w:t>
            </w:r>
          </w:p>
        </w:tc>
        <w:tc>
          <w:tcPr>
            <w:tcW w:w="1230" w:type="pct"/>
            <w:vAlign w:val="center"/>
          </w:tcPr>
          <w:p w14:paraId="7429C4FE" w14:textId="491334D2" w:rsidR="00EB0321" w:rsidRPr="00886D8A" w:rsidRDefault="00EB0321" w:rsidP="004E36D3">
            <w:pPr>
              <w:pStyle w:val="TableText0"/>
              <w:keepLines/>
            </w:pPr>
            <w:r w:rsidRPr="00886D8A">
              <w:t>Molecular Genetics and Metabolism, 2020,129(2), S71</w:t>
            </w:r>
            <w:r w:rsidR="0011024A">
              <w:noBreakHyphen/>
            </w:r>
            <w:r w:rsidRPr="00886D8A">
              <w:t>S72</w:t>
            </w:r>
          </w:p>
        </w:tc>
      </w:tr>
      <w:tr w:rsidR="00EB0321" w:rsidRPr="00886D8A" w14:paraId="4D445261" w14:textId="77777777" w:rsidTr="006571DA">
        <w:trPr>
          <w:cantSplit/>
        </w:trPr>
        <w:tc>
          <w:tcPr>
            <w:tcW w:w="705" w:type="pct"/>
            <w:vMerge/>
            <w:vAlign w:val="center"/>
          </w:tcPr>
          <w:p w14:paraId="5463127B" w14:textId="77777777" w:rsidR="00EB0321" w:rsidRPr="00886D8A" w:rsidRDefault="00EB0321" w:rsidP="004E36D3">
            <w:pPr>
              <w:pStyle w:val="TableText0"/>
              <w:keepLines/>
              <w:jc w:val="center"/>
            </w:pPr>
          </w:p>
        </w:tc>
        <w:tc>
          <w:tcPr>
            <w:tcW w:w="3065" w:type="pct"/>
            <w:vAlign w:val="center"/>
          </w:tcPr>
          <w:p w14:paraId="77C8E720" w14:textId="51FAB062" w:rsidR="00EB0321" w:rsidRPr="00886D8A" w:rsidRDefault="00EB0321" w:rsidP="004E36D3">
            <w:pPr>
              <w:pStyle w:val="TableText0"/>
              <w:keepLines/>
            </w:pPr>
            <w:r w:rsidRPr="00886D8A">
              <w:t>Guffon N., et al. Improvements in endurance, serum immunoglobulin g levels, and quality of life in alpha</w:t>
            </w:r>
            <w:r w:rsidR="0011024A">
              <w:noBreakHyphen/>
            </w:r>
            <w:r w:rsidRPr="00886D8A">
              <w:t>mannosidosis patients switching from placebo to velmanase alfa long</w:t>
            </w:r>
            <w:r w:rsidR="0011024A">
              <w:noBreakHyphen/>
            </w:r>
            <w:r w:rsidRPr="00886D8A">
              <w:t>term enzyme replacement therapy.</w:t>
            </w:r>
          </w:p>
        </w:tc>
        <w:tc>
          <w:tcPr>
            <w:tcW w:w="1230" w:type="pct"/>
            <w:vAlign w:val="center"/>
          </w:tcPr>
          <w:p w14:paraId="7157B840" w14:textId="77777777" w:rsidR="00EB0321" w:rsidRPr="00886D8A" w:rsidRDefault="00EB0321" w:rsidP="004E36D3">
            <w:pPr>
              <w:pStyle w:val="TableText0"/>
              <w:keepLines/>
            </w:pPr>
            <w:r w:rsidRPr="00886D8A">
              <w:t>Journal of Inborn Errors of Metabolism and Screening, 2017, 5</w:t>
            </w:r>
          </w:p>
        </w:tc>
      </w:tr>
      <w:tr w:rsidR="00EB0321" w:rsidRPr="00886D8A" w14:paraId="3E10DD6F" w14:textId="77777777" w:rsidTr="006571DA">
        <w:trPr>
          <w:cantSplit/>
        </w:trPr>
        <w:tc>
          <w:tcPr>
            <w:tcW w:w="705" w:type="pct"/>
            <w:vMerge w:val="restart"/>
            <w:vAlign w:val="center"/>
          </w:tcPr>
          <w:p w14:paraId="51193911" w14:textId="4AA647D4" w:rsidR="00EB0321" w:rsidRPr="00886D8A" w:rsidRDefault="00EB0321" w:rsidP="004E36D3">
            <w:pPr>
              <w:pStyle w:val="TableText0"/>
              <w:keepLines/>
              <w:rPr>
                <w:rFonts w:ascii="Times" w:hAnsi="Times"/>
              </w:rPr>
            </w:pPr>
            <w:r w:rsidRPr="00886D8A">
              <w:t>rhLAMAN</w:t>
            </w:r>
            <w:r w:rsidR="0011024A">
              <w:noBreakHyphen/>
            </w:r>
            <w:r w:rsidRPr="00886D8A">
              <w:t>08 (NCT02998879)</w:t>
            </w:r>
          </w:p>
        </w:tc>
        <w:tc>
          <w:tcPr>
            <w:tcW w:w="3065" w:type="pct"/>
            <w:vAlign w:val="center"/>
          </w:tcPr>
          <w:p w14:paraId="4FAF153F" w14:textId="69189D88" w:rsidR="00EB0321" w:rsidRPr="00886D8A" w:rsidRDefault="00EB0321" w:rsidP="004E36D3">
            <w:pPr>
              <w:pStyle w:val="TableText0"/>
              <w:keepLines/>
              <w:rPr>
                <w:rFonts w:ascii="Times" w:hAnsi="Times"/>
              </w:rPr>
            </w:pPr>
            <w:r w:rsidRPr="00886D8A">
              <w:t>A 24</w:t>
            </w:r>
            <w:r w:rsidR="0011024A">
              <w:noBreakHyphen/>
            </w:r>
            <w:r w:rsidRPr="00886D8A">
              <w:t>month Multicenter, Open</w:t>
            </w:r>
            <w:r w:rsidR="0011024A">
              <w:noBreakHyphen/>
            </w:r>
            <w:r w:rsidRPr="00886D8A">
              <w:t>label Phase II Trial Investigating the Safety and Efficacy of Repeated velmanase alfa (recombinant human alpha</w:t>
            </w:r>
            <w:r w:rsidR="0011024A">
              <w:noBreakHyphen/>
            </w:r>
            <w:r w:rsidRPr="00886D8A">
              <w:t>mannosidase) Treatment in Pediatric Patients below 6 years of age with Alpha</w:t>
            </w:r>
            <w:r w:rsidR="0011024A">
              <w:noBreakHyphen/>
            </w:r>
            <w:r w:rsidRPr="00886D8A">
              <w:t>Mannosidosis</w:t>
            </w:r>
          </w:p>
        </w:tc>
        <w:tc>
          <w:tcPr>
            <w:tcW w:w="1230" w:type="pct"/>
            <w:vAlign w:val="center"/>
          </w:tcPr>
          <w:p w14:paraId="0ACEE416" w14:textId="77777777" w:rsidR="00EB0321" w:rsidRPr="00886D8A" w:rsidRDefault="00EB0321" w:rsidP="004E36D3">
            <w:pPr>
              <w:pStyle w:val="TableText0"/>
              <w:keepLines/>
            </w:pPr>
            <w:r w:rsidRPr="00886D8A">
              <w:t>CSR</w:t>
            </w:r>
          </w:p>
        </w:tc>
      </w:tr>
      <w:tr w:rsidR="00EB0321" w:rsidRPr="00886D8A" w14:paraId="6DB61FBE" w14:textId="77777777" w:rsidTr="006571DA">
        <w:trPr>
          <w:cantSplit/>
        </w:trPr>
        <w:tc>
          <w:tcPr>
            <w:tcW w:w="705" w:type="pct"/>
            <w:vMerge/>
            <w:vAlign w:val="center"/>
          </w:tcPr>
          <w:p w14:paraId="280BC311" w14:textId="77777777" w:rsidR="00EB0321" w:rsidRPr="00886D8A" w:rsidRDefault="00EB0321" w:rsidP="004E36D3">
            <w:pPr>
              <w:pStyle w:val="TableText0"/>
              <w:keepNext w:val="0"/>
              <w:jc w:val="center"/>
            </w:pPr>
          </w:p>
        </w:tc>
        <w:tc>
          <w:tcPr>
            <w:tcW w:w="3065" w:type="pct"/>
            <w:vAlign w:val="center"/>
          </w:tcPr>
          <w:p w14:paraId="6647318C" w14:textId="384A8BE4" w:rsidR="00EB0321" w:rsidRPr="00886D8A" w:rsidRDefault="00EB0321" w:rsidP="004E36D3">
            <w:pPr>
              <w:pStyle w:val="TableText0"/>
              <w:keepNext w:val="0"/>
            </w:pPr>
            <w:r w:rsidRPr="00886D8A">
              <w:t>Guffon N., et al. Long</w:t>
            </w:r>
            <w:r w:rsidR="0011024A">
              <w:noBreakHyphen/>
            </w:r>
            <w:r w:rsidRPr="00886D8A">
              <w:t>term safety and efficacy of velmanase alfa treatment in children under 6</w:t>
            </w:r>
            <w:r w:rsidRPr="00886D8A">
              <w:rPr>
                <w:rFonts w:ascii="Arial" w:hAnsi="Arial" w:cs="Arial"/>
              </w:rPr>
              <w:t> </w:t>
            </w:r>
            <w:r w:rsidRPr="00886D8A">
              <w:t>years of age with alpha</w:t>
            </w:r>
            <w:r w:rsidR="0011024A">
              <w:noBreakHyphen/>
            </w:r>
            <w:r w:rsidRPr="00886D8A">
              <w:t xml:space="preserve">mannosidosis: A phase 2, open label, multicenter study. </w:t>
            </w:r>
          </w:p>
        </w:tc>
        <w:tc>
          <w:tcPr>
            <w:tcW w:w="1230" w:type="pct"/>
            <w:vAlign w:val="center"/>
          </w:tcPr>
          <w:p w14:paraId="5444C7E9" w14:textId="65A2CCAC" w:rsidR="00EB0321" w:rsidRPr="00886D8A" w:rsidRDefault="00EB0321" w:rsidP="004E36D3">
            <w:pPr>
              <w:pStyle w:val="TableText0"/>
              <w:keepNext w:val="0"/>
            </w:pPr>
            <w:r w:rsidRPr="00886D8A">
              <w:t>Journal of Inherited Metabolic Disease 2023, 46(4):705</w:t>
            </w:r>
            <w:r w:rsidR="0011024A">
              <w:noBreakHyphen/>
            </w:r>
            <w:r w:rsidRPr="00886D8A">
              <w:t>719</w:t>
            </w:r>
          </w:p>
        </w:tc>
      </w:tr>
      <w:tr w:rsidR="00EB0321" w:rsidRPr="00886D8A" w14:paraId="4C51AFC4" w14:textId="77777777" w:rsidTr="006571DA">
        <w:trPr>
          <w:cantSplit/>
        </w:trPr>
        <w:tc>
          <w:tcPr>
            <w:tcW w:w="705" w:type="pct"/>
            <w:vMerge w:val="restart"/>
            <w:vAlign w:val="center"/>
          </w:tcPr>
          <w:p w14:paraId="7EEC9DA7" w14:textId="6685FFDB" w:rsidR="00EB0321" w:rsidRPr="00886D8A" w:rsidRDefault="00EB0321" w:rsidP="004E36D3">
            <w:pPr>
              <w:pStyle w:val="TableText0"/>
              <w:keepNext w:val="0"/>
            </w:pPr>
            <w:r w:rsidRPr="00886D8A">
              <w:t>rhLAMAN</w:t>
            </w:r>
            <w:r w:rsidR="0011024A">
              <w:noBreakHyphen/>
            </w:r>
            <w:r w:rsidRPr="00886D8A">
              <w:t xml:space="preserve">10 (NCT02478840) </w:t>
            </w:r>
          </w:p>
        </w:tc>
        <w:tc>
          <w:tcPr>
            <w:tcW w:w="3065" w:type="pct"/>
            <w:vAlign w:val="center"/>
          </w:tcPr>
          <w:p w14:paraId="56690395" w14:textId="7AC1ABEA" w:rsidR="00EB0321" w:rsidRPr="00886D8A" w:rsidRDefault="00EB0321" w:rsidP="004E36D3">
            <w:pPr>
              <w:pStyle w:val="TableText0"/>
              <w:keepNext w:val="0"/>
              <w:rPr>
                <w:rFonts w:ascii="Times" w:hAnsi="Times"/>
              </w:rPr>
            </w:pPr>
            <w:r w:rsidRPr="00886D8A">
              <w:t>A single center, open label clinical trial investigating the long</w:t>
            </w:r>
            <w:r w:rsidR="0011024A">
              <w:noBreakHyphen/>
            </w:r>
            <w:r w:rsidRPr="00886D8A">
              <w:t>term efficacy of rhLAMAN</w:t>
            </w:r>
            <w:r w:rsidR="0011024A">
              <w:noBreakHyphen/>
            </w:r>
            <w:r w:rsidRPr="00886D8A">
              <w:t>(recombinant human alpha</w:t>
            </w:r>
            <w:r w:rsidR="0011024A">
              <w:noBreakHyphen/>
            </w:r>
            <w:r w:rsidRPr="00886D8A">
              <w:t>mannosidase or Lamazym) treatment in subjects with alpha</w:t>
            </w:r>
            <w:r w:rsidR="0011024A">
              <w:noBreakHyphen/>
            </w:r>
            <w:r w:rsidRPr="00886D8A">
              <w:t>mannosidosis who previously participated in Lamazym trials.</w:t>
            </w:r>
          </w:p>
        </w:tc>
        <w:tc>
          <w:tcPr>
            <w:tcW w:w="1230" w:type="pct"/>
            <w:vAlign w:val="center"/>
          </w:tcPr>
          <w:p w14:paraId="15BB44F9" w14:textId="77777777" w:rsidR="00EB0321" w:rsidRPr="00886D8A" w:rsidRDefault="00EB0321" w:rsidP="004E36D3">
            <w:pPr>
              <w:pStyle w:val="TableText0"/>
              <w:keepNext w:val="0"/>
              <w:rPr>
                <w:rFonts w:ascii="Times" w:hAnsi="Times"/>
              </w:rPr>
            </w:pPr>
            <w:r w:rsidRPr="00886D8A">
              <w:t>CSR</w:t>
            </w:r>
          </w:p>
        </w:tc>
      </w:tr>
      <w:tr w:rsidR="00EB0321" w:rsidRPr="00886D8A" w14:paraId="5AF0EE99" w14:textId="77777777" w:rsidTr="006571DA">
        <w:trPr>
          <w:cantSplit/>
        </w:trPr>
        <w:tc>
          <w:tcPr>
            <w:tcW w:w="705" w:type="pct"/>
            <w:vMerge/>
            <w:vAlign w:val="center"/>
          </w:tcPr>
          <w:p w14:paraId="74D0CB97" w14:textId="77777777" w:rsidR="00EB0321" w:rsidRPr="00886D8A" w:rsidRDefault="00EB0321" w:rsidP="004E36D3">
            <w:pPr>
              <w:pStyle w:val="Tabletext"/>
            </w:pPr>
          </w:p>
        </w:tc>
        <w:tc>
          <w:tcPr>
            <w:tcW w:w="3065" w:type="pct"/>
            <w:vAlign w:val="center"/>
          </w:tcPr>
          <w:p w14:paraId="091F5473" w14:textId="46E9C172" w:rsidR="00EB0321" w:rsidRPr="00886D8A" w:rsidRDefault="00EB0321" w:rsidP="004E36D3">
            <w:pPr>
              <w:pStyle w:val="TableText0"/>
              <w:keepNext w:val="0"/>
            </w:pPr>
            <w:r w:rsidRPr="00886D8A">
              <w:t>Lund A.M., et al. Comprehensive long</w:t>
            </w:r>
            <w:r w:rsidR="0011024A">
              <w:noBreakHyphen/>
            </w:r>
            <w:r w:rsidRPr="00886D8A">
              <w:t>term efficacy and safety of recombinant human alpha</w:t>
            </w:r>
            <w:r w:rsidR="0011024A">
              <w:noBreakHyphen/>
            </w:r>
            <w:r w:rsidRPr="00886D8A">
              <w:t>mannosidase (velmanase alfa) treatment in patients with alpha</w:t>
            </w:r>
            <w:r w:rsidR="0011024A">
              <w:noBreakHyphen/>
            </w:r>
            <w:r w:rsidRPr="00886D8A">
              <w:t>mannosidosis.</w:t>
            </w:r>
          </w:p>
        </w:tc>
        <w:tc>
          <w:tcPr>
            <w:tcW w:w="1230" w:type="pct"/>
            <w:vAlign w:val="center"/>
          </w:tcPr>
          <w:p w14:paraId="11F7652B" w14:textId="240EC6F6" w:rsidR="00EB0321" w:rsidRPr="00886D8A" w:rsidRDefault="00EB0321" w:rsidP="004E36D3">
            <w:pPr>
              <w:pStyle w:val="TableText0"/>
              <w:keepNext w:val="0"/>
            </w:pPr>
            <w:r w:rsidRPr="00886D8A">
              <w:t>Journal of Inherited Metabolic Disease 2018, 41(6):1225</w:t>
            </w:r>
            <w:r w:rsidR="0011024A">
              <w:noBreakHyphen/>
            </w:r>
            <w:r w:rsidRPr="00886D8A">
              <w:t>1233</w:t>
            </w:r>
          </w:p>
        </w:tc>
      </w:tr>
      <w:tr w:rsidR="00EB0321" w:rsidRPr="00886D8A" w14:paraId="642A41C5" w14:textId="77777777" w:rsidTr="006571DA">
        <w:trPr>
          <w:cantSplit/>
        </w:trPr>
        <w:tc>
          <w:tcPr>
            <w:tcW w:w="705" w:type="pct"/>
            <w:vMerge/>
            <w:vAlign w:val="center"/>
          </w:tcPr>
          <w:p w14:paraId="67FE4476" w14:textId="77777777" w:rsidR="00EB0321" w:rsidRPr="00886D8A" w:rsidRDefault="00EB0321" w:rsidP="004E36D3">
            <w:pPr>
              <w:pStyle w:val="Tabletext"/>
            </w:pPr>
          </w:p>
        </w:tc>
        <w:tc>
          <w:tcPr>
            <w:tcW w:w="3065" w:type="pct"/>
            <w:vAlign w:val="center"/>
          </w:tcPr>
          <w:p w14:paraId="20955DC0" w14:textId="0779B033" w:rsidR="00EB0321" w:rsidRPr="00886D8A" w:rsidRDefault="00EB0321" w:rsidP="004E36D3">
            <w:pPr>
              <w:pStyle w:val="TableText0"/>
              <w:keepNext w:val="0"/>
            </w:pPr>
            <w:r w:rsidRPr="00886D8A">
              <w:t>Phillips D., et al. Use of the Bruininks</w:t>
            </w:r>
            <w:r w:rsidR="0011024A">
              <w:noBreakHyphen/>
            </w:r>
            <w:r w:rsidRPr="00886D8A">
              <w:t>Oseretsky test of motor proficiency (BOT</w:t>
            </w:r>
            <w:r w:rsidR="0011024A">
              <w:noBreakHyphen/>
            </w:r>
            <w:r w:rsidRPr="00886D8A">
              <w:t>2) to assess efficacy of velmanase alfa as enzyme therapy for alpha</w:t>
            </w:r>
            <w:r w:rsidR="0011024A">
              <w:noBreakHyphen/>
            </w:r>
            <w:r w:rsidRPr="00886D8A">
              <w:t>mannosidosis.</w:t>
            </w:r>
          </w:p>
        </w:tc>
        <w:tc>
          <w:tcPr>
            <w:tcW w:w="1230" w:type="pct"/>
            <w:vAlign w:val="center"/>
          </w:tcPr>
          <w:p w14:paraId="1D3A6465" w14:textId="77777777" w:rsidR="00EB0321" w:rsidRPr="00886D8A" w:rsidRDefault="00EB0321" w:rsidP="004E36D3">
            <w:pPr>
              <w:pStyle w:val="TableText0"/>
              <w:keepNext w:val="0"/>
            </w:pPr>
            <w:r w:rsidRPr="00886D8A">
              <w:t>Molecular Genetics and Metabolism, 2020, 23:100586</w:t>
            </w:r>
          </w:p>
        </w:tc>
      </w:tr>
      <w:tr w:rsidR="00EB0321" w:rsidRPr="00886D8A" w14:paraId="68810A09" w14:textId="77777777" w:rsidTr="006571DA">
        <w:trPr>
          <w:cantSplit/>
        </w:trPr>
        <w:tc>
          <w:tcPr>
            <w:tcW w:w="705" w:type="pct"/>
            <w:vMerge/>
            <w:vAlign w:val="center"/>
          </w:tcPr>
          <w:p w14:paraId="4429FC8E" w14:textId="77777777" w:rsidR="00EB0321" w:rsidRPr="00886D8A" w:rsidRDefault="00EB0321" w:rsidP="004E36D3">
            <w:pPr>
              <w:pStyle w:val="Tabletext"/>
            </w:pPr>
          </w:p>
        </w:tc>
        <w:tc>
          <w:tcPr>
            <w:tcW w:w="3065" w:type="pct"/>
            <w:vAlign w:val="center"/>
          </w:tcPr>
          <w:p w14:paraId="19CAB332" w14:textId="79ABFAAC" w:rsidR="00EB0321" w:rsidRPr="00886D8A" w:rsidRDefault="00EB0321" w:rsidP="004E36D3">
            <w:pPr>
              <w:pStyle w:val="TableText0"/>
              <w:keepNext w:val="0"/>
            </w:pPr>
            <w:r w:rsidRPr="00886D8A">
              <w:t>Borgwardt L., et al. Health Related Quality of Life, Disability, and Pain in Alpha Mannosidosis: Long</w:t>
            </w:r>
            <w:r w:rsidR="0011024A">
              <w:noBreakHyphen/>
            </w:r>
            <w:r w:rsidRPr="00886D8A">
              <w:t xml:space="preserve">Term Data of Enzyme Replacement Therapy With Velmanase Alfa (Human Recombinant Alpha Mannosidase). </w:t>
            </w:r>
          </w:p>
        </w:tc>
        <w:tc>
          <w:tcPr>
            <w:tcW w:w="1230" w:type="pct"/>
            <w:vAlign w:val="center"/>
          </w:tcPr>
          <w:p w14:paraId="10495651" w14:textId="77777777" w:rsidR="00EB0321" w:rsidRPr="00886D8A" w:rsidRDefault="00EB0321" w:rsidP="004E36D3">
            <w:pPr>
              <w:pStyle w:val="TableText0"/>
              <w:keepNext w:val="0"/>
            </w:pPr>
            <w:r w:rsidRPr="00886D8A">
              <w:t>Journal of Inborn Errors of Metabolism and Screening 2018; 6</w:t>
            </w:r>
          </w:p>
        </w:tc>
      </w:tr>
      <w:tr w:rsidR="00EB0321" w:rsidRPr="00886D8A" w14:paraId="586553C8" w14:textId="77777777" w:rsidTr="006571DA">
        <w:trPr>
          <w:cantSplit/>
        </w:trPr>
        <w:tc>
          <w:tcPr>
            <w:tcW w:w="705" w:type="pct"/>
            <w:vMerge/>
            <w:vAlign w:val="center"/>
          </w:tcPr>
          <w:p w14:paraId="396AE658" w14:textId="77777777" w:rsidR="00EB0321" w:rsidRPr="00886D8A" w:rsidRDefault="00EB0321" w:rsidP="004E36D3">
            <w:pPr>
              <w:pStyle w:val="Tabletext"/>
            </w:pPr>
          </w:p>
        </w:tc>
        <w:tc>
          <w:tcPr>
            <w:tcW w:w="3065" w:type="pct"/>
            <w:vAlign w:val="center"/>
          </w:tcPr>
          <w:p w14:paraId="55138719" w14:textId="275EED19" w:rsidR="00EB0321" w:rsidRPr="00886D8A" w:rsidRDefault="00EB0321" w:rsidP="004E36D3">
            <w:pPr>
              <w:pStyle w:val="TableText0"/>
              <w:keepNext w:val="0"/>
            </w:pPr>
            <w:r w:rsidRPr="00886D8A">
              <w:t>Borgwardt L., et al. Improvement in fine and gross motor proficiency after long</w:t>
            </w:r>
            <w:r w:rsidR="0011024A">
              <w:noBreakHyphen/>
            </w:r>
            <w:r w:rsidRPr="00886D8A">
              <w:t>term enzyme replacement therapy with velmanase alfa (human recombinant alpha mannosidase) in alpha</w:t>
            </w:r>
            <w:r w:rsidR="0011024A">
              <w:noBreakHyphen/>
            </w:r>
            <w:r w:rsidRPr="00886D8A">
              <w:t xml:space="preserve">mannosidosis patients. </w:t>
            </w:r>
          </w:p>
        </w:tc>
        <w:tc>
          <w:tcPr>
            <w:tcW w:w="1230" w:type="pct"/>
            <w:vAlign w:val="center"/>
          </w:tcPr>
          <w:p w14:paraId="6932AEB5" w14:textId="334F15B3" w:rsidR="00EB0321" w:rsidRPr="00886D8A" w:rsidRDefault="00EB0321" w:rsidP="004E36D3">
            <w:pPr>
              <w:pStyle w:val="TableText0"/>
              <w:keepNext w:val="0"/>
            </w:pPr>
            <w:r w:rsidRPr="00886D8A">
              <w:t>Molecular Genetics and Metabolism 2017, 1(120), S29</w:t>
            </w:r>
            <w:r w:rsidR="0011024A">
              <w:noBreakHyphen/>
            </w:r>
            <w:r w:rsidRPr="00886D8A">
              <w:t>S30</w:t>
            </w:r>
          </w:p>
        </w:tc>
      </w:tr>
      <w:tr w:rsidR="00EB0321" w:rsidRPr="00886D8A" w14:paraId="018CA918" w14:textId="77777777" w:rsidTr="006571DA">
        <w:trPr>
          <w:cantSplit/>
        </w:trPr>
        <w:tc>
          <w:tcPr>
            <w:tcW w:w="705" w:type="pct"/>
            <w:vMerge/>
            <w:vAlign w:val="center"/>
          </w:tcPr>
          <w:p w14:paraId="424C0D6D" w14:textId="77777777" w:rsidR="00EB0321" w:rsidRPr="00886D8A" w:rsidRDefault="00EB0321" w:rsidP="004E36D3">
            <w:pPr>
              <w:pStyle w:val="Tabletext"/>
            </w:pPr>
          </w:p>
        </w:tc>
        <w:tc>
          <w:tcPr>
            <w:tcW w:w="3065" w:type="pct"/>
            <w:vAlign w:val="center"/>
          </w:tcPr>
          <w:p w14:paraId="7AABEC68" w14:textId="5690B10A" w:rsidR="00EB0321" w:rsidRPr="00886D8A" w:rsidRDefault="00EB0321" w:rsidP="004E36D3">
            <w:pPr>
              <w:pStyle w:val="TableText0"/>
              <w:keepNext w:val="0"/>
            </w:pPr>
            <w:r w:rsidRPr="00886D8A">
              <w:t>Borgwardt L., et al. Impact of anti</w:t>
            </w:r>
            <w:r w:rsidR="0011024A">
              <w:noBreakHyphen/>
            </w:r>
            <w:r w:rsidRPr="00886D8A">
              <w:t>drug antibodies (ADA) on safety and efficacy of velmanase alfa (human recombinant alpha</w:t>
            </w:r>
            <w:r w:rsidR="0011024A">
              <w:noBreakHyphen/>
            </w:r>
            <w:r w:rsidRPr="00886D8A">
              <w:t>mannosidase) long</w:t>
            </w:r>
            <w:r w:rsidR="0011024A">
              <w:noBreakHyphen/>
            </w:r>
            <w:r w:rsidRPr="00886D8A">
              <w:t>term enzyme replacement therapy in patients with alpha</w:t>
            </w:r>
            <w:r w:rsidR="0011024A">
              <w:noBreakHyphen/>
            </w:r>
            <w:r w:rsidRPr="00886D8A">
              <w:t>mannosidosis.</w:t>
            </w:r>
          </w:p>
        </w:tc>
        <w:tc>
          <w:tcPr>
            <w:tcW w:w="1230" w:type="pct"/>
            <w:vAlign w:val="center"/>
          </w:tcPr>
          <w:p w14:paraId="30993B82" w14:textId="77777777" w:rsidR="00EB0321" w:rsidRPr="00886D8A" w:rsidRDefault="00EB0321" w:rsidP="004E36D3">
            <w:pPr>
              <w:pStyle w:val="TableText0"/>
              <w:keepNext w:val="0"/>
            </w:pPr>
            <w:r w:rsidRPr="00886D8A">
              <w:t>Journal of Inborn Errors of Metabolism and Screening. 2017, 5</w:t>
            </w:r>
          </w:p>
        </w:tc>
      </w:tr>
      <w:tr w:rsidR="00EB0321" w:rsidRPr="00886D8A" w14:paraId="594D96E3" w14:textId="77777777" w:rsidTr="006571DA">
        <w:trPr>
          <w:cantSplit/>
        </w:trPr>
        <w:tc>
          <w:tcPr>
            <w:tcW w:w="705" w:type="pct"/>
            <w:vMerge/>
            <w:vAlign w:val="center"/>
          </w:tcPr>
          <w:p w14:paraId="0C3FC069" w14:textId="77777777" w:rsidR="00EB0321" w:rsidRPr="00886D8A" w:rsidRDefault="00EB0321" w:rsidP="004E36D3">
            <w:pPr>
              <w:pStyle w:val="Tabletext"/>
            </w:pPr>
          </w:p>
        </w:tc>
        <w:tc>
          <w:tcPr>
            <w:tcW w:w="3065" w:type="pct"/>
            <w:vAlign w:val="center"/>
          </w:tcPr>
          <w:p w14:paraId="04C52296" w14:textId="7190AADB" w:rsidR="00EB0321" w:rsidRPr="00886D8A" w:rsidRDefault="00EB0321" w:rsidP="004E36D3">
            <w:pPr>
              <w:pStyle w:val="TableText0"/>
              <w:keepNext w:val="0"/>
            </w:pPr>
            <w:r w:rsidRPr="00886D8A">
              <w:t>Harmatz P., et al. Toward establishment of a minimal clinically important difference in the treatment of alpha</w:t>
            </w:r>
            <w:r w:rsidR="0011024A">
              <w:noBreakHyphen/>
            </w:r>
            <w:r w:rsidRPr="00886D8A">
              <w:t>mannosidosis: First results from velmanase alfa (human recombinant alpha</w:t>
            </w:r>
            <w:r w:rsidR="0011024A">
              <w:noBreakHyphen/>
            </w:r>
            <w:r w:rsidRPr="00886D8A">
              <w:t>mannosidase) development program.</w:t>
            </w:r>
          </w:p>
        </w:tc>
        <w:tc>
          <w:tcPr>
            <w:tcW w:w="1230" w:type="pct"/>
            <w:vAlign w:val="center"/>
          </w:tcPr>
          <w:p w14:paraId="19CC9A71" w14:textId="77777777" w:rsidR="00EB0321" w:rsidRPr="00886D8A" w:rsidRDefault="00EB0321" w:rsidP="004E36D3">
            <w:pPr>
              <w:pStyle w:val="TableText0"/>
              <w:keepNext w:val="0"/>
            </w:pPr>
            <w:r w:rsidRPr="00886D8A">
              <w:t>Journal of Inborn Errors of Metabolism and Screening. 2017, 5</w:t>
            </w:r>
          </w:p>
        </w:tc>
      </w:tr>
      <w:tr w:rsidR="00EB0321" w:rsidRPr="00886D8A" w14:paraId="55742D17" w14:textId="77777777" w:rsidTr="006571DA">
        <w:trPr>
          <w:cantSplit/>
        </w:trPr>
        <w:tc>
          <w:tcPr>
            <w:tcW w:w="705" w:type="pct"/>
            <w:vMerge/>
            <w:vAlign w:val="center"/>
          </w:tcPr>
          <w:p w14:paraId="10A25CA5" w14:textId="77777777" w:rsidR="00EB0321" w:rsidRPr="00886D8A" w:rsidRDefault="00EB0321" w:rsidP="004E36D3">
            <w:pPr>
              <w:pStyle w:val="Tabletext"/>
            </w:pPr>
          </w:p>
        </w:tc>
        <w:tc>
          <w:tcPr>
            <w:tcW w:w="3065" w:type="pct"/>
            <w:vAlign w:val="center"/>
          </w:tcPr>
          <w:p w14:paraId="3FC8DD64" w14:textId="0863552A" w:rsidR="00EB0321" w:rsidRPr="00886D8A" w:rsidRDefault="00EB0321" w:rsidP="004E36D3">
            <w:pPr>
              <w:pStyle w:val="TableText0"/>
              <w:keepNext w:val="0"/>
            </w:pPr>
            <w:r w:rsidRPr="00886D8A">
              <w:t>Borgwardt L., et al. Improvement in pulmonary function and serum immunoglobulin G in long</w:t>
            </w:r>
            <w:r w:rsidR="0011024A">
              <w:noBreakHyphen/>
            </w:r>
            <w:r w:rsidRPr="00886D8A">
              <w:t>term enzyme replacement therapy with velmanase alfa (human recombinant alpha</w:t>
            </w:r>
            <w:r w:rsidR="0011024A">
              <w:noBreakHyphen/>
            </w:r>
            <w:r w:rsidRPr="00886D8A">
              <w:t>mannosidase) in alpha</w:t>
            </w:r>
            <w:r w:rsidR="0011024A">
              <w:noBreakHyphen/>
            </w:r>
            <w:r w:rsidRPr="00886D8A">
              <w:t xml:space="preserve">mannosidosis patients. </w:t>
            </w:r>
          </w:p>
        </w:tc>
        <w:tc>
          <w:tcPr>
            <w:tcW w:w="1230" w:type="pct"/>
            <w:vAlign w:val="center"/>
          </w:tcPr>
          <w:p w14:paraId="17E208B1" w14:textId="77777777" w:rsidR="00EB0321" w:rsidRPr="00886D8A" w:rsidRDefault="00EB0321" w:rsidP="004E36D3">
            <w:pPr>
              <w:pStyle w:val="TableText0"/>
              <w:keepNext w:val="0"/>
            </w:pPr>
            <w:r w:rsidRPr="00886D8A">
              <w:t>Molecular Genetics and Metabolism, 2017: S29.</w:t>
            </w:r>
          </w:p>
        </w:tc>
      </w:tr>
      <w:tr w:rsidR="00EB0321" w:rsidRPr="00886D8A" w14:paraId="4AF9FBE1" w14:textId="77777777" w:rsidTr="006571DA">
        <w:trPr>
          <w:cantSplit/>
        </w:trPr>
        <w:tc>
          <w:tcPr>
            <w:tcW w:w="705" w:type="pct"/>
            <w:vMerge/>
            <w:vAlign w:val="center"/>
          </w:tcPr>
          <w:p w14:paraId="64F2AD6F" w14:textId="77777777" w:rsidR="00EB0321" w:rsidRPr="00886D8A" w:rsidRDefault="00EB0321" w:rsidP="004E36D3">
            <w:pPr>
              <w:pStyle w:val="Tabletext"/>
            </w:pPr>
          </w:p>
        </w:tc>
        <w:tc>
          <w:tcPr>
            <w:tcW w:w="3065" w:type="pct"/>
            <w:vAlign w:val="center"/>
          </w:tcPr>
          <w:p w14:paraId="4CF4729C" w14:textId="04779427" w:rsidR="00EB0321" w:rsidRPr="00886D8A" w:rsidRDefault="00EB0321" w:rsidP="004E36D3">
            <w:pPr>
              <w:pStyle w:val="TableText0"/>
              <w:keepNext w:val="0"/>
            </w:pPr>
            <w:r w:rsidRPr="00886D8A">
              <w:t>Lund, A.M., et al. Long</w:t>
            </w:r>
            <w:r w:rsidR="0011024A">
              <w:noBreakHyphen/>
            </w:r>
            <w:r w:rsidRPr="00886D8A">
              <w:t>term enzyme replacement therapy with velmanase alfa (human recombinant alpha</w:t>
            </w:r>
            <w:r w:rsidR="0011024A">
              <w:noBreakHyphen/>
            </w:r>
            <w:r w:rsidRPr="00886D8A">
              <w:t>mannosidase) improves mobility in alpha</w:t>
            </w:r>
            <w:r w:rsidR="0011024A">
              <w:noBreakHyphen/>
            </w:r>
            <w:r w:rsidRPr="00886D8A">
              <w:t>mannosidosis patients.</w:t>
            </w:r>
          </w:p>
        </w:tc>
        <w:tc>
          <w:tcPr>
            <w:tcW w:w="1230" w:type="pct"/>
            <w:vAlign w:val="center"/>
          </w:tcPr>
          <w:p w14:paraId="58DDAB1A" w14:textId="64B460C1" w:rsidR="00EB0321" w:rsidRPr="00886D8A" w:rsidRDefault="00EB0321" w:rsidP="004E36D3">
            <w:pPr>
              <w:pStyle w:val="TableText0"/>
              <w:keepNext w:val="0"/>
            </w:pPr>
            <w:r w:rsidRPr="00886D8A">
              <w:t>Molecular Genetics and Metabolism, 2017, S88</w:t>
            </w:r>
            <w:r w:rsidR="0011024A">
              <w:noBreakHyphen/>
            </w:r>
            <w:r w:rsidRPr="00886D8A">
              <w:t>S89.</w:t>
            </w:r>
          </w:p>
        </w:tc>
      </w:tr>
      <w:tr w:rsidR="00EB0321" w:rsidRPr="00886D8A" w14:paraId="5E8E760C" w14:textId="77777777" w:rsidTr="006571DA">
        <w:trPr>
          <w:cantSplit/>
        </w:trPr>
        <w:tc>
          <w:tcPr>
            <w:tcW w:w="705" w:type="pct"/>
            <w:vMerge w:val="restart"/>
            <w:vAlign w:val="center"/>
          </w:tcPr>
          <w:p w14:paraId="7340D51B" w14:textId="0B20BC0A" w:rsidR="00EB0321" w:rsidRPr="00886D8A" w:rsidRDefault="00EB0321" w:rsidP="004E36D3">
            <w:pPr>
              <w:pStyle w:val="Tabletext"/>
            </w:pPr>
            <w:r w:rsidRPr="00886D8A">
              <w:t>rhLAMAN</w:t>
            </w:r>
            <w:r w:rsidR="0011024A">
              <w:noBreakHyphen/>
            </w:r>
            <w:r w:rsidRPr="00886D8A">
              <w:t>11</w:t>
            </w:r>
          </w:p>
        </w:tc>
        <w:tc>
          <w:tcPr>
            <w:tcW w:w="3065" w:type="pct"/>
            <w:vAlign w:val="center"/>
          </w:tcPr>
          <w:p w14:paraId="193C5C01" w14:textId="03272ED5" w:rsidR="00EB0321" w:rsidRPr="00886D8A" w:rsidRDefault="00EB0321" w:rsidP="004E36D3">
            <w:pPr>
              <w:pStyle w:val="TableText0"/>
              <w:keepNext w:val="0"/>
            </w:pPr>
            <w:r w:rsidRPr="00886D8A">
              <w:t>A single center, open label clinical trial investigating the long</w:t>
            </w:r>
            <w:r w:rsidR="0011024A">
              <w:noBreakHyphen/>
            </w:r>
            <w:r w:rsidRPr="00886D8A">
              <w:t>term efficacy of rhLAMAN (recombinant human alpha</w:t>
            </w:r>
            <w:r w:rsidR="0011024A">
              <w:noBreakHyphen/>
            </w:r>
            <w:r w:rsidRPr="00886D8A">
              <w:t>mannosidase Velmanase Alfa) treatment in subjects with alpha</w:t>
            </w:r>
            <w:r w:rsidR="0011024A">
              <w:noBreakHyphen/>
            </w:r>
            <w:r w:rsidRPr="00886D8A">
              <w:t>mannosidosis who previously participated in Velmanase Alfa trials.</w:t>
            </w:r>
          </w:p>
        </w:tc>
        <w:tc>
          <w:tcPr>
            <w:tcW w:w="1230" w:type="pct"/>
            <w:vAlign w:val="center"/>
          </w:tcPr>
          <w:p w14:paraId="3BA25B1F" w14:textId="77777777" w:rsidR="00EB0321" w:rsidRPr="00886D8A" w:rsidRDefault="00EB0321" w:rsidP="004E36D3">
            <w:pPr>
              <w:pStyle w:val="TableText0"/>
              <w:keepNext w:val="0"/>
            </w:pPr>
            <w:r w:rsidRPr="00886D8A">
              <w:t>CSR</w:t>
            </w:r>
          </w:p>
        </w:tc>
      </w:tr>
      <w:tr w:rsidR="00EB0321" w:rsidRPr="00886D8A" w14:paraId="7F22B61B" w14:textId="77777777" w:rsidTr="006571DA">
        <w:trPr>
          <w:cantSplit/>
        </w:trPr>
        <w:tc>
          <w:tcPr>
            <w:tcW w:w="705" w:type="pct"/>
            <w:vMerge/>
            <w:vAlign w:val="center"/>
          </w:tcPr>
          <w:p w14:paraId="1A5396A2" w14:textId="77777777" w:rsidR="00EB0321" w:rsidRPr="00886D8A" w:rsidRDefault="00EB0321" w:rsidP="004E36D3">
            <w:pPr>
              <w:pStyle w:val="Tabletext"/>
            </w:pPr>
          </w:p>
        </w:tc>
        <w:tc>
          <w:tcPr>
            <w:tcW w:w="3065" w:type="pct"/>
            <w:vAlign w:val="center"/>
          </w:tcPr>
          <w:p w14:paraId="13C68A63" w14:textId="4EB35964" w:rsidR="00EB0321" w:rsidRPr="00886D8A" w:rsidRDefault="00EB0321" w:rsidP="004E36D3">
            <w:pPr>
              <w:pStyle w:val="TableText0"/>
              <w:keepNext w:val="0"/>
            </w:pPr>
            <w:r w:rsidRPr="00886D8A">
              <w:t>Heron B., et al. Long</w:t>
            </w:r>
            <w:r w:rsidR="0011024A">
              <w:noBreakHyphen/>
            </w:r>
            <w:r w:rsidRPr="00886D8A">
              <w:t>term efficacy of velmanase alfa treatment in patients with alpha mannosidosis: updated integrated analysis of data from phase I/II, III, and follow</w:t>
            </w:r>
            <w:r w:rsidR="0011024A">
              <w:noBreakHyphen/>
            </w:r>
            <w:r w:rsidRPr="00886D8A">
              <w:t xml:space="preserve">up clinical trials. </w:t>
            </w:r>
          </w:p>
        </w:tc>
        <w:tc>
          <w:tcPr>
            <w:tcW w:w="1230" w:type="pct"/>
            <w:vAlign w:val="center"/>
          </w:tcPr>
          <w:p w14:paraId="42B7C105" w14:textId="77777777" w:rsidR="00EB0321" w:rsidRPr="00886D8A" w:rsidRDefault="00EB0321" w:rsidP="004E36D3">
            <w:pPr>
              <w:pStyle w:val="TableText0"/>
              <w:keepNext w:val="0"/>
            </w:pPr>
            <w:r w:rsidRPr="00886D8A">
              <w:t>SSEIM; 2023</w:t>
            </w:r>
          </w:p>
          <w:p w14:paraId="1E74BA7B" w14:textId="77777777" w:rsidR="00EB0321" w:rsidRPr="00886D8A" w:rsidRDefault="00EB0321" w:rsidP="004E36D3">
            <w:pPr>
              <w:pStyle w:val="TableText0"/>
              <w:keepNext w:val="0"/>
            </w:pPr>
          </w:p>
        </w:tc>
      </w:tr>
      <w:tr w:rsidR="00EB0321" w:rsidRPr="00886D8A" w14:paraId="001EA2A4" w14:textId="77777777" w:rsidTr="006571DA">
        <w:trPr>
          <w:cantSplit/>
        </w:trPr>
        <w:tc>
          <w:tcPr>
            <w:tcW w:w="705" w:type="pct"/>
            <w:vMerge/>
            <w:vAlign w:val="center"/>
          </w:tcPr>
          <w:p w14:paraId="71B11734" w14:textId="77777777" w:rsidR="00EB0321" w:rsidRPr="00886D8A" w:rsidRDefault="00EB0321" w:rsidP="004E36D3">
            <w:pPr>
              <w:pStyle w:val="Tabletext"/>
            </w:pPr>
          </w:p>
        </w:tc>
        <w:tc>
          <w:tcPr>
            <w:tcW w:w="3065" w:type="pct"/>
            <w:vAlign w:val="center"/>
          </w:tcPr>
          <w:p w14:paraId="31D40739" w14:textId="57496DDF" w:rsidR="00EB0321" w:rsidRPr="00886D8A" w:rsidRDefault="00EB0321" w:rsidP="004E36D3">
            <w:pPr>
              <w:pStyle w:val="TableText0"/>
              <w:keepNext w:val="0"/>
            </w:pPr>
            <w:r w:rsidRPr="00886D8A">
              <w:t>Borgwardt L., et al. Enzyme replacement therapy for alpha</w:t>
            </w:r>
            <w:r w:rsidR="0011024A">
              <w:noBreakHyphen/>
            </w:r>
            <w:r w:rsidRPr="00886D8A">
              <w:t>mannosidosis: 12 months follow</w:t>
            </w:r>
            <w:r w:rsidR="0011024A">
              <w:noBreakHyphen/>
            </w:r>
            <w:r w:rsidRPr="00886D8A">
              <w:t xml:space="preserve">up of a single centre, randomised, multiple dose study. </w:t>
            </w:r>
          </w:p>
        </w:tc>
        <w:tc>
          <w:tcPr>
            <w:tcW w:w="1230" w:type="pct"/>
            <w:vAlign w:val="center"/>
          </w:tcPr>
          <w:p w14:paraId="2E25EDC0" w14:textId="6D41A2B0" w:rsidR="00EB0321" w:rsidRPr="00886D8A" w:rsidRDefault="00EB0321" w:rsidP="004E36D3">
            <w:pPr>
              <w:pStyle w:val="TableText0"/>
              <w:keepNext w:val="0"/>
            </w:pPr>
            <w:r w:rsidRPr="00886D8A">
              <w:t>Journal of Inherited Metabolic Disease 2013;36(6):1015</w:t>
            </w:r>
            <w:r w:rsidR="0011024A">
              <w:noBreakHyphen/>
            </w:r>
            <w:r w:rsidRPr="00886D8A">
              <w:t xml:space="preserve">1024. </w:t>
            </w:r>
          </w:p>
        </w:tc>
      </w:tr>
      <w:tr w:rsidR="00EB0321" w:rsidRPr="00886D8A" w14:paraId="081F2B08" w14:textId="77777777" w:rsidTr="006571DA">
        <w:trPr>
          <w:cantSplit/>
        </w:trPr>
        <w:tc>
          <w:tcPr>
            <w:tcW w:w="705" w:type="pct"/>
            <w:vMerge/>
            <w:vAlign w:val="center"/>
          </w:tcPr>
          <w:p w14:paraId="3252106C" w14:textId="77777777" w:rsidR="00EB0321" w:rsidRPr="00886D8A" w:rsidRDefault="00EB0321" w:rsidP="004E36D3">
            <w:pPr>
              <w:pStyle w:val="Tabletext"/>
            </w:pPr>
          </w:p>
        </w:tc>
        <w:tc>
          <w:tcPr>
            <w:tcW w:w="3065" w:type="pct"/>
            <w:vAlign w:val="center"/>
          </w:tcPr>
          <w:p w14:paraId="114CC479" w14:textId="5296F044" w:rsidR="00EB0321" w:rsidRPr="00886D8A" w:rsidRDefault="00EB0321" w:rsidP="004E36D3">
            <w:pPr>
              <w:pStyle w:val="TableText0"/>
              <w:keepNext w:val="0"/>
            </w:pPr>
            <w:r w:rsidRPr="00886D8A">
              <w:t>Harmatz P., et al. Enzyme replacement therapy with velmanase alfa (human recombinant alpha</w:t>
            </w:r>
            <w:r w:rsidR="0011024A">
              <w:noBreakHyphen/>
            </w:r>
            <w:r w:rsidRPr="00886D8A">
              <w:t>mannosidase): Novel global treatment response model and outcomes in patients with alpha</w:t>
            </w:r>
            <w:r w:rsidR="0011024A">
              <w:noBreakHyphen/>
            </w:r>
            <w:r w:rsidRPr="00886D8A">
              <w:t xml:space="preserve">mannosidosis. </w:t>
            </w:r>
          </w:p>
        </w:tc>
        <w:tc>
          <w:tcPr>
            <w:tcW w:w="1230" w:type="pct"/>
            <w:vAlign w:val="center"/>
          </w:tcPr>
          <w:p w14:paraId="491A1186" w14:textId="386938BE" w:rsidR="00EB0321" w:rsidRPr="00886D8A" w:rsidRDefault="00EB0321" w:rsidP="004E36D3">
            <w:pPr>
              <w:pStyle w:val="TableText0"/>
              <w:keepNext w:val="0"/>
            </w:pPr>
            <w:r w:rsidRPr="00886D8A">
              <w:t>Molecular Genetics and Metabolism Reports 2018; 124(2):152</w:t>
            </w:r>
            <w:r w:rsidR="0011024A">
              <w:noBreakHyphen/>
            </w:r>
            <w:r w:rsidRPr="00886D8A">
              <w:t>160</w:t>
            </w:r>
          </w:p>
        </w:tc>
      </w:tr>
      <w:tr w:rsidR="00EB0321" w:rsidRPr="00886D8A" w14:paraId="79BCF8AA" w14:textId="77777777" w:rsidTr="006571DA">
        <w:trPr>
          <w:cantSplit/>
        </w:trPr>
        <w:tc>
          <w:tcPr>
            <w:tcW w:w="5000" w:type="pct"/>
            <w:gridSpan w:val="3"/>
            <w:vAlign w:val="center"/>
          </w:tcPr>
          <w:p w14:paraId="2EC29438" w14:textId="77777777" w:rsidR="00EB0321" w:rsidRPr="00886D8A" w:rsidRDefault="00EB0321" w:rsidP="004E36D3">
            <w:pPr>
              <w:pStyle w:val="TableText0"/>
              <w:keepNext w:val="0"/>
              <w:rPr>
                <w:b/>
                <w:bCs w:val="0"/>
              </w:rPr>
            </w:pPr>
            <w:r w:rsidRPr="00886D8A">
              <w:rPr>
                <w:b/>
                <w:bCs w:val="0"/>
              </w:rPr>
              <w:t>Observational studies</w:t>
            </w:r>
          </w:p>
        </w:tc>
      </w:tr>
      <w:tr w:rsidR="00EB0321" w:rsidRPr="00886D8A" w14:paraId="795F9218" w14:textId="77777777" w:rsidTr="006571DA">
        <w:trPr>
          <w:cantSplit/>
        </w:trPr>
        <w:tc>
          <w:tcPr>
            <w:tcW w:w="705" w:type="pct"/>
            <w:vMerge w:val="restart"/>
            <w:vAlign w:val="center"/>
          </w:tcPr>
          <w:p w14:paraId="619C872B" w14:textId="5BA81996" w:rsidR="00EB0321" w:rsidRPr="00886D8A" w:rsidRDefault="00EB0321" w:rsidP="004E36D3">
            <w:pPr>
              <w:pStyle w:val="Tabletext"/>
            </w:pPr>
            <w:r w:rsidRPr="00886D8A">
              <w:t>Post</w:t>
            </w:r>
            <w:r w:rsidR="0011024A">
              <w:noBreakHyphen/>
            </w:r>
            <w:r w:rsidRPr="00886D8A">
              <w:t>authorisation safety study (pass) Interim report</w:t>
            </w:r>
          </w:p>
        </w:tc>
        <w:tc>
          <w:tcPr>
            <w:tcW w:w="3065" w:type="pct"/>
            <w:vAlign w:val="center"/>
          </w:tcPr>
          <w:p w14:paraId="4CFA6EBD" w14:textId="614DE17A" w:rsidR="00EB0321" w:rsidRPr="00886D8A" w:rsidRDefault="00EB0321" w:rsidP="004E36D3">
            <w:pPr>
              <w:pStyle w:val="TableText0"/>
              <w:keepNext w:val="0"/>
            </w:pPr>
            <w:r w:rsidRPr="00886D8A">
              <w:t>THE ALPHA</w:t>
            </w:r>
            <w:r w:rsidR="0011024A">
              <w:noBreakHyphen/>
            </w:r>
            <w:r w:rsidRPr="00886D8A">
              <w:t>MANNOSIDOSIS REGISTRY: A multi</w:t>
            </w:r>
            <w:r w:rsidR="0011024A">
              <w:noBreakHyphen/>
            </w:r>
            <w:r w:rsidRPr="00886D8A">
              <w:t>centre, multi</w:t>
            </w:r>
            <w:r w:rsidR="0011024A">
              <w:noBreakHyphen/>
            </w:r>
            <w:r w:rsidRPr="00886D8A">
              <w:t>country, non</w:t>
            </w:r>
            <w:r w:rsidR="0011024A">
              <w:noBreakHyphen/>
            </w:r>
            <w:r w:rsidRPr="00886D8A">
              <w:t>interventional, prospective cohort, in alpha</w:t>
            </w:r>
            <w:r w:rsidR="0011024A">
              <w:noBreakHyphen/>
            </w:r>
            <w:r w:rsidRPr="00886D8A">
              <w:t>mannosidosis patients</w:t>
            </w:r>
          </w:p>
        </w:tc>
        <w:tc>
          <w:tcPr>
            <w:tcW w:w="1230" w:type="pct"/>
            <w:vAlign w:val="center"/>
          </w:tcPr>
          <w:p w14:paraId="3E7714A3" w14:textId="77777777" w:rsidR="00EB0321" w:rsidRPr="00886D8A" w:rsidRDefault="00EB0321" w:rsidP="004E36D3">
            <w:pPr>
              <w:pStyle w:val="TableText0"/>
              <w:keepNext w:val="0"/>
            </w:pPr>
            <w:r w:rsidRPr="00886D8A">
              <w:t>CSR</w:t>
            </w:r>
          </w:p>
        </w:tc>
      </w:tr>
      <w:tr w:rsidR="00EB0321" w:rsidRPr="00886D8A" w14:paraId="50168BD0" w14:textId="77777777" w:rsidTr="006571DA">
        <w:trPr>
          <w:cantSplit/>
        </w:trPr>
        <w:tc>
          <w:tcPr>
            <w:tcW w:w="705" w:type="pct"/>
            <w:vMerge/>
            <w:vAlign w:val="center"/>
          </w:tcPr>
          <w:p w14:paraId="62749D99" w14:textId="77777777" w:rsidR="00EB0321" w:rsidRPr="00886D8A" w:rsidRDefault="00EB0321" w:rsidP="004E36D3">
            <w:pPr>
              <w:pStyle w:val="Tabletext"/>
            </w:pPr>
          </w:p>
        </w:tc>
        <w:tc>
          <w:tcPr>
            <w:tcW w:w="3065" w:type="pct"/>
            <w:vAlign w:val="center"/>
          </w:tcPr>
          <w:p w14:paraId="2ECEF297" w14:textId="5D4B848B" w:rsidR="00EB0321" w:rsidRPr="00886D8A" w:rsidRDefault="00EB0321" w:rsidP="004E36D3">
            <w:pPr>
              <w:pStyle w:val="TableText0"/>
              <w:keepNext w:val="0"/>
            </w:pPr>
            <w:r w:rsidRPr="00FA521B">
              <w:rPr>
                <w:lang w:val="nl-BE"/>
              </w:rPr>
              <w:t xml:space="preserve">Hennermann, J.B. et al. </w:t>
            </w:r>
            <w:r w:rsidRPr="00886D8A">
              <w:t>The SPARKLE registry: protocol for an international prospective cohort study in patients with alpha</w:t>
            </w:r>
            <w:r w:rsidR="0011024A">
              <w:noBreakHyphen/>
            </w:r>
            <w:r w:rsidRPr="00886D8A">
              <w:t xml:space="preserve">mannosidosis. </w:t>
            </w:r>
          </w:p>
        </w:tc>
        <w:tc>
          <w:tcPr>
            <w:tcW w:w="1230" w:type="pct"/>
            <w:vAlign w:val="center"/>
          </w:tcPr>
          <w:p w14:paraId="543D55EF" w14:textId="77777777" w:rsidR="00EB0321" w:rsidRPr="00886D8A" w:rsidRDefault="00EB0321" w:rsidP="004E36D3">
            <w:pPr>
              <w:pStyle w:val="TableText0"/>
              <w:keepNext w:val="0"/>
            </w:pPr>
            <w:r w:rsidRPr="00886D8A">
              <w:t>Orphanet Journal of Rare Disease 2020, 15, 271.</w:t>
            </w:r>
          </w:p>
        </w:tc>
      </w:tr>
      <w:tr w:rsidR="00EB0321" w:rsidRPr="00886D8A" w14:paraId="5C6F6939" w14:textId="77777777" w:rsidTr="006571DA">
        <w:trPr>
          <w:cantSplit/>
        </w:trPr>
        <w:tc>
          <w:tcPr>
            <w:tcW w:w="705" w:type="pct"/>
            <w:vAlign w:val="center"/>
          </w:tcPr>
          <w:p w14:paraId="0BFE8A2D" w14:textId="77777777" w:rsidR="00EB0321" w:rsidRPr="00886D8A" w:rsidRDefault="00EB0321" w:rsidP="004E36D3">
            <w:pPr>
              <w:pStyle w:val="Tabletext"/>
            </w:pPr>
            <w:r w:rsidRPr="00886D8A">
              <w:t>Etoile Alpha Study</w:t>
            </w:r>
          </w:p>
        </w:tc>
        <w:tc>
          <w:tcPr>
            <w:tcW w:w="3065" w:type="pct"/>
            <w:vAlign w:val="center"/>
          </w:tcPr>
          <w:p w14:paraId="3F078B22" w14:textId="1754D1AE" w:rsidR="00EB0321" w:rsidRPr="00886D8A" w:rsidRDefault="00EB0321" w:rsidP="004E36D3">
            <w:pPr>
              <w:pStyle w:val="TableText0"/>
              <w:keepNext w:val="0"/>
            </w:pPr>
            <w:r w:rsidRPr="00886D8A">
              <w:t>Multi</w:t>
            </w:r>
            <w:r w:rsidR="0011024A">
              <w:noBreakHyphen/>
            </w:r>
            <w:r w:rsidRPr="00886D8A">
              <w:t>center, non</w:t>
            </w:r>
            <w:r w:rsidR="0011024A">
              <w:noBreakHyphen/>
            </w:r>
            <w:r w:rsidRPr="00886D8A">
              <w:t>comparative, retrospective registry for patients receiving or having received a LAMZEDE therapy in France up to June 2020</w:t>
            </w:r>
          </w:p>
        </w:tc>
        <w:tc>
          <w:tcPr>
            <w:tcW w:w="1230" w:type="pct"/>
            <w:vAlign w:val="center"/>
          </w:tcPr>
          <w:p w14:paraId="1F716654" w14:textId="77777777" w:rsidR="00EB0321" w:rsidRPr="00886D8A" w:rsidRDefault="00EB0321" w:rsidP="004E36D3">
            <w:pPr>
              <w:pStyle w:val="TableText0"/>
              <w:keepNext w:val="0"/>
            </w:pPr>
            <w:r w:rsidRPr="00886D8A">
              <w:t>CSR</w:t>
            </w:r>
          </w:p>
        </w:tc>
      </w:tr>
      <w:tr w:rsidR="00EB0321" w:rsidRPr="00886D8A" w14:paraId="26E3D5F0" w14:textId="77777777" w:rsidTr="006571DA">
        <w:trPr>
          <w:cantSplit/>
        </w:trPr>
        <w:tc>
          <w:tcPr>
            <w:tcW w:w="705" w:type="pct"/>
            <w:vAlign w:val="center"/>
          </w:tcPr>
          <w:p w14:paraId="39249F33" w14:textId="77777777" w:rsidR="00EB0321" w:rsidRPr="00886D8A" w:rsidRDefault="00EB0321" w:rsidP="004E36D3">
            <w:pPr>
              <w:pStyle w:val="Tabletext"/>
            </w:pPr>
            <w:r w:rsidRPr="00886D8A">
              <w:t>UK Natural History survey</w:t>
            </w:r>
          </w:p>
        </w:tc>
        <w:tc>
          <w:tcPr>
            <w:tcW w:w="3065" w:type="pct"/>
            <w:vAlign w:val="center"/>
          </w:tcPr>
          <w:p w14:paraId="4CFC4C28" w14:textId="0247F5FD" w:rsidR="00EB0321" w:rsidRPr="00886D8A" w:rsidRDefault="00EB0321" w:rsidP="004E36D3">
            <w:pPr>
              <w:pStyle w:val="TableText0"/>
              <w:keepNext w:val="0"/>
            </w:pPr>
            <w:r w:rsidRPr="00886D8A">
              <w:t>Adam J., et al. Disease progression of alpha</w:t>
            </w:r>
            <w:r w:rsidR="0011024A">
              <w:noBreakHyphen/>
            </w:r>
            <w:r w:rsidRPr="00886D8A">
              <w:t xml:space="preserve">mannosidosis and impact on patients and carers </w:t>
            </w:r>
            <w:r w:rsidR="0011024A">
              <w:noBreakHyphen/>
            </w:r>
            <w:r w:rsidRPr="00886D8A">
              <w:t xml:space="preserve"> A UK natural history survey. </w:t>
            </w:r>
          </w:p>
        </w:tc>
        <w:tc>
          <w:tcPr>
            <w:tcW w:w="1230" w:type="pct"/>
            <w:vAlign w:val="center"/>
          </w:tcPr>
          <w:p w14:paraId="06027234" w14:textId="77777777" w:rsidR="00EB0321" w:rsidRPr="00886D8A" w:rsidRDefault="00EB0321" w:rsidP="004E36D3">
            <w:pPr>
              <w:pStyle w:val="TableText0"/>
              <w:keepNext w:val="0"/>
            </w:pPr>
            <w:r w:rsidRPr="00886D8A">
              <w:t>Molecular Genetics and Metabolism Reports 2019; 20:100480.</w:t>
            </w:r>
          </w:p>
        </w:tc>
      </w:tr>
      <w:tr w:rsidR="00EB0321" w:rsidRPr="00886D8A" w14:paraId="3F13E0AB" w14:textId="77777777" w:rsidTr="006571DA">
        <w:trPr>
          <w:cantSplit/>
        </w:trPr>
        <w:tc>
          <w:tcPr>
            <w:tcW w:w="705" w:type="pct"/>
            <w:vAlign w:val="center"/>
          </w:tcPr>
          <w:p w14:paraId="0D930FA3" w14:textId="77777777" w:rsidR="00EB0321" w:rsidRPr="00886D8A" w:rsidRDefault="00EB0321" w:rsidP="004E36D3">
            <w:pPr>
              <w:pStyle w:val="Tabletext"/>
            </w:pPr>
            <w:r w:rsidRPr="00886D8A">
              <w:t xml:space="preserve">The 2022 Patient and Caregiver Survey </w:t>
            </w:r>
          </w:p>
        </w:tc>
        <w:tc>
          <w:tcPr>
            <w:tcW w:w="3065" w:type="pct"/>
            <w:vAlign w:val="center"/>
          </w:tcPr>
          <w:p w14:paraId="5DCBA393" w14:textId="3FA0C4FE" w:rsidR="00EB0321" w:rsidRPr="00886D8A" w:rsidRDefault="00EB0321" w:rsidP="004E36D3">
            <w:pPr>
              <w:pStyle w:val="TableText0"/>
              <w:keepNext w:val="0"/>
            </w:pPr>
            <w:r w:rsidRPr="00886D8A">
              <w:t>Guffon N et al. Alpha</w:t>
            </w:r>
            <w:r w:rsidR="0011024A">
              <w:noBreakHyphen/>
            </w:r>
            <w:r w:rsidRPr="00886D8A">
              <w:t>mannosidosis international caregiver and patient survey: Changes in mobility, pain or discomfort, and patients' self</w:t>
            </w:r>
            <w:r w:rsidR="0011024A">
              <w:noBreakHyphen/>
            </w:r>
            <w:r w:rsidRPr="00886D8A">
              <w:t>care over time.</w:t>
            </w:r>
          </w:p>
        </w:tc>
        <w:tc>
          <w:tcPr>
            <w:tcW w:w="1230" w:type="pct"/>
            <w:vAlign w:val="center"/>
          </w:tcPr>
          <w:p w14:paraId="684F238E" w14:textId="77777777" w:rsidR="00EB0321" w:rsidRPr="00886D8A" w:rsidRDefault="00EB0321" w:rsidP="004E36D3">
            <w:pPr>
              <w:pStyle w:val="TableText0"/>
              <w:keepNext w:val="0"/>
            </w:pPr>
            <w:r w:rsidRPr="00886D8A">
              <w:t>Molecular Genetics and Metabolism Reports; 2024: 107865</w:t>
            </w:r>
          </w:p>
        </w:tc>
      </w:tr>
    </w:tbl>
    <w:bookmarkEnd w:id="33"/>
    <w:p w14:paraId="789ED10A" w14:textId="33F2F4BF" w:rsidR="00EB0321" w:rsidRPr="00886D8A" w:rsidRDefault="5DD88181" w:rsidP="004E36D3">
      <w:pPr>
        <w:pStyle w:val="FooterTableFigure"/>
      </w:pPr>
      <w:r w:rsidRPr="00886D8A">
        <w:t>Source: Table 2.2</w:t>
      </w:r>
      <w:r w:rsidR="0011024A">
        <w:noBreakHyphen/>
      </w:r>
      <w:r w:rsidRPr="00886D8A">
        <w:t>1, pp29</w:t>
      </w:r>
      <w:r w:rsidR="0011024A">
        <w:noBreakHyphen/>
      </w:r>
      <w:r w:rsidRPr="00886D8A">
        <w:t>31 of the submission.</w:t>
      </w:r>
    </w:p>
    <w:p w14:paraId="670D6F18" w14:textId="6FD978F4" w:rsidR="00C1553D" w:rsidRPr="00886D8A" w:rsidRDefault="00C1553D" w:rsidP="004E36D3">
      <w:pPr>
        <w:pStyle w:val="FooterTableFigure"/>
      </w:pPr>
      <w:r w:rsidRPr="00886D8A">
        <w:t>ADA = anti</w:t>
      </w:r>
      <w:r w:rsidR="0011024A">
        <w:noBreakHyphen/>
      </w:r>
      <w:r w:rsidRPr="00886D8A">
        <w:t>drug antibodies; BOT</w:t>
      </w:r>
      <w:r w:rsidR="0011024A">
        <w:noBreakHyphen/>
      </w:r>
      <w:r w:rsidRPr="00886D8A">
        <w:t>2 = Bruininks</w:t>
      </w:r>
      <w:r w:rsidR="0011024A">
        <w:noBreakHyphen/>
      </w:r>
      <w:r w:rsidRPr="00886D8A">
        <w:t>Oseretsky test of motor proficiency 2nd edition; CSR = clinical study report; SSEIM = Society for the Study of Inborn Errors of Metabolism; UK = United Kingdom.</w:t>
      </w:r>
    </w:p>
    <w:p w14:paraId="7FC6736D" w14:textId="0DC5707A" w:rsidR="00EB0321" w:rsidRPr="00886D8A" w:rsidRDefault="00EB0321" w:rsidP="004E36D3">
      <w:pPr>
        <w:pStyle w:val="3-BodyText"/>
        <w:rPr>
          <w:color w:val="0066FF"/>
        </w:rPr>
      </w:pPr>
      <w:r w:rsidRPr="00886D8A">
        <w:t xml:space="preserve">The key features of the velmanase alfa trials are summarised in </w:t>
      </w:r>
      <w:r w:rsidRPr="00886D8A">
        <w:fldChar w:fldCharType="begin"/>
      </w:r>
      <w:r w:rsidRPr="00886D8A">
        <w:instrText xml:space="preserve"> REF _Ref104804098 \h  \* MERGEFORMAT </w:instrText>
      </w:r>
      <w:r w:rsidRPr="00886D8A">
        <w:fldChar w:fldCharType="separate"/>
      </w:r>
      <w:r w:rsidR="00B73A9E" w:rsidRPr="00B73A9E">
        <w:t>Table 4</w:t>
      </w:r>
      <w:r w:rsidRPr="00886D8A">
        <w:fldChar w:fldCharType="end"/>
      </w:r>
      <w:r w:rsidRPr="00886D8A">
        <w:t xml:space="preserve">. The key features of the observational studies are </w:t>
      </w:r>
      <w:r w:rsidR="00E31E67" w:rsidRPr="00886D8A">
        <w:t xml:space="preserve">also </w:t>
      </w:r>
      <w:r w:rsidRPr="00886D8A">
        <w:t xml:space="preserve">presented. </w:t>
      </w:r>
    </w:p>
    <w:p w14:paraId="7B47141B" w14:textId="5C7A233A" w:rsidR="00EB0321" w:rsidRPr="00886D8A" w:rsidRDefault="00EB0321" w:rsidP="004E36D3">
      <w:pPr>
        <w:pStyle w:val="Caption"/>
        <w:rPr>
          <w:rStyle w:val="CommentReference"/>
          <w:rFonts w:eastAsiaTheme="majorEastAsia" w:cstheme="majorBidi"/>
          <w:b/>
          <w:szCs w:val="24"/>
        </w:rPr>
      </w:pPr>
      <w:bookmarkStart w:id="34" w:name="_Ref104804098"/>
      <w:r w:rsidRPr="00886D8A">
        <w:rPr>
          <w:rStyle w:val="CommentReference"/>
          <w:rFonts w:eastAsiaTheme="majorEastAsia" w:cstheme="majorBidi"/>
          <w:b/>
          <w:szCs w:val="24"/>
        </w:rPr>
        <w:t xml:space="preserve">Table </w:t>
      </w:r>
      <w:r w:rsidRPr="00886D8A">
        <w:rPr>
          <w:rStyle w:val="CommentReference"/>
          <w:rFonts w:eastAsiaTheme="majorEastAsia" w:cstheme="majorBidi"/>
          <w:b/>
          <w:szCs w:val="24"/>
        </w:rPr>
        <w:fldChar w:fldCharType="begin"/>
      </w:r>
      <w:r w:rsidRPr="00886D8A">
        <w:rPr>
          <w:rStyle w:val="CommentReference"/>
          <w:rFonts w:eastAsiaTheme="majorEastAsia" w:cstheme="majorBidi"/>
          <w:b/>
          <w:szCs w:val="24"/>
        </w:rPr>
        <w:instrText xml:space="preserve"> SEQ Table \* ARABIC </w:instrText>
      </w:r>
      <w:r w:rsidRPr="00886D8A">
        <w:rPr>
          <w:rStyle w:val="CommentReference"/>
          <w:rFonts w:eastAsiaTheme="majorEastAsia" w:cstheme="majorBidi"/>
          <w:b/>
          <w:szCs w:val="24"/>
        </w:rPr>
        <w:fldChar w:fldCharType="separate"/>
      </w:r>
      <w:r w:rsidR="00B73A9E">
        <w:rPr>
          <w:rStyle w:val="CommentReference"/>
          <w:rFonts w:eastAsiaTheme="majorEastAsia" w:cstheme="majorBidi"/>
          <w:b/>
          <w:noProof/>
          <w:szCs w:val="24"/>
        </w:rPr>
        <w:t>4</w:t>
      </w:r>
      <w:r w:rsidRPr="00886D8A">
        <w:rPr>
          <w:rStyle w:val="CommentReference"/>
          <w:rFonts w:eastAsiaTheme="majorEastAsia" w:cstheme="majorBidi"/>
          <w:b/>
          <w:szCs w:val="24"/>
        </w:rPr>
        <w:fldChar w:fldCharType="end"/>
      </w:r>
      <w:bookmarkEnd w:id="34"/>
      <w:r w:rsidRPr="00886D8A">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129"/>
        <w:gridCol w:w="709"/>
        <w:gridCol w:w="2411"/>
        <w:gridCol w:w="566"/>
        <w:gridCol w:w="1261"/>
        <w:gridCol w:w="1859"/>
        <w:gridCol w:w="1082"/>
      </w:tblGrid>
      <w:tr w:rsidR="00EB0321" w:rsidRPr="00886D8A" w14:paraId="50C87440" w14:textId="77777777" w:rsidTr="0629D7D2">
        <w:trPr>
          <w:cantSplit/>
          <w:tblHeader/>
        </w:trPr>
        <w:tc>
          <w:tcPr>
            <w:tcW w:w="626" w:type="pct"/>
            <w:vAlign w:val="center"/>
          </w:tcPr>
          <w:p w14:paraId="70DB4538" w14:textId="77777777" w:rsidR="00EB0321" w:rsidRPr="00886D8A" w:rsidRDefault="00EB0321" w:rsidP="004E36D3">
            <w:pPr>
              <w:pStyle w:val="In-tableHeading"/>
              <w:rPr>
                <w:lang w:val="en-AU"/>
              </w:rPr>
            </w:pPr>
            <w:r w:rsidRPr="00886D8A">
              <w:rPr>
                <w:lang w:val="en-AU"/>
              </w:rPr>
              <w:t>Trial</w:t>
            </w:r>
          </w:p>
        </w:tc>
        <w:tc>
          <w:tcPr>
            <w:tcW w:w="393" w:type="pct"/>
            <w:vAlign w:val="center"/>
          </w:tcPr>
          <w:p w14:paraId="26FB6776" w14:textId="77777777" w:rsidR="00EB0321" w:rsidRPr="00886D8A" w:rsidRDefault="00EB0321" w:rsidP="004E36D3">
            <w:pPr>
              <w:pStyle w:val="In-tableHeading"/>
              <w:jc w:val="center"/>
              <w:rPr>
                <w:lang w:val="en-AU"/>
              </w:rPr>
            </w:pPr>
            <w:r w:rsidRPr="00886D8A">
              <w:rPr>
                <w:lang w:val="en-AU"/>
              </w:rPr>
              <w:t>N</w:t>
            </w:r>
          </w:p>
        </w:tc>
        <w:tc>
          <w:tcPr>
            <w:tcW w:w="1337" w:type="pct"/>
            <w:vAlign w:val="center"/>
          </w:tcPr>
          <w:p w14:paraId="15BCE5EC" w14:textId="77777777" w:rsidR="00EB0321" w:rsidRPr="00886D8A" w:rsidRDefault="00EB0321" w:rsidP="004E36D3">
            <w:pPr>
              <w:pStyle w:val="In-tableHeading"/>
              <w:jc w:val="center"/>
              <w:rPr>
                <w:lang w:val="en-AU"/>
              </w:rPr>
            </w:pPr>
            <w:r w:rsidRPr="00886D8A">
              <w:rPr>
                <w:lang w:val="en-AU"/>
              </w:rPr>
              <w:t>Design/ duration</w:t>
            </w:r>
          </w:p>
        </w:tc>
        <w:tc>
          <w:tcPr>
            <w:tcW w:w="314" w:type="pct"/>
            <w:vAlign w:val="center"/>
          </w:tcPr>
          <w:p w14:paraId="0ACD503A" w14:textId="77777777" w:rsidR="00EB0321" w:rsidRPr="00886D8A" w:rsidRDefault="00EB0321" w:rsidP="004E36D3">
            <w:pPr>
              <w:pStyle w:val="In-tableHeading"/>
              <w:jc w:val="center"/>
              <w:rPr>
                <w:lang w:val="en-AU"/>
              </w:rPr>
            </w:pPr>
            <w:r w:rsidRPr="00886D8A">
              <w:rPr>
                <w:lang w:val="en-AU"/>
              </w:rPr>
              <w:t>Risk of bias</w:t>
            </w:r>
          </w:p>
        </w:tc>
        <w:tc>
          <w:tcPr>
            <w:tcW w:w="699" w:type="pct"/>
            <w:vAlign w:val="center"/>
          </w:tcPr>
          <w:p w14:paraId="018B6B1C" w14:textId="77777777" w:rsidR="00EB0321" w:rsidRPr="00886D8A" w:rsidRDefault="00EB0321" w:rsidP="004E36D3">
            <w:pPr>
              <w:pStyle w:val="In-tableHeading"/>
              <w:jc w:val="center"/>
              <w:rPr>
                <w:lang w:val="en-AU"/>
              </w:rPr>
            </w:pPr>
            <w:r w:rsidRPr="00886D8A">
              <w:rPr>
                <w:lang w:val="en-AU"/>
              </w:rPr>
              <w:t>Patient population</w:t>
            </w:r>
          </w:p>
        </w:tc>
        <w:tc>
          <w:tcPr>
            <w:tcW w:w="1031" w:type="pct"/>
            <w:vAlign w:val="center"/>
          </w:tcPr>
          <w:p w14:paraId="5C98C0D3" w14:textId="77777777" w:rsidR="00EB0321" w:rsidRPr="00886D8A" w:rsidRDefault="00EB0321" w:rsidP="004E36D3">
            <w:pPr>
              <w:pStyle w:val="In-tableHeading"/>
              <w:jc w:val="center"/>
              <w:rPr>
                <w:lang w:val="en-AU"/>
              </w:rPr>
            </w:pPr>
            <w:r w:rsidRPr="00886D8A">
              <w:rPr>
                <w:lang w:val="en-AU"/>
              </w:rPr>
              <w:t>Outcome(s)</w:t>
            </w:r>
          </w:p>
        </w:tc>
        <w:tc>
          <w:tcPr>
            <w:tcW w:w="600" w:type="pct"/>
            <w:vAlign w:val="center"/>
          </w:tcPr>
          <w:p w14:paraId="6B2A4C92" w14:textId="77777777" w:rsidR="00EB0321" w:rsidRPr="00886D8A" w:rsidRDefault="00EB0321" w:rsidP="004E36D3">
            <w:pPr>
              <w:pStyle w:val="In-tableHeading"/>
              <w:jc w:val="center"/>
              <w:rPr>
                <w:lang w:val="en-AU"/>
              </w:rPr>
            </w:pPr>
            <w:r w:rsidRPr="00886D8A">
              <w:rPr>
                <w:lang w:val="en-AU"/>
              </w:rPr>
              <w:t>Use in modelled evaluation</w:t>
            </w:r>
          </w:p>
        </w:tc>
      </w:tr>
      <w:tr w:rsidR="00EB0321" w:rsidRPr="00886D8A" w14:paraId="3DF8E58C" w14:textId="77777777" w:rsidTr="0629D7D2">
        <w:trPr>
          <w:cantSplit/>
        </w:trPr>
        <w:tc>
          <w:tcPr>
            <w:tcW w:w="5000" w:type="pct"/>
            <w:gridSpan w:val="7"/>
            <w:vAlign w:val="center"/>
          </w:tcPr>
          <w:p w14:paraId="352094CA" w14:textId="77777777" w:rsidR="00EB0321" w:rsidRPr="00886D8A" w:rsidRDefault="00EB0321" w:rsidP="004E36D3">
            <w:pPr>
              <w:pStyle w:val="In-tableHeading"/>
              <w:rPr>
                <w:lang w:val="en-AU"/>
              </w:rPr>
            </w:pPr>
            <w:r w:rsidRPr="00886D8A">
              <w:rPr>
                <w:lang w:val="en-AU"/>
              </w:rPr>
              <w:t>Velmanase alfa versus placebo</w:t>
            </w:r>
          </w:p>
        </w:tc>
      </w:tr>
      <w:tr w:rsidR="00EB0321" w:rsidRPr="00886D8A" w14:paraId="5193EE6C" w14:textId="77777777" w:rsidTr="0629D7D2">
        <w:trPr>
          <w:cantSplit/>
        </w:trPr>
        <w:tc>
          <w:tcPr>
            <w:tcW w:w="626" w:type="pct"/>
            <w:vAlign w:val="center"/>
          </w:tcPr>
          <w:p w14:paraId="108AEF5F" w14:textId="3CEBCEFA" w:rsidR="00EB0321" w:rsidRPr="00886D8A" w:rsidRDefault="00EB0321" w:rsidP="004E36D3">
            <w:pPr>
              <w:pStyle w:val="TableText0"/>
            </w:pPr>
            <w:r w:rsidRPr="00886D8A">
              <w:t>rhLAMAN</w:t>
            </w:r>
            <w:r w:rsidR="0011024A">
              <w:noBreakHyphen/>
            </w:r>
            <w:r w:rsidRPr="00886D8A">
              <w:t>05</w:t>
            </w:r>
          </w:p>
        </w:tc>
        <w:tc>
          <w:tcPr>
            <w:tcW w:w="393" w:type="pct"/>
            <w:vAlign w:val="center"/>
          </w:tcPr>
          <w:p w14:paraId="3D0DDC3D" w14:textId="77777777" w:rsidR="00EB0321" w:rsidRPr="00886D8A" w:rsidRDefault="00EB0321" w:rsidP="004E36D3">
            <w:pPr>
              <w:pStyle w:val="TableText0"/>
              <w:jc w:val="center"/>
            </w:pPr>
            <w:r w:rsidRPr="00886D8A">
              <w:t>25</w:t>
            </w:r>
          </w:p>
          <w:p w14:paraId="57C6EA00" w14:textId="77777777" w:rsidR="00EB0321" w:rsidRPr="00886D8A" w:rsidRDefault="00EB0321" w:rsidP="004E36D3">
            <w:pPr>
              <w:pStyle w:val="TableText0"/>
              <w:jc w:val="center"/>
            </w:pPr>
            <w:r w:rsidRPr="00886D8A">
              <w:t>VA: 15</w:t>
            </w:r>
          </w:p>
          <w:p w14:paraId="050BD3AD" w14:textId="77777777" w:rsidR="00EB0321" w:rsidRPr="00886D8A" w:rsidRDefault="00EB0321" w:rsidP="004E36D3">
            <w:pPr>
              <w:pStyle w:val="TableText0"/>
              <w:jc w:val="center"/>
            </w:pPr>
            <w:r w:rsidRPr="00886D8A">
              <w:t>BSC: 10</w:t>
            </w:r>
          </w:p>
        </w:tc>
        <w:tc>
          <w:tcPr>
            <w:tcW w:w="1337" w:type="pct"/>
            <w:vAlign w:val="center"/>
          </w:tcPr>
          <w:p w14:paraId="31C446E0" w14:textId="12F80E07" w:rsidR="00EB0321" w:rsidRPr="00886D8A" w:rsidRDefault="00EB0321" w:rsidP="004E36D3">
            <w:pPr>
              <w:pStyle w:val="TableText0"/>
              <w:jc w:val="center"/>
            </w:pPr>
            <w:r w:rsidRPr="00886D8A">
              <w:t>phase III, MC, DB, R, PBO</w:t>
            </w:r>
            <w:r w:rsidR="0011024A">
              <w:noBreakHyphen/>
            </w:r>
            <w:r w:rsidRPr="00886D8A">
              <w:t>controlled,</w:t>
            </w:r>
          </w:p>
          <w:p w14:paraId="51DFCD99" w14:textId="77777777" w:rsidR="00EB0321" w:rsidRPr="00886D8A" w:rsidRDefault="00EB0321" w:rsidP="004E36D3">
            <w:pPr>
              <w:pStyle w:val="TableText0"/>
              <w:jc w:val="center"/>
            </w:pPr>
            <w:r w:rsidRPr="00886D8A">
              <w:t>12 months</w:t>
            </w:r>
          </w:p>
        </w:tc>
        <w:tc>
          <w:tcPr>
            <w:tcW w:w="314" w:type="pct"/>
            <w:vAlign w:val="center"/>
          </w:tcPr>
          <w:p w14:paraId="11DF58B3" w14:textId="77777777" w:rsidR="00EB0321" w:rsidRPr="00886D8A" w:rsidRDefault="00EB0321" w:rsidP="004E36D3">
            <w:pPr>
              <w:pStyle w:val="TableText0"/>
              <w:jc w:val="center"/>
            </w:pPr>
            <w:r w:rsidRPr="00886D8A">
              <w:t>Low</w:t>
            </w:r>
          </w:p>
        </w:tc>
        <w:tc>
          <w:tcPr>
            <w:tcW w:w="699" w:type="pct"/>
            <w:vAlign w:val="center"/>
          </w:tcPr>
          <w:p w14:paraId="405A9701" w14:textId="717D3CCE" w:rsidR="00EB0321" w:rsidRPr="00886D8A" w:rsidRDefault="00EB0321" w:rsidP="004E36D3">
            <w:pPr>
              <w:pStyle w:val="TableText0"/>
              <w:jc w:val="center"/>
            </w:pPr>
            <w:r w:rsidRPr="00886D8A">
              <w:t>Patients aged 5</w:t>
            </w:r>
            <w:r w:rsidR="0011024A">
              <w:noBreakHyphen/>
            </w:r>
            <w:r w:rsidRPr="00886D8A">
              <w:t>35 years with AM</w:t>
            </w:r>
          </w:p>
        </w:tc>
        <w:tc>
          <w:tcPr>
            <w:tcW w:w="1031" w:type="pct"/>
            <w:vAlign w:val="center"/>
          </w:tcPr>
          <w:p w14:paraId="6E5FE23E" w14:textId="31848BEC" w:rsidR="00EB0321" w:rsidRPr="00886D8A" w:rsidRDefault="00EB0321" w:rsidP="004E36D3">
            <w:pPr>
              <w:pStyle w:val="TableText0"/>
              <w:jc w:val="center"/>
            </w:pPr>
            <w:r w:rsidRPr="00886D8A">
              <w:t xml:space="preserve">Serum oligosaccharides levels, 3MSCT, 6MWT, FVC %, CHAQ, </w:t>
            </w:r>
            <w:r w:rsidR="00873435" w:rsidRPr="00886D8A">
              <w:br/>
            </w:r>
            <w:r w:rsidRPr="00886D8A">
              <w:t>EQ</w:t>
            </w:r>
            <w:r w:rsidR="0011024A">
              <w:noBreakHyphen/>
            </w:r>
            <w:r w:rsidRPr="00886D8A">
              <w:t>5D</w:t>
            </w:r>
            <w:r w:rsidR="0011024A">
              <w:noBreakHyphen/>
            </w:r>
            <w:r w:rsidR="00D343AE" w:rsidRPr="00886D8A">
              <w:t>5L</w:t>
            </w:r>
            <w:r w:rsidRPr="00886D8A">
              <w:t>, TEAE</w:t>
            </w:r>
          </w:p>
        </w:tc>
        <w:tc>
          <w:tcPr>
            <w:tcW w:w="600" w:type="pct"/>
            <w:vAlign w:val="center"/>
          </w:tcPr>
          <w:p w14:paraId="6F775F67" w14:textId="77777777" w:rsidR="00EB0321" w:rsidRPr="00886D8A" w:rsidRDefault="00EB0321" w:rsidP="004E36D3">
            <w:pPr>
              <w:pStyle w:val="TableText0"/>
              <w:jc w:val="center"/>
            </w:pPr>
            <w:r w:rsidRPr="00886D8A">
              <w:t>Not used</w:t>
            </w:r>
          </w:p>
        </w:tc>
      </w:tr>
      <w:tr w:rsidR="00EB0321" w:rsidRPr="00886D8A" w14:paraId="21D0F648" w14:textId="77777777" w:rsidTr="0629D7D2">
        <w:trPr>
          <w:cantSplit/>
        </w:trPr>
        <w:tc>
          <w:tcPr>
            <w:tcW w:w="626" w:type="pct"/>
            <w:vAlign w:val="center"/>
          </w:tcPr>
          <w:p w14:paraId="332E96C0" w14:textId="14E2B2AE" w:rsidR="00EB0321" w:rsidRPr="00886D8A" w:rsidRDefault="00EB0321" w:rsidP="004E36D3">
            <w:pPr>
              <w:pStyle w:val="TableText0"/>
            </w:pPr>
            <w:r w:rsidRPr="00886D8A">
              <w:t>rhLAMAN</w:t>
            </w:r>
            <w:r w:rsidR="0011024A">
              <w:noBreakHyphen/>
            </w:r>
            <w:r w:rsidRPr="00886D8A">
              <w:t>10</w:t>
            </w:r>
          </w:p>
        </w:tc>
        <w:tc>
          <w:tcPr>
            <w:tcW w:w="393" w:type="pct"/>
            <w:vAlign w:val="center"/>
          </w:tcPr>
          <w:p w14:paraId="1D5A24B6" w14:textId="77777777" w:rsidR="00EB0321" w:rsidRPr="00886D8A" w:rsidRDefault="00EB0321" w:rsidP="004E36D3">
            <w:pPr>
              <w:pStyle w:val="TableText0"/>
              <w:jc w:val="center"/>
            </w:pPr>
            <w:r w:rsidRPr="00886D8A">
              <w:t>33</w:t>
            </w:r>
          </w:p>
        </w:tc>
        <w:tc>
          <w:tcPr>
            <w:tcW w:w="1337" w:type="pct"/>
            <w:vAlign w:val="center"/>
          </w:tcPr>
          <w:p w14:paraId="263F0F3E" w14:textId="4CB8EA9E" w:rsidR="00EB0321" w:rsidRPr="00886D8A" w:rsidRDefault="00EB0321" w:rsidP="004E36D3">
            <w:pPr>
              <w:pStyle w:val="TableText0"/>
              <w:jc w:val="center"/>
            </w:pPr>
            <w:r w:rsidRPr="00886D8A">
              <w:t>Pooled data analysis from rhLAMAN</w:t>
            </w:r>
            <w:r w:rsidR="0011024A">
              <w:noBreakHyphen/>
            </w:r>
            <w:r w:rsidRPr="00886D8A">
              <w:t>10 data collection study and patients enrolled in rhLAMAN</w:t>
            </w:r>
            <w:r w:rsidR="0011024A">
              <w:noBreakHyphen/>
            </w:r>
            <w:r w:rsidRPr="00886D8A">
              <w:t>07 and rhLAMAN</w:t>
            </w:r>
            <w:r w:rsidR="0011024A">
              <w:noBreakHyphen/>
            </w:r>
            <w:r w:rsidRPr="00886D8A">
              <w:t xml:space="preserve">09; </w:t>
            </w:r>
            <w:r w:rsidR="2F2DEE2A" w:rsidRPr="00886D8A">
              <w:t>u</w:t>
            </w:r>
            <w:r w:rsidRPr="00886D8A">
              <w:t>p to 48 months of follow</w:t>
            </w:r>
            <w:r w:rsidR="0011024A">
              <w:noBreakHyphen/>
            </w:r>
            <w:r w:rsidRPr="00886D8A">
              <w:t>up</w:t>
            </w:r>
          </w:p>
        </w:tc>
        <w:tc>
          <w:tcPr>
            <w:tcW w:w="314" w:type="pct"/>
            <w:vAlign w:val="center"/>
          </w:tcPr>
          <w:p w14:paraId="5C388F0B" w14:textId="77777777" w:rsidR="00EB0321" w:rsidRPr="00886D8A" w:rsidRDefault="00EB0321" w:rsidP="004E36D3">
            <w:pPr>
              <w:pStyle w:val="TableText0"/>
              <w:jc w:val="center"/>
            </w:pPr>
            <w:r w:rsidRPr="00886D8A">
              <w:t>High</w:t>
            </w:r>
          </w:p>
        </w:tc>
        <w:tc>
          <w:tcPr>
            <w:tcW w:w="699" w:type="pct"/>
            <w:vAlign w:val="center"/>
          </w:tcPr>
          <w:p w14:paraId="00D48AD1" w14:textId="77777777" w:rsidR="00EB0321" w:rsidRPr="00886D8A" w:rsidRDefault="00EB0321" w:rsidP="004E36D3">
            <w:pPr>
              <w:pStyle w:val="TableText0"/>
              <w:jc w:val="center"/>
            </w:pPr>
            <w:r w:rsidRPr="00886D8A">
              <w:t>Patients with AM</w:t>
            </w:r>
          </w:p>
        </w:tc>
        <w:tc>
          <w:tcPr>
            <w:tcW w:w="1031" w:type="pct"/>
            <w:vAlign w:val="center"/>
          </w:tcPr>
          <w:p w14:paraId="74DE2407" w14:textId="5C618F19" w:rsidR="00EB0321" w:rsidRPr="00886D8A" w:rsidRDefault="00EB0321" w:rsidP="004E36D3">
            <w:pPr>
              <w:pStyle w:val="TableText0"/>
              <w:jc w:val="center"/>
            </w:pPr>
            <w:r w:rsidRPr="00886D8A">
              <w:t>Serum oligosaccharides levels, 3MSCT, 6MWT, FVC %, CHAQ,</w:t>
            </w:r>
            <w:r w:rsidR="00873435" w:rsidRPr="00886D8A">
              <w:br/>
            </w:r>
            <w:r w:rsidRPr="00886D8A">
              <w:t xml:space="preserve"> EQ</w:t>
            </w:r>
            <w:r w:rsidR="0011024A">
              <w:noBreakHyphen/>
            </w:r>
            <w:r w:rsidRPr="00886D8A">
              <w:t>5D</w:t>
            </w:r>
            <w:r w:rsidR="0011024A">
              <w:noBreakHyphen/>
            </w:r>
            <w:r w:rsidR="00D343AE" w:rsidRPr="00886D8A">
              <w:t>5L</w:t>
            </w:r>
            <w:r w:rsidRPr="00886D8A">
              <w:t>, TEAE</w:t>
            </w:r>
          </w:p>
        </w:tc>
        <w:tc>
          <w:tcPr>
            <w:tcW w:w="600" w:type="pct"/>
            <w:vAlign w:val="center"/>
          </w:tcPr>
          <w:p w14:paraId="091911EA" w14:textId="0DD921A2" w:rsidR="00EB0321" w:rsidRPr="00886D8A" w:rsidRDefault="00EB0321" w:rsidP="004E36D3">
            <w:pPr>
              <w:pStyle w:val="TableText0"/>
              <w:jc w:val="center"/>
            </w:pPr>
            <w:r w:rsidRPr="00886D8A">
              <w:t>QoL outcomes</w:t>
            </w:r>
            <w:r w:rsidR="00B054C1" w:rsidRPr="00886D8A">
              <w:t xml:space="preserve"> (CHAQ) to inform transition probabilities</w:t>
            </w:r>
          </w:p>
        </w:tc>
      </w:tr>
      <w:tr w:rsidR="00EB0321" w:rsidRPr="00886D8A" w14:paraId="0F3DF93C" w14:textId="77777777" w:rsidTr="0629D7D2">
        <w:trPr>
          <w:cantSplit/>
        </w:trPr>
        <w:tc>
          <w:tcPr>
            <w:tcW w:w="626" w:type="pct"/>
            <w:vAlign w:val="center"/>
          </w:tcPr>
          <w:p w14:paraId="6884EB71" w14:textId="29F04C02" w:rsidR="00EB0321" w:rsidRPr="00886D8A" w:rsidRDefault="00EB0321" w:rsidP="004E36D3">
            <w:pPr>
              <w:pStyle w:val="TableText0"/>
            </w:pPr>
            <w:r w:rsidRPr="00886D8A">
              <w:t>rhLAMAN</w:t>
            </w:r>
            <w:r w:rsidR="0011024A">
              <w:noBreakHyphen/>
            </w:r>
            <w:r w:rsidRPr="00886D8A">
              <w:t>11</w:t>
            </w:r>
          </w:p>
        </w:tc>
        <w:tc>
          <w:tcPr>
            <w:tcW w:w="393" w:type="pct"/>
            <w:vAlign w:val="center"/>
          </w:tcPr>
          <w:p w14:paraId="4E492C3C" w14:textId="77777777" w:rsidR="00EB0321" w:rsidRPr="00886D8A" w:rsidRDefault="00EB0321" w:rsidP="004E36D3">
            <w:pPr>
              <w:pStyle w:val="TableText0"/>
              <w:jc w:val="center"/>
            </w:pPr>
            <w:r w:rsidRPr="00886D8A">
              <w:t>33</w:t>
            </w:r>
          </w:p>
        </w:tc>
        <w:tc>
          <w:tcPr>
            <w:tcW w:w="1337" w:type="pct"/>
            <w:vAlign w:val="center"/>
          </w:tcPr>
          <w:p w14:paraId="6832DFFF" w14:textId="68F6AD25" w:rsidR="00EB0321" w:rsidRPr="00886D8A" w:rsidRDefault="00EB0321" w:rsidP="004E36D3">
            <w:pPr>
              <w:pStyle w:val="TableText0"/>
              <w:jc w:val="center"/>
            </w:pPr>
            <w:r w:rsidRPr="00886D8A">
              <w:t>An update of rhLAMAN</w:t>
            </w:r>
            <w:r w:rsidR="0011024A">
              <w:noBreakHyphen/>
            </w:r>
            <w:r w:rsidRPr="00886D8A">
              <w:t>10</w:t>
            </w:r>
            <w:r w:rsidR="1E4A1CD7" w:rsidRPr="00886D8A">
              <w:t>;</w:t>
            </w:r>
          </w:p>
          <w:p w14:paraId="02C8308D" w14:textId="47676A9B" w:rsidR="00EB0321" w:rsidRPr="00886D8A" w:rsidRDefault="04F73517" w:rsidP="004E36D3">
            <w:pPr>
              <w:pStyle w:val="TableText0"/>
              <w:jc w:val="center"/>
            </w:pPr>
            <w:r w:rsidRPr="00886D8A">
              <w:t>u</w:t>
            </w:r>
            <w:r w:rsidR="00EB0321" w:rsidRPr="00886D8A">
              <w:t>p to 144 months of follow</w:t>
            </w:r>
            <w:r w:rsidR="0011024A">
              <w:noBreakHyphen/>
            </w:r>
            <w:r w:rsidR="00EB0321" w:rsidRPr="00886D8A">
              <w:t>up</w:t>
            </w:r>
          </w:p>
        </w:tc>
        <w:tc>
          <w:tcPr>
            <w:tcW w:w="314" w:type="pct"/>
            <w:vAlign w:val="center"/>
          </w:tcPr>
          <w:p w14:paraId="54FB4ED0" w14:textId="77777777" w:rsidR="00EB0321" w:rsidRPr="00886D8A" w:rsidRDefault="00EB0321" w:rsidP="004E36D3">
            <w:pPr>
              <w:pStyle w:val="TableText0"/>
              <w:jc w:val="center"/>
            </w:pPr>
            <w:r w:rsidRPr="00886D8A">
              <w:t>High</w:t>
            </w:r>
          </w:p>
        </w:tc>
        <w:tc>
          <w:tcPr>
            <w:tcW w:w="699" w:type="pct"/>
            <w:vAlign w:val="center"/>
          </w:tcPr>
          <w:p w14:paraId="480B673E" w14:textId="77777777" w:rsidR="00EB0321" w:rsidRPr="00886D8A" w:rsidRDefault="00EB0321" w:rsidP="004E36D3">
            <w:pPr>
              <w:pStyle w:val="TableText0"/>
              <w:jc w:val="center"/>
            </w:pPr>
            <w:r w:rsidRPr="00886D8A">
              <w:t>Patients with AM</w:t>
            </w:r>
          </w:p>
        </w:tc>
        <w:tc>
          <w:tcPr>
            <w:tcW w:w="1031" w:type="pct"/>
            <w:vAlign w:val="center"/>
          </w:tcPr>
          <w:p w14:paraId="788492A8" w14:textId="2B2E83A7" w:rsidR="00EB0321" w:rsidRPr="00886D8A" w:rsidRDefault="00EB0321" w:rsidP="004E36D3">
            <w:pPr>
              <w:pStyle w:val="TableText0"/>
              <w:jc w:val="center"/>
            </w:pPr>
            <w:r w:rsidRPr="00886D8A">
              <w:t xml:space="preserve">Serum oligosaccharides levels, 3MSCT, 6MWT, FVC %, CHAQ, </w:t>
            </w:r>
            <w:r w:rsidR="00873435" w:rsidRPr="00886D8A">
              <w:br/>
            </w:r>
            <w:r w:rsidRPr="00886D8A">
              <w:t>EQ</w:t>
            </w:r>
            <w:r w:rsidR="0011024A">
              <w:noBreakHyphen/>
            </w:r>
            <w:r w:rsidRPr="00886D8A">
              <w:t>5D</w:t>
            </w:r>
            <w:r w:rsidR="0011024A">
              <w:noBreakHyphen/>
            </w:r>
            <w:r w:rsidR="00D343AE" w:rsidRPr="00886D8A">
              <w:t>5L</w:t>
            </w:r>
          </w:p>
        </w:tc>
        <w:tc>
          <w:tcPr>
            <w:tcW w:w="600" w:type="pct"/>
            <w:vAlign w:val="center"/>
          </w:tcPr>
          <w:p w14:paraId="10FB2EC5" w14:textId="77777777" w:rsidR="00EB0321" w:rsidRPr="00886D8A" w:rsidRDefault="00EB0321" w:rsidP="004E36D3">
            <w:pPr>
              <w:pStyle w:val="TableText0"/>
              <w:jc w:val="center"/>
            </w:pPr>
            <w:r w:rsidRPr="00886D8A">
              <w:t>Not used</w:t>
            </w:r>
          </w:p>
        </w:tc>
      </w:tr>
      <w:tr w:rsidR="00EB0321" w:rsidRPr="00886D8A" w14:paraId="7960D61B" w14:textId="77777777" w:rsidTr="0629D7D2">
        <w:trPr>
          <w:cantSplit/>
        </w:trPr>
        <w:tc>
          <w:tcPr>
            <w:tcW w:w="626" w:type="pct"/>
            <w:vAlign w:val="center"/>
          </w:tcPr>
          <w:p w14:paraId="578F3914" w14:textId="106D3E46" w:rsidR="00EB0321" w:rsidRPr="00886D8A" w:rsidRDefault="00EB0321" w:rsidP="004E36D3">
            <w:pPr>
              <w:pStyle w:val="TableText0"/>
            </w:pPr>
            <w:r w:rsidRPr="00886D8A">
              <w:t>rhLAMAN</w:t>
            </w:r>
            <w:r w:rsidR="0011024A">
              <w:noBreakHyphen/>
            </w:r>
            <w:r w:rsidRPr="00886D8A">
              <w:t>08</w:t>
            </w:r>
          </w:p>
        </w:tc>
        <w:tc>
          <w:tcPr>
            <w:tcW w:w="393" w:type="pct"/>
            <w:vAlign w:val="center"/>
          </w:tcPr>
          <w:p w14:paraId="2C8D9CA4" w14:textId="77777777" w:rsidR="00EB0321" w:rsidRPr="00886D8A" w:rsidRDefault="00EB0321" w:rsidP="004E36D3">
            <w:pPr>
              <w:pStyle w:val="TableText0"/>
              <w:jc w:val="center"/>
            </w:pPr>
            <w:r w:rsidRPr="00886D8A">
              <w:t>5</w:t>
            </w:r>
          </w:p>
        </w:tc>
        <w:tc>
          <w:tcPr>
            <w:tcW w:w="1337" w:type="pct"/>
            <w:vAlign w:val="center"/>
          </w:tcPr>
          <w:p w14:paraId="4FBF1A64" w14:textId="77777777" w:rsidR="00EB0321" w:rsidRPr="00886D8A" w:rsidRDefault="00EB0321" w:rsidP="004E36D3">
            <w:pPr>
              <w:pStyle w:val="TableText0"/>
              <w:jc w:val="center"/>
            </w:pPr>
            <w:r w:rsidRPr="00886D8A">
              <w:t>Phase II, MC, OL</w:t>
            </w:r>
          </w:p>
          <w:p w14:paraId="71644DDC" w14:textId="45A00FED" w:rsidR="00EB0321" w:rsidRPr="00886D8A" w:rsidRDefault="00EB0321" w:rsidP="004E36D3">
            <w:pPr>
              <w:pStyle w:val="TableText0"/>
              <w:jc w:val="center"/>
            </w:pPr>
            <w:r w:rsidRPr="00886D8A">
              <w:t xml:space="preserve">24 months </w:t>
            </w:r>
            <w:r w:rsidR="0018129B" w:rsidRPr="00886D8A">
              <w:br/>
            </w:r>
            <w:r w:rsidRPr="00886D8A">
              <w:t>(40 months for 1 patient)</w:t>
            </w:r>
          </w:p>
        </w:tc>
        <w:tc>
          <w:tcPr>
            <w:tcW w:w="314" w:type="pct"/>
            <w:vAlign w:val="center"/>
          </w:tcPr>
          <w:p w14:paraId="300BE177" w14:textId="77777777" w:rsidR="00EB0321" w:rsidRPr="00886D8A" w:rsidRDefault="00EB0321" w:rsidP="004E36D3">
            <w:pPr>
              <w:pStyle w:val="TableText0"/>
              <w:jc w:val="center"/>
            </w:pPr>
            <w:r w:rsidRPr="00886D8A">
              <w:t>High</w:t>
            </w:r>
          </w:p>
        </w:tc>
        <w:tc>
          <w:tcPr>
            <w:tcW w:w="699" w:type="pct"/>
            <w:vAlign w:val="center"/>
          </w:tcPr>
          <w:p w14:paraId="52D5657A" w14:textId="438A0003" w:rsidR="00EB0321" w:rsidRPr="00886D8A" w:rsidRDefault="00EB0321" w:rsidP="004E36D3">
            <w:pPr>
              <w:pStyle w:val="TableText0"/>
              <w:jc w:val="center"/>
            </w:pPr>
            <w:r w:rsidRPr="00886D8A">
              <w:t xml:space="preserve"> Paediatric </w:t>
            </w:r>
            <w:r w:rsidR="7568C015" w:rsidRPr="00886D8A">
              <w:t>patients (</w:t>
            </w:r>
            <w:r w:rsidRPr="00886D8A">
              <w:t>&lt;6 years) with AM</w:t>
            </w:r>
          </w:p>
        </w:tc>
        <w:tc>
          <w:tcPr>
            <w:tcW w:w="1031" w:type="pct"/>
            <w:vAlign w:val="center"/>
          </w:tcPr>
          <w:p w14:paraId="5FA2CB97" w14:textId="77777777" w:rsidR="00EB0321" w:rsidRPr="00886D8A" w:rsidRDefault="00EB0321" w:rsidP="004E36D3">
            <w:pPr>
              <w:pStyle w:val="TableText0"/>
              <w:jc w:val="center"/>
            </w:pPr>
            <w:r w:rsidRPr="00886D8A">
              <w:t>Serum oligosaccharides levels, 3MSCT, 6MWT, FVC %, PEDI, TEAE</w:t>
            </w:r>
          </w:p>
        </w:tc>
        <w:tc>
          <w:tcPr>
            <w:tcW w:w="600" w:type="pct"/>
            <w:vAlign w:val="center"/>
          </w:tcPr>
          <w:p w14:paraId="03694AA2" w14:textId="77777777" w:rsidR="00EB0321" w:rsidRPr="00886D8A" w:rsidRDefault="00EB0321" w:rsidP="004E36D3">
            <w:pPr>
              <w:pStyle w:val="TableText0"/>
              <w:jc w:val="center"/>
            </w:pPr>
            <w:r w:rsidRPr="00886D8A">
              <w:t>Not used</w:t>
            </w:r>
          </w:p>
        </w:tc>
      </w:tr>
    </w:tbl>
    <w:p w14:paraId="1302BEED" w14:textId="0F843D60" w:rsidR="00EB0321" w:rsidRPr="00886D8A" w:rsidRDefault="00EB0321" w:rsidP="004E36D3">
      <w:pPr>
        <w:pStyle w:val="FooterTableFigure"/>
      </w:pPr>
      <w:r w:rsidRPr="00886D8A">
        <w:t>Source: Table 2.2</w:t>
      </w:r>
      <w:r w:rsidR="0011024A">
        <w:noBreakHyphen/>
      </w:r>
      <w:r w:rsidRPr="00886D8A">
        <w:t>3, pp39</w:t>
      </w:r>
      <w:r w:rsidR="0011024A">
        <w:noBreakHyphen/>
      </w:r>
      <w:r w:rsidRPr="00886D8A">
        <w:t>40 and Table 2.4</w:t>
      </w:r>
      <w:r w:rsidR="0011024A">
        <w:noBreakHyphen/>
      </w:r>
      <w:r w:rsidRPr="00886D8A">
        <w:t>4, p60 of the submission.</w:t>
      </w:r>
    </w:p>
    <w:p w14:paraId="6B6339F9" w14:textId="715F1707" w:rsidR="00EB0321" w:rsidRPr="00886D8A" w:rsidRDefault="00EB0321" w:rsidP="004E36D3">
      <w:pPr>
        <w:pStyle w:val="FooterTableFigure"/>
        <w:rPr>
          <w:sz w:val="20"/>
          <w:szCs w:val="20"/>
        </w:rPr>
      </w:pPr>
      <w:r w:rsidRPr="00886D8A">
        <w:t>3MSCT = 3</w:t>
      </w:r>
      <w:r w:rsidR="0011024A">
        <w:noBreakHyphen/>
      </w:r>
      <w:r w:rsidRPr="00886D8A">
        <w:t>minute stair climb test; 6MWT = 6</w:t>
      </w:r>
      <w:r w:rsidR="0011024A">
        <w:noBreakHyphen/>
      </w:r>
      <w:r w:rsidRPr="00886D8A">
        <w:t>minute walk test; AM = alpha</w:t>
      </w:r>
      <w:r w:rsidR="0011024A">
        <w:noBreakHyphen/>
      </w:r>
      <w:r w:rsidRPr="00886D8A">
        <w:t>mannosidosis; BSC = best supportive care; CHAQ = Childhood Health Assessment Questionnaire; DB = double blind; EQ</w:t>
      </w:r>
      <w:r w:rsidR="0011024A">
        <w:noBreakHyphen/>
      </w:r>
      <w:r w:rsidRPr="00886D8A">
        <w:t>5D</w:t>
      </w:r>
      <w:r w:rsidR="0011024A">
        <w:noBreakHyphen/>
      </w:r>
      <w:r w:rsidRPr="00886D8A">
        <w:t>5L = EuroQol</w:t>
      </w:r>
      <w:r w:rsidR="0011024A">
        <w:noBreakHyphen/>
      </w:r>
      <w:r w:rsidRPr="00886D8A">
        <w:t>five dimension</w:t>
      </w:r>
      <w:r w:rsidR="0011024A">
        <w:noBreakHyphen/>
      </w:r>
      <w:r w:rsidRPr="00886D8A">
        <w:t>five level questionnaire; FVC = forced vital capacity; MC = multi</w:t>
      </w:r>
      <w:r w:rsidR="0011024A">
        <w:noBreakHyphen/>
      </w:r>
      <w:r w:rsidRPr="00886D8A">
        <w:t xml:space="preserve">centre; </w:t>
      </w:r>
      <w:r w:rsidR="34AEA6F2" w:rsidRPr="00886D8A">
        <w:t xml:space="preserve">N = total participants in group; </w:t>
      </w:r>
      <w:r w:rsidRPr="00886D8A">
        <w:t xml:space="preserve">OL = open label; OS = overall survival; </w:t>
      </w:r>
      <w:r w:rsidR="0E7C0275" w:rsidRPr="00886D8A">
        <w:t xml:space="preserve">PBO = placebo; </w:t>
      </w:r>
      <w:r w:rsidRPr="00886D8A">
        <w:t xml:space="preserve">PEDI = Paediatric Evaluation of Disability Inventory; R = randomised; </w:t>
      </w:r>
      <w:r w:rsidR="17E8861F" w:rsidRPr="00886D8A">
        <w:t>TEAE = treatment</w:t>
      </w:r>
      <w:r w:rsidR="0011024A">
        <w:noBreakHyphen/>
      </w:r>
      <w:r w:rsidR="17E8861F" w:rsidRPr="00886D8A">
        <w:t xml:space="preserve">emergent adverse event; </w:t>
      </w:r>
      <w:r w:rsidRPr="00886D8A">
        <w:t>VA = velmanase alfa.</w:t>
      </w:r>
    </w:p>
    <w:p w14:paraId="6673A778" w14:textId="5D8EF2E5" w:rsidR="00CE50BF" w:rsidRPr="00886D8A" w:rsidRDefault="00EB0321" w:rsidP="004E36D3">
      <w:pPr>
        <w:pStyle w:val="3-BodyText"/>
      </w:pPr>
      <w:bookmarkStart w:id="35" w:name="_Hlk197076502"/>
      <w:r w:rsidRPr="00886D8A">
        <w:t>Comparative efficacy was assessed in a placebo</w:t>
      </w:r>
      <w:r w:rsidR="0011024A">
        <w:noBreakHyphen/>
      </w:r>
      <w:r w:rsidRPr="00886D8A">
        <w:t>controlled phase III study (rhLAMAN</w:t>
      </w:r>
      <w:r w:rsidR="0011024A">
        <w:noBreakHyphen/>
      </w:r>
      <w:r w:rsidRPr="00886D8A">
        <w:t xml:space="preserve">05; n=25; 12 months). After </w:t>
      </w:r>
      <w:r w:rsidR="00703E35" w:rsidRPr="00886D8A">
        <w:t>this</w:t>
      </w:r>
      <w:r w:rsidRPr="00886D8A">
        <w:t>, patients continued treatment through after</w:t>
      </w:r>
      <w:r w:rsidR="0011024A">
        <w:noBreakHyphen/>
      </w:r>
      <w:r w:rsidRPr="00886D8A">
        <w:t>trial care studies, rhLAMAN</w:t>
      </w:r>
      <w:r w:rsidR="0011024A">
        <w:noBreakHyphen/>
      </w:r>
      <w:r w:rsidRPr="00886D8A">
        <w:t>07 (n=13; 144 months follow</w:t>
      </w:r>
      <w:r w:rsidR="0011024A">
        <w:noBreakHyphen/>
      </w:r>
      <w:r w:rsidRPr="00886D8A">
        <w:t>up) and rhLAMAN</w:t>
      </w:r>
      <w:r w:rsidR="0011024A">
        <w:noBreakHyphen/>
      </w:r>
      <w:r w:rsidRPr="00886D8A">
        <w:t>09 (n=8; 136 months), or via compassionate use (n=20) as per national regulations. The rhLAMAN</w:t>
      </w:r>
      <w:r w:rsidR="0011024A">
        <w:noBreakHyphen/>
      </w:r>
      <w:r w:rsidRPr="00886D8A">
        <w:t>10 integrated study (n=33; up to 48 months) combined data from early</w:t>
      </w:r>
      <w:r w:rsidR="0011024A">
        <w:noBreakHyphen/>
      </w:r>
      <w:r w:rsidRPr="00886D8A">
        <w:t>phase, phase III, after</w:t>
      </w:r>
      <w:r w:rsidR="0011024A">
        <w:noBreakHyphen/>
      </w:r>
      <w:r w:rsidRPr="00886D8A">
        <w:t>trial care, and compassionate use cohorts. rhLAMAN</w:t>
      </w:r>
      <w:r w:rsidR="0011024A">
        <w:noBreakHyphen/>
      </w:r>
      <w:r w:rsidRPr="00886D8A">
        <w:t>11 (n=33; up to 144 months) provides an update to rhLAMAN</w:t>
      </w:r>
      <w:r w:rsidR="0011024A">
        <w:noBreakHyphen/>
      </w:r>
      <w:r w:rsidRPr="00886D8A">
        <w:t>10, incorporating seven additional years of follow</w:t>
      </w:r>
      <w:r w:rsidR="0011024A">
        <w:noBreakHyphen/>
      </w:r>
      <w:r w:rsidRPr="00886D8A">
        <w:t>up from rhLAMAN</w:t>
      </w:r>
      <w:r w:rsidR="0011024A">
        <w:noBreakHyphen/>
      </w:r>
      <w:r w:rsidRPr="00886D8A">
        <w:t>07 and rhLAMAN</w:t>
      </w:r>
      <w:r w:rsidR="0011024A">
        <w:noBreakHyphen/>
      </w:r>
      <w:r w:rsidRPr="00886D8A">
        <w:t>09. A separate phase II study in paediatric patients under six years (rhLAMAN</w:t>
      </w:r>
      <w:r w:rsidR="0011024A">
        <w:noBreakHyphen/>
      </w:r>
      <w:r w:rsidRPr="00886D8A">
        <w:t xml:space="preserve">08; n=5; 24 months) was also conducted. </w:t>
      </w:r>
    </w:p>
    <w:bookmarkEnd w:id="35"/>
    <w:p w14:paraId="09B71ADD" w14:textId="4FF72CCF" w:rsidR="00EB0321" w:rsidRPr="00886D8A" w:rsidRDefault="00EB0321" w:rsidP="004E36D3">
      <w:pPr>
        <w:pStyle w:val="3-BodyText"/>
      </w:pPr>
      <w:r w:rsidRPr="00886D8A">
        <w:t xml:space="preserve">As stated in paragraph </w:t>
      </w:r>
      <w:r w:rsidRPr="00886D8A">
        <w:fldChar w:fldCharType="begin"/>
      </w:r>
      <w:r w:rsidRPr="00886D8A">
        <w:instrText xml:space="preserve"> REF _Ref197493940 \r \h  \* MERGEFORMAT </w:instrText>
      </w:r>
      <w:r w:rsidRPr="00886D8A">
        <w:fldChar w:fldCharType="separate"/>
      </w:r>
      <w:r w:rsidR="00B73A9E">
        <w:t>6.4</w:t>
      </w:r>
      <w:r w:rsidRPr="00886D8A">
        <w:fldChar w:fldCharType="end"/>
      </w:r>
      <w:r w:rsidRPr="00886D8A">
        <w:t>, rhLAMAN</w:t>
      </w:r>
      <w:r w:rsidR="0011024A">
        <w:noBreakHyphen/>
      </w:r>
      <w:r w:rsidRPr="00886D8A">
        <w:t>05 is the only comparative study for velmanase alfa compared to BSC. The co</w:t>
      </w:r>
      <w:r w:rsidR="0011024A">
        <w:noBreakHyphen/>
      </w:r>
      <w:r w:rsidRPr="00886D8A">
        <w:t>primary efficacy outcomes of the rhLAMAN</w:t>
      </w:r>
      <w:r w:rsidR="0011024A">
        <w:noBreakHyphen/>
      </w:r>
      <w:r w:rsidRPr="00886D8A">
        <w:t>05 trial were changes from baseline to Month 12 in serum oligosaccharide levels and 3</w:t>
      </w:r>
      <w:r w:rsidR="0011024A">
        <w:noBreakHyphen/>
      </w:r>
      <w:r w:rsidRPr="00886D8A">
        <w:t>minute stair climbing test (3MSCT). The prioritised secondary efficacy outcomes were the changes from baseline to Month 12 in the 6</w:t>
      </w:r>
      <w:r w:rsidR="0011024A">
        <w:noBreakHyphen/>
      </w:r>
      <w:r w:rsidRPr="00886D8A">
        <w:t>minute walk test (6MWT) and forced vital capacity percentage (FVC % predicted). Additional secondary efficacy outcomes included in the submission were Childhood Health Assessment Questionnaire (CHAQ) and EuroQol</w:t>
      </w:r>
      <w:r>
        <w:t xml:space="preserve"> </w:t>
      </w:r>
      <w:r w:rsidRPr="00886D8A">
        <w:t>five</w:t>
      </w:r>
      <w:r w:rsidR="0011024A">
        <w:noBreakHyphen/>
      </w:r>
      <w:r w:rsidRPr="00886D8A">
        <w:t>dimension</w:t>
      </w:r>
      <w:r>
        <w:t xml:space="preserve"> </w:t>
      </w:r>
      <w:r w:rsidRPr="00886D8A">
        <w:t>five</w:t>
      </w:r>
      <w:r w:rsidR="0011024A">
        <w:noBreakHyphen/>
      </w:r>
      <w:r w:rsidRPr="00886D8A">
        <w:t>level questionnaire (EQ</w:t>
      </w:r>
      <w:r w:rsidR="0011024A">
        <w:noBreakHyphen/>
      </w:r>
      <w:r w:rsidRPr="00886D8A">
        <w:t>5D</w:t>
      </w:r>
      <w:r w:rsidR="0011024A">
        <w:noBreakHyphen/>
      </w:r>
      <w:r w:rsidRPr="00886D8A">
        <w:t xml:space="preserve">5L). </w:t>
      </w:r>
    </w:p>
    <w:p w14:paraId="0571FE30" w14:textId="5431DEAD" w:rsidR="004F2F58" w:rsidRPr="00886D8A" w:rsidRDefault="5DD88181" w:rsidP="004E36D3">
      <w:pPr>
        <w:pStyle w:val="3-BodyText"/>
      </w:pPr>
      <w:r w:rsidRPr="00886D8A">
        <w:t xml:space="preserve">The submission highlighted serum oligosaccharide levels as a key biomarker reflecting the cellular level effect of velmanase alfa and as a marker of potential complications of AM. While this was accepted by </w:t>
      </w:r>
      <w:r w:rsidR="152897C9" w:rsidRPr="00886D8A">
        <w:t xml:space="preserve">the </w:t>
      </w:r>
      <w:r w:rsidR="09E11035" w:rsidRPr="00886D8A">
        <w:t>National Institute of Care and Excellence (</w:t>
      </w:r>
      <w:r w:rsidRPr="00886D8A">
        <w:t>NICE</w:t>
      </w:r>
      <w:r w:rsidR="09E11035" w:rsidRPr="00886D8A">
        <w:t>;</w:t>
      </w:r>
      <w:r w:rsidR="00802E49" w:rsidRPr="00886D8A">
        <w:t xml:space="preserve"> </w:t>
      </w:r>
      <w:r w:rsidRPr="00886D8A">
        <w:t xml:space="preserve">HST29, 2023), </w:t>
      </w:r>
      <w:r w:rsidR="003F66C7" w:rsidRPr="00886D8A">
        <w:t xml:space="preserve">uncertainty </w:t>
      </w:r>
      <w:r w:rsidR="004F2F58" w:rsidRPr="00886D8A">
        <w:t>remained regarding the nature and extent of the associated clinical benefits. Based on experience with other lysosomal storage disorders, substrate reduction through ERT may provide clinical benefits; however, outcomes can vary depending on the specific condition and the reversibility of its complications. The correlation between serum oligosaccharide levels and clinical outcomes appeared limited, and the ability to assess surrogacy was constrained by the trial design and small sample size</w:t>
      </w:r>
      <w:r w:rsidR="00625E7B" w:rsidRPr="00886D8A">
        <w:t>.</w:t>
      </w:r>
    </w:p>
    <w:p w14:paraId="29186A72" w14:textId="7E5E6FD8" w:rsidR="00C25C3D" w:rsidRPr="00886D8A" w:rsidRDefault="00EB0321" w:rsidP="004E36D3">
      <w:pPr>
        <w:pStyle w:val="3-BodyText"/>
        <w:rPr>
          <w:rFonts w:eastAsia="Calibri"/>
        </w:rPr>
      </w:pPr>
      <w:r w:rsidRPr="00886D8A">
        <w:t>Within the rhLAMAN</w:t>
      </w:r>
      <w:r w:rsidR="0011024A">
        <w:noBreakHyphen/>
      </w:r>
      <w:r w:rsidRPr="00886D8A">
        <w:t xml:space="preserve">05 trial, the demographic and disease characteristics of the patients were generally balanced across the two arms. </w:t>
      </w:r>
      <w:r w:rsidR="000E75E1" w:rsidRPr="00886D8A">
        <w:t>Notably</w:t>
      </w:r>
      <w:r w:rsidRPr="00886D8A">
        <w:t>, the two arms were less balanced in terms of 3MSCT, 6MWT, FVC, CHAQ</w:t>
      </w:r>
      <w:r w:rsidR="0011024A">
        <w:noBreakHyphen/>
      </w:r>
      <w:r w:rsidRPr="00886D8A">
        <w:t xml:space="preserve">Disability Index (DI) score, with a higher proportion of more compromised </w:t>
      </w:r>
      <w:r w:rsidR="0067285E" w:rsidRPr="00886D8A">
        <w:t xml:space="preserve">(lower </w:t>
      </w:r>
      <w:r w:rsidR="00BB06D2" w:rsidRPr="00886D8A">
        <w:t>3MSCT, 6MWT, FVC, and CHAQ</w:t>
      </w:r>
      <w:r w:rsidR="0011024A">
        <w:noBreakHyphen/>
      </w:r>
      <w:r w:rsidR="00BB06D2" w:rsidRPr="00886D8A">
        <w:t xml:space="preserve">DI score) </w:t>
      </w:r>
      <w:r w:rsidRPr="00886D8A">
        <w:t xml:space="preserve">patients randomised to the velmanase alfa arm. However, the direction of bias remains unclear, as it is unknown how the higher proportion of </w:t>
      </w:r>
      <w:r w:rsidR="002A01AA" w:rsidRPr="00886D8A">
        <w:t>severely affected</w:t>
      </w:r>
      <w:r w:rsidRPr="00886D8A">
        <w:t xml:space="preserve"> patients in the velmanase alfa arm compared with the BSC arm would affect the efficacy estimates. Compromised patients may have greater potential for improvement, or conversely, may experiences irreversible deterioration due to the disease. </w:t>
      </w:r>
      <w:r w:rsidR="00C25C3D" w:rsidRPr="00886D8A">
        <w:rPr>
          <w:rFonts w:eastAsia="Calibri"/>
        </w:rPr>
        <w:t xml:space="preserve">The </w:t>
      </w:r>
      <w:r w:rsidR="278BE2B0" w:rsidRPr="278BE2B0">
        <w:rPr>
          <w:rFonts w:eastAsia="Calibri"/>
        </w:rPr>
        <w:t xml:space="preserve">Pre-Sub-Committee Response </w:t>
      </w:r>
      <w:r w:rsidR="00C25C3D" w:rsidRPr="00886D8A">
        <w:rPr>
          <w:rFonts w:eastAsia="Calibri"/>
        </w:rPr>
        <w:t>PSCR agreed that the potential direction of the bias was difficult to quantify but</w:t>
      </w:r>
      <w:r w:rsidR="007D34BB" w:rsidRPr="00886D8A">
        <w:rPr>
          <w:rFonts w:eastAsia="Calibri"/>
        </w:rPr>
        <w:t>,</w:t>
      </w:r>
      <w:r w:rsidR="00C25C3D" w:rsidRPr="00886D8A">
        <w:rPr>
          <w:rFonts w:eastAsia="Calibri"/>
        </w:rPr>
        <w:t xml:space="preserve"> not</w:t>
      </w:r>
      <w:r w:rsidR="007D34BB" w:rsidRPr="00886D8A">
        <w:rPr>
          <w:rFonts w:eastAsia="Calibri"/>
        </w:rPr>
        <w:t>ing</w:t>
      </w:r>
      <w:r w:rsidR="00C25C3D" w:rsidRPr="00886D8A">
        <w:rPr>
          <w:rFonts w:eastAsia="Calibri"/>
        </w:rPr>
        <w:t xml:space="preserve"> the progressive and irreversible nature of AM, patients with advanced or more severe disease typically accumulate damage that limits their capacity for improvement. As a result, it is unlikely that patients with more severe disease would experience greater benefits from treatment compared to those with milder forms of the condition.</w:t>
      </w:r>
    </w:p>
    <w:p w14:paraId="6C7558BD" w14:textId="197B0A4A" w:rsidR="00BB06D2" w:rsidRPr="00886D8A" w:rsidRDefault="00EB0321" w:rsidP="004E36D3">
      <w:pPr>
        <w:pStyle w:val="3-BodyText"/>
        <w:rPr>
          <w:color w:val="0066FF"/>
        </w:rPr>
      </w:pPr>
      <w:r w:rsidRPr="00886D8A">
        <w:t>Minimal clinically important differences (MCID) for the clinical endpoints have not been previously defined for patients with AM. The submission obtained evidence from AM registry (SPARKLE), literature review, and a clinical expert to define de novo MCIDs.</w:t>
      </w:r>
      <w:r w:rsidRPr="00886D8A">
        <w:rPr>
          <w:color w:val="0066FF"/>
        </w:rPr>
        <w:t xml:space="preserve"> </w:t>
      </w:r>
    </w:p>
    <w:p w14:paraId="431EFCDA" w14:textId="3242C281" w:rsidR="00C90C43" w:rsidRPr="00886D8A" w:rsidRDefault="003C39BB" w:rsidP="004E36D3">
      <w:pPr>
        <w:pStyle w:val="3-BodyText"/>
      </w:pPr>
      <w:r w:rsidRPr="00886D8A">
        <w:t>O</w:t>
      </w:r>
      <w:r w:rsidR="00C90C43" w:rsidRPr="00886D8A">
        <w:t xml:space="preserve">utcome measures, such as the 3MSCT, may be too physically demanding for individuals with impaired mobility or balance, limiting their suitability for assessing meaningful clinical change. Although the 6MWT is widely used, its results can be influenced by patient motivation and environmental factors such as space availability. Moreover, in individuals with relatively high baseline function, ceiling effects may prevent detection of small but clinically important improvements. </w:t>
      </w:r>
    </w:p>
    <w:p w14:paraId="5F917356" w14:textId="6A271B3E" w:rsidR="00EB0321" w:rsidRPr="00886D8A" w:rsidRDefault="00EB0321" w:rsidP="004E36D3">
      <w:pPr>
        <w:pStyle w:val="3-BodyText"/>
        <w:rPr>
          <w:color w:val="0066FF"/>
        </w:rPr>
      </w:pPr>
      <w:r w:rsidRPr="00886D8A">
        <w:t>The table below summarises the MCID</w:t>
      </w:r>
      <w:r w:rsidR="00AD1B0E" w:rsidRPr="00886D8A">
        <w:t>/</w:t>
      </w:r>
      <w:r w:rsidR="00C958EA" w:rsidRPr="00886D8A">
        <w:t>nominated threshold</w:t>
      </w:r>
      <w:r w:rsidRPr="00886D8A">
        <w:t xml:space="preserve"> adopted for each outcome in the submission, along with </w:t>
      </w:r>
      <w:r w:rsidR="00625E7B" w:rsidRPr="00886D8A">
        <w:t xml:space="preserve">any </w:t>
      </w:r>
      <w:r w:rsidRPr="00886D8A">
        <w:t>limitation</w:t>
      </w:r>
      <w:r w:rsidR="00625E7B" w:rsidRPr="00886D8A">
        <w:t>s</w:t>
      </w:r>
      <w:r w:rsidRPr="00886D8A">
        <w:t xml:space="preserve"> identified during the evaluation. </w:t>
      </w:r>
    </w:p>
    <w:p w14:paraId="6A028C79" w14:textId="5A917DBA" w:rsidR="00EB0321" w:rsidRPr="00886D8A" w:rsidRDefault="00EB0321" w:rsidP="004E36D3">
      <w:pPr>
        <w:pStyle w:val="Caption"/>
        <w:ind w:left="1282" w:hanging="1282"/>
        <w:rPr>
          <w:rFonts w:cstheme="minorHAnsi"/>
          <w:szCs w:val="20"/>
        </w:rPr>
      </w:pPr>
      <w:bookmarkStart w:id="36" w:name="_Ref197503721"/>
      <w:r w:rsidRPr="00886D8A">
        <w:t xml:space="preserve">Table </w:t>
      </w:r>
      <w:r>
        <w:fldChar w:fldCharType="begin"/>
      </w:r>
      <w:r>
        <w:instrText>SEQ Table \* ARABIC</w:instrText>
      </w:r>
      <w:r>
        <w:fldChar w:fldCharType="separate"/>
      </w:r>
      <w:r w:rsidR="00B73A9E">
        <w:rPr>
          <w:noProof/>
        </w:rPr>
        <w:t>5</w:t>
      </w:r>
      <w:r>
        <w:fldChar w:fldCharType="end"/>
      </w:r>
      <w:bookmarkEnd w:id="36"/>
      <w:r w:rsidRPr="00886D8A">
        <w:t xml:space="preserve">: </w:t>
      </w:r>
      <w:r w:rsidRPr="00886D8A">
        <w:rPr>
          <w:rFonts w:cstheme="minorHAnsi"/>
          <w:szCs w:val="20"/>
        </w:rPr>
        <w:t>Minimal clinically important differences</w:t>
      </w:r>
      <w:r w:rsidR="003200DF" w:rsidRPr="00886D8A">
        <w:rPr>
          <w:rFonts w:cstheme="minorHAnsi"/>
          <w:szCs w:val="20"/>
        </w:rPr>
        <w:t>/levels</w:t>
      </w:r>
      <w:r w:rsidRPr="00886D8A">
        <w:rPr>
          <w:rFonts w:cstheme="minorHAnsi"/>
          <w:szCs w:val="20"/>
        </w:rPr>
        <w:t xml:space="preserve"> adopted for outcomes in each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Minimal clinically important differences/levels adopted for outcomes in each outcome"/>
      </w:tblPr>
      <w:tblGrid>
        <w:gridCol w:w="1315"/>
        <w:gridCol w:w="1320"/>
        <w:gridCol w:w="2891"/>
        <w:gridCol w:w="3491"/>
      </w:tblGrid>
      <w:tr w:rsidR="00EB0321" w:rsidRPr="00886D8A" w14:paraId="10F957DC" w14:textId="77777777" w:rsidTr="278BE2B0">
        <w:trPr>
          <w:trHeight w:val="20"/>
        </w:trPr>
        <w:tc>
          <w:tcPr>
            <w:tcW w:w="729" w:type="pct"/>
            <w:tcMar>
              <w:left w:w="20" w:type="dxa"/>
              <w:right w:w="20" w:type="dxa"/>
            </w:tcMar>
          </w:tcPr>
          <w:p w14:paraId="7ED3DCD0" w14:textId="77777777" w:rsidR="00EB0321" w:rsidRPr="00886D8A" w:rsidRDefault="00EB0321" w:rsidP="004E36D3">
            <w:pPr>
              <w:pStyle w:val="TableText0"/>
              <w:keepLines/>
              <w:rPr>
                <w:b/>
                <w:bCs w:val="0"/>
              </w:rPr>
            </w:pPr>
            <w:bookmarkStart w:id="37" w:name="_Hlk197165389"/>
            <w:r w:rsidRPr="00886D8A">
              <w:rPr>
                <w:b/>
                <w:bCs w:val="0"/>
              </w:rPr>
              <w:t>Outcome</w:t>
            </w:r>
          </w:p>
        </w:tc>
        <w:tc>
          <w:tcPr>
            <w:tcW w:w="732" w:type="pct"/>
            <w:tcMar>
              <w:left w:w="20" w:type="dxa"/>
              <w:right w:w="20" w:type="dxa"/>
            </w:tcMar>
          </w:tcPr>
          <w:p w14:paraId="20CB161E" w14:textId="77777777" w:rsidR="00EB0321" w:rsidRPr="00886D8A" w:rsidRDefault="00EB0321" w:rsidP="004E36D3">
            <w:pPr>
              <w:pStyle w:val="TableText0"/>
              <w:keepLines/>
              <w:rPr>
                <w:b/>
                <w:bCs w:val="0"/>
              </w:rPr>
            </w:pPr>
            <w:r w:rsidRPr="00886D8A">
              <w:rPr>
                <w:b/>
                <w:bCs w:val="0"/>
              </w:rPr>
              <w:t>MCID</w:t>
            </w:r>
            <w:r w:rsidRPr="00886D8A">
              <w:rPr>
                <w:b/>
                <w:bCs w:val="0"/>
              </w:rPr>
              <w:tab/>
            </w:r>
          </w:p>
        </w:tc>
        <w:tc>
          <w:tcPr>
            <w:tcW w:w="1603" w:type="pct"/>
            <w:tcMar>
              <w:left w:w="20" w:type="dxa"/>
              <w:right w:w="20" w:type="dxa"/>
            </w:tcMar>
          </w:tcPr>
          <w:p w14:paraId="2A1C4ECC" w14:textId="77777777" w:rsidR="00EB0321" w:rsidRPr="00886D8A" w:rsidRDefault="00EB0321" w:rsidP="004E36D3">
            <w:pPr>
              <w:pStyle w:val="TableText0"/>
              <w:keepLines/>
              <w:rPr>
                <w:b/>
                <w:bCs w:val="0"/>
              </w:rPr>
            </w:pPr>
            <w:r w:rsidRPr="00886D8A">
              <w:rPr>
                <w:b/>
                <w:bCs w:val="0"/>
              </w:rPr>
              <w:t>Source</w:t>
            </w:r>
          </w:p>
        </w:tc>
        <w:tc>
          <w:tcPr>
            <w:tcW w:w="1936" w:type="pct"/>
            <w:tcMar>
              <w:left w:w="20" w:type="dxa"/>
              <w:right w:w="20" w:type="dxa"/>
            </w:tcMar>
          </w:tcPr>
          <w:p w14:paraId="1B07B00B" w14:textId="77777777" w:rsidR="00EB0321" w:rsidRPr="00886D8A" w:rsidRDefault="00EB0321" w:rsidP="004E36D3">
            <w:pPr>
              <w:pStyle w:val="TableText0"/>
              <w:keepLines/>
              <w:rPr>
                <w:b/>
                <w:bCs w:val="0"/>
              </w:rPr>
            </w:pPr>
            <w:r w:rsidRPr="00886D8A">
              <w:rPr>
                <w:b/>
                <w:bCs w:val="0"/>
              </w:rPr>
              <w:t>Comment</w:t>
            </w:r>
          </w:p>
        </w:tc>
      </w:tr>
      <w:tr w:rsidR="00EB0321" w:rsidRPr="00886D8A" w14:paraId="1C0A0410" w14:textId="77777777" w:rsidTr="278BE2B0">
        <w:trPr>
          <w:trHeight w:val="20"/>
        </w:trPr>
        <w:tc>
          <w:tcPr>
            <w:tcW w:w="729" w:type="pct"/>
            <w:tcMar>
              <w:left w:w="20" w:type="dxa"/>
              <w:right w:w="20" w:type="dxa"/>
            </w:tcMar>
          </w:tcPr>
          <w:p w14:paraId="48AC5FCC" w14:textId="4F2EAE81" w:rsidR="00EB0321" w:rsidRPr="00886D8A" w:rsidRDefault="00EB0321" w:rsidP="004E36D3">
            <w:pPr>
              <w:pStyle w:val="TableText0"/>
              <w:keepLines/>
            </w:pPr>
            <w:r w:rsidRPr="00886D8A">
              <w:t>Serum oligosaccharides</w:t>
            </w:r>
          </w:p>
        </w:tc>
        <w:tc>
          <w:tcPr>
            <w:tcW w:w="732" w:type="pct"/>
            <w:tcMar>
              <w:left w:w="20" w:type="dxa"/>
              <w:right w:w="20" w:type="dxa"/>
            </w:tcMar>
          </w:tcPr>
          <w:p w14:paraId="17E3FCE3" w14:textId="613FB66E" w:rsidR="00EB0321" w:rsidRPr="00886D8A" w:rsidRDefault="00EB0321" w:rsidP="004E36D3">
            <w:pPr>
              <w:pStyle w:val="TableText0"/>
              <w:keepLines/>
            </w:pPr>
            <w:r w:rsidRPr="00886D8A">
              <w:t>≤4 μmol/L</w:t>
            </w:r>
          </w:p>
        </w:tc>
        <w:tc>
          <w:tcPr>
            <w:tcW w:w="1603" w:type="pct"/>
            <w:tcMar>
              <w:left w:w="20" w:type="dxa"/>
              <w:right w:w="20" w:type="dxa"/>
            </w:tcMar>
          </w:tcPr>
          <w:p w14:paraId="206959E6" w14:textId="0EB0FF0C" w:rsidR="00EB0321" w:rsidRPr="00886D8A" w:rsidRDefault="00EB0321" w:rsidP="004E36D3">
            <w:pPr>
              <w:pStyle w:val="TableText0"/>
              <w:keepLines/>
            </w:pPr>
            <w:r w:rsidRPr="00886D8A">
              <w:t>Derived from rhLAMAN</w:t>
            </w:r>
            <w:r w:rsidR="0011024A">
              <w:noBreakHyphen/>
            </w:r>
            <w:r w:rsidRPr="00886D8A">
              <w:t>05, in which all patients had pretreatment serum oligosaccharide levels &gt;</w:t>
            </w:r>
            <w:r w:rsidRPr="00886D8A">
              <w:rPr>
                <w:rFonts w:ascii="Arial" w:hAnsi="Arial" w:cs="Arial"/>
              </w:rPr>
              <w:t> </w:t>
            </w:r>
            <w:r w:rsidRPr="00886D8A">
              <w:t>4</w:t>
            </w:r>
            <w:r w:rsidRPr="00886D8A">
              <w:rPr>
                <w:rFonts w:ascii="Arial" w:hAnsi="Arial" w:cs="Arial"/>
              </w:rPr>
              <w:t> </w:t>
            </w:r>
            <w:r w:rsidRPr="00886D8A">
              <w:rPr>
                <w:rFonts w:cs="Arial Narrow"/>
              </w:rPr>
              <w:t>µ</w:t>
            </w:r>
            <w:r w:rsidRPr="00886D8A">
              <w:t>mol/L.</w:t>
            </w:r>
          </w:p>
        </w:tc>
        <w:tc>
          <w:tcPr>
            <w:tcW w:w="1936" w:type="pct"/>
            <w:tcMar>
              <w:left w:w="20" w:type="dxa"/>
              <w:right w:w="20" w:type="dxa"/>
            </w:tcMar>
          </w:tcPr>
          <w:p w14:paraId="04AA8056" w14:textId="6FD23E38" w:rsidR="00EB0321" w:rsidRPr="00886D8A" w:rsidRDefault="00EB0321" w:rsidP="004E36D3">
            <w:pPr>
              <w:pStyle w:val="TableText0"/>
              <w:keepLines/>
            </w:pPr>
            <w:r w:rsidRPr="00886D8A">
              <w:t>While the use of serum oligosaccharides has biological plausibility as a surrogate endpoint</w:t>
            </w:r>
            <w:r w:rsidR="007A65D5" w:rsidRPr="00886D8A">
              <w:t>,</w:t>
            </w:r>
            <w:r w:rsidRPr="00886D8A">
              <w:t xml:space="preserve"> the </w:t>
            </w:r>
            <w:r w:rsidR="00E50C0B" w:rsidRPr="00886D8A">
              <w:t>Sub</w:t>
            </w:r>
            <w:r w:rsidR="0011024A">
              <w:noBreakHyphen/>
            </w:r>
            <w:r w:rsidR="00E50C0B" w:rsidRPr="00886D8A">
              <w:t xml:space="preserve">Committees noted that the </w:t>
            </w:r>
            <w:r w:rsidRPr="00886D8A">
              <w:t xml:space="preserve">clinical meaningfulness of the </w:t>
            </w:r>
            <w:r w:rsidR="009A2D4A" w:rsidRPr="00886D8A">
              <w:t xml:space="preserve">nominated threshold of </w:t>
            </w:r>
            <w:r w:rsidRPr="00886D8A">
              <w:t>≤4 µmol/L for patients with AM remains uncertain</w:t>
            </w:r>
            <w:r w:rsidR="00E50C0B" w:rsidRPr="00886D8A">
              <w:t xml:space="preserve"> as it was based on the baseline measure</w:t>
            </w:r>
            <w:r w:rsidR="00D8469E" w:rsidRPr="00886D8A">
              <w:t xml:space="preserve"> in rhLAMAN</w:t>
            </w:r>
            <w:r w:rsidR="0011024A">
              <w:noBreakHyphen/>
            </w:r>
            <w:r w:rsidR="00D8469E" w:rsidRPr="00886D8A">
              <w:t>05</w:t>
            </w:r>
            <w:r w:rsidRPr="00886D8A">
              <w:t xml:space="preserve">. </w:t>
            </w:r>
          </w:p>
        </w:tc>
      </w:tr>
      <w:tr w:rsidR="00EB0321" w:rsidRPr="00886D8A" w14:paraId="78FB09A4" w14:textId="77777777" w:rsidTr="278BE2B0">
        <w:trPr>
          <w:trHeight w:val="20"/>
        </w:trPr>
        <w:tc>
          <w:tcPr>
            <w:tcW w:w="729" w:type="pct"/>
            <w:tcMar>
              <w:left w:w="20" w:type="dxa"/>
              <w:right w:w="20" w:type="dxa"/>
            </w:tcMar>
          </w:tcPr>
          <w:p w14:paraId="474AA2B8" w14:textId="77777777" w:rsidR="00EB0321" w:rsidRPr="00886D8A" w:rsidRDefault="00EB0321" w:rsidP="004E36D3">
            <w:pPr>
              <w:pStyle w:val="TableText0"/>
              <w:keepLines/>
            </w:pPr>
            <w:r w:rsidRPr="00886D8A">
              <w:t>3MSCT</w:t>
            </w:r>
          </w:p>
        </w:tc>
        <w:tc>
          <w:tcPr>
            <w:tcW w:w="732" w:type="pct"/>
            <w:tcMar>
              <w:left w:w="20" w:type="dxa"/>
              <w:right w:w="20" w:type="dxa"/>
            </w:tcMar>
          </w:tcPr>
          <w:p w14:paraId="15513C92" w14:textId="77777777" w:rsidR="00EB0321" w:rsidRPr="00886D8A" w:rsidRDefault="00EB0321" w:rsidP="004E36D3">
            <w:pPr>
              <w:pStyle w:val="TableText0"/>
              <w:keepLines/>
            </w:pPr>
            <w:r w:rsidRPr="00886D8A">
              <w:t xml:space="preserve">Absolute increase from baseline </w:t>
            </w:r>
            <w:r w:rsidRPr="00886D8A">
              <w:rPr>
                <w:rFonts w:cstheme="minorHAnsi"/>
              </w:rPr>
              <w:t>≥ 7 steps per min</w:t>
            </w:r>
          </w:p>
        </w:tc>
        <w:tc>
          <w:tcPr>
            <w:tcW w:w="1603" w:type="pct"/>
            <w:tcMar>
              <w:left w:w="20" w:type="dxa"/>
              <w:right w:w="20" w:type="dxa"/>
            </w:tcMar>
          </w:tcPr>
          <w:p w14:paraId="688D6AB4" w14:textId="63D1779A" w:rsidR="00EB0321" w:rsidRPr="00886D8A" w:rsidRDefault="00EB0321" w:rsidP="004E36D3">
            <w:pPr>
              <w:pStyle w:val="TableText0"/>
              <w:keepLines/>
            </w:pPr>
            <w:r w:rsidRPr="00886D8A">
              <w:t>Based on the MOR</w:t>
            </w:r>
            <w:r w:rsidR="0011024A">
              <w:noBreakHyphen/>
            </w:r>
            <w:r w:rsidRPr="00886D8A">
              <w:t>004 study in mucopolysaccharidosis IVA, where a 20% change from a baseline of 27–35 steps/min equated to ~7 steps/min.</w:t>
            </w:r>
          </w:p>
        </w:tc>
        <w:tc>
          <w:tcPr>
            <w:tcW w:w="1936" w:type="pct"/>
            <w:tcMar>
              <w:left w:w="20" w:type="dxa"/>
              <w:right w:w="20" w:type="dxa"/>
            </w:tcMar>
          </w:tcPr>
          <w:p w14:paraId="1443680A" w14:textId="0A149EC1" w:rsidR="00EB0321" w:rsidRPr="00886D8A" w:rsidRDefault="57A9F8E1" w:rsidP="004E36D3">
            <w:pPr>
              <w:pStyle w:val="TableText0"/>
              <w:keepLines/>
            </w:pPr>
            <w:r w:rsidRPr="00886D8A">
              <w:t>An</w:t>
            </w:r>
            <w:r w:rsidR="00EB0321" w:rsidRPr="00886D8A">
              <w:t xml:space="preserve"> improvement of approximately 7 steps/min may represent a meaningful change in MOR</w:t>
            </w:r>
            <w:r w:rsidR="0011024A">
              <w:noBreakHyphen/>
            </w:r>
            <w:r w:rsidR="00EB0321" w:rsidRPr="00886D8A">
              <w:t>004 study population</w:t>
            </w:r>
            <w:r w:rsidR="007A65D5" w:rsidRPr="00886D8A">
              <w:t>;</w:t>
            </w:r>
            <w:r w:rsidR="00EB0321" w:rsidRPr="00886D8A">
              <w:t xml:space="preserve"> </w:t>
            </w:r>
            <w:r w:rsidR="34619CC9" w:rsidRPr="00886D8A">
              <w:t xml:space="preserve">however, </w:t>
            </w:r>
            <w:r w:rsidR="00EB0321" w:rsidRPr="00886D8A">
              <w:t>its relevance and applicability to patients with higher baseline 3MSCT in rhLAMAN</w:t>
            </w:r>
            <w:r w:rsidR="0011024A">
              <w:noBreakHyphen/>
            </w:r>
            <w:r w:rsidR="00EB0321" w:rsidRPr="00886D8A">
              <w:t>05 is uncertain.</w:t>
            </w:r>
          </w:p>
        </w:tc>
      </w:tr>
      <w:tr w:rsidR="00EB0321" w:rsidRPr="00886D8A" w14:paraId="54A5B1C6" w14:textId="77777777" w:rsidTr="278BE2B0">
        <w:trPr>
          <w:trHeight w:val="20"/>
        </w:trPr>
        <w:tc>
          <w:tcPr>
            <w:tcW w:w="729" w:type="pct"/>
            <w:tcMar>
              <w:left w:w="20" w:type="dxa"/>
              <w:right w:w="20" w:type="dxa"/>
            </w:tcMar>
          </w:tcPr>
          <w:p w14:paraId="51ADD9C1" w14:textId="77777777" w:rsidR="00EB0321" w:rsidRPr="00886D8A" w:rsidRDefault="00EB0321" w:rsidP="004E36D3">
            <w:pPr>
              <w:pStyle w:val="TableText0"/>
              <w:keepLines/>
            </w:pPr>
            <w:r w:rsidRPr="00886D8A">
              <w:t>6MWT</w:t>
            </w:r>
          </w:p>
        </w:tc>
        <w:tc>
          <w:tcPr>
            <w:tcW w:w="732" w:type="pct"/>
            <w:tcMar>
              <w:left w:w="20" w:type="dxa"/>
              <w:right w:w="20" w:type="dxa"/>
            </w:tcMar>
          </w:tcPr>
          <w:p w14:paraId="1587A0A6" w14:textId="77777777" w:rsidR="00EB0321" w:rsidRPr="00886D8A" w:rsidRDefault="00EB0321" w:rsidP="004E36D3">
            <w:pPr>
              <w:pStyle w:val="TableText0"/>
              <w:keepLines/>
            </w:pPr>
            <w:r w:rsidRPr="00886D8A">
              <w:t>Absolute increase from baseline ≥ 30 m</w:t>
            </w:r>
          </w:p>
        </w:tc>
        <w:tc>
          <w:tcPr>
            <w:tcW w:w="1603" w:type="pct"/>
            <w:tcMar>
              <w:left w:w="20" w:type="dxa"/>
              <w:right w:w="20" w:type="dxa"/>
            </w:tcMar>
          </w:tcPr>
          <w:p w14:paraId="0F2ACA7D" w14:textId="1BD80105" w:rsidR="00EB0321" w:rsidRPr="00886D8A" w:rsidRDefault="00EB0321" w:rsidP="004E36D3">
            <w:pPr>
              <w:pStyle w:val="TableText0"/>
              <w:keepLines/>
            </w:pPr>
            <w:r w:rsidRPr="00886D8A">
              <w:t>Derived from late</w:t>
            </w:r>
            <w:r w:rsidR="0011024A">
              <w:noBreakHyphen/>
            </w:r>
            <w:r w:rsidRPr="00886D8A">
              <w:t>onset Pompe disease studies, where most showed changes within or above the MCID range of 24–54</w:t>
            </w:r>
            <w:r w:rsidRPr="00886D8A">
              <w:rPr>
                <w:rFonts w:ascii="Arial" w:hAnsi="Arial" w:cs="Arial"/>
              </w:rPr>
              <w:t> </w:t>
            </w:r>
            <w:r w:rsidRPr="00886D8A">
              <w:t>m.</w:t>
            </w:r>
          </w:p>
        </w:tc>
        <w:tc>
          <w:tcPr>
            <w:tcW w:w="1936" w:type="pct"/>
            <w:tcMar>
              <w:left w:w="20" w:type="dxa"/>
              <w:right w:w="20" w:type="dxa"/>
            </w:tcMar>
          </w:tcPr>
          <w:p w14:paraId="77A6CA24" w14:textId="22B4DC91" w:rsidR="00EB0321" w:rsidRPr="00886D8A" w:rsidRDefault="00EB0321" w:rsidP="004E36D3">
            <w:pPr>
              <w:pStyle w:val="TableText0"/>
              <w:keepLines/>
            </w:pPr>
            <w:r w:rsidRPr="00886D8A">
              <w:t>While an improvement of more than 30m may represent a meaningful change in Pompe studies, its relevance and applicability to patients with higher baseline 6MWT in rhLAMAN</w:t>
            </w:r>
            <w:r w:rsidR="0011024A">
              <w:noBreakHyphen/>
            </w:r>
            <w:r w:rsidRPr="00886D8A">
              <w:t>05 is uncertain.</w:t>
            </w:r>
          </w:p>
        </w:tc>
      </w:tr>
      <w:tr w:rsidR="00EB0321" w:rsidRPr="00886D8A" w14:paraId="66062471" w14:textId="77777777" w:rsidTr="278BE2B0">
        <w:trPr>
          <w:trHeight w:val="20"/>
        </w:trPr>
        <w:tc>
          <w:tcPr>
            <w:tcW w:w="729" w:type="pct"/>
            <w:tcMar>
              <w:left w:w="20" w:type="dxa"/>
              <w:right w:w="20" w:type="dxa"/>
            </w:tcMar>
          </w:tcPr>
          <w:p w14:paraId="73A1EBF1" w14:textId="77777777" w:rsidR="00EB0321" w:rsidRPr="00886D8A" w:rsidRDefault="00EB0321" w:rsidP="004E36D3">
            <w:pPr>
              <w:pStyle w:val="TableText0"/>
              <w:keepNext w:val="0"/>
            </w:pPr>
            <w:r w:rsidRPr="00886D8A">
              <w:t>FVC (% predicted)</w:t>
            </w:r>
          </w:p>
        </w:tc>
        <w:tc>
          <w:tcPr>
            <w:tcW w:w="732" w:type="pct"/>
            <w:tcMar>
              <w:left w:w="20" w:type="dxa"/>
              <w:right w:w="20" w:type="dxa"/>
            </w:tcMar>
          </w:tcPr>
          <w:p w14:paraId="25E575C9" w14:textId="77777777" w:rsidR="00EB0321" w:rsidRPr="00886D8A" w:rsidRDefault="00EB0321" w:rsidP="004E36D3">
            <w:pPr>
              <w:pStyle w:val="TableText0"/>
              <w:keepNext w:val="0"/>
            </w:pPr>
            <w:r w:rsidRPr="00886D8A">
              <w:t>Absolute score increase from baseline ≥ 10% of predicted</w:t>
            </w:r>
          </w:p>
        </w:tc>
        <w:tc>
          <w:tcPr>
            <w:tcW w:w="1603" w:type="pct"/>
            <w:tcMar>
              <w:left w:w="20" w:type="dxa"/>
              <w:right w:w="20" w:type="dxa"/>
            </w:tcMar>
          </w:tcPr>
          <w:p w14:paraId="6EE475F6" w14:textId="77777777" w:rsidR="00EB0321" w:rsidRPr="00886D8A" w:rsidRDefault="00EB0321" w:rsidP="004E36D3">
            <w:pPr>
              <w:pStyle w:val="TableText0"/>
              <w:keepNext w:val="0"/>
            </w:pPr>
            <w:r w:rsidRPr="00886D8A">
              <w:t>Based on systemic scleroderma guidelines, which recommend ≥10% change to distinguish true progression from measurement variability.</w:t>
            </w:r>
          </w:p>
        </w:tc>
        <w:tc>
          <w:tcPr>
            <w:tcW w:w="1936" w:type="pct"/>
            <w:tcMar>
              <w:left w:w="20" w:type="dxa"/>
              <w:right w:w="20" w:type="dxa"/>
            </w:tcMar>
          </w:tcPr>
          <w:p w14:paraId="4D8E4551" w14:textId="77777777" w:rsidR="00EB0321" w:rsidRPr="00886D8A" w:rsidRDefault="00EB0321" w:rsidP="004E36D3">
            <w:pPr>
              <w:pStyle w:val="TableText0"/>
              <w:keepNext w:val="0"/>
            </w:pPr>
            <w:r w:rsidRPr="00886D8A">
              <w:t>The chosen MCID may be inappropriate, as baseline values were near normal (85% of predicted), introducing a ceiling effect that limits detection of meaningful improvement.</w:t>
            </w:r>
          </w:p>
        </w:tc>
      </w:tr>
      <w:tr w:rsidR="00EB0321" w:rsidRPr="00886D8A" w14:paraId="6FE67643" w14:textId="77777777" w:rsidTr="278BE2B0">
        <w:trPr>
          <w:trHeight w:val="20"/>
        </w:trPr>
        <w:tc>
          <w:tcPr>
            <w:tcW w:w="729" w:type="pct"/>
            <w:tcMar>
              <w:left w:w="20" w:type="dxa"/>
              <w:right w:w="20" w:type="dxa"/>
            </w:tcMar>
          </w:tcPr>
          <w:p w14:paraId="14B0F219" w14:textId="77777777" w:rsidR="00EB0321" w:rsidRPr="00886D8A" w:rsidRDefault="00EB0321" w:rsidP="004E36D3">
            <w:pPr>
              <w:pStyle w:val="TableText0"/>
              <w:keepNext w:val="0"/>
            </w:pPr>
            <w:r w:rsidRPr="00886D8A">
              <w:t>CHAQ</w:t>
            </w:r>
          </w:p>
        </w:tc>
        <w:tc>
          <w:tcPr>
            <w:tcW w:w="732" w:type="pct"/>
            <w:tcMar>
              <w:left w:w="20" w:type="dxa"/>
              <w:right w:w="20" w:type="dxa"/>
            </w:tcMar>
          </w:tcPr>
          <w:p w14:paraId="634463E6" w14:textId="143922DA" w:rsidR="00EB0321" w:rsidRPr="00886D8A" w:rsidRDefault="00EB0321" w:rsidP="004E36D3">
            <w:pPr>
              <w:pStyle w:val="TableText0"/>
              <w:keepNext w:val="0"/>
            </w:pPr>
            <w:r w:rsidRPr="00886D8A">
              <w:t xml:space="preserve">Absolute score change from baseline </w:t>
            </w:r>
            <w:r w:rsidRPr="00886D8A">
              <w:rPr>
                <w:rFonts w:cstheme="minorHAnsi"/>
              </w:rPr>
              <w:t xml:space="preserve">≤ </w:t>
            </w:r>
            <w:r w:rsidR="007D2CCE" w:rsidRPr="00886D8A">
              <w:rPr>
                <w:rFonts w:cstheme="minorHAnsi"/>
              </w:rPr>
              <w:br/>
            </w:r>
            <w:r w:rsidR="0011024A">
              <w:rPr>
                <w:rFonts w:cstheme="minorHAnsi"/>
              </w:rPr>
              <w:noBreakHyphen/>
            </w:r>
            <w:r w:rsidRPr="00886D8A">
              <w:rPr>
                <w:rFonts w:cstheme="minorHAnsi"/>
              </w:rPr>
              <w:t>0.13 in CHAQ</w:t>
            </w:r>
            <w:r w:rsidR="0011024A">
              <w:rPr>
                <w:rFonts w:cstheme="minorHAnsi"/>
              </w:rPr>
              <w:noBreakHyphen/>
            </w:r>
            <w:r w:rsidRPr="00886D8A">
              <w:rPr>
                <w:rFonts w:cstheme="minorHAnsi"/>
              </w:rPr>
              <w:t xml:space="preserve">DI and ≤ </w:t>
            </w:r>
            <w:r w:rsidR="0011024A">
              <w:rPr>
                <w:rFonts w:cstheme="minorHAnsi"/>
              </w:rPr>
              <w:noBreakHyphen/>
            </w:r>
            <w:r w:rsidRPr="00886D8A">
              <w:rPr>
                <w:rFonts w:cstheme="minorHAnsi"/>
              </w:rPr>
              <w:t>0.246 in CHAQ</w:t>
            </w:r>
            <w:r w:rsidR="0011024A">
              <w:rPr>
                <w:rFonts w:cstheme="minorHAnsi"/>
              </w:rPr>
              <w:noBreakHyphen/>
            </w:r>
            <w:r w:rsidRPr="00886D8A">
              <w:rPr>
                <w:rFonts w:cstheme="minorHAnsi"/>
              </w:rPr>
              <w:t>VAS</w:t>
            </w:r>
          </w:p>
        </w:tc>
        <w:tc>
          <w:tcPr>
            <w:tcW w:w="1603" w:type="pct"/>
            <w:tcMar>
              <w:left w:w="20" w:type="dxa"/>
              <w:right w:w="20" w:type="dxa"/>
            </w:tcMar>
          </w:tcPr>
          <w:p w14:paraId="51B95EF2" w14:textId="7A3703AD" w:rsidR="00EB0321" w:rsidRPr="00886D8A" w:rsidRDefault="00EB0321" w:rsidP="004E36D3">
            <w:pPr>
              <w:pStyle w:val="TableText0"/>
              <w:keepNext w:val="0"/>
            </w:pPr>
            <w:r w:rsidRPr="00886D8A">
              <w:t>Based on the MCID in juvenile arthritis, (Dempster et al., 2001 for CHAQ</w:t>
            </w:r>
            <w:r w:rsidR="0011024A">
              <w:noBreakHyphen/>
            </w:r>
            <w:r w:rsidRPr="00886D8A">
              <w:t>DI and Dhanani et al., 2002 for CHAQ</w:t>
            </w:r>
            <w:r w:rsidR="0011024A">
              <w:noBreakHyphen/>
            </w:r>
            <w:r w:rsidRPr="00886D8A">
              <w:t xml:space="preserve">VAS). This was considered applicable given the symptom overlap with AM, including pain, muscle weakness, skeletal abnormalities, and difficulties with activities of daily living. </w:t>
            </w:r>
          </w:p>
        </w:tc>
        <w:tc>
          <w:tcPr>
            <w:tcW w:w="1936" w:type="pct"/>
            <w:tcMar>
              <w:left w:w="20" w:type="dxa"/>
              <w:right w:w="20" w:type="dxa"/>
            </w:tcMar>
          </w:tcPr>
          <w:p w14:paraId="4F7C556F" w14:textId="77777777" w:rsidR="00EB0321" w:rsidRPr="00886D8A" w:rsidRDefault="00EB0321" w:rsidP="004E36D3">
            <w:pPr>
              <w:pStyle w:val="TableText0"/>
              <w:keepNext w:val="0"/>
            </w:pPr>
            <w:r w:rsidRPr="00886D8A">
              <w:t xml:space="preserve">AM is a more heterogenous disease compared to juvenile arthritis. There is uncertainty regarding the applicability of an MCID given the potential differences in pathophysiology, clinical course, and treatment response. </w:t>
            </w:r>
          </w:p>
        </w:tc>
      </w:tr>
    </w:tbl>
    <w:bookmarkEnd w:id="37"/>
    <w:p w14:paraId="7753DA9A" w14:textId="3DA9319A" w:rsidR="00EB0321" w:rsidRPr="00886D8A" w:rsidRDefault="00EB0321" w:rsidP="004E36D3">
      <w:pPr>
        <w:pStyle w:val="FooterTableFigure"/>
      </w:pPr>
      <w:r w:rsidRPr="00886D8A">
        <w:t>Source: Table 2.4</w:t>
      </w:r>
      <w:r w:rsidR="0011024A">
        <w:noBreakHyphen/>
      </w:r>
      <w:r w:rsidRPr="00886D8A">
        <w:t>6, p 64 of the submission.</w:t>
      </w:r>
    </w:p>
    <w:p w14:paraId="66F6464C" w14:textId="67EE321A" w:rsidR="00EB0321" w:rsidRPr="00886D8A" w:rsidRDefault="5D405AF5" w:rsidP="004E36D3">
      <w:pPr>
        <w:pStyle w:val="FooterTableFigure"/>
      </w:pPr>
      <w:r w:rsidRPr="00886D8A">
        <w:t>AM = alpha</w:t>
      </w:r>
      <w:r w:rsidR="0011024A">
        <w:noBreakHyphen/>
      </w:r>
      <w:r w:rsidRPr="00886D8A">
        <w:t xml:space="preserve">mannosidosis; </w:t>
      </w:r>
      <w:r w:rsidR="000D382F" w:rsidRPr="00886D8A">
        <w:t>3</w:t>
      </w:r>
      <w:r w:rsidR="00EB0321" w:rsidRPr="00886D8A">
        <w:t>MSCT = 3</w:t>
      </w:r>
      <w:r w:rsidR="0011024A">
        <w:noBreakHyphen/>
      </w:r>
      <w:r w:rsidR="00EB0321" w:rsidRPr="00886D8A">
        <w:t>Minute Stair Climb Test; 6MWT = 6</w:t>
      </w:r>
      <w:r w:rsidR="0011024A">
        <w:noBreakHyphen/>
      </w:r>
      <w:r w:rsidR="00EB0321" w:rsidRPr="00886D8A">
        <w:t xml:space="preserve">Minute Walk Test; CHAQ = Childhood Health Assessment Questionnaire; DI = disability index; FVC = forced vital capacity; </w:t>
      </w:r>
      <w:r w:rsidR="4833CD41" w:rsidRPr="00886D8A">
        <w:t xml:space="preserve">MCID = Minimal clinically important differences; </w:t>
      </w:r>
      <w:r w:rsidR="00EB0321" w:rsidRPr="00886D8A">
        <w:t>VAS = visual analogue scale.</w:t>
      </w:r>
    </w:p>
    <w:p w14:paraId="4DFB54A3" w14:textId="76CC9569" w:rsidR="00EB0321" w:rsidRPr="00886D8A" w:rsidRDefault="00EB0321" w:rsidP="004E36D3">
      <w:pPr>
        <w:pStyle w:val="4-SubsectionHeading"/>
      </w:pPr>
      <w:bookmarkStart w:id="38" w:name="_Toc22897641"/>
      <w:bookmarkStart w:id="39" w:name="_Toc197460415"/>
      <w:bookmarkStart w:id="40" w:name="_Toc198645878"/>
      <w:r w:rsidRPr="00886D8A">
        <w:t>Comparative effectiveness</w:t>
      </w:r>
      <w:bookmarkEnd w:id="38"/>
      <w:bookmarkEnd w:id="39"/>
      <w:bookmarkEnd w:id="40"/>
    </w:p>
    <w:p w14:paraId="3DEADCBD" w14:textId="30735BD0" w:rsidR="00EB0321" w:rsidRPr="00886D8A" w:rsidRDefault="00EB0321" w:rsidP="004E36D3">
      <w:pPr>
        <w:pStyle w:val="5-SubsectionSubheading"/>
      </w:pPr>
      <w:bookmarkStart w:id="41" w:name="_Toc197460416"/>
      <w:bookmarkStart w:id="42" w:name="_Toc198645879"/>
      <w:r w:rsidRPr="00886D8A">
        <w:t>rhLAMAN</w:t>
      </w:r>
      <w:r w:rsidR="0011024A">
        <w:noBreakHyphen/>
      </w:r>
      <w:r w:rsidRPr="00886D8A">
        <w:t>05</w:t>
      </w:r>
      <w:bookmarkEnd w:id="41"/>
      <w:bookmarkEnd w:id="42"/>
    </w:p>
    <w:p w14:paraId="76230B3C" w14:textId="77BBE57A" w:rsidR="00EB0321" w:rsidRPr="00886D8A" w:rsidRDefault="00EB0321" w:rsidP="004E36D3">
      <w:pPr>
        <w:pStyle w:val="3-BodyText"/>
      </w:pPr>
      <w:r w:rsidRPr="00886D8A">
        <w:t>The mean (SD) age at treatment initiation with velmanase alfa was 19.0 (8.8) years. Of the patients, 12 (</w:t>
      </w:r>
      <w:r w:rsidR="00B11336" w:rsidRPr="00886D8A">
        <w:t>48</w:t>
      </w:r>
      <w:r w:rsidRPr="00886D8A">
        <w:t>%) were under 18 years and 13 (52%) were 18 years or older.</w:t>
      </w:r>
    </w:p>
    <w:p w14:paraId="3972EF10" w14:textId="0EE5E0F3" w:rsidR="00EB0321" w:rsidRPr="00886D8A" w:rsidRDefault="00EB0321" w:rsidP="004E36D3">
      <w:pPr>
        <w:pStyle w:val="3-BodyText"/>
        <w:rPr>
          <w:i/>
          <w:iCs/>
        </w:rPr>
      </w:pPr>
      <w:r w:rsidRPr="00886D8A">
        <w:t>The results of the change in the co</w:t>
      </w:r>
      <w:r w:rsidR="0011024A">
        <w:noBreakHyphen/>
      </w:r>
      <w:r w:rsidRPr="00886D8A">
        <w:t>primary and secondary efficacy outcomes from baseline to Month 12 in rhLAMAN</w:t>
      </w:r>
      <w:r w:rsidR="0011024A">
        <w:noBreakHyphen/>
      </w:r>
      <w:r w:rsidRPr="00886D8A">
        <w:t xml:space="preserve">05 are shown in </w:t>
      </w:r>
      <w:r w:rsidRPr="00886D8A">
        <w:fldChar w:fldCharType="begin"/>
      </w:r>
      <w:r w:rsidRPr="00886D8A">
        <w:instrText xml:space="preserve"> REF _Ref197168537 \h </w:instrText>
      </w:r>
      <w:r w:rsidRPr="00886D8A">
        <w:fldChar w:fldCharType="separate"/>
      </w:r>
      <w:r w:rsidR="00B73A9E" w:rsidRPr="00886D8A">
        <w:t xml:space="preserve">Table </w:t>
      </w:r>
      <w:r w:rsidR="00B73A9E">
        <w:rPr>
          <w:noProof/>
        </w:rPr>
        <w:t>6</w:t>
      </w:r>
      <w:r w:rsidRPr="00886D8A">
        <w:fldChar w:fldCharType="end"/>
      </w:r>
      <w:r w:rsidRPr="00886D8A">
        <w:t xml:space="preserve">. </w:t>
      </w:r>
    </w:p>
    <w:p w14:paraId="094A12CE" w14:textId="06C351C7" w:rsidR="00EB0321" w:rsidRPr="00886D8A" w:rsidRDefault="00EB0321" w:rsidP="004E36D3">
      <w:pPr>
        <w:pStyle w:val="Caption"/>
      </w:pPr>
      <w:bookmarkStart w:id="43" w:name="_Ref197168537"/>
      <w:r w:rsidRPr="00886D8A">
        <w:t xml:space="preserve">Table </w:t>
      </w:r>
      <w:r>
        <w:fldChar w:fldCharType="begin"/>
      </w:r>
      <w:r>
        <w:instrText>SEQ Table \* ARABIC</w:instrText>
      </w:r>
      <w:r>
        <w:fldChar w:fldCharType="separate"/>
      </w:r>
      <w:r w:rsidR="00B73A9E">
        <w:rPr>
          <w:noProof/>
        </w:rPr>
        <w:t>6</w:t>
      </w:r>
      <w:r>
        <w:fldChar w:fldCharType="end"/>
      </w:r>
      <w:bookmarkEnd w:id="43"/>
      <w:r w:rsidRPr="00886D8A">
        <w:t xml:space="preserve">: </w:t>
      </w:r>
      <w:r w:rsidRPr="00886D8A">
        <w:rPr>
          <w:lang w:eastAsia="en-US"/>
        </w:rPr>
        <w:t>Change from baseline to Month 12 in co</w:t>
      </w:r>
      <w:r w:rsidR="0011024A">
        <w:rPr>
          <w:lang w:eastAsia="en-US"/>
        </w:rPr>
        <w:noBreakHyphen/>
      </w:r>
      <w:r w:rsidRPr="00886D8A">
        <w:rPr>
          <w:lang w:eastAsia="en-US"/>
        </w:rPr>
        <w:t>primary and secondary efficacy outcomes in rhLAMAN</w:t>
      </w:r>
      <w:r w:rsidR="0011024A">
        <w:rPr>
          <w:lang w:eastAsia="en-US"/>
        </w:rPr>
        <w:noBreakHyphen/>
      </w:r>
      <w:r w:rsidRPr="00886D8A">
        <w:rPr>
          <w:lang w:eastAsia="en-US"/>
        </w:rPr>
        <w:t>05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Change from baseline to Month 12 in co primary and secondary efficacy outcomes in rhLAMAN 05 trial"/>
      </w:tblPr>
      <w:tblGrid>
        <w:gridCol w:w="3540"/>
        <w:gridCol w:w="1843"/>
        <w:gridCol w:w="1843"/>
        <w:gridCol w:w="1791"/>
      </w:tblGrid>
      <w:tr w:rsidR="00EB0321" w:rsidRPr="00886D8A" w14:paraId="28056F52" w14:textId="77777777" w:rsidTr="0629D7D2">
        <w:trPr>
          <w:trHeight w:val="20"/>
          <w:tblHeader/>
        </w:trPr>
        <w:tc>
          <w:tcPr>
            <w:tcW w:w="1963" w:type="pct"/>
            <w:vAlign w:val="center"/>
          </w:tcPr>
          <w:p w14:paraId="79C02214" w14:textId="77777777" w:rsidR="00EB0321" w:rsidRPr="00886D8A" w:rsidRDefault="00EB0321" w:rsidP="004E36D3">
            <w:pPr>
              <w:pStyle w:val="TableText0"/>
              <w:rPr>
                <w:b/>
                <w:snapToGrid w:val="0"/>
              </w:rPr>
            </w:pPr>
          </w:p>
        </w:tc>
        <w:tc>
          <w:tcPr>
            <w:tcW w:w="1022" w:type="pct"/>
            <w:vAlign w:val="center"/>
          </w:tcPr>
          <w:p w14:paraId="5AE850C6" w14:textId="77777777" w:rsidR="00EB0321" w:rsidRPr="00886D8A" w:rsidRDefault="00EB0321" w:rsidP="004E36D3">
            <w:pPr>
              <w:pStyle w:val="TableText0"/>
              <w:jc w:val="center"/>
              <w:rPr>
                <w:b/>
                <w:snapToGrid w:val="0"/>
              </w:rPr>
            </w:pPr>
            <w:r w:rsidRPr="00886D8A">
              <w:rPr>
                <w:b/>
                <w:snapToGrid w:val="0"/>
              </w:rPr>
              <w:t>Velmanase alfa</w:t>
            </w:r>
          </w:p>
          <w:p w14:paraId="1D6FB158" w14:textId="77777777" w:rsidR="00EB0321" w:rsidRPr="00886D8A" w:rsidRDefault="00EB0321" w:rsidP="004E36D3">
            <w:pPr>
              <w:pStyle w:val="TableText0"/>
              <w:jc w:val="center"/>
              <w:rPr>
                <w:b/>
                <w:snapToGrid w:val="0"/>
              </w:rPr>
            </w:pPr>
            <w:r w:rsidRPr="00886D8A">
              <w:rPr>
                <w:b/>
                <w:snapToGrid w:val="0"/>
              </w:rPr>
              <w:t>(N=15)</w:t>
            </w:r>
          </w:p>
        </w:tc>
        <w:tc>
          <w:tcPr>
            <w:tcW w:w="1022" w:type="pct"/>
            <w:vAlign w:val="center"/>
          </w:tcPr>
          <w:p w14:paraId="60F348A5" w14:textId="77777777" w:rsidR="00EB0321" w:rsidRPr="00886D8A" w:rsidRDefault="00EB0321" w:rsidP="004E36D3">
            <w:pPr>
              <w:pStyle w:val="TableText0"/>
              <w:jc w:val="center"/>
              <w:rPr>
                <w:b/>
                <w:snapToGrid w:val="0"/>
              </w:rPr>
            </w:pPr>
            <w:r w:rsidRPr="00886D8A">
              <w:rPr>
                <w:b/>
                <w:snapToGrid w:val="0"/>
              </w:rPr>
              <w:t>BSC</w:t>
            </w:r>
          </w:p>
          <w:p w14:paraId="7036CD50" w14:textId="77777777" w:rsidR="00EB0321" w:rsidRPr="00886D8A" w:rsidRDefault="00EB0321" w:rsidP="004E36D3">
            <w:pPr>
              <w:pStyle w:val="TableText0"/>
              <w:jc w:val="center"/>
              <w:rPr>
                <w:b/>
                <w:snapToGrid w:val="0"/>
              </w:rPr>
            </w:pPr>
            <w:r w:rsidRPr="00886D8A">
              <w:rPr>
                <w:b/>
                <w:snapToGrid w:val="0"/>
              </w:rPr>
              <w:t>(N=10)</w:t>
            </w:r>
          </w:p>
        </w:tc>
        <w:tc>
          <w:tcPr>
            <w:tcW w:w="993" w:type="pct"/>
          </w:tcPr>
          <w:p w14:paraId="016F5B12" w14:textId="77777777" w:rsidR="00EB0321" w:rsidRPr="00886D8A" w:rsidRDefault="00EB0321" w:rsidP="004E36D3">
            <w:pPr>
              <w:pStyle w:val="TableText0"/>
              <w:jc w:val="center"/>
              <w:rPr>
                <w:b/>
                <w:snapToGrid w:val="0"/>
              </w:rPr>
            </w:pPr>
            <w:r w:rsidRPr="00886D8A">
              <w:rPr>
                <w:b/>
                <w:snapToGrid w:val="0"/>
              </w:rPr>
              <w:t>Adjusted mean difference versus BSC (95% CI)</w:t>
            </w:r>
          </w:p>
        </w:tc>
      </w:tr>
      <w:tr w:rsidR="00E133BC" w:rsidRPr="00886D8A" w14:paraId="2F9042BF" w14:textId="77777777" w:rsidTr="0629D7D2">
        <w:trPr>
          <w:trHeight w:val="20"/>
          <w:tblHeader/>
        </w:trPr>
        <w:tc>
          <w:tcPr>
            <w:tcW w:w="5000" w:type="pct"/>
            <w:gridSpan w:val="4"/>
            <w:vAlign w:val="center"/>
          </w:tcPr>
          <w:p w14:paraId="6393938C" w14:textId="36DBABC2" w:rsidR="00E133BC" w:rsidRPr="00886D8A" w:rsidRDefault="00E133BC" w:rsidP="004E36D3">
            <w:pPr>
              <w:pStyle w:val="TableText0"/>
              <w:rPr>
                <w:b/>
                <w:snapToGrid w:val="0"/>
              </w:rPr>
            </w:pPr>
            <w:r w:rsidRPr="00886D8A">
              <w:rPr>
                <w:b/>
                <w:snapToGrid w:val="0"/>
              </w:rPr>
              <w:t>Co</w:t>
            </w:r>
            <w:r w:rsidR="0011024A">
              <w:rPr>
                <w:b/>
                <w:snapToGrid w:val="0"/>
              </w:rPr>
              <w:noBreakHyphen/>
            </w:r>
            <w:r w:rsidRPr="00886D8A">
              <w:rPr>
                <w:b/>
                <w:snapToGrid w:val="0"/>
              </w:rPr>
              <w:t>primary outcomes</w:t>
            </w:r>
          </w:p>
        </w:tc>
      </w:tr>
      <w:tr w:rsidR="00EB0321" w:rsidRPr="00886D8A" w14:paraId="6E95FCD3" w14:textId="77777777" w:rsidTr="0629D7D2">
        <w:trPr>
          <w:trHeight w:val="20"/>
          <w:tblHeader/>
        </w:trPr>
        <w:tc>
          <w:tcPr>
            <w:tcW w:w="5000" w:type="pct"/>
            <w:gridSpan w:val="4"/>
            <w:vAlign w:val="center"/>
          </w:tcPr>
          <w:p w14:paraId="738C75F4" w14:textId="77777777" w:rsidR="00EB0321" w:rsidRPr="00886D8A" w:rsidRDefault="00EB0321" w:rsidP="004E36D3">
            <w:pPr>
              <w:pStyle w:val="TableText0"/>
              <w:rPr>
                <w:b/>
                <w:snapToGrid w:val="0"/>
              </w:rPr>
            </w:pPr>
            <w:r w:rsidRPr="00886D8A">
              <w:rPr>
                <w:b/>
                <w:snapToGrid w:val="0"/>
              </w:rPr>
              <w:t>Change from baseline to Month 12 in serum oligosaccharide (µmol/L)</w:t>
            </w:r>
          </w:p>
        </w:tc>
      </w:tr>
      <w:tr w:rsidR="00EB0321" w:rsidRPr="00886D8A" w14:paraId="25665DFA" w14:textId="77777777" w:rsidTr="0629D7D2">
        <w:trPr>
          <w:trHeight w:val="20"/>
        </w:trPr>
        <w:tc>
          <w:tcPr>
            <w:tcW w:w="1963" w:type="pct"/>
          </w:tcPr>
          <w:p w14:paraId="0B111188" w14:textId="77777777" w:rsidR="00EB0321" w:rsidRPr="00886D8A" w:rsidRDefault="00EB0321" w:rsidP="004E36D3">
            <w:pPr>
              <w:pStyle w:val="TableText0"/>
              <w:rPr>
                <w:snapToGrid w:val="0"/>
              </w:rPr>
            </w:pPr>
            <w:r w:rsidRPr="00886D8A">
              <w:rPr>
                <w:snapToGrid w:val="0"/>
              </w:rPr>
              <w:t>Baseline mean (SD)</w:t>
            </w:r>
          </w:p>
        </w:tc>
        <w:tc>
          <w:tcPr>
            <w:tcW w:w="1022" w:type="pct"/>
            <w:vAlign w:val="center"/>
          </w:tcPr>
          <w:p w14:paraId="28DA5105" w14:textId="77777777" w:rsidR="00EB0321" w:rsidRPr="00886D8A" w:rsidRDefault="00EB0321" w:rsidP="004E36D3">
            <w:pPr>
              <w:pStyle w:val="TableText0"/>
              <w:jc w:val="center"/>
              <w:rPr>
                <w:snapToGrid w:val="0"/>
              </w:rPr>
            </w:pPr>
            <w:r w:rsidRPr="00886D8A">
              <w:rPr>
                <w:snapToGrid w:val="0"/>
              </w:rPr>
              <w:t>6.8 (1.2)</w:t>
            </w:r>
          </w:p>
        </w:tc>
        <w:tc>
          <w:tcPr>
            <w:tcW w:w="1022" w:type="pct"/>
            <w:vAlign w:val="center"/>
          </w:tcPr>
          <w:p w14:paraId="5A62F2A6" w14:textId="77777777" w:rsidR="00EB0321" w:rsidRPr="00886D8A" w:rsidRDefault="00EB0321" w:rsidP="004E36D3">
            <w:pPr>
              <w:pStyle w:val="TableText0"/>
              <w:jc w:val="center"/>
              <w:rPr>
                <w:snapToGrid w:val="0"/>
              </w:rPr>
            </w:pPr>
            <w:r w:rsidRPr="00886D8A">
              <w:rPr>
                <w:snapToGrid w:val="0"/>
              </w:rPr>
              <w:t>6.6 (1.9)</w:t>
            </w:r>
          </w:p>
        </w:tc>
        <w:tc>
          <w:tcPr>
            <w:tcW w:w="993" w:type="pct"/>
            <w:vAlign w:val="center"/>
          </w:tcPr>
          <w:p w14:paraId="2103AF3C" w14:textId="07D48B70" w:rsidR="00EB0321" w:rsidRPr="00886D8A" w:rsidRDefault="0011024A" w:rsidP="004E36D3">
            <w:pPr>
              <w:pStyle w:val="TableText0"/>
              <w:jc w:val="center"/>
              <w:rPr>
                <w:snapToGrid w:val="0"/>
              </w:rPr>
            </w:pPr>
            <w:r>
              <w:rPr>
                <w:snapToGrid w:val="0"/>
              </w:rPr>
              <w:noBreakHyphen/>
            </w:r>
          </w:p>
        </w:tc>
      </w:tr>
      <w:tr w:rsidR="00EB0321" w:rsidRPr="00886D8A" w14:paraId="45C436DE" w14:textId="77777777" w:rsidTr="0629D7D2">
        <w:trPr>
          <w:trHeight w:val="20"/>
        </w:trPr>
        <w:tc>
          <w:tcPr>
            <w:tcW w:w="1963" w:type="pct"/>
          </w:tcPr>
          <w:p w14:paraId="632FF6BE" w14:textId="04C287E4" w:rsidR="00EB0321" w:rsidRPr="00886D8A" w:rsidRDefault="00EB0321" w:rsidP="004E36D3">
            <w:pPr>
              <w:pStyle w:val="TableText0"/>
              <w:rPr>
                <w:snapToGrid w:val="0"/>
              </w:rPr>
            </w:pPr>
            <w:r w:rsidRPr="00886D8A">
              <w:rPr>
                <w:snapToGrid w:val="0"/>
              </w:rPr>
              <w:t>Adjusted mean absolute change (95% CI)</w:t>
            </w:r>
            <w:r w:rsidRPr="00886D8A">
              <w:rPr>
                <w:snapToGrid w:val="0"/>
                <w:vertAlign w:val="superscript"/>
              </w:rPr>
              <w:t>a</w:t>
            </w:r>
          </w:p>
        </w:tc>
        <w:tc>
          <w:tcPr>
            <w:tcW w:w="1022" w:type="pct"/>
            <w:vAlign w:val="center"/>
          </w:tcPr>
          <w:p w14:paraId="4219B655" w14:textId="19A2AC1B" w:rsidR="00EB0321" w:rsidRPr="00886D8A" w:rsidRDefault="0011024A" w:rsidP="004E36D3">
            <w:pPr>
              <w:pStyle w:val="TableText0"/>
              <w:ind w:right="-103"/>
              <w:jc w:val="center"/>
              <w:rPr>
                <w:b/>
                <w:bCs w:val="0"/>
                <w:snapToGrid w:val="0"/>
              </w:rPr>
            </w:pPr>
            <w:r>
              <w:rPr>
                <w:snapToGrid w:val="0"/>
              </w:rPr>
              <w:noBreakHyphen/>
            </w:r>
            <w:r w:rsidR="00EB0321" w:rsidRPr="00886D8A">
              <w:rPr>
                <w:snapToGrid w:val="0"/>
              </w:rPr>
              <w:t>5.11 (</w:t>
            </w:r>
            <w:r>
              <w:rPr>
                <w:snapToGrid w:val="0"/>
              </w:rPr>
              <w:noBreakHyphen/>
            </w:r>
            <w:r w:rsidR="00EB0321" w:rsidRPr="00886D8A">
              <w:rPr>
                <w:snapToGrid w:val="0"/>
              </w:rPr>
              <w:t xml:space="preserve">5.66, </w:t>
            </w:r>
            <w:r>
              <w:rPr>
                <w:snapToGrid w:val="0"/>
              </w:rPr>
              <w:noBreakHyphen/>
            </w:r>
            <w:r w:rsidR="00EB0321" w:rsidRPr="00886D8A">
              <w:rPr>
                <w:snapToGrid w:val="0"/>
              </w:rPr>
              <w:t>4.56)</w:t>
            </w:r>
          </w:p>
        </w:tc>
        <w:tc>
          <w:tcPr>
            <w:tcW w:w="1022" w:type="pct"/>
            <w:vAlign w:val="center"/>
          </w:tcPr>
          <w:p w14:paraId="6F74B683" w14:textId="00B417D8" w:rsidR="00EB0321" w:rsidRPr="00886D8A" w:rsidRDefault="0011024A" w:rsidP="004E36D3">
            <w:pPr>
              <w:pStyle w:val="TableText0"/>
              <w:jc w:val="center"/>
              <w:rPr>
                <w:b/>
                <w:bCs w:val="0"/>
                <w:snapToGrid w:val="0"/>
              </w:rPr>
            </w:pPr>
            <w:r>
              <w:rPr>
                <w:snapToGrid w:val="0"/>
              </w:rPr>
              <w:noBreakHyphen/>
            </w:r>
            <w:r w:rsidR="00EB0321" w:rsidRPr="00886D8A">
              <w:rPr>
                <w:snapToGrid w:val="0"/>
              </w:rPr>
              <w:t>1.61 (</w:t>
            </w:r>
            <w:r>
              <w:rPr>
                <w:snapToGrid w:val="0"/>
              </w:rPr>
              <w:noBreakHyphen/>
            </w:r>
            <w:r w:rsidR="00EB0321" w:rsidRPr="00886D8A">
              <w:rPr>
                <w:snapToGrid w:val="0"/>
              </w:rPr>
              <w:t xml:space="preserve">2.28, </w:t>
            </w:r>
            <w:r>
              <w:rPr>
                <w:snapToGrid w:val="0"/>
              </w:rPr>
              <w:noBreakHyphen/>
            </w:r>
            <w:r w:rsidR="00EB0321" w:rsidRPr="00886D8A">
              <w:rPr>
                <w:snapToGrid w:val="0"/>
              </w:rPr>
              <w:t>0.94)</w:t>
            </w:r>
          </w:p>
        </w:tc>
        <w:tc>
          <w:tcPr>
            <w:tcW w:w="993" w:type="pct"/>
            <w:vAlign w:val="center"/>
          </w:tcPr>
          <w:p w14:paraId="6B8AC569" w14:textId="3C2D6E4E" w:rsidR="00EB0321" w:rsidRPr="00886D8A" w:rsidRDefault="0011024A" w:rsidP="004E36D3">
            <w:pPr>
              <w:pStyle w:val="TableText0"/>
              <w:jc w:val="center"/>
              <w:rPr>
                <w:b/>
                <w:bCs w:val="0"/>
                <w:snapToGrid w:val="0"/>
              </w:rPr>
            </w:pPr>
            <w:r>
              <w:rPr>
                <w:b/>
                <w:bCs w:val="0"/>
                <w:snapToGrid w:val="0"/>
              </w:rPr>
              <w:noBreakHyphen/>
            </w:r>
            <w:r w:rsidR="00EB0321" w:rsidRPr="00886D8A">
              <w:rPr>
                <w:b/>
                <w:bCs w:val="0"/>
                <w:snapToGrid w:val="0"/>
              </w:rPr>
              <w:t>3.50 (</w:t>
            </w:r>
            <w:r>
              <w:rPr>
                <w:b/>
                <w:bCs w:val="0"/>
                <w:snapToGrid w:val="0"/>
              </w:rPr>
              <w:noBreakHyphen/>
            </w:r>
            <w:r w:rsidR="00EB0321" w:rsidRPr="00886D8A">
              <w:rPr>
                <w:b/>
                <w:bCs w:val="0"/>
                <w:snapToGrid w:val="0"/>
              </w:rPr>
              <w:t xml:space="preserve">4.37; </w:t>
            </w:r>
            <w:r>
              <w:rPr>
                <w:b/>
                <w:bCs w:val="0"/>
                <w:snapToGrid w:val="0"/>
              </w:rPr>
              <w:noBreakHyphen/>
            </w:r>
            <w:r w:rsidR="00EB0321" w:rsidRPr="00886D8A">
              <w:rPr>
                <w:b/>
                <w:bCs w:val="0"/>
                <w:snapToGrid w:val="0"/>
              </w:rPr>
              <w:t>2.62)</w:t>
            </w:r>
          </w:p>
        </w:tc>
      </w:tr>
      <w:tr w:rsidR="00EB0321" w:rsidRPr="00886D8A" w14:paraId="772D5BD5" w14:textId="77777777" w:rsidTr="0629D7D2">
        <w:trPr>
          <w:trHeight w:val="20"/>
        </w:trPr>
        <w:tc>
          <w:tcPr>
            <w:tcW w:w="1963" w:type="pct"/>
          </w:tcPr>
          <w:p w14:paraId="1379C7E1" w14:textId="539E1625" w:rsidR="00EB0321" w:rsidRPr="00886D8A" w:rsidRDefault="00EB0321" w:rsidP="004E36D3">
            <w:pPr>
              <w:pStyle w:val="TableText0"/>
              <w:rPr>
                <w:b/>
                <w:bCs w:val="0"/>
                <w:snapToGrid w:val="0"/>
              </w:rPr>
            </w:pPr>
            <w:r w:rsidRPr="00886D8A">
              <w:rPr>
                <w:snapToGrid w:val="0"/>
              </w:rPr>
              <w:t xml:space="preserve">Adjusted mean relative change, </w:t>
            </w:r>
            <w:r w:rsidR="009A6169" w:rsidRPr="00886D8A">
              <w:rPr>
                <w:snapToGrid w:val="0"/>
              </w:rPr>
              <w:t>%</w:t>
            </w:r>
            <w:r w:rsidR="0036668E" w:rsidRPr="00886D8A">
              <w:rPr>
                <w:snapToGrid w:val="0"/>
              </w:rPr>
              <w:t xml:space="preserve"> </w:t>
            </w:r>
            <w:r w:rsidRPr="00886D8A">
              <w:rPr>
                <w:snapToGrid w:val="0"/>
              </w:rPr>
              <w:t>(95% CI)</w:t>
            </w:r>
            <w:r w:rsidRPr="00886D8A">
              <w:rPr>
                <w:snapToGrid w:val="0"/>
                <w:vertAlign w:val="superscript"/>
              </w:rPr>
              <w:t>a</w:t>
            </w:r>
          </w:p>
        </w:tc>
        <w:tc>
          <w:tcPr>
            <w:tcW w:w="1022" w:type="pct"/>
            <w:vAlign w:val="center"/>
          </w:tcPr>
          <w:p w14:paraId="41F5C56D" w14:textId="3CA594AC" w:rsidR="00EB0321" w:rsidRPr="00886D8A" w:rsidRDefault="0011024A" w:rsidP="004E36D3">
            <w:pPr>
              <w:pStyle w:val="TableText0"/>
              <w:ind w:left="-112" w:right="-103"/>
              <w:jc w:val="center"/>
              <w:rPr>
                <w:b/>
                <w:bCs w:val="0"/>
                <w:snapToGrid w:val="0"/>
              </w:rPr>
            </w:pPr>
            <w:r>
              <w:rPr>
                <w:snapToGrid w:val="0"/>
              </w:rPr>
              <w:noBreakHyphen/>
            </w:r>
            <w:r w:rsidR="00EB0321" w:rsidRPr="00886D8A">
              <w:rPr>
                <w:snapToGrid w:val="0"/>
              </w:rPr>
              <w:t>77.60 (</w:t>
            </w:r>
            <w:r>
              <w:rPr>
                <w:snapToGrid w:val="0"/>
              </w:rPr>
              <w:noBreakHyphen/>
            </w:r>
            <w:r w:rsidR="00EB0321" w:rsidRPr="00886D8A">
              <w:rPr>
                <w:snapToGrid w:val="0"/>
              </w:rPr>
              <w:t xml:space="preserve">81.58, </w:t>
            </w:r>
            <w:r>
              <w:rPr>
                <w:snapToGrid w:val="0"/>
              </w:rPr>
              <w:noBreakHyphen/>
            </w:r>
            <w:r w:rsidR="00EB0321" w:rsidRPr="00886D8A">
              <w:rPr>
                <w:snapToGrid w:val="0"/>
              </w:rPr>
              <w:t>72.76)</w:t>
            </w:r>
          </w:p>
        </w:tc>
        <w:tc>
          <w:tcPr>
            <w:tcW w:w="1022" w:type="pct"/>
            <w:vAlign w:val="center"/>
          </w:tcPr>
          <w:p w14:paraId="0CA3B367" w14:textId="42E0CCB2" w:rsidR="00EB0321" w:rsidRPr="00886D8A" w:rsidRDefault="0011024A" w:rsidP="004E36D3">
            <w:pPr>
              <w:pStyle w:val="TableText0"/>
              <w:jc w:val="center"/>
              <w:rPr>
                <w:b/>
                <w:bCs w:val="0"/>
                <w:snapToGrid w:val="0"/>
              </w:rPr>
            </w:pPr>
            <w:r>
              <w:rPr>
                <w:snapToGrid w:val="0"/>
              </w:rPr>
              <w:noBreakHyphen/>
            </w:r>
            <w:r w:rsidR="00EB0321" w:rsidRPr="00886D8A">
              <w:rPr>
                <w:snapToGrid w:val="0"/>
              </w:rPr>
              <w:t>24.14 (</w:t>
            </w:r>
            <w:r>
              <w:rPr>
                <w:snapToGrid w:val="0"/>
              </w:rPr>
              <w:noBreakHyphen/>
            </w:r>
            <w:r w:rsidR="00EB0321" w:rsidRPr="00886D8A">
              <w:rPr>
                <w:snapToGrid w:val="0"/>
              </w:rPr>
              <w:t xml:space="preserve">40.31, </w:t>
            </w:r>
            <w:r>
              <w:rPr>
                <w:snapToGrid w:val="0"/>
              </w:rPr>
              <w:noBreakHyphen/>
            </w:r>
            <w:r w:rsidR="00EB0321" w:rsidRPr="00886D8A">
              <w:rPr>
                <w:snapToGrid w:val="0"/>
              </w:rPr>
              <w:t>3.59)</w:t>
            </w:r>
          </w:p>
        </w:tc>
        <w:tc>
          <w:tcPr>
            <w:tcW w:w="993" w:type="pct"/>
            <w:vAlign w:val="center"/>
          </w:tcPr>
          <w:p w14:paraId="7F2630DC" w14:textId="3F23238B" w:rsidR="00EB0321" w:rsidRPr="00886D8A" w:rsidRDefault="0011024A" w:rsidP="004E36D3">
            <w:pPr>
              <w:pStyle w:val="TableText0"/>
              <w:ind w:left="-108" w:right="-156"/>
              <w:jc w:val="center"/>
              <w:rPr>
                <w:b/>
                <w:bCs w:val="0"/>
                <w:snapToGrid w:val="0"/>
              </w:rPr>
            </w:pPr>
            <w:r>
              <w:rPr>
                <w:b/>
                <w:bCs w:val="0"/>
                <w:snapToGrid w:val="0"/>
              </w:rPr>
              <w:noBreakHyphen/>
            </w:r>
            <w:r w:rsidR="00EB0321" w:rsidRPr="00886D8A">
              <w:rPr>
                <w:b/>
                <w:bCs w:val="0"/>
                <w:snapToGrid w:val="0"/>
              </w:rPr>
              <w:t>70.47 (</w:t>
            </w:r>
            <w:r>
              <w:rPr>
                <w:b/>
                <w:bCs w:val="0"/>
                <w:snapToGrid w:val="0"/>
              </w:rPr>
              <w:noBreakHyphen/>
            </w:r>
            <w:r w:rsidR="00EB0321" w:rsidRPr="00886D8A">
              <w:rPr>
                <w:b/>
                <w:bCs w:val="0"/>
                <w:snapToGrid w:val="0"/>
              </w:rPr>
              <w:t xml:space="preserve">78.35; </w:t>
            </w:r>
            <w:r>
              <w:rPr>
                <w:b/>
                <w:bCs w:val="0"/>
                <w:snapToGrid w:val="0"/>
              </w:rPr>
              <w:noBreakHyphen/>
            </w:r>
            <w:r w:rsidR="00EB0321" w:rsidRPr="00886D8A">
              <w:rPr>
                <w:b/>
                <w:bCs w:val="0"/>
                <w:snapToGrid w:val="0"/>
              </w:rPr>
              <w:t>59.72)</w:t>
            </w:r>
          </w:p>
        </w:tc>
      </w:tr>
      <w:tr w:rsidR="00EB0321" w:rsidRPr="00886D8A" w14:paraId="1921F7E1" w14:textId="77777777" w:rsidTr="0629D7D2">
        <w:trPr>
          <w:trHeight w:val="20"/>
        </w:trPr>
        <w:tc>
          <w:tcPr>
            <w:tcW w:w="5000" w:type="pct"/>
            <w:gridSpan w:val="4"/>
          </w:tcPr>
          <w:p w14:paraId="2228FA95" w14:textId="77777777" w:rsidR="00EB0321" w:rsidRPr="00886D8A" w:rsidRDefault="00EB0321" w:rsidP="004E36D3">
            <w:pPr>
              <w:pStyle w:val="TableText0"/>
              <w:rPr>
                <w:b/>
                <w:bCs w:val="0"/>
                <w:snapToGrid w:val="0"/>
              </w:rPr>
            </w:pPr>
            <w:r w:rsidRPr="00886D8A">
              <w:rPr>
                <w:b/>
                <w:bCs w:val="0"/>
                <w:snapToGrid w:val="0"/>
              </w:rPr>
              <w:t>Change from baseline to Month 12 in 3MSCT (steps/minute)</w:t>
            </w:r>
          </w:p>
        </w:tc>
      </w:tr>
      <w:tr w:rsidR="00EB0321" w:rsidRPr="00886D8A" w14:paraId="013BD3B5" w14:textId="77777777" w:rsidTr="0629D7D2">
        <w:trPr>
          <w:trHeight w:val="20"/>
        </w:trPr>
        <w:tc>
          <w:tcPr>
            <w:tcW w:w="1963" w:type="pct"/>
          </w:tcPr>
          <w:p w14:paraId="472F2CBC" w14:textId="77777777" w:rsidR="00EB0321" w:rsidRPr="00886D8A" w:rsidRDefault="00EB0321" w:rsidP="004E36D3">
            <w:pPr>
              <w:pStyle w:val="TableText0"/>
              <w:rPr>
                <w:snapToGrid w:val="0"/>
              </w:rPr>
            </w:pPr>
            <w:r w:rsidRPr="00886D8A">
              <w:rPr>
                <w:snapToGrid w:val="0"/>
              </w:rPr>
              <w:t>Baseline mean (SD)</w:t>
            </w:r>
          </w:p>
        </w:tc>
        <w:tc>
          <w:tcPr>
            <w:tcW w:w="1022" w:type="pct"/>
          </w:tcPr>
          <w:p w14:paraId="77D3F266" w14:textId="77777777" w:rsidR="00EB0321" w:rsidRPr="00886D8A" w:rsidRDefault="00EB0321" w:rsidP="004E36D3">
            <w:pPr>
              <w:pStyle w:val="TableText0"/>
              <w:jc w:val="center"/>
              <w:rPr>
                <w:snapToGrid w:val="0"/>
              </w:rPr>
            </w:pPr>
            <w:r w:rsidRPr="00886D8A">
              <w:t>52.9 (11.2)</w:t>
            </w:r>
          </w:p>
        </w:tc>
        <w:tc>
          <w:tcPr>
            <w:tcW w:w="1022" w:type="pct"/>
          </w:tcPr>
          <w:p w14:paraId="1907258C" w14:textId="77777777" w:rsidR="00EB0321" w:rsidRPr="00886D8A" w:rsidRDefault="00EB0321" w:rsidP="004E36D3">
            <w:pPr>
              <w:pStyle w:val="TableText0"/>
              <w:jc w:val="center"/>
              <w:rPr>
                <w:snapToGrid w:val="0"/>
              </w:rPr>
            </w:pPr>
            <w:r w:rsidRPr="00886D8A">
              <w:t>55.5 (16.0)</w:t>
            </w:r>
          </w:p>
        </w:tc>
        <w:tc>
          <w:tcPr>
            <w:tcW w:w="993" w:type="pct"/>
          </w:tcPr>
          <w:p w14:paraId="42383451" w14:textId="15EDCD8C" w:rsidR="00EB0321" w:rsidRPr="00886D8A" w:rsidRDefault="0011024A" w:rsidP="004E36D3">
            <w:pPr>
              <w:pStyle w:val="TableText0"/>
              <w:jc w:val="center"/>
              <w:rPr>
                <w:snapToGrid w:val="0"/>
              </w:rPr>
            </w:pPr>
            <w:r>
              <w:rPr>
                <w:snapToGrid w:val="0"/>
              </w:rPr>
              <w:noBreakHyphen/>
            </w:r>
          </w:p>
        </w:tc>
      </w:tr>
      <w:tr w:rsidR="00EB0321" w:rsidRPr="00886D8A" w14:paraId="0182B5EE" w14:textId="77777777" w:rsidTr="0629D7D2">
        <w:trPr>
          <w:trHeight w:val="20"/>
        </w:trPr>
        <w:tc>
          <w:tcPr>
            <w:tcW w:w="1963" w:type="pct"/>
          </w:tcPr>
          <w:p w14:paraId="6F3576C8" w14:textId="012FC165" w:rsidR="00EB0321" w:rsidRPr="00886D8A" w:rsidRDefault="00EB0321" w:rsidP="004E36D3">
            <w:pPr>
              <w:pStyle w:val="TableText0"/>
              <w:rPr>
                <w:snapToGrid w:val="0"/>
              </w:rPr>
            </w:pPr>
            <w:r w:rsidRPr="00886D8A">
              <w:rPr>
                <w:snapToGrid w:val="0"/>
              </w:rPr>
              <w:t>Adjusted mean absolute change (95% CI)</w:t>
            </w:r>
            <w:r w:rsidRPr="00886D8A">
              <w:rPr>
                <w:snapToGrid w:val="0"/>
                <w:vertAlign w:val="superscript"/>
              </w:rPr>
              <w:t>a</w:t>
            </w:r>
          </w:p>
        </w:tc>
        <w:tc>
          <w:tcPr>
            <w:tcW w:w="1022" w:type="pct"/>
          </w:tcPr>
          <w:p w14:paraId="711AC10E" w14:textId="3318EA51" w:rsidR="00EB0321" w:rsidRPr="00886D8A" w:rsidRDefault="00EB0321" w:rsidP="004E36D3">
            <w:pPr>
              <w:pStyle w:val="TableText0"/>
              <w:jc w:val="center"/>
              <w:rPr>
                <w:snapToGrid w:val="0"/>
              </w:rPr>
            </w:pPr>
            <w:r w:rsidRPr="00886D8A">
              <w:t>0.46 (</w:t>
            </w:r>
            <w:r w:rsidR="0011024A">
              <w:noBreakHyphen/>
            </w:r>
            <w:r w:rsidRPr="00886D8A">
              <w:t>3.58, 4.50)</w:t>
            </w:r>
          </w:p>
        </w:tc>
        <w:tc>
          <w:tcPr>
            <w:tcW w:w="1022" w:type="pct"/>
          </w:tcPr>
          <w:p w14:paraId="2A6D18C5" w14:textId="22842D00" w:rsidR="00EB0321" w:rsidRPr="00886D8A" w:rsidRDefault="0011024A" w:rsidP="004E36D3">
            <w:pPr>
              <w:pStyle w:val="TableText0"/>
              <w:jc w:val="center"/>
              <w:rPr>
                <w:snapToGrid w:val="0"/>
              </w:rPr>
            </w:pPr>
            <w:r>
              <w:noBreakHyphen/>
            </w:r>
            <w:r w:rsidR="00EB0321" w:rsidRPr="00886D8A">
              <w:t>2.16 (</w:t>
            </w:r>
            <w:r>
              <w:noBreakHyphen/>
            </w:r>
            <w:r w:rsidR="00EB0321" w:rsidRPr="00886D8A">
              <w:t>7.12, 2.80)</w:t>
            </w:r>
          </w:p>
        </w:tc>
        <w:tc>
          <w:tcPr>
            <w:tcW w:w="993" w:type="pct"/>
          </w:tcPr>
          <w:p w14:paraId="365BF996" w14:textId="15429F7E" w:rsidR="00EB0321" w:rsidRPr="00886D8A" w:rsidRDefault="00EB0321" w:rsidP="004E36D3">
            <w:pPr>
              <w:pStyle w:val="TableText0"/>
              <w:jc w:val="center"/>
              <w:rPr>
                <w:snapToGrid w:val="0"/>
              </w:rPr>
            </w:pPr>
            <w:r w:rsidRPr="00886D8A">
              <w:rPr>
                <w:snapToGrid w:val="0"/>
              </w:rPr>
              <w:t>2.62 (</w:t>
            </w:r>
            <w:r w:rsidR="0011024A">
              <w:rPr>
                <w:snapToGrid w:val="0"/>
              </w:rPr>
              <w:noBreakHyphen/>
            </w:r>
            <w:r w:rsidRPr="00886D8A">
              <w:rPr>
                <w:snapToGrid w:val="0"/>
              </w:rPr>
              <w:t>3.81, 9.05)</w:t>
            </w:r>
          </w:p>
        </w:tc>
      </w:tr>
      <w:tr w:rsidR="00EB0321" w:rsidRPr="00886D8A" w14:paraId="1BD50215" w14:textId="77777777" w:rsidTr="0629D7D2">
        <w:trPr>
          <w:trHeight w:val="20"/>
        </w:trPr>
        <w:tc>
          <w:tcPr>
            <w:tcW w:w="1963" w:type="pct"/>
          </w:tcPr>
          <w:p w14:paraId="0E8A150D" w14:textId="201AEF6C" w:rsidR="00EB0321" w:rsidRPr="00886D8A" w:rsidRDefault="00EB0321" w:rsidP="004E36D3">
            <w:pPr>
              <w:pStyle w:val="TableText0"/>
              <w:rPr>
                <w:snapToGrid w:val="0"/>
              </w:rPr>
            </w:pPr>
            <w:r w:rsidRPr="00886D8A">
              <w:rPr>
                <w:snapToGrid w:val="0"/>
              </w:rPr>
              <w:t xml:space="preserve">Adjusted mean relative change, </w:t>
            </w:r>
            <w:r w:rsidR="001B2D27" w:rsidRPr="00886D8A">
              <w:rPr>
                <w:snapToGrid w:val="0"/>
              </w:rPr>
              <w:t xml:space="preserve">% </w:t>
            </w:r>
            <w:r w:rsidRPr="00886D8A">
              <w:rPr>
                <w:snapToGrid w:val="0"/>
              </w:rPr>
              <w:t>(95% CI)</w:t>
            </w:r>
            <w:r w:rsidRPr="00886D8A">
              <w:rPr>
                <w:snapToGrid w:val="0"/>
                <w:vertAlign w:val="superscript"/>
              </w:rPr>
              <w:t>a</w:t>
            </w:r>
          </w:p>
        </w:tc>
        <w:tc>
          <w:tcPr>
            <w:tcW w:w="1022" w:type="pct"/>
          </w:tcPr>
          <w:p w14:paraId="62563FEE" w14:textId="0CD193AD" w:rsidR="00EB0321" w:rsidRPr="00886D8A" w:rsidRDefault="0011024A" w:rsidP="004E36D3">
            <w:pPr>
              <w:pStyle w:val="TableText0"/>
              <w:jc w:val="center"/>
              <w:rPr>
                <w:snapToGrid w:val="0"/>
              </w:rPr>
            </w:pPr>
            <w:r>
              <w:noBreakHyphen/>
            </w:r>
            <w:r w:rsidR="00EB0321" w:rsidRPr="00886D8A">
              <w:t>1.07 (</w:t>
            </w:r>
            <w:r>
              <w:noBreakHyphen/>
            </w:r>
            <w:r w:rsidR="00EB0321" w:rsidRPr="00886D8A">
              <w:t>9.05, 7.61)</w:t>
            </w:r>
          </w:p>
        </w:tc>
        <w:tc>
          <w:tcPr>
            <w:tcW w:w="1022" w:type="pct"/>
          </w:tcPr>
          <w:p w14:paraId="21DF793F" w14:textId="1FF2D6F8" w:rsidR="00EB0321" w:rsidRPr="00886D8A" w:rsidRDefault="0011024A" w:rsidP="004E36D3">
            <w:pPr>
              <w:pStyle w:val="TableText0"/>
              <w:jc w:val="center"/>
              <w:rPr>
                <w:snapToGrid w:val="0"/>
              </w:rPr>
            </w:pPr>
            <w:r>
              <w:noBreakHyphen/>
            </w:r>
            <w:r w:rsidR="00EB0321" w:rsidRPr="00886D8A">
              <w:t>3.97 (</w:t>
            </w:r>
            <w:r>
              <w:noBreakHyphen/>
            </w:r>
            <w:r w:rsidR="00EB0321" w:rsidRPr="00886D8A">
              <w:t>13.38, 6.47)</w:t>
            </w:r>
          </w:p>
        </w:tc>
        <w:tc>
          <w:tcPr>
            <w:tcW w:w="993" w:type="pct"/>
          </w:tcPr>
          <w:p w14:paraId="153B37B6" w14:textId="6EA9D430" w:rsidR="00EB0321" w:rsidRPr="00886D8A" w:rsidRDefault="00EB0321" w:rsidP="004E36D3">
            <w:pPr>
              <w:pStyle w:val="TableText0"/>
              <w:jc w:val="center"/>
              <w:rPr>
                <w:snapToGrid w:val="0"/>
              </w:rPr>
            </w:pPr>
            <w:r w:rsidRPr="00886D8A">
              <w:rPr>
                <w:snapToGrid w:val="0"/>
              </w:rPr>
              <w:t>3.01 (</w:t>
            </w:r>
            <w:r w:rsidR="0011024A">
              <w:rPr>
                <w:snapToGrid w:val="0"/>
              </w:rPr>
              <w:noBreakHyphen/>
            </w:r>
            <w:r w:rsidRPr="00886D8A">
              <w:rPr>
                <w:snapToGrid w:val="0"/>
              </w:rPr>
              <w:t>9.86, 17.72)</w:t>
            </w:r>
          </w:p>
        </w:tc>
      </w:tr>
      <w:tr w:rsidR="00E133BC" w:rsidRPr="00886D8A" w14:paraId="59F3139A" w14:textId="77777777" w:rsidTr="00E133BC">
        <w:trPr>
          <w:trHeight w:val="20"/>
        </w:trPr>
        <w:tc>
          <w:tcPr>
            <w:tcW w:w="5000" w:type="pct"/>
            <w:gridSpan w:val="4"/>
          </w:tcPr>
          <w:p w14:paraId="794151FB" w14:textId="7A72F86F" w:rsidR="00E133BC" w:rsidRPr="00886D8A" w:rsidRDefault="00E133BC" w:rsidP="004E36D3">
            <w:pPr>
              <w:pStyle w:val="TableText0"/>
              <w:rPr>
                <w:b/>
                <w:bCs w:val="0"/>
                <w:snapToGrid w:val="0"/>
              </w:rPr>
            </w:pPr>
            <w:r w:rsidRPr="00886D8A">
              <w:rPr>
                <w:b/>
                <w:bCs w:val="0"/>
                <w:snapToGrid w:val="0"/>
              </w:rPr>
              <w:t>Secondary outcomes</w:t>
            </w:r>
          </w:p>
        </w:tc>
      </w:tr>
      <w:tr w:rsidR="00EB0321" w:rsidRPr="00886D8A" w14:paraId="67874489" w14:textId="77777777" w:rsidTr="0629D7D2">
        <w:trPr>
          <w:trHeight w:val="20"/>
        </w:trPr>
        <w:tc>
          <w:tcPr>
            <w:tcW w:w="5000" w:type="pct"/>
            <w:gridSpan w:val="4"/>
          </w:tcPr>
          <w:p w14:paraId="55BDA59C" w14:textId="77777777" w:rsidR="00EB0321" w:rsidRPr="00886D8A" w:rsidRDefault="00EB0321" w:rsidP="004E36D3">
            <w:pPr>
              <w:pStyle w:val="TableText0"/>
              <w:rPr>
                <w:b/>
                <w:bCs w:val="0"/>
                <w:snapToGrid w:val="0"/>
              </w:rPr>
            </w:pPr>
            <w:r w:rsidRPr="00886D8A">
              <w:rPr>
                <w:b/>
                <w:bCs w:val="0"/>
                <w:snapToGrid w:val="0"/>
              </w:rPr>
              <w:t>Change from baseline to Month 12 in 6MWT (metres)</w:t>
            </w:r>
          </w:p>
        </w:tc>
      </w:tr>
      <w:tr w:rsidR="00EB0321" w:rsidRPr="00886D8A" w14:paraId="44E8BC09" w14:textId="77777777" w:rsidTr="0629D7D2">
        <w:trPr>
          <w:trHeight w:val="20"/>
        </w:trPr>
        <w:tc>
          <w:tcPr>
            <w:tcW w:w="1963" w:type="pct"/>
          </w:tcPr>
          <w:p w14:paraId="4B5D2711" w14:textId="77777777" w:rsidR="00EB0321" w:rsidRPr="00886D8A" w:rsidRDefault="00EB0321" w:rsidP="004E36D3">
            <w:pPr>
              <w:pStyle w:val="TableText0"/>
              <w:rPr>
                <w:snapToGrid w:val="0"/>
              </w:rPr>
            </w:pPr>
            <w:r w:rsidRPr="00886D8A">
              <w:rPr>
                <w:snapToGrid w:val="0"/>
              </w:rPr>
              <w:t>Baseline mean (SD)</w:t>
            </w:r>
          </w:p>
        </w:tc>
        <w:tc>
          <w:tcPr>
            <w:tcW w:w="1022" w:type="pct"/>
          </w:tcPr>
          <w:p w14:paraId="4FB09536" w14:textId="77777777" w:rsidR="00EB0321" w:rsidRPr="00886D8A" w:rsidRDefault="00EB0321" w:rsidP="004E36D3">
            <w:pPr>
              <w:pStyle w:val="TableText0"/>
              <w:jc w:val="center"/>
              <w:rPr>
                <w:snapToGrid w:val="0"/>
              </w:rPr>
            </w:pPr>
            <w:r w:rsidRPr="00886D8A">
              <w:t>459.6 (72.26)</w:t>
            </w:r>
          </w:p>
        </w:tc>
        <w:tc>
          <w:tcPr>
            <w:tcW w:w="1022" w:type="pct"/>
          </w:tcPr>
          <w:p w14:paraId="445910E2" w14:textId="77777777" w:rsidR="00EB0321" w:rsidRPr="00886D8A" w:rsidRDefault="00EB0321" w:rsidP="004E36D3">
            <w:pPr>
              <w:pStyle w:val="TableText0"/>
              <w:jc w:val="center"/>
              <w:rPr>
                <w:snapToGrid w:val="0"/>
              </w:rPr>
            </w:pPr>
            <w:r w:rsidRPr="00886D8A">
              <w:t>465.7 (140.5)</w:t>
            </w:r>
          </w:p>
        </w:tc>
        <w:tc>
          <w:tcPr>
            <w:tcW w:w="993" w:type="pct"/>
          </w:tcPr>
          <w:p w14:paraId="27E986E5" w14:textId="5CDF9CE6" w:rsidR="00EB0321" w:rsidRPr="00886D8A" w:rsidRDefault="0011024A" w:rsidP="004E36D3">
            <w:pPr>
              <w:pStyle w:val="TableText0"/>
              <w:jc w:val="center"/>
              <w:rPr>
                <w:snapToGrid w:val="0"/>
              </w:rPr>
            </w:pPr>
            <w:r>
              <w:rPr>
                <w:snapToGrid w:val="0"/>
              </w:rPr>
              <w:noBreakHyphen/>
            </w:r>
          </w:p>
        </w:tc>
      </w:tr>
      <w:tr w:rsidR="00EB0321" w:rsidRPr="00886D8A" w14:paraId="41279C9E" w14:textId="77777777" w:rsidTr="0629D7D2">
        <w:trPr>
          <w:trHeight w:val="20"/>
        </w:trPr>
        <w:tc>
          <w:tcPr>
            <w:tcW w:w="1963" w:type="pct"/>
          </w:tcPr>
          <w:p w14:paraId="2F826BA1" w14:textId="445FD0C3" w:rsidR="00EB0321" w:rsidRPr="00886D8A" w:rsidRDefault="00EB0321" w:rsidP="004E36D3">
            <w:pPr>
              <w:pStyle w:val="TableText0"/>
              <w:rPr>
                <w:snapToGrid w:val="0"/>
              </w:rPr>
            </w:pPr>
            <w:r w:rsidRPr="00886D8A">
              <w:rPr>
                <w:snapToGrid w:val="0"/>
              </w:rPr>
              <w:t>Adjusted mean absolute change (95% CI)</w:t>
            </w:r>
            <w:r w:rsidRPr="00886D8A">
              <w:rPr>
                <w:snapToGrid w:val="0"/>
                <w:vertAlign w:val="superscript"/>
              </w:rPr>
              <w:t>a</w:t>
            </w:r>
          </w:p>
        </w:tc>
        <w:tc>
          <w:tcPr>
            <w:tcW w:w="1022" w:type="pct"/>
          </w:tcPr>
          <w:p w14:paraId="3967C878" w14:textId="69F29C20" w:rsidR="00EB0321" w:rsidRPr="00886D8A" w:rsidRDefault="00EB0321" w:rsidP="004E36D3">
            <w:pPr>
              <w:pStyle w:val="TableText0"/>
              <w:jc w:val="center"/>
              <w:rPr>
                <w:snapToGrid w:val="0"/>
              </w:rPr>
            </w:pPr>
            <w:r w:rsidRPr="00886D8A">
              <w:t>3.74 (</w:t>
            </w:r>
            <w:r w:rsidR="0011024A">
              <w:noBreakHyphen/>
            </w:r>
            <w:r w:rsidRPr="00886D8A">
              <w:t>20.32, 27.80)</w:t>
            </w:r>
          </w:p>
        </w:tc>
        <w:tc>
          <w:tcPr>
            <w:tcW w:w="1022" w:type="pct"/>
          </w:tcPr>
          <w:p w14:paraId="5D827A49" w14:textId="3AD5E277" w:rsidR="00EB0321" w:rsidRPr="00886D8A" w:rsidRDefault="0011024A" w:rsidP="004E36D3">
            <w:pPr>
              <w:pStyle w:val="TableText0"/>
              <w:jc w:val="center"/>
              <w:rPr>
                <w:snapToGrid w:val="0"/>
              </w:rPr>
            </w:pPr>
            <w:r>
              <w:noBreakHyphen/>
            </w:r>
            <w:r w:rsidR="00EB0321" w:rsidRPr="00886D8A">
              <w:t>3.61 (</w:t>
            </w:r>
            <w:r>
              <w:noBreakHyphen/>
            </w:r>
            <w:r w:rsidR="00EB0321" w:rsidRPr="00886D8A">
              <w:t>33.10, 25.87)</w:t>
            </w:r>
          </w:p>
        </w:tc>
        <w:tc>
          <w:tcPr>
            <w:tcW w:w="993" w:type="pct"/>
          </w:tcPr>
          <w:p w14:paraId="719A226D" w14:textId="396DBAEE" w:rsidR="00EB0321" w:rsidRPr="00886D8A" w:rsidRDefault="00EB0321" w:rsidP="004E36D3">
            <w:pPr>
              <w:pStyle w:val="TableText0"/>
              <w:jc w:val="center"/>
              <w:rPr>
                <w:snapToGrid w:val="0"/>
              </w:rPr>
            </w:pPr>
            <w:r w:rsidRPr="00886D8A">
              <w:rPr>
                <w:snapToGrid w:val="0"/>
              </w:rPr>
              <w:t>7.35 (</w:t>
            </w:r>
            <w:r w:rsidR="0011024A">
              <w:rPr>
                <w:snapToGrid w:val="0"/>
              </w:rPr>
              <w:noBreakHyphen/>
            </w:r>
            <w:r w:rsidRPr="00886D8A">
              <w:rPr>
                <w:snapToGrid w:val="0"/>
              </w:rPr>
              <w:t>30.76, 45.46)</w:t>
            </w:r>
          </w:p>
        </w:tc>
      </w:tr>
      <w:tr w:rsidR="00EB0321" w:rsidRPr="00886D8A" w14:paraId="7EE8311B" w14:textId="77777777" w:rsidTr="0629D7D2">
        <w:trPr>
          <w:trHeight w:val="20"/>
        </w:trPr>
        <w:tc>
          <w:tcPr>
            <w:tcW w:w="1963" w:type="pct"/>
          </w:tcPr>
          <w:p w14:paraId="27B03E54" w14:textId="2AD8959B" w:rsidR="00EB0321" w:rsidRPr="00886D8A" w:rsidRDefault="00EB0321" w:rsidP="004E36D3">
            <w:pPr>
              <w:pStyle w:val="TableText0"/>
              <w:rPr>
                <w:snapToGrid w:val="0"/>
              </w:rPr>
            </w:pPr>
            <w:r w:rsidRPr="00886D8A">
              <w:rPr>
                <w:snapToGrid w:val="0"/>
              </w:rPr>
              <w:t xml:space="preserve">Adjusted mean relative change, </w:t>
            </w:r>
            <w:r w:rsidR="001B2D27" w:rsidRPr="00886D8A">
              <w:rPr>
                <w:snapToGrid w:val="0"/>
              </w:rPr>
              <w:t xml:space="preserve">% </w:t>
            </w:r>
            <w:r w:rsidRPr="00886D8A">
              <w:rPr>
                <w:snapToGrid w:val="0"/>
              </w:rPr>
              <w:t>(95% CI)</w:t>
            </w:r>
            <w:r w:rsidRPr="00886D8A">
              <w:rPr>
                <w:snapToGrid w:val="0"/>
                <w:vertAlign w:val="superscript"/>
              </w:rPr>
              <w:t>a</w:t>
            </w:r>
          </w:p>
        </w:tc>
        <w:tc>
          <w:tcPr>
            <w:tcW w:w="1022" w:type="pct"/>
          </w:tcPr>
          <w:p w14:paraId="2F53E9B1" w14:textId="0D174D2D" w:rsidR="00EB0321" w:rsidRPr="00886D8A" w:rsidRDefault="00EB0321" w:rsidP="004E36D3">
            <w:pPr>
              <w:pStyle w:val="TableText0"/>
              <w:jc w:val="center"/>
              <w:rPr>
                <w:snapToGrid w:val="0"/>
              </w:rPr>
            </w:pPr>
            <w:r w:rsidRPr="00886D8A">
              <w:t>0.64 (</w:t>
            </w:r>
            <w:r w:rsidR="0011024A">
              <w:noBreakHyphen/>
            </w:r>
            <w:r w:rsidRPr="00886D8A">
              <w:t>4.74, 6.32)</w:t>
            </w:r>
          </w:p>
        </w:tc>
        <w:tc>
          <w:tcPr>
            <w:tcW w:w="1022" w:type="pct"/>
          </w:tcPr>
          <w:p w14:paraId="41390896" w14:textId="544AAF6B" w:rsidR="00EB0321" w:rsidRPr="00886D8A" w:rsidRDefault="0011024A" w:rsidP="004E36D3">
            <w:pPr>
              <w:pStyle w:val="TableText0"/>
              <w:jc w:val="center"/>
              <w:rPr>
                <w:snapToGrid w:val="0"/>
              </w:rPr>
            </w:pPr>
            <w:r>
              <w:noBreakHyphen/>
            </w:r>
            <w:r w:rsidR="00EB0321" w:rsidRPr="00886D8A">
              <w:t>1.20 (</w:t>
            </w:r>
            <w:r>
              <w:noBreakHyphen/>
            </w:r>
            <w:r w:rsidR="00EB0321" w:rsidRPr="00886D8A">
              <w:t>7.63, 5.68)</w:t>
            </w:r>
          </w:p>
        </w:tc>
        <w:tc>
          <w:tcPr>
            <w:tcW w:w="993" w:type="pct"/>
          </w:tcPr>
          <w:p w14:paraId="440B41CD" w14:textId="1FF1DC57" w:rsidR="00EB0321" w:rsidRPr="00886D8A" w:rsidRDefault="00EB0321" w:rsidP="004E36D3">
            <w:pPr>
              <w:pStyle w:val="TableText0"/>
              <w:jc w:val="center"/>
              <w:rPr>
                <w:snapToGrid w:val="0"/>
              </w:rPr>
            </w:pPr>
            <w:r w:rsidRPr="00886D8A">
              <w:rPr>
                <w:snapToGrid w:val="0"/>
              </w:rPr>
              <w:t>1.86 (</w:t>
            </w:r>
            <w:r w:rsidR="0011024A">
              <w:rPr>
                <w:snapToGrid w:val="0"/>
              </w:rPr>
              <w:noBreakHyphen/>
            </w:r>
            <w:r w:rsidRPr="00886D8A">
              <w:rPr>
                <w:snapToGrid w:val="0"/>
              </w:rPr>
              <w:t>6.63, 11.12)</w:t>
            </w:r>
          </w:p>
        </w:tc>
      </w:tr>
      <w:tr w:rsidR="00EB0321" w:rsidRPr="00886D8A" w14:paraId="1859B037" w14:textId="77777777" w:rsidTr="0629D7D2">
        <w:trPr>
          <w:trHeight w:val="20"/>
        </w:trPr>
        <w:tc>
          <w:tcPr>
            <w:tcW w:w="5000" w:type="pct"/>
            <w:gridSpan w:val="4"/>
          </w:tcPr>
          <w:p w14:paraId="2CB0DEA2" w14:textId="77777777" w:rsidR="00EB0321" w:rsidRPr="00886D8A" w:rsidRDefault="00EB0321" w:rsidP="004E36D3">
            <w:pPr>
              <w:pStyle w:val="TableText0"/>
              <w:rPr>
                <w:b/>
                <w:bCs w:val="0"/>
                <w:snapToGrid w:val="0"/>
              </w:rPr>
            </w:pPr>
            <w:r w:rsidRPr="00886D8A">
              <w:rPr>
                <w:b/>
                <w:bCs w:val="0"/>
                <w:snapToGrid w:val="0"/>
              </w:rPr>
              <w:t>Change from baseline to Month 12 in FVC (% of predicted)</w:t>
            </w:r>
          </w:p>
        </w:tc>
      </w:tr>
      <w:tr w:rsidR="00EB0321" w:rsidRPr="00886D8A" w14:paraId="7BDA7AEF" w14:textId="77777777" w:rsidTr="0629D7D2">
        <w:trPr>
          <w:trHeight w:val="20"/>
        </w:trPr>
        <w:tc>
          <w:tcPr>
            <w:tcW w:w="1963" w:type="pct"/>
          </w:tcPr>
          <w:p w14:paraId="43C9ECC5" w14:textId="77777777" w:rsidR="00EB0321" w:rsidRPr="00886D8A" w:rsidRDefault="00EB0321" w:rsidP="004E36D3">
            <w:pPr>
              <w:pStyle w:val="TableText0"/>
              <w:rPr>
                <w:snapToGrid w:val="0"/>
              </w:rPr>
            </w:pPr>
            <w:r w:rsidRPr="00886D8A">
              <w:rPr>
                <w:snapToGrid w:val="0"/>
              </w:rPr>
              <w:t>Baseline mean (SD)</w:t>
            </w:r>
          </w:p>
        </w:tc>
        <w:tc>
          <w:tcPr>
            <w:tcW w:w="1022" w:type="pct"/>
          </w:tcPr>
          <w:p w14:paraId="348D23A6" w14:textId="77777777" w:rsidR="00EB0321" w:rsidRPr="00886D8A" w:rsidRDefault="00EB0321" w:rsidP="004E36D3">
            <w:pPr>
              <w:pStyle w:val="TableText0"/>
              <w:jc w:val="center"/>
              <w:rPr>
                <w:snapToGrid w:val="0"/>
              </w:rPr>
            </w:pPr>
            <w:r w:rsidRPr="00886D8A">
              <w:t>81.67 (20.66)</w:t>
            </w:r>
          </w:p>
        </w:tc>
        <w:tc>
          <w:tcPr>
            <w:tcW w:w="1022" w:type="pct"/>
          </w:tcPr>
          <w:p w14:paraId="259D683B" w14:textId="77777777" w:rsidR="00EB0321" w:rsidRPr="00886D8A" w:rsidRDefault="00EB0321" w:rsidP="004E36D3">
            <w:pPr>
              <w:pStyle w:val="TableText0"/>
              <w:jc w:val="center"/>
              <w:rPr>
                <w:snapToGrid w:val="0"/>
              </w:rPr>
            </w:pPr>
            <w:r w:rsidRPr="00886D8A">
              <w:t>90.44 (10.39)</w:t>
            </w:r>
          </w:p>
        </w:tc>
        <w:tc>
          <w:tcPr>
            <w:tcW w:w="993" w:type="pct"/>
          </w:tcPr>
          <w:p w14:paraId="22B45981" w14:textId="0EC650EC" w:rsidR="00EB0321" w:rsidRPr="00886D8A" w:rsidRDefault="0011024A" w:rsidP="004E36D3">
            <w:pPr>
              <w:pStyle w:val="TableText0"/>
              <w:jc w:val="center"/>
              <w:rPr>
                <w:snapToGrid w:val="0"/>
              </w:rPr>
            </w:pPr>
            <w:r>
              <w:rPr>
                <w:snapToGrid w:val="0"/>
              </w:rPr>
              <w:noBreakHyphen/>
            </w:r>
          </w:p>
        </w:tc>
      </w:tr>
      <w:tr w:rsidR="00EB0321" w:rsidRPr="00886D8A" w14:paraId="2447CEDF" w14:textId="77777777" w:rsidTr="0629D7D2">
        <w:trPr>
          <w:trHeight w:val="20"/>
        </w:trPr>
        <w:tc>
          <w:tcPr>
            <w:tcW w:w="1963" w:type="pct"/>
          </w:tcPr>
          <w:p w14:paraId="07AB1133" w14:textId="51F0257D" w:rsidR="00EB0321" w:rsidRPr="00886D8A" w:rsidRDefault="00EB0321" w:rsidP="004E36D3">
            <w:pPr>
              <w:pStyle w:val="TableText0"/>
              <w:rPr>
                <w:snapToGrid w:val="0"/>
              </w:rPr>
            </w:pPr>
            <w:r w:rsidRPr="00886D8A">
              <w:rPr>
                <w:snapToGrid w:val="0"/>
              </w:rPr>
              <w:t>Adjusted mean absolute change (95% CI)</w:t>
            </w:r>
            <w:r w:rsidRPr="00886D8A">
              <w:rPr>
                <w:snapToGrid w:val="0"/>
                <w:vertAlign w:val="superscript"/>
              </w:rPr>
              <w:t>a</w:t>
            </w:r>
          </w:p>
        </w:tc>
        <w:tc>
          <w:tcPr>
            <w:tcW w:w="1022" w:type="pct"/>
          </w:tcPr>
          <w:p w14:paraId="48BF7412" w14:textId="77777777" w:rsidR="00EB0321" w:rsidRPr="00886D8A" w:rsidRDefault="00EB0321" w:rsidP="004E36D3">
            <w:pPr>
              <w:pStyle w:val="TableText0"/>
              <w:jc w:val="center"/>
              <w:rPr>
                <w:snapToGrid w:val="0"/>
              </w:rPr>
            </w:pPr>
            <w:r w:rsidRPr="00886D8A">
              <w:t>8.20 (1.79, 14.63)</w:t>
            </w:r>
          </w:p>
        </w:tc>
        <w:tc>
          <w:tcPr>
            <w:tcW w:w="1022" w:type="pct"/>
          </w:tcPr>
          <w:p w14:paraId="73D4A643" w14:textId="53E982DA" w:rsidR="00EB0321" w:rsidRPr="00886D8A" w:rsidRDefault="00EB0321" w:rsidP="004E36D3">
            <w:pPr>
              <w:pStyle w:val="TableText0"/>
              <w:jc w:val="center"/>
              <w:rPr>
                <w:snapToGrid w:val="0"/>
              </w:rPr>
            </w:pPr>
            <w:r w:rsidRPr="00886D8A">
              <w:t>2.30 (</w:t>
            </w:r>
            <w:r w:rsidR="0011024A">
              <w:noBreakHyphen/>
            </w:r>
            <w:r w:rsidRPr="00886D8A">
              <w:t>6.19, 10.79)</w:t>
            </w:r>
          </w:p>
        </w:tc>
        <w:tc>
          <w:tcPr>
            <w:tcW w:w="993" w:type="pct"/>
          </w:tcPr>
          <w:p w14:paraId="3FFB3C5F" w14:textId="04D6E937" w:rsidR="00EB0321" w:rsidRPr="00886D8A" w:rsidRDefault="00EB0321" w:rsidP="004E36D3">
            <w:pPr>
              <w:pStyle w:val="TableText0"/>
              <w:jc w:val="center"/>
            </w:pPr>
            <w:r w:rsidRPr="00886D8A">
              <w:rPr>
                <w:snapToGrid w:val="0"/>
              </w:rPr>
              <w:t>5.9</w:t>
            </w:r>
            <w:r w:rsidR="00497DFB" w:rsidRPr="00886D8A">
              <w:rPr>
                <w:snapToGrid w:val="0"/>
              </w:rPr>
              <w:t>1</w:t>
            </w:r>
            <w:r w:rsidRPr="00886D8A">
              <w:rPr>
                <w:snapToGrid w:val="0"/>
              </w:rPr>
              <w:t xml:space="preserve"> (</w:t>
            </w:r>
            <w:r w:rsidR="0011024A">
              <w:rPr>
                <w:snapToGrid w:val="0"/>
              </w:rPr>
              <w:noBreakHyphen/>
            </w:r>
            <w:r w:rsidRPr="00886D8A">
              <w:rPr>
                <w:snapToGrid w:val="0"/>
              </w:rPr>
              <w:t>4.</w:t>
            </w:r>
            <w:r w:rsidR="331186B3" w:rsidRPr="00886D8A">
              <w:rPr>
                <w:snapToGrid w:val="0"/>
              </w:rPr>
              <w:t>7</w:t>
            </w:r>
            <w:r w:rsidRPr="00886D8A">
              <w:rPr>
                <w:snapToGrid w:val="0"/>
              </w:rPr>
              <w:t>8</w:t>
            </w:r>
            <w:r w:rsidR="00497DFB" w:rsidRPr="00886D8A">
              <w:rPr>
                <w:snapToGrid w:val="0"/>
              </w:rPr>
              <w:t>,</w:t>
            </w:r>
            <w:r w:rsidRPr="00886D8A">
              <w:rPr>
                <w:snapToGrid w:val="0"/>
              </w:rPr>
              <w:t xml:space="preserve"> 16.6</w:t>
            </w:r>
            <w:r w:rsidR="0E4652A2" w:rsidRPr="00886D8A">
              <w:rPr>
                <w:snapToGrid w:val="0"/>
              </w:rPr>
              <w:t>0</w:t>
            </w:r>
            <w:r w:rsidRPr="00886D8A">
              <w:rPr>
                <w:snapToGrid w:val="0"/>
              </w:rPr>
              <w:t>)</w:t>
            </w:r>
          </w:p>
        </w:tc>
      </w:tr>
      <w:tr w:rsidR="00EB0321" w:rsidRPr="00886D8A" w14:paraId="57B9108A" w14:textId="77777777" w:rsidTr="0629D7D2">
        <w:trPr>
          <w:trHeight w:val="20"/>
        </w:trPr>
        <w:tc>
          <w:tcPr>
            <w:tcW w:w="1963" w:type="pct"/>
          </w:tcPr>
          <w:p w14:paraId="71D809FD" w14:textId="04DAFF82" w:rsidR="00EB0321" w:rsidRPr="00886D8A" w:rsidRDefault="00EB0321" w:rsidP="004E36D3">
            <w:pPr>
              <w:pStyle w:val="TableText0"/>
              <w:rPr>
                <w:snapToGrid w:val="0"/>
              </w:rPr>
            </w:pPr>
            <w:r w:rsidRPr="00886D8A">
              <w:rPr>
                <w:snapToGrid w:val="0"/>
              </w:rPr>
              <w:t xml:space="preserve">Adjusted mean relative change, </w:t>
            </w:r>
            <w:r w:rsidR="00B97A1F" w:rsidRPr="00886D8A">
              <w:rPr>
                <w:snapToGrid w:val="0"/>
              </w:rPr>
              <w:t xml:space="preserve">% </w:t>
            </w:r>
            <w:r w:rsidRPr="00886D8A">
              <w:rPr>
                <w:snapToGrid w:val="0"/>
              </w:rPr>
              <w:t>(95% CI)</w:t>
            </w:r>
            <w:r w:rsidRPr="00886D8A">
              <w:rPr>
                <w:snapToGrid w:val="0"/>
                <w:vertAlign w:val="superscript"/>
              </w:rPr>
              <w:t>a</w:t>
            </w:r>
          </w:p>
        </w:tc>
        <w:tc>
          <w:tcPr>
            <w:tcW w:w="1022" w:type="pct"/>
          </w:tcPr>
          <w:p w14:paraId="08042BF8" w14:textId="77777777" w:rsidR="00EB0321" w:rsidRPr="00886D8A" w:rsidRDefault="00EB0321" w:rsidP="004E36D3">
            <w:pPr>
              <w:pStyle w:val="TableText0"/>
              <w:jc w:val="center"/>
              <w:rPr>
                <w:snapToGrid w:val="0"/>
              </w:rPr>
            </w:pPr>
            <w:r w:rsidRPr="00886D8A">
              <w:t>10.11 (1.31, 19.67)</w:t>
            </w:r>
          </w:p>
        </w:tc>
        <w:tc>
          <w:tcPr>
            <w:tcW w:w="1022" w:type="pct"/>
          </w:tcPr>
          <w:p w14:paraId="231782B7" w14:textId="5E04F85C" w:rsidR="00EB0321" w:rsidRPr="00886D8A" w:rsidRDefault="00EB0321" w:rsidP="004E36D3">
            <w:pPr>
              <w:pStyle w:val="TableText0"/>
              <w:jc w:val="center"/>
              <w:rPr>
                <w:snapToGrid w:val="0"/>
              </w:rPr>
            </w:pPr>
            <w:r w:rsidRPr="00886D8A">
              <w:t>1.58 (</w:t>
            </w:r>
            <w:r w:rsidR="0011024A">
              <w:noBreakHyphen/>
            </w:r>
            <w:r w:rsidRPr="00886D8A">
              <w:t>9.48, 13.99)</w:t>
            </w:r>
          </w:p>
        </w:tc>
        <w:tc>
          <w:tcPr>
            <w:tcW w:w="993" w:type="pct"/>
          </w:tcPr>
          <w:p w14:paraId="57FE741B" w14:textId="7030A5C3" w:rsidR="00EB0321" w:rsidRPr="00886D8A" w:rsidRDefault="00EB0321" w:rsidP="004E36D3">
            <w:pPr>
              <w:pStyle w:val="TableText0"/>
              <w:jc w:val="center"/>
              <w:rPr>
                <w:snapToGrid w:val="0"/>
              </w:rPr>
            </w:pPr>
            <w:r w:rsidRPr="00886D8A">
              <w:rPr>
                <w:snapToGrid w:val="0"/>
              </w:rPr>
              <w:t>8.40 (</w:t>
            </w:r>
            <w:r w:rsidR="0011024A">
              <w:rPr>
                <w:snapToGrid w:val="0"/>
              </w:rPr>
              <w:noBreakHyphen/>
            </w:r>
            <w:r w:rsidRPr="00886D8A">
              <w:rPr>
                <w:snapToGrid w:val="0"/>
              </w:rPr>
              <w:t>6.06, 25.08)</w:t>
            </w:r>
          </w:p>
        </w:tc>
      </w:tr>
    </w:tbl>
    <w:p w14:paraId="71BC6B13" w14:textId="170D1BF5" w:rsidR="00EB0321" w:rsidRPr="00886D8A" w:rsidRDefault="00EB0321" w:rsidP="004E36D3">
      <w:pPr>
        <w:rPr>
          <w:rFonts w:ascii="Arial Narrow" w:eastAsia="Calibri" w:hAnsi="Arial Narrow"/>
          <w:snapToGrid w:val="0"/>
          <w:sz w:val="18"/>
          <w:szCs w:val="18"/>
          <w:lang w:eastAsia="en-US"/>
        </w:rPr>
      </w:pPr>
      <w:r w:rsidRPr="00886D8A">
        <w:rPr>
          <w:rFonts w:ascii="Arial Narrow" w:eastAsia="Calibri" w:hAnsi="Arial Narrow"/>
          <w:snapToGrid w:val="0"/>
          <w:sz w:val="18"/>
          <w:szCs w:val="18"/>
          <w:lang w:eastAsia="en-US"/>
        </w:rPr>
        <w:t>Source: Table 2.5</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1, p</w:t>
      </w:r>
      <w:r w:rsidR="593D2CD0" w:rsidRPr="00886D8A">
        <w:rPr>
          <w:rFonts w:ascii="Arial Narrow" w:eastAsia="Calibri" w:hAnsi="Arial Narrow"/>
          <w:snapToGrid w:val="0"/>
          <w:sz w:val="18"/>
          <w:szCs w:val="18"/>
          <w:lang w:eastAsia="en-US"/>
        </w:rPr>
        <w:t>74, Table</w:t>
      </w:r>
      <w:r w:rsidRPr="00886D8A">
        <w:rPr>
          <w:rFonts w:ascii="Arial Narrow" w:eastAsia="Calibri" w:hAnsi="Arial Narrow"/>
          <w:snapToGrid w:val="0"/>
          <w:sz w:val="18"/>
          <w:szCs w:val="18"/>
          <w:lang w:eastAsia="en-US"/>
        </w:rPr>
        <w:t xml:space="preserve"> 2.5</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3, p77, Table 2.5</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5, p80, and Table 2.5</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7, p83 of the submission.</w:t>
      </w:r>
      <w:r w:rsidR="00A961F5">
        <w:rPr>
          <w:rFonts w:ascii="Arial Narrow" w:eastAsia="Calibri" w:hAnsi="Arial Narrow"/>
          <w:snapToGrid w:val="0"/>
          <w:sz w:val="18"/>
          <w:szCs w:val="18"/>
          <w:lang w:eastAsia="en-US"/>
        </w:rPr>
        <w:t xml:space="preserve"> </w:t>
      </w:r>
    </w:p>
    <w:p w14:paraId="6464BC26" w14:textId="4D372924" w:rsidR="00EB0321" w:rsidRPr="00886D8A" w:rsidRDefault="00EB0321" w:rsidP="004E36D3">
      <w:pPr>
        <w:rPr>
          <w:rFonts w:ascii="Arial Narrow" w:eastAsia="Calibri" w:hAnsi="Arial Narrow"/>
          <w:snapToGrid w:val="0"/>
          <w:sz w:val="18"/>
          <w:szCs w:val="18"/>
          <w:lang w:eastAsia="en-US"/>
        </w:rPr>
      </w:pPr>
      <w:r w:rsidRPr="00886D8A">
        <w:rPr>
          <w:rFonts w:ascii="Arial Narrow" w:eastAsia="Calibri" w:hAnsi="Arial Narrow"/>
          <w:snapToGrid w:val="0"/>
          <w:sz w:val="18"/>
          <w:szCs w:val="18"/>
          <w:lang w:eastAsia="en-US"/>
        </w:rPr>
        <w:t>3MSCT = 3</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minute stair climb test; 6MWT = 6</w:t>
      </w:r>
      <w:r w:rsidR="0011024A">
        <w:rPr>
          <w:rFonts w:ascii="Arial Narrow" w:eastAsia="Calibri" w:hAnsi="Arial Narrow"/>
          <w:snapToGrid w:val="0"/>
          <w:sz w:val="18"/>
          <w:szCs w:val="18"/>
          <w:lang w:eastAsia="en-US"/>
        </w:rPr>
        <w:noBreakHyphen/>
      </w:r>
      <w:r w:rsidRPr="00886D8A">
        <w:rPr>
          <w:rFonts w:ascii="Arial Narrow" w:eastAsia="Calibri" w:hAnsi="Arial Narrow"/>
          <w:snapToGrid w:val="0"/>
          <w:sz w:val="18"/>
          <w:szCs w:val="18"/>
          <w:lang w:eastAsia="en-US"/>
        </w:rPr>
        <w:t xml:space="preserve">minute walk test; </w:t>
      </w:r>
      <w:r w:rsidR="0BF7F6B1" w:rsidRPr="00886D8A">
        <w:rPr>
          <w:rFonts w:ascii="Arial Narrow" w:eastAsia="Calibri" w:hAnsi="Arial Narrow"/>
          <w:sz w:val="18"/>
          <w:szCs w:val="18"/>
          <w:lang w:eastAsia="en-US"/>
        </w:rPr>
        <w:t xml:space="preserve">BSC = best supportive care; </w:t>
      </w:r>
      <w:r w:rsidRPr="00886D8A">
        <w:rPr>
          <w:rFonts w:ascii="Arial Narrow" w:eastAsia="Calibri" w:hAnsi="Arial Narrow"/>
          <w:snapToGrid w:val="0"/>
          <w:sz w:val="18"/>
          <w:szCs w:val="18"/>
          <w:lang w:eastAsia="en-US"/>
        </w:rPr>
        <w:t xml:space="preserve">CI = confidence interval; FVC = forced vital capacity; </w:t>
      </w:r>
      <w:r w:rsidR="009B39A2" w:rsidRPr="00886D8A">
        <w:rPr>
          <w:rFonts w:ascii="Arial Narrow" w:eastAsia="Calibri" w:hAnsi="Arial Narrow"/>
          <w:snapToGrid w:val="0"/>
          <w:sz w:val="18"/>
          <w:szCs w:val="18"/>
          <w:lang w:eastAsia="en-US"/>
        </w:rPr>
        <w:t xml:space="preserve">N = total participants in group; </w:t>
      </w:r>
      <w:r w:rsidRPr="00886D8A">
        <w:rPr>
          <w:rFonts w:ascii="Arial Narrow" w:eastAsia="Calibri" w:hAnsi="Arial Narrow"/>
          <w:snapToGrid w:val="0"/>
          <w:sz w:val="18"/>
          <w:szCs w:val="18"/>
          <w:lang w:eastAsia="en-US"/>
        </w:rPr>
        <w:t>SD = standard deviation.</w:t>
      </w:r>
    </w:p>
    <w:p w14:paraId="5225B069" w14:textId="1D6EA5B6" w:rsidR="2795D7A5" w:rsidRPr="00886D8A" w:rsidRDefault="2795D7A5" w:rsidP="004E36D3">
      <w:pPr>
        <w:rPr>
          <w:rFonts w:ascii="Arial Narrow" w:eastAsia="Calibri" w:hAnsi="Arial Narrow"/>
          <w:sz w:val="18"/>
          <w:szCs w:val="18"/>
          <w:lang w:eastAsia="en-US"/>
        </w:rPr>
      </w:pPr>
      <w:r w:rsidRPr="00886D8A">
        <w:rPr>
          <w:rFonts w:ascii="Arial Narrow" w:eastAsia="Calibri" w:hAnsi="Arial Narrow"/>
          <w:sz w:val="18"/>
          <w:szCs w:val="18"/>
          <w:vertAlign w:val="superscript"/>
          <w:lang w:eastAsia="en-US"/>
        </w:rPr>
        <w:t>a</w:t>
      </w:r>
      <w:r w:rsidRPr="00886D8A">
        <w:rPr>
          <w:rFonts w:ascii="Arial Narrow" w:eastAsia="Calibri" w:hAnsi="Arial Narrow"/>
          <w:sz w:val="18"/>
          <w:szCs w:val="18"/>
          <w:lang w:eastAsia="en-US"/>
        </w:rPr>
        <w:t xml:space="preserve"> Adjusted for baseline and age</w:t>
      </w:r>
    </w:p>
    <w:p w14:paraId="0792EE93" w14:textId="77777777" w:rsidR="00EB0321" w:rsidRPr="00886D8A" w:rsidRDefault="00EB0321" w:rsidP="004E36D3">
      <w:pPr>
        <w:rPr>
          <w:rFonts w:ascii="Arial Narrow" w:eastAsia="Calibri" w:hAnsi="Arial Narrow"/>
          <w:snapToGrid w:val="0"/>
          <w:sz w:val="18"/>
          <w:szCs w:val="22"/>
          <w:lang w:eastAsia="en-US"/>
        </w:rPr>
      </w:pPr>
      <w:bookmarkStart w:id="44" w:name="_Hlk197675806"/>
      <w:r w:rsidRPr="00886D8A">
        <w:rPr>
          <w:rFonts w:ascii="Arial Narrow" w:eastAsia="Calibri" w:hAnsi="Arial Narrow"/>
          <w:b/>
          <w:bCs/>
          <w:snapToGrid w:val="0"/>
          <w:sz w:val="18"/>
          <w:szCs w:val="22"/>
          <w:lang w:eastAsia="en-US"/>
        </w:rPr>
        <w:t>Bold</w:t>
      </w:r>
      <w:r w:rsidRPr="00886D8A">
        <w:rPr>
          <w:rFonts w:ascii="Arial Narrow" w:eastAsia="Calibri" w:hAnsi="Arial Narrow"/>
          <w:snapToGrid w:val="0"/>
          <w:sz w:val="18"/>
          <w:szCs w:val="22"/>
          <w:lang w:eastAsia="en-US"/>
        </w:rPr>
        <w:t xml:space="preserve"> indicates statistical significance.</w:t>
      </w:r>
    </w:p>
    <w:bookmarkEnd w:id="44"/>
    <w:p w14:paraId="2AD73F0B" w14:textId="77777777" w:rsidR="00EB0321" w:rsidRPr="00886D8A" w:rsidRDefault="00EB0321" w:rsidP="004E36D3"/>
    <w:p w14:paraId="1E9A40F8" w14:textId="3F01DE98" w:rsidR="00EB0321" w:rsidRPr="00886D8A" w:rsidRDefault="00EB0321" w:rsidP="004E36D3">
      <w:pPr>
        <w:pStyle w:val="3-BodyText"/>
      </w:pPr>
      <w:bookmarkStart w:id="45" w:name="_Hlk197184221"/>
      <w:r w:rsidRPr="00886D8A">
        <w:t xml:space="preserve">In the velmanase alfa arm, mean serum oligosaccharide levels decreased from 6.8 µmol/L at baseline to 1.6 µmol/L at Month 12, thereby </w:t>
      </w:r>
      <w:r w:rsidR="007B6407" w:rsidRPr="00886D8A">
        <w:t>reducing to below</w:t>
      </w:r>
      <w:r w:rsidRPr="00886D8A">
        <w:t xml:space="preserve"> the </w:t>
      </w:r>
      <w:r w:rsidR="00FB3B2F" w:rsidRPr="00886D8A">
        <w:t>nominated</w:t>
      </w:r>
      <w:r w:rsidR="00A961F5">
        <w:t xml:space="preserve"> </w:t>
      </w:r>
      <w:r w:rsidRPr="00886D8A">
        <w:t xml:space="preserve">threshold of ≤4 µmol/L at Month 12. For patients in the BSC arm, the serum oligosaccharide levels decreased from 6.6 μmol/L at baseline to 5.1 μmol/L at Month 12, thus, not </w:t>
      </w:r>
      <w:r w:rsidR="00B57559" w:rsidRPr="00886D8A">
        <w:t>reducing below</w:t>
      </w:r>
      <w:r w:rsidRPr="00886D8A">
        <w:t xml:space="preserve"> the </w:t>
      </w:r>
      <w:r w:rsidR="00B57559" w:rsidRPr="00886D8A">
        <w:t>nominated</w:t>
      </w:r>
      <w:r w:rsidRPr="00886D8A">
        <w:t xml:space="preserve"> threshold. </w:t>
      </w:r>
    </w:p>
    <w:p w14:paraId="1EBB37DF" w14:textId="2B79904E" w:rsidR="00EB0321" w:rsidRPr="00886D8A" w:rsidRDefault="00EB0321" w:rsidP="004E36D3">
      <w:pPr>
        <w:pStyle w:val="3-BodyText"/>
      </w:pPr>
      <w:r w:rsidRPr="00886D8A">
        <w:t xml:space="preserve">After 12 months of treatment, there was a significant decrease (improvement) in the objective outcome, serum oligosaccharide levels in patients treated with velmanase alfa versus BSC. However, this should be interpreted with caution due to the </w:t>
      </w:r>
      <w:r w:rsidR="003916F9" w:rsidRPr="00886D8A">
        <w:t>small sample size</w:t>
      </w:r>
      <w:r w:rsidRPr="00886D8A">
        <w:t>.</w:t>
      </w:r>
    </w:p>
    <w:p w14:paraId="0F5B2E52" w14:textId="3A2B0724" w:rsidR="00EB0321" w:rsidRPr="00886D8A" w:rsidRDefault="5DD88181" w:rsidP="004E36D3">
      <w:pPr>
        <w:pStyle w:val="3-BodyText"/>
      </w:pPr>
      <w:r w:rsidRPr="00886D8A">
        <w:t xml:space="preserve">Responder analysis for change in serum oligosaccharide ≥70% reduction from baseline, showed a higher proportion of responders in the velmanase alfa arm compared to BSC (87% vs 0%; p &lt;0.0001). Furthermore, </w:t>
      </w:r>
      <w:r w:rsidRPr="00886D8A">
        <w:rPr>
          <w:i/>
        </w:rPr>
        <w:t>post hoc</w:t>
      </w:r>
      <w:r w:rsidRPr="00886D8A">
        <w:t xml:space="preserve"> analys</w:t>
      </w:r>
      <w:r w:rsidR="00F03A44" w:rsidRPr="00886D8A">
        <w:t>e</w:t>
      </w:r>
      <w:r w:rsidRPr="00886D8A">
        <w:t xml:space="preserve">s showed a greater reduction in serum oligosaccharide levels with velmanase alfa compared to BSC in the paediatric subgroup </w:t>
      </w:r>
      <w:r w:rsidR="003916F9" w:rsidRPr="00886D8A">
        <w:t>(</w:t>
      </w:r>
      <w:r w:rsidR="0011024A">
        <w:noBreakHyphen/>
      </w:r>
      <w:r w:rsidRPr="00886D8A">
        <w:t>5.2 vs</w:t>
      </w:r>
      <w:r w:rsidR="005663C3" w:rsidRPr="00886D8A">
        <w:t xml:space="preserve"> </w:t>
      </w:r>
      <w:r w:rsidR="0011024A">
        <w:noBreakHyphen/>
      </w:r>
      <w:r w:rsidRPr="00886D8A">
        <w:t xml:space="preserve">0.8 µmol/L) than in the adult </w:t>
      </w:r>
      <w:r w:rsidR="78930267" w:rsidRPr="00886D8A">
        <w:t>subgroup (</w:t>
      </w:r>
      <w:r w:rsidR="0011024A">
        <w:noBreakHyphen/>
      </w:r>
      <w:r w:rsidRPr="00886D8A">
        <w:t xml:space="preserve">5.1 vs </w:t>
      </w:r>
      <w:r w:rsidR="0011024A">
        <w:noBreakHyphen/>
      </w:r>
      <w:r w:rsidRPr="00886D8A">
        <w:t>2.4 µmol/L)</w:t>
      </w:r>
      <w:r w:rsidR="002E3629" w:rsidRPr="00886D8A">
        <w:t>.</w:t>
      </w:r>
    </w:p>
    <w:p w14:paraId="380CBE21" w14:textId="77777777" w:rsidR="00EB0321" w:rsidRPr="00886D8A" w:rsidRDefault="00EB0321" w:rsidP="004E36D3">
      <w:pPr>
        <w:pStyle w:val="3-BodyText"/>
      </w:pPr>
      <w:r w:rsidRPr="00886D8A">
        <w:t>Although a numerical improvement was observed in velmanase alfa arm, there was no statistically significant difference between velmanase alfa and BSC in 3MSCT, 6MWT, or FVC (% predicted) outcomes. The submission stated that the ability to detect a statistically significant treatment was limited by the small patient numbers, which reduced the statistical power of study, and heterogeneity in AM disease phenotype, severity, and progression. No outcomes exceeded their respective MCID thresholds either in velmanase alfa or BSC arm.</w:t>
      </w:r>
    </w:p>
    <w:p w14:paraId="5BE6D69F" w14:textId="68AB6B2C" w:rsidR="00EB0321" w:rsidRPr="00886D8A" w:rsidRDefault="00EB0321" w:rsidP="004E36D3">
      <w:pPr>
        <w:pStyle w:val="3-BodyText"/>
      </w:pPr>
      <w:r w:rsidRPr="00886D8A">
        <w:t>The proportion of responder</w:t>
      </w:r>
      <w:r w:rsidR="00A73F32" w:rsidRPr="00886D8A">
        <w:t>s</w:t>
      </w:r>
      <w:r w:rsidRPr="00886D8A">
        <w:t xml:space="preserve">, defined as ≥10% increase from baseline, </w:t>
      </w:r>
      <w:r w:rsidR="00AC3F2B" w:rsidRPr="00886D8A">
        <w:t xml:space="preserve">was </w:t>
      </w:r>
      <w:r w:rsidRPr="00886D8A">
        <w:t xml:space="preserve">higher in velmanase alfa arm compared to BSC arm for 3MSCT (27% vs 10%), 6MWT (13% vs. 10%), and FVC (% predicted; 50% vs. 22%). Similarly, the results of the </w:t>
      </w:r>
      <w:r w:rsidRPr="00886D8A">
        <w:rPr>
          <w:i/>
        </w:rPr>
        <w:t>post hoc</w:t>
      </w:r>
      <w:r w:rsidRPr="00886D8A">
        <w:t xml:space="preserve"> analys</w:t>
      </w:r>
      <w:r w:rsidR="00D540ED" w:rsidRPr="00886D8A">
        <w:t>e</w:t>
      </w:r>
      <w:r w:rsidRPr="00886D8A">
        <w:t>s showed that velmanase alfa compared to BSC may be more beneficial in paediatric subgroup than in the adult subgroup</w:t>
      </w:r>
      <w:r w:rsidR="00636A80" w:rsidRPr="00886D8A">
        <w:t>.</w:t>
      </w:r>
    </w:p>
    <w:bookmarkEnd w:id="45"/>
    <w:p w14:paraId="41C47B69" w14:textId="7A237FC0" w:rsidR="00EB0321" w:rsidRPr="00886D8A" w:rsidRDefault="00EB0321" w:rsidP="004E36D3">
      <w:pPr>
        <w:pStyle w:val="3-BodyText"/>
      </w:pPr>
      <w:r w:rsidRPr="00886D8A">
        <w:fldChar w:fldCharType="begin"/>
      </w:r>
      <w:r w:rsidRPr="00886D8A">
        <w:instrText xml:space="preserve"> REF _Ref197171520 \h </w:instrText>
      </w:r>
      <w:r w:rsidR="00110521" w:rsidRPr="00886D8A">
        <w:instrText xml:space="preserve"> \* MERGEFORMAT </w:instrText>
      </w:r>
      <w:r w:rsidRPr="00886D8A">
        <w:fldChar w:fldCharType="separate"/>
      </w:r>
      <w:r w:rsidR="00B73A9E" w:rsidRPr="00886D8A">
        <w:t xml:space="preserve">Table </w:t>
      </w:r>
      <w:r w:rsidR="00B73A9E">
        <w:t>7</w:t>
      </w:r>
      <w:r w:rsidRPr="00886D8A">
        <w:fldChar w:fldCharType="end"/>
      </w:r>
      <w:r w:rsidRPr="00886D8A">
        <w:t xml:space="preserve"> summarises the change from baseline to Month 12 in </w:t>
      </w:r>
      <w:r w:rsidR="000577CD" w:rsidRPr="00886D8A">
        <w:t xml:space="preserve">the patient reported outcomes of </w:t>
      </w:r>
      <w:r w:rsidRPr="00886D8A">
        <w:t>CHAQ and EQ</w:t>
      </w:r>
      <w:r w:rsidR="0011024A">
        <w:noBreakHyphen/>
      </w:r>
      <w:r w:rsidRPr="00886D8A">
        <w:t>5D</w:t>
      </w:r>
      <w:r w:rsidR="0011024A">
        <w:noBreakHyphen/>
      </w:r>
      <w:r w:rsidRPr="00886D8A">
        <w:t>5L scores in the rhLAMAN</w:t>
      </w:r>
      <w:r w:rsidR="0011024A">
        <w:noBreakHyphen/>
      </w:r>
      <w:r w:rsidRPr="00886D8A">
        <w:t>05 trial. Notably, CHAQ was administered to both paediatric and adult patients. Although CHAQ is a validated instrument for assessing functional ability in paediatric populations, its use in adults is not established. As such, interpretation of CHAQ results in adult patients should be approached with caution.</w:t>
      </w:r>
    </w:p>
    <w:p w14:paraId="29BF4955" w14:textId="07AA5628" w:rsidR="00EB0321" w:rsidRPr="00886D8A" w:rsidRDefault="00EB0321" w:rsidP="004E36D3">
      <w:pPr>
        <w:pStyle w:val="Caption"/>
      </w:pPr>
      <w:bookmarkStart w:id="46" w:name="_Ref197171520"/>
      <w:r w:rsidRPr="00886D8A">
        <w:t xml:space="preserve">Table </w:t>
      </w:r>
      <w:r>
        <w:fldChar w:fldCharType="begin"/>
      </w:r>
      <w:r>
        <w:instrText>SEQ Table \* ARABIC</w:instrText>
      </w:r>
      <w:r>
        <w:fldChar w:fldCharType="separate"/>
      </w:r>
      <w:r w:rsidR="00B73A9E">
        <w:rPr>
          <w:noProof/>
        </w:rPr>
        <w:t>7</w:t>
      </w:r>
      <w:r>
        <w:fldChar w:fldCharType="end"/>
      </w:r>
      <w:bookmarkEnd w:id="46"/>
      <w:r w:rsidRPr="00886D8A">
        <w:t xml:space="preserve">: </w:t>
      </w:r>
      <w:r w:rsidRPr="00886D8A">
        <w:rPr>
          <w:lang w:eastAsia="en-US"/>
        </w:rPr>
        <w:t>Change from baseline to Month 12 in CHAQ and EQ</w:t>
      </w:r>
      <w:r w:rsidR="0011024A">
        <w:rPr>
          <w:lang w:eastAsia="en-US"/>
        </w:rPr>
        <w:noBreakHyphen/>
      </w:r>
      <w:r w:rsidRPr="00886D8A">
        <w:rPr>
          <w:lang w:eastAsia="en-US"/>
        </w:rPr>
        <w:t>5D</w:t>
      </w:r>
      <w:r w:rsidR="0011024A">
        <w:rPr>
          <w:lang w:eastAsia="en-US"/>
        </w:rPr>
        <w:noBreakHyphen/>
      </w:r>
      <w:r w:rsidRPr="00886D8A">
        <w:rPr>
          <w:lang w:eastAsia="en-US"/>
        </w:rPr>
        <w:t>5L scores in rhLAMAN</w:t>
      </w:r>
      <w:r w:rsidR="0011024A">
        <w:rPr>
          <w:lang w:eastAsia="en-US"/>
        </w:rPr>
        <w:noBreakHyphen/>
      </w:r>
      <w:r w:rsidRPr="00886D8A">
        <w:rPr>
          <w:lang w:eastAsia="en-US"/>
        </w:rPr>
        <w:t>05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Change from baseline to Month 12 in CHAQ and EQ 5D 5L scores in rhLAMAN 05 trial"/>
      </w:tblPr>
      <w:tblGrid>
        <w:gridCol w:w="2144"/>
        <w:gridCol w:w="2718"/>
        <w:gridCol w:w="1863"/>
        <w:gridCol w:w="2292"/>
      </w:tblGrid>
      <w:tr w:rsidR="00EB0321" w:rsidRPr="00886D8A" w14:paraId="16BE3183" w14:textId="77777777" w:rsidTr="278BE2B0">
        <w:trPr>
          <w:trHeight w:val="20"/>
          <w:tblHeader/>
        </w:trPr>
        <w:tc>
          <w:tcPr>
            <w:tcW w:w="1189" w:type="pct"/>
            <w:vAlign w:val="center"/>
          </w:tcPr>
          <w:p w14:paraId="2A6D01B8" w14:textId="77777777" w:rsidR="00EB0321" w:rsidRPr="00886D8A" w:rsidRDefault="00EB0321" w:rsidP="004E36D3">
            <w:pPr>
              <w:pStyle w:val="TableText0"/>
              <w:rPr>
                <w:lang w:eastAsia="en-IN"/>
              </w:rPr>
            </w:pPr>
          </w:p>
        </w:tc>
        <w:tc>
          <w:tcPr>
            <w:tcW w:w="1507" w:type="pct"/>
            <w:vAlign w:val="center"/>
          </w:tcPr>
          <w:p w14:paraId="32E7C065" w14:textId="77777777" w:rsidR="00EB0321" w:rsidRPr="00886D8A" w:rsidRDefault="00EB0321" w:rsidP="004E36D3">
            <w:pPr>
              <w:pStyle w:val="TableText0"/>
              <w:rPr>
                <w:b/>
                <w:lang w:eastAsia="en-IN"/>
              </w:rPr>
            </w:pPr>
          </w:p>
        </w:tc>
        <w:tc>
          <w:tcPr>
            <w:tcW w:w="1033" w:type="pct"/>
            <w:vAlign w:val="center"/>
          </w:tcPr>
          <w:p w14:paraId="7FCCA047" w14:textId="77777777" w:rsidR="00EB0321" w:rsidRPr="00886D8A" w:rsidRDefault="00EB0321" w:rsidP="004E36D3">
            <w:pPr>
              <w:pStyle w:val="TableText0"/>
              <w:jc w:val="center"/>
              <w:rPr>
                <w:b/>
                <w:lang w:eastAsia="en-IN"/>
              </w:rPr>
            </w:pPr>
            <w:r w:rsidRPr="00886D8A">
              <w:rPr>
                <w:b/>
                <w:lang w:eastAsia="en-IN"/>
              </w:rPr>
              <w:t>Velmanase alfa</w:t>
            </w:r>
          </w:p>
          <w:p w14:paraId="682DCFD5" w14:textId="77777777" w:rsidR="00EB0321" w:rsidRPr="00886D8A" w:rsidRDefault="00EB0321" w:rsidP="004E36D3">
            <w:pPr>
              <w:pStyle w:val="TableText0"/>
              <w:jc w:val="center"/>
              <w:rPr>
                <w:b/>
                <w:lang w:eastAsia="en-IN"/>
              </w:rPr>
            </w:pPr>
            <w:r w:rsidRPr="00886D8A">
              <w:rPr>
                <w:b/>
                <w:lang w:eastAsia="en-IN"/>
              </w:rPr>
              <w:t>(N=15)</w:t>
            </w:r>
          </w:p>
        </w:tc>
        <w:tc>
          <w:tcPr>
            <w:tcW w:w="1271" w:type="pct"/>
            <w:vAlign w:val="center"/>
          </w:tcPr>
          <w:p w14:paraId="408B0AF3" w14:textId="77777777" w:rsidR="00EB0321" w:rsidRPr="00886D8A" w:rsidRDefault="00EB0321" w:rsidP="004E36D3">
            <w:pPr>
              <w:pStyle w:val="TableText0"/>
              <w:jc w:val="center"/>
              <w:rPr>
                <w:b/>
                <w:lang w:eastAsia="en-IN"/>
              </w:rPr>
            </w:pPr>
            <w:r w:rsidRPr="00886D8A">
              <w:rPr>
                <w:b/>
                <w:lang w:eastAsia="en-IN"/>
              </w:rPr>
              <w:t>BSC</w:t>
            </w:r>
          </w:p>
          <w:p w14:paraId="312FEDAF" w14:textId="77777777" w:rsidR="00EB0321" w:rsidRPr="00886D8A" w:rsidRDefault="00EB0321" w:rsidP="004E36D3">
            <w:pPr>
              <w:pStyle w:val="TableText0"/>
              <w:jc w:val="center"/>
              <w:rPr>
                <w:b/>
                <w:lang w:eastAsia="en-IN"/>
              </w:rPr>
            </w:pPr>
            <w:r w:rsidRPr="00886D8A">
              <w:rPr>
                <w:b/>
                <w:lang w:eastAsia="en-IN"/>
              </w:rPr>
              <w:t>(N=10)</w:t>
            </w:r>
          </w:p>
        </w:tc>
      </w:tr>
      <w:tr w:rsidR="00EB0321" w:rsidRPr="00886D8A" w14:paraId="17B9CEAB" w14:textId="77777777" w:rsidTr="278BE2B0">
        <w:trPr>
          <w:trHeight w:val="20"/>
        </w:trPr>
        <w:tc>
          <w:tcPr>
            <w:tcW w:w="5000" w:type="pct"/>
            <w:gridSpan w:val="4"/>
          </w:tcPr>
          <w:p w14:paraId="197E2763" w14:textId="0DFB0B1D" w:rsidR="00EB0321" w:rsidRPr="00886D8A" w:rsidRDefault="00EB0321" w:rsidP="004E36D3">
            <w:pPr>
              <w:pStyle w:val="TableText0"/>
              <w:rPr>
                <w:rFonts w:eastAsia="Calibri"/>
                <w:b/>
                <w:lang w:eastAsia="en-US"/>
              </w:rPr>
            </w:pPr>
            <w:r w:rsidRPr="00886D8A">
              <w:rPr>
                <w:rFonts w:eastAsia="Calibri"/>
                <w:b/>
                <w:lang w:eastAsia="en-US"/>
              </w:rPr>
              <w:t>Change from baseline to Month 12 in CHAQ</w:t>
            </w:r>
            <w:r w:rsidR="0011024A">
              <w:rPr>
                <w:rFonts w:eastAsia="Calibri"/>
                <w:b/>
                <w:lang w:eastAsia="en-US"/>
              </w:rPr>
              <w:noBreakHyphen/>
            </w:r>
            <w:r w:rsidRPr="00886D8A">
              <w:rPr>
                <w:rFonts w:eastAsia="Calibri"/>
                <w:b/>
                <w:lang w:eastAsia="en-US"/>
              </w:rPr>
              <w:t>DI score</w:t>
            </w:r>
          </w:p>
        </w:tc>
      </w:tr>
      <w:tr w:rsidR="00EB0321" w:rsidRPr="00886D8A" w14:paraId="70A52D57" w14:textId="77777777" w:rsidTr="278BE2B0">
        <w:trPr>
          <w:trHeight w:val="20"/>
        </w:trPr>
        <w:tc>
          <w:tcPr>
            <w:tcW w:w="1189" w:type="pct"/>
            <w:vMerge w:val="restart"/>
          </w:tcPr>
          <w:p w14:paraId="4E3A3775" w14:textId="77777777" w:rsidR="00EB0321" w:rsidRPr="00886D8A" w:rsidRDefault="00EB0321" w:rsidP="004E36D3">
            <w:pPr>
              <w:pStyle w:val="TableText0"/>
              <w:rPr>
                <w:lang w:eastAsia="en-IN"/>
              </w:rPr>
            </w:pPr>
            <w:r w:rsidRPr="00886D8A">
              <w:rPr>
                <w:lang w:eastAsia="en-IN"/>
              </w:rPr>
              <w:t>Mean (SD)</w:t>
            </w:r>
          </w:p>
          <w:p w14:paraId="2A6E6C55" w14:textId="77777777" w:rsidR="00EB0321" w:rsidRPr="00886D8A" w:rsidRDefault="00EB0321" w:rsidP="004E36D3">
            <w:pPr>
              <w:pStyle w:val="TableText0"/>
              <w:rPr>
                <w:lang w:eastAsia="en-IN"/>
              </w:rPr>
            </w:pPr>
            <w:r w:rsidRPr="00886D8A">
              <w:rPr>
                <w:lang w:eastAsia="en-IN"/>
              </w:rPr>
              <w:t>(score)</w:t>
            </w:r>
          </w:p>
        </w:tc>
        <w:tc>
          <w:tcPr>
            <w:tcW w:w="1507" w:type="pct"/>
          </w:tcPr>
          <w:p w14:paraId="693EB0C6" w14:textId="77777777" w:rsidR="00EB0321" w:rsidRPr="00886D8A" w:rsidRDefault="00EB0321" w:rsidP="004E36D3">
            <w:pPr>
              <w:pStyle w:val="TableText0"/>
              <w:rPr>
                <w:lang w:eastAsia="en-IN"/>
              </w:rPr>
            </w:pPr>
            <w:r w:rsidRPr="00886D8A">
              <w:rPr>
                <w:lang w:eastAsia="en-IN"/>
              </w:rPr>
              <w:t>Baseline</w:t>
            </w:r>
          </w:p>
        </w:tc>
        <w:tc>
          <w:tcPr>
            <w:tcW w:w="1033" w:type="pct"/>
          </w:tcPr>
          <w:p w14:paraId="2510891A" w14:textId="77777777" w:rsidR="00EB0321" w:rsidRPr="00886D8A" w:rsidRDefault="00EB0321" w:rsidP="004E36D3">
            <w:pPr>
              <w:pStyle w:val="TableText0"/>
              <w:jc w:val="center"/>
              <w:rPr>
                <w:lang w:eastAsia="en-IN"/>
              </w:rPr>
            </w:pPr>
            <w:r w:rsidRPr="00886D8A">
              <w:rPr>
                <w:lang w:eastAsia="en-IN"/>
              </w:rPr>
              <w:t>1.37 (0.82)</w:t>
            </w:r>
          </w:p>
        </w:tc>
        <w:tc>
          <w:tcPr>
            <w:tcW w:w="1271" w:type="pct"/>
          </w:tcPr>
          <w:p w14:paraId="066876E0" w14:textId="77777777" w:rsidR="00EB0321" w:rsidRPr="00886D8A" w:rsidRDefault="00EB0321" w:rsidP="004E36D3">
            <w:pPr>
              <w:pStyle w:val="TableText0"/>
              <w:jc w:val="center"/>
              <w:rPr>
                <w:rFonts w:eastAsia="Calibri"/>
                <w:lang w:eastAsia="en-US"/>
              </w:rPr>
            </w:pPr>
            <w:r w:rsidRPr="00886D8A">
              <w:rPr>
                <w:rFonts w:eastAsia="Calibri"/>
                <w:lang w:eastAsia="en-US"/>
              </w:rPr>
              <w:t>1.59 (0.64)</w:t>
            </w:r>
          </w:p>
        </w:tc>
      </w:tr>
      <w:tr w:rsidR="00EB0321" w:rsidRPr="00886D8A" w14:paraId="14868823" w14:textId="77777777" w:rsidTr="278BE2B0">
        <w:trPr>
          <w:trHeight w:val="20"/>
        </w:trPr>
        <w:tc>
          <w:tcPr>
            <w:tcW w:w="1189" w:type="pct"/>
            <w:vMerge/>
          </w:tcPr>
          <w:p w14:paraId="0BC944C4" w14:textId="77777777" w:rsidR="00EB0321" w:rsidRPr="00886D8A" w:rsidRDefault="00EB0321" w:rsidP="004E36D3">
            <w:pPr>
              <w:pStyle w:val="TableText0"/>
              <w:rPr>
                <w:lang w:eastAsia="en-IN"/>
              </w:rPr>
            </w:pPr>
          </w:p>
        </w:tc>
        <w:tc>
          <w:tcPr>
            <w:tcW w:w="1507" w:type="pct"/>
          </w:tcPr>
          <w:p w14:paraId="435FC4E1" w14:textId="77777777" w:rsidR="00EB0321" w:rsidRPr="00886D8A" w:rsidRDefault="00EB0321" w:rsidP="004E36D3">
            <w:pPr>
              <w:pStyle w:val="TableText0"/>
              <w:rPr>
                <w:lang w:eastAsia="en-IN"/>
              </w:rPr>
            </w:pPr>
            <w:r w:rsidRPr="00886D8A">
              <w:rPr>
                <w:lang w:eastAsia="en-IN"/>
              </w:rPr>
              <w:t xml:space="preserve">Month 12 </w:t>
            </w:r>
          </w:p>
        </w:tc>
        <w:tc>
          <w:tcPr>
            <w:tcW w:w="1033" w:type="pct"/>
          </w:tcPr>
          <w:p w14:paraId="4C10D5FC" w14:textId="77777777" w:rsidR="00EB0321" w:rsidRPr="00886D8A" w:rsidRDefault="00EB0321" w:rsidP="004E36D3">
            <w:pPr>
              <w:pStyle w:val="TableText0"/>
              <w:jc w:val="center"/>
              <w:rPr>
                <w:lang w:eastAsia="en-IN"/>
              </w:rPr>
            </w:pPr>
            <w:r w:rsidRPr="00886D8A">
              <w:rPr>
                <w:lang w:eastAsia="en-IN"/>
              </w:rPr>
              <w:t>1.36 (0.76)</w:t>
            </w:r>
          </w:p>
        </w:tc>
        <w:tc>
          <w:tcPr>
            <w:tcW w:w="1271" w:type="pct"/>
          </w:tcPr>
          <w:p w14:paraId="3CEE141E" w14:textId="77777777" w:rsidR="00EB0321" w:rsidRPr="00886D8A" w:rsidRDefault="00EB0321" w:rsidP="004E36D3">
            <w:pPr>
              <w:pStyle w:val="TableText0"/>
              <w:jc w:val="center"/>
              <w:rPr>
                <w:rFonts w:eastAsia="Calibri"/>
                <w:lang w:eastAsia="en-US"/>
              </w:rPr>
            </w:pPr>
            <w:r w:rsidRPr="00886D8A">
              <w:rPr>
                <w:rFonts w:eastAsia="Calibri"/>
                <w:lang w:eastAsia="en-US"/>
              </w:rPr>
              <w:t>1.76 (0.50)</w:t>
            </w:r>
          </w:p>
        </w:tc>
      </w:tr>
      <w:tr w:rsidR="00EB0321" w:rsidRPr="00886D8A" w14:paraId="78B2082B" w14:textId="77777777" w:rsidTr="278BE2B0">
        <w:trPr>
          <w:trHeight w:val="20"/>
        </w:trPr>
        <w:tc>
          <w:tcPr>
            <w:tcW w:w="1189" w:type="pct"/>
          </w:tcPr>
          <w:p w14:paraId="082153E6" w14:textId="77777777" w:rsidR="00EB0321" w:rsidRPr="00886D8A" w:rsidRDefault="00EB0321" w:rsidP="004E36D3">
            <w:pPr>
              <w:pStyle w:val="TableText0"/>
              <w:rPr>
                <w:lang w:eastAsia="en-IN"/>
              </w:rPr>
            </w:pPr>
            <w:r w:rsidRPr="00886D8A">
              <w:rPr>
                <w:lang w:eastAsia="en-IN"/>
              </w:rPr>
              <w:t>Absolute change (score)</w:t>
            </w:r>
          </w:p>
        </w:tc>
        <w:tc>
          <w:tcPr>
            <w:tcW w:w="1507" w:type="pct"/>
          </w:tcPr>
          <w:p w14:paraId="019C6657" w14:textId="77777777" w:rsidR="00EB0321" w:rsidRPr="00886D8A" w:rsidRDefault="00EB0321" w:rsidP="004E36D3">
            <w:pPr>
              <w:pStyle w:val="TableText0"/>
              <w:rPr>
                <w:lang w:eastAsia="en-IN"/>
              </w:rPr>
            </w:pPr>
            <w:r w:rsidRPr="00886D8A">
              <w:rPr>
                <w:lang w:eastAsia="en-IN"/>
              </w:rPr>
              <w:t>Mean (SD)</w:t>
            </w:r>
          </w:p>
        </w:tc>
        <w:tc>
          <w:tcPr>
            <w:tcW w:w="1033" w:type="pct"/>
          </w:tcPr>
          <w:p w14:paraId="680ECB87" w14:textId="7FA5B3B9" w:rsidR="00EB0321" w:rsidRPr="00886D8A" w:rsidRDefault="0011024A" w:rsidP="004E36D3">
            <w:pPr>
              <w:pStyle w:val="TableText0"/>
              <w:jc w:val="center"/>
              <w:rPr>
                <w:lang w:eastAsia="en-IN"/>
              </w:rPr>
            </w:pPr>
            <w:r>
              <w:rPr>
                <w:lang w:eastAsia="en-IN"/>
              </w:rPr>
              <w:noBreakHyphen/>
            </w:r>
            <w:r w:rsidR="00EB0321" w:rsidRPr="00886D8A">
              <w:rPr>
                <w:lang w:eastAsia="en-IN"/>
              </w:rPr>
              <w:t>0.01 (0.32)</w:t>
            </w:r>
          </w:p>
        </w:tc>
        <w:tc>
          <w:tcPr>
            <w:tcW w:w="1271" w:type="pct"/>
          </w:tcPr>
          <w:p w14:paraId="1AA2F587" w14:textId="77777777" w:rsidR="00EB0321" w:rsidRPr="00886D8A" w:rsidRDefault="00EB0321" w:rsidP="004E36D3">
            <w:pPr>
              <w:pStyle w:val="TableText0"/>
              <w:jc w:val="center"/>
              <w:rPr>
                <w:rFonts w:eastAsia="Calibri"/>
                <w:lang w:eastAsia="en-US"/>
              </w:rPr>
            </w:pPr>
            <w:r w:rsidRPr="00886D8A">
              <w:rPr>
                <w:rFonts w:eastAsia="Calibri"/>
                <w:lang w:eastAsia="en-US"/>
              </w:rPr>
              <w:t>0.18 (0.36)</w:t>
            </w:r>
          </w:p>
        </w:tc>
      </w:tr>
      <w:tr w:rsidR="00EB0321" w:rsidRPr="00886D8A" w14:paraId="7D17E366" w14:textId="77777777" w:rsidTr="278BE2B0">
        <w:trPr>
          <w:trHeight w:val="20"/>
        </w:trPr>
        <w:tc>
          <w:tcPr>
            <w:tcW w:w="5000" w:type="pct"/>
            <w:gridSpan w:val="4"/>
          </w:tcPr>
          <w:p w14:paraId="60F04870" w14:textId="01B27C14" w:rsidR="00EB0321" w:rsidRPr="00886D8A" w:rsidRDefault="00EB0321" w:rsidP="278BE2B0">
            <w:pPr>
              <w:pStyle w:val="TableText0"/>
              <w:rPr>
                <w:rFonts w:eastAsia="Calibri"/>
                <w:b/>
                <w:lang w:eastAsia="en-US"/>
              </w:rPr>
            </w:pPr>
            <w:r w:rsidRPr="278BE2B0">
              <w:rPr>
                <w:b/>
                <w:lang w:eastAsia="en-IN"/>
              </w:rPr>
              <w:t xml:space="preserve">Change from baseline to Month 12 in CHAQ </w:t>
            </w:r>
            <w:r w:rsidR="0011024A">
              <w:rPr>
                <w:b/>
                <w:lang w:eastAsia="en-IN"/>
              </w:rPr>
              <w:noBreakHyphen/>
            </w:r>
            <w:r w:rsidRPr="278BE2B0">
              <w:rPr>
                <w:b/>
                <w:lang w:eastAsia="en-IN"/>
              </w:rPr>
              <w:t xml:space="preserve"> VAS Pain score</w:t>
            </w:r>
          </w:p>
        </w:tc>
      </w:tr>
      <w:tr w:rsidR="00EB0321" w:rsidRPr="00886D8A" w14:paraId="30016173" w14:textId="77777777" w:rsidTr="278BE2B0">
        <w:trPr>
          <w:trHeight w:val="20"/>
        </w:trPr>
        <w:tc>
          <w:tcPr>
            <w:tcW w:w="1189" w:type="pct"/>
            <w:vMerge w:val="restart"/>
          </w:tcPr>
          <w:p w14:paraId="187BC3C8" w14:textId="77777777" w:rsidR="00EB0321" w:rsidRPr="00886D8A" w:rsidRDefault="00EB0321" w:rsidP="004E36D3">
            <w:pPr>
              <w:pStyle w:val="TableText0"/>
              <w:rPr>
                <w:lang w:eastAsia="en-IN"/>
              </w:rPr>
            </w:pPr>
            <w:r w:rsidRPr="00886D8A">
              <w:rPr>
                <w:lang w:eastAsia="en-IN"/>
              </w:rPr>
              <w:t>Mean (SD)</w:t>
            </w:r>
          </w:p>
          <w:p w14:paraId="5F128FB8" w14:textId="77777777" w:rsidR="00EB0321" w:rsidRPr="00886D8A" w:rsidRDefault="00EB0321" w:rsidP="004E36D3">
            <w:pPr>
              <w:pStyle w:val="TableText0"/>
              <w:rPr>
                <w:lang w:eastAsia="en-IN"/>
              </w:rPr>
            </w:pPr>
            <w:r w:rsidRPr="00886D8A">
              <w:rPr>
                <w:lang w:eastAsia="en-IN"/>
              </w:rPr>
              <w:t>(score)</w:t>
            </w:r>
          </w:p>
        </w:tc>
        <w:tc>
          <w:tcPr>
            <w:tcW w:w="1507" w:type="pct"/>
          </w:tcPr>
          <w:p w14:paraId="66206B4B" w14:textId="77777777" w:rsidR="00EB0321" w:rsidRPr="00886D8A" w:rsidRDefault="00EB0321" w:rsidP="004E36D3">
            <w:pPr>
              <w:pStyle w:val="TableText0"/>
              <w:rPr>
                <w:lang w:eastAsia="en-IN"/>
              </w:rPr>
            </w:pPr>
            <w:r w:rsidRPr="00886D8A">
              <w:rPr>
                <w:lang w:eastAsia="en-IN"/>
              </w:rPr>
              <w:t>Baseline</w:t>
            </w:r>
          </w:p>
        </w:tc>
        <w:tc>
          <w:tcPr>
            <w:tcW w:w="1033" w:type="pct"/>
          </w:tcPr>
          <w:p w14:paraId="04C11A34" w14:textId="77777777" w:rsidR="00EB0321" w:rsidRPr="00886D8A" w:rsidRDefault="00EB0321" w:rsidP="004E36D3">
            <w:pPr>
              <w:pStyle w:val="TableText0"/>
              <w:jc w:val="center"/>
              <w:rPr>
                <w:lang w:eastAsia="en-IN"/>
              </w:rPr>
            </w:pPr>
            <w:r w:rsidRPr="00886D8A">
              <w:rPr>
                <w:lang w:eastAsia="en-IN"/>
              </w:rPr>
              <w:t>0.84 (0.86)</w:t>
            </w:r>
          </w:p>
        </w:tc>
        <w:tc>
          <w:tcPr>
            <w:tcW w:w="1271" w:type="pct"/>
          </w:tcPr>
          <w:p w14:paraId="7F16FD53" w14:textId="77777777" w:rsidR="00EB0321" w:rsidRPr="00886D8A" w:rsidRDefault="00EB0321" w:rsidP="004E36D3">
            <w:pPr>
              <w:pStyle w:val="TableText0"/>
              <w:jc w:val="center"/>
              <w:rPr>
                <w:rFonts w:eastAsia="Calibri"/>
                <w:lang w:eastAsia="en-US"/>
              </w:rPr>
            </w:pPr>
            <w:r w:rsidRPr="00886D8A">
              <w:rPr>
                <w:rFonts w:eastAsia="Calibri"/>
                <w:lang w:eastAsia="en-US"/>
              </w:rPr>
              <w:t>0.40 (0.56)</w:t>
            </w:r>
          </w:p>
        </w:tc>
      </w:tr>
      <w:tr w:rsidR="00EB0321" w:rsidRPr="00886D8A" w14:paraId="34DC7363" w14:textId="77777777" w:rsidTr="278BE2B0">
        <w:trPr>
          <w:trHeight w:val="20"/>
        </w:trPr>
        <w:tc>
          <w:tcPr>
            <w:tcW w:w="1189" w:type="pct"/>
            <w:vMerge/>
          </w:tcPr>
          <w:p w14:paraId="40043BD7" w14:textId="77777777" w:rsidR="00EB0321" w:rsidRPr="00886D8A" w:rsidRDefault="00EB0321" w:rsidP="004E36D3">
            <w:pPr>
              <w:pStyle w:val="TableText0"/>
              <w:rPr>
                <w:lang w:eastAsia="en-IN"/>
              </w:rPr>
            </w:pPr>
          </w:p>
        </w:tc>
        <w:tc>
          <w:tcPr>
            <w:tcW w:w="1507" w:type="pct"/>
          </w:tcPr>
          <w:p w14:paraId="7D787062" w14:textId="77777777" w:rsidR="00EB0321" w:rsidRPr="00886D8A" w:rsidRDefault="00EB0321" w:rsidP="004E36D3">
            <w:pPr>
              <w:pStyle w:val="TableText0"/>
              <w:rPr>
                <w:lang w:eastAsia="en-IN"/>
              </w:rPr>
            </w:pPr>
            <w:r w:rsidRPr="00886D8A">
              <w:rPr>
                <w:lang w:eastAsia="en-IN"/>
              </w:rPr>
              <w:t xml:space="preserve">Month 12 </w:t>
            </w:r>
          </w:p>
        </w:tc>
        <w:tc>
          <w:tcPr>
            <w:tcW w:w="1033" w:type="pct"/>
          </w:tcPr>
          <w:p w14:paraId="107C522C" w14:textId="77777777" w:rsidR="00EB0321" w:rsidRPr="00886D8A" w:rsidRDefault="00EB0321" w:rsidP="004E36D3">
            <w:pPr>
              <w:pStyle w:val="TableText0"/>
              <w:jc w:val="center"/>
              <w:rPr>
                <w:lang w:eastAsia="en-IN"/>
              </w:rPr>
            </w:pPr>
            <w:r w:rsidRPr="00886D8A">
              <w:rPr>
                <w:lang w:eastAsia="en-IN"/>
              </w:rPr>
              <w:t>0.97 (1.02)</w:t>
            </w:r>
          </w:p>
        </w:tc>
        <w:tc>
          <w:tcPr>
            <w:tcW w:w="1271" w:type="pct"/>
          </w:tcPr>
          <w:p w14:paraId="0C690B20" w14:textId="77777777" w:rsidR="00EB0321" w:rsidRPr="00886D8A" w:rsidRDefault="00EB0321" w:rsidP="004E36D3">
            <w:pPr>
              <w:pStyle w:val="TableText0"/>
              <w:jc w:val="center"/>
              <w:rPr>
                <w:rFonts w:eastAsia="Calibri"/>
                <w:lang w:eastAsia="en-US"/>
              </w:rPr>
            </w:pPr>
            <w:r w:rsidRPr="00886D8A">
              <w:rPr>
                <w:rFonts w:eastAsia="Calibri"/>
                <w:lang w:eastAsia="en-US"/>
              </w:rPr>
              <w:t>0.50 (0.62)</w:t>
            </w:r>
          </w:p>
        </w:tc>
      </w:tr>
      <w:tr w:rsidR="00EB0321" w:rsidRPr="00886D8A" w14:paraId="18A46B75" w14:textId="77777777" w:rsidTr="278BE2B0">
        <w:trPr>
          <w:trHeight w:val="20"/>
        </w:trPr>
        <w:tc>
          <w:tcPr>
            <w:tcW w:w="1189" w:type="pct"/>
          </w:tcPr>
          <w:p w14:paraId="08436F9D" w14:textId="77777777" w:rsidR="00EB0321" w:rsidRPr="00886D8A" w:rsidRDefault="00EB0321" w:rsidP="004E36D3">
            <w:pPr>
              <w:pStyle w:val="TableText0"/>
              <w:rPr>
                <w:lang w:eastAsia="en-IN"/>
              </w:rPr>
            </w:pPr>
            <w:r w:rsidRPr="00886D8A">
              <w:rPr>
                <w:lang w:eastAsia="en-IN"/>
              </w:rPr>
              <w:t>Absolute change (score)</w:t>
            </w:r>
          </w:p>
        </w:tc>
        <w:tc>
          <w:tcPr>
            <w:tcW w:w="1507" w:type="pct"/>
          </w:tcPr>
          <w:p w14:paraId="1E1D9AED" w14:textId="77777777" w:rsidR="00EB0321" w:rsidRPr="00886D8A" w:rsidRDefault="00EB0321" w:rsidP="004E36D3">
            <w:pPr>
              <w:pStyle w:val="TableText0"/>
              <w:rPr>
                <w:lang w:eastAsia="en-IN"/>
              </w:rPr>
            </w:pPr>
            <w:r w:rsidRPr="00886D8A">
              <w:rPr>
                <w:lang w:eastAsia="en-IN"/>
              </w:rPr>
              <w:t>Mean (SD)</w:t>
            </w:r>
          </w:p>
        </w:tc>
        <w:tc>
          <w:tcPr>
            <w:tcW w:w="1033" w:type="pct"/>
          </w:tcPr>
          <w:p w14:paraId="70CD351C" w14:textId="77777777" w:rsidR="00EB0321" w:rsidRPr="00886D8A" w:rsidRDefault="00EB0321" w:rsidP="004E36D3">
            <w:pPr>
              <w:pStyle w:val="TableText0"/>
              <w:jc w:val="center"/>
              <w:rPr>
                <w:lang w:eastAsia="en-IN"/>
              </w:rPr>
            </w:pPr>
            <w:r w:rsidRPr="00886D8A">
              <w:rPr>
                <w:lang w:eastAsia="en-IN"/>
              </w:rPr>
              <w:t>0.19 (0.69; n=14)</w:t>
            </w:r>
          </w:p>
        </w:tc>
        <w:tc>
          <w:tcPr>
            <w:tcW w:w="1271" w:type="pct"/>
          </w:tcPr>
          <w:p w14:paraId="0B7B6A29" w14:textId="77777777" w:rsidR="00EB0321" w:rsidRPr="00886D8A" w:rsidRDefault="00EB0321" w:rsidP="004E36D3">
            <w:pPr>
              <w:pStyle w:val="TableText0"/>
              <w:jc w:val="center"/>
              <w:rPr>
                <w:rFonts w:eastAsia="Calibri"/>
                <w:lang w:eastAsia="en-US"/>
              </w:rPr>
            </w:pPr>
            <w:r w:rsidRPr="00886D8A">
              <w:rPr>
                <w:rFonts w:eastAsia="Calibri"/>
                <w:lang w:eastAsia="en-US"/>
              </w:rPr>
              <w:t>0.15 (0.71; n=9)</w:t>
            </w:r>
          </w:p>
        </w:tc>
      </w:tr>
      <w:tr w:rsidR="00EB0321" w:rsidRPr="00886D8A" w14:paraId="042EF38A" w14:textId="77777777" w:rsidTr="278BE2B0">
        <w:trPr>
          <w:trHeight w:val="20"/>
        </w:trPr>
        <w:tc>
          <w:tcPr>
            <w:tcW w:w="5000" w:type="pct"/>
            <w:gridSpan w:val="4"/>
          </w:tcPr>
          <w:p w14:paraId="76BB22B2" w14:textId="71DBCD79" w:rsidR="00EB0321" w:rsidRPr="00886D8A" w:rsidRDefault="00EB0321" w:rsidP="004E36D3">
            <w:pPr>
              <w:pStyle w:val="TableText0"/>
              <w:rPr>
                <w:rFonts w:eastAsia="Calibri"/>
                <w:b/>
                <w:lang w:eastAsia="en-US"/>
              </w:rPr>
            </w:pPr>
            <w:r w:rsidRPr="00886D8A">
              <w:rPr>
                <w:b/>
                <w:lang w:eastAsia="en-IN"/>
              </w:rPr>
              <w:t xml:space="preserve">Change from baseline to Month 12 in CHAQ </w:t>
            </w:r>
            <w:r w:rsidR="0011024A">
              <w:rPr>
                <w:b/>
                <w:lang w:eastAsia="en-IN"/>
              </w:rPr>
              <w:noBreakHyphen/>
            </w:r>
            <w:r w:rsidRPr="00886D8A">
              <w:rPr>
                <w:b/>
                <w:lang w:eastAsia="en-IN"/>
              </w:rPr>
              <w:t xml:space="preserve"> General (VAS) score</w:t>
            </w:r>
          </w:p>
        </w:tc>
      </w:tr>
      <w:tr w:rsidR="00EB0321" w:rsidRPr="00886D8A" w14:paraId="00D1AEFC" w14:textId="77777777" w:rsidTr="278BE2B0">
        <w:trPr>
          <w:trHeight w:val="20"/>
        </w:trPr>
        <w:tc>
          <w:tcPr>
            <w:tcW w:w="1189" w:type="pct"/>
            <w:vMerge w:val="restart"/>
          </w:tcPr>
          <w:p w14:paraId="1841A5C4" w14:textId="77777777" w:rsidR="00EB0321" w:rsidRPr="00886D8A" w:rsidRDefault="00EB0321" w:rsidP="004E36D3">
            <w:pPr>
              <w:pStyle w:val="TableText0"/>
              <w:rPr>
                <w:lang w:eastAsia="en-IN"/>
              </w:rPr>
            </w:pPr>
            <w:r w:rsidRPr="00886D8A">
              <w:rPr>
                <w:lang w:eastAsia="en-IN"/>
              </w:rPr>
              <w:t>Mean (SD)</w:t>
            </w:r>
          </w:p>
          <w:p w14:paraId="2980FF43" w14:textId="77777777" w:rsidR="00EB0321" w:rsidRPr="00886D8A" w:rsidRDefault="00EB0321" w:rsidP="004E36D3">
            <w:pPr>
              <w:pStyle w:val="TableText0"/>
              <w:rPr>
                <w:lang w:eastAsia="en-IN"/>
              </w:rPr>
            </w:pPr>
            <w:r w:rsidRPr="00886D8A">
              <w:rPr>
                <w:lang w:eastAsia="en-IN"/>
              </w:rPr>
              <w:t>(score)</w:t>
            </w:r>
          </w:p>
        </w:tc>
        <w:tc>
          <w:tcPr>
            <w:tcW w:w="1507" w:type="pct"/>
          </w:tcPr>
          <w:p w14:paraId="54CD6383" w14:textId="77777777" w:rsidR="00EB0321" w:rsidRPr="00886D8A" w:rsidRDefault="00EB0321" w:rsidP="004E36D3">
            <w:pPr>
              <w:pStyle w:val="TableText0"/>
              <w:rPr>
                <w:lang w:eastAsia="en-IN"/>
              </w:rPr>
            </w:pPr>
            <w:r w:rsidRPr="00886D8A">
              <w:rPr>
                <w:lang w:eastAsia="en-IN"/>
              </w:rPr>
              <w:t>Baseline</w:t>
            </w:r>
          </w:p>
        </w:tc>
        <w:tc>
          <w:tcPr>
            <w:tcW w:w="1033" w:type="pct"/>
          </w:tcPr>
          <w:p w14:paraId="666F7EF1" w14:textId="77777777" w:rsidR="00EB0321" w:rsidRPr="00886D8A" w:rsidRDefault="00EB0321" w:rsidP="004E36D3">
            <w:pPr>
              <w:pStyle w:val="TableText0"/>
              <w:jc w:val="center"/>
              <w:rPr>
                <w:lang w:eastAsia="en-IN"/>
              </w:rPr>
            </w:pPr>
            <w:r w:rsidRPr="00886D8A">
              <w:rPr>
                <w:lang w:eastAsia="en-IN"/>
              </w:rPr>
              <w:t>1.00 (0.83)</w:t>
            </w:r>
          </w:p>
        </w:tc>
        <w:tc>
          <w:tcPr>
            <w:tcW w:w="1271" w:type="pct"/>
          </w:tcPr>
          <w:p w14:paraId="5E65C209" w14:textId="77777777" w:rsidR="00EB0321" w:rsidRPr="00886D8A" w:rsidRDefault="00EB0321" w:rsidP="004E36D3">
            <w:pPr>
              <w:pStyle w:val="TableText0"/>
              <w:jc w:val="center"/>
              <w:rPr>
                <w:rFonts w:eastAsia="Calibri"/>
                <w:lang w:eastAsia="en-US"/>
              </w:rPr>
            </w:pPr>
            <w:r w:rsidRPr="00886D8A">
              <w:rPr>
                <w:rFonts w:eastAsia="Calibri"/>
                <w:lang w:eastAsia="en-US"/>
              </w:rPr>
              <w:t>1.02 (0.80)</w:t>
            </w:r>
          </w:p>
        </w:tc>
      </w:tr>
      <w:tr w:rsidR="00EB0321" w:rsidRPr="00886D8A" w14:paraId="10D83EBE" w14:textId="77777777" w:rsidTr="278BE2B0">
        <w:trPr>
          <w:trHeight w:val="20"/>
        </w:trPr>
        <w:tc>
          <w:tcPr>
            <w:tcW w:w="1189" w:type="pct"/>
            <w:vMerge/>
          </w:tcPr>
          <w:p w14:paraId="0732B99D" w14:textId="77777777" w:rsidR="00EB0321" w:rsidRPr="00886D8A" w:rsidRDefault="00EB0321" w:rsidP="004E36D3">
            <w:pPr>
              <w:pStyle w:val="TableText0"/>
              <w:rPr>
                <w:lang w:eastAsia="en-IN"/>
              </w:rPr>
            </w:pPr>
          </w:p>
        </w:tc>
        <w:tc>
          <w:tcPr>
            <w:tcW w:w="1507" w:type="pct"/>
          </w:tcPr>
          <w:p w14:paraId="40077B20" w14:textId="77777777" w:rsidR="00EB0321" w:rsidRPr="00886D8A" w:rsidRDefault="00EB0321" w:rsidP="004E36D3">
            <w:pPr>
              <w:pStyle w:val="TableText0"/>
              <w:rPr>
                <w:bCs w:val="0"/>
                <w:lang w:eastAsia="en-IN"/>
              </w:rPr>
            </w:pPr>
            <w:r w:rsidRPr="00886D8A">
              <w:rPr>
                <w:rFonts w:eastAsia="Calibri"/>
                <w:bCs w:val="0"/>
                <w:lang w:eastAsia="en-US"/>
              </w:rPr>
              <w:t xml:space="preserve">Month 12 </w:t>
            </w:r>
          </w:p>
        </w:tc>
        <w:tc>
          <w:tcPr>
            <w:tcW w:w="1033" w:type="pct"/>
          </w:tcPr>
          <w:p w14:paraId="7A0B5DB7" w14:textId="77777777" w:rsidR="00EB0321" w:rsidRPr="00886D8A" w:rsidRDefault="00EB0321" w:rsidP="004E36D3">
            <w:pPr>
              <w:pStyle w:val="TableText0"/>
              <w:jc w:val="center"/>
              <w:rPr>
                <w:lang w:eastAsia="en-IN"/>
              </w:rPr>
            </w:pPr>
            <w:r w:rsidRPr="00886D8A">
              <w:rPr>
                <w:lang w:eastAsia="en-IN"/>
              </w:rPr>
              <w:t>1.46 (0.62)</w:t>
            </w:r>
          </w:p>
        </w:tc>
        <w:tc>
          <w:tcPr>
            <w:tcW w:w="1271" w:type="pct"/>
          </w:tcPr>
          <w:p w14:paraId="21172AF8" w14:textId="77777777" w:rsidR="00EB0321" w:rsidRPr="00886D8A" w:rsidRDefault="00EB0321" w:rsidP="004E36D3">
            <w:pPr>
              <w:pStyle w:val="TableText0"/>
              <w:jc w:val="center"/>
              <w:rPr>
                <w:rFonts w:eastAsia="Calibri"/>
                <w:lang w:eastAsia="en-US"/>
              </w:rPr>
            </w:pPr>
            <w:r w:rsidRPr="00886D8A">
              <w:rPr>
                <w:rFonts w:eastAsia="Calibri"/>
                <w:lang w:eastAsia="en-US"/>
              </w:rPr>
              <w:t>1.46 (0.61)</w:t>
            </w:r>
          </w:p>
        </w:tc>
      </w:tr>
      <w:tr w:rsidR="00EB0321" w:rsidRPr="00886D8A" w14:paraId="5A09203F" w14:textId="77777777" w:rsidTr="278BE2B0">
        <w:trPr>
          <w:trHeight w:val="20"/>
        </w:trPr>
        <w:tc>
          <w:tcPr>
            <w:tcW w:w="1189" w:type="pct"/>
          </w:tcPr>
          <w:p w14:paraId="52EBBFE9" w14:textId="77777777" w:rsidR="00EB0321" w:rsidRPr="00886D8A" w:rsidRDefault="00EB0321" w:rsidP="004E36D3">
            <w:pPr>
              <w:pStyle w:val="TableText0"/>
              <w:rPr>
                <w:lang w:eastAsia="en-IN"/>
              </w:rPr>
            </w:pPr>
            <w:r w:rsidRPr="00886D8A">
              <w:rPr>
                <w:lang w:eastAsia="en-IN"/>
              </w:rPr>
              <w:t>Absolute change (score)</w:t>
            </w:r>
          </w:p>
        </w:tc>
        <w:tc>
          <w:tcPr>
            <w:tcW w:w="1507" w:type="pct"/>
          </w:tcPr>
          <w:p w14:paraId="392E3306" w14:textId="77777777" w:rsidR="00EB0321" w:rsidRPr="00886D8A" w:rsidRDefault="00EB0321" w:rsidP="004E36D3">
            <w:pPr>
              <w:pStyle w:val="TableText0"/>
              <w:rPr>
                <w:lang w:eastAsia="en-IN"/>
              </w:rPr>
            </w:pPr>
            <w:r w:rsidRPr="00886D8A">
              <w:rPr>
                <w:lang w:eastAsia="en-IN"/>
              </w:rPr>
              <w:t>Mean (SD)</w:t>
            </w:r>
          </w:p>
        </w:tc>
        <w:tc>
          <w:tcPr>
            <w:tcW w:w="1033" w:type="pct"/>
          </w:tcPr>
          <w:p w14:paraId="3C683DCE" w14:textId="77777777" w:rsidR="00EB0321" w:rsidRPr="00886D8A" w:rsidRDefault="00EB0321" w:rsidP="004E36D3">
            <w:pPr>
              <w:pStyle w:val="TableText0"/>
              <w:jc w:val="center"/>
              <w:rPr>
                <w:rFonts w:eastAsia="Calibri"/>
                <w:lang w:eastAsia="en-US"/>
              </w:rPr>
            </w:pPr>
            <w:r w:rsidRPr="00886D8A">
              <w:rPr>
                <w:rFonts w:eastAsia="Calibri"/>
                <w:lang w:eastAsia="en-US"/>
              </w:rPr>
              <w:t>0.51 (0.93; n=14)</w:t>
            </w:r>
          </w:p>
        </w:tc>
        <w:tc>
          <w:tcPr>
            <w:tcW w:w="1271" w:type="pct"/>
          </w:tcPr>
          <w:p w14:paraId="0617CC66" w14:textId="77777777" w:rsidR="00EB0321" w:rsidRPr="00886D8A" w:rsidRDefault="00EB0321" w:rsidP="004E36D3">
            <w:pPr>
              <w:pStyle w:val="TableText0"/>
              <w:jc w:val="center"/>
              <w:rPr>
                <w:rFonts w:eastAsia="Calibri"/>
                <w:lang w:eastAsia="en-US"/>
              </w:rPr>
            </w:pPr>
            <w:r w:rsidRPr="00886D8A">
              <w:rPr>
                <w:rFonts w:eastAsia="Calibri"/>
                <w:lang w:eastAsia="en-US"/>
              </w:rPr>
              <w:t>0.44 (0.62)</w:t>
            </w:r>
          </w:p>
        </w:tc>
      </w:tr>
      <w:tr w:rsidR="00EB0321" w:rsidRPr="00886D8A" w14:paraId="11E1D266" w14:textId="77777777" w:rsidTr="278BE2B0">
        <w:trPr>
          <w:trHeight w:val="20"/>
        </w:trPr>
        <w:tc>
          <w:tcPr>
            <w:tcW w:w="5000" w:type="pct"/>
            <w:gridSpan w:val="4"/>
          </w:tcPr>
          <w:p w14:paraId="2B26FDC2" w14:textId="3507A218" w:rsidR="00EB0321" w:rsidRPr="00886D8A" w:rsidRDefault="00EB0321" w:rsidP="004E36D3">
            <w:pPr>
              <w:pStyle w:val="TableText0"/>
              <w:rPr>
                <w:rFonts w:eastAsia="Calibri"/>
                <w:b/>
                <w:lang w:eastAsia="en-US"/>
              </w:rPr>
            </w:pPr>
            <w:r w:rsidRPr="00886D8A">
              <w:rPr>
                <w:b/>
                <w:lang w:eastAsia="en-IN"/>
              </w:rPr>
              <w:t>Change from baseline to Month 12 in EQ</w:t>
            </w:r>
            <w:r w:rsidR="0011024A">
              <w:rPr>
                <w:b/>
                <w:lang w:eastAsia="en-IN"/>
              </w:rPr>
              <w:noBreakHyphen/>
            </w:r>
            <w:r w:rsidRPr="00886D8A">
              <w:rPr>
                <w:b/>
                <w:lang w:eastAsia="en-IN"/>
              </w:rPr>
              <w:t>5D</w:t>
            </w:r>
            <w:r w:rsidR="0011024A">
              <w:rPr>
                <w:b/>
                <w:lang w:eastAsia="en-IN"/>
              </w:rPr>
              <w:noBreakHyphen/>
            </w:r>
            <w:r w:rsidRPr="00886D8A">
              <w:rPr>
                <w:b/>
                <w:lang w:eastAsia="en-IN"/>
              </w:rPr>
              <w:t>5L index score</w:t>
            </w:r>
          </w:p>
        </w:tc>
      </w:tr>
      <w:tr w:rsidR="00EB0321" w:rsidRPr="00886D8A" w14:paraId="071E6736" w14:textId="77777777" w:rsidTr="278BE2B0">
        <w:trPr>
          <w:trHeight w:val="20"/>
        </w:trPr>
        <w:tc>
          <w:tcPr>
            <w:tcW w:w="1189" w:type="pct"/>
            <w:vMerge w:val="restart"/>
          </w:tcPr>
          <w:p w14:paraId="1F513B25" w14:textId="77777777" w:rsidR="00EB0321" w:rsidRPr="00886D8A" w:rsidRDefault="00EB0321" w:rsidP="004E36D3">
            <w:pPr>
              <w:pStyle w:val="TableText0"/>
              <w:rPr>
                <w:lang w:eastAsia="en-IN"/>
              </w:rPr>
            </w:pPr>
            <w:r w:rsidRPr="00886D8A">
              <w:rPr>
                <w:lang w:eastAsia="en-IN"/>
              </w:rPr>
              <w:t>Mean (SD)</w:t>
            </w:r>
          </w:p>
          <w:p w14:paraId="0A56B4BD" w14:textId="77777777" w:rsidR="00EB0321" w:rsidRPr="00886D8A" w:rsidRDefault="00EB0321" w:rsidP="004E36D3">
            <w:pPr>
              <w:pStyle w:val="TableText0"/>
              <w:rPr>
                <w:lang w:eastAsia="en-IN"/>
              </w:rPr>
            </w:pPr>
            <w:r w:rsidRPr="00886D8A">
              <w:rPr>
                <w:lang w:eastAsia="en-IN"/>
              </w:rPr>
              <w:t>(score)</w:t>
            </w:r>
          </w:p>
        </w:tc>
        <w:tc>
          <w:tcPr>
            <w:tcW w:w="1507" w:type="pct"/>
          </w:tcPr>
          <w:p w14:paraId="3B607646" w14:textId="77777777" w:rsidR="00EB0321" w:rsidRPr="00886D8A" w:rsidRDefault="00EB0321" w:rsidP="004E36D3">
            <w:pPr>
              <w:pStyle w:val="TableText0"/>
              <w:rPr>
                <w:lang w:eastAsia="en-IN"/>
              </w:rPr>
            </w:pPr>
            <w:r w:rsidRPr="00886D8A">
              <w:rPr>
                <w:lang w:eastAsia="en-IN"/>
              </w:rPr>
              <w:t>Baseline</w:t>
            </w:r>
          </w:p>
        </w:tc>
        <w:tc>
          <w:tcPr>
            <w:tcW w:w="1033" w:type="pct"/>
          </w:tcPr>
          <w:p w14:paraId="7EA63D6F" w14:textId="77777777" w:rsidR="00EB0321" w:rsidRPr="00886D8A" w:rsidRDefault="00EB0321" w:rsidP="004E36D3">
            <w:pPr>
              <w:pStyle w:val="TableText0"/>
              <w:jc w:val="center"/>
              <w:rPr>
                <w:rFonts w:eastAsia="Calibri"/>
                <w:lang w:eastAsia="en-US"/>
              </w:rPr>
            </w:pPr>
            <w:r w:rsidRPr="00886D8A">
              <w:rPr>
                <w:rFonts w:eastAsia="Calibri"/>
                <w:lang w:eastAsia="en-US"/>
              </w:rPr>
              <w:t>0.61 (0.19)</w:t>
            </w:r>
          </w:p>
        </w:tc>
        <w:tc>
          <w:tcPr>
            <w:tcW w:w="1271" w:type="pct"/>
          </w:tcPr>
          <w:p w14:paraId="4A8FBBA4" w14:textId="77777777" w:rsidR="00EB0321" w:rsidRPr="00886D8A" w:rsidRDefault="00EB0321" w:rsidP="004E36D3">
            <w:pPr>
              <w:pStyle w:val="TableText0"/>
              <w:jc w:val="center"/>
              <w:rPr>
                <w:rFonts w:eastAsia="Calibri"/>
                <w:lang w:eastAsia="en-US"/>
              </w:rPr>
            </w:pPr>
            <w:r w:rsidRPr="00886D8A">
              <w:rPr>
                <w:rFonts w:eastAsia="Calibri"/>
                <w:lang w:eastAsia="en-US"/>
              </w:rPr>
              <w:t>0.61 (0.18)</w:t>
            </w:r>
          </w:p>
        </w:tc>
      </w:tr>
      <w:tr w:rsidR="00EB0321" w:rsidRPr="00886D8A" w14:paraId="7595BA96" w14:textId="77777777" w:rsidTr="278BE2B0">
        <w:trPr>
          <w:trHeight w:val="20"/>
        </w:trPr>
        <w:tc>
          <w:tcPr>
            <w:tcW w:w="1189" w:type="pct"/>
            <w:vMerge/>
          </w:tcPr>
          <w:p w14:paraId="346A33EC" w14:textId="77777777" w:rsidR="00EB0321" w:rsidRPr="00886D8A" w:rsidRDefault="00EB0321" w:rsidP="004E36D3">
            <w:pPr>
              <w:pStyle w:val="TableText0"/>
              <w:rPr>
                <w:lang w:eastAsia="en-IN"/>
              </w:rPr>
            </w:pPr>
          </w:p>
        </w:tc>
        <w:tc>
          <w:tcPr>
            <w:tcW w:w="1507" w:type="pct"/>
          </w:tcPr>
          <w:p w14:paraId="6956AC24" w14:textId="77777777" w:rsidR="00EB0321" w:rsidRPr="00886D8A" w:rsidRDefault="00EB0321" w:rsidP="004E36D3">
            <w:pPr>
              <w:pStyle w:val="TableText0"/>
              <w:rPr>
                <w:bCs w:val="0"/>
                <w:lang w:eastAsia="en-IN"/>
              </w:rPr>
            </w:pPr>
            <w:r w:rsidRPr="00886D8A">
              <w:rPr>
                <w:rFonts w:eastAsia="Calibri"/>
                <w:bCs w:val="0"/>
                <w:lang w:eastAsia="en-US"/>
              </w:rPr>
              <w:t xml:space="preserve">Month 12 </w:t>
            </w:r>
          </w:p>
        </w:tc>
        <w:tc>
          <w:tcPr>
            <w:tcW w:w="1033" w:type="pct"/>
          </w:tcPr>
          <w:p w14:paraId="3D16BEE4" w14:textId="77777777" w:rsidR="00EB0321" w:rsidRPr="00886D8A" w:rsidRDefault="00EB0321" w:rsidP="004E36D3">
            <w:pPr>
              <w:pStyle w:val="TableText0"/>
              <w:jc w:val="center"/>
              <w:rPr>
                <w:rFonts w:eastAsia="Calibri"/>
                <w:lang w:eastAsia="en-US"/>
              </w:rPr>
            </w:pPr>
            <w:r w:rsidRPr="00886D8A">
              <w:rPr>
                <w:rFonts w:eastAsia="Calibri"/>
                <w:lang w:eastAsia="en-US"/>
              </w:rPr>
              <w:t>0.64 (0.18)</w:t>
            </w:r>
          </w:p>
        </w:tc>
        <w:tc>
          <w:tcPr>
            <w:tcW w:w="1271" w:type="pct"/>
          </w:tcPr>
          <w:p w14:paraId="2CA5F431" w14:textId="77777777" w:rsidR="00EB0321" w:rsidRPr="00886D8A" w:rsidRDefault="00EB0321" w:rsidP="004E36D3">
            <w:pPr>
              <w:pStyle w:val="TableText0"/>
              <w:jc w:val="center"/>
              <w:rPr>
                <w:rFonts w:eastAsia="Calibri"/>
                <w:lang w:eastAsia="en-US"/>
              </w:rPr>
            </w:pPr>
            <w:r w:rsidRPr="00886D8A">
              <w:rPr>
                <w:rFonts w:eastAsia="Calibri"/>
                <w:lang w:eastAsia="en-US"/>
              </w:rPr>
              <w:t>0.62 (0.15)</w:t>
            </w:r>
          </w:p>
        </w:tc>
      </w:tr>
      <w:tr w:rsidR="00EB0321" w:rsidRPr="00886D8A" w14:paraId="068724D0" w14:textId="77777777" w:rsidTr="278BE2B0">
        <w:trPr>
          <w:trHeight w:val="20"/>
        </w:trPr>
        <w:tc>
          <w:tcPr>
            <w:tcW w:w="1189" w:type="pct"/>
          </w:tcPr>
          <w:p w14:paraId="0C2414F1" w14:textId="77777777" w:rsidR="00EB0321" w:rsidRPr="00886D8A" w:rsidRDefault="00EB0321" w:rsidP="004E36D3">
            <w:pPr>
              <w:pStyle w:val="TableText0"/>
              <w:rPr>
                <w:lang w:eastAsia="en-IN"/>
              </w:rPr>
            </w:pPr>
            <w:r w:rsidRPr="00886D8A">
              <w:rPr>
                <w:lang w:eastAsia="en-IN"/>
              </w:rPr>
              <w:t>Absolute change (score)</w:t>
            </w:r>
          </w:p>
        </w:tc>
        <w:tc>
          <w:tcPr>
            <w:tcW w:w="1507" w:type="pct"/>
          </w:tcPr>
          <w:p w14:paraId="5F440C2F" w14:textId="77777777" w:rsidR="00EB0321" w:rsidRPr="00886D8A" w:rsidRDefault="00EB0321" w:rsidP="004E36D3">
            <w:pPr>
              <w:pStyle w:val="TableText0"/>
              <w:rPr>
                <w:lang w:eastAsia="en-IN"/>
              </w:rPr>
            </w:pPr>
            <w:r w:rsidRPr="00886D8A">
              <w:rPr>
                <w:lang w:eastAsia="en-IN"/>
              </w:rPr>
              <w:t>Mean (SD)</w:t>
            </w:r>
          </w:p>
        </w:tc>
        <w:tc>
          <w:tcPr>
            <w:tcW w:w="1033" w:type="pct"/>
          </w:tcPr>
          <w:p w14:paraId="50944E79" w14:textId="77777777" w:rsidR="00EB0321" w:rsidRPr="00886D8A" w:rsidRDefault="00EB0321" w:rsidP="004E36D3">
            <w:pPr>
              <w:pStyle w:val="TableText0"/>
              <w:jc w:val="center"/>
              <w:rPr>
                <w:rFonts w:eastAsia="Calibri"/>
                <w:lang w:eastAsia="en-US"/>
              </w:rPr>
            </w:pPr>
            <w:r w:rsidRPr="00886D8A">
              <w:rPr>
                <w:rFonts w:eastAsia="Calibri"/>
                <w:lang w:eastAsia="en-US"/>
              </w:rPr>
              <w:t>0.04 (0.09, n=14)</w:t>
            </w:r>
          </w:p>
        </w:tc>
        <w:tc>
          <w:tcPr>
            <w:tcW w:w="1271" w:type="pct"/>
          </w:tcPr>
          <w:p w14:paraId="64936B45" w14:textId="77777777" w:rsidR="00EB0321" w:rsidRPr="00886D8A" w:rsidRDefault="00EB0321" w:rsidP="004E36D3">
            <w:pPr>
              <w:pStyle w:val="TableText0"/>
              <w:jc w:val="center"/>
              <w:rPr>
                <w:rFonts w:eastAsia="Calibri"/>
                <w:lang w:eastAsia="en-US"/>
              </w:rPr>
            </w:pPr>
            <w:r w:rsidRPr="00886D8A">
              <w:rPr>
                <w:rFonts w:eastAsia="Calibri"/>
                <w:lang w:eastAsia="en-US"/>
              </w:rPr>
              <w:t>0.03 (0.16, n=8)</w:t>
            </w:r>
          </w:p>
        </w:tc>
      </w:tr>
      <w:tr w:rsidR="00EB0321" w:rsidRPr="00886D8A" w14:paraId="4173B986" w14:textId="77777777" w:rsidTr="278BE2B0">
        <w:trPr>
          <w:trHeight w:val="20"/>
        </w:trPr>
        <w:tc>
          <w:tcPr>
            <w:tcW w:w="5000" w:type="pct"/>
            <w:gridSpan w:val="4"/>
          </w:tcPr>
          <w:p w14:paraId="099C04E0" w14:textId="56C1E4BB" w:rsidR="00EB0321" w:rsidRPr="00886D8A" w:rsidRDefault="00EB0321" w:rsidP="004E36D3">
            <w:pPr>
              <w:pStyle w:val="TableText0"/>
              <w:rPr>
                <w:rFonts w:eastAsia="Calibri"/>
                <w:b/>
                <w:lang w:eastAsia="en-US"/>
              </w:rPr>
            </w:pPr>
            <w:r w:rsidRPr="00886D8A">
              <w:rPr>
                <w:b/>
                <w:lang w:eastAsia="en-IN"/>
              </w:rPr>
              <w:t>Change from baseline to Month 12 in EQ</w:t>
            </w:r>
            <w:r w:rsidR="0011024A">
              <w:rPr>
                <w:b/>
                <w:lang w:eastAsia="en-IN"/>
              </w:rPr>
              <w:noBreakHyphen/>
            </w:r>
            <w:r w:rsidRPr="00886D8A">
              <w:rPr>
                <w:b/>
                <w:lang w:eastAsia="en-IN"/>
              </w:rPr>
              <w:t>5D</w:t>
            </w:r>
            <w:r w:rsidR="0011024A">
              <w:rPr>
                <w:b/>
                <w:lang w:eastAsia="en-IN"/>
              </w:rPr>
              <w:noBreakHyphen/>
            </w:r>
            <w:r w:rsidRPr="00886D8A">
              <w:rPr>
                <w:b/>
                <w:lang w:eastAsia="en-IN"/>
              </w:rPr>
              <w:t>5L VAS score</w:t>
            </w:r>
          </w:p>
        </w:tc>
      </w:tr>
      <w:tr w:rsidR="00EB0321" w:rsidRPr="00886D8A" w14:paraId="2B4DF6ED" w14:textId="77777777" w:rsidTr="278BE2B0">
        <w:trPr>
          <w:trHeight w:val="20"/>
        </w:trPr>
        <w:tc>
          <w:tcPr>
            <w:tcW w:w="1189" w:type="pct"/>
            <w:vMerge w:val="restart"/>
          </w:tcPr>
          <w:p w14:paraId="0FA133B5" w14:textId="77777777" w:rsidR="00EB0321" w:rsidRPr="00886D8A" w:rsidRDefault="00EB0321" w:rsidP="004E36D3">
            <w:pPr>
              <w:pStyle w:val="TableText0"/>
              <w:rPr>
                <w:lang w:eastAsia="en-IN"/>
              </w:rPr>
            </w:pPr>
            <w:r w:rsidRPr="00886D8A">
              <w:rPr>
                <w:lang w:eastAsia="en-IN"/>
              </w:rPr>
              <w:t>Mean (SD)</w:t>
            </w:r>
          </w:p>
          <w:p w14:paraId="36495B0E" w14:textId="77777777" w:rsidR="00EB0321" w:rsidRPr="00886D8A" w:rsidRDefault="00EB0321" w:rsidP="004E36D3">
            <w:pPr>
              <w:pStyle w:val="TableText0"/>
              <w:rPr>
                <w:lang w:eastAsia="en-IN"/>
              </w:rPr>
            </w:pPr>
            <w:r w:rsidRPr="00886D8A">
              <w:rPr>
                <w:lang w:eastAsia="en-IN"/>
              </w:rPr>
              <w:t>(score)</w:t>
            </w:r>
          </w:p>
        </w:tc>
        <w:tc>
          <w:tcPr>
            <w:tcW w:w="1507" w:type="pct"/>
          </w:tcPr>
          <w:p w14:paraId="3736F9AF" w14:textId="77777777" w:rsidR="00EB0321" w:rsidRPr="00886D8A" w:rsidRDefault="00EB0321" w:rsidP="004E36D3">
            <w:pPr>
              <w:pStyle w:val="TableText0"/>
              <w:rPr>
                <w:lang w:eastAsia="en-IN"/>
              </w:rPr>
            </w:pPr>
            <w:r w:rsidRPr="00886D8A">
              <w:rPr>
                <w:lang w:eastAsia="en-IN"/>
              </w:rPr>
              <w:t>Baseline</w:t>
            </w:r>
          </w:p>
        </w:tc>
        <w:tc>
          <w:tcPr>
            <w:tcW w:w="1033" w:type="pct"/>
          </w:tcPr>
          <w:p w14:paraId="531580FF" w14:textId="77777777" w:rsidR="00EB0321" w:rsidRPr="00886D8A" w:rsidRDefault="00EB0321" w:rsidP="004E36D3">
            <w:pPr>
              <w:pStyle w:val="TableText0"/>
              <w:jc w:val="center"/>
              <w:rPr>
                <w:rFonts w:eastAsia="Calibri"/>
                <w:lang w:eastAsia="en-US"/>
              </w:rPr>
            </w:pPr>
            <w:r w:rsidRPr="00886D8A">
              <w:rPr>
                <w:rFonts w:eastAsia="Calibri"/>
                <w:lang w:eastAsia="en-US"/>
              </w:rPr>
              <w:t>66.07 (20.68)</w:t>
            </w:r>
          </w:p>
        </w:tc>
        <w:tc>
          <w:tcPr>
            <w:tcW w:w="1271" w:type="pct"/>
          </w:tcPr>
          <w:p w14:paraId="7B0288FB" w14:textId="77777777" w:rsidR="00EB0321" w:rsidRPr="00886D8A" w:rsidRDefault="00EB0321" w:rsidP="004E36D3">
            <w:pPr>
              <w:pStyle w:val="TableText0"/>
              <w:jc w:val="center"/>
              <w:rPr>
                <w:rFonts w:eastAsia="Calibri"/>
                <w:lang w:eastAsia="en-US"/>
              </w:rPr>
            </w:pPr>
            <w:r w:rsidRPr="00886D8A">
              <w:rPr>
                <w:rFonts w:eastAsia="Calibri"/>
                <w:lang w:eastAsia="en-US"/>
              </w:rPr>
              <w:t>64.00 (12.87)</w:t>
            </w:r>
          </w:p>
        </w:tc>
      </w:tr>
      <w:tr w:rsidR="00EB0321" w:rsidRPr="00886D8A" w14:paraId="04FEE375" w14:textId="77777777" w:rsidTr="278BE2B0">
        <w:trPr>
          <w:trHeight w:val="20"/>
        </w:trPr>
        <w:tc>
          <w:tcPr>
            <w:tcW w:w="1189" w:type="pct"/>
            <w:vMerge/>
          </w:tcPr>
          <w:p w14:paraId="6906B1BF" w14:textId="77777777" w:rsidR="00EB0321" w:rsidRPr="00886D8A" w:rsidRDefault="00EB0321" w:rsidP="004E36D3">
            <w:pPr>
              <w:pStyle w:val="TableText0"/>
              <w:rPr>
                <w:lang w:eastAsia="en-IN"/>
              </w:rPr>
            </w:pPr>
          </w:p>
        </w:tc>
        <w:tc>
          <w:tcPr>
            <w:tcW w:w="1507" w:type="pct"/>
          </w:tcPr>
          <w:p w14:paraId="40DDC973" w14:textId="77777777" w:rsidR="00EB0321" w:rsidRPr="00886D8A" w:rsidRDefault="00EB0321" w:rsidP="004E36D3">
            <w:pPr>
              <w:pStyle w:val="TableText0"/>
              <w:rPr>
                <w:lang w:eastAsia="en-IN"/>
              </w:rPr>
            </w:pPr>
            <w:r w:rsidRPr="00886D8A">
              <w:rPr>
                <w:lang w:eastAsia="en-IN"/>
              </w:rPr>
              <w:t>Month 12</w:t>
            </w:r>
          </w:p>
        </w:tc>
        <w:tc>
          <w:tcPr>
            <w:tcW w:w="1033" w:type="pct"/>
          </w:tcPr>
          <w:p w14:paraId="17860B2F" w14:textId="77777777" w:rsidR="00EB0321" w:rsidRPr="00886D8A" w:rsidRDefault="00EB0321" w:rsidP="004E36D3">
            <w:pPr>
              <w:pStyle w:val="TableText0"/>
              <w:jc w:val="center"/>
              <w:rPr>
                <w:rFonts w:eastAsia="Calibri"/>
                <w:lang w:eastAsia="en-US"/>
              </w:rPr>
            </w:pPr>
            <w:r w:rsidRPr="00886D8A">
              <w:rPr>
                <w:rFonts w:eastAsia="Calibri"/>
                <w:lang w:eastAsia="en-US"/>
              </w:rPr>
              <w:t>68.20 (17.34)</w:t>
            </w:r>
          </w:p>
        </w:tc>
        <w:tc>
          <w:tcPr>
            <w:tcW w:w="1271" w:type="pct"/>
          </w:tcPr>
          <w:p w14:paraId="0C67CBB7" w14:textId="77777777" w:rsidR="00EB0321" w:rsidRPr="00886D8A" w:rsidRDefault="00EB0321" w:rsidP="004E36D3">
            <w:pPr>
              <w:pStyle w:val="TableText0"/>
              <w:jc w:val="center"/>
              <w:rPr>
                <w:rFonts w:eastAsia="Calibri"/>
                <w:lang w:eastAsia="en-US"/>
              </w:rPr>
            </w:pPr>
            <w:r w:rsidRPr="00886D8A">
              <w:rPr>
                <w:rFonts w:eastAsia="Calibri"/>
                <w:lang w:eastAsia="en-US"/>
              </w:rPr>
              <w:t>67.70 (16.62)</w:t>
            </w:r>
          </w:p>
        </w:tc>
      </w:tr>
      <w:tr w:rsidR="00EB0321" w:rsidRPr="00886D8A" w14:paraId="6089F835" w14:textId="77777777" w:rsidTr="278BE2B0">
        <w:trPr>
          <w:trHeight w:val="20"/>
        </w:trPr>
        <w:tc>
          <w:tcPr>
            <w:tcW w:w="1189" w:type="pct"/>
          </w:tcPr>
          <w:p w14:paraId="4168A6EB" w14:textId="77777777" w:rsidR="00EB0321" w:rsidRPr="00886D8A" w:rsidRDefault="00EB0321" w:rsidP="004E36D3">
            <w:pPr>
              <w:pStyle w:val="TableText0"/>
              <w:rPr>
                <w:lang w:eastAsia="en-IN"/>
              </w:rPr>
            </w:pPr>
            <w:r w:rsidRPr="00886D8A">
              <w:rPr>
                <w:lang w:eastAsia="en-IN"/>
              </w:rPr>
              <w:t>Absolute change (score)</w:t>
            </w:r>
          </w:p>
        </w:tc>
        <w:tc>
          <w:tcPr>
            <w:tcW w:w="1507" w:type="pct"/>
          </w:tcPr>
          <w:p w14:paraId="66D84DAD" w14:textId="77777777" w:rsidR="00EB0321" w:rsidRPr="00886D8A" w:rsidRDefault="00EB0321" w:rsidP="004E36D3">
            <w:pPr>
              <w:pStyle w:val="TableText0"/>
              <w:rPr>
                <w:lang w:eastAsia="en-IN"/>
              </w:rPr>
            </w:pPr>
            <w:r w:rsidRPr="00886D8A">
              <w:rPr>
                <w:lang w:eastAsia="en-IN"/>
              </w:rPr>
              <w:t>Mean (SD)</w:t>
            </w:r>
          </w:p>
        </w:tc>
        <w:tc>
          <w:tcPr>
            <w:tcW w:w="1033" w:type="pct"/>
          </w:tcPr>
          <w:p w14:paraId="1328CA8E" w14:textId="77777777" w:rsidR="00EB0321" w:rsidRPr="00886D8A" w:rsidRDefault="00EB0321" w:rsidP="004E36D3">
            <w:pPr>
              <w:pStyle w:val="TableText0"/>
              <w:jc w:val="center"/>
              <w:rPr>
                <w:rFonts w:eastAsia="Calibri"/>
                <w:lang w:eastAsia="en-US"/>
              </w:rPr>
            </w:pPr>
            <w:r w:rsidRPr="00886D8A">
              <w:rPr>
                <w:rFonts w:eastAsia="Calibri"/>
                <w:lang w:eastAsia="en-US"/>
              </w:rPr>
              <w:t>2.00 (17.95; n=14)</w:t>
            </w:r>
          </w:p>
        </w:tc>
        <w:tc>
          <w:tcPr>
            <w:tcW w:w="1271" w:type="pct"/>
          </w:tcPr>
          <w:p w14:paraId="1EEF61DC" w14:textId="77777777" w:rsidR="00EB0321" w:rsidRPr="00886D8A" w:rsidRDefault="00EB0321" w:rsidP="004E36D3">
            <w:pPr>
              <w:pStyle w:val="TableText0"/>
              <w:jc w:val="center"/>
              <w:rPr>
                <w:rFonts w:eastAsia="Calibri"/>
                <w:lang w:eastAsia="en-US"/>
              </w:rPr>
            </w:pPr>
            <w:r w:rsidRPr="00886D8A">
              <w:rPr>
                <w:rFonts w:eastAsia="Calibri"/>
                <w:lang w:eastAsia="en-US"/>
              </w:rPr>
              <w:t>3.70 (15.71)</w:t>
            </w:r>
          </w:p>
        </w:tc>
      </w:tr>
    </w:tbl>
    <w:p w14:paraId="2803E771" w14:textId="14CBE11C" w:rsidR="00EB0321" w:rsidRPr="00886D8A" w:rsidRDefault="00EB0321" w:rsidP="004E36D3">
      <w:pPr>
        <w:pStyle w:val="FooterTableFigure"/>
        <w:rPr>
          <w:rFonts w:eastAsia="Calibri"/>
          <w:lang w:eastAsia="en-US"/>
        </w:rPr>
      </w:pPr>
      <w:r w:rsidRPr="00886D8A">
        <w:rPr>
          <w:rFonts w:eastAsia="Calibri"/>
          <w:lang w:eastAsia="en-US"/>
        </w:rPr>
        <w:t>Source: Table 2.5</w:t>
      </w:r>
      <w:r w:rsidR="0011024A">
        <w:rPr>
          <w:rFonts w:eastAsia="Calibri"/>
          <w:lang w:eastAsia="en-US"/>
        </w:rPr>
        <w:noBreakHyphen/>
      </w:r>
      <w:r w:rsidRPr="00886D8A">
        <w:rPr>
          <w:rFonts w:eastAsia="Calibri"/>
          <w:lang w:eastAsia="en-US"/>
        </w:rPr>
        <w:t>9, pp87</w:t>
      </w:r>
      <w:r w:rsidR="0011024A">
        <w:rPr>
          <w:rFonts w:eastAsia="Calibri"/>
          <w:lang w:eastAsia="en-US"/>
        </w:rPr>
        <w:noBreakHyphen/>
      </w:r>
      <w:r w:rsidRPr="00886D8A">
        <w:rPr>
          <w:rFonts w:eastAsia="Calibri"/>
          <w:lang w:eastAsia="en-US"/>
        </w:rPr>
        <w:t>88 of the submission.</w:t>
      </w:r>
      <w:r w:rsidR="00F81CA1" w:rsidRPr="00886D8A">
        <w:rPr>
          <w:rFonts w:eastAsia="Calibri"/>
          <w:lang w:eastAsia="en-US"/>
        </w:rPr>
        <w:t xml:space="preserve"> Table 14.2.1.41, p226 of the CSE for rhLAMAN</w:t>
      </w:r>
      <w:r w:rsidR="0011024A">
        <w:rPr>
          <w:rFonts w:eastAsia="Calibri"/>
          <w:lang w:eastAsia="en-US"/>
        </w:rPr>
        <w:noBreakHyphen/>
      </w:r>
      <w:r w:rsidR="00F81CA1" w:rsidRPr="00886D8A">
        <w:rPr>
          <w:rFonts w:eastAsia="Calibri"/>
          <w:lang w:eastAsia="en-US"/>
        </w:rPr>
        <w:t>05 (Attachment 7 to the submission).</w:t>
      </w:r>
    </w:p>
    <w:p w14:paraId="02669061" w14:textId="1FF40F09" w:rsidR="00EB0321" w:rsidRPr="00886D8A" w:rsidRDefault="00EB0321" w:rsidP="004E36D3">
      <w:pPr>
        <w:pStyle w:val="FooterTableFigure"/>
        <w:rPr>
          <w:rFonts w:eastAsia="Calibri"/>
          <w:lang w:eastAsia="en-US"/>
        </w:rPr>
      </w:pPr>
      <w:r w:rsidRPr="00886D8A">
        <w:rPr>
          <w:rFonts w:eastAsia="Calibri"/>
          <w:lang w:eastAsia="en-US"/>
        </w:rPr>
        <w:t xml:space="preserve">CHAQ = Childhood Health Assessment Questionnaire; CI = confidence interval; DI = disability index; </w:t>
      </w:r>
      <w:r w:rsidR="5EC7FE67" w:rsidRPr="00886D8A">
        <w:rPr>
          <w:rFonts w:eastAsia="Calibri"/>
          <w:lang w:eastAsia="en-US"/>
        </w:rPr>
        <w:t>EQ</w:t>
      </w:r>
      <w:r w:rsidR="0011024A">
        <w:rPr>
          <w:rFonts w:eastAsia="Calibri"/>
          <w:lang w:eastAsia="en-US"/>
        </w:rPr>
        <w:noBreakHyphen/>
      </w:r>
      <w:r w:rsidR="5EC7FE67" w:rsidRPr="00886D8A">
        <w:rPr>
          <w:rFonts w:eastAsia="Calibri"/>
          <w:lang w:eastAsia="en-US"/>
        </w:rPr>
        <w:t>5D</w:t>
      </w:r>
      <w:r w:rsidR="0011024A">
        <w:rPr>
          <w:rFonts w:eastAsia="Calibri"/>
          <w:lang w:eastAsia="en-US"/>
        </w:rPr>
        <w:noBreakHyphen/>
      </w:r>
      <w:r w:rsidR="5EC7FE67" w:rsidRPr="00886D8A">
        <w:rPr>
          <w:rFonts w:eastAsia="Calibri"/>
          <w:lang w:eastAsia="en-US"/>
        </w:rPr>
        <w:t>5L = EuroQol</w:t>
      </w:r>
      <w:r w:rsidR="0011024A">
        <w:rPr>
          <w:rFonts w:eastAsia="Calibri"/>
          <w:lang w:eastAsia="en-US"/>
        </w:rPr>
        <w:noBreakHyphen/>
      </w:r>
      <w:r w:rsidR="5EC7FE67" w:rsidRPr="00886D8A">
        <w:rPr>
          <w:rFonts w:eastAsia="Calibri"/>
          <w:lang w:eastAsia="en-US"/>
        </w:rPr>
        <w:t>five dimension</w:t>
      </w:r>
      <w:r w:rsidR="0011024A">
        <w:rPr>
          <w:rFonts w:eastAsia="Calibri"/>
          <w:lang w:eastAsia="en-US"/>
        </w:rPr>
        <w:noBreakHyphen/>
      </w:r>
      <w:r w:rsidR="5EC7FE67" w:rsidRPr="00886D8A">
        <w:rPr>
          <w:rFonts w:eastAsia="Calibri"/>
          <w:lang w:eastAsia="en-US"/>
        </w:rPr>
        <w:t xml:space="preserve">five level questionnaire; </w:t>
      </w:r>
      <w:r w:rsidR="0FE3938D" w:rsidRPr="00886D8A">
        <w:rPr>
          <w:rFonts w:eastAsia="Calibri"/>
          <w:lang w:eastAsia="en-US"/>
        </w:rPr>
        <w:t xml:space="preserve">N = total participants in group; </w:t>
      </w:r>
      <w:r w:rsidR="5EC7FE67" w:rsidRPr="00886D8A">
        <w:rPr>
          <w:rFonts w:eastAsia="Calibri"/>
          <w:lang w:eastAsia="en-US"/>
        </w:rPr>
        <w:t xml:space="preserve">n = number of participants reporting data; </w:t>
      </w:r>
      <w:r w:rsidRPr="00886D8A">
        <w:rPr>
          <w:rFonts w:eastAsia="Calibri"/>
          <w:lang w:eastAsia="en-US"/>
        </w:rPr>
        <w:t>SD = standard deviation; VAS = visual analogue scale.</w:t>
      </w:r>
    </w:p>
    <w:p w14:paraId="33BD96D5" w14:textId="0F1058A2" w:rsidR="00EB0321" w:rsidRPr="00886D8A" w:rsidRDefault="00EB0321" w:rsidP="004E36D3">
      <w:pPr>
        <w:pStyle w:val="3-BodyText"/>
      </w:pPr>
      <w:bookmarkStart w:id="47" w:name="_Hlk197175499"/>
      <w:r w:rsidRPr="00886D8A">
        <w:t>Overall, there was an increase (worsening) in CHAQ</w:t>
      </w:r>
      <w:r w:rsidR="0011024A">
        <w:noBreakHyphen/>
      </w:r>
      <w:r w:rsidRPr="00886D8A">
        <w:t>DI score in BSC arm whereas the score remained stable in the velmanase alfa arm. CHAQ</w:t>
      </w:r>
      <w:r w:rsidR="0011024A">
        <w:noBreakHyphen/>
      </w:r>
      <w:r w:rsidRPr="00886D8A">
        <w:t>pain scores and CHAQ</w:t>
      </w:r>
      <w:r w:rsidR="0011024A">
        <w:noBreakHyphen/>
      </w:r>
      <w:r w:rsidRPr="00886D8A">
        <w:t xml:space="preserve">general, assessed via visual analogue scale (VAS), increased (worsened) over </w:t>
      </w:r>
      <w:r w:rsidR="00AF1BCF">
        <w:br/>
      </w:r>
      <w:r w:rsidR="00E72F21" w:rsidRPr="00886D8A">
        <w:t>12 months</w:t>
      </w:r>
      <w:r w:rsidRPr="00886D8A">
        <w:t xml:space="preserve"> in both treatment arms. The change in CHAQ</w:t>
      </w:r>
      <w:r w:rsidR="0011024A">
        <w:noBreakHyphen/>
      </w:r>
      <w:r w:rsidRPr="00886D8A">
        <w:t>DI and CHAQ</w:t>
      </w:r>
      <w:r w:rsidR="0011024A">
        <w:noBreakHyphen/>
      </w:r>
      <w:r w:rsidRPr="00886D8A">
        <w:t>pain (VAS) score from baseline to Month 12 for patients in velmanase alfa treated arm (and the BSC arm) did not exceed the adopted MCID for patients with AM, which was a reduction in CHAQ</w:t>
      </w:r>
      <w:r w:rsidR="0011024A">
        <w:noBreakHyphen/>
      </w:r>
      <w:r w:rsidRPr="00886D8A">
        <w:t>DI score of ≥0.13 and CHAQ</w:t>
      </w:r>
      <w:r w:rsidR="0011024A">
        <w:noBreakHyphen/>
      </w:r>
      <w:r w:rsidRPr="00886D8A">
        <w:t xml:space="preserve">pain (VAS) score of ≥0.246. </w:t>
      </w:r>
    </w:p>
    <w:p w14:paraId="0B5028B3" w14:textId="617759ED" w:rsidR="00EB0321" w:rsidRPr="00886D8A" w:rsidRDefault="00EB0321" w:rsidP="004E36D3">
      <w:pPr>
        <w:pStyle w:val="3-BodyText"/>
      </w:pPr>
      <w:r w:rsidRPr="00886D8A">
        <w:t>A minimal change was observed in the EQ</w:t>
      </w:r>
      <w:r w:rsidR="0011024A">
        <w:noBreakHyphen/>
      </w:r>
      <w:r w:rsidRPr="00886D8A">
        <w:t>5D</w:t>
      </w:r>
      <w:r w:rsidR="0011024A">
        <w:noBreakHyphen/>
      </w:r>
      <w:r w:rsidRPr="00886D8A">
        <w:t>5L Index scores; however, EQ</w:t>
      </w:r>
      <w:r w:rsidR="0011024A">
        <w:noBreakHyphen/>
      </w:r>
      <w:r w:rsidRPr="00886D8A">
        <w:t>5D</w:t>
      </w:r>
      <w:r w:rsidR="0011024A">
        <w:noBreakHyphen/>
      </w:r>
      <w:r w:rsidRPr="00886D8A">
        <w:t xml:space="preserve">5L VAS scores increased (improved) in both treatment arms over </w:t>
      </w:r>
      <w:r w:rsidR="00B31BDE" w:rsidRPr="00886D8A">
        <w:t>12 months</w:t>
      </w:r>
      <w:r w:rsidRPr="00886D8A">
        <w:t>.</w:t>
      </w:r>
    </w:p>
    <w:p w14:paraId="1D3611CD" w14:textId="28F90B06" w:rsidR="00EB0321" w:rsidRPr="00886D8A" w:rsidRDefault="00EB0321" w:rsidP="004E36D3">
      <w:pPr>
        <w:pStyle w:val="5-SubsectionSubheading"/>
      </w:pPr>
      <w:bookmarkStart w:id="48" w:name="_Toc197460417"/>
      <w:bookmarkStart w:id="49" w:name="_Toc198645880"/>
      <w:bookmarkEnd w:id="47"/>
      <w:r w:rsidRPr="00886D8A">
        <w:t>rhLAMAN</w:t>
      </w:r>
      <w:r w:rsidR="0011024A">
        <w:noBreakHyphen/>
      </w:r>
      <w:r w:rsidRPr="00886D8A">
        <w:t>10</w:t>
      </w:r>
      <w:bookmarkEnd w:id="48"/>
      <w:r w:rsidRPr="00886D8A">
        <w:t xml:space="preserve"> integrated analysis and rhLAMAN</w:t>
      </w:r>
      <w:r w:rsidR="0011024A">
        <w:noBreakHyphen/>
      </w:r>
      <w:r w:rsidRPr="00886D8A">
        <w:t>11</w:t>
      </w:r>
      <w:bookmarkEnd w:id="49"/>
    </w:p>
    <w:p w14:paraId="3E55B6D8" w14:textId="012500A5" w:rsidR="00EB0321" w:rsidRPr="00886D8A" w:rsidRDefault="00607FAA" w:rsidP="004E36D3">
      <w:pPr>
        <w:pStyle w:val="3-BodyText"/>
      </w:pPr>
      <w:r w:rsidRPr="00886D8A">
        <w:t xml:space="preserve">Patients in the </w:t>
      </w:r>
      <w:r w:rsidR="00EB0321" w:rsidRPr="00886D8A">
        <w:t>rhLAMAN</w:t>
      </w:r>
      <w:r w:rsidR="0011024A">
        <w:noBreakHyphen/>
      </w:r>
      <w:r w:rsidR="00EB0321" w:rsidRPr="00886D8A">
        <w:t xml:space="preserve">10 </w:t>
      </w:r>
      <w:r w:rsidRPr="00886D8A">
        <w:t xml:space="preserve">study </w:t>
      </w:r>
      <w:r w:rsidR="005F0AE0" w:rsidRPr="00886D8A">
        <w:t xml:space="preserve">were previously enrolled in </w:t>
      </w:r>
      <w:r w:rsidR="00EB0321" w:rsidRPr="00886D8A">
        <w:t>rhLAMAN</w:t>
      </w:r>
      <w:r w:rsidR="0011024A">
        <w:noBreakHyphen/>
      </w:r>
      <w:r w:rsidR="00EB0321" w:rsidRPr="00886D8A">
        <w:t xml:space="preserve">02 </w:t>
      </w:r>
      <w:r w:rsidR="00AF1BCF">
        <w:br/>
      </w:r>
      <w:r w:rsidR="005F0AE0" w:rsidRPr="00886D8A">
        <w:t>(</w:t>
      </w:r>
      <w:r w:rsidR="00EB0321" w:rsidRPr="00886D8A">
        <w:t>9 patients</w:t>
      </w:r>
      <w:r w:rsidR="005F0AE0" w:rsidRPr="00886D8A">
        <w:t>;</w:t>
      </w:r>
      <w:r w:rsidR="00EB0321" w:rsidRPr="00886D8A">
        <w:t xml:space="preserve"> 27.3%) and rhLAMAN</w:t>
      </w:r>
      <w:r w:rsidR="0011024A">
        <w:noBreakHyphen/>
      </w:r>
      <w:r w:rsidR="00EB0321" w:rsidRPr="00886D8A">
        <w:t xml:space="preserve">05 </w:t>
      </w:r>
      <w:r w:rsidR="005F0AE0" w:rsidRPr="00886D8A">
        <w:t>(</w:t>
      </w:r>
      <w:r w:rsidR="00EB0321" w:rsidRPr="00886D8A">
        <w:t>24 patients</w:t>
      </w:r>
      <w:r w:rsidR="005F0AE0" w:rsidRPr="00886D8A">
        <w:t>,</w:t>
      </w:r>
      <w:r w:rsidR="00EB0321" w:rsidRPr="00886D8A">
        <w:t xml:space="preserve"> 72.7%). The mean (SD) age at treatment initiation with velmanase alfa was 17.1 (7.8) years. Of the patients, 19 (58%) were under 18 years and 14 (42%) were 18 years or older.</w:t>
      </w:r>
      <w:r w:rsidR="00B325C7" w:rsidRPr="00886D8A">
        <w:t xml:space="preserve"> </w:t>
      </w:r>
      <w:r w:rsidR="001F4203" w:rsidRPr="00886D8A">
        <w:t xml:space="preserve">The </w:t>
      </w:r>
      <w:r w:rsidR="006F706C" w:rsidRPr="00886D8A">
        <w:t>rhLAMAN</w:t>
      </w:r>
      <w:r w:rsidR="0011024A">
        <w:noBreakHyphen/>
      </w:r>
      <w:r w:rsidR="006F706C" w:rsidRPr="00886D8A">
        <w:t xml:space="preserve">11 </w:t>
      </w:r>
      <w:r w:rsidR="001F4203" w:rsidRPr="00886D8A">
        <w:t xml:space="preserve">trial </w:t>
      </w:r>
      <w:r w:rsidR="006F706C" w:rsidRPr="00886D8A">
        <w:t>(N=33) was an update of the rhLAMAN</w:t>
      </w:r>
      <w:r w:rsidR="0011024A">
        <w:noBreakHyphen/>
      </w:r>
      <w:r w:rsidR="006F706C" w:rsidRPr="00886D8A">
        <w:t>10 study</w:t>
      </w:r>
      <w:r w:rsidR="001F4203" w:rsidRPr="00886D8A">
        <w:t>.</w:t>
      </w:r>
    </w:p>
    <w:p w14:paraId="79546058" w14:textId="6820A1FC" w:rsidR="00EB0321" w:rsidRPr="00886D8A" w:rsidRDefault="00EB0321" w:rsidP="004E36D3">
      <w:pPr>
        <w:pStyle w:val="3-BodyText"/>
      </w:pPr>
      <w:r w:rsidRPr="00886D8A">
        <w:t>The results of the change in efficacy outcomes from baseline to last observation in rhLAMAN</w:t>
      </w:r>
      <w:r w:rsidR="0011024A">
        <w:noBreakHyphen/>
      </w:r>
      <w:r w:rsidRPr="00886D8A">
        <w:t>10 integrated analysis and rhLAMAN</w:t>
      </w:r>
      <w:r w:rsidR="0011024A">
        <w:noBreakHyphen/>
      </w:r>
      <w:r w:rsidRPr="00886D8A">
        <w:t>11</w:t>
      </w:r>
      <w:r w:rsidR="00791900" w:rsidRPr="00886D8A">
        <w:t xml:space="preserve"> trials</w:t>
      </w:r>
      <w:r w:rsidRPr="00886D8A">
        <w:t xml:space="preserve"> are shown in </w:t>
      </w:r>
      <w:r w:rsidRPr="00886D8A">
        <w:fldChar w:fldCharType="begin"/>
      </w:r>
      <w:r w:rsidRPr="00886D8A">
        <w:instrText xml:space="preserve"> REF _Ref197184191 \h </w:instrText>
      </w:r>
      <w:r w:rsidRPr="00886D8A">
        <w:fldChar w:fldCharType="separate"/>
      </w:r>
      <w:r w:rsidR="00B73A9E" w:rsidRPr="00886D8A">
        <w:t xml:space="preserve">Table </w:t>
      </w:r>
      <w:r w:rsidR="00B73A9E">
        <w:rPr>
          <w:noProof/>
        </w:rPr>
        <w:t>8</w:t>
      </w:r>
      <w:r w:rsidRPr="00886D8A">
        <w:fldChar w:fldCharType="end"/>
      </w:r>
      <w:r w:rsidRPr="00886D8A">
        <w:t>.</w:t>
      </w:r>
    </w:p>
    <w:p w14:paraId="3501150B" w14:textId="3DF12B36" w:rsidR="00EB0321" w:rsidRPr="00886D8A" w:rsidRDefault="00EB0321" w:rsidP="004E36D3">
      <w:pPr>
        <w:pStyle w:val="Caption"/>
      </w:pPr>
      <w:bookmarkStart w:id="50" w:name="_Ref197184191"/>
      <w:r w:rsidRPr="00886D8A">
        <w:t xml:space="preserve">Table </w:t>
      </w:r>
      <w:r>
        <w:fldChar w:fldCharType="begin"/>
      </w:r>
      <w:r>
        <w:instrText>SEQ Table \* ARABIC</w:instrText>
      </w:r>
      <w:r>
        <w:fldChar w:fldCharType="separate"/>
      </w:r>
      <w:r w:rsidR="00B73A9E">
        <w:rPr>
          <w:noProof/>
        </w:rPr>
        <w:t>8</w:t>
      </w:r>
      <w:r>
        <w:fldChar w:fldCharType="end"/>
      </w:r>
      <w:bookmarkEnd w:id="50"/>
      <w:r w:rsidRPr="00886D8A">
        <w:t xml:space="preserve">: </w:t>
      </w:r>
      <w:r w:rsidRPr="00886D8A">
        <w:rPr>
          <w:lang w:eastAsia="en-US"/>
        </w:rPr>
        <w:t>Change in outcomes from baseline to last observation in rhLAMAN</w:t>
      </w:r>
      <w:r w:rsidR="0011024A">
        <w:rPr>
          <w:lang w:eastAsia="en-US"/>
        </w:rPr>
        <w:noBreakHyphen/>
      </w:r>
      <w:r w:rsidRPr="00886D8A">
        <w:rPr>
          <w:lang w:eastAsia="en-US"/>
        </w:rPr>
        <w:t>10 trial integrated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Change in outcomes from baseline to last observation in rhLAMAN 10 trial integrated analysis"/>
      </w:tblPr>
      <w:tblGrid>
        <w:gridCol w:w="1076"/>
        <w:gridCol w:w="1080"/>
        <w:gridCol w:w="1080"/>
        <w:gridCol w:w="1199"/>
        <w:gridCol w:w="1201"/>
        <w:gridCol w:w="1078"/>
        <w:gridCol w:w="1127"/>
        <w:gridCol w:w="1176"/>
      </w:tblGrid>
      <w:tr w:rsidR="00EB0321" w:rsidRPr="00886D8A" w14:paraId="4C3D6908" w14:textId="77777777" w:rsidTr="002829E9">
        <w:trPr>
          <w:trHeight w:val="20"/>
        </w:trPr>
        <w:tc>
          <w:tcPr>
            <w:tcW w:w="596" w:type="pct"/>
            <w:vMerge w:val="restart"/>
            <w:tcMar>
              <w:left w:w="20" w:type="dxa"/>
              <w:right w:w="20" w:type="dxa"/>
            </w:tcMar>
          </w:tcPr>
          <w:p w14:paraId="05911141" w14:textId="77777777" w:rsidR="00EB0321" w:rsidRPr="00886D8A" w:rsidRDefault="00EB0321" w:rsidP="004E36D3">
            <w:pPr>
              <w:pStyle w:val="TableText0"/>
              <w:rPr>
                <w:b/>
                <w:bCs w:val="0"/>
              </w:rPr>
            </w:pPr>
          </w:p>
        </w:tc>
        <w:tc>
          <w:tcPr>
            <w:tcW w:w="599" w:type="pct"/>
            <w:vMerge w:val="restart"/>
            <w:tcMar>
              <w:left w:w="20" w:type="dxa"/>
              <w:right w:w="20" w:type="dxa"/>
            </w:tcMar>
            <w:vAlign w:val="center"/>
          </w:tcPr>
          <w:p w14:paraId="294F9E51" w14:textId="77777777" w:rsidR="00EB0321" w:rsidRPr="00886D8A" w:rsidRDefault="00EB0321" w:rsidP="004E36D3">
            <w:pPr>
              <w:pStyle w:val="TableText0"/>
              <w:jc w:val="center"/>
              <w:rPr>
                <w:b/>
                <w:bCs w:val="0"/>
              </w:rPr>
            </w:pPr>
            <w:r w:rsidRPr="00886D8A">
              <w:rPr>
                <w:b/>
                <w:bCs w:val="0"/>
              </w:rPr>
              <w:t>Baseline value</w:t>
            </w:r>
          </w:p>
        </w:tc>
        <w:tc>
          <w:tcPr>
            <w:tcW w:w="1930" w:type="pct"/>
            <w:gridSpan w:val="3"/>
            <w:tcMar>
              <w:left w:w="20" w:type="dxa"/>
              <w:right w:w="20" w:type="dxa"/>
            </w:tcMar>
          </w:tcPr>
          <w:p w14:paraId="6E7949A3" w14:textId="3D66B634" w:rsidR="00EB0321" w:rsidRPr="00886D8A" w:rsidRDefault="00EB0321" w:rsidP="004E36D3">
            <w:pPr>
              <w:pStyle w:val="TableText0"/>
              <w:jc w:val="center"/>
              <w:rPr>
                <w:b/>
                <w:bCs w:val="0"/>
              </w:rPr>
            </w:pPr>
            <w:r w:rsidRPr="00886D8A">
              <w:rPr>
                <w:b/>
                <w:bCs w:val="0"/>
              </w:rPr>
              <w:t>rhLAMAN</w:t>
            </w:r>
            <w:r w:rsidR="0011024A">
              <w:rPr>
                <w:b/>
                <w:bCs w:val="0"/>
              </w:rPr>
              <w:noBreakHyphen/>
            </w:r>
            <w:r w:rsidRPr="00886D8A">
              <w:rPr>
                <w:b/>
                <w:bCs w:val="0"/>
              </w:rPr>
              <w:t>10</w:t>
            </w:r>
          </w:p>
          <w:p w14:paraId="3E0AE59B" w14:textId="77777777" w:rsidR="00EB0321" w:rsidRPr="00886D8A" w:rsidRDefault="00EB0321" w:rsidP="004E36D3">
            <w:pPr>
              <w:pStyle w:val="TableText0"/>
              <w:jc w:val="center"/>
              <w:rPr>
                <w:b/>
                <w:bCs w:val="0"/>
              </w:rPr>
            </w:pPr>
            <w:r w:rsidRPr="00886D8A">
              <w:rPr>
                <w:b/>
                <w:bCs w:val="0"/>
              </w:rPr>
              <w:t>(Last observation [up to 48 months])</w:t>
            </w:r>
          </w:p>
        </w:tc>
        <w:tc>
          <w:tcPr>
            <w:tcW w:w="1875" w:type="pct"/>
            <w:gridSpan w:val="3"/>
            <w:tcMar>
              <w:left w:w="20" w:type="dxa"/>
              <w:right w:w="20" w:type="dxa"/>
            </w:tcMar>
          </w:tcPr>
          <w:p w14:paraId="43173AA8" w14:textId="53F82924" w:rsidR="00EB0321" w:rsidRPr="00886D8A" w:rsidRDefault="00EB0321" w:rsidP="004E36D3">
            <w:pPr>
              <w:pStyle w:val="TableText0"/>
              <w:jc w:val="center"/>
              <w:rPr>
                <w:b/>
                <w:bCs w:val="0"/>
              </w:rPr>
            </w:pPr>
            <w:r w:rsidRPr="00886D8A">
              <w:rPr>
                <w:b/>
                <w:bCs w:val="0"/>
              </w:rPr>
              <w:t>rhLAMAN</w:t>
            </w:r>
            <w:r w:rsidR="0011024A">
              <w:rPr>
                <w:b/>
                <w:bCs w:val="0"/>
              </w:rPr>
              <w:noBreakHyphen/>
            </w:r>
            <w:r w:rsidRPr="00886D8A">
              <w:rPr>
                <w:b/>
                <w:bCs w:val="0"/>
              </w:rPr>
              <w:t xml:space="preserve">11 </w:t>
            </w:r>
          </w:p>
          <w:p w14:paraId="6D322694" w14:textId="77777777" w:rsidR="00EB0321" w:rsidRPr="00886D8A" w:rsidRDefault="00EB0321" w:rsidP="004E36D3">
            <w:pPr>
              <w:pStyle w:val="TableText0"/>
              <w:jc w:val="center"/>
              <w:rPr>
                <w:b/>
                <w:bCs w:val="0"/>
              </w:rPr>
            </w:pPr>
            <w:r w:rsidRPr="00886D8A">
              <w:rPr>
                <w:b/>
                <w:bCs w:val="0"/>
              </w:rPr>
              <w:t xml:space="preserve">(Last observation </w:t>
            </w:r>
          </w:p>
          <w:p w14:paraId="37FEFD05" w14:textId="77777777" w:rsidR="00EB0321" w:rsidRPr="00886D8A" w:rsidRDefault="00EB0321" w:rsidP="004E36D3">
            <w:pPr>
              <w:pStyle w:val="TableText0"/>
              <w:jc w:val="center"/>
              <w:rPr>
                <w:b/>
                <w:bCs w:val="0"/>
              </w:rPr>
            </w:pPr>
            <w:r w:rsidRPr="00886D8A">
              <w:rPr>
                <w:b/>
                <w:bCs w:val="0"/>
              </w:rPr>
              <w:t>[up to a maximum of 144 months])</w:t>
            </w:r>
          </w:p>
        </w:tc>
      </w:tr>
      <w:tr w:rsidR="00EB0321" w:rsidRPr="00886D8A" w14:paraId="04675625" w14:textId="77777777" w:rsidTr="002829E9">
        <w:trPr>
          <w:trHeight w:val="284"/>
        </w:trPr>
        <w:tc>
          <w:tcPr>
            <w:tcW w:w="596" w:type="pct"/>
            <w:vMerge/>
            <w:tcMar>
              <w:left w:w="20" w:type="dxa"/>
              <w:right w:w="20" w:type="dxa"/>
            </w:tcMar>
          </w:tcPr>
          <w:p w14:paraId="6AF324EE" w14:textId="77777777" w:rsidR="00EB0321" w:rsidRPr="00886D8A" w:rsidRDefault="00EB0321" w:rsidP="004E36D3">
            <w:pPr>
              <w:pStyle w:val="TableText0"/>
              <w:rPr>
                <w:b/>
                <w:bCs w:val="0"/>
              </w:rPr>
            </w:pPr>
          </w:p>
        </w:tc>
        <w:tc>
          <w:tcPr>
            <w:tcW w:w="599" w:type="pct"/>
            <w:vMerge/>
            <w:tcMar>
              <w:left w:w="20" w:type="dxa"/>
              <w:right w:w="20" w:type="dxa"/>
            </w:tcMar>
          </w:tcPr>
          <w:p w14:paraId="0CDCB42D" w14:textId="77777777" w:rsidR="00EB0321" w:rsidRPr="00886D8A" w:rsidRDefault="00EB0321" w:rsidP="004E36D3">
            <w:pPr>
              <w:pStyle w:val="TableText0"/>
              <w:rPr>
                <w:b/>
                <w:bCs w:val="0"/>
              </w:rPr>
            </w:pPr>
          </w:p>
        </w:tc>
        <w:tc>
          <w:tcPr>
            <w:tcW w:w="599" w:type="pct"/>
            <w:tcMar>
              <w:left w:w="20" w:type="dxa"/>
              <w:right w:w="20" w:type="dxa"/>
            </w:tcMar>
          </w:tcPr>
          <w:p w14:paraId="09F8E39D" w14:textId="7151EAAE" w:rsidR="00EB0321" w:rsidRPr="00886D8A" w:rsidRDefault="00EB0321" w:rsidP="004E36D3">
            <w:pPr>
              <w:pStyle w:val="TableText0"/>
              <w:jc w:val="center"/>
              <w:rPr>
                <w:b/>
              </w:rPr>
            </w:pPr>
            <w:r w:rsidRPr="00886D8A">
              <w:rPr>
                <w:b/>
              </w:rPr>
              <w:t>Actual value</w:t>
            </w:r>
          </w:p>
        </w:tc>
        <w:tc>
          <w:tcPr>
            <w:tcW w:w="665" w:type="pct"/>
            <w:tcMar>
              <w:left w:w="20" w:type="dxa"/>
              <w:right w:w="20" w:type="dxa"/>
            </w:tcMar>
          </w:tcPr>
          <w:p w14:paraId="2C40B988" w14:textId="77777777" w:rsidR="00EB0321" w:rsidRPr="00886D8A" w:rsidRDefault="00EB0321" w:rsidP="004E36D3">
            <w:pPr>
              <w:pStyle w:val="TableText0"/>
              <w:jc w:val="center"/>
              <w:rPr>
                <w:b/>
                <w:bCs w:val="0"/>
              </w:rPr>
            </w:pPr>
            <w:r w:rsidRPr="00886D8A">
              <w:rPr>
                <w:b/>
                <w:bCs w:val="0"/>
              </w:rPr>
              <w:t>Absolute change from baseline</w:t>
            </w:r>
          </w:p>
        </w:tc>
        <w:tc>
          <w:tcPr>
            <w:tcW w:w="666" w:type="pct"/>
            <w:tcMar>
              <w:left w:w="20" w:type="dxa"/>
              <w:right w:w="20" w:type="dxa"/>
            </w:tcMar>
          </w:tcPr>
          <w:p w14:paraId="4A1A526C" w14:textId="77777777" w:rsidR="00EB0321" w:rsidRPr="00886D8A" w:rsidRDefault="00EB0321" w:rsidP="004E36D3">
            <w:pPr>
              <w:pStyle w:val="TableText0"/>
              <w:jc w:val="center"/>
              <w:rPr>
                <w:b/>
                <w:bCs w:val="0"/>
              </w:rPr>
            </w:pPr>
            <w:r w:rsidRPr="00886D8A">
              <w:rPr>
                <w:b/>
                <w:bCs w:val="0"/>
              </w:rPr>
              <w:t>% change from baseline</w:t>
            </w:r>
          </w:p>
        </w:tc>
        <w:tc>
          <w:tcPr>
            <w:tcW w:w="598" w:type="pct"/>
            <w:tcMar>
              <w:left w:w="20" w:type="dxa"/>
              <w:right w:w="20" w:type="dxa"/>
            </w:tcMar>
          </w:tcPr>
          <w:p w14:paraId="6ED8E607" w14:textId="77777777" w:rsidR="00EB0321" w:rsidRPr="00886D8A" w:rsidRDefault="00EB0321" w:rsidP="004E36D3">
            <w:pPr>
              <w:pStyle w:val="TableText0"/>
              <w:jc w:val="center"/>
              <w:rPr>
                <w:b/>
                <w:bCs w:val="0"/>
              </w:rPr>
            </w:pPr>
            <w:r w:rsidRPr="00886D8A">
              <w:rPr>
                <w:b/>
                <w:bCs w:val="0"/>
              </w:rPr>
              <w:t>Actual value</w:t>
            </w:r>
          </w:p>
        </w:tc>
        <w:tc>
          <w:tcPr>
            <w:tcW w:w="625" w:type="pct"/>
            <w:tcMar>
              <w:left w:w="20" w:type="dxa"/>
              <w:right w:w="20" w:type="dxa"/>
            </w:tcMar>
          </w:tcPr>
          <w:p w14:paraId="11FD90DC" w14:textId="77777777" w:rsidR="00EB0321" w:rsidRPr="00886D8A" w:rsidRDefault="00EB0321" w:rsidP="004E36D3">
            <w:pPr>
              <w:pStyle w:val="TableText0"/>
              <w:jc w:val="center"/>
              <w:rPr>
                <w:b/>
                <w:bCs w:val="0"/>
              </w:rPr>
            </w:pPr>
            <w:r w:rsidRPr="00886D8A">
              <w:rPr>
                <w:b/>
                <w:bCs w:val="0"/>
              </w:rPr>
              <w:t>Absolute change from baseline</w:t>
            </w:r>
          </w:p>
        </w:tc>
        <w:tc>
          <w:tcPr>
            <w:tcW w:w="652" w:type="pct"/>
            <w:tcMar>
              <w:left w:w="20" w:type="dxa"/>
              <w:right w:w="20" w:type="dxa"/>
            </w:tcMar>
          </w:tcPr>
          <w:p w14:paraId="47AAF434" w14:textId="77777777" w:rsidR="00EB0321" w:rsidRPr="00886D8A" w:rsidRDefault="00EB0321" w:rsidP="004E36D3">
            <w:pPr>
              <w:pStyle w:val="TableText0"/>
              <w:jc w:val="center"/>
              <w:rPr>
                <w:b/>
                <w:bCs w:val="0"/>
              </w:rPr>
            </w:pPr>
            <w:r w:rsidRPr="00886D8A">
              <w:rPr>
                <w:b/>
                <w:bCs w:val="0"/>
              </w:rPr>
              <w:t>% change from baseline</w:t>
            </w:r>
          </w:p>
        </w:tc>
      </w:tr>
      <w:tr w:rsidR="00EB0321" w:rsidRPr="00886D8A" w14:paraId="115FC121" w14:textId="77777777" w:rsidTr="00F23784">
        <w:trPr>
          <w:trHeight w:val="20"/>
        </w:trPr>
        <w:tc>
          <w:tcPr>
            <w:tcW w:w="5000" w:type="pct"/>
            <w:gridSpan w:val="8"/>
            <w:tcMar>
              <w:left w:w="20" w:type="dxa"/>
              <w:right w:w="20" w:type="dxa"/>
            </w:tcMar>
          </w:tcPr>
          <w:p w14:paraId="0B608876" w14:textId="77777777" w:rsidR="00EB0321" w:rsidRPr="00886D8A" w:rsidRDefault="00EB0321" w:rsidP="004E36D3">
            <w:pPr>
              <w:pStyle w:val="TableText0"/>
              <w:rPr>
                <w:b/>
                <w:bCs w:val="0"/>
              </w:rPr>
            </w:pPr>
            <w:r w:rsidRPr="00886D8A">
              <w:rPr>
                <w:b/>
                <w:bCs w:val="0"/>
              </w:rPr>
              <w:t>Change in serum oligosaccharides (µmol/L) from baseline to last observation</w:t>
            </w:r>
          </w:p>
        </w:tc>
      </w:tr>
      <w:tr w:rsidR="00EB0321" w:rsidRPr="00886D8A" w14:paraId="5B35232B" w14:textId="77777777" w:rsidTr="002829E9">
        <w:trPr>
          <w:trHeight w:val="20"/>
        </w:trPr>
        <w:tc>
          <w:tcPr>
            <w:tcW w:w="596" w:type="pct"/>
            <w:tcMar>
              <w:left w:w="20" w:type="dxa"/>
              <w:right w:w="20" w:type="dxa"/>
            </w:tcMar>
          </w:tcPr>
          <w:p w14:paraId="2180D38D" w14:textId="29C93CC8" w:rsidR="00EB0321" w:rsidRPr="00886D8A" w:rsidRDefault="00195FC2" w:rsidP="004E36D3">
            <w:pPr>
              <w:pStyle w:val="TableText0"/>
              <w:ind w:right="-105"/>
            </w:pPr>
            <w:r w:rsidRPr="00886D8A">
              <w:t>N</w:t>
            </w:r>
          </w:p>
        </w:tc>
        <w:tc>
          <w:tcPr>
            <w:tcW w:w="599" w:type="pct"/>
            <w:tcMar>
              <w:left w:w="20" w:type="dxa"/>
              <w:right w:w="20" w:type="dxa"/>
            </w:tcMar>
          </w:tcPr>
          <w:p w14:paraId="6640836A" w14:textId="77777777" w:rsidR="00EB0321" w:rsidRPr="00886D8A" w:rsidRDefault="00EB0321" w:rsidP="004E36D3">
            <w:pPr>
              <w:pStyle w:val="TableText0"/>
              <w:jc w:val="center"/>
            </w:pPr>
            <w:r w:rsidRPr="00886D8A">
              <w:t>33</w:t>
            </w:r>
          </w:p>
        </w:tc>
        <w:tc>
          <w:tcPr>
            <w:tcW w:w="599" w:type="pct"/>
            <w:tcMar>
              <w:left w:w="20" w:type="dxa"/>
              <w:right w:w="20" w:type="dxa"/>
            </w:tcMar>
          </w:tcPr>
          <w:p w14:paraId="53FE6661" w14:textId="77777777" w:rsidR="00EB0321" w:rsidRPr="00886D8A" w:rsidRDefault="00EB0321" w:rsidP="004E36D3">
            <w:pPr>
              <w:pStyle w:val="TableText0"/>
              <w:jc w:val="center"/>
            </w:pPr>
            <w:r w:rsidRPr="00886D8A">
              <w:t>33</w:t>
            </w:r>
          </w:p>
        </w:tc>
        <w:tc>
          <w:tcPr>
            <w:tcW w:w="665" w:type="pct"/>
            <w:tcMar>
              <w:left w:w="20" w:type="dxa"/>
              <w:right w:w="20" w:type="dxa"/>
            </w:tcMar>
          </w:tcPr>
          <w:p w14:paraId="61AA6E27" w14:textId="77777777" w:rsidR="00EB0321" w:rsidRPr="00886D8A" w:rsidRDefault="00EB0321" w:rsidP="004E36D3">
            <w:pPr>
              <w:pStyle w:val="TableText0"/>
              <w:jc w:val="center"/>
            </w:pPr>
            <w:r w:rsidRPr="00886D8A">
              <w:t>33</w:t>
            </w:r>
          </w:p>
        </w:tc>
        <w:tc>
          <w:tcPr>
            <w:tcW w:w="666" w:type="pct"/>
            <w:tcMar>
              <w:left w:w="20" w:type="dxa"/>
              <w:right w:w="20" w:type="dxa"/>
            </w:tcMar>
          </w:tcPr>
          <w:p w14:paraId="6250C2FB" w14:textId="77777777" w:rsidR="00EB0321" w:rsidRPr="00886D8A" w:rsidRDefault="00EB0321" w:rsidP="004E36D3">
            <w:pPr>
              <w:pStyle w:val="TableText0"/>
              <w:jc w:val="center"/>
            </w:pPr>
            <w:r w:rsidRPr="00886D8A">
              <w:t>33</w:t>
            </w:r>
          </w:p>
        </w:tc>
        <w:tc>
          <w:tcPr>
            <w:tcW w:w="598" w:type="pct"/>
            <w:tcMar>
              <w:left w:w="20" w:type="dxa"/>
              <w:right w:w="20" w:type="dxa"/>
            </w:tcMar>
          </w:tcPr>
          <w:p w14:paraId="4F54F7D7" w14:textId="77777777" w:rsidR="00EB0321" w:rsidRPr="00886D8A" w:rsidRDefault="00EB0321" w:rsidP="004E36D3">
            <w:pPr>
              <w:pStyle w:val="TableText0"/>
              <w:jc w:val="center"/>
            </w:pPr>
            <w:r w:rsidRPr="00886D8A">
              <w:t>33</w:t>
            </w:r>
          </w:p>
        </w:tc>
        <w:tc>
          <w:tcPr>
            <w:tcW w:w="625" w:type="pct"/>
            <w:tcMar>
              <w:left w:w="20" w:type="dxa"/>
              <w:right w:w="20" w:type="dxa"/>
            </w:tcMar>
          </w:tcPr>
          <w:p w14:paraId="09B4D916" w14:textId="77777777" w:rsidR="00EB0321" w:rsidRPr="00886D8A" w:rsidRDefault="00EB0321" w:rsidP="004E36D3">
            <w:pPr>
              <w:pStyle w:val="TableText0"/>
              <w:jc w:val="center"/>
            </w:pPr>
            <w:r w:rsidRPr="00886D8A">
              <w:t>33</w:t>
            </w:r>
          </w:p>
        </w:tc>
        <w:tc>
          <w:tcPr>
            <w:tcW w:w="652" w:type="pct"/>
            <w:tcMar>
              <w:left w:w="20" w:type="dxa"/>
              <w:right w:w="20" w:type="dxa"/>
            </w:tcMar>
          </w:tcPr>
          <w:p w14:paraId="79F8DCA2" w14:textId="77777777" w:rsidR="00EB0321" w:rsidRPr="00886D8A" w:rsidRDefault="00EB0321" w:rsidP="004E36D3">
            <w:pPr>
              <w:pStyle w:val="TableText0"/>
              <w:jc w:val="center"/>
            </w:pPr>
            <w:r w:rsidRPr="00886D8A">
              <w:t>33</w:t>
            </w:r>
          </w:p>
        </w:tc>
      </w:tr>
      <w:tr w:rsidR="00EB0321" w:rsidRPr="00886D8A" w14:paraId="7C694914" w14:textId="77777777" w:rsidTr="002829E9">
        <w:trPr>
          <w:trHeight w:val="20"/>
        </w:trPr>
        <w:tc>
          <w:tcPr>
            <w:tcW w:w="596" w:type="pct"/>
            <w:tcMar>
              <w:left w:w="20" w:type="dxa"/>
              <w:right w:w="20" w:type="dxa"/>
            </w:tcMar>
          </w:tcPr>
          <w:p w14:paraId="20930D41" w14:textId="77777777" w:rsidR="00EB0321" w:rsidRPr="00886D8A" w:rsidRDefault="00EB0321" w:rsidP="004E36D3">
            <w:pPr>
              <w:pStyle w:val="TableText0"/>
              <w:ind w:right="-105"/>
            </w:pPr>
            <w:r w:rsidRPr="00886D8A">
              <w:t>Mean (SD)</w:t>
            </w:r>
          </w:p>
        </w:tc>
        <w:tc>
          <w:tcPr>
            <w:tcW w:w="599" w:type="pct"/>
            <w:tcMar>
              <w:left w:w="20" w:type="dxa"/>
              <w:right w:w="20" w:type="dxa"/>
            </w:tcMar>
          </w:tcPr>
          <w:p w14:paraId="1DB829C8" w14:textId="183BCECA" w:rsidR="00EB0321" w:rsidRPr="00886D8A" w:rsidRDefault="00EB0321" w:rsidP="004E36D3">
            <w:pPr>
              <w:pStyle w:val="TableText0"/>
              <w:jc w:val="center"/>
            </w:pPr>
            <w:r w:rsidRPr="00886D8A">
              <w:t>6.90</w:t>
            </w:r>
            <w:r w:rsidR="00F23784" w:rsidRPr="00886D8A">
              <w:t xml:space="preserve"> </w:t>
            </w:r>
            <w:r w:rsidRPr="00886D8A">
              <w:t>(2.30)</w:t>
            </w:r>
          </w:p>
        </w:tc>
        <w:tc>
          <w:tcPr>
            <w:tcW w:w="599" w:type="pct"/>
            <w:tcMar>
              <w:left w:w="20" w:type="dxa"/>
              <w:right w:w="20" w:type="dxa"/>
            </w:tcMar>
          </w:tcPr>
          <w:p w14:paraId="328FF02C" w14:textId="18897F14" w:rsidR="00EB0321" w:rsidRPr="00886D8A" w:rsidRDefault="00EB0321" w:rsidP="004E36D3">
            <w:pPr>
              <w:pStyle w:val="TableText0"/>
              <w:jc w:val="center"/>
            </w:pPr>
            <w:r w:rsidRPr="00886D8A">
              <w:t>2.31</w:t>
            </w:r>
            <w:r w:rsidR="00F23784" w:rsidRPr="00886D8A">
              <w:t xml:space="preserve"> </w:t>
            </w:r>
            <w:r w:rsidRPr="00886D8A">
              <w:t>(2.19)</w:t>
            </w:r>
          </w:p>
        </w:tc>
        <w:tc>
          <w:tcPr>
            <w:tcW w:w="665" w:type="pct"/>
            <w:tcMar>
              <w:left w:w="20" w:type="dxa"/>
              <w:right w:w="20" w:type="dxa"/>
            </w:tcMar>
          </w:tcPr>
          <w:p w14:paraId="57283C02" w14:textId="643B1C59" w:rsidR="00EB0321" w:rsidRPr="00886D8A" w:rsidRDefault="0011024A" w:rsidP="004E36D3">
            <w:pPr>
              <w:pStyle w:val="TableText0"/>
              <w:jc w:val="center"/>
              <w:rPr>
                <w:b/>
                <w:bCs w:val="0"/>
              </w:rPr>
            </w:pPr>
            <w:r>
              <w:rPr>
                <w:b/>
                <w:bCs w:val="0"/>
              </w:rPr>
              <w:noBreakHyphen/>
            </w:r>
            <w:r w:rsidR="00EB0321" w:rsidRPr="00886D8A">
              <w:rPr>
                <w:b/>
                <w:bCs w:val="0"/>
              </w:rPr>
              <w:t>4.59</w:t>
            </w:r>
            <w:r w:rsidR="00F23784" w:rsidRPr="00886D8A">
              <w:rPr>
                <w:b/>
                <w:bCs w:val="0"/>
              </w:rPr>
              <w:t xml:space="preserve"> </w:t>
            </w:r>
            <w:r w:rsidR="00EB0321" w:rsidRPr="00886D8A">
              <w:rPr>
                <w:b/>
                <w:bCs w:val="0"/>
              </w:rPr>
              <w:t>(3.23)</w:t>
            </w:r>
          </w:p>
        </w:tc>
        <w:tc>
          <w:tcPr>
            <w:tcW w:w="666" w:type="pct"/>
            <w:tcMar>
              <w:left w:w="20" w:type="dxa"/>
              <w:right w:w="20" w:type="dxa"/>
            </w:tcMar>
          </w:tcPr>
          <w:p w14:paraId="3D931003" w14:textId="12C5BEE6" w:rsidR="00EB0321" w:rsidRPr="00886D8A" w:rsidRDefault="0011024A" w:rsidP="004E36D3">
            <w:pPr>
              <w:pStyle w:val="TableText0"/>
              <w:jc w:val="center"/>
              <w:rPr>
                <w:b/>
                <w:bCs w:val="0"/>
              </w:rPr>
            </w:pPr>
            <w:r>
              <w:rPr>
                <w:b/>
                <w:bCs w:val="0"/>
              </w:rPr>
              <w:noBreakHyphen/>
            </w:r>
            <w:r w:rsidR="00EB0321" w:rsidRPr="00886D8A">
              <w:rPr>
                <w:b/>
                <w:bCs w:val="0"/>
              </w:rPr>
              <w:t>62.76 (33.61)</w:t>
            </w:r>
          </w:p>
        </w:tc>
        <w:tc>
          <w:tcPr>
            <w:tcW w:w="598" w:type="pct"/>
            <w:tcMar>
              <w:left w:w="20" w:type="dxa"/>
              <w:right w:w="20" w:type="dxa"/>
            </w:tcMar>
          </w:tcPr>
          <w:p w14:paraId="44919CC1" w14:textId="54DCB8C9" w:rsidR="00EB0321" w:rsidRPr="00886D8A" w:rsidRDefault="00EB0321" w:rsidP="004E36D3">
            <w:pPr>
              <w:pStyle w:val="TableText0"/>
              <w:jc w:val="center"/>
            </w:pPr>
            <w:r w:rsidRPr="00886D8A">
              <w:t>2.74</w:t>
            </w:r>
            <w:r w:rsidR="00F23784" w:rsidRPr="00886D8A">
              <w:t xml:space="preserve"> </w:t>
            </w:r>
            <w:r w:rsidRPr="00886D8A">
              <w:t>(2.22)</w:t>
            </w:r>
          </w:p>
        </w:tc>
        <w:tc>
          <w:tcPr>
            <w:tcW w:w="625" w:type="pct"/>
            <w:tcMar>
              <w:left w:w="20" w:type="dxa"/>
              <w:right w:w="20" w:type="dxa"/>
            </w:tcMar>
          </w:tcPr>
          <w:p w14:paraId="646F4E17" w14:textId="78938C25" w:rsidR="00EB0321" w:rsidRPr="00886D8A" w:rsidRDefault="0011024A" w:rsidP="004E36D3">
            <w:pPr>
              <w:pStyle w:val="TableText0"/>
              <w:jc w:val="center"/>
              <w:rPr>
                <w:b/>
                <w:bCs w:val="0"/>
              </w:rPr>
            </w:pPr>
            <w:r>
              <w:rPr>
                <w:b/>
                <w:bCs w:val="0"/>
              </w:rPr>
              <w:noBreakHyphen/>
            </w:r>
            <w:r w:rsidR="00EB0321" w:rsidRPr="00886D8A">
              <w:rPr>
                <w:b/>
                <w:bCs w:val="0"/>
              </w:rPr>
              <w:t>4.16</w:t>
            </w:r>
            <w:r w:rsidR="00F23784" w:rsidRPr="00886D8A">
              <w:rPr>
                <w:b/>
                <w:bCs w:val="0"/>
              </w:rPr>
              <w:t xml:space="preserve"> </w:t>
            </w:r>
            <w:r w:rsidR="00EB0321" w:rsidRPr="00886D8A">
              <w:rPr>
                <w:b/>
                <w:bCs w:val="0"/>
              </w:rPr>
              <w:t>(3.33)</w:t>
            </w:r>
          </w:p>
        </w:tc>
        <w:tc>
          <w:tcPr>
            <w:tcW w:w="652" w:type="pct"/>
            <w:tcMar>
              <w:left w:w="20" w:type="dxa"/>
              <w:right w:w="20" w:type="dxa"/>
            </w:tcMar>
          </w:tcPr>
          <w:p w14:paraId="1872851C" w14:textId="3CB69959" w:rsidR="00EB0321" w:rsidRPr="00886D8A" w:rsidRDefault="0011024A" w:rsidP="004E36D3">
            <w:pPr>
              <w:pStyle w:val="TableText0"/>
              <w:jc w:val="center"/>
              <w:rPr>
                <w:b/>
                <w:bCs w:val="0"/>
              </w:rPr>
            </w:pPr>
            <w:r>
              <w:rPr>
                <w:b/>
                <w:bCs w:val="0"/>
              </w:rPr>
              <w:noBreakHyphen/>
            </w:r>
            <w:r w:rsidR="00EB0321" w:rsidRPr="00886D8A">
              <w:rPr>
                <w:b/>
                <w:bCs w:val="0"/>
              </w:rPr>
              <w:t>55.5</w:t>
            </w:r>
            <w:r w:rsidR="00F23784" w:rsidRPr="00886D8A">
              <w:rPr>
                <w:b/>
                <w:bCs w:val="0"/>
              </w:rPr>
              <w:t xml:space="preserve"> </w:t>
            </w:r>
            <w:r w:rsidR="00EB0321" w:rsidRPr="00886D8A">
              <w:rPr>
                <w:b/>
                <w:bCs w:val="0"/>
              </w:rPr>
              <w:t>(34.87)</w:t>
            </w:r>
          </w:p>
        </w:tc>
      </w:tr>
      <w:tr w:rsidR="00EB0321" w:rsidRPr="00886D8A" w14:paraId="75E70C0A" w14:textId="77777777" w:rsidTr="002829E9">
        <w:trPr>
          <w:trHeight w:val="20"/>
        </w:trPr>
        <w:tc>
          <w:tcPr>
            <w:tcW w:w="596" w:type="pct"/>
            <w:tcMar>
              <w:left w:w="20" w:type="dxa"/>
              <w:right w:w="20" w:type="dxa"/>
            </w:tcMar>
          </w:tcPr>
          <w:p w14:paraId="6E257029" w14:textId="1CDEF8AD" w:rsidR="00EB0321" w:rsidRPr="00886D8A" w:rsidRDefault="00EB0321" w:rsidP="004E36D3">
            <w:pPr>
              <w:pStyle w:val="TableText0"/>
              <w:ind w:right="-105"/>
            </w:pPr>
            <w:r w:rsidRPr="00886D8A">
              <w:t xml:space="preserve">Median </w:t>
            </w:r>
            <w:r w:rsidR="00B51CD2" w:rsidRPr="00886D8A">
              <w:br/>
            </w:r>
            <w:r w:rsidRPr="00886D8A">
              <w:t>(min, max)</w:t>
            </w:r>
          </w:p>
        </w:tc>
        <w:tc>
          <w:tcPr>
            <w:tcW w:w="599" w:type="pct"/>
            <w:tcMar>
              <w:left w:w="20" w:type="dxa"/>
              <w:right w:w="20" w:type="dxa"/>
            </w:tcMar>
          </w:tcPr>
          <w:p w14:paraId="2D4CC450" w14:textId="77777777" w:rsidR="00EB0321" w:rsidRPr="00886D8A" w:rsidRDefault="00EB0321" w:rsidP="004E36D3">
            <w:pPr>
              <w:pStyle w:val="TableText0"/>
              <w:jc w:val="center"/>
            </w:pPr>
            <w:r w:rsidRPr="00886D8A">
              <w:t>7.00</w:t>
            </w:r>
          </w:p>
          <w:p w14:paraId="75140ECB" w14:textId="77777777" w:rsidR="00EB0321" w:rsidRPr="00886D8A" w:rsidRDefault="00EB0321" w:rsidP="004E36D3">
            <w:pPr>
              <w:pStyle w:val="TableText0"/>
              <w:jc w:val="center"/>
            </w:pPr>
            <w:r w:rsidRPr="00886D8A">
              <w:t>(2.3; 15.0)</w:t>
            </w:r>
          </w:p>
        </w:tc>
        <w:tc>
          <w:tcPr>
            <w:tcW w:w="599" w:type="pct"/>
            <w:tcMar>
              <w:left w:w="20" w:type="dxa"/>
              <w:right w:w="20" w:type="dxa"/>
            </w:tcMar>
          </w:tcPr>
          <w:p w14:paraId="1D888ADE" w14:textId="77777777" w:rsidR="00EB0321" w:rsidRPr="00886D8A" w:rsidRDefault="00EB0321" w:rsidP="004E36D3">
            <w:pPr>
              <w:pStyle w:val="TableText0"/>
              <w:jc w:val="center"/>
            </w:pPr>
            <w:r w:rsidRPr="00886D8A">
              <w:t>1.70</w:t>
            </w:r>
          </w:p>
          <w:p w14:paraId="1A4429B6" w14:textId="77777777" w:rsidR="00EB0321" w:rsidRPr="00886D8A" w:rsidRDefault="00EB0321" w:rsidP="004E36D3">
            <w:pPr>
              <w:pStyle w:val="TableText0"/>
              <w:jc w:val="center"/>
            </w:pPr>
            <w:r w:rsidRPr="00886D8A">
              <w:t>(0.5, 12.5)</w:t>
            </w:r>
          </w:p>
        </w:tc>
        <w:tc>
          <w:tcPr>
            <w:tcW w:w="665" w:type="pct"/>
            <w:tcMar>
              <w:left w:w="20" w:type="dxa"/>
              <w:right w:w="20" w:type="dxa"/>
            </w:tcMar>
          </w:tcPr>
          <w:p w14:paraId="4400F466" w14:textId="77CD9D5E" w:rsidR="00EB0321" w:rsidRPr="00886D8A" w:rsidRDefault="0011024A" w:rsidP="004E36D3">
            <w:pPr>
              <w:pStyle w:val="TableText0"/>
              <w:jc w:val="center"/>
            </w:pPr>
            <w:r>
              <w:noBreakHyphen/>
            </w:r>
            <w:r w:rsidR="00EB0321" w:rsidRPr="00886D8A">
              <w:t>5.00</w:t>
            </w:r>
          </w:p>
          <w:p w14:paraId="73ACB941" w14:textId="7AF5E133" w:rsidR="00EB0321" w:rsidRPr="00886D8A" w:rsidRDefault="00EB0321" w:rsidP="004E36D3">
            <w:pPr>
              <w:pStyle w:val="TableText0"/>
              <w:jc w:val="center"/>
            </w:pPr>
            <w:r w:rsidRPr="00886D8A">
              <w:t>(</w:t>
            </w:r>
            <w:r w:rsidR="0011024A">
              <w:noBreakHyphen/>
            </w:r>
            <w:r w:rsidRPr="00886D8A">
              <w:t>13.3, 4.40)</w:t>
            </w:r>
          </w:p>
        </w:tc>
        <w:tc>
          <w:tcPr>
            <w:tcW w:w="666" w:type="pct"/>
            <w:tcMar>
              <w:left w:w="20" w:type="dxa"/>
              <w:right w:w="20" w:type="dxa"/>
            </w:tcMar>
          </w:tcPr>
          <w:p w14:paraId="444BE867" w14:textId="70A451DA" w:rsidR="00EB0321" w:rsidRPr="00886D8A" w:rsidRDefault="0011024A" w:rsidP="004E36D3">
            <w:pPr>
              <w:pStyle w:val="TableText0"/>
              <w:jc w:val="center"/>
            </w:pPr>
            <w:r>
              <w:noBreakHyphen/>
            </w:r>
            <w:r w:rsidR="00EB0321" w:rsidRPr="00886D8A">
              <w:t>75.00</w:t>
            </w:r>
          </w:p>
          <w:p w14:paraId="2F1F7F93" w14:textId="6F25928F" w:rsidR="00EB0321" w:rsidRPr="00886D8A" w:rsidRDefault="00EB0321" w:rsidP="004E36D3">
            <w:pPr>
              <w:pStyle w:val="TableText0"/>
              <w:jc w:val="center"/>
            </w:pPr>
            <w:r w:rsidRPr="00886D8A">
              <w:t>(</w:t>
            </w:r>
            <w:r w:rsidR="0011024A">
              <w:noBreakHyphen/>
            </w:r>
            <w:r w:rsidRPr="00886D8A">
              <w:t>91.8, 54.3)</w:t>
            </w:r>
          </w:p>
        </w:tc>
        <w:tc>
          <w:tcPr>
            <w:tcW w:w="598" w:type="pct"/>
            <w:tcMar>
              <w:left w:w="20" w:type="dxa"/>
              <w:right w:w="20" w:type="dxa"/>
            </w:tcMar>
          </w:tcPr>
          <w:p w14:paraId="666E012B" w14:textId="77777777" w:rsidR="00EB0321" w:rsidRPr="00886D8A" w:rsidRDefault="00EB0321" w:rsidP="004E36D3">
            <w:pPr>
              <w:pStyle w:val="TableText0"/>
              <w:jc w:val="center"/>
            </w:pPr>
            <w:r w:rsidRPr="00886D8A">
              <w:t>2.10</w:t>
            </w:r>
          </w:p>
          <w:p w14:paraId="252FB580" w14:textId="77777777" w:rsidR="00EB0321" w:rsidRPr="00886D8A" w:rsidRDefault="00EB0321" w:rsidP="004E36D3">
            <w:pPr>
              <w:pStyle w:val="TableText0"/>
              <w:jc w:val="center"/>
            </w:pPr>
            <w:r w:rsidRPr="00886D8A">
              <w:t>(0.9, 12.5)</w:t>
            </w:r>
          </w:p>
        </w:tc>
        <w:tc>
          <w:tcPr>
            <w:tcW w:w="625" w:type="pct"/>
            <w:tcMar>
              <w:left w:w="20" w:type="dxa"/>
              <w:right w:w="20" w:type="dxa"/>
            </w:tcMar>
          </w:tcPr>
          <w:p w14:paraId="3252B20A" w14:textId="004F57A5" w:rsidR="00EB0321" w:rsidRPr="00886D8A" w:rsidRDefault="0011024A" w:rsidP="004E36D3">
            <w:pPr>
              <w:pStyle w:val="TableText0"/>
              <w:jc w:val="center"/>
            </w:pPr>
            <w:r>
              <w:noBreakHyphen/>
            </w:r>
            <w:r w:rsidR="00EB0321" w:rsidRPr="00886D8A">
              <w:t>4.60</w:t>
            </w:r>
          </w:p>
          <w:p w14:paraId="2984E880" w14:textId="41A8D431" w:rsidR="00EB0321" w:rsidRPr="00886D8A" w:rsidRDefault="00EB0321" w:rsidP="004E36D3">
            <w:pPr>
              <w:pStyle w:val="TableText0"/>
              <w:jc w:val="center"/>
            </w:pPr>
            <w:r w:rsidRPr="00886D8A">
              <w:t>(</w:t>
            </w:r>
            <w:r w:rsidR="0011024A">
              <w:noBreakHyphen/>
            </w:r>
            <w:r w:rsidRPr="00886D8A">
              <w:t>13.3, 4.4)</w:t>
            </w:r>
          </w:p>
        </w:tc>
        <w:tc>
          <w:tcPr>
            <w:tcW w:w="652" w:type="pct"/>
            <w:tcMar>
              <w:left w:w="20" w:type="dxa"/>
              <w:right w:w="20" w:type="dxa"/>
            </w:tcMar>
          </w:tcPr>
          <w:p w14:paraId="6AD8392F" w14:textId="4B9D8B3D" w:rsidR="00EB0321" w:rsidRPr="00886D8A" w:rsidRDefault="0011024A" w:rsidP="004E36D3">
            <w:pPr>
              <w:pStyle w:val="TableText0"/>
              <w:jc w:val="center"/>
            </w:pPr>
            <w:r>
              <w:noBreakHyphen/>
            </w:r>
            <w:r w:rsidR="00EB0321" w:rsidRPr="00886D8A">
              <w:t>69.0</w:t>
            </w:r>
          </w:p>
          <w:p w14:paraId="0416B33E" w14:textId="1765CDD1" w:rsidR="00EB0321" w:rsidRPr="00886D8A" w:rsidRDefault="00EB0321" w:rsidP="004E36D3">
            <w:pPr>
              <w:pStyle w:val="TableText0"/>
              <w:jc w:val="center"/>
            </w:pPr>
            <w:r w:rsidRPr="00886D8A">
              <w:t>(</w:t>
            </w:r>
            <w:r w:rsidR="0011024A">
              <w:noBreakHyphen/>
            </w:r>
            <w:r w:rsidRPr="00886D8A">
              <w:t>91.8, 54.3)</w:t>
            </w:r>
          </w:p>
        </w:tc>
      </w:tr>
      <w:tr w:rsidR="00EB0321" w:rsidRPr="00886D8A" w14:paraId="2FC35B99" w14:textId="77777777" w:rsidTr="00F23784">
        <w:trPr>
          <w:trHeight w:val="20"/>
        </w:trPr>
        <w:tc>
          <w:tcPr>
            <w:tcW w:w="5000" w:type="pct"/>
            <w:gridSpan w:val="8"/>
            <w:tcMar>
              <w:left w:w="20" w:type="dxa"/>
              <w:right w:w="20" w:type="dxa"/>
            </w:tcMar>
          </w:tcPr>
          <w:p w14:paraId="3BC5D684" w14:textId="77777777" w:rsidR="00EB0321" w:rsidRPr="00886D8A" w:rsidRDefault="00EB0321" w:rsidP="004E36D3">
            <w:pPr>
              <w:pStyle w:val="TableText0"/>
              <w:ind w:right="-105"/>
              <w:rPr>
                <w:b/>
                <w:bCs w:val="0"/>
              </w:rPr>
            </w:pPr>
            <w:r w:rsidRPr="00886D8A">
              <w:rPr>
                <w:b/>
                <w:bCs w:val="0"/>
              </w:rPr>
              <w:t>Change in 3MSCT (steps/min) from baseline to last observation</w:t>
            </w:r>
          </w:p>
        </w:tc>
      </w:tr>
      <w:tr w:rsidR="00EB0321" w:rsidRPr="00886D8A" w14:paraId="4D5DA854" w14:textId="77777777" w:rsidTr="002829E9">
        <w:trPr>
          <w:trHeight w:val="20"/>
        </w:trPr>
        <w:tc>
          <w:tcPr>
            <w:tcW w:w="596" w:type="pct"/>
            <w:tcMar>
              <w:left w:w="20" w:type="dxa"/>
              <w:right w:w="20" w:type="dxa"/>
            </w:tcMar>
          </w:tcPr>
          <w:p w14:paraId="749DC7A8" w14:textId="785FE8BB" w:rsidR="00EB0321" w:rsidRPr="00886D8A" w:rsidRDefault="00195FC2" w:rsidP="004E36D3">
            <w:pPr>
              <w:pStyle w:val="TableText0"/>
              <w:ind w:right="-105"/>
            </w:pPr>
            <w:r w:rsidRPr="00886D8A">
              <w:t>N</w:t>
            </w:r>
          </w:p>
        </w:tc>
        <w:tc>
          <w:tcPr>
            <w:tcW w:w="599" w:type="pct"/>
            <w:tcMar>
              <w:left w:w="20" w:type="dxa"/>
              <w:right w:w="20" w:type="dxa"/>
            </w:tcMar>
          </w:tcPr>
          <w:p w14:paraId="64017862" w14:textId="77777777" w:rsidR="00EB0321" w:rsidRPr="00886D8A" w:rsidRDefault="00EB0321" w:rsidP="004E36D3">
            <w:pPr>
              <w:pStyle w:val="TableText0"/>
              <w:jc w:val="center"/>
            </w:pPr>
            <w:r w:rsidRPr="00886D8A">
              <w:t>33</w:t>
            </w:r>
          </w:p>
        </w:tc>
        <w:tc>
          <w:tcPr>
            <w:tcW w:w="599" w:type="pct"/>
            <w:tcMar>
              <w:left w:w="20" w:type="dxa"/>
              <w:right w:w="20" w:type="dxa"/>
            </w:tcMar>
          </w:tcPr>
          <w:p w14:paraId="27742749" w14:textId="77777777" w:rsidR="00EB0321" w:rsidRPr="00886D8A" w:rsidRDefault="00EB0321" w:rsidP="004E36D3">
            <w:pPr>
              <w:pStyle w:val="TableText0"/>
              <w:jc w:val="center"/>
            </w:pPr>
            <w:r w:rsidRPr="00886D8A">
              <w:t>33</w:t>
            </w:r>
          </w:p>
        </w:tc>
        <w:tc>
          <w:tcPr>
            <w:tcW w:w="665" w:type="pct"/>
            <w:tcMar>
              <w:left w:w="20" w:type="dxa"/>
              <w:right w:w="20" w:type="dxa"/>
            </w:tcMar>
          </w:tcPr>
          <w:p w14:paraId="2E13F3A3" w14:textId="77777777" w:rsidR="00EB0321" w:rsidRPr="00886D8A" w:rsidRDefault="00EB0321" w:rsidP="004E36D3">
            <w:pPr>
              <w:pStyle w:val="TableText0"/>
              <w:jc w:val="center"/>
            </w:pPr>
            <w:r w:rsidRPr="00886D8A">
              <w:t>33</w:t>
            </w:r>
          </w:p>
        </w:tc>
        <w:tc>
          <w:tcPr>
            <w:tcW w:w="666" w:type="pct"/>
            <w:tcMar>
              <w:left w:w="20" w:type="dxa"/>
              <w:right w:w="20" w:type="dxa"/>
            </w:tcMar>
          </w:tcPr>
          <w:p w14:paraId="4E767F11" w14:textId="77777777" w:rsidR="00EB0321" w:rsidRPr="00886D8A" w:rsidRDefault="00EB0321" w:rsidP="004E36D3">
            <w:pPr>
              <w:pStyle w:val="TableText0"/>
              <w:jc w:val="center"/>
            </w:pPr>
            <w:r w:rsidRPr="00886D8A">
              <w:t>33</w:t>
            </w:r>
          </w:p>
        </w:tc>
        <w:tc>
          <w:tcPr>
            <w:tcW w:w="598" w:type="pct"/>
            <w:tcMar>
              <w:left w:w="20" w:type="dxa"/>
              <w:right w:w="20" w:type="dxa"/>
            </w:tcMar>
          </w:tcPr>
          <w:p w14:paraId="32F59AA0" w14:textId="77777777" w:rsidR="00EB0321" w:rsidRPr="00886D8A" w:rsidRDefault="00EB0321" w:rsidP="004E36D3">
            <w:pPr>
              <w:pStyle w:val="TableText0"/>
              <w:jc w:val="center"/>
            </w:pPr>
            <w:r w:rsidRPr="00886D8A">
              <w:t>33</w:t>
            </w:r>
          </w:p>
        </w:tc>
        <w:tc>
          <w:tcPr>
            <w:tcW w:w="625" w:type="pct"/>
            <w:tcMar>
              <w:left w:w="20" w:type="dxa"/>
              <w:right w:w="20" w:type="dxa"/>
            </w:tcMar>
          </w:tcPr>
          <w:p w14:paraId="1339B1BD" w14:textId="77777777" w:rsidR="00EB0321" w:rsidRPr="00886D8A" w:rsidRDefault="00EB0321" w:rsidP="004E36D3">
            <w:pPr>
              <w:pStyle w:val="TableText0"/>
              <w:jc w:val="center"/>
            </w:pPr>
            <w:r w:rsidRPr="00886D8A">
              <w:t>33</w:t>
            </w:r>
          </w:p>
        </w:tc>
        <w:tc>
          <w:tcPr>
            <w:tcW w:w="652" w:type="pct"/>
            <w:tcMar>
              <w:left w:w="20" w:type="dxa"/>
              <w:right w:w="20" w:type="dxa"/>
            </w:tcMar>
          </w:tcPr>
          <w:p w14:paraId="27644952" w14:textId="77777777" w:rsidR="00EB0321" w:rsidRPr="00886D8A" w:rsidRDefault="00EB0321" w:rsidP="004E36D3">
            <w:pPr>
              <w:pStyle w:val="TableText0"/>
              <w:jc w:val="center"/>
            </w:pPr>
            <w:r w:rsidRPr="00886D8A">
              <w:t>33</w:t>
            </w:r>
          </w:p>
        </w:tc>
      </w:tr>
      <w:tr w:rsidR="00EB0321" w:rsidRPr="00886D8A" w14:paraId="66CB9FEB" w14:textId="77777777" w:rsidTr="002829E9">
        <w:trPr>
          <w:trHeight w:val="20"/>
        </w:trPr>
        <w:tc>
          <w:tcPr>
            <w:tcW w:w="596" w:type="pct"/>
            <w:tcMar>
              <w:left w:w="20" w:type="dxa"/>
              <w:right w:w="20" w:type="dxa"/>
            </w:tcMar>
          </w:tcPr>
          <w:p w14:paraId="1D0F7AAE" w14:textId="77777777" w:rsidR="00EB0321" w:rsidRPr="00886D8A" w:rsidRDefault="00EB0321" w:rsidP="004E36D3">
            <w:pPr>
              <w:pStyle w:val="TableText0"/>
              <w:ind w:right="-105"/>
            </w:pPr>
            <w:r w:rsidRPr="00886D8A">
              <w:t>Mean (SD)</w:t>
            </w:r>
          </w:p>
        </w:tc>
        <w:tc>
          <w:tcPr>
            <w:tcW w:w="599" w:type="pct"/>
            <w:tcMar>
              <w:left w:w="20" w:type="dxa"/>
              <w:right w:w="20" w:type="dxa"/>
            </w:tcMar>
          </w:tcPr>
          <w:p w14:paraId="75E228B8" w14:textId="77777777" w:rsidR="00EB0321" w:rsidRPr="00886D8A" w:rsidRDefault="00EB0321" w:rsidP="004E36D3">
            <w:pPr>
              <w:pStyle w:val="TableText0"/>
              <w:jc w:val="center"/>
            </w:pPr>
            <w:r w:rsidRPr="00886D8A">
              <w:t>53.60 (12.53)</w:t>
            </w:r>
          </w:p>
        </w:tc>
        <w:tc>
          <w:tcPr>
            <w:tcW w:w="599" w:type="pct"/>
            <w:tcMar>
              <w:left w:w="20" w:type="dxa"/>
              <w:right w:w="20" w:type="dxa"/>
            </w:tcMar>
          </w:tcPr>
          <w:p w14:paraId="00410DF0" w14:textId="77777777" w:rsidR="00EB0321" w:rsidRPr="00886D8A" w:rsidRDefault="00EB0321" w:rsidP="004E36D3">
            <w:pPr>
              <w:pStyle w:val="TableText0"/>
              <w:jc w:val="center"/>
            </w:pPr>
            <w:r w:rsidRPr="00886D8A">
              <w:t>59.98 (16.29)</w:t>
            </w:r>
          </w:p>
        </w:tc>
        <w:tc>
          <w:tcPr>
            <w:tcW w:w="665" w:type="pct"/>
            <w:tcMar>
              <w:left w:w="20" w:type="dxa"/>
              <w:right w:w="20" w:type="dxa"/>
            </w:tcMar>
          </w:tcPr>
          <w:p w14:paraId="21BC426F" w14:textId="1C5CE7E2" w:rsidR="00EB0321" w:rsidRPr="00886D8A" w:rsidRDefault="00EB0321" w:rsidP="004E36D3">
            <w:pPr>
              <w:pStyle w:val="TableText0"/>
              <w:jc w:val="center"/>
              <w:rPr>
                <w:b/>
                <w:bCs w:val="0"/>
              </w:rPr>
            </w:pPr>
            <w:r w:rsidRPr="00886D8A">
              <w:rPr>
                <w:b/>
                <w:bCs w:val="0"/>
              </w:rPr>
              <w:t>6.38</w:t>
            </w:r>
            <w:r w:rsidR="00F23784" w:rsidRPr="00886D8A">
              <w:rPr>
                <w:b/>
                <w:bCs w:val="0"/>
              </w:rPr>
              <w:t xml:space="preserve"> </w:t>
            </w:r>
            <w:r w:rsidRPr="00886D8A">
              <w:rPr>
                <w:b/>
                <w:bCs w:val="0"/>
              </w:rPr>
              <w:t>(10.54)</w:t>
            </w:r>
          </w:p>
        </w:tc>
        <w:tc>
          <w:tcPr>
            <w:tcW w:w="666" w:type="pct"/>
            <w:tcMar>
              <w:left w:w="20" w:type="dxa"/>
              <w:right w:w="20" w:type="dxa"/>
            </w:tcMar>
          </w:tcPr>
          <w:p w14:paraId="4E4D5DBC" w14:textId="77777777" w:rsidR="00EB0321" w:rsidRPr="00886D8A" w:rsidRDefault="00EB0321" w:rsidP="004E36D3">
            <w:pPr>
              <w:pStyle w:val="TableText0"/>
              <w:jc w:val="center"/>
              <w:rPr>
                <w:b/>
                <w:bCs w:val="0"/>
              </w:rPr>
            </w:pPr>
            <w:r w:rsidRPr="00886D8A">
              <w:rPr>
                <w:b/>
                <w:bCs w:val="0"/>
              </w:rPr>
              <w:t>13.77 (25.83)</w:t>
            </w:r>
          </w:p>
        </w:tc>
        <w:tc>
          <w:tcPr>
            <w:tcW w:w="598" w:type="pct"/>
            <w:tcMar>
              <w:left w:w="20" w:type="dxa"/>
              <w:right w:w="20" w:type="dxa"/>
            </w:tcMar>
          </w:tcPr>
          <w:p w14:paraId="0E8E7D7F" w14:textId="04EE80D1" w:rsidR="00EB0321" w:rsidRPr="00886D8A" w:rsidRDefault="00EB0321" w:rsidP="004E36D3">
            <w:pPr>
              <w:pStyle w:val="TableText0"/>
              <w:jc w:val="center"/>
            </w:pPr>
            <w:r w:rsidRPr="00886D8A">
              <w:t>57.64</w:t>
            </w:r>
            <w:r w:rsidR="00F23784" w:rsidRPr="00886D8A">
              <w:t xml:space="preserve"> </w:t>
            </w:r>
            <w:r w:rsidRPr="00886D8A">
              <w:t>(14.80)</w:t>
            </w:r>
          </w:p>
        </w:tc>
        <w:tc>
          <w:tcPr>
            <w:tcW w:w="625" w:type="pct"/>
            <w:tcMar>
              <w:left w:w="20" w:type="dxa"/>
              <w:right w:w="20" w:type="dxa"/>
            </w:tcMar>
          </w:tcPr>
          <w:p w14:paraId="118A6AB3" w14:textId="7CEBB991" w:rsidR="00EB0321" w:rsidRPr="00886D8A" w:rsidRDefault="00EB0321" w:rsidP="004E36D3">
            <w:pPr>
              <w:pStyle w:val="TableText0"/>
              <w:jc w:val="center"/>
              <w:rPr>
                <w:b/>
                <w:bCs w:val="0"/>
              </w:rPr>
            </w:pPr>
            <w:r w:rsidRPr="00886D8A">
              <w:rPr>
                <w:b/>
                <w:bCs w:val="0"/>
              </w:rPr>
              <w:t>4.05</w:t>
            </w:r>
            <w:r w:rsidR="00F23784" w:rsidRPr="00886D8A">
              <w:rPr>
                <w:b/>
                <w:bCs w:val="0"/>
              </w:rPr>
              <w:t xml:space="preserve"> </w:t>
            </w:r>
            <w:r w:rsidRPr="00886D8A">
              <w:rPr>
                <w:b/>
                <w:bCs w:val="0"/>
              </w:rPr>
              <w:t>(10.82)</w:t>
            </w:r>
          </w:p>
        </w:tc>
        <w:tc>
          <w:tcPr>
            <w:tcW w:w="652" w:type="pct"/>
            <w:tcMar>
              <w:left w:w="20" w:type="dxa"/>
              <w:right w:w="20" w:type="dxa"/>
            </w:tcMar>
          </w:tcPr>
          <w:p w14:paraId="60CAFFFE" w14:textId="5F066DF7" w:rsidR="00EB0321" w:rsidRPr="00886D8A" w:rsidRDefault="00EB0321" w:rsidP="004E36D3">
            <w:pPr>
              <w:pStyle w:val="TableText0"/>
              <w:jc w:val="center"/>
              <w:rPr>
                <w:b/>
                <w:bCs w:val="0"/>
              </w:rPr>
            </w:pPr>
            <w:r w:rsidRPr="00886D8A">
              <w:rPr>
                <w:b/>
                <w:bCs w:val="0"/>
              </w:rPr>
              <w:t>9.9</w:t>
            </w:r>
            <w:r w:rsidR="00F23784" w:rsidRPr="00886D8A">
              <w:rPr>
                <w:b/>
                <w:bCs w:val="0"/>
              </w:rPr>
              <w:t xml:space="preserve"> </w:t>
            </w:r>
            <w:r w:rsidRPr="00886D8A">
              <w:rPr>
                <w:b/>
                <w:bCs w:val="0"/>
              </w:rPr>
              <w:t>(25.85)</w:t>
            </w:r>
          </w:p>
        </w:tc>
      </w:tr>
      <w:tr w:rsidR="00EB0321" w:rsidRPr="00886D8A" w14:paraId="05EF68CB" w14:textId="77777777" w:rsidTr="002829E9">
        <w:trPr>
          <w:trHeight w:val="20"/>
        </w:trPr>
        <w:tc>
          <w:tcPr>
            <w:tcW w:w="596" w:type="pct"/>
            <w:tcMar>
              <w:left w:w="20" w:type="dxa"/>
              <w:right w:w="20" w:type="dxa"/>
            </w:tcMar>
          </w:tcPr>
          <w:p w14:paraId="2CC2E2BF" w14:textId="30F6B687" w:rsidR="00EB0321" w:rsidRPr="00886D8A" w:rsidRDefault="00EB0321" w:rsidP="004E36D3">
            <w:pPr>
              <w:pStyle w:val="TableText0"/>
              <w:ind w:right="-105"/>
            </w:pPr>
            <w:r w:rsidRPr="00886D8A">
              <w:t xml:space="preserve">Median </w:t>
            </w:r>
            <w:r w:rsidR="00B51CD2" w:rsidRPr="00886D8A">
              <w:br/>
            </w:r>
            <w:r w:rsidRPr="00886D8A">
              <w:t>(min, max)</w:t>
            </w:r>
          </w:p>
        </w:tc>
        <w:tc>
          <w:tcPr>
            <w:tcW w:w="599" w:type="pct"/>
            <w:tcMar>
              <w:left w:w="20" w:type="dxa"/>
              <w:right w:w="20" w:type="dxa"/>
            </w:tcMar>
          </w:tcPr>
          <w:p w14:paraId="4B819433" w14:textId="14B5761F" w:rsidR="00EB0321" w:rsidRPr="00886D8A" w:rsidRDefault="00EB0321" w:rsidP="004E36D3">
            <w:pPr>
              <w:pStyle w:val="TableText0"/>
              <w:jc w:val="center"/>
            </w:pPr>
            <w:r w:rsidRPr="00886D8A">
              <w:t xml:space="preserve">55.00 </w:t>
            </w:r>
            <w:r w:rsidR="00F23784" w:rsidRPr="00886D8A">
              <w:br/>
            </w:r>
            <w:r w:rsidRPr="00886D8A">
              <w:t>(16.67, 83.33)</w:t>
            </w:r>
          </w:p>
        </w:tc>
        <w:tc>
          <w:tcPr>
            <w:tcW w:w="599" w:type="pct"/>
            <w:tcMar>
              <w:left w:w="20" w:type="dxa"/>
              <w:right w:w="20" w:type="dxa"/>
            </w:tcMar>
          </w:tcPr>
          <w:p w14:paraId="451F4810" w14:textId="1081517D" w:rsidR="00EB0321" w:rsidRPr="00886D8A" w:rsidRDefault="00EB0321" w:rsidP="004E36D3">
            <w:pPr>
              <w:pStyle w:val="TableText0"/>
              <w:jc w:val="center"/>
            </w:pPr>
            <w:r w:rsidRPr="00886D8A">
              <w:t xml:space="preserve">60.67 </w:t>
            </w:r>
            <w:r w:rsidR="00F23784" w:rsidRPr="00886D8A">
              <w:br/>
            </w:r>
            <w:r w:rsidRPr="00886D8A">
              <w:t>(31.33, 99.67)</w:t>
            </w:r>
          </w:p>
        </w:tc>
        <w:tc>
          <w:tcPr>
            <w:tcW w:w="665" w:type="pct"/>
            <w:tcMar>
              <w:left w:w="20" w:type="dxa"/>
              <w:right w:w="20" w:type="dxa"/>
            </w:tcMar>
          </w:tcPr>
          <w:p w14:paraId="5C1C57FD" w14:textId="77777777" w:rsidR="00EB0321" w:rsidRPr="00886D8A" w:rsidRDefault="00EB0321" w:rsidP="004E36D3">
            <w:pPr>
              <w:pStyle w:val="TableText0"/>
              <w:jc w:val="center"/>
            </w:pPr>
            <w:r w:rsidRPr="00886D8A">
              <w:t>5.67</w:t>
            </w:r>
          </w:p>
          <w:p w14:paraId="46687E5E" w14:textId="7C7E0E54" w:rsidR="00EB0321" w:rsidRPr="00886D8A" w:rsidRDefault="00EB0321" w:rsidP="004E36D3">
            <w:pPr>
              <w:pStyle w:val="TableText0"/>
              <w:jc w:val="center"/>
            </w:pPr>
            <w:r w:rsidRPr="00886D8A">
              <w:t>(</w:t>
            </w:r>
            <w:r w:rsidR="0011024A">
              <w:noBreakHyphen/>
            </w:r>
            <w:r w:rsidRPr="00886D8A">
              <w:t>14.00, 36.67)</w:t>
            </w:r>
          </w:p>
        </w:tc>
        <w:tc>
          <w:tcPr>
            <w:tcW w:w="666" w:type="pct"/>
            <w:tcMar>
              <w:left w:w="20" w:type="dxa"/>
              <w:right w:w="20" w:type="dxa"/>
            </w:tcMar>
          </w:tcPr>
          <w:p w14:paraId="31C4C6D9" w14:textId="77777777" w:rsidR="00EB0321" w:rsidRPr="00886D8A" w:rsidRDefault="00EB0321" w:rsidP="004E36D3">
            <w:pPr>
              <w:pStyle w:val="TableText0"/>
              <w:jc w:val="center"/>
            </w:pPr>
            <w:r w:rsidRPr="00886D8A">
              <w:t>12.14</w:t>
            </w:r>
          </w:p>
          <w:p w14:paraId="650D3F7B" w14:textId="010CA056" w:rsidR="00EB0321" w:rsidRPr="00886D8A" w:rsidRDefault="00EB0321" w:rsidP="004E36D3">
            <w:pPr>
              <w:pStyle w:val="TableText0"/>
              <w:jc w:val="center"/>
            </w:pPr>
            <w:r w:rsidRPr="00886D8A">
              <w:t>(</w:t>
            </w:r>
            <w:r w:rsidR="0011024A">
              <w:noBreakHyphen/>
            </w:r>
            <w:r w:rsidRPr="00886D8A">
              <w:t>30.88, 100.0)</w:t>
            </w:r>
          </w:p>
        </w:tc>
        <w:tc>
          <w:tcPr>
            <w:tcW w:w="598" w:type="pct"/>
            <w:tcMar>
              <w:left w:w="20" w:type="dxa"/>
              <w:right w:w="20" w:type="dxa"/>
            </w:tcMar>
          </w:tcPr>
          <w:p w14:paraId="48494AEB" w14:textId="77777777" w:rsidR="00EB0321" w:rsidRPr="00886D8A" w:rsidRDefault="00EB0321" w:rsidP="004E36D3">
            <w:pPr>
              <w:pStyle w:val="TableText0"/>
              <w:jc w:val="center"/>
            </w:pPr>
            <w:r w:rsidRPr="00886D8A">
              <w:t>57.00</w:t>
            </w:r>
          </w:p>
          <w:p w14:paraId="3ECBEF2A" w14:textId="77777777" w:rsidR="00EB0321" w:rsidRPr="00886D8A" w:rsidRDefault="00EB0321" w:rsidP="004E36D3">
            <w:pPr>
              <w:pStyle w:val="TableText0"/>
              <w:jc w:val="center"/>
            </w:pPr>
            <w:r w:rsidRPr="00886D8A">
              <w:t>(31.33, 84.38)</w:t>
            </w:r>
          </w:p>
        </w:tc>
        <w:tc>
          <w:tcPr>
            <w:tcW w:w="625" w:type="pct"/>
            <w:tcMar>
              <w:left w:w="20" w:type="dxa"/>
              <w:right w:w="20" w:type="dxa"/>
            </w:tcMar>
          </w:tcPr>
          <w:p w14:paraId="30A2F746" w14:textId="77777777" w:rsidR="00EB0321" w:rsidRPr="00886D8A" w:rsidRDefault="00EB0321" w:rsidP="004E36D3">
            <w:pPr>
              <w:pStyle w:val="TableText0"/>
              <w:jc w:val="center"/>
            </w:pPr>
            <w:r w:rsidRPr="00886D8A">
              <w:t>3.667</w:t>
            </w:r>
          </w:p>
          <w:p w14:paraId="76F50A2C" w14:textId="447F657E" w:rsidR="00EB0321" w:rsidRPr="00886D8A" w:rsidRDefault="00EB0321" w:rsidP="004E36D3">
            <w:pPr>
              <w:pStyle w:val="TableText0"/>
              <w:jc w:val="center"/>
            </w:pPr>
            <w:r w:rsidRPr="00886D8A">
              <w:t>(</w:t>
            </w:r>
            <w:r w:rsidR="0011024A">
              <w:noBreakHyphen/>
            </w:r>
            <w:r w:rsidRPr="00886D8A">
              <w:t>14.0, 36.67)</w:t>
            </w:r>
          </w:p>
        </w:tc>
        <w:tc>
          <w:tcPr>
            <w:tcW w:w="652" w:type="pct"/>
            <w:tcMar>
              <w:left w:w="20" w:type="dxa"/>
              <w:right w:w="20" w:type="dxa"/>
            </w:tcMar>
          </w:tcPr>
          <w:p w14:paraId="319440B5" w14:textId="77777777" w:rsidR="00EB0321" w:rsidRPr="00886D8A" w:rsidRDefault="00EB0321" w:rsidP="004E36D3">
            <w:pPr>
              <w:pStyle w:val="TableText0"/>
              <w:jc w:val="center"/>
            </w:pPr>
            <w:r w:rsidRPr="00886D8A">
              <w:t>8.0</w:t>
            </w:r>
          </w:p>
          <w:p w14:paraId="1F832A03" w14:textId="5AA024BE" w:rsidR="00EB0321" w:rsidRPr="00886D8A" w:rsidRDefault="00EB0321" w:rsidP="004E36D3">
            <w:pPr>
              <w:pStyle w:val="TableText0"/>
              <w:jc w:val="center"/>
            </w:pPr>
            <w:r w:rsidRPr="00886D8A">
              <w:t>(</w:t>
            </w:r>
            <w:r w:rsidR="0011024A">
              <w:noBreakHyphen/>
            </w:r>
            <w:r w:rsidRPr="00886D8A">
              <w:t>30.9, 92.00)</w:t>
            </w:r>
          </w:p>
        </w:tc>
      </w:tr>
      <w:tr w:rsidR="00EB0321" w:rsidRPr="00886D8A" w14:paraId="6302F164" w14:textId="77777777" w:rsidTr="00F23784">
        <w:trPr>
          <w:trHeight w:val="20"/>
        </w:trPr>
        <w:tc>
          <w:tcPr>
            <w:tcW w:w="5000" w:type="pct"/>
            <w:gridSpan w:val="8"/>
            <w:tcMar>
              <w:left w:w="20" w:type="dxa"/>
              <w:right w:w="20" w:type="dxa"/>
            </w:tcMar>
          </w:tcPr>
          <w:p w14:paraId="4C93F3F6" w14:textId="77777777" w:rsidR="00EB0321" w:rsidRPr="00886D8A" w:rsidRDefault="00EB0321" w:rsidP="004E36D3">
            <w:pPr>
              <w:pStyle w:val="TableText0"/>
              <w:ind w:right="-105"/>
              <w:rPr>
                <w:b/>
                <w:bCs w:val="0"/>
              </w:rPr>
            </w:pPr>
            <w:r w:rsidRPr="00886D8A">
              <w:rPr>
                <w:b/>
                <w:bCs w:val="0"/>
              </w:rPr>
              <w:t>Change in 6MWT (metres) from baseline to last observation</w:t>
            </w:r>
          </w:p>
        </w:tc>
      </w:tr>
      <w:tr w:rsidR="00EB0321" w:rsidRPr="00886D8A" w14:paraId="0D5B938A" w14:textId="77777777" w:rsidTr="002829E9">
        <w:trPr>
          <w:trHeight w:val="20"/>
        </w:trPr>
        <w:tc>
          <w:tcPr>
            <w:tcW w:w="596" w:type="pct"/>
            <w:tcMar>
              <w:left w:w="20" w:type="dxa"/>
              <w:right w:w="20" w:type="dxa"/>
            </w:tcMar>
          </w:tcPr>
          <w:p w14:paraId="02F37F0B" w14:textId="75FFEE16" w:rsidR="00EB0321" w:rsidRPr="00886D8A" w:rsidRDefault="00195FC2" w:rsidP="004E36D3">
            <w:pPr>
              <w:pStyle w:val="TableText0"/>
              <w:ind w:right="-105"/>
            </w:pPr>
            <w:r w:rsidRPr="00886D8A">
              <w:t>N</w:t>
            </w:r>
          </w:p>
        </w:tc>
        <w:tc>
          <w:tcPr>
            <w:tcW w:w="599" w:type="pct"/>
            <w:tcMar>
              <w:left w:w="20" w:type="dxa"/>
              <w:right w:w="20" w:type="dxa"/>
            </w:tcMar>
          </w:tcPr>
          <w:p w14:paraId="525D8A2F" w14:textId="77777777" w:rsidR="00EB0321" w:rsidRPr="00886D8A" w:rsidRDefault="00EB0321" w:rsidP="004E36D3">
            <w:pPr>
              <w:pStyle w:val="TableText0"/>
              <w:jc w:val="center"/>
            </w:pPr>
            <w:r w:rsidRPr="00886D8A">
              <w:t>33</w:t>
            </w:r>
          </w:p>
        </w:tc>
        <w:tc>
          <w:tcPr>
            <w:tcW w:w="599" w:type="pct"/>
            <w:tcMar>
              <w:left w:w="20" w:type="dxa"/>
              <w:right w:w="20" w:type="dxa"/>
            </w:tcMar>
          </w:tcPr>
          <w:p w14:paraId="698B07F6" w14:textId="77777777" w:rsidR="00EB0321" w:rsidRPr="00886D8A" w:rsidRDefault="00EB0321" w:rsidP="004E36D3">
            <w:pPr>
              <w:pStyle w:val="TableText0"/>
              <w:jc w:val="center"/>
            </w:pPr>
            <w:r w:rsidRPr="00886D8A">
              <w:t>33</w:t>
            </w:r>
          </w:p>
        </w:tc>
        <w:tc>
          <w:tcPr>
            <w:tcW w:w="665" w:type="pct"/>
            <w:tcMar>
              <w:left w:w="20" w:type="dxa"/>
              <w:right w:w="20" w:type="dxa"/>
            </w:tcMar>
          </w:tcPr>
          <w:p w14:paraId="15BD65E0" w14:textId="77777777" w:rsidR="00EB0321" w:rsidRPr="00886D8A" w:rsidRDefault="00EB0321" w:rsidP="004E36D3">
            <w:pPr>
              <w:pStyle w:val="TableText0"/>
              <w:jc w:val="center"/>
            </w:pPr>
            <w:r w:rsidRPr="00886D8A">
              <w:t>33</w:t>
            </w:r>
          </w:p>
        </w:tc>
        <w:tc>
          <w:tcPr>
            <w:tcW w:w="666" w:type="pct"/>
            <w:tcMar>
              <w:left w:w="20" w:type="dxa"/>
              <w:right w:w="20" w:type="dxa"/>
            </w:tcMar>
          </w:tcPr>
          <w:p w14:paraId="1DF9FF5E" w14:textId="77777777" w:rsidR="00EB0321" w:rsidRPr="00886D8A" w:rsidRDefault="00EB0321" w:rsidP="004E36D3">
            <w:pPr>
              <w:pStyle w:val="TableText0"/>
              <w:jc w:val="center"/>
            </w:pPr>
            <w:r w:rsidRPr="00886D8A">
              <w:t>33</w:t>
            </w:r>
          </w:p>
        </w:tc>
        <w:tc>
          <w:tcPr>
            <w:tcW w:w="598" w:type="pct"/>
            <w:tcMar>
              <w:left w:w="20" w:type="dxa"/>
              <w:right w:w="20" w:type="dxa"/>
            </w:tcMar>
          </w:tcPr>
          <w:p w14:paraId="1AC68D72" w14:textId="77777777" w:rsidR="00EB0321" w:rsidRPr="00886D8A" w:rsidRDefault="00EB0321" w:rsidP="004E36D3">
            <w:pPr>
              <w:pStyle w:val="TableText0"/>
              <w:jc w:val="center"/>
            </w:pPr>
            <w:r w:rsidRPr="00886D8A">
              <w:t>33</w:t>
            </w:r>
          </w:p>
        </w:tc>
        <w:tc>
          <w:tcPr>
            <w:tcW w:w="625" w:type="pct"/>
            <w:tcMar>
              <w:left w:w="20" w:type="dxa"/>
              <w:right w:w="20" w:type="dxa"/>
            </w:tcMar>
          </w:tcPr>
          <w:p w14:paraId="4E2D0F27" w14:textId="77777777" w:rsidR="00EB0321" w:rsidRPr="00886D8A" w:rsidRDefault="00EB0321" w:rsidP="004E36D3">
            <w:pPr>
              <w:pStyle w:val="TableText0"/>
              <w:jc w:val="center"/>
            </w:pPr>
            <w:r w:rsidRPr="00886D8A">
              <w:t>33</w:t>
            </w:r>
          </w:p>
        </w:tc>
        <w:tc>
          <w:tcPr>
            <w:tcW w:w="652" w:type="pct"/>
            <w:tcMar>
              <w:left w:w="20" w:type="dxa"/>
              <w:right w:w="20" w:type="dxa"/>
            </w:tcMar>
          </w:tcPr>
          <w:p w14:paraId="31AB229C" w14:textId="77777777" w:rsidR="00EB0321" w:rsidRPr="00886D8A" w:rsidRDefault="00EB0321" w:rsidP="004E36D3">
            <w:pPr>
              <w:pStyle w:val="TableText0"/>
              <w:jc w:val="center"/>
            </w:pPr>
            <w:r w:rsidRPr="00886D8A">
              <w:t>33</w:t>
            </w:r>
          </w:p>
        </w:tc>
      </w:tr>
      <w:tr w:rsidR="00EB0321" w:rsidRPr="00886D8A" w14:paraId="6A592CBA" w14:textId="77777777" w:rsidTr="002829E9">
        <w:trPr>
          <w:trHeight w:val="20"/>
        </w:trPr>
        <w:tc>
          <w:tcPr>
            <w:tcW w:w="596" w:type="pct"/>
            <w:tcMar>
              <w:left w:w="20" w:type="dxa"/>
              <w:right w:w="20" w:type="dxa"/>
            </w:tcMar>
          </w:tcPr>
          <w:p w14:paraId="0D37D8F2" w14:textId="77777777" w:rsidR="00EB0321" w:rsidRPr="00886D8A" w:rsidRDefault="00EB0321" w:rsidP="004E36D3">
            <w:pPr>
              <w:pStyle w:val="TableText0"/>
              <w:ind w:right="-105"/>
            </w:pPr>
            <w:r w:rsidRPr="00886D8A">
              <w:t>Mean (SD)</w:t>
            </w:r>
          </w:p>
        </w:tc>
        <w:tc>
          <w:tcPr>
            <w:tcW w:w="599" w:type="pct"/>
            <w:tcMar>
              <w:left w:w="20" w:type="dxa"/>
              <w:right w:w="20" w:type="dxa"/>
            </w:tcMar>
          </w:tcPr>
          <w:p w14:paraId="328A7E27" w14:textId="77777777" w:rsidR="00EB0321" w:rsidRPr="00886D8A" w:rsidRDefault="00EB0321" w:rsidP="004E36D3">
            <w:pPr>
              <w:pStyle w:val="TableText0"/>
              <w:jc w:val="center"/>
            </w:pPr>
            <w:r w:rsidRPr="00886D8A">
              <w:t>466.6 (90.1)</w:t>
            </w:r>
          </w:p>
        </w:tc>
        <w:tc>
          <w:tcPr>
            <w:tcW w:w="599" w:type="pct"/>
            <w:tcMar>
              <w:left w:w="20" w:type="dxa"/>
              <w:right w:w="20" w:type="dxa"/>
            </w:tcMar>
          </w:tcPr>
          <w:p w14:paraId="248E52DA" w14:textId="434460BB" w:rsidR="00EB0321" w:rsidRPr="00886D8A" w:rsidRDefault="00EB0321" w:rsidP="004E36D3">
            <w:pPr>
              <w:pStyle w:val="TableText0"/>
              <w:jc w:val="center"/>
            </w:pPr>
            <w:r w:rsidRPr="00886D8A">
              <w:t>489.0</w:t>
            </w:r>
            <w:r w:rsidR="00F23784" w:rsidRPr="00886D8A">
              <w:t xml:space="preserve"> </w:t>
            </w:r>
            <w:r w:rsidRPr="00886D8A">
              <w:t>(85.7)</w:t>
            </w:r>
          </w:p>
        </w:tc>
        <w:tc>
          <w:tcPr>
            <w:tcW w:w="665" w:type="pct"/>
            <w:tcMar>
              <w:left w:w="20" w:type="dxa"/>
              <w:right w:w="20" w:type="dxa"/>
            </w:tcMar>
          </w:tcPr>
          <w:p w14:paraId="2E703708" w14:textId="2B246B42" w:rsidR="00EB0321" w:rsidRPr="00886D8A" w:rsidRDefault="00EB0321" w:rsidP="004E36D3">
            <w:pPr>
              <w:pStyle w:val="TableText0"/>
              <w:jc w:val="center"/>
            </w:pPr>
            <w:r w:rsidRPr="00886D8A">
              <w:t>22.4</w:t>
            </w:r>
            <w:r w:rsidR="00F23784" w:rsidRPr="00886D8A">
              <w:t xml:space="preserve"> </w:t>
            </w:r>
            <w:r w:rsidRPr="00886D8A">
              <w:t>(63.2)</w:t>
            </w:r>
          </w:p>
        </w:tc>
        <w:tc>
          <w:tcPr>
            <w:tcW w:w="666" w:type="pct"/>
            <w:tcMar>
              <w:left w:w="20" w:type="dxa"/>
              <w:right w:w="20" w:type="dxa"/>
            </w:tcMar>
          </w:tcPr>
          <w:p w14:paraId="5BC51E71" w14:textId="43FC9619" w:rsidR="00EB0321" w:rsidRPr="00886D8A" w:rsidRDefault="00EB0321" w:rsidP="004E36D3">
            <w:pPr>
              <w:pStyle w:val="TableText0"/>
              <w:jc w:val="center"/>
            </w:pPr>
            <w:r w:rsidRPr="00886D8A">
              <w:t>7.1</w:t>
            </w:r>
            <w:r w:rsidR="00F23784" w:rsidRPr="00886D8A">
              <w:t xml:space="preserve"> </w:t>
            </w:r>
            <w:r w:rsidRPr="00886D8A">
              <w:t>(22.0)</w:t>
            </w:r>
          </w:p>
        </w:tc>
        <w:tc>
          <w:tcPr>
            <w:tcW w:w="598" w:type="pct"/>
            <w:tcMar>
              <w:left w:w="20" w:type="dxa"/>
              <w:right w:w="20" w:type="dxa"/>
            </w:tcMar>
          </w:tcPr>
          <w:p w14:paraId="58C904EB" w14:textId="056DDE50" w:rsidR="00EB0321" w:rsidRPr="00886D8A" w:rsidRDefault="00EB0321" w:rsidP="004E36D3">
            <w:pPr>
              <w:pStyle w:val="TableText0"/>
              <w:jc w:val="center"/>
            </w:pPr>
            <w:r w:rsidRPr="00886D8A">
              <w:t>475.6 (98.2)</w:t>
            </w:r>
          </w:p>
        </w:tc>
        <w:tc>
          <w:tcPr>
            <w:tcW w:w="625" w:type="pct"/>
            <w:tcMar>
              <w:left w:w="20" w:type="dxa"/>
              <w:right w:w="20" w:type="dxa"/>
            </w:tcMar>
          </w:tcPr>
          <w:p w14:paraId="3BECAB58" w14:textId="7750B425" w:rsidR="00EB0321" w:rsidRPr="00886D8A" w:rsidRDefault="7C221114" w:rsidP="004E36D3">
            <w:pPr>
              <w:pStyle w:val="TableText0"/>
              <w:jc w:val="center"/>
            </w:pPr>
            <w:r w:rsidRPr="00886D8A">
              <w:t xml:space="preserve"> 9.0</w:t>
            </w:r>
            <w:r w:rsidR="00F23784" w:rsidRPr="00886D8A">
              <w:t xml:space="preserve"> </w:t>
            </w:r>
            <w:r w:rsidRPr="00886D8A">
              <w:t>(74.9)</w:t>
            </w:r>
          </w:p>
        </w:tc>
        <w:tc>
          <w:tcPr>
            <w:tcW w:w="652" w:type="pct"/>
            <w:tcMar>
              <w:left w:w="20" w:type="dxa"/>
              <w:right w:w="20" w:type="dxa"/>
            </w:tcMar>
          </w:tcPr>
          <w:p w14:paraId="2CFFBF43" w14:textId="3D9CB650" w:rsidR="00EB0321" w:rsidRPr="00886D8A" w:rsidRDefault="70052904" w:rsidP="004E36D3">
            <w:pPr>
              <w:pStyle w:val="TableText0"/>
              <w:jc w:val="center"/>
            </w:pPr>
            <w:r w:rsidRPr="00886D8A">
              <w:t>3.7</w:t>
            </w:r>
            <w:r w:rsidR="00F23784" w:rsidRPr="00886D8A">
              <w:t xml:space="preserve"> </w:t>
            </w:r>
            <w:r w:rsidRPr="00886D8A">
              <w:t>(20.6)</w:t>
            </w:r>
          </w:p>
        </w:tc>
      </w:tr>
      <w:tr w:rsidR="00EB0321" w:rsidRPr="00886D8A" w14:paraId="64D45176" w14:textId="77777777" w:rsidTr="002829E9">
        <w:trPr>
          <w:trHeight w:val="20"/>
        </w:trPr>
        <w:tc>
          <w:tcPr>
            <w:tcW w:w="596" w:type="pct"/>
            <w:tcMar>
              <w:left w:w="20" w:type="dxa"/>
              <w:right w:w="20" w:type="dxa"/>
            </w:tcMar>
          </w:tcPr>
          <w:p w14:paraId="7A15DA88" w14:textId="03C51CEF" w:rsidR="00EB0321" w:rsidRPr="00886D8A" w:rsidRDefault="00EB0321" w:rsidP="004E36D3">
            <w:pPr>
              <w:pStyle w:val="TableText0"/>
              <w:ind w:right="-105"/>
            </w:pPr>
            <w:r w:rsidRPr="00886D8A">
              <w:t xml:space="preserve">Median </w:t>
            </w:r>
            <w:r w:rsidR="00B51CD2" w:rsidRPr="00886D8A">
              <w:br/>
            </w:r>
            <w:r w:rsidRPr="00886D8A">
              <w:t>(min, max)</w:t>
            </w:r>
          </w:p>
        </w:tc>
        <w:tc>
          <w:tcPr>
            <w:tcW w:w="599" w:type="pct"/>
            <w:tcMar>
              <w:left w:w="20" w:type="dxa"/>
              <w:right w:w="20" w:type="dxa"/>
            </w:tcMar>
          </w:tcPr>
          <w:p w14:paraId="336D9EC6" w14:textId="77777777" w:rsidR="00EB0321" w:rsidRPr="00886D8A" w:rsidRDefault="00EB0321" w:rsidP="004E36D3">
            <w:pPr>
              <w:pStyle w:val="TableText0"/>
              <w:jc w:val="center"/>
            </w:pPr>
            <w:r w:rsidRPr="00886D8A">
              <w:t>454.0</w:t>
            </w:r>
          </w:p>
          <w:p w14:paraId="0F70E614" w14:textId="77777777" w:rsidR="00EB0321" w:rsidRPr="00886D8A" w:rsidRDefault="00EB0321" w:rsidP="004E36D3">
            <w:pPr>
              <w:pStyle w:val="TableText0"/>
              <w:jc w:val="center"/>
            </w:pPr>
            <w:r w:rsidRPr="00886D8A">
              <w:t>(180, 690)</w:t>
            </w:r>
          </w:p>
        </w:tc>
        <w:tc>
          <w:tcPr>
            <w:tcW w:w="599" w:type="pct"/>
            <w:tcMar>
              <w:left w:w="20" w:type="dxa"/>
              <w:right w:w="20" w:type="dxa"/>
            </w:tcMar>
          </w:tcPr>
          <w:p w14:paraId="79374010" w14:textId="77777777" w:rsidR="00EB0321" w:rsidRPr="00886D8A" w:rsidRDefault="00EB0321" w:rsidP="004E36D3">
            <w:pPr>
              <w:pStyle w:val="TableText0"/>
              <w:jc w:val="center"/>
            </w:pPr>
            <w:r w:rsidRPr="00886D8A">
              <w:t>468.0</w:t>
            </w:r>
          </w:p>
          <w:p w14:paraId="57A1ABDC" w14:textId="77777777" w:rsidR="00EB0321" w:rsidRPr="00886D8A" w:rsidRDefault="00EB0321" w:rsidP="004E36D3">
            <w:pPr>
              <w:pStyle w:val="TableText0"/>
              <w:jc w:val="center"/>
            </w:pPr>
            <w:r w:rsidRPr="00886D8A">
              <w:t>(335, 659)</w:t>
            </w:r>
          </w:p>
        </w:tc>
        <w:tc>
          <w:tcPr>
            <w:tcW w:w="665" w:type="pct"/>
            <w:tcMar>
              <w:left w:w="20" w:type="dxa"/>
              <w:right w:w="20" w:type="dxa"/>
            </w:tcMar>
          </w:tcPr>
          <w:p w14:paraId="704AEF1C" w14:textId="77777777" w:rsidR="00EB0321" w:rsidRPr="00886D8A" w:rsidRDefault="00EB0321" w:rsidP="004E36D3">
            <w:pPr>
              <w:pStyle w:val="TableText0"/>
              <w:jc w:val="center"/>
            </w:pPr>
            <w:r w:rsidRPr="00886D8A">
              <w:t>24.0</w:t>
            </w:r>
          </w:p>
          <w:p w14:paraId="05C3FD5C" w14:textId="5B732986" w:rsidR="00EB0321" w:rsidRPr="00886D8A" w:rsidRDefault="00EB0321" w:rsidP="004E36D3">
            <w:pPr>
              <w:pStyle w:val="TableText0"/>
              <w:jc w:val="center"/>
            </w:pPr>
            <w:r w:rsidRPr="00886D8A">
              <w:t>(</w:t>
            </w:r>
            <w:r w:rsidR="0011024A">
              <w:noBreakHyphen/>
            </w:r>
            <w:r w:rsidRPr="00886D8A">
              <w:t>87, 198)</w:t>
            </w:r>
          </w:p>
        </w:tc>
        <w:tc>
          <w:tcPr>
            <w:tcW w:w="666" w:type="pct"/>
            <w:tcMar>
              <w:left w:w="20" w:type="dxa"/>
              <w:right w:w="20" w:type="dxa"/>
            </w:tcMar>
          </w:tcPr>
          <w:p w14:paraId="4ADB7362" w14:textId="77777777" w:rsidR="00EB0321" w:rsidRPr="00886D8A" w:rsidRDefault="00EB0321" w:rsidP="004E36D3">
            <w:pPr>
              <w:pStyle w:val="TableText0"/>
              <w:jc w:val="center"/>
            </w:pPr>
            <w:r w:rsidRPr="00886D8A">
              <w:t>5.9</w:t>
            </w:r>
          </w:p>
          <w:p w14:paraId="5FE662F2" w14:textId="433265F4" w:rsidR="00EB0321" w:rsidRPr="00886D8A" w:rsidRDefault="00EB0321" w:rsidP="004E36D3">
            <w:pPr>
              <w:pStyle w:val="TableText0"/>
              <w:jc w:val="center"/>
            </w:pPr>
            <w:r w:rsidRPr="00886D8A">
              <w:t>(</w:t>
            </w:r>
            <w:r w:rsidR="0011024A">
              <w:noBreakHyphen/>
            </w:r>
            <w:r w:rsidRPr="00886D8A">
              <w:t>21, 110)</w:t>
            </w:r>
          </w:p>
        </w:tc>
        <w:tc>
          <w:tcPr>
            <w:tcW w:w="598" w:type="pct"/>
            <w:tcMar>
              <w:left w:w="20" w:type="dxa"/>
              <w:right w:w="20" w:type="dxa"/>
            </w:tcMar>
          </w:tcPr>
          <w:p w14:paraId="246ED0C8" w14:textId="77777777" w:rsidR="00EB0321" w:rsidRPr="00886D8A" w:rsidRDefault="00EB0321" w:rsidP="004E36D3">
            <w:pPr>
              <w:pStyle w:val="TableText0"/>
              <w:jc w:val="center"/>
            </w:pPr>
            <w:r w:rsidRPr="00886D8A">
              <w:t xml:space="preserve">468.0 </w:t>
            </w:r>
          </w:p>
          <w:p w14:paraId="4A4C4D97" w14:textId="77777777" w:rsidR="00EB0321" w:rsidRPr="00886D8A" w:rsidRDefault="00EB0321" w:rsidP="004E36D3">
            <w:pPr>
              <w:pStyle w:val="TableText0"/>
              <w:jc w:val="center"/>
            </w:pPr>
            <w:r w:rsidRPr="00886D8A">
              <w:t>(228, 652)</w:t>
            </w:r>
          </w:p>
        </w:tc>
        <w:tc>
          <w:tcPr>
            <w:tcW w:w="625" w:type="pct"/>
            <w:tcMar>
              <w:left w:w="20" w:type="dxa"/>
              <w:right w:w="20" w:type="dxa"/>
            </w:tcMar>
          </w:tcPr>
          <w:p w14:paraId="3D1A2D89" w14:textId="3ED7EF23" w:rsidR="00EB0321" w:rsidRPr="00886D8A" w:rsidRDefault="3DE9A60B" w:rsidP="004E36D3">
            <w:pPr>
              <w:pStyle w:val="TableText0"/>
              <w:jc w:val="center"/>
            </w:pPr>
            <w:r w:rsidRPr="00886D8A">
              <w:t xml:space="preserve"> 5.0</w:t>
            </w:r>
          </w:p>
          <w:p w14:paraId="59893E18" w14:textId="24B48690" w:rsidR="00EB0321" w:rsidRPr="00886D8A" w:rsidRDefault="3DE9A60B" w:rsidP="004E36D3">
            <w:pPr>
              <w:pStyle w:val="TableText0"/>
              <w:jc w:val="center"/>
            </w:pPr>
            <w:r w:rsidRPr="00886D8A">
              <w:t>(</w:t>
            </w:r>
            <w:r w:rsidR="0011024A">
              <w:noBreakHyphen/>
            </w:r>
            <w:r w:rsidRPr="00886D8A">
              <w:t>194, 177)</w:t>
            </w:r>
          </w:p>
        </w:tc>
        <w:tc>
          <w:tcPr>
            <w:tcW w:w="652" w:type="pct"/>
            <w:tcMar>
              <w:left w:w="20" w:type="dxa"/>
              <w:right w:w="20" w:type="dxa"/>
            </w:tcMar>
          </w:tcPr>
          <w:p w14:paraId="18FEB940" w14:textId="06F4A614" w:rsidR="00EB0321" w:rsidRPr="00886D8A" w:rsidRDefault="15ADDC89" w:rsidP="004E36D3">
            <w:pPr>
              <w:pStyle w:val="TableText0"/>
              <w:jc w:val="center"/>
            </w:pPr>
            <w:r w:rsidRPr="00886D8A">
              <w:t xml:space="preserve"> 0.8</w:t>
            </w:r>
          </w:p>
          <w:p w14:paraId="426CD92C" w14:textId="23C7EA89" w:rsidR="00EB0321" w:rsidRPr="00886D8A" w:rsidRDefault="15ADDC89" w:rsidP="004E36D3">
            <w:pPr>
              <w:pStyle w:val="TableText0"/>
              <w:jc w:val="center"/>
            </w:pPr>
            <w:r w:rsidRPr="00886D8A">
              <w:t>(</w:t>
            </w:r>
            <w:r w:rsidR="0011024A">
              <w:noBreakHyphen/>
            </w:r>
            <w:r w:rsidRPr="00886D8A">
              <w:t>46, 73)</w:t>
            </w:r>
          </w:p>
        </w:tc>
      </w:tr>
      <w:tr w:rsidR="00EB0321" w:rsidRPr="00886D8A" w14:paraId="5BFD783A" w14:textId="77777777" w:rsidTr="00F23784">
        <w:trPr>
          <w:trHeight w:val="20"/>
        </w:trPr>
        <w:tc>
          <w:tcPr>
            <w:tcW w:w="5000" w:type="pct"/>
            <w:gridSpan w:val="8"/>
            <w:tcMar>
              <w:left w:w="20" w:type="dxa"/>
              <w:right w:w="20" w:type="dxa"/>
            </w:tcMar>
          </w:tcPr>
          <w:p w14:paraId="4046176D" w14:textId="77777777" w:rsidR="00EB0321" w:rsidRPr="00886D8A" w:rsidRDefault="00EB0321" w:rsidP="004E36D3">
            <w:pPr>
              <w:pStyle w:val="TableText0"/>
              <w:ind w:right="-105"/>
              <w:rPr>
                <w:b/>
                <w:bCs w:val="0"/>
              </w:rPr>
            </w:pPr>
            <w:r w:rsidRPr="00886D8A">
              <w:rPr>
                <w:b/>
                <w:bCs w:val="0"/>
              </w:rPr>
              <w:t>Change in FVC (% predicted) from baseline to last observation</w:t>
            </w:r>
          </w:p>
        </w:tc>
      </w:tr>
      <w:tr w:rsidR="00EB0321" w:rsidRPr="00886D8A" w14:paraId="539C65C8" w14:textId="77777777" w:rsidTr="002829E9">
        <w:trPr>
          <w:trHeight w:val="20"/>
        </w:trPr>
        <w:tc>
          <w:tcPr>
            <w:tcW w:w="596" w:type="pct"/>
            <w:tcMar>
              <w:left w:w="20" w:type="dxa"/>
              <w:right w:w="20" w:type="dxa"/>
            </w:tcMar>
          </w:tcPr>
          <w:p w14:paraId="25FA3BCA" w14:textId="05BEEC30" w:rsidR="00EB0321" w:rsidRPr="00886D8A" w:rsidRDefault="00195FC2" w:rsidP="004E36D3">
            <w:pPr>
              <w:pStyle w:val="TableText0"/>
              <w:ind w:right="-105"/>
            </w:pPr>
            <w:r w:rsidRPr="00886D8A">
              <w:t>N</w:t>
            </w:r>
          </w:p>
        </w:tc>
        <w:tc>
          <w:tcPr>
            <w:tcW w:w="599" w:type="pct"/>
            <w:tcMar>
              <w:left w:w="20" w:type="dxa"/>
              <w:right w:w="20" w:type="dxa"/>
            </w:tcMar>
          </w:tcPr>
          <w:p w14:paraId="0BD46B62" w14:textId="77777777" w:rsidR="00EB0321" w:rsidRPr="00886D8A" w:rsidRDefault="00EB0321" w:rsidP="004E36D3">
            <w:pPr>
              <w:pStyle w:val="TableText0"/>
              <w:jc w:val="center"/>
            </w:pPr>
            <w:r w:rsidRPr="00886D8A">
              <w:t>29</w:t>
            </w:r>
          </w:p>
        </w:tc>
        <w:tc>
          <w:tcPr>
            <w:tcW w:w="599" w:type="pct"/>
            <w:tcMar>
              <w:left w:w="20" w:type="dxa"/>
              <w:right w:w="20" w:type="dxa"/>
            </w:tcMar>
          </w:tcPr>
          <w:p w14:paraId="6F284E83" w14:textId="77777777" w:rsidR="00EB0321" w:rsidRPr="00886D8A" w:rsidRDefault="00EB0321" w:rsidP="004E36D3">
            <w:pPr>
              <w:pStyle w:val="TableText0"/>
              <w:jc w:val="center"/>
            </w:pPr>
            <w:r w:rsidRPr="00886D8A">
              <w:t>31</w:t>
            </w:r>
          </w:p>
        </w:tc>
        <w:tc>
          <w:tcPr>
            <w:tcW w:w="665" w:type="pct"/>
            <w:tcMar>
              <w:left w:w="20" w:type="dxa"/>
              <w:right w:w="20" w:type="dxa"/>
            </w:tcMar>
          </w:tcPr>
          <w:p w14:paraId="7858F577" w14:textId="77777777" w:rsidR="00EB0321" w:rsidRPr="00886D8A" w:rsidRDefault="00EB0321" w:rsidP="004E36D3">
            <w:pPr>
              <w:pStyle w:val="TableText0"/>
              <w:jc w:val="center"/>
            </w:pPr>
            <w:r w:rsidRPr="00886D8A">
              <w:t>29</w:t>
            </w:r>
          </w:p>
        </w:tc>
        <w:tc>
          <w:tcPr>
            <w:tcW w:w="666" w:type="pct"/>
            <w:tcMar>
              <w:left w:w="20" w:type="dxa"/>
              <w:right w:w="20" w:type="dxa"/>
            </w:tcMar>
          </w:tcPr>
          <w:p w14:paraId="07CDDC6E" w14:textId="77777777" w:rsidR="00EB0321" w:rsidRPr="00886D8A" w:rsidRDefault="00EB0321" w:rsidP="004E36D3">
            <w:pPr>
              <w:pStyle w:val="TableText0"/>
              <w:jc w:val="center"/>
            </w:pPr>
            <w:r w:rsidRPr="00886D8A">
              <w:t>29</w:t>
            </w:r>
          </w:p>
        </w:tc>
        <w:tc>
          <w:tcPr>
            <w:tcW w:w="598" w:type="pct"/>
            <w:tcMar>
              <w:left w:w="20" w:type="dxa"/>
              <w:right w:w="20" w:type="dxa"/>
            </w:tcMar>
          </w:tcPr>
          <w:p w14:paraId="7F8E27B9" w14:textId="77777777" w:rsidR="00EB0321" w:rsidRPr="00886D8A" w:rsidRDefault="00EB0321" w:rsidP="004E36D3">
            <w:pPr>
              <w:pStyle w:val="TableText0"/>
              <w:jc w:val="center"/>
            </w:pPr>
            <w:r w:rsidRPr="00886D8A">
              <w:t>32</w:t>
            </w:r>
          </w:p>
        </w:tc>
        <w:tc>
          <w:tcPr>
            <w:tcW w:w="625" w:type="pct"/>
            <w:tcMar>
              <w:left w:w="20" w:type="dxa"/>
              <w:right w:w="20" w:type="dxa"/>
            </w:tcMar>
          </w:tcPr>
          <w:p w14:paraId="0B96D427" w14:textId="77777777" w:rsidR="00EB0321" w:rsidRPr="00886D8A" w:rsidRDefault="00EB0321" w:rsidP="004E36D3">
            <w:pPr>
              <w:pStyle w:val="TableText0"/>
              <w:jc w:val="center"/>
            </w:pPr>
            <w:r w:rsidRPr="00886D8A">
              <w:t>29</w:t>
            </w:r>
          </w:p>
        </w:tc>
        <w:tc>
          <w:tcPr>
            <w:tcW w:w="652" w:type="pct"/>
            <w:tcMar>
              <w:left w:w="20" w:type="dxa"/>
              <w:right w:w="20" w:type="dxa"/>
            </w:tcMar>
          </w:tcPr>
          <w:p w14:paraId="34559E08" w14:textId="77777777" w:rsidR="00EB0321" w:rsidRPr="00886D8A" w:rsidRDefault="00EB0321" w:rsidP="004E36D3">
            <w:pPr>
              <w:pStyle w:val="TableText0"/>
              <w:jc w:val="center"/>
            </w:pPr>
            <w:r w:rsidRPr="00886D8A">
              <w:t>29</w:t>
            </w:r>
          </w:p>
        </w:tc>
      </w:tr>
      <w:tr w:rsidR="00EB0321" w:rsidRPr="00886D8A" w14:paraId="3F1D94A2" w14:textId="77777777" w:rsidTr="002829E9">
        <w:trPr>
          <w:trHeight w:val="20"/>
        </w:trPr>
        <w:tc>
          <w:tcPr>
            <w:tcW w:w="596" w:type="pct"/>
            <w:tcMar>
              <w:left w:w="20" w:type="dxa"/>
              <w:right w:w="20" w:type="dxa"/>
            </w:tcMar>
          </w:tcPr>
          <w:p w14:paraId="31F9916F" w14:textId="77777777" w:rsidR="00EB0321" w:rsidRPr="00886D8A" w:rsidRDefault="00EB0321" w:rsidP="004E36D3">
            <w:pPr>
              <w:pStyle w:val="TableText0"/>
              <w:ind w:right="-105"/>
            </w:pPr>
            <w:r w:rsidRPr="00886D8A">
              <w:t>Mean (SD)</w:t>
            </w:r>
          </w:p>
        </w:tc>
        <w:tc>
          <w:tcPr>
            <w:tcW w:w="599" w:type="pct"/>
            <w:tcMar>
              <w:left w:w="20" w:type="dxa"/>
              <w:right w:w="20" w:type="dxa"/>
            </w:tcMar>
          </w:tcPr>
          <w:p w14:paraId="4E4D18C1" w14:textId="77777777" w:rsidR="00EB0321" w:rsidRPr="00886D8A" w:rsidRDefault="00EB0321" w:rsidP="004E36D3">
            <w:pPr>
              <w:pStyle w:val="TableText0"/>
              <w:jc w:val="center"/>
            </w:pPr>
            <w:r w:rsidRPr="00886D8A">
              <w:t>84.9 (18.6)</w:t>
            </w:r>
          </w:p>
        </w:tc>
        <w:tc>
          <w:tcPr>
            <w:tcW w:w="599" w:type="pct"/>
            <w:tcMar>
              <w:left w:w="20" w:type="dxa"/>
              <w:right w:w="20" w:type="dxa"/>
            </w:tcMar>
          </w:tcPr>
          <w:p w14:paraId="7EBB7E40" w14:textId="77777777" w:rsidR="00EB0321" w:rsidRPr="00886D8A" w:rsidRDefault="00EB0321" w:rsidP="004E36D3">
            <w:pPr>
              <w:pStyle w:val="TableText0"/>
              <w:jc w:val="center"/>
            </w:pPr>
            <w:r w:rsidRPr="00886D8A">
              <w:t>93.1 (21.7)</w:t>
            </w:r>
          </w:p>
        </w:tc>
        <w:tc>
          <w:tcPr>
            <w:tcW w:w="665" w:type="pct"/>
            <w:tcMar>
              <w:left w:w="20" w:type="dxa"/>
              <w:right w:w="20" w:type="dxa"/>
            </w:tcMar>
          </w:tcPr>
          <w:p w14:paraId="79E74ACB" w14:textId="77777777" w:rsidR="00EB0321" w:rsidRPr="00886D8A" w:rsidRDefault="00EB0321" w:rsidP="004E36D3">
            <w:pPr>
              <w:pStyle w:val="TableText0"/>
              <w:jc w:val="center"/>
              <w:rPr>
                <w:b/>
                <w:bCs w:val="0"/>
              </w:rPr>
            </w:pPr>
            <w:r w:rsidRPr="00886D8A">
              <w:rPr>
                <w:b/>
                <w:bCs w:val="0"/>
              </w:rPr>
              <w:t>8.1 (14.8)</w:t>
            </w:r>
          </w:p>
        </w:tc>
        <w:tc>
          <w:tcPr>
            <w:tcW w:w="666" w:type="pct"/>
            <w:tcMar>
              <w:left w:w="20" w:type="dxa"/>
              <w:right w:w="20" w:type="dxa"/>
            </w:tcMar>
          </w:tcPr>
          <w:p w14:paraId="392D3D2A" w14:textId="629A8BE5" w:rsidR="00EB0321" w:rsidRPr="00886D8A" w:rsidRDefault="00EB0321" w:rsidP="004E36D3">
            <w:pPr>
              <w:pStyle w:val="TableText0"/>
              <w:jc w:val="center"/>
              <w:rPr>
                <w:b/>
                <w:bCs w:val="0"/>
              </w:rPr>
            </w:pPr>
            <w:r w:rsidRPr="00886D8A">
              <w:rPr>
                <w:b/>
                <w:bCs w:val="0"/>
              </w:rPr>
              <w:t>10.5 (20.9)</w:t>
            </w:r>
          </w:p>
        </w:tc>
        <w:tc>
          <w:tcPr>
            <w:tcW w:w="598" w:type="pct"/>
            <w:tcMar>
              <w:left w:w="20" w:type="dxa"/>
              <w:right w:w="20" w:type="dxa"/>
            </w:tcMar>
          </w:tcPr>
          <w:p w14:paraId="179051FF" w14:textId="77777777" w:rsidR="00EB0321" w:rsidRPr="00886D8A" w:rsidRDefault="00EB0321" w:rsidP="004E36D3">
            <w:pPr>
              <w:pStyle w:val="TableText0"/>
              <w:jc w:val="center"/>
            </w:pPr>
            <w:r w:rsidRPr="00886D8A">
              <w:t>89.1 (20.1)</w:t>
            </w:r>
          </w:p>
        </w:tc>
        <w:tc>
          <w:tcPr>
            <w:tcW w:w="625" w:type="pct"/>
            <w:tcMar>
              <w:left w:w="20" w:type="dxa"/>
              <w:right w:w="20" w:type="dxa"/>
            </w:tcMar>
          </w:tcPr>
          <w:p w14:paraId="16A66008" w14:textId="77777777" w:rsidR="00EB0321" w:rsidRPr="00886D8A" w:rsidRDefault="00EB0321" w:rsidP="004E36D3">
            <w:pPr>
              <w:pStyle w:val="TableText0"/>
              <w:jc w:val="center"/>
            </w:pPr>
            <w:r w:rsidRPr="00886D8A">
              <w:t>4.2 (16.9)</w:t>
            </w:r>
          </w:p>
        </w:tc>
        <w:tc>
          <w:tcPr>
            <w:tcW w:w="652" w:type="pct"/>
            <w:tcMar>
              <w:left w:w="20" w:type="dxa"/>
              <w:right w:w="20" w:type="dxa"/>
            </w:tcMar>
          </w:tcPr>
          <w:p w14:paraId="07BED5D2" w14:textId="77777777" w:rsidR="00EB0321" w:rsidRPr="00886D8A" w:rsidRDefault="00EB0321" w:rsidP="004E36D3">
            <w:pPr>
              <w:pStyle w:val="TableText0"/>
              <w:jc w:val="center"/>
            </w:pPr>
            <w:r w:rsidRPr="00886D8A">
              <w:t>7.0 (24.5)</w:t>
            </w:r>
          </w:p>
        </w:tc>
      </w:tr>
      <w:tr w:rsidR="00EB0321" w:rsidRPr="00886D8A" w14:paraId="5ACE5B97" w14:textId="77777777" w:rsidTr="002829E9">
        <w:trPr>
          <w:trHeight w:val="20"/>
        </w:trPr>
        <w:tc>
          <w:tcPr>
            <w:tcW w:w="596" w:type="pct"/>
            <w:tcMar>
              <w:left w:w="20" w:type="dxa"/>
              <w:right w:w="20" w:type="dxa"/>
            </w:tcMar>
          </w:tcPr>
          <w:p w14:paraId="6CDBDF4B" w14:textId="3BF39FAB" w:rsidR="00EB0321" w:rsidRPr="00886D8A" w:rsidRDefault="00EB0321" w:rsidP="004E36D3">
            <w:pPr>
              <w:pStyle w:val="TableText0"/>
              <w:ind w:right="-105"/>
            </w:pPr>
            <w:r w:rsidRPr="00886D8A">
              <w:t xml:space="preserve">Median </w:t>
            </w:r>
            <w:r w:rsidR="00B51CD2" w:rsidRPr="00886D8A">
              <w:br/>
            </w:r>
            <w:r w:rsidRPr="00886D8A">
              <w:t>(min, max)</w:t>
            </w:r>
          </w:p>
        </w:tc>
        <w:tc>
          <w:tcPr>
            <w:tcW w:w="599" w:type="pct"/>
            <w:tcMar>
              <w:left w:w="20" w:type="dxa"/>
              <w:right w:w="20" w:type="dxa"/>
            </w:tcMar>
          </w:tcPr>
          <w:p w14:paraId="4A123549" w14:textId="77777777" w:rsidR="00EB0321" w:rsidRPr="00886D8A" w:rsidRDefault="00EB0321" w:rsidP="004E36D3">
            <w:pPr>
              <w:pStyle w:val="TableText0"/>
              <w:jc w:val="center"/>
            </w:pPr>
            <w:r w:rsidRPr="00886D8A">
              <w:t>91.0</w:t>
            </w:r>
          </w:p>
          <w:p w14:paraId="379300DF" w14:textId="77777777" w:rsidR="00EB0321" w:rsidRPr="00886D8A" w:rsidRDefault="00EB0321" w:rsidP="004E36D3">
            <w:pPr>
              <w:pStyle w:val="TableText0"/>
              <w:jc w:val="center"/>
            </w:pPr>
            <w:r w:rsidRPr="00886D8A">
              <w:t>(50, 119)</w:t>
            </w:r>
          </w:p>
        </w:tc>
        <w:tc>
          <w:tcPr>
            <w:tcW w:w="599" w:type="pct"/>
            <w:tcMar>
              <w:left w:w="20" w:type="dxa"/>
              <w:right w:w="20" w:type="dxa"/>
            </w:tcMar>
          </w:tcPr>
          <w:p w14:paraId="1D952C34" w14:textId="77777777" w:rsidR="00EB0321" w:rsidRPr="00886D8A" w:rsidRDefault="00EB0321" w:rsidP="004E36D3">
            <w:pPr>
              <w:pStyle w:val="TableText0"/>
              <w:jc w:val="center"/>
            </w:pPr>
            <w:r w:rsidRPr="00886D8A">
              <w:t>95.0</w:t>
            </w:r>
          </w:p>
          <w:p w14:paraId="7ECD7B69" w14:textId="77777777" w:rsidR="00EB0321" w:rsidRPr="00886D8A" w:rsidRDefault="00EB0321" w:rsidP="004E36D3">
            <w:pPr>
              <w:pStyle w:val="TableText0"/>
              <w:jc w:val="center"/>
            </w:pPr>
            <w:r w:rsidRPr="00886D8A">
              <w:t>(35, 130)</w:t>
            </w:r>
          </w:p>
        </w:tc>
        <w:tc>
          <w:tcPr>
            <w:tcW w:w="665" w:type="pct"/>
            <w:tcMar>
              <w:left w:w="20" w:type="dxa"/>
              <w:right w:w="20" w:type="dxa"/>
            </w:tcMar>
          </w:tcPr>
          <w:p w14:paraId="2C047803" w14:textId="77777777" w:rsidR="00EB0321" w:rsidRPr="00886D8A" w:rsidRDefault="00EB0321" w:rsidP="004E36D3">
            <w:pPr>
              <w:pStyle w:val="TableText0"/>
              <w:jc w:val="center"/>
            </w:pPr>
            <w:r w:rsidRPr="00886D8A">
              <w:t>7.0</w:t>
            </w:r>
          </w:p>
          <w:p w14:paraId="427CD126" w14:textId="2BA61FEC" w:rsidR="00EB0321" w:rsidRPr="00886D8A" w:rsidRDefault="00EB0321" w:rsidP="004E36D3">
            <w:pPr>
              <w:pStyle w:val="TableText0"/>
              <w:jc w:val="center"/>
            </w:pPr>
            <w:r w:rsidRPr="00886D8A">
              <w:t>(</w:t>
            </w:r>
            <w:r w:rsidR="0011024A">
              <w:noBreakHyphen/>
            </w:r>
            <w:r w:rsidRPr="00886D8A">
              <w:t>17, 43)</w:t>
            </w:r>
          </w:p>
        </w:tc>
        <w:tc>
          <w:tcPr>
            <w:tcW w:w="666" w:type="pct"/>
            <w:tcMar>
              <w:left w:w="20" w:type="dxa"/>
              <w:right w:w="20" w:type="dxa"/>
            </w:tcMar>
          </w:tcPr>
          <w:p w14:paraId="49707246" w14:textId="77777777" w:rsidR="00EB0321" w:rsidRPr="00886D8A" w:rsidRDefault="00EB0321" w:rsidP="004E36D3">
            <w:pPr>
              <w:pStyle w:val="TableText0"/>
              <w:jc w:val="center"/>
            </w:pPr>
            <w:r w:rsidRPr="00886D8A">
              <w:t>7.2</w:t>
            </w:r>
          </w:p>
          <w:p w14:paraId="79DCCE9A" w14:textId="2B39D815" w:rsidR="00EB0321" w:rsidRPr="00886D8A" w:rsidRDefault="00EB0321" w:rsidP="004E36D3">
            <w:pPr>
              <w:pStyle w:val="TableText0"/>
              <w:jc w:val="center"/>
            </w:pPr>
            <w:r w:rsidRPr="00886D8A">
              <w:t>(</w:t>
            </w:r>
            <w:r w:rsidR="0011024A">
              <w:noBreakHyphen/>
            </w:r>
            <w:r w:rsidRPr="00886D8A">
              <w:t>31, 62)</w:t>
            </w:r>
          </w:p>
        </w:tc>
        <w:tc>
          <w:tcPr>
            <w:tcW w:w="598" w:type="pct"/>
            <w:tcMar>
              <w:left w:w="20" w:type="dxa"/>
              <w:right w:w="20" w:type="dxa"/>
            </w:tcMar>
          </w:tcPr>
          <w:p w14:paraId="26EEEEB8" w14:textId="77777777" w:rsidR="00EB0321" w:rsidRPr="00886D8A" w:rsidRDefault="00EB0321" w:rsidP="004E36D3">
            <w:pPr>
              <w:pStyle w:val="TableText0"/>
              <w:jc w:val="center"/>
            </w:pPr>
            <w:r w:rsidRPr="00886D8A">
              <w:t>90.5</w:t>
            </w:r>
          </w:p>
          <w:p w14:paraId="3748DD97" w14:textId="77777777" w:rsidR="00EB0321" w:rsidRPr="00886D8A" w:rsidRDefault="00EB0321" w:rsidP="004E36D3">
            <w:pPr>
              <w:pStyle w:val="TableText0"/>
              <w:jc w:val="center"/>
            </w:pPr>
            <w:r w:rsidRPr="00886D8A">
              <w:t>(35, 125)</w:t>
            </w:r>
          </w:p>
        </w:tc>
        <w:tc>
          <w:tcPr>
            <w:tcW w:w="625" w:type="pct"/>
            <w:tcMar>
              <w:left w:w="20" w:type="dxa"/>
              <w:right w:w="20" w:type="dxa"/>
            </w:tcMar>
          </w:tcPr>
          <w:p w14:paraId="0169AE0B" w14:textId="77777777" w:rsidR="00EB0321" w:rsidRPr="00886D8A" w:rsidRDefault="00EB0321" w:rsidP="004E36D3">
            <w:pPr>
              <w:pStyle w:val="TableText0"/>
              <w:jc w:val="center"/>
            </w:pPr>
            <w:r w:rsidRPr="00886D8A">
              <w:t>5.0</w:t>
            </w:r>
          </w:p>
          <w:p w14:paraId="4E469AB6" w14:textId="190D71E9" w:rsidR="00EB0321" w:rsidRPr="00886D8A" w:rsidRDefault="00EB0321" w:rsidP="004E36D3">
            <w:pPr>
              <w:pStyle w:val="TableText0"/>
              <w:jc w:val="center"/>
            </w:pPr>
            <w:r w:rsidRPr="00886D8A">
              <w:t>(</w:t>
            </w:r>
            <w:r w:rsidR="0011024A">
              <w:noBreakHyphen/>
            </w:r>
            <w:r w:rsidRPr="00886D8A">
              <w:t>24, 43)</w:t>
            </w:r>
          </w:p>
        </w:tc>
        <w:tc>
          <w:tcPr>
            <w:tcW w:w="652" w:type="pct"/>
            <w:tcMar>
              <w:left w:w="20" w:type="dxa"/>
              <w:right w:w="20" w:type="dxa"/>
            </w:tcMar>
          </w:tcPr>
          <w:p w14:paraId="05AA133C" w14:textId="77777777" w:rsidR="00EB0321" w:rsidRPr="00886D8A" w:rsidRDefault="00EB0321" w:rsidP="004E36D3">
            <w:pPr>
              <w:pStyle w:val="TableText0"/>
              <w:jc w:val="center"/>
            </w:pPr>
            <w:r w:rsidRPr="00886D8A">
              <w:t>4.8</w:t>
            </w:r>
          </w:p>
          <w:p w14:paraId="68B09EF0" w14:textId="771F6FA6" w:rsidR="00EB0321" w:rsidRPr="00886D8A" w:rsidRDefault="00EB0321" w:rsidP="004E36D3">
            <w:pPr>
              <w:pStyle w:val="TableText0"/>
              <w:jc w:val="center"/>
            </w:pPr>
            <w:r w:rsidRPr="00886D8A">
              <w:t>(</w:t>
            </w:r>
            <w:r w:rsidR="0011024A">
              <w:noBreakHyphen/>
            </w:r>
            <w:r w:rsidRPr="00886D8A">
              <w:t>31, 64)</w:t>
            </w:r>
          </w:p>
        </w:tc>
      </w:tr>
    </w:tbl>
    <w:p w14:paraId="399C9A1B" w14:textId="52C2D78A" w:rsidR="00EB0321" w:rsidRPr="00886D8A" w:rsidRDefault="00EB0321" w:rsidP="004E36D3">
      <w:pPr>
        <w:pStyle w:val="FooterTableFigure"/>
        <w:rPr>
          <w:lang w:eastAsia="en-US"/>
        </w:rPr>
      </w:pPr>
      <w:r w:rsidRPr="00886D8A">
        <w:rPr>
          <w:lang w:eastAsia="en-US"/>
        </w:rPr>
        <w:t>Source: Table 2.5</w:t>
      </w:r>
      <w:r w:rsidR="0011024A">
        <w:rPr>
          <w:lang w:eastAsia="en-US"/>
        </w:rPr>
        <w:noBreakHyphen/>
      </w:r>
      <w:r w:rsidRPr="00886D8A">
        <w:rPr>
          <w:lang w:eastAsia="en-US"/>
        </w:rPr>
        <w:t>10, pp89</w:t>
      </w:r>
      <w:r w:rsidR="0011024A">
        <w:rPr>
          <w:lang w:eastAsia="en-US"/>
        </w:rPr>
        <w:noBreakHyphen/>
      </w:r>
      <w:r w:rsidRPr="00886D8A">
        <w:rPr>
          <w:lang w:eastAsia="en-US"/>
        </w:rPr>
        <w:t>90, Table 2.5</w:t>
      </w:r>
      <w:r w:rsidR="0011024A">
        <w:rPr>
          <w:lang w:eastAsia="en-US"/>
        </w:rPr>
        <w:noBreakHyphen/>
      </w:r>
      <w:r w:rsidRPr="00886D8A">
        <w:rPr>
          <w:lang w:eastAsia="en-US"/>
        </w:rPr>
        <w:t>11, p90, Table 2.5</w:t>
      </w:r>
      <w:r w:rsidR="0011024A">
        <w:rPr>
          <w:lang w:eastAsia="en-US"/>
        </w:rPr>
        <w:noBreakHyphen/>
      </w:r>
      <w:r w:rsidRPr="00886D8A">
        <w:rPr>
          <w:lang w:eastAsia="en-US"/>
        </w:rPr>
        <w:t>15, p93 and Table 2.5</w:t>
      </w:r>
      <w:r w:rsidR="0011024A">
        <w:rPr>
          <w:lang w:eastAsia="en-US"/>
        </w:rPr>
        <w:noBreakHyphen/>
      </w:r>
      <w:r w:rsidRPr="00886D8A">
        <w:rPr>
          <w:lang w:eastAsia="en-US"/>
        </w:rPr>
        <w:t xml:space="preserve">16, p93 of the submission. </w:t>
      </w:r>
    </w:p>
    <w:p w14:paraId="47D0C703" w14:textId="6BA0665A" w:rsidR="00EB0321" w:rsidRPr="00886D8A" w:rsidRDefault="00EB0321" w:rsidP="004E36D3">
      <w:pPr>
        <w:pStyle w:val="FooterTableFigure"/>
        <w:rPr>
          <w:rFonts w:cs="Times New Roman"/>
          <w:lang w:eastAsia="en-US"/>
        </w:rPr>
      </w:pPr>
      <w:r w:rsidRPr="00886D8A">
        <w:rPr>
          <w:lang w:eastAsia="en-US"/>
        </w:rPr>
        <w:t>3MSCT = 3</w:t>
      </w:r>
      <w:r w:rsidR="0011024A">
        <w:rPr>
          <w:lang w:eastAsia="en-US"/>
        </w:rPr>
        <w:noBreakHyphen/>
      </w:r>
      <w:r w:rsidRPr="00886D8A">
        <w:rPr>
          <w:lang w:eastAsia="en-US"/>
        </w:rPr>
        <w:t>Minute Stair Climb Test; 6MWT = 6</w:t>
      </w:r>
      <w:r w:rsidR="0011024A">
        <w:rPr>
          <w:lang w:eastAsia="en-US"/>
        </w:rPr>
        <w:noBreakHyphen/>
      </w:r>
      <w:r w:rsidRPr="00886D8A">
        <w:rPr>
          <w:lang w:eastAsia="en-US"/>
        </w:rPr>
        <w:t xml:space="preserve">Minute Walk Test; CI = confidence interval; FAS = full analysis set; FVC = forced vital capacity; min = minimum; max = maximum; </w:t>
      </w:r>
      <w:r w:rsidR="15DAE86E" w:rsidRPr="00886D8A">
        <w:rPr>
          <w:lang w:eastAsia="en-US"/>
        </w:rPr>
        <w:t xml:space="preserve">n = number of participants reporting data; </w:t>
      </w:r>
      <w:r w:rsidRPr="00886D8A">
        <w:rPr>
          <w:lang w:eastAsia="en-US"/>
        </w:rPr>
        <w:t>SD = standard deviation.</w:t>
      </w:r>
    </w:p>
    <w:p w14:paraId="2F6FA9B0" w14:textId="77777777" w:rsidR="00EB0321" w:rsidRPr="00886D8A" w:rsidRDefault="00EB0321" w:rsidP="004E36D3">
      <w:pPr>
        <w:pStyle w:val="FooterTableFigure"/>
      </w:pPr>
      <w:r w:rsidRPr="00886D8A">
        <w:rPr>
          <w:b/>
          <w:bCs/>
        </w:rPr>
        <w:t>Bold</w:t>
      </w:r>
      <w:r w:rsidRPr="00886D8A">
        <w:t xml:space="preserve"> indicates a statistically significant change from baseline at the last observation.</w:t>
      </w:r>
    </w:p>
    <w:p w14:paraId="69CD987B" w14:textId="5A637977" w:rsidR="00EB0321" w:rsidRPr="00886D8A" w:rsidRDefault="00EB0321" w:rsidP="004E36D3">
      <w:pPr>
        <w:pStyle w:val="3-BodyText"/>
      </w:pPr>
      <w:r w:rsidRPr="00886D8A">
        <w:t>In rhLAMAN</w:t>
      </w:r>
      <w:r w:rsidR="0011024A">
        <w:noBreakHyphen/>
      </w:r>
      <w:r w:rsidRPr="00886D8A">
        <w:t xml:space="preserve">10, there was a statistically significant improvement in the absolute and percentage change from baseline to the last observation (up to 48 months) of </w:t>
      </w:r>
      <w:r w:rsidR="0011024A">
        <w:noBreakHyphen/>
      </w:r>
      <w:r w:rsidRPr="00886D8A">
        <w:t>4.59 (</w:t>
      </w:r>
      <w:r w:rsidR="002C14A6" w:rsidRPr="00886D8A">
        <w:t xml:space="preserve">SD </w:t>
      </w:r>
      <w:r w:rsidRPr="00886D8A">
        <w:t xml:space="preserve">3.23) µmol/L and </w:t>
      </w:r>
      <w:r w:rsidR="0011024A">
        <w:noBreakHyphen/>
      </w:r>
      <w:r w:rsidRPr="00886D8A">
        <w:t>62.76% (</w:t>
      </w:r>
      <w:r w:rsidR="002C14A6" w:rsidRPr="00886D8A">
        <w:t xml:space="preserve">SD </w:t>
      </w:r>
      <w:r w:rsidRPr="00886D8A">
        <w:t xml:space="preserve">33.61%), respectively. The improvement was sustained in all patients through the last observation (up to a maximum of </w:t>
      </w:r>
      <w:r w:rsidR="00AF1BCF">
        <w:br/>
      </w:r>
      <w:r w:rsidRPr="00886D8A">
        <w:t>144 months) in rhLAMAN</w:t>
      </w:r>
      <w:r w:rsidR="0011024A">
        <w:noBreakHyphen/>
      </w:r>
      <w:r w:rsidRPr="00886D8A">
        <w:t>11.</w:t>
      </w:r>
    </w:p>
    <w:p w14:paraId="0F5F94D5" w14:textId="2AE2F697" w:rsidR="00EB0321" w:rsidRPr="00886D8A" w:rsidRDefault="00EB0321" w:rsidP="004E36D3">
      <w:pPr>
        <w:pStyle w:val="3-BodyText"/>
      </w:pPr>
      <w:r w:rsidRPr="00886D8A">
        <w:t>In both rhLAMAN</w:t>
      </w:r>
      <w:r w:rsidR="0011024A">
        <w:noBreakHyphen/>
      </w:r>
      <w:r w:rsidRPr="00886D8A">
        <w:t>10 and rhLAMAN</w:t>
      </w:r>
      <w:r w:rsidR="0011024A">
        <w:noBreakHyphen/>
      </w:r>
      <w:r w:rsidRPr="00886D8A">
        <w:t>11, a statistically significant improvement in 3MSCT was observed from baseline to the last observation. In contrast, no statistically significant change was observed in 6MWT over the same period. A modest improvement in FVC (% predicted) was observed from baseline to the last observation in both rhLAMAN</w:t>
      </w:r>
      <w:r w:rsidR="0011024A">
        <w:noBreakHyphen/>
      </w:r>
      <w:r w:rsidRPr="00886D8A">
        <w:t>10 and rhLAMAN</w:t>
      </w:r>
      <w:r w:rsidR="0011024A">
        <w:noBreakHyphen/>
      </w:r>
      <w:r w:rsidRPr="00886D8A">
        <w:t>11</w:t>
      </w:r>
      <w:r w:rsidR="00EB7FEA" w:rsidRPr="00886D8A">
        <w:t xml:space="preserve">. </w:t>
      </w:r>
      <w:r w:rsidR="00050881" w:rsidRPr="00886D8A">
        <w:t>While the change was statistically significant in rhLAMAN</w:t>
      </w:r>
      <w:r w:rsidR="0011024A">
        <w:noBreakHyphen/>
      </w:r>
      <w:r w:rsidR="00050881" w:rsidRPr="00886D8A">
        <w:t>10, it did not reach statistical significance in rhLAMAN</w:t>
      </w:r>
      <w:r w:rsidR="0011024A">
        <w:noBreakHyphen/>
      </w:r>
      <w:r w:rsidR="00050881" w:rsidRPr="00886D8A">
        <w:t xml:space="preserve">11. </w:t>
      </w:r>
    </w:p>
    <w:p w14:paraId="60DD634D" w14:textId="15AF79DC" w:rsidR="00EB0321" w:rsidRPr="00886D8A" w:rsidRDefault="002339B6" w:rsidP="004E36D3">
      <w:pPr>
        <w:pStyle w:val="3-BodyText"/>
      </w:pPr>
      <w:r w:rsidRPr="00886D8A">
        <w:fldChar w:fldCharType="begin"/>
      </w:r>
      <w:r w:rsidRPr="00886D8A">
        <w:instrText xml:space="preserve"> REF _Ref197619659 \h  \* MERGEFORMAT </w:instrText>
      </w:r>
      <w:r w:rsidRPr="00886D8A">
        <w:fldChar w:fldCharType="separate"/>
      </w:r>
      <w:r w:rsidR="00B73A9E" w:rsidRPr="00886D8A">
        <w:t xml:space="preserve">Table </w:t>
      </w:r>
      <w:r w:rsidR="00B73A9E">
        <w:t>9</w:t>
      </w:r>
      <w:r w:rsidRPr="00886D8A">
        <w:fldChar w:fldCharType="end"/>
      </w:r>
      <w:r w:rsidR="00EB0321" w:rsidRPr="00886D8A">
        <w:t xml:space="preserve"> summarises the change from baseline to last observation in CHAQ and EQ</w:t>
      </w:r>
      <w:r w:rsidR="0011024A">
        <w:noBreakHyphen/>
      </w:r>
      <w:r w:rsidR="00EB0321" w:rsidRPr="00886D8A">
        <w:t>5D</w:t>
      </w:r>
      <w:r w:rsidR="0011024A">
        <w:noBreakHyphen/>
      </w:r>
      <w:r w:rsidR="00EB0321" w:rsidRPr="00886D8A">
        <w:t>5L scores in the rhLAMAN</w:t>
      </w:r>
      <w:r w:rsidR="0011024A">
        <w:noBreakHyphen/>
      </w:r>
      <w:r w:rsidR="00EB0321" w:rsidRPr="00886D8A">
        <w:t xml:space="preserve">10 </w:t>
      </w:r>
      <w:r w:rsidR="00E416EC" w:rsidRPr="00886D8A">
        <w:t>and rhLAMAN</w:t>
      </w:r>
      <w:r w:rsidR="0011024A">
        <w:noBreakHyphen/>
      </w:r>
      <w:r w:rsidR="00E416EC" w:rsidRPr="00886D8A">
        <w:t xml:space="preserve">11 </w:t>
      </w:r>
      <w:r w:rsidR="00EB0321" w:rsidRPr="00886D8A">
        <w:t>trial.</w:t>
      </w:r>
    </w:p>
    <w:p w14:paraId="28377C75" w14:textId="68A69FA4" w:rsidR="00EB0321" w:rsidRPr="00886D8A" w:rsidRDefault="00EB0321" w:rsidP="004E36D3">
      <w:pPr>
        <w:pStyle w:val="TableFigureHeading"/>
      </w:pPr>
      <w:bookmarkStart w:id="51" w:name="_Ref197619659"/>
      <w:r w:rsidRPr="00886D8A">
        <w:t xml:space="preserve">Table </w:t>
      </w:r>
      <w:r>
        <w:fldChar w:fldCharType="begin"/>
      </w:r>
      <w:r>
        <w:instrText>SEQ Table \* ARABIC</w:instrText>
      </w:r>
      <w:r>
        <w:fldChar w:fldCharType="separate"/>
      </w:r>
      <w:r w:rsidR="00B73A9E">
        <w:rPr>
          <w:noProof/>
        </w:rPr>
        <w:t>9</w:t>
      </w:r>
      <w:r>
        <w:fldChar w:fldCharType="end"/>
      </w:r>
      <w:bookmarkEnd w:id="51"/>
      <w:r w:rsidRPr="00886D8A">
        <w:t>: Change in QoL outcomes from baseline to last observation in rhLAMAN</w:t>
      </w:r>
      <w:r w:rsidR="0011024A">
        <w:noBreakHyphen/>
      </w:r>
      <w:r w:rsidRPr="00886D8A">
        <w:t xml:space="preserve">10 integrated analysis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Change in QoL outcomes from baseline to last observation in rhLAMAN 10 integrated analysis "/>
      </w:tblPr>
      <w:tblGrid>
        <w:gridCol w:w="1052"/>
        <w:gridCol w:w="1346"/>
        <w:gridCol w:w="1080"/>
        <w:gridCol w:w="1080"/>
        <w:gridCol w:w="1199"/>
        <w:gridCol w:w="959"/>
        <w:gridCol w:w="1078"/>
        <w:gridCol w:w="1223"/>
      </w:tblGrid>
      <w:tr w:rsidR="00EB0321" w:rsidRPr="00886D8A" w14:paraId="700A2085" w14:textId="77777777" w:rsidTr="00B51CD2">
        <w:trPr>
          <w:trHeight w:val="20"/>
        </w:trPr>
        <w:tc>
          <w:tcPr>
            <w:tcW w:w="583" w:type="pct"/>
            <w:vMerge w:val="restart"/>
            <w:tcMar>
              <w:left w:w="20" w:type="dxa"/>
              <w:right w:w="20" w:type="dxa"/>
            </w:tcMar>
          </w:tcPr>
          <w:p w14:paraId="73AE552A" w14:textId="77777777" w:rsidR="00EB0321" w:rsidRPr="00886D8A" w:rsidRDefault="00EB0321" w:rsidP="004E36D3">
            <w:pPr>
              <w:pStyle w:val="TableText0"/>
              <w:rPr>
                <w:b/>
                <w:bCs w:val="0"/>
              </w:rPr>
            </w:pPr>
            <w:r w:rsidRPr="00886D8A">
              <w:rPr>
                <w:b/>
                <w:bCs w:val="0"/>
              </w:rPr>
              <w:t>N=33</w:t>
            </w:r>
          </w:p>
        </w:tc>
        <w:tc>
          <w:tcPr>
            <w:tcW w:w="746" w:type="pct"/>
            <w:vMerge w:val="restart"/>
            <w:tcMar>
              <w:left w:w="20" w:type="dxa"/>
              <w:right w:w="20" w:type="dxa"/>
            </w:tcMar>
          </w:tcPr>
          <w:p w14:paraId="02062319" w14:textId="77777777" w:rsidR="00EB0321" w:rsidRPr="00886D8A" w:rsidRDefault="00EB0321" w:rsidP="004E36D3">
            <w:pPr>
              <w:pStyle w:val="TableText0"/>
              <w:jc w:val="center"/>
              <w:rPr>
                <w:b/>
                <w:bCs w:val="0"/>
              </w:rPr>
            </w:pPr>
            <w:r w:rsidRPr="00886D8A">
              <w:rPr>
                <w:b/>
                <w:bCs w:val="0"/>
              </w:rPr>
              <w:t>Baseline value</w:t>
            </w:r>
          </w:p>
        </w:tc>
        <w:tc>
          <w:tcPr>
            <w:tcW w:w="1863" w:type="pct"/>
            <w:gridSpan w:val="3"/>
            <w:tcMar>
              <w:left w:w="20" w:type="dxa"/>
              <w:right w:w="20" w:type="dxa"/>
            </w:tcMar>
          </w:tcPr>
          <w:p w14:paraId="407D2CDB" w14:textId="19D941EA" w:rsidR="00EB0321" w:rsidRPr="00886D8A" w:rsidRDefault="00EB0321" w:rsidP="004E36D3">
            <w:pPr>
              <w:pStyle w:val="TableText0"/>
              <w:jc w:val="center"/>
              <w:rPr>
                <w:b/>
                <w:bCs w:val="0"/>
              </w:rPr>
            </w:pPr>
            <w:r w:rsidRPr="00886D8A">
              <w:rPr>
                <w:b/>
                <w:bCs w:val="0"/>
              </w:rPr>
              <w:t>rhLAMAN</w:t>
            </w:r>
            <w:r w:rsidR="0011024A">
              <w:rPr>
                <w:b/>
                <w:bCs w:val="0"/>
              </w:rPr>
              <w:noBreakHyphen/>
            </w:r>
            <w:r w:rsidRPr="00886D8A">
              <w:rPr>
                <w:b/>
                <w:bCs w:val="0"/>
              </w:rPr>
              <w:t>10</w:t>
            </w:r>
          </w:p>
          <w:p w14:paraId="1D2E9EEF" w14:textId="77777777" w:rsidR="00EB0321" w:rsidRPr="00886D8A" w:rsidRDefault="00EB0321" w:rsidP="004E36D3">
            <w:pPr>
              <w:pStyle w:val="TableText0"/>
              <w:jc w:val="center"/>
              <w:rPr>
                <w:b/>
                <w:bCs w:val="0"/>
              </w:rPr>
            </w:pPr>
            <w:r w:rsidRPr="00886D8A">
              <w:rPr>
                <w:b/>
                <w:bCs w:val="0"/>
              </w:rPr>
              <w:t>(Last observation [up to 48 months])</w:t>
            </w:r>
          </w:p>
        </w:tc>
        <w:tc>
          <w:tcPr>
            <w:tcW w:w="1808" w:type="pct"/>
            <w:gridSpan w:val="3"/>
            <w:tcMar>
              <w:left w:w="20" w:type="dxa"/>
              <w:right w:w="20" w:type="dxa"/>
            </w:tcMar>
          </w:tcPr>
          <w:p w14:paraId="20940B58" w14:textId="434216C9" w:rsidR="00EB0321" w:rsidRPr="00886D8A" w:rsidRDefault="00EB0321" w:rsidP="004E36D3">
            <w:pPr>
              <w:pStyle w:val="TableText0"/>
              <w:jc w:val="center"/>
              <w:rPr>
                <w:b/>
                <w:bCs w:val="0"/>
              </w:rPr>
            </w:pPr>
            <w:r w:rsidRPr="00886D8A">
              <w:rPr>
                <w:b/>
                <w:bCs w:val="0"/>
              </w:rPr>
              <w:t>rhLAMAN</w:t>
            </w:r>
            <w:r w:rsidR="0011024A">
              <w:rPr>
                <w:b/>
                <w:bCs w:val="0"/>
              </w:rPr>
              <w:noBreakHyphen/>
            </w:r>
            <w:r w:rsidRPr="00886D8A">
              <w:rPr>
                <w:b/>
                <w:bCs w:val="0"/>
              </w:rPr>
              <w:t>11</w:t>
            </w:r>
          </w:p>
          <w:p w14:paraId="6A84049C" w14:textId="010DD7BF" w:rsidR="00EB0321" w:rsidRPr="00886D8A" w:rsidRDefault="00EB0321" w:rsidP="004E36D3">
            <w:pPr>
              <w:pStyle w:val="TableText0"/>
              <w:jc w:val="center"/>
              <w:rPr>
                <w:b/>
                <w:bCs w:val="0"/>
              </w:rPr>
            </w:pPr>
            <w:r w:rsidRPr="00886D8A">
              <w:rPr>
                <w:b/>
                <w:bCs w:val="0"/>
              </w:rPr>
              <w:t>(Last observation</w:t>
            </w:r>
          </w:p>
          <w:p w14:paraId="65B1C61D" w14:textId="77777777" w:rsidR="00EB0321" w:rsidRPr="00886D8A" w:rsidRDefault="00EB0321" w:rsidP="004E36D3">
            <w:pPr>
              <w:pStyle w:val="TableText0"/>
              <w:jc w:val="center"/>
              <w:rPr>
                <w:b/>
                <w:bCs w:val="0"/>
              </w:rPr>
            </w:pPr>
            <w:r w:rsidRPr="00886D8A">
              <w:rPr>
                <w:b/>
                <w:bCs w:val="0"/>
              </w:rPr>
              <w:t>[up to a maximum of 144 months])</w:t>
            </w:r>
          </w:p>
        </w:tc>
      </w:tr>
      <w:tr w:rsidR="00B51CD2" w:rsidRPr="00886D8A" w14:paraId="28672665" w14:textId="77777777" w:rsidTr="00B51CD2">
        <w:trPr>
          <w:trHeight w:val="45"/>
        </w:trPr>
        <w:tc>
          <w:tcPr>
            <w:tcW w:w="583" w:type="pct"/>
            <w:vMerge/>
            <w:tcMar>
              <w:left w:w="20" w:type="dxa"/>
              <w:right w:w="20" w:type="dxa"/>
            </w:tcMar>
          </w:tcPr>
          <w:p w14:paraId="4F8E944A" w14:textId="77777777" w:rsidR="00EB0321" w:rsidRPr="00886D8A" w:rsidRDefault="00EB0321" w:rsidP="004E36D3">
            <w:pPr>
              <w:pStyle w:val="TableText0"/>
              <w:rPr>
                <w:b/>
                <w:bCs w:val="0"/>
              </w:rPr>
            </w:pPr>
          </w:p>
        </w:tc>
        <w:tc>
          <w:tcPr>
            <w:tcW w:w="746" w:type="pct"/>
            <w:vMerge/>
            <w:tcMar>
              <w:left w:w="20" w:type="dxa"/>
              <w:right w:w="20" w:type="dxa"/>
            </w:tcMar>
          </w:tcPr>
          <w:p w14:paraId="2BDBAC08" w14:textId="77777777" w:rsidR="00EB0321" w:rsidRPr="00886D8A" w:rsidRDefault="00EB0321" w:rsidP="004E36D3">
            <w:pPr>
              <w:pStyle w:val="TableText0"/>
              <w:rPr>
                <w:b/>
                <w:bCs w:val="0"/>
              </w:rPr>
            </w:pPr>
          </w:p>
        </w:tc>
        <w:tc>
          <w:tcPr>
            <w:tcW w:w="599" w:type="pct"/>
            <w:tcMar>
              <w:left w:w="20" w:type="dxa"/>
              <w:right w:w="20" w:type="dxa"/>
            </w:tcMar>
          </w:tcPr>
          <w:p w14:paraId="25637DE2" w14:textId="77777777" w:rsidR="00EB0321" w:rsidRPr="00886D8A" w:rsidRDefault="00EB0321" w:rsidP="004E36D3">
            <w:pPr>
              <w:pStyle w:val="TableText0"/>
              <w:jc w:val="center"/>
              <w:rPr>
                <w:b/>
                <w:bCs w:val="0"/>
              </w:rPr>
            </w:pPr>
            <w:r w:rsidRPr="00886D8A">
              <w:rPr>
                <w:b/>
                <w:bCs w:val="0"/>
              </w:rPr>
              <w:t>Actual value</w:t>
            </w:r>
          </w:p>
        </w:tc>
        <w:tc>
          <w:tcPr>
            <w:tcW w:w="599" w:type="pct"/>
            <w:tcMar>
              <w:left w:w="20" w:type="dxa"/>
              <w:right w:w="20" w:type="dxa"/>
            </w:tcMar>
          </w:tcPr>
          <w:p w14:paraId="74E10BCF" w14:textId="77777777" w:rsidR="00EB0321" w:rsidRPr="00886D8A" w:rsidRDefault="00EB0321" w:rsidP="004E36D3">
            <w:pPr>
              <w:pStyle w:val="TableText0"/>
              <w:jc w:val="center"/>
              <w:rPr>
                <w:b/>
                <w:bCs w:val="0"/>
              </w:rPr>
            </w:pPr>
            <w:r w:rsidRPr="00886D8A">
              <w:rPr>
                <w:b/>
                <w:bCs w:val="0"/>
              </w:rPr>
              <w:t>Absolute change from baseline</w:t>
            </w:r>
          </w:p>
        </w:tc>
        <w:tc>
          <w:tcPr>
            <w:tcW w:w="665" w:type="pct"/>
            <w:tcMar>
              <w:left w:w="20" w:type="dxa"/>
              <w:right w:w="20" w:type="dxa"/>
            </w:tcMar>
          </w:tcPr>
          <w:p w14:paraId="788EF3B0" w14:textId="77777777" w:rsidR="00EB0321" w:rsidRPr="00886D8A" w:rsidRDefault="00EB0321" w:rsidP="004E36D3">
            <w:pPr>
              <w:pStyle w:val="TableText0"/>
              <w:jc w:val="center"/>
              <w:rPr>
                <w:b/>
                <w:bCs w:val="0"/>
              </w:rPr>
            </w:pPr>
            <w:r w:rsidRPr="00886D8A">
              <w:rPr>
                <w:b/>
                <w:bCs w:val="0"/>
              </w:rPr>
              <w:t>% change from baseline</w:t>
            </w:r>
          </w:p>
        </w:tc>
        <w:tc>
          <w:tcPr>
            <w:tcW w:w="532" w:type="pct"/>
            <w:tcMar>
              <w:left w:w="20" w:type="dxa"/>
              <w:right w:w="20" w:type="dxa"/>
            </w:tcMar>
          </w:tcPr>
          <w:p w14:paraId="1F27B1EF" w14:textId="77777777" w:rsidR="00EB0321" w:rsidRPr="00886D8A" w:rsidRDefault="00EB0321" w:rsidP="004E36D3">
            <w:pPr>
              <w:pStyle w:val="TableText0"/>
              <w:jc w:val="center"/>
              <w:rPr>
                <w:b/>
                <w:bCs w:val="0"/>
              </w:rPr>
            </w:pPr>
            <w:r w:rsidRPr="00886D8A">
              <w:rPr>
                <w:b/>
                <w:bCs w:val="0"/>
              </w:rPr>
              <w:t>Actual value</w:t>
            </w:r>
          </w:p>
        </w:tc>
        <w:tc>
          <w:tcPr>
            <w:tcW w:w="598" w:type="pct"/>
            <w:tcMar>
              <w:left w:w="20" w:type="dxa"/>
              <w:right w:w="20" w:type="dxa"/>
            </w:tcMar>
          </w:tcPr>
          <w:p w14:paraId="50E1CF34" w14:textId="77777777" w:rsidR="00EB0321" w:rsidRPr="00886D8A" w:rsidRDefault="00EB0321" w:rsidP="004E36D3">
            <w:pPr>
              <w:pStyle w:val="TableText0"/>
              <w:jc w:val="center"/>
              <w:rPr>
                <w:b/>
                <w:bCs w:val="0"/>
              </w:rPr>
            </w:pPr>
            <w:r w:rsidRPr="00886D8A">
              <w:rPr>
                <w:b/>
                <w:bCs w:val="0"/>
              </w:rPr>
              <w:t>Absolute change from baseline</w:t>
            </w:r>
          </w:p>
        </w:tc>
        <w:tc>
          <w:tcPr>
            <w:tcW w:w="678" w:type="pct"/>
            <w:tcMar>
              <w:left w:w="20" w:type="dxa"/>
              <w:right w:w="20" w:type="dxa"/>
            </w:tcMar>
          </w:tcPr>
          <w:p w14:paraId="01D6CC45" w14:textId="04DDA81B" w:rsidR="00EB0321" w:rsidRPr="00886D8A" w:rsidRDefault="00B51CD2" w:rsidP="004E36D3">
            <w:pPr>
              <w:pStyle w:val="TableText0"/>
              <w:jc w:val="center"/>
              <w:rPr>
                <w:b/>
                <w:bCs w:val="0"/>
              </w:rPr>
            </w:pPr>
            <w:r w:rsidRPr="00886D8A">
              <w:rPr>
                <w:b/>
                <w:bCs w:val="0"/>
              </w:rPr>
              <w:t xml:space="preserve">% </w:t>
            </w:r>
            <w:r w:rsidR="00EB0321" w:rsidRPr="00886D8A">
              <w:rPr>
                <w:b/>
                <w:bCs w:val="0"/>
              </w:rPr>
              <w:t xml:space="preserve">change </w:t>
            </w:r>
            <w:r w:rsidRPr="00886D8A">
              <w:rPr>
                <w:b/>
                <w:bCs w:val="0"/>
              </w:rPr>
              <w:br/>
            </w:r>
            <w:r w:rsidR="00EB0321" w:rsidRPr="00886D8A">
              <w:rPr>
                <w:b/>
                <w:bCs w:val="0"/>
              </w:rPr>
              <w:t xml:space="preserve">from </w:t>
            </w:r>
            <w:r w:rsidRPr="00886D8A">
              <w:rPr>
                <w:b/>
                <w:bCs w:val="0"/>
              </w:rPr>
              <w:t>b</w:t>
            </w:r>
            <w:r w:rsidR="00EB0321" w:rsidRPr="00886D8A">
              <w:rPr>
                <w:b/>
                <w:bCs w:val="0"/>
              </w:rPr>
              <w:t>aseline</w:t>
            </w:r>
          </w:p>
        </w:tc>
      </w:tr>
      <w:tr w:rsidR="00EB0321" w:rsidRPr="00886D8A" w14:paraId="526EB23B" w14:textId="77777777" w:rsidTr="002829E9">
        <w:trPr>
          <w:trHeight w:val="20"/>
        </w:trPr>
        <w:tc>
          <w:tcPr>
            <w:tcW w:w="5000" w:type="pct"/>
            <w:gridSpan w:val="8"/>
            <w:tcMar>
              <w:left w:w="20" w:type="dxa"/>
              <w:right w:w="20" w:type="dxa"/>
            </w:tcMar>
          </w:tcPr>
          <w:p w14:paraId="1838B46F" w14:textId="5F25574C" w:rsidR="00EB0321" w:rsidRPr="00886D8A" w:rsidRDefault="00EB0321" w:rsidP="004E36D3">
            <w:pPr>
              <w:pStyle w:val="TableText0"/>
              <w:rPr>
                <w:b/>
                <w:bCs w:val="0"/>
              </w:rPr>
            </w:pPr>
            <w:r w:rsidRPr="00886D8A">
              <w:rPr>
                <w:b/>
                <w:bCs w:val="0"/>
              </w:rPr>
              <w:t>Change in CHAQ</w:t>
            </w:r>
            <w:r w:rsidR="0011024A">
              <w:rPr>
                <w:b/>
                <w:bCs w:val="0"/>
              </w:rPr>
              <w:noBreakHyphen/>
            </w:r>
            <w:r w:rsidRPr="00886D8A">
              <w:rPr>
                <w:b/>
                <w:bCs w:val="0"/>
              </w:rPr>
              <w:t>DI score from baseline to last observation</w:t>
            </w:r>
          </w:p>
        </w:tc>
      </w:tr>
      <w:tr w:rsidR="00B51CD2" w:rsidRPr="00886D8A" w14:paraId="49BE5CAA" w14:textId="77777777" w:rsidTr="00B51CD2">
        <w:trPr>
          <w:trHeight w:val="20"/>
        </w:trPr>
        <w:tc>
          <w:tcPr>
            <w:tcW w:w="583" w:type="pct"/>
            <w:tcMar>
              <w:left w:w="20" w:type="dxa"/>
              <w:right w:w="20" w:type="dxa"/>
            </w:tcMar>
          </w:tcPr>
          <w:p w14:paraId="7BB86C34" w14:textId="716D76C7" w:rsidR="00EB0321" w:rsidRPr="00886D8A" w:rsidRDefault="00195FC2" w:rsidP="004E36D3">
            <w:pPr>
              <w:pStyle w:val="TableText0"/>
            </w:pPr>
            <w:r w:rsidRPr="00886D8A">
              <w:t>N</w:t>
            </w:r>
          </w:p>
        </w:tc>
        <w:tc>
          <w:tcPr>
            <w:tcW w:w="746" w:type="pct"/>
            <w:tcMar>
              <w:left w:w="20" w:type="dxa"/>
              <w:right w:w="20" w:type="dxa"/>
            </w:tcMar>
          </w:tcPr>
          <w:p w14:paraId="6D1C00DF" w14:textId="77777777" w:rsidR="00EB0321" w:rsidRPr="00886D8A" w:rsidRDefault="00EB0321" w:rsidP="004E36D3">
            <w:pPr>
              <w:pStyle w:val="TableText0"/>
              <w:jc w:val="center"/>
            </w:pPr>
            <w:r w:rsidRPr="00886D8A">
              <w:t>33</w:t>
            </w:r>
          </w:p>
        </w:tc>
        <w:tc>
          <w:tcPr>
            <w:tcW w:w="599" w:type="pct"/>
            <w:tcMar>
              <w:left w:w="20" w:type="dxa"/>
              <w:right w:w="20" w:type="dxa"/>
            </w:tcMar>
          </w:tcPr>
          <w:p w14:paraId="665A601F" w14:textId="77777777" w:rsidR="00EB0321" w:rsidRPr="00886D8A" w:rsidRDefault="00EB0321" w:rsidP="004E36D3">
            <w:pPr>
              <w:pStyle w:val="TableText0"/>
              <w:jc w:val="center"/>
            </w:pPr>
            <w:r w:rsidRPr="00886D8A">
              <w:t>33</w:t>
            </w:r>
          </w:p>
        </w:tc>
        <w:tc>
          <w:tcPr>
            <w:tcW w:w="599" w:type="pct"/>
            <w:tcMar>
              <w:left w:w="20" w:type="dxa"/>
              <w:right w:w="20" w:type="dxa"/>
            </w:tcMar>
          </w:tcPr>
          <w:p w14:paraId="342681DE" w14:textId="77777777" w:rsidR="00EB0321" w:rsidRPr="00886D8A" w:rsidRDefault="00EB0321" w:rsidP="004E36D3">
            <w:pPr>
              <w:pStyle w:val="TableText0"/>
              <w:jc w:val="center"/>
            </w:pPr>
            <w:r w:rsidRPr="00886D8A">
              <w:t>33</w:t>
            </w:r>
          </w:p>
        </w:tc>
        <w:tc>
          <w:tcPr>
            <w:tcW w:w="665" w:type="pct"/>
            <w:tcMar>
              <w:left w:w="20" w:type="dxa"/>
              <w:right w:w="20" w:type="dxa"/>
            </w:tcMar>
          </w:tcPr>
          <w:p w14:paraId="4450FE1C" w14:textId="77777777" w:rsidR="00EB0321" w:rsidRPr="00886D8A" w:rsidRDefault="00EB0321" w:rsidP="004E36D3">
            <w:pPr>
              <w:pStyle w:val="TableText0"/>
              <w:jc w:val="center"/>
            </w:pPr>
            <w:r w:rsidRPr="00886D8A">
              <w:t>31</w:t>
            </w:r>
          </w:p>
        </w:tc>
        <w:tc>
          <w:tcPr>
            <w:tcW w:w="532" w:type="pct"/>
            <w:tcMar>
              <w:left w:w="20" w:type="dxa"/>
              <w:right w:w="20" w:type="dxa"/>
            </w:tcMar>
          </w:tcPr>
          <w:p w14:paraId="7231578E" w14:textId="77777777" w:rsidR="00EB0321" w:rsidRPr="00886D8A" w:rsidRDefault="00EB0321" w:rsidP="004E36D3">
            <w:pPr>
              <w:pStyle w:val="TableText0"/>
              <w:jc w:val="center"/>
            </w:pPr>
            <w:r w:rsidRPr="00886D8A">
              <w:t>33</w:t>
            </w:r>
          </w:p>
        </w:tc>
        <w:tc>
          <w:tcPr>
            <w:tcW w:w="598" w:type="pct"/>
            <w:tcMar>
              <w:left w:w="20" w:type="dxa"/>
              <w:right w:w="20" w:type="dxa"/>
            </w:tcMar>
          </w:tcPr>
          <w:p w14:paraId="69F8C530" w14:textId="77777777" w:rsidR="00EB0321" w:rsidRPr="00886D8A" w:rsidRDefault="00EB0321" w:rsidP="004E36D3">
            <w:pPr>
              <w:pStyle w:val="TableText0"/>
              <w:jc w:val="center"/>
            </w:pPr>
            <w:r w:rsidRPr="00886D8A">
              <w:t>33</w:t>
            </w:r>
          </w:p>
        </w:tc>
        <w:tc>
          <w:tcPr>
            <w:tcW w:w="678" w:type="pct"/>
            <w:tcMar>
              <w:left w:w="20" w:type="dxa"/>
              <w:right w:w="20" w:type="dxa"/>
            </w:tcMar>
          </w:tcPr>
          <w:p w14:paraId="07B1C424" w14:textId="77777777" w:rsidR="00EB0321" w:rsidRPr="00886D8A" w:rsidRDefault="00EB0321" w:rsidP="004E36D3">
            <w:pPr>
              <w:pStyle w:val="TableText0"/>
              <w:jc w:val="center"/>
            </w:pPr>
            <w:r w:rsidRPr="00886D8A">
              <w:t>31</w:t>
            </w:r>
          </w:p>
        </w:tc>
      </w:tr>
      <w:tr w:rsidR="00B51CD2" w:rsidRPr="00886D8A" w14:paraId="7CBBABC5" w14:textId="77777777" w:rsidTr="00B51CD2">
        <w:trPr>
          <w:trHeight w:val="20"/>
        </w:trPr>
        <w:tc>
          <w:tcPr>
            <w:tcW w:w="583" w:type="pct"/>
            <w:tcMar>
              <w:left w:w="20" w:type="dxa"/>
              <w:right w:w="20" w:type="dxa"/>
            </w:tcMar>
          </w:tcPr>
          <w:p w14:paraId="26F5B974" w14:textId="77777777" w:rsidR="00EB0321" w:rsidRPr="00886D8A" w:rsidRDefault="00EB0321" w:rsidP="004E36D3">
            <w:pPr>
              <w:pStyle w:val="TableText0"/>
            </w:pPr>
            <w:r w:rsidRPr="00886D8A">
              <w:t>Mean (SD)</w:t>
            </w:r>
          </w:p>
        </w:tc>
        <w:tc>
          <w:tcPr>
            <w:tcW w:w="746" w:type="pct"/>
            <w:tcMar>
              <w:left w:w="20" w:type="dxa"/>
              <w:right w:w="20" w:type="dxa"/>
            </w:tcMar>
          </w:tcPr>
          <w:p w14:paraId="3BD86CDC" w14:textId="377D6F94" w:rsidR="00EB0321" w:rsidRPr="00886D8A" w:rsidRDefault="00EB0321" w:rsidP="004E36D3">
            <w:pPr>
              <w:pStyle w:val="TableText0"/>
              <w:jc w:val="center"/>
            </w:pPr>
            <w:r w:rsidRPr="00886D8A">
              <w:t xml:space="preserve">1.36 </w:t>
            </w:r>
            <w:r w:rsidR="002829E9" w:rsidRPr="00886D8A">
              <w:t>(</w:t>
            </w:r>
            <w:r w:rsidRPr="00886D8A">
              <w:t>0.77)</w:t>
            </w:r>
          </w:p>
        </w:tc>
        <w:tc>
          <w:tcPr>
            <w:tcW w:w="599" w:type="pct"/>
            <w:tcMar>
              <w:left w:w="20" w:type="dxa"/>
              <w:right w:w="20" w:type="dxa"/>
            </w:tcMar>
          </w:tcPr>
          <w:p w14:paraId="1F52D0F7" w14:textId="6FEB7892" w:rsidR="00EB0321" w:rsidRPr="00886D8A" w:rsidRDefault="00EB0321" w:rsidP="004E36D3">
            <w:pPr>
              <w:pStyle w:val="TableText0"/>
              <w:jc w:val="center"/>
            </w:pPr>
            <w:r w:rsidRPr="00886D8A">
              <w:t>1.23</w:t>
            </w:r>
            <w:r w:rsidR="002829E9" w:rsidRPr="00886D8A">
              <w:t xml:space="preserve"> </w:t>
            </w:r>
            <w:r w:rsidRPr="00886D8A">
              <w:t>(0.66)</w:t>
            </w:r>
          </w:p>
        </w:tc>
        <w:tc>
          <w:tcPr>
            <w:tcW w:w="599" w:type="pct"/>
            <w:tcMar>
              <w:left w:w="20" w:type="dxa"/>
              <w:right w:w="20" w:type="dxa"/>
            </w:tcMar>
          </w:tcPr>
          <w:p w14:paraId="49D50310" w14:textId="3D216772" w:rsidR="00EB0321" w:rsidRPr="00886D8A" w:rsidRDefault="0011024A" w:rsidP="004E36D3">
            <w:pPr>
              <w:pStyle w:val="TableText0"/>
              <w:jc w:val="center"/>
            </w:pPr>
            <w:r>
              <w:noBreakHyphen/>
            </w:r>
            <w:r w:rsidR="00EB0321" w:rsidRPr="00886D8A">
              <w:t>0.13</w:t>
            </w:r>
            <w:r w:rsidR="002829E9" w:rsidRPr="00886D8A">
              <w:t xml:space="preserve"> </w:t>
            </w:r>
            <w:r w:rsidR="00EB0321" w:rsidRPr="00886D8A">
              <w:t>(0.44)</w:t>
            </w:r>
          </w:p>
        </w:tc>
        <w:tc>
          <w:tcPr>
            <w:tcW w:w="665" w:type="pct"/>
            <w:tcMar>
              <w:left w:w="20" w:type="dxa"/>
              <w:right w:w="20" w:type="dxa"/>
            </w:tcMar>
          </w:tcPr>
          <w:p w14:paraId="0BE3554E" w14:textId="6816FCE3" w:rsidR="00EB0321" w:rsidRPr="00886D8A" w:rsidRDefault="0011024A" w:rsidP="004E36D3">
            <w:pPr>
              <w:pStyle w:val="TableText0"/>
              <w:jc w:val="center"/>
            </w:pPr>
            <w:r>
              <w:noBreakHyphen/>
            </w:r>
            <w:r w:rsidR="00EB0321" w:rsidRPr="00886D8A">
              <w:t xml:space="preserve">2.41 </w:t>
            </w:r>
            <w:r w:rsidR="002829E9" w:rsidRPr="00886D8A">
              <w:t>(</w:t>
            </w:r>
            <w:r w:rsidR="00EB0321" w:rsidRPr="00886D8A">
              <w:t>45.03)</w:t>
            </w:r>
          </w:p>
        </w:tc>
        <w:tc>
          <w:tcPr>
            <w:tcW w:w="532" w:type="pct"/>
            <w:tcMar>
              <w:left w:w="20" w:type="dxa"/>
              <w:right w:w="20" w:type="dxa"/>
            </w:tcMar>
          </w:tcPr>
          <w:p w14:paraId="2AF26EF7" w14:textId="7D1E0850" w:rsidR="00EB0321" w:rsidRPr="00886D8A" w:rsidRDefault="00EB0321" w:rsidP="004E36D3">
            <w:pPr>
              <w:pStyle w:val="TableText0"/>
              <w:jc w:val="center"/>
            </w:pPr>
            <w:r w:rsidRPr="00886D8A">
              <w:t>1.34</w:t>
            </w:r>
            <w:r w:rsidR="002829E9" w:rsidRPr="00886D8A">
              <w:t xml:space="preserve"> </w:t>
            </w:r>
            <w:r w:rsidRPr="00886D8A">
              <w:t>(0.69)</w:t>
            </w:r>
          </w:p>
        </w:tc>
        <w:tc>
          <w:tcPr>
            <w:tcW w:w="598" w:type="pct"/>
            <w:tcMar>
              <w:left w:w="20" w:type="dxa"/>
              <w:right w:w="20" w:type="dxa"/>
            </w:tcMar>
          </w:tcPr>
          <w:p w14:paraId="25DC1966" w14:textId="28196DC4" w:rsidR="00EB0321" w:rsidRPr="00886D8A" w:rsidRDefault="0011024A" w:rsidP="004E36D3">
            <w:pPr>
              <w:pStyle w:val="TableText0"/>
              <w:jc w:val="center"/>
            </w:pPr>
            <w:r>
              <w:noBreakHyphen/>
            </w:r>
            <w:r w:rsidR="00EB0321" w:rsidRPr="00886D8A">
              <w:t>0.02</w:t>
            </w:r>
            <w:r w:rsidR="002829E9" w:rsidRPr="00886D8A">
              <w:t xml:space="preserve"> </w:t>
            </w:r>
            <w:r w:rsidR="00EB0321" w:rsidRPr="00886D8A">
              <w:t>(0.61)</w:t>
            </w:r>
          </w:p>
        </w:tc>
        <w:tc>
          <w:tcPr>
            <w:tcW w:w="678" w:type="pct"/>
            <w:tcMar>
              <w:left w:w="20" w:type="dxa"/>
              <w:right w:w="20" w:type="dxa"/>
            </w:tcMar>
          </w:tcPr>
          <w:p w14:paraId="07C71D4C" w14:textId="410E3515" w:rsidR="00EB0321" w:rsidRPr="00886D8A" w:rsidRDefault="00EB0321" w:rsidP="004E36D3">
            <w:pPr>
              <w:pStyle w:val="TableText0"/>
              <w:jc w:val="center"/>
            </w:pPr>
            <w:r w:rsidRPr="00886D8A">
              <w:t>15.68</w:t>
            </w:r>
            <w:r w:rsidR="002829E9" w:rsidRPr="00886D8A">
              <w:t xml:space="preserve"> </w:t>
            </w:r>
            <w:r w:rsidRPr="00886D8A">
              <w:t>(80.88)</w:t>
            </w:r>
          </w:p>
        </w:tc>
      </w:tr>
      <w:tr w:rsidR="00B51CD2" w:rsidRPr="00886D8A" w14:paraId="6D234958" w14:textId="77777777" w:rsidTr="00B51CD2">
        <w:trPr>
          <w:trHeight w:val="20"/>
        </w:trPr>
        <w:tc>
          <w:tcPr>
            <w:tcW w:w="583" w:type="pct"/>
            <w:tcMar>
              <w:left w:w="20" w:type="dxa"/>
              <w:right w:w="20" w:type="dxa"/>
            </w:tcMar>
          </w:tcPr>
          <w:p w14:paraId="46B9A97D" w14:textId="6A0EDCB0" w:rsidR="00EB0321" w:rsidRPr="00886D8A" w:rsidRDefault="00EB0321" w:rsidP="004E36D3">
            <w:pPr>
              <w:pStyle w:val="TableText0"/>
            </w:pPr>
            <w:r w:rsidRPr="00886D8A">
              <w:t xml:space="preserve">Median </w:t>
            </w:r>
            <w:r w:rsidR="00B51CD2" w:rsidRPr="00886D8A">
              <w:br/>
            </w:r>
            <w:r w:rsidRPr="00886D8A">
              <w:t>(min, max)</w:t>
            </w:r>
          </w:p>
        </w:tc>
        <w:tc>
          <w:tcPr>
            <w:tcW w:w="746" w:type="pct"/>
            <w:tcMar>
              <w:left w:w="20" w:type="dxa"/>
              <w:right w:w="20" w:type="dxa"/>
            </w:tcMar>
          </w:tcPr>
          <w:p w14:paraId="5BA8033D" w14:textId="77777777" w:rsidR="00EB0321" w:rsidRPr="00886D8A" w:rsidRDefault="00EB0321" w:rsidP="004E36D3">
            <w:pPr>
              <w:pStyle w:val="TableText0"/>
              <w:jc w:val="center"/>
            </w:pPr>
            <w:r w:rsidRPr="00886D8A">
              <w:t>1.50</w:t>
            </w:r>
          </w:p>
          <w:p w14:paraId="57912B67" w14:textId="77777777" w:rsidR="00EB0321" w:rsidRPr="00886D8A" w:rsidRDefault="00EB0321" w:rsidP="004E36D3">
            <w:pPr>
              <w:pStyle w:val="TableText0"/>
              <w:jc w:val="center"/>
            </w:pPr>
            <w:r w:rsidRPr="00886D8A">
              <w:t>(0.0, 2.6)</w:t>
            </w:r>
          </w:p>
        </w:tc>
        <w:tc>
          <w:tcPr>
            <w:tcW w:w="599" w:type="pct"/>
            <w:tcMar>
              <w:left w:w="20" w:type="dxa"/>
              <w:right w:w="20" w:type="dxa"/>
            </w:tcMar>
          </w:tcPr>
          <w:p w14:paraId="773AEC00" w14:textId="77777777" w:rsidR="00EB0321" w:rsidRPr="00886D8A" w:rsidRDefault="00EB0321" w:rsidP="004E36D3">
            <w:pPr>
              <w:pStyle w:val="TableText0"/>
              <w:jc w:val="center"/>
            </w:pPr>
            <w:r w:rsidRPr="00886D8A">
              <w:t>1.25</w:t>
            </w:r>
          </w:p>
          <w:p w14:paraId="2A7CB72F" w14:textId="77777777" w:rsidR="00EB0321" w:rsidRPr="00886D8A" w:rsidRDefault="00EB0321" w:rsidP="004E36D3">
            <w:pPr>
              <w:pStyle w:val="TableText0"/>
              <w:jc w:val="center"/>
            </w:pPr>
            <w:r w:rsidRPr="00886D8A">
              <w:t>(0.1, 2.4)</w:t>
            </w:r>
          </w:p>
        </w:tc>
        <w:tc>
          <w:tcPr>
            <w:tcW w:w="599" w:type="pct"/>
            <w:tcMar>
              <w:left w:w="20" w:type="dxa"/>
              <w:right w:w="20" w:type="dxa"/>
            </w:tcMar>
          </w:tcPr>
          <w:p w14:paraId="0D8C513B" w14:textId="77777777" w:rsidR="00EB0321" w:rsidRPr="00886D8A" w:rsidRDefault="00EB0321" w:rsidP="004E36D3">
            <w:pPr>
              <w:pStyle w:val="TableText0"/>
              <w:jc w:val="center"/>
            </w:pPr>
            <w:r w:rsidRPr="00886D8A">
              <w:t>0.00</w:t>
            </w:r>
          </w:p>
          <w:p w14:paraId="5B14FF07" w14:textId="4F7C2200" w:rsidR="00EB0321" w:rsidRPr="00886D8A" w:rsidRDefault="00EB0321" w:rsidP="004E36D3">
            <w:pPr>
              <w:pStyle w:val="TableText0"/>
              <w:jc w:val="center"/>
            </w:pPr>
            <w:r w:rsidRPr="00886D8A">
              <w:t>(</w:t>
            </w:r>
            <w:r w:rsidR="0011024A">
              <w:noBreakHyphen/>
            </w:r>
            <w:r w:rsidRPr="00886D8A">
              <w:t>1.1, 0.6)</w:t>
            </w:r>
          </w:p>
        </w:tc>
        <w:tc>
          <w:tcPr>
            <w:tcW w:w="665" w:type="pct"/>
            <w:tcMar>
              <w:left w:w="20" w:type="dxa"/>
              <w:right w:w="20" w:type="dxa"/>
            </w:tcMar>
          </w:tcPr>
          <w:p w14:paraId="4F888B08" w14:textId="41B89B20" w:rsidR="00EB0321" w:rsidRPr="00886D8A" w:rsidRDefault="0011024A" w:rsidP="004E36D3">
            <w:pPr>
              <w:pStyle w:val="TableText0"/>
              <w:jc w:val="center"/>
            </w:pPr>
            <w:r>
              <w:noBreakHyphen/>
            </w:r>
            <w:r w:rsidR="00EB0321" w:rsidRPr="00886D8A">
              <w:t>2.41</w:t>
            </w:r>
          </w:p>
          <w:p w14:paraId="444A836E" w14:textId="15FF2695" w:rsidR="00EB0321" w:rsidRPr="00886D8A" w:rsidRDefault="00EB0321" w:rsidP="004E36D3">
            <w:pPr>
              <w:pStyle w:val="TableText0"/>
              <w:jc w:val="center"/>
            </w:pPr>
            <w:r w:rsidRPr="00886D8A">
              <w:t>(</w:t>
            </w:r>
            <w:r w:rsidR="0011024A">
              <w:noBreakHyphen/>
            </w:r>
            <w:r w:rsidRPr="00886D8A">
              <w:t>80.0, 133.3)</w:t>
            </w:r>
          </w:p>
        </w:tc>
        <w:tc>
          <w:tcPr>
            <w:tcW w:w="532" w:type="pct"/>
            <w:tcMar>
              <w:left w:w="20" w:type="dxa"/>
              <w:right w:w="20" w:type="dxa"/>
            </w:tcMar>
          </w:tcPr>
          <w:p w14:paraId="79A0DE69" w14:textId="77777777" w:rsidR="00EB0321" w:rsidRPr="00886D8A" w:rsidRDefault="00EB0321" w:rsidP="004E36D3">
            <w:pPr>
              <w:pStyle w:val="TableText0"/>
              <w:jc w:val="center"/>
            </w:pPr>
            <w:r w:rsidRPr="00886D8A">
              <w:t>1.33</w:t>
            </w:r>
          </w:p>
          <w:p w14:paraId="2B815EFA" w14:textId="77777777" w:rsidR="00EB0321" w:rsidRPr="00886D8A" w:rsidRDefault="00EB0321" w:rsidP="004E36D3">
            <w:pPr>
              <w:pStyle w:val="TableText0"/>
              <w:jc w:val="center"/>
            </w:pPr>
            <w:r w:rsidRPr="00886D8A">
              <w:t>(0.1, 2.6)</w:t>
            </w:r>
          </w:p>
        </w:tc>
        <w:tc>
          <w:tcPr>
            <w:tcW w:w="598" w:type="pct"/>
            <w:tcMar>
              <w:left w:w="20" w:type="dxa"/>
              <w:right w:w="20" w:type="dxa"/>
            </w:tcMar>
          </w:tcPr>
          <w:p w14:paraId="1D2567FA" w14:textId="77777777" w:rsidR="00EB0321" w:rsidRPr="00886D8A" w:rsidRDefault="00EB0321" w:rsidP="004E36D3">
            <w:pPr>
              <w:pStyle w:val="TableText0"/>
              <w:jc w:val="center"/>
            </w:pPr>
            <w:r w:rsidRPr="00886D8A">
              <w:t>0.00</w:t>
            </w:r>
          </w:p>
          <w:p w14:paraId="3F129C6A" w14:textId="2827EE89" w:rsidR="00EB0321" w:rsidRPr="00886D8A" w:rsidRDefault="00EB0321" w:rsidP="004E36D3">
            <w:pPr>
              <w:pStyle w:val="TableText0"/>
              <w:jc w:val="center"/>
            </w:pPr>
            <w:r w:rsidRPr="00886D8A">
              <w:t>(</w:t>
            </w:r>
            <w:r w:rsidR="0011024A">
              <w:noBreakHyphen/>
            </w:r>
            <w:r w:rsidRPr="00886D8A">
              <w:t>1.0, 1.4)</w:t>
            </w:r>
          </w:p>
        </w:tc>
        <w:tc>
          <w:tcPr>
            <w:tcW w:w="678" w:type="pct"/>
            <w:tcMar>
              <w:left w:w="20" w:type="dxa"/>
              <w:right w:w="20" w:type="dxa"/>
            </w:tcMar>
          </w:tcPr>
          <w:p w14:paraId="480769FF" w14:textId="7A987CEF" w:rsidR="00EB0321" w:rsidRPr="00886D8A" w:rsidRDefault="0011024A" w:rsidP="004E36D3">
            <w:pPr>
              <w:pStyle w:val="TableText0"/>
              <w:jc w:val="center"/>
            </w:pPr>
            <w:r>
              <w:noBreakHyphen/>
            </w:r>
            <w:r w:rsidR="00EB0321" w:rsidRPr="00886D8A">
              <w:t>5.56</w:t>
            </w:r>
          </w:p>
          <w:p w14:paraId="5F7A2D28" w14:textId="1152071B" w:rsidR="00EB0321" w:rsidRPr="00886D8A" w:rsidRDefault="00EB0321" w:rsidP="004E36D3">
            <w:pPr>
              <w:pStyle w:val="TableText0"/>
              <w:jc w:val="center"/>
            </w:pPr>
            <w:r w:rsidRPr="00886D8A">
              <w:t>(</w:t>
            </w:r>
            <w:r w:rsidR="0011024A">
              <w:noBreakHyphen/>
            </w:r>
            <w:r w:rsidRPr="00886D8A">
              <w:t>80.0, 266.7)</w:t>
            </w:r>
          </w:p>
        </w:tc>
      </w:tr>
      <w:tr w:rsidR="00EB0321" w:rsidRPr="00886D8A" w14:paraId="0ACED0A1" w14:textId="77777777" w:rsidTr="002829E9">
        <w:trPr>
          <w:trHeight w:val="20"/>
        </w:trPr>
        <w:tc>
          <w:tcPr>
            <w:tcW w:w="5000" w:type="pct"/>
            <w:gridSpan w:val="8"/>
            <w:tcMar>
              <w:left w:w="20" w:type="dxa"/>
              <w:right w:w="20" w:type="dxa"/>
            </w:tcMar>
          </w:tcPr>
          <w:p w14:paraId="7DC1B1CC" w14:textId="51865CBF" w:rsidR="00EB0321" w:rsidRPr="00886D8A" w:rsidRDefault="00EB0321" w:rsidP="004E36D3">
            <w:pPr>
              <w:pStyle w:val="TableText0"/>
              <w:rPr>
                <w:b/>
                <w:bCs w:val="0"/>
              </w:rPr>
            </w:pPr>
            <w:r w:rsidRPr="00886D8A">
              <w:rPr>
                <w:b/>
                <w:bCs w:val="0"/>
              </w:rPr>
              <w:t>Change in CHAQ</w:t>
            </w:r>
            <w:r w:rsidR="0011024A">
              <w:rPr>
                <w:b/>
                <w:bCs w:val="0"/>
              </w:rPr>
              <w:noBreakHyphen/>
            </w:r>
            <w:r w:rsidRPr="00886D8A">
              <w:rPr>
                <w:b/>
                <w:bCs w:val="0"/>
              </w:rPr>
              <w:t>Pain score (VAS) from baseline to last observation</w:t>
            </w:r>
          </w:p>
        </w:tc>
      </w:tr>
      <w:tr w:rsidR="00B51CD2" w:rsidRPr="00886D8A" w14:paraId="2ECA0B23" w14:textId="77777777" w:rsidTr="00B51CD2">
        <w:trPr>
          <w:trHeight w:val="20"/>
        </w:trPr>
        <w:tc>
          <w:tcPr>
            <w:tcW w:w="583" w:type="pct"/>
            <w:tcMar>
              <w:left w:w="20" w:type="dxa"/>
              <w:right w:w="20" w:type="dxa"/>
            </w:tcMar>
          </w:tcPr>
          <w:p w14:paraId="3B266B28" w14:textId="3E8502E6" w:rsidR="00EB0321" w:rsidRPr="00886D8A" w:rsidRDefault="00195FC2" w:rsidP="004E36D3">
            <w:pPr>
              <w:pStyle w:val="TableText0"/>
            </w:pPr>
            <w:r w:rsidRPr="00886D8A">
              <w:t>N</w:t>
            </w:r>
          </w:p>
        </w:tc>
        <w:tc>
          <w:tcPr>
            <w:tcW w:w="746" w:type="pct"/>
            <w:tcMar>
              <w:left w:w="20" w:type="dxa"/>
              <w:right w:w="20" w:type="dxa"/>
            </w:tcMar>
          </w:tcPr>
          <w:p w14:paraId="4BE9BFFD" w14:textId="77777777" w:rsidR="00EB0321" w:rsidRPr="00886D8A" w:rsidRDefault="00EB0321" w:rsidP="004E36D3">
            <w:pPr>
              <w:pStyle w:val="TableText0"/>
              <w:jc w:val="center"/>
            </w:pPr>
            <w:r w:rsidRPr="00886D8A">
              <w:t>32</w:t>
            </w:r>
          </w:p>
        </w:tc>
        <w:tc>
          <w:tcPr>
            <w:tcW w:w="599" w:type="pct"/>
            <w:tcMar>
              <w:left w:w="20" w:type="dxa"/>
              <w:right w:w="20" w:type="dxa"/>
            </w:tcMar>
          </w:tcPr>
          <w:p w14:paraId="61771A4F" w14:textId="77777777" w:rsidR="00EB0321" w:rsidRPr="00886D8A" w:rsidRDefault="00EB0321" w:rsidP="004E36D3">
            <w:pPr>
              <w:pStyle w:val="TableText0"/>
              <w:jc w:val="center"/>
            </w:pPr>
            <w:r w:rsidRPr="00886D8A">
              <w:t>33</w:t>
            </w:r>
          </w:p>
        </w:tc>
        <w:tc>
          <w:tcPr>
            <w:tcW w:w="599" w:type="pct"/>
            <w:tcMar>
              <w:left w:w="20" w:type="dxa"/>
              <w:right w:w="20" w:type="dxa"/>
            </w:tcMar>
          </w:tcPr>
          <w:p w14:paraId="31393AE4" w14:textId="77777777" w:rsidR="00EB0321" w:rsidRPr="00886D8A" w:rsidRDefault="00EB0321" w:rsidP="004E36D3">
            <w:pPr>
              <w:pStyle w:val="TableText0"/>
              <w:jc w:val="center"/>
            </w:pPr>
            <w:r w:rsidRPr="00886D8A">
              <w:t>32</w:t>
            </w:r>
          </w:p>
        </w:tc>
        <w:tc>
          <w:tcPr>
            <w:tcW w:w="665" w:type="pct"/>
            <w:tcMar>
              <w:left w:w="20" w:type="dxa"/>
              <w:right w:w="20" w:type="dxa"/>
            </w:tcMar>
          </w:tcPr>
          <w:p w14:paraId="7B950FC5" w14:textId="77777777" w:rsidR="00EB0321" w:rsidRPr="00886D8A" w:rsidRDefault="00EB0321" w:rsidP="004E36D3">
            <w:pPr>
              <w:pStyle w:val="TableText0"/>
              <w:jc w:val="center"/>
            </w:pPr>
            <w:r w:rsidRPr="00886D8A">
              <w:t>21</w:t>
            </w:r>
          </w:p>
        </w:tc>
        <w:tc>
          <w:tcPr>
            <w:tcW w:w="532" w:type="pct"/>
            <w:tcMar>
              <w:left w:w="20" w:type="dxa"/>
              <w:right w:w="20" w:type="dxa"/>
            </w:tcMar>
          </w:tcPr>
          <w:p w14:paraId="208AFBB1" w14:textId="77777777" w:rsidR="00EB0321" w:rsidRPr="00886D8A" w:rsidRDefault="00EB0321" w:rsidP="004E36D3">
            <w:pPr>
              <w:pStyle w:val="TableText0"/>
              <w:jc w:val="center"/>
            </w:pPr>
            <w:r w:rsidRPr="00886D8A">
              <w:t>33</w:t>
            </w:r>
          </w:p>
        </w:tc>
        <w:tc>
          <w:tcPr>
            <w:tcW w:w="598" w:type="pct"/>
            <w:tcMar>
              <w:left w:w="20" w:type="dxa"/>
              <w:right w:w="20" w:type="dxa"/>
            </w:tcMar>
          </w:tcPr>
          <w:p w14:paraId="0EE68A59" w14:textId="77777777" w:rsidR="00EB0321" w:rsidRPr="00886D8A" w:rsidRDefault="00EB0321" w:rsidP="004E36D3">
            <w:pPr>
              <w:pStyle w:val="TableText0"/>
              <w:jc w:val="center"/>
            </w:pPr>
            <w:r w:rsidRPr="00886D8A">
              <w:t>32</w:t>
            </w:r>
          </w:p>
        </w:tc>
        <w:tc>
          <w:tcPr>
            <w:tcW w:w="678" w:type="pct"/>
            <w:tcMar>
              <w:left w:w="20" w:type="dxa"/>
              <w:right w:w="20" w:type="dxa"/>
            </w:tcMar>
          </w:tcPr>
          <w:p w14:paraId="3D563207" w14:textId="77777777" w:rsidR="00EB0321" w:rsidRPr="00886D8A" w:rsidRDefault="00EB0321" w:rsidP="004E36D3">
            <w:pPr>
              <w:pStyle w:val="TableText0"/>
              <w:jc w:val="center"/>
            </w:pPr>
            <w:r w:rsidRPr="00886D8A">
              <w:t>21</w:t>
            </w:r>
          </w:p>
        </w:tc>
      </w:tr>
      <w:tr w:rsidR="00B51CD2" w:rsidRPr="00886D8A" w14:paraId="4D12E7B8" w14:textId="77777777" w:rsidTr="00B51CD2">
        <w:trPr>
          <w:trHeight w:val="20"/>
        </w:trPr>
        <w:tc>
          <w:tcPr>
            <w:tcW w:w="583" w:type="pct"/>
            <w:tcMar>
              <w:left w:w="20" w:type="dxa"/>
              <w:right w:w="20" w:type="dxa"/>
            </w:tcMar>
          </w:tcPr>
          <w:p w14:paraId="181A1A54" w14:textId="77777777" w:rsidR="00EB0321" w:rsidRPr="00886D8A" w:rsidRDefault="00EB0321" w:rsidP="004E36D3">
            <w:pPr>
              <w:pStyle w:val="TableText0"/>
            </w:pPr>
            <w:r w:rsidRPr="00886D8A">
              <w:t>Mean (SD)</w:t>
            </w:r>
          </w:p>
        </w:tc>
        <w:tc>
          <w:tcPr>
            <w:tcW w:w="746" w:type="pct"/>
            <w:tcMar>
              <w:left w:w="20" w:type="dxa"/>
              <w:right w:w="20" w:type="dxa"/>
            </w:tcMar>
          </w:tcPr>
          <w:p w14:paraId="3C70CF79" w14:textId="6DD17917" w:rsidR="00EB0321" w:rsidRPr="00886D8A" w:rsidRDefault="00EB0321" w:rsidP="004E36D3">
            <w:pPr>
              <w:pStyle w:val="TableText0"/>
              <w:jc w:val="center"/>
            </w:pPr>
            <w:r w:rsidRPr="00886D8A">
              <w:t xml:space="preserve">0.62 </w:t>
            </w:r>
            <w:r w:rsidR="002829E9" w:rsidRPr="00886D8A">
              <w:t>(</w:t>
            </w:r>
            <w:r w:rsidRPr="00886D8A">
              <w:t>0.73)</w:t>
            </w:r>
          </w:p>
        </w:tc>
        <w:tc>
          <w:tcPr>
            <w:tcW w:w="599" w:type="pct"/>
            <w:tcMar>
              <w:left w:w="20" w:type="dxa"/>
              <w:right w:w="20" w:type="dxa"/>
            </w:tcMar>
          </w:tcPr>
          <w:p w14:paraId="3D2838E0" w14:textId="65C33C43" w:rsidR="00EB0321" w:rsidRPr="00886D8A" w:rsidRDefault="00EB0321" w:rsidP="004E36D3">
            <w:pPr>
              <w:pStyle w:val="TableText0"/>
              <w:jc w:val="center"/>
            </w:pPr>
            <w:r w:rsidRPr="00886D8A">
              <w:t>0.43 (0.62)</w:t>
            </w:r>
          </w:p>
        </w:tc>
        <w:tc>
          <w:tcPr>
            <w:tcW w:w="599" w:type="pct"/>
            <w:tcMar>
              <w:left w:w="20" w:type="dxa"/>
              <w:right w:w="20" w:type="dxa"/>
            </w:tcMar>
          </w:tcPr>
          <w:p w14:paraId="5E1BB701" w14:textId="7AD144DE" w:rsidR="00EB0321" w:rsidRPr="00886D8A" w:rsidRDefault="0011024A" w:rsidP="004E36D3">
            <w:pPr>
              <w:pStyle w:val="TableText0"/>
              <w:jc w:val="center"/>
            </w:pPr>
            <w:r>
              <w:noBreakHyphen/>
            </w:r>
            <w:r w:rsidR="00EB0321" w:rsidRPr="00886D8A">
              <w:t>0.17 (0.647)</w:t>
            </w:r>
          </w:p>
        </w:tc>
        <w:tc>
          <w:tcPr>
            <w:tcW w:w="665" w:type="pct"/>
            <w:tcMar>
              <w:left w:w="20" w:type="dxa"/>
              <w:right w:w="20" w:type="dxa"/>
            </w:tcMar>
          </w:tcPr>
          <w:p w14:paraId="68487AD3" w14:textId="007D0D0E" w:rsidR="00EB0321" w:rsidRPr="00886D8A" w:rsidRDefault="0011024A" w:rsidP="004E36D3">
            <w:pPr>
              <w:pStyle w:val="TableText0"/>
              <w:jc w:val="center"/>
            </w:pPr>
            <w:r>
              <w:noBreakHyphen/>
            </w:r>
            <w:r w:rsidR="00EB0321" w:rsidRPr="00886D8A">
              <w:t xml:space="preserve">17.0 </w:t>
            </w:r>
            <w:r w:rsidR="002829E9" w:rsidRPr="00886D8A">
              <w:t>(</w:t>
            </w:r>
            <w:r w:rsidR="00EB0321" w:rsidRPr="00886D8A">
              <w:t>109.8)</w:t>
            </w:r>
          </w:p>
        </w:tc>
        <w:tc>
          <w:tcPr>
            <w:tcW w:w="532" w:type="pct"/>
            <w:tcMar>
              <w:left w:w="20" w:type="dxa"/>
              <w:right w:w="20" w:type="dxa"/>
            </w:tcMar>
          </w:tcPr>
          <w:p w14:paraId="021E9B41" w14:textId="65E7EA90" w:rsidR="00EB0321" w:rsidRPr="00886D8A" w:rsidRDefault="00EB0321" w:rsidP="004E36D3">
            <w:pPr>
              <w:pStyle w:val="TableText0"/>
              <w:jc w:val="center"/>
            </w:pPr>
            <w:r w:rsidRPr="00886D8A">
              <w:t>0.67 (0.764)</w:t>
            </w:r>
          </w:p>
        </w:tc>
        <w:tc>
          <w:tcPr>
            <w:tcW w:w="598" w:type="pct"/>
            <w:tcMar>
              <w:left w:w="20" w:type="dxa"/>
              <w:right w:w="20" w:type="dxa"/>
            </w:tcMar>
          </w:tcPr>
          <w:p w14:paraId="2C6E9B4F" w14:textId="731A1E3B" w:rsidR="00EB0321" w:rsidRPr="00886D8A" w:rsidRDefault="00EB0321" w:rsidP="004E36D3">
            <w:pPr>
              <w:pStyle w:val="TableText0"/>
              <w:jc w:val="center"/>
            </w:pPr>
            <w:r w:rsidRPr="00886D8A">
              <w:t>0.07 (0.80)</w:t>
            </w:r>
          </w:p>
        </w:tc>
        <w:tc>
          <w:tcPr>
            <w:tcW w:w="678" w:type="pct"/>
            <w:tcMar>
              <w:left w:w="20" w:type="dxa"/>
              <w:right w:w="20" w:type="dxa"/>
            </w:tcMar>
          </w:tcPr>
          <w:p w14:paraId="2A48FCB1" w14:textId="35FFB212" w:rsidR="00EB0321" w:rsidRPr="00886D8A" w:rsidRDefault="00EB0321" w:rsidP="004E36D3">
            <w:pPr>
              <w:pStyle w:val="TableText0"/>
              <w:jc w:val="center"/>
            </w:pPr>
            <w:r w:rsidRPr="00886D8A">
              <w:t xml:space="preserve">72.32 </w:t>
            </w:r>
            <w:r w:rsidR="002829E9" w:rsidRPr="00886D8A">
              <w:t>(</w:t>
            </w:r>
            <w:r w:rsidRPr="00886D8A">
              <w:t>212.9)</w:t>
            </w:r>
          </w:p>
        </w:tc>
      </w:tr>
      <w:tr w:rsidR="00B51CD2" w:rsidRPr="00886D8A" w14:paraId="4745F5E9" w14:textId="77777777" w:rsidTr="00B51CD2">
        <w:trPr>
          <w:trHeight w:val="20"/>
        </w:trPr>
        <w:tc>
          <w:tcPr>
            <w:tcW w:w="583" w:type="pct"/>
            <w:tcMar>
              <w:left w:w="20" w:type="dxa"/>
              <w:right w:w="20" w:type="dxa"/>
            </w:tcMar>
          </w:tcPr>
          <w:p w14:paraId="69505A61" w14:textId="57354073" w:rsidR="00EB0321" w:rsidRPr="00886D8A" w:rsidRDefault="00EB0321" w:rsidP="004E36D3">
            <w:pPr>
              <w:pStyle w:val="TableText0"/>
            </w:pPr>
            <w:r w:rsidRPr="00886D8A">
              <w:t xml:space="preserve">Median </w:t>
            </w:r>
            <w:r w:rsidR="00B51CD2" w:rsidRPr="00886D8A">
              <w:br/>
            </w:r>
            <w:r w:rsidRPr="00886D8A">
              <w:t>(min, max)</w:t>
            </w:r>
          </w:p>
        </w:tc>
        <w:tc>
          <w:tcPr>
            <w:tcW w:w="746" w:type="pct"/>
            <w:tcMar>
              <w:left w:w="20" w:type="dxa"/>
              <w:right w:w="20" w:type="dxa"/>
            </w:tcMar>
          </w:tcPr>
          <w:p w14:paraId="4AA82197" w14:textId="05EDEE8E" w:rsidR="00EB0321" w:rsidRPr="00886D8A" w:rsidRDefault="00EB0321" w:rsidP="004E36D3">
            <w:pPr>
              <w:pStyle w:val="TableText0"/>
              <w:jc w:val="center"/>
            </w:pPr>
            <w:r w:rsidRPr="00886D8A">
              <w:t xml:space="preserve">0.47 </w:t>
            </w:r>
            <w:r w:rsidR="00B51CD2" w:rsidRPr="00886D8A">
              <w:br/>
            </w:r>
            <w:r w:rsidRPr="00886D8A">
              <w:t>(0.00, 2.52)</w:t>
            </w:r>
          </w:p>
        </w:tc>
        <w:tc>
          <w:tcPr>
            <w:tcW w:w="599" w:type="pct"/>
            <w:tcMar>
              <w:left w:w="20" w:type="dxa"/>
              <w:right w:w="20" w:type="dxa"/>
            </w:tcMar>
          </w:tcPr>
          <w:p w14:paraId="2F1D7C57" w14:textId="77777777" w:rsidR="00EB0321" w:rsidRPr="00886D8A" w:rsidRDefault="00EB0321" w:rsidP="004E36D3">
            <w:pPr>
              <w:pStyle w:val="TableText0"/>
              <w:jc w:val="center"/>
            </w:pPr>
            <w:r w:rsidRPr="00886D8A">
              <w:t xml:space="preserve">0.18 </w:t>
            </w:r>
          </w:p>
          <w:p w14:paraId="1937F152" w14:textId="77777777" w:rsidR="00EB0321" w:rsidRPr="00886D8A" w:rsidRDefault="00EB0321" w:rsidP="004E36D3">
            <w:pPr>
              <w:pStyle w:val="TableText0"/>
              <w:jc w:val="center"/>
            </w:pPr>
            <w:r w:rsidRPr="00886D8A">
              <w:t>(0.00, 2.55)</w:t>
            </w:r>
          </w:p>
        </w:tc>
        <w:tc>
          <w:tcPr>
            <w:tcW w:w="599" w:type="pct"/>
            <w:tcMar>
              <w:left w:w="20" w:type="dxa"/>
              <w:right w:w="20" w:type="dxa"/>
            </w:tcMar>
          </w:tcPr>
          <w:p w14:paraId="123196DB" w14:textId="77777777" w:rsidR="00EB0321" w:rsidRPr="00886D8A" w:rsidRDefault="00EB0321" w:rsidP="004E36D3">
            <w:pPr>
              <w:pStyle w:val="TableText0"/>
              <w:jc w:val="center"/>
            </w:pPr>
            <w:r w:rsidRPr="00886D8A">
              <w:t xml:space="preserve">0.02 </w:t>
            </w:r>
          </w:p>
          <w:p w14:paraId="13750EA7" w14:textId="0A02D1F2" w:rsidR="00EB0321" w:rsidRPr="00886D8A" w:rsidRDefault="00EB0321" w:rsidP="004E36D3">
            <w:pPr>
              <w:pStyle w:val="TableText0"/>
              <w:jc w:val="center"/>
            </w:pPr>
            <w:r w:rsidRPr="00886D8A">
              <w:t>(</w:t>
            </w:r>
            <w:r w:rsidR="0011024A">
              <w:noBreakHyphen/>
            </w:r>
            <w:r w:rsidRPr="00886D8A">
              <w:t>1.83, 1.59)</w:t>
            </w:r>
          </w:p>
        </w:tc>
        <w:tc>
          <w:tcPr>
            <w:tcW w:w="665" w:type="pct"/>
            <w:tcMar>
              <w:left w:w="20" w:type="dxa"/>
              <w:right w:w="20" w:type="dxa"/>
            </w:tcMar>
          </w:tcPr>
          <w:p w14:paraId="0CBFCDE6" w14:textId="20A25B89" w:rsidR="00EB0321" w:rsidRPr="00886D8A" w:rsidRDefault="0011024A" w:rsidP="004E36D3">
            <w:pPr>
              <w:pStyle w:val="TableText0"/>
              <w:jc w:val="center"/>
            </w:pPr>
            <w:r>
              <w:noBreakHyphen/>
            </w:r>
            <w:r w:rsidR="00EB0321" w:rsidRPr="00886D8A">
              <w:t xml:space="preserve">44.2 </w:t>
            </w:r>
          </w:p>
          <w:p w14:paraId="354AB0FE" w14:textId="4A1F7BB1" w:rsidR="00EB0321" w:rsidRPr="00886D8A" w:rsidRDefault="00EB0321" w:rsidP="004E36D3">
            <w:pPr>
              <w:pStyle w:val="TableText0"/>
              <w:jc w:val="center"/>
            </w:pPr>
            <w:r w:rsidRPr="00886D8A">
              <w:t>(</w:t>
            </w:r>
            <w:r w:rsidR="0011024A">
              <w:noBreakHyphen/>
            </w:r>
            <w:r w:rsidRPr="00886D8A">
              <w:t>100, 400.0)</w:t>
            </w:r>
          </w:p>
        </w:tc>
        <w:tc>
          <w:tcPr>
            <w:tcW w:w="532" w:type="pct"/>
            <w:tcMar>
              <w:left w:w="20" w:type="dxa"/>
              <w:right w:w="20" w:type="dxa"/>
            </w:tcMar>
          </w:tcPr>
          <w:p w14:paraId="0D74E235" w14:textId="77777777" w:rsidR="00EB0321" w:rsidRPr="00886D8A" w:rsidRDefault="00EB0321" w:rsidP="004E36D3">
            <w:pPr>
              <w:pStyle w:val="TableText0"/>
              <w:jc w:val="center"/>
            </w:pPr>
            <w:r w:rsidRPr="00886D8A">
              <w:t>0.33</w:t>
            </w:r>
          </w:p>
          <w:p w14:paraId="5816CE3D" w14:textId="77777777" w:rsidR="00EB0321" w:rsidRPr="00886D8A" w:rsidRDefault="00EB0321" w:rsidP="004E36D3">
            <w:pPr>
              <w:pStyle w:val="TableText0"/>
              <w:jc w:val="center"/>
            </w:pPr>
            <w:r w:rsidRPr="00886D8A">
              <w:t>(0.00, 2.55)</w:t>
            </w:r>
          </w:p>
        </w:tc>
        <w:tc>
          <w:tcPr>
            <w:tcW w:w="598" w:type="pct"/>
            <w:tcMar>
              <w:left w:w="20" w:type="dxa"/>
              <w:right w:w="20" w:type="dxa"/>
            </w:tcMar>
          </w:tcPr>
          <w:p w14:paraId="7DF2E2D5" w14:textId="77777777" w:rsidR="00EB0321" w:rsidRPr="00886D8A" w:rsidRDefault="00EB0321" w:rsidP="004E36D3">
            <w:pPr>
              <w:pStyle w:val="TableText0"/>
              <w:jc w:val="center"/>
            </w:pPr>
            <w:r w:rsidRPr="00886D8A">
              <w:t xml:space="preserve">0.045 </w:t>
            </w:r>
          </w:p>
          <w:p w14:paraId="69F4FC10" w14:textId="0665E6E9" w:rsidR="00EB0321" w:rsidRPr="00886D8A" w:rsidRDefault="00EB0321" w:rsidP="004E36D3">
            <w:pPr>
              <w:pStyle w:val="TableText0"/>
              <w:jc w:val="center"/>
            </w:pPr>
            <w:r w:rsidRPr="00886D8A">
              <w:t>(</w:t>
            </w:r>
            <w:r w:rsidR="0011024A">
              <w:noBreakHyphen/>
            </w:r>
            <w:r w:rsidRPr="00886D8A">
              <w:t>1.83, 1.62)</w:t>
            </w:r>
          </w:p>
        </w:tc>
        <w:tc>
          <w:tcPr>
            <w:tcW w:w="678" w:type="pct"/>
            <w:tcMar>
              <w:left w:w="20" w:type="dxa"/>
              <w:right w:w="20" w:type="dxa"/>
            </w:tcMar>
          </w:tcPr>
          <w:p w14:paraId="7676E739" w14:textId="77777777" w:rsidR="00EB0321" w:rsidRPr="00886D8A" w:rsidRDefault="00EB0321" w:rsidP="004E36D3">
            <w:pPr>
              <w:pStyle w:val="TableText0"/>
              <w:jc w:val="center"/>
            </w:pPr>
            <w:r w:rsidRPr="00886D8A">
              <w:t xml:space="preserve">9.52 </w:t>
            </w:r>
          </w:p>
          <w:p w14:paraId="4A9167BF" w14:textId="65798BC3" w:rsidR="00EB0321" w:rsidRPr="00886D8A" w:rsidRDefault="00EB0321" w:rsidP="004E36D3">
            <w:pPr>
              <w:pStyle w:val="TableText0"/>
              <w:jc w:val="center"/>
            </w:pPr>
            <w:r w:rsidRPr="00886D8A">
              <w:t>(</w:t>
            </w:r>
            <w:r w:rsidR="0011024A">
              <w:noBreakHyphen/>
            </w:r>
            <w:r w:rsidRPr="00886D8A">
              <w:t>100, 766.7)</w:t>
            </w:r>
          </w:p>
        </w:tc>
      </w:tr>
      <w:tr w:rsidR="00EB0321" w:rsidRPr="00886D8A" w14:paraId="77632E9B" w14:textId="77777777" w:rsidTr="002829E9">
        <w:trPr>
          <w:trHeight w:val="20"/>
        </w:trPr>
        <w:tc>
          <w:tcPr>
            <w:tcW w:w="5000" w:type="pct"/>
            <w:gridSpan w:val="8"/>
            <w:tcMar>
              <w:left w:w="20" w:type="dxa"/>
              <w:right w:w="20" w:type="dxa"/>
            </w:tcMar>
          </w:tcPr>
          <w:p w14:paraId="61F7B838" w14:textId="77777777" w:rsidR="00EB0321" w:rsidRPr="00886D8A" w:rsidRDefault="00EB0321" w:rsidP="004E36D3">
            <w:pPr>
              <w:pStyle w:val="TableText0"/>
              <w:rPr>
                <w:b/>
                <w:bCs w:val="0"/>
              </w:rPr>
            </w:pPr>
            <w:r w:rsidRPr="00886D8A">
              <w:rPr>
                <w:b/>
                <w:bCs w:val="0"/>
              </w:rPr>
              <w:t>Change in CHAQ general score (VAS) from baseline to last observation</w:t>
            </w:r>
          </w:p>
        </w:tc>
      </w:tr>
      <w:tr w:rsidR="00B51CD2" w:rsidRPr="00886D8A" w14:paraId="06D774B0" w14:textId="77777777" w:rsidTr="00B51CD2">
        <w:trPr>
          <w:trHeight w:val="20"/>
        </w:trPr>
        <w:tc>
          <w:tcPr>
            <w:tcW w:w="583" w:type="pct"/>
            <w:tcMar>
              <w:left w:w="20" w:type="dxa"/>
              <w:right w:w="20" w:type="dxa"/>
            </w:tcMar>
          </w:tcPr>
          <w:p w14:paraId="32FFF096" w14:textId="4A5A3AEC" w:rsidR="00EB0321" w:rsidRPr="00886D8A" w:rsidRDefault="00195FC2" w:rsidP="004E36D3">
            <w:pPr>
              <w:pStyle w:val="TableText0"/>
            </w:pPr>
            <w:r w:rsidRPr="00886D8A">
              <w:t>N</w:t>
            </w:r>
          </w:p>
        </w:tc>
        <w:tc>
          <w:tcPr>
            <w:tcW w:w="746" w:type="pct"/>
            <w:tcMar>
              <w:left w:w="20" w:type="dxa"/>
              <w:right w:w="20" w:type="dxa"/>
            </w:tcMar>
          </w:tcPr>
          <w:p w14:paraId="1FBD8322" w14:textId="77777777" w:rsidR="00EB0321" w:rsidRPr="00886D8A" w:rsidRDefault="00EB0321" w:rsidP="004E36D3">
            <w:pPr>
              <w:pStyle w:val="TableText0"/>
              <w:jc w:val="center"/>
            </w:pPr>
            <w:r w:rsidRPr="00886D8A">
              <w:t>32</w:t>
            </w:r>
          </w:p>
        </w:tc>
        <w:tc>
          <w:tcPr>
            <w:tcW w:w="599" w:type="pct"/>
            <w:tcMar>
              <w:left w:w="20" w:type="dxa"/>
              <w:right w:w="20" w:type="dxa"/>
            </w:tcMar>
          </w:tcPr>
          <w:p w14:paraId="445C849F" w14:textId="77777777" w:rsidR="00EB0321" w:rsidRPr="00886D8A" w:rsidRDefault="00EB0321" w:rsidP="004E36D3">
            <w:pPr>
              <w:pStyle w:val="TableText0"/>
              <w:jc w:val="center"/>
            </w:pPr>
            <w:r w:rsidRPr="00886D8A">
              <w:t>33</w:t>
            </w:r>
          </w:p>
        </w:tc>
        <w:tc>
          <w:tcPr>
            <w:tcW w:w="599" w:type="pct"/>
            <w:tcMar>
              <w:left w:w="20" w:type="dxa"/>
              <w:right w:w="20" w:type="dxa"/>
            </w:tcMar>
          </w:tcPr>
          <w:p w14:paraId="2C58965D" w14:textId="77777777" w:rsidR="00EB0321" w:rsidRPr="00886D8A" w:rsidRDefault="00EB0321" w:rsidP="004E36D3">
            <w:pPr>
              <w:pStyle w:val="TableText0"/>
              <w:jc w:val="center"/>
            </w:pPr>
            <w:r w:rsidRPr="00886D8A">
              <w:t>32</w:t>
            </w:r>
          </w:p>
        </w:tc>
        <w:tc>
          <w:tcPr>
            <w:tcW w:w="665" w:type="pct"/>
            <w:tcMar>
              <w:left w:w="20" w:type="dxa"/>
              <w:right w:w="20" w:type="dxa"/>
            </w:tcMar>
          </w:tcPr>
          <w:p w14:paraId="5D8D3604" w14:textId="77777777" w:rsidR="00EB0321" w:rsidRPr="00886D8A" w:rsidRDefault="00EB0321" w:rsidP="004E36D3">
            <w:pPr>
              <w:pStyle w:val="TableText0"/>
              <w:jc w:val="center"/>
            </w:pPr>
            <w:r w:rsidRPr="00886D8A">
              <w:t>27</w:t>
            </w:r>
          </w:p>
        </w:tc>
        <w:tc>
          <w:tcPr>
            <w:tcW w:w="532" w:type="pct"/>
            <w:tcMar>
              <w:left w:w="20" w:type="dxa"/>
              <w:right w:w="20" w:type="dxa"/>
            </w:tcMar>
          </w:tcPr>
          <w:p w14:paraId="0D5E1531" w14:textId="77777777" w:rsidR="00EB0321" w:rsidRPr="00886D8A" w:rsidRDefault="00EB0321" w:rsidP="004E36D3">
            <w:pPr>
              <w:pStyle w:val="TableText0"/>
              <w:jc w:val="center"/>
            </w:pPr>
            <w:r w:rsidRPr="00886D8A">
              <w:t>NR</w:t>
            </w:r>
          </w:p>
        </w:tc>
        <w:tc>
          <w:tcPr>
            <w:tcW w:w="598" w:type="pct"/>
            <w:tcMar>
              <w:left w:w="20" w:type="dxa"/>
              <w:right w:w="20" w:type="dxa"/>
            </w:tcMar>
          </w:tcPr>
          <w:p w14:paraId="6D5FB531" w14:textId="77777777" w:rsidR="00EB0321" w:rsidRPr="00886D8A" w:rsidRDefault="00EB0321" w:rsidP="004E36D3">
            <w:pPr>
              <w:pStyle w:val="TableText0"/>
              <w:jc w:val="center"/>
            </w:pPr>
            <w:r w:rsidRPr="00886D8A">
              <w:t>NR</w:t>
            </w:r>
          </w:p>
        </w:tc>
        <w:tc>
          <w:tcPr>
            <w:tcW w:w="678" w:type="pct"/>
            <w:tcMar>
              <w:left w:w="20" w:type="dxa"/>
              <w:right w:w="20" w:type="dxa"/>
            </w:tcMar>
          </w:tcPr>
          <w:p w14:paraId="0BB70214" w14:textId="77777777" w:rsidR="00EB0321" w:rsidRPr="00886D8A" w:rsidRDefault="00EB0321" w:rsidP="004E36D3">
            <w:pPr>
              <w:pStyle w:val="TableText0"/>
              <w:jc w:val="center"/>
            </w:pPr>
            <w:r w:rsidRPr="00886D8A">
              <w:t>NR</w:t>
            </w:r>
          </w:p>
        </w:tc>
      </w:tr>
      <w:tr w:rsidR="00B51CD2" w:rsidRPr="00886D8A" w14:paraId="46BDF071" w14:textId="77777777" w:rsidTr="00B51CD2">
        <w:trPr>
          <w:trHeight w:val="20"/>
        </w:trPr>
        <w:tc>
          <w:tcPr>
            <w:tcW w:w="583" w:type="pct"/>
            <w:tcMar>
              <w:left w:w="20" w:type="dxa"/>
              <w:right w:w="20" w:type="dxa"/>
            </w:tcMar>
          </w:tcPr>
          <w:p w14:paraId="12A438FD" w14:textId="77777777" w:rsidR="00EB0321" w:rsidRPr="00886D8A" w:rsidRDefault="00EB0321" w:rsidP="004E36D3">
            <w:pPr>
              <w:pStyle w:val="TableText0"/>
            </w:pPr>
            <w:r w:rsidRPr="00886D8A">
              <w:t>Mean (SD)</w:t>
            </w:r>
          </w:p>
        </w:tc>
        <w:tc>
          <w:tcPr>
            <w:tcW w:w="746" w:type="pct"/>
            <w:tcMar>
              <w:left w:w="20" w:type="dxa"/>
              <w:right w:w="20" w:type="dxa"/>
            </w:tcMar>
          </w:tcPr>
          <w:p w14:paraId="412B0C77" w14:textId="77777777" w:rsidR="00EB0321" w:rsidRPr="00886D8A" w:rsidRDefault="00EB0321" w:rsidP="004E36D3">
            <w:pPr>
              <w:pStyle w:val="TableText0"/>
              <w:jc w:val="center"/>
            </w:pPr>
            <w:r w:rsidRPr="00886D8A">
              <w:t>1.05 (0.77)</w:t>
            </w:r>
          </w:p>
        </w:tc>
        <w:tc>
          <w:tcPr>
            <w:tcW w:w="599" w:type="pct"/>
            <w:tcMar>
              <w:left w:w="20" w:type="dxa"/>
              <w:right w:w="20" w:type="dxa"/>
            </w:tcMar>
          </w:tcPr>
          <w:p w14:paraId="684DB4ED" w14:textId="33DBE0D0" w:rsidR="00EB0321" w:rsidRPr="00886D8A" w:rsidRDefault="00EB0321" w:rsidP="004E36D3">
            <w:pPr>
              <w:pStyle w:val="TableText0"/>
              <w:jc w:val="center"/>
            </w:pPr>
            <w:r w:rsidRPr="00886D8A">
              <w:t>0.95</w:t>
            </w:r>
            <w:r w:rsidR="00B51CD2" w:rsidRPr="00886D8A">
              <w:t xml:space="preserve"> </w:t>
            </w:r>
            <w:r w:rsidRPr="00886D8A">
              <w:t>(0.72)</w:t>
            </w:r>
          </w:p>
        </w:tc>
        <w:tc>
          <w:tcPr>
            <w:tcW w:w="599" w:type="pct"/>
            <w:tcMar>
              <w:left w:w="20" w:type="dxa"/>
              <w:right w:w="20" w:type="dxa"/>
            </w:tcMar>
          </w:tcPr>
          <w:p w14:paraId="3C84972C" w14:textId="58AF2946" w:rsidR="00EB0321" w:rsidRPr="00886D8A" w:rsidRDefault="0011024A" w:rsidP="004E36D3">
            <w:pPr>
              <w:pStyle w:val="TableText0"/>
              <w:jc w:val="center"/>
            </w:pPr>
            <w:r>
              <w:noBreakHyphen/>
            </w:r>
            <w:r w:rsidR="00EB0321" w:rsidRPr="00886D8A">
              <w:t>0.07</w:t>
            </w:r>
            <w:r w:rsidR="00B51CD2" w:rsidRPr="00886D8A">
              <w:t xml:space="preserve"> </w:t>
            </w:r>
            <w:r w:rsidR="00EB0321" w:rsidRPr="00886D8A">
              <w:t>(0.62)</w:t>
            </w:r>
          </w:p>
        </w:tc>
        <w:tc>
          <w:tcPr>
            <w:tcW w:w="665" w:type="pct"/>
            <w:tcMar>
              <w:left w:w="20" w:type="dxa"/>
              <w:right w:w="20" w:type="dxa"/>
            </w:tcMar>
          </w:tcPr>
          <w:p w14:paraId="45A854D7" w14:textId="77777777" w:rsidR="00EB0321" w:rsidRPr="00886D8A" w:rsidRDefault="00EB0321" w:rsidP="004E36D3">
            <w:pPr>
              <w:pStyle w:val="TableText0"/>
              <w:jc w:val="center"/>
            </w:pPr>
            <w:r w:rsidRPr="00886D8A">
              <w:t>10.36 (73.63)</w:t>
            </w:r>
          </w:p>
        </w:tc>
        <w:tc>
          <w:tcPr>
            <w:tcW w:w="532" w:type="pct"/>
            <w:tcMar>
              <w:left w:w="20" w:type="dxa"/>
              <w:right w:w="20" w:type="dxa"/>
            </w:tcMar>
          </w:tcPr>
          <w:p w14:paraId="65CB9E7C" w14:textId="77777777" w:rsidR="00EB0321" w:rsidRPr="00886D8A" w:rsidRDefault="00EB0321" w:rsidP="004E36D3">
            <w:pPr>
              <w:pStyle w:val="TableText0"/>
              <w:jc w:val="center"/>
            </w:pPr>
            <w:r w:rsidRPr="00886D8A">
              <w:t>NR</w:t>
            </w:r>
          </w:p>
        </w:tc>
        <w:tc>
          <w:tcPr>
            <w:tcW w:w="598" w:type="pct"/>
            <w:tcMar>
              <w:left w:w="20" w:type="dxa"/>
              <w:right w:w="20" w:type="dxa"/>
            </w:tcMar>
          </w:tcPr>
          <w:p w14:paraId="4F8BE7D8" w14:textId="77777777" w:rsidR="00EB0321" w:rsidRPr="00886D8A" w:rsidRDefault="00EB0321" w:rsidP="004E36D3">
            <w:pPr>
              <w:pStyle w:val="TableText0"/>
              <w:jc w:val="center"/>
            </w:pPr>
            <w:r w:rsidRPr="00886D8A">
              <w:t>NR</w:t>
            </w:r>
          </w:p>
        </w:tc>
        <w:tc>
          <w:tcPr>
            <w:tcW w:w="678" w:type="pct"/>
            <w:tcMar>
              <w:left w:w="20" w:type="dxa"/>
              <w:right w:w="20" w:type="dxa"/>
            </w:tcMar>
          </w:tcPr>
          <w:p w14:paraId="454A196B" w14:textId="77777777" w:rsidR="00EB0321" w:rsidRPr="00886D8A" w:rsidRDefault="00EB0321" w:rsidP="004E36D3">
            <w:pPr>
              <w:pStyle w:val="TableText0"/>
              <w:jc w:val="center"/>
            </w:pPr>
            <w:r w:rsidRPr="00886D8A">
              <w:t>NR</w:t>
            </w:r>
          </w:p>
        </w:tc>
      </w:tr>
      <w:tr w:rsidR="00B51CD2" w:rsidRPr="00886D8A" w14:paraId="69A2D6DF" w14:textId="77777777" w:rsidTr="00B51CD2">
        <w:trPr>
          <w:trHeight w:val="20"/>
        </w:trPr>
        <w:tc>
          <w:tcPr>
            <w:tcW w:w="583" w:type="pct"/>
            <w:tcMar>
              <w:left w:w="20" w:type="dxa"/>
              <w:right w:w="20" w:type="dxa"/>
            </w:tcMar>
          </w:tcPr>
          <w:p w14:paraId="7FBDFF54" w14:textId="30F666ED" w:rsidR="00EB0321" w:rsidRPr="00886D8A" w:rsidRDefault="00EB0321" w:rsidP="004E36D3">
            <w:pPr>
              <w:pStyle w:val="TableText0"/>
            </w:pPr>
            <w:r w:rsidRPr="00886D8A">
              <w:t xml:space="preserve">Median </w:t>
            </w:r>
            <w:r w:rsidR="00B51CD2" w:rsidRPr="00886D8A">
              <w:br/>
            </w:r>
            <w:r w:rsidRPr="00886D8A">
              <w:t>(min, max)</w:t>
            </w:r>
          </w:p>
        </w:tc>
        <w:tc>
          <w:tcPr>
            <w:tcW w:w="746" w:type="pct"/>
            <w:tcMar>
              <w:left w:w="20" w:type="dxa"/>
              <w:right w:w="20" w:type="dxa"/>
            </w:tcMar>
          </w:tcPr>
          <w:p w14:paraId="36F94961" w14:textId="34D90DA9" w:rsidR="00EB0321" w:rsidRPr="00886D8A" w:rsidRDefault="00EB0321" w:rsidP="004E36D3">
            <w:pPr>
              <w:pStyle w:val="TableText0"/>
              <w:jc w:val="center"/>
            </w:pPr>
            <w:r w:rsidRPr="00886D8A">
              <w:t xml:space="preserve">1.05 </w:t>
            </w:r>
            <w:r w:rsidR="00B51CD2" w:rsidRPr="00886D8A">
              <w:br/>
            </w:r>
            <w:r w:rsidRPr="00886D8A">
              <w:t>(0.00, 2.55)</w:t>
            </w:r>
          </w:p>
        </w:tc>
        <w:tc>
          <w:tcPr>
            <w:tcW w:w="599" w:type="pct"/>
            <w:tcMar>
              <w:left w:w="20" w:type="dxa"/>
              <w:right w:w="20" w:type="dxa"/>
            </w:tcMar>
          </w:tcPr>
          <w:p w14:paraId="1480DE7D" w14:textId="77777777" w:rsidR="00EB0321" w:rsidRPr="00886D8A" w:rsidRDefault="00EB0321" w:rsidP="004E36D3">
            <w:pPr>
              <w:pStyle w:val="TableText0"/>
              <w:jc w:val="center"/>
            </w:pPr>
            <w:r w:rsidRPr="00886D8A">
              <w:t>0.84</w:t>
            </w:r>
          </w:p>
          <w:p w14:paraId="2EE4297E" w14:textId="77777777" w:rsidR="00EB0321" w:rsidRPr="00886D8A" w:rsidRDefault="00EB0321" w:rsidP="004E36D3">
            <w:pPr>
              <w:pStyle w:val="TableText0"/>
              <w:jc w:val="center"/>
            </w:pPr>
            <w:r w:rsidRPr="00886D8A">
              <w:t>(0.00, 2.58)</w:t>
            </w:r>
          </w:p>
        </w:tc>
        <w:tc>
          <w:tcPr>
            <w:tcW w:w="599" w:type="pct"/>
            <w:tcMar>
              <w:left w:w="20" w:type="dxa"/>
              <w:right w:w="20" w:type="dxa"/>
            </w:tcMar>
          </w:tcPr>
          <w:p w14:paraId="02189694" w14:textId="77777777" w:rsidR="00EB0321" w:rsidRPr="00886D8A" w:rsidRDefault="00EB0321" w:rsidP="004E36D3">
            <w:pPr>
              <w:pStyle w:val="TableText0"/>
              <w:jc w:val="center"/>
            </w:pPr>
            <w:r w:rsidRPr="00886D8A">
              <w:t>0.00</w:t>
            </w:r>
          </w:p>
          <w:p w14:paraId="04554A0A" w14:textId="74C37AAB" w:rsidR="00EB0321" w:rsidRPr="00886D8A" w:rsidRDefault="00EB0321" w:rsidP="004E36D3">
            <w:pPr>
              <w:pStyle w:val="TableText0"/>
              <w:jc w:val="center"/>
            </w:pPr>
            <w:r w:rsidRPr="00886D8A">
              <w:t>(</w:t>
            </w:r>
            <w:r w:rsidR="0011024A">
              <w:noBreakHyphen/>
            </w:r>
            <w:r w:rsidRPr="00886D8A">
              <w:t>1.20, 1.20)</w:t>
            </w:r>
          </w:p>
        </w:tc>
        <w:tc>
          <w:tcPr>
            <w:tcW w:w="665" w:type="pct"/>
            <w:tcMar>
              <w:left w:w="20" w:type="dxa"/>
              <w:right w:w="20" w:type="dxa"/>
            </w:tcMar>
          </w:tcPr>
          <w:p w14:paraId="570623CC" w14:textId="35F8A826" w:rsidR="00EB0321" w:rsidRPr="00886D8A" w:rsidRDefault="0011024A" w:rsidP="004E36D3">
            <w:pPr>
              <w:pStyle w:val="TableText0"/>
              <w:jc w:val="center"/>
            </w:pPr>
            <w:r>
              <w:noBreakHyphen/>
            </w:r>
            <w:r w:rsidR="00EB0321" w:rsidRPr="00886D8A">
              <w:t>12.7</w:t>
            </w:r>
          </w:p>
          <w:p w14:paraId="2198227E" w14:textId="7AFC32D0" w:rsidR="00EB0321" w:rsidRPr="00886D8A" w:rsidRDefault="00EB0321" w:rsidP="004E36D3">
            <w:pPr>
              <w:pStyle w:val="TableText0"/>
              <w:jc w:val="center"/>
            </w:pPr>
            <w:r w:rsidRPr="00886D8A">
              <w:t>(</w:t>
            </w:r>
            <w:r w:rsidR="0011024A">
              <w:noBreakHyphen/>
            </w:r>
            <w:r w:rsidRPr="00886D8A">
              <w:t>100, 237.5)</w:t>
            </w:r>
          </w:p>
        </w:tc>
        <w:tc>
          <w:tcPr>
            <w:tcW w:w="532" w:type="pct"/>
            <w:tcMar>
              <w:left w:w="20" w:type="dxa"/>
              <w:right w:w="20" w:type="dxa"/>
            </w:tcMar>
          </w:tcPr>
          <w:p w14:paraId="646FFAB6" w14:textId="77777777" w:rsidR="00EB0321" w:rsidRPr="00886D8A" w:rsidRDefault="00EB0321" w:rsidP="004E36D3">
            <w:pPr>
              <w:pStyle w:val="TableText0"/>
              <w:jc w:val="center"/>
            </w:pPr>
            <w:r w:rsidRPr="00886D8A">
              <w:t>NR</w:t>
            </w:r>
          </w:p>
        </w:tc>
        <w:tc>
          <w:tcPr>
            <w:tcW w:w="598" w:type="pct"/>
            <w:tcMar>
              <w:left w:w="20" w:type="dxa"/>
              <w:right w:w="20" w:type="dxa"/>
            </w:tcMar>
          </w:tcPr>
          <w:p w14:paraId="36F20823" w14:textId="77777777" w:rsidR="00EB0321" w:rsidRPr="00886D8A" w:rsidRDefault="00EB0321" w:rsidP="004E36D3">
            <w:pPr>
              <w:pStyle w:val="TableText0"/>
              <w:jc w:val="center"/>
            </w:pPr>
            <w:r w:rsidRPr="00886D8A">
              <w:t>NR</w:t>
            </w:r>
          </w:p>
        </w:tc>
        <w:tc>
          <w:tcPr>
            <w:tcW w:w="678" w:type="pct"/>
            <w:tcMar>
              <w:left w:w="20" w:type="dxa"/>
              <w:right w:w="20" w:type="dxa"/>
            </w:tcMar>
          </w:tcPr>
          <w:p w14:paraId="7E2EEF64" w14:textId="77777777" w:rsidR="00EB0321" w:rsidRPr="00886D8A" w:rsidRDefault="00EB0321" w:rsidP="004E36D3">
            <w:pPr>
              <w:pStyle w:val="TableText0"/>
              <w:jc w:val="center"/>
            </w:pPr>
            <w:r w:rsidRPr="00886D8A">
              <w:t>NR</w:t>
            </w:r>
          </w:p>
        </w:tc>
      </w:tr>
      <w:tr w:rsidR="00EB0321" w:rsidRPr="00886D8A" w14:paraId="2F504FD0" w14:textId="77777777" w:rsidTr="002829E9">
        <w:trPr>
          <w:trHeight w:val="20"/>
        </w:trPr>
        <w:tc>
          <w:tcPr>
            <w:tcW w:w="5000" w:type="pct"/>
            <w:gridSpan w:val="8"/>
            <w:tcMar>
              <w:left w:w="20" w:type="dxa"/>
              <w:right w:w="20" w:type="dxa"/>
            </w:tcMar>
          </w:tcPr>
          <w:p w14:paraId="271A197B" w14:textId="058BBD0F" w:rsidR="00EB0321" w:rsidRPr="00886D8A" w:rsidRDefault="00EB0321" w:rsidP="004E36D3">
            <w:pPr>
              <w:pStyle w:val="TableText0"/>
              <w:rPr>
                <w:b/>
                <w:bCs w:val="0"/>
              </w:rPr>
            </w:pPr>
            <w:r w:rsidRPr="00886D8A">
              <w:rPr>
                <w:b/>
                <w:bCs w:val="0"/>
              </w:rPr>
              <w:t>Change in EQ</w:t>
            </w:r>
            <w:r w:rsidR="0011024A">
              <w:rPr>
                <w:b/>
                <w:bCs w:val="0"/>
              </w:rPr>
              <w:noBreakHyphen/>
            </w:r>
            <w:r w:rsidRPr="00886D8A">
              <w:rPr>
                <w:b/>
                <w:bCs w:val="0"/>
              </w:rPr>
              <w:t>5D</w:t>
            </w:r>
            <w:r w:rsidR="0011024A">
              <w:rPr>
                <w:b/>
                <w:bCs w:val="0"/>
              </w:rPr>
              <w:noBreakHyphen/>
            </w:r>
            <w:r w:rsidRPr="00886D8A">
              <w:rPr>
                <w:b/>
                <w:bCs w:val="0"/>
              </w:rPr>
              <w:t>5L Health Index score from baseline to last observation</w:t>
            </w:r>
          </w:p>
        </w:tc>
      </w:tr>
      <w:tr w:rsidR="00B51CD2" w:rsidRPr="00886D8A" w14:paraId="5D0943F9" w14:textId="77777777" w:rsidTr="00B51CD2">
        <w:trPr>
          <w:trHeight w:val="20"/>
        </w:trPr>
        <w:tc>
          <w:tcPr>
            <w:tcW w:w="583" w:type="pct"/>
            <w:tcMar>
              <w:left w:w="20" w:type="dxa"/>
              <w:right w:w="20" w:type="dxa"/>
            </w:tcMar>
          </w:tcPr>
          <w:p w14:paraId="3712A705" w14:textId="65AB92E5" w:rsidR="00EB0321" w:rsidRPr="00886D8A" w:rsidRDefault="00195FC2" w:rsidP="004E36D3">
            <w:pPr>
              <w:pStyle w:val="TableText0"/>
            </w:pPr>
            <w:r w:rsidRPr="00886D8A">
              <w:t>N</w:t>
            </w:r>
          </w:p>
        </w:tc>
        <w:tc>
          <w:tcPr>
            <w:tcW w:w="746" w:type="pct"/>
            <w:tcMar>
              <w:left w:w="20" w:type="dxa"/>
              <w:right w:w="20" w:type="dxa"/>
            </w:tcMar>
          </w:tcPr>
          <w:p w14:paraId="619E3717" w14:textId="77777777" w:rsidR="00EB0321" w:rsidRPr="00886D8A" w:rsidRDefault="00EB0321" w:rsidP="004E36D3">
            <w:pPr>
              <w:pStyle w:val="TableText0"/>
              <w:jc w:val="center"/>
            </w:pPr>
            <w:r w:rsidRPr="00886D8A">
              <w:t>24</w:t>
            </w:r>
          </w:p>
        </w:tc>
        <w:tc>
          <w:tcPr>
            <w:tcW w:w="599" w:type="pct"/>
            <w:tcMar>
              <w:left w:w="20" w:type="dxa"/>
              <w:right w:w="20" w:type="dxa"/>
            </w:tcMar>
          </w:tcPr>
          <w:p w14:paraId="0DB46A1D" w14:textId="77777777" w:rsidR="00EB0321" w:rsidRPr="00886D8A" w:rsidRDefault="00EB0321" w:rsidP="004E36D3">
            <w:pPr>
              <w:pStyle w:val="TableText0"/>
              <w:jc w:val="center"/>
            </w:pPr>
            <w:r w:rsidRPr="00886D8A">
              <w:t>24</w:t>
            </w:r>
          </w:p>
        </w:tc>
        <w:tc>
          <w:tcPr>
            <w:tcW w:w="599" w:type="pct"/>
            <w:tcMar>
              <w:left w:w="20" w:type="dxa"/>
              <w:right w:w="20" w:type="dxa"/>
            </w:tcMar>
          </w:tcPr>
          <w:p w14:paraId="5D579E92" w14:textId="77777777" w:rsidR="00EB0321" w:rsidRPr="00886D8A" w:rsidRDefault="00EB0321" w:rsidP="004E36D3">
            <w:pPr>
              <w:pStyle w:val="TableText0"/>
              <w:jc w:val="center"/>
            </w:pPr>
            <w:r w:rsidRPr="00886D8A">
              <w:t>24</w:t>
            </w:r>
          </w:p>
        </w:tc>
        <w:tc>
          <w:tcPr>
            <w:tcW w:w="665" w:type="pct"/>
            <w:tcMar>
              <w:left w:w="20" w:type="dxa"/>
              <w:right w:w="20" w:type="dxa"/>
            </w:tcMar>
          </w:tcPr>
          <w:p w14:paraId="056B1E2F" w14:textId="77777777" w:rsidR="00EB0321" w:rsidRPr="00886D8A" w:rsidRDefault="00EB0321" w:rsidP="004E36D3">
            <w:pPr>
              <w:pStyle w:val="TableText0"/>
              <w:jc w:val="center"/>
            </w:pPr>
            <w:r w:rsidRPr="00886D8A">
              <w:t>24</w:t>
            </w:r>
          </w:p>
        </w:tc>
        <w:tc>
          <w:tcPr>
            <w:tcW w:w="532" w:type="pct"/>
            <w:tcMar>
              <w:left w:w="20" w:type="dxa"/>
              <w:right w:w="20" w:type="dxa"/>
            </w:tcMar>
          </w:tcPr>
          <w:p w14:paraId="7971AE10" w14:textId="77777777" w:rsidR="00EB0321" w:rsidRPr="00886D8A" w:rsidRDefault="00EB0321" w:rsidP="004E36D3">
            <w:pPr>
              <w:pStyle w:val="TableText0"/>
              <w:jc w:val="center"/>
            </w:pPr>
            <w:r w:rsidRPr="00886D8A">
              <w:t>24</w:t>
            </w:r>
          </w:p>
        </w:tc>
        <w:tc>
          <w:tcPr>
            <w:tcW w:w="598" w:type="pct"/>
            <w:tcMar>
              <w:left w:w="20" w:type="dxa"/>
              <w:right w:w="20" w:type="dxa"/>
            </w:tcMar>
          </w:tcPr>
          <w:p w14:paraId="192F9679" w14:textId="77777777" w:rsidR="00EB0321" w:rsidRPr="00886D8A" w:rsidRDefault="00EB0321" w:rsidP="004E36D3">
            <w:pPr>
              <w:pStyle w:val="TableText0"/>
              <w:jc w:val="center"/>
            </w:pPr>
            <w:r w:rsidRPr="00886D8A">
              <w:t>24</w:t>
            </w:r>
          </w:p>
        </w:tc>
        <w:tc>
          <w:tcPr>
            <w:tcW w:w="678" w:type="pct"/>
            <w:tcMar>
              <w:left w:w="20" w:type="dxa"/>
              <w:right w:w="20" w:type="dxa"/>
            </w:tcMar>
          </w:tcPr>
          <w:p w14:paraId="51AC60C5" w14:textId="77777777" w:rsidR="00EB0321" w:rsidRPr="00886D8A" w:rsidRDefault="00EB0321" w:rsidP="004E36D3">
            <w:pPr>
              <w:pStyle w:val="TableText0"/>
              <w:jc w:val="center"/>
            </w:pPr>
            <w:r w:rsidRPr="00886D8A">
              <w:t>24</w:t>
            </w:r>
          </w:p>
        </w:tc>
      </w:tr>
      <w:tr w:rsidR="00B51CD2" w:rsidRPr="00886D8A" w14:paraId="61B56B1F" w14:textId="77777777" w:rsidTr="00B51CD2">
        <w:trPr>
          <w:trHeight w:val="20"/>
        </w:trPr>
        <w:tc>
          <w:tcPr>
            <w:tcW w:w="583" w:type="pct"/>
            <w:tcMar>
              <w:left w:w="20" w:type="dxa"/>
              <w:right w:w="20" w:type="dxa"/>
            </w:tcMar>
          </w:tcPr>
          <w:p w14:paraId="4781A290" w14:textId="77777777" w:rsidR="00EB0321" w:rsidRPr="00886D8A" w:rsidRDefault="00EB0321" w:rsidP="004E36D3">
            <w:pPr>
              <w:pStyle w:val="TableText0"/>
            </w:pPr>
            <w:r w:rsidRPr="00886D8A">
              <w:t>Mean (SD)</w:t>
            </w:r>
          </w:p>
        </w:tc>
        <w:tc>
          <w:tcPr>
            <w:tcW w:w="746" w:type="pct"/>
            <w:tcMar>
              <w:left w:w="20" w:type="dxa"/>
              <w:right w:w="20" w:type="dxa"/>
            </w:tcMar>
          </w:tcPr>
          <w:p w14:paraId="534658DC" w14:textId="77777777" w:rsidR="00EB0321" w:rsidRPr="00886D8A" w:rsidRDefault="00EB0321" w:rsidP="004E36D3">
            <w:pPr>
              <w:pStyle w:val="TableText0"/>
              <w:jc w:val="center"/>
            </w:pPr>
            <w:r w:rsidRPr="00886D8A">
              <w:t>0.62 (0.17)</w:t>
            </w:r>
          </w:p>
        </w:tc>
        <w:tc>
          <w:tcPr>
            <w:tcW w:w="599" w:type="pct"/>
            <w:tcMar>
              <w:left w:w="20" w:type="dxa"/>
              <w:right w:w="20" w:type="dxa"/>
            </w:tcMar>
          </w:tcPr>
          <w:p w14:paraId="42B73C1D" w14:textId="146CCBA5" w:rsidR="00EB0321" w:rsidRPr="00886D8A" w:rsidRDefault="00EB0321" w:rsidP="004E36D3">
            <w:pPr>
              <w:pStyle w:val="TableText0"/>
              <w:jc w:val="center"/>
            </w:pPr>
            <w:r w:rsidRPr="00886D8A">
              <w:t>0.67</w:t>
            </w:r>
            <w:r w:rsidR="00B51CD2" w:rsidRPr="00886D8A">
              <w:t xml:space="preserve"> </w:t>
            </w:r>
            <w:r w:rsidRPr="00886D8A">
              <w:t>(0.17)</w:t>
            </w:r>
          </w:p>
        </w:tc>
        <w:tc>
          <w:tcPr>
            <w:tcW w:w="599" w:type="pct"/>
            <w:tcMar>
              <w:left w:w="20" w:type="dxa"/>
              <w:right w:w="20" w:type="dxa"/>
            </w:tcMar>
          </w:tcPr>
          <w:p w14:paraId="6A3882D2" w14:textId="420ED3B8" w:rsidR="00EB0321" w:rsidRPr="00886D8A" w:rsidRDefault="00EB0321" w:rsidP="004E36D3">
            <w:pPr>
              <w:pStyle w:val="TableText0"/>
              <w:jc w:val="center"/>
              <w:rPr>
                <w:b/>
                <w:bCs w:val="0"/>
              </w:rPr>
            </w:pPr>
            <w:r w:rsidRPr="00886D8A">
              <w:rPr>
                <w:b/>
                <w:bCs w:val="0"/>
              </w:rPr>
              <w:t>0.05</w:t>
            </w:r>
            <w:r w:rsidR="00B51CD2" w:rsidRPr="00886D8A">
              <w:rPr>
                <w:b/>
                <w:bCs w:val="0"/>
              </w:rPr>
              <w:t xml:space="preserve"> </w:t>
            </w:r>
            <w:r w:rsidRPr="00886D8A">
              <w:rPr>
                <w:b/>
                <w:bCs w:val="0"/>
              </w:rPr>
              <w:t>(0.14)</w:t>
            </w:r>
          </w:p>
        </w:tc>
        <w:tc>
          <w:tcPr>
            <w:tcW w:w="665" w:type="pct"/>
            <w:tcMar>
              <w:left w:w="20" w:type="dxa"/>
              <w:right w:w="20" w:type="dxa"/>
            </w:tcMar>
          </w:tcPr>
          <w:p w14:paraId="14FFAD40" w14:textId="77777777" w:rsidR="00EB0321" w:rsidRPr="00886D8A" w:rsidRDefault="00EB0321" w:rsidP="004E36D3">
            <w:pPr>
              <w:pStyle w:val="TableText0"/>
              <w:jc w:val="center"/>
              <w:rPr>
                <w:b/>
                <w:bCs w:val="0"/>
              </w:rPr>
            </w:pPr>
            <w:r w:rsidRPr="00886D8A">
              <w:rPr>
                <w:b/>
                <w:bCs w:val="0"/>
              </w:rPr>
              <w:t>11.23 (24.72)</w:t>
            </w:r>
          </w:p>
        </w:tc>
        <w:tc>
          <w:tcPr>
            <w:tcW w:w="532" w:type="pct"/>
            <w:tcMar>
              <w:left w:w="20" w:type="dxa"/>
              <w:right w:w="20" w:type="dxa"/>
            </w:tcMar>
          </w:tcPr>
          <w:p w14:paraId="141FC376" w14:textId="1E96986B" w:rsidR="00EB0321" w:rsidRPr="00886D8A" w:rsidRDefault="00EB0321" w:rsidP="004E36D3">
            <w:pPr>
              <w:pStyle w:val="TableText0"/>
              <w:jc w:val="center"/>
            </w:pPr>
            <w:r w:rsidRPr="00886D8A">
              <w:t>0.65</w:t>
            </w:r>
            <w:r w:rsidR="00B51CD2" w:rsidRPr="00886D8A">
              <w:t xml:space="preserve"> </w:t>
            </w:r>
            <w:r w:rsidRPr="00886D8A">
              <w:t>(0.18)</w:t>
            </w:r>
          </w:p>
        </w:tc>
        <w:tc>
          <w:tcPr>
            <w:tcW w:w="598" w:type="pct"/>
            <w:tcMar>
              <w:left w:w="20" w:type="dxa"/>
              <w:right w:w="20" w:type="dxa"/>
            </w:tcMar>
          </w:tcPr>
          <w:p w14:paraId="34AAD5BC" w14:textId="05B52CFE" w:rsidR="00EB0321" w:rsidRPr="00886D8A" w:rsidRDefault="00EB0321" w:rsidP="004E36D3">
            <w:pPr>
              <w:pStyle w:val="TableText0"/>
              <w:jc w:val="center"/>
            </w:pPr>
            <w:r w:rsidRPr="00886D8A">
              <w:t>0.03</w:t>
            </w:r>
            <w:r w:rsidR="00B51CD2" w:rsidRPr="00886D8A">
              <w:t xml:space="preserve"> </w:t>
            </w:r>
            <w:r w:rsidRPr="00886D8A">
              <w:t>(0.18)</w:t>
            </w:r>
          </w:p>
        </w:tc>
        <w:tc>
          <w:tcPr>
            <w:tcW w:w="678" w:type="pct"/>
            <w:tcMar>
              <w:left w:w="20" w:type="dxa"/>
              <w:right w:w="20" w:type="dxa"/>
            </w:tcMar>
          </w:tcPr>
          <w:p w14:paraId="759B4BBC" w14:textId="4AFAD852" w:rsidR="00EB0321" w:rsidRPr="00886D8A" w:rsidRDefault="00EB0321" w:rsidP="004E36D3">
            <w:pPr>
              <w:pStyle w:val="TableText0"/>
              <w:jc w:val="center"/>
            </w:pPr>
            <w:r w:rsidRPr="00886D8A">
              <w:t>7.88</w:t>
            </w:r>
            <w:r w:rsidR="00B51CD2" w:rsidRPr="00886D8A">
              <w:t xml:space="preserve"> </w:t>
            </w:r>
            <w:r w:rsidRPr="00886D8A">
              <w:t>(28.77)</w:t>
            </w:r>
          </w:p>
        </w:tc>
      </w:tr>
      <w:tr w:rsidR="00B51CD2" w:rsidRPr="00886D8A" w14:paraId="690BFD40" w14:textId="77777777" w:rsidTr="00B51CD2">
        <w:trPr>
          <w:trHeight w:val="20"/>
        </w:trPr>
        <w:tc>
          <w:tcPr>
            <w:tcW w:w="583" w:type="pct"/>
            <w:tcMar>
              <w:left w:w="20" w:type="dxa"/>
              <w:right w:w="20" w:type="dxa"/>
            </w:tcMar>
          </w:tcPr>
          <w:p w14:paraId="07DB7FF9" w14:textId="77D76231" w:rsidR="00EB0321" w:rsidRPr="00886D8A" w:rsidRDefault="00EB0321" w:rsidP="004E36D3">
            <w:pPr>
              <w:pStyle w:val="TableText0"/>
            </w:pPr>
            <w:r w:rsidRPr="00886D8A">
              <w:t xml:space="preserve">Median </w:t>
            </w:r>
            <w:r w:rsidR="00B51CD2" w:rsidRPr="00886D8A">
              <w:br/>
            </w:r>
            <w:r w:rsidRPr="00886D8A">
              <w:t>(min, max)</w:t>
            </w:r>
          </w:p>
        </w:tc>
        <w:tc>
          <w:tcPr>
            <w:tcW w:w="746" w:type="pct"/>
            <w:tcMar>
              <w:left w:w="20" w:type="dxa"/>
              <w:right w:w="20" w:type="dxa"/>
            </w:tcMar>
          </w:tcPr>
          <w:p w14:paraId="0AC922AA" w14:textId="1449B0C3" w:rsidR="00EB0321" w:rsidRPr="00886D8A" w:rsidRDefault="00EB0321" w:rsidP="004E36D3">
            <w:pPr>
              <w:pStyle w:val="TableText0"/>
              <w:jc w:val="center"/>
            </w:pPr>
            <w:r w:rsidRPr="00886D8A">
              <w:t xml:space="preserve">0.61 </w:t>
            </w:r>
            <w:r w:rsidR="00B51CD2" w:rsidRPr="00886D8A">
              <w:br/>
            </w:r>
            <w:r w:rsidRPr="00886D8A">
              <w:t>(0.27, 1.00)</w:t>
            </w:r>
          </w:p>
        </w:tc>
        <w:tc>
          <w:tcPr>
            <w:tcW w:w="599" w:type="pct"/>
            <w:tcMar>
              <w:left w:w="20" w:type="dxa"/>
              <w:right w:w="20" w:type="dxa"/>
            </w:tcMar>
          </w:tcPr>
          <w:p w14:paraId="614397DE" w14:textId="77777777" w:rsidR="00EB0321" w:rsidRPr="00886D8A" w:rsidRDefault="00EB0321" w:rsidP="004E36D3">
            <w:pPr>
              <w:pStyle w:val="TableText0"/>
              <w:jc w:val="center"/>
            </w:pPr>
            <w:r w:rsidRPr="00886D8A">
              <w:t>0.65 (0.28,1.00)</w:t>
            </w:r>
          </w:p>
        </w:tc>
        <w:tc>
          <w:tcPr>
            <w:tcW w:w="599" w:type="pct"/>
            <w:tcMar>
              <w:left w:w="20" w:type="dxa"/>
              <w:right w:w="20" w:type="dxa"/>
            </w:tcMar>
          </w:tcPr>
          <w:p w14:paraId="7925FDC1" w14:textId="77777777" w:rsidR="00EB0321" w:rsidRPr="00886D8A" w:rsidRDefault="00EB0321" w:rsidP="004E36D3">
            <w:pPr>
              <w:pStyle w:val="TableText0"/>
              <w:jc w:val="center"/>
            </w:pPr>
            <w:r w:rsidRPr="00886D8A">
              <w:t>0.02</w:t>
            </w:r>
          </w:p>
          <w:p w14:paraId="4184DAB6" w14:textId="2FF00317" w:rsidR="00EB0321" w:rsidRPr="00886D8A" w:rsidRDefault="00EB0321" w:rsidP="004E36D3">
            <w:pPr>
              <w:pStyle w:val="TableText0"/>
              <w:jc w:val="center"/>
            </w:pPr>
            <w:r w:rsidRPr="00886D8A">
              <w:t>(</w:t>
            </w:r>
            <w:r w:rsidR="0011024A">
              <w:noBreakHyphen/>
            </w:r>
            <w:r w:rsidRPr="00886D8A">
              <w:t>0.26, 0.30)</w:t>
            </w:r>
          </w:p>
        </w:tc>
        <w:tc>
          <w:tcPr>
            <w:tcW w:w="665" w:type="pct"/>
            <w:tcMar>
              <w:left w:w="20" w:type="dxa"/>
              <w:right w:w="20" w:type="dxa"/>
            </w:tcMar>
          </w:tcPr>
          <w:p w14:paraId="20C74CDD" w14:textId="77777777" w:rsidR="00EB0321" w:rsidRPr="00886D8A" w:rsidRDefault="00EB0321" w:rsidP="004E36D3">
            <w:pPr>
              <w:pStyle w:val="TableText0"/>
              <w:jc w:val="center"/>
            </w:pPr>
            <w:r w:rsidRPr="00886D8A">
              <w:t>5.24</w:t>
            </w:r>
          </w:p>
          <w:p w14:paraId="18DC7E79" w14:textId="6B9881DD" w:rsidR="00EB0321" w:rsidRPr="00886D8A" w:rsidRDefault="00EB0321" w:rsidP="004E36D3">
            <w:pPr>
              <w:pStyle w:val="TableText0"/>
              <w:jc w:val="center"/>
            </w:pPr>
            <w:r w:rsidRPr="00886D8A">
              <w:t>(</w:t>
            </w:r>
            <w:r w:rsidR="0011024A">
              <w:noBreakHyphen/>
            </w:r>
            <w:r w:rsidRPr="00886D8A">
              <w:t>31.4, 67.87)</w:t>
            </w:r>
          </w:p>
        </w:tc>
        <w:tc>
          <w:tcPr>
            <w:tcW w:w="532" w:type="pct"/>
            <w:tcMar>
              <w:left w:w="20" w:type="dxa"/>
              <w:right w:w="20" w:type="dxa"/>
            </w:tcMar>
          </w:tcPr>
          <w:p w14:paraId="5DECA6AC" w14:textId="77777777" w:rsidR="00EB0321" w:rsidRPr="00886D8A" w:rsidRDefault="00EB0321" w:rsidP="004E36D3">
            <w:pPr>
              <w:pStyle w:val="TableText0"/>
              <w:jc w:val="center"/>
            </w:pPr>
            <w:r w:rsidRPr="00886D8A">
              <w:t>0.65</w:t>
            </w:r>
          </w:p>
          <w:p w14:paraId="5AC2EF99" w14:textId="77777777" w:rsidR="00EB0321" w:rsidRPr="00886D8A" w:rsidRDefault="00EB0321" w:rsidP="004E36D3">
            <w:pPr>
              <w:pStyle w:val="TableText0"/>
              <w:jc w:val="center"/>
            </w:pPr>
            <w:r w:rsidRPr="00886D8A">
              <w:t>(0.24, 1.00)</w:t>
            </w:r>
          </w:p>
        </w:tc>
        <w:tc>
          <w:tcPr>
            <w:tcW w:w="598" w:type="pct"/>
            <w:tcMar>
              <w:left w:w="20" w:type="dxa"/>
              <w:right w:w="20" w:type="dxa"/>
            </w:tcMar>
          </w:tcPr>
          <w:p w14:paraId="036E95A1" w14:textId="77777777" w:rsidR="00EB0321" w:rsidRPr="00886D8A" w:rsidRDefault="00EB0321" w:rsidP="004E36D3">
            <w:pPr>
              <w:pStyle w:val="TableText0"/>
              <w:jc w:val="center"/>
            </w:pPr>
            <w:r w:rsidRPr="00886D8A">
              <w:t>0.01</w:t>
            </w:r>
          </w:p>
          <w:p w14:paraId="446EFB2F" w14:textId="2115C133" w:rsidR="00EB0321" w:rsidRPr="00886D8A" w:rsidRDefault="00EB0321" w:rsidP="004E36D3">
            <w:pPr>
              <w:pStyle w:val="TableText0"/>
              <w:jc w:val="center"/>
            </w:pPr>
            <w:r w:rsidRPr="00886D8A">
              <w:t>(</w:t>
            </w:r>
            <w:r w:rsidR="0011024A">
              <w:noBreakHyphen/>
            </w:r>
            <w:r w:rsidRPr="00886D8A">
              <w:t>0.59, 0.30)</w:t>
            </w:r>
          </w:p>
        </w:tc>
        <w:tc>
          <w:tcPr>
            <w:tcW w:w="678" w:type="pct"/>
            <w:tcMar>
              <w:left w:w="20" w:type="dxa"/>
              <w:right w:w="20" w:type="dxa"/>
            </w:tcMar>
          </w:tcPr>
          <w:p w14:paraId="70A70EAA" w14:textId="77777777" w:rsidR="00EB0321" w:rsidRPr="00886D8A" w:rsidRDefault="00EB0321" w:rsidP="004E36D3">
            <w:pPr>
              <w:pStyle w:val="TableText0"/>
              <w:jc w:val="center"/>
            </w:pPr>
            <w:r w:rsidRPr="00886D8A">
              <w:t>2.80</w:t>
            </w:r>
          </w:p>
          <w:p w14:paraId="53EA92BB" w14:textId="03C6E2DA" w:rsidR="00EB0321" w:rsidRPr="00886D8A" w:rsidRDefault="00EB0321" w:rsidP="004E36D3">
            <w:pPr>
              <w:pStyle w:val="TableText0"/>
              <w:jc w:val="center"/>
            </w:pPr>
            <w:r w:rsidRPr="00886D8A">
              <w:t>(</w:t>
            </w:r>
            <w:r w:rsidR="0011024A">
              <w:noBreakHyphen/>
            </w:r>
            <w:r w:rsidRPr="00886D8A">
              <w:t>71.1, 67.87)</w:t>
            </w:r>
          </w:p>
        </w:tc>
      </w:tr>
    </w:tbl>
    <w:p w14:paraId="0BFF80FB" w14:textId="23BE6C79" w:rsidR="00EB0321" w:rsidRPr="00886D8A" w:rsidRDefault="00EB0321" w:rsidP="004E36D3">
      <w:pPr>
        <w:pStyle w:val="TableFigureFooter"/>
        <w:rPr>
          <w:lang w:eastAsia="en-US"/>
        </w:rPr>
      </w:pPr>
      <w:r w:rsidRPr="00886D8A">
        <w:rPr>
          <w:lang w:eastAsia="en-US"/>
        </w:rPr>
        <w:t>Source: Table 2.5</w:t>
      </w:r>
      <w:r w:rsidR="0011024A">
        <w:rPr>
          <w:lang w:eastAsia="en-US"/>
        </w:rPr>
        <w:noBreakHyphen/>
      </w:r>
      <w:r w:rsidRPr="00886D8A">
        <w:rPr>
          <w:lang w:eastAsia="en-US"/>
        </w:rPr>
        <w:t>12, p91, Table 2.5</w:t>
      </w:r>
      <w:r w:rsidR="0011024A">
        <w:rPr>
          <w:lang w:eastAsia="en-US"/>
        </w:rPr>
        <w:noBreakHyphen/>
      </w:r>
      <w:r w:rsidRPr="00886D8A">
        <w:rPr>
          <w:lang w:eastAsia="en-US"/>
        </w:rPr>
        <w:t>13, p92, Table 2.5</w:t>
      </w:r>
      <w:r w:rsidR="0011024A">
        <w:rPr>
          <w:lang w:eastAsia="en-US"/>
        </w:rPr>
        <w:noBreakHyphen/>
      </w:r>
      <w:r w:rsidRPr="00886D8A">
        <w:rPr>
          <w:lang w:eastAsia="en-US"/>
        </w:rPr>
        <w:t>17, p94 of the submission.</w:t>
      </w:r>
    </w:p>
    <w:p w14:paraId="6403D2E8" w14:textId="0D1AB2AD" w:rsidR="00EB0321" w:rsidRPr="00886D8A" w:rsidRDefault="00EB0321" w:rsidP="004E36D3">
      <w:pPr>
        <w:pStyle w:val="TableFigureFooter"/>
        <w:rPr>
          <w:lang w:eastAsia="en-US"/>
        </w:rPr>
      </w:pPr>
      <w:r w:rsidRPr="00886D8A">
        <w:rPr>
          <w:lang w:eastAsia="en-US"/>
        </w:rPr>
        <w:t>CHAQ = Childhood Health Assessment Questionnaire; CI =confidence interval; DI = disability index; EQ</w:t>
      </w:r>
      <w:r w:rsidR="0011024A">
        <w:rPr>
          <w:lang w:eastAsia="en-US"/>
        </w:rPr>
        <w:noBreakHyphen/>
      </w:r>
      <w:r w:rsidRPr="00886D8A">
        <w:rPr>
          <w:lang w:eastAsia="en-US"/>
        </w:rPr>
        <w:t>5D</w:t>
      </w:r>
      <w:r w:rsidR="0011024A">
        <w:rPr>
          <w:lang w:eastAsia="en-US"/>
        </w:rPr>
        <w:noBreakHyphen/>
      </w:r>
      <w:r w:rsidRPr="00886D8A">
        <w:rPr>
          <w:lang w:eastAsia="en-US"/>
        </w:rPr>
        <w:t>5L = EuroQol</w:t>
      </w:r>
      <w:r w:rsidR="0011024A">
        <w:rPr>
          <w:lang w:eastAsia="en-US"/>
        </w:rPr>
        <w:noBreakHyphen/>
      </w:r>
      <w:r w:rsidRPr="00886D8A">
        <w:rPr>
          <w:lang w:eastAsia="en-US"/>
        </w:rPr>
        <w:t>5 Dimension</w:t>
      </w:r>
      <w:r w:rsidR="0011024A">
        <w:rPr>
          <w:lang w:eastAsia="en-US"/>
        </w:rPr>
        <w:noBreakHyphen/>
      </w:r>
      <w:r w:rsidRPr="00886D8A">
        <w:rPr>
          <w:lang w:eastAsia="en-US"/>
        </w:rPr>
        <w:t xml:space="preserve">5 Level; FAS = full analysis set; min = minimum; max = maximum; </w:t>
      </w:r>
      <w:r w:rsidR="3CFF312D" w:rsidRPr="00886D8A">
        <w:rPr>
          <w:lang w:eastAsia="en-US"/>
        </w:rPr>
        <w:t xml:space="preserve">N = total participants in group; </w:t>
      </w:r>
      <w:r w:rsidR="19473A45" w:rsidRPr="00886D8A">
        <w:rPr>
          <w:lang w:eastAsia="en-US"/>
        </w:rPr>
        <w:t xml:space="preserve">n = number of participants reporting data; </w:t>
      </w:r>
      <w:r w:rsidRPr="00886D8A">
        <w:rPr>
          <w:lang w:eastAsia="en-US"/>
        </w:rPr>
        <w:t>NR = not reported; SD = standard deviation; VAS = visual analogue scale.</w:t>
      </w:r>
    </w:p>
    <w:p w14:paraId="01BEF131" w14:textId="77777777" w:rsidR="00EB0321" w:rsidRPr="00886D8A" w:rsidRDefault="00EB0321" w:rsidP="004E36D3">
      <w:pPr>
        <w:pStyle w:val="TableFigureFooter"/>
        <w:rPr>
          <w:lang w:eastAsia="en-US"/>
        </w:rPr>
      </w:pPr>
      <w:r w:rsidRPr="00886D8A">
        <w:rPr>
          <w:b/>
          <w:lang w:eastAsia="en-US"/>
        </w:rPr>
        <w:t xml:space="preserve">Bold </w:t>
      </w:r>
      <w:r w:rsidRPr="00886D8A">
        <w:rPr>
          <w:bCs/>
          <w:lang w:eastAsia="en-US"/>
        </w:rPr>
        <w:t>indicates a statistically significant change from baseline at the last observation.</w:t>
      </w:r>
    </w:p>
    <w:p w14:paraId="15378F4A" w14:textId="60E9B902" w:rsidR="00EB0321" w:rsidRPr="00886D8A" w:rsidRDefault="00EB0321" w:rsidP="004E36D3">
      <w:pPr>
        <w:pStyle w:val="3-BodyText"/>
      </w:pPr>
      <w:r w:rsidRPr="00886D8A">
        <w:t>In rhLAMAN</w:t>
      </w:r>
      <w:r w:rsidR="0011024A">
        <w:noBreakHyphen/>
      </w:r>
      <w:r w:rsidRPr="00886D8A">
        <w:t>10, only minimal improvements were observed in CHAQ</w:t>
      </w:r>
      <w:r w:rsidR="0011024A">
        <w:noBreakHyphen/>
      </w:r>
      <w:r w:rsidRPr="00886D8A">
        <w:t>DI, CHAQ</w:t>
      </w:r>
      <w:r w:rsidR="0011024A">
        <w:noBreakHyphen/>
      </w:r>
      <w:r w:rsidRPr="00886D8A">
        <w:t>pain VAS, and CHAQ</w:t>
      </w:r>
      <w:r w:rsidR="0011024A">
        <w:noBreakHyphen/>
      </w:r>
      <w:r w:rsidRPr="00886D8A">
        <w:t>general VAS scores from baseline to last observation, while the change in EQ</w:t>
      </w:r>
      <w:r w:rsidR="0011024A">
        <w:noBreakHyphen/>
      </w:r>
      <w:r w:rsidRPr="00886D8A">
        <w:t>5D</w:t>
      </w:r>
      <w:r w:rsidR="0011024A">
        <w:noBreakHyphen/>
      </w:r>
      <w:r w:rsidRPr="00886D8A">
        <w:t xml:space="preserve">5L score was statistically significant. </w:t>
      </w:r>
    </w:p>
    <w:p w14:paraId="0F80BCFD" w14:textId="0D736186" w:rsidR="00EB0321" w:rsidRPr="00886D8A" w:rsidRDefault="00EB0321" w:rsidP="004E36D3">
      <w:pPr>
        <w:pStyle w:val="3-BodyText"/>
      </w:pPr>
      <w:r w:rsidRPr="00886D8A">
        <w:t>Notably, ten patients (33%</w:t>
      </w:r>
      <w:r w:rsidR="00DA0365" w:rsidRPr="00886D8A">
        <w:t>; five paediatric patients and five adult patients</w:t>
      </w:r>
      <w:r w:rsidRPr="00886D8A">
        <w:t xml:space="preserve">) required walking assistance at baseline. At last observation, seven patients (four paediatric patients and three adult patients) became assistance independent, including three who had initially used wheelchairs but no longer required mobility aids following treatment. However, two paediatric patients and one adult patient who did not require assistance at baseline required walking assistance at last observation. </w:t>
      </w:r>
    </w:p>
    <w:p w14:paraId="58DEFBBE" w14:textId="3A949EF0" w:rsidR="00EB0321" w:rsidRPr="00886D8A" w:rsidRDefault="00EB0321" w:rsidP="004E36D3">
      <w:pPr>
        <w:pStyle w:val="3-BodyText"/>
      </w:pPr>
      <w:r w:rsidRPr="00886D8A">
        <w:t>In rhLAMAN</w:t>
      </w:r>
      <w:r w:rsidR="0011024A">
        <w:noBreakHyphen/>
      </w:r>
      <w:r w:rsidRPr="00886D8A">
        <w:t>11, no change was seen in CHAQ</w:t>
      </w:r>
      <w:r w:rsidR="0011024A">
        <w:noBreakHyphen/>
      </w:r>
      <w:r w:rsidRPr="00886D8A">
        <w:t>DI, CHAQ</w:t>
      </w:r>
      <w:r w:rsidR="0011024A">
        <w:noBreakHyphen/>
      </w:r>
      <w:r w:rsidRPr="00886D8A">
        <w:t>pain, or EQ</w:t>
      </w:r>
      <w:r w:rsidR="0011024A">
        <w:noBreakHyphen/>
      </w:r>
      <w:r w:rsidRPr="00886D8A">
        <w:t>5D</w:t>
      </w:r>
      <w:r w:rsidR="0011024A">
        <w:noBreakHyphen/>
      </w:r>
      <w:r w:rsidRPr="00886D8A">
        <w:t>5L scores from baseline, though CHAQ</w:t>
      </w:r>
      <w:r w:rsidR="0011024A">
        <w:noBreakHyphen/>
      </w:r>
      <w:r w:rsidRPr="00886D8A">
        <w:t>DI scores showed considerable variability. Additionally, percentage change in pain score could not be calculated for 11 patients who reported zero pain at baseline.</w:t>
      </w:r>
    </w:p>
    <w:p w14:paraId="7D6C8CF3" w14:textId="332039CC" w:rsidR="00EB0321" w:rsidRPr="00886D8A" w:rsidRDefault="00EB0321" w:rsidP="004E36D3">
      <w:pPr>
        <w:pStyle w:val="3-BodyText"/>
      </w:pPr>
      <w:r w:rsidRPr="00886D8A">
        <w:t xml:space="preserve">Furthermore, </w:t>
      </w:r>
      <w:r w:rsidRPr="00886D8A">
        <w:rPr>
          <w:i/>
          <w:iCs/>
        </w:rPr>
        <w:t>post hoc</w:t>
      </w:r>
      <w:r w:rsidRPr="00886D8A">
        <w:t xml:space="preserve"> subgroup analyses by age in both rhLAMAN</w:t>
      </w:r>
      <w:r w:rsidR="0011024A">
        <w:noBreakHyphen/>
      </w:r>
      <w:r w:rsidRPr="00886D8A">
        <w:t>10 and rhLAMAN</w:t>
      </w:r>
      <w:r w:rsidR="0011024A">
        <w:noBreakHyphen/>
      </w:r>
      <w:r w:rsidRPr="00886D8A">
        <w:t>11 suggested that velmanase alfa treatment provided greater benefit in paediatric patients compared to adults</w:t>
      </w:r>
      <w:r w:rsidR="00EF1DB1" w:rsidRPr="00886D8A">
        <w:t>.</w:t>
      </w:r>
    </w:p>
    <w:p w14:paraId="519122AC" w14:textId="027B58C1" w:rsidR="00EB0321" w:rsidRPr="00886D8A" w:rsidRDefault="00EB0321" w:rsidP="004E36D3">
      <w:pPr>
        <w:pStyle w:val="3-BodyText"/>
        <w:numPr>
          <w:ilvl w:val="0"/>
          <w:numId w:val="0"/>
        </w:numPr>
        <w:ind w:left="720" w:hanging="720"/>
        <w:rPr>
          <w:b/>
          <w:bCs/>
        </w:rPr>
      </w:pPr>
      <w:bookmarkStart w:id="52" w:name="_Hlk197087285"/>
      <w:r w:rsidRPr="00886D8A">
        <w:rPr>
          <w:b/>
          <w:bCs/>
        </w:rPr>
        <w:t>Post</w:t>
      </w:r>
      <w:r w:rsidR="0011024A">
        <w:rPr>
          <w:b/>
          <w:bCs/>
        </w:rPr>
        <w:noBreakHyphen/>
      </w:r>
      <w:r w:rsidRPr="00886D8A">
        <w:rPr>
          <w:b/>
          <w:bCs/>
        </w:rPr>
        <w:t>hoc multi</w:t>
      </w:r>
      <w:r w:rsidR="0011024A">
        <w:rPr>
          <w:b/>
          <w:bCs/>
        </w:rPr>
        <w:noBreakHyphen/>
      </w:r>
      <w:r w:rsidRPr="00886D8A">
        <w:rPr>
          <w:b/>
          <w:bCs/>
        </w:rPr>
        <w:t>domain responder analysis</w:t>
      </w:r>
    </w:p>
    <w:p w14:paraId="47EBEFAF" w14:textId="1B33F306" w:rsidR="00EB0321" w:rsidRPr="00886D8A" w:rsidRDefault="00EB0321" w:rsidP="004E36D3">
      <w:pPr>
        <w:pStyle w:val="3-BodyText"/>
        <w:rPr>
          <w:rStyle w:val="CommentReference"/>
          <w:rFonts w:asciiTheme="minorHAnsi" w:hAnsiTheme="minorHAnsi"/>
          <w:b w:val="0"/>
          <w:sz w:val="24"/>
          <w:szCs w:val="24"/>
        </w:rPr>
      </w:pPr>
      <w:bookmarkStart w:id="53" w:name="_Ref204861570"/>
      <w:r w:rsidRPr="00886D8A">
        <w:rPr>
          <w:rStyle w:val="CommentReference"/>
          <w:rFonts w:asciiTheme="minorHAnsi" w:hAnsiTheme="minorHAnsi"/>
          <w:b w:val="0"/>
          <w:sz w:val="24"/>
          <w:szCs w:val="24"/>
        </w:rPr>
        <w:t>The submission developed a Global Treatment Response (GTR) model to assess treatment efficacy in a heterogeneous AM population. Key outcomes from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05 and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10 were grouped into three domains reflecting disease pathophysiology: pharmacodynamic (serum oligosaccharides), functional (3</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MSCT, 6</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MWT, FVC [% predicted]), and QoL (CHAQ</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disability, CHAQ</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pain [VAS]).</w:t>
      </w:r>
      <w:bookmarkEnd w:id="53"/>
    </w:p>
    <w:p w14:paraId="4156E630" w14:textId="7E04D974" w:rsidR="00EB0321" w:rsidRPr="00886D8A" w:rsidRDefault="00EB0321" w:rsidP="004E36D3">
      <w:pPr>
        <w:pStyle w:val="3-BodyText"/>
        <w:rPr>
          <w:rStyle w:val="CommentReference"/>
          <w:rFonts w:asciiTheme="minorHAnsi" w:hAnsiTheme="minorHAnsi"/>
          <w:b w:val="0"/>
          <w:i/>
          <w:iCs/>
          <w:sz w:val="24"/>
          <w:szCs w:val="24"/>
        </w:rPr>
      </w:pPr>
      <w:bookmarkStart w:id="54" w:name="_Toc22897642"/>
      <w:r w:rsidRPr="00886D8A">
        <w:rPr>
          <w:rStyle w:val="CommentReference"/>
          <w:rFonts w:asciiTheme="minorHAnsi" w:hAnsiTheme="minorHAnsi"/>
          <w:b w:val="0"/>
          <w:sz w:val="24"/>
          <w:szCs w:val="24"/>
        </w:rPr>
        <w:t xml:space="preserve">In the GTR model, a patient was defined as a responder if they achieved the MCID, as detailed in </w:t>
      </w:r>
      <w:r w:rsidRPr="00886D8A">
        <w:rPr>
          <w:rStyle w:val="CommentReference"/>
          <w:rFonts w:asciiTheme="minorHAnsi" w:hAnsiTheme="minorHAnsi"/>
          <w:b w:val="0"/>
          <w:sz w:val="24"/>
          <w:szCs w:val="24"/>
        </w:rPr>
        <w:fldChar w:fldCharType="begin"/>
      </w:r>
      <w:r w:rsidRPr="00886D8A">
        <w:rPr>
          <w:rStyle w:val="CommentReference"/>
          <w:rFonts w:asciiTheme="minorHAnsi" w:hAnsiTheme="minorHAnsi"/>
          <w:b w:val="0"/>
          <w:sz w:val="24"/>
          <w:szCs w:val="24"/>
        </w:rPr>
        <w:instrText xml:space="preserve"> REF _Ref197503721 \h </w:instrText>
      </w:r>
      <w:r w:rsidRPr="00886D8A">
        <w:rPr>
          <w:rStyle w:val="CommentReference"/>
          <w:rFonts w:asciiTheme="minorHAnsi" w:hAnsiTheme="minorHAnsi"/>
          <w:b w:val="0"/>
          <w:sz w:val="24"/>
          <w:szCs w:val="24"/>
        </w:rPr>
      </w:r>
      <w:r w:rsidRPr="00886D8A">
        <w:rPr>
          <w:rStyle w:val="CommentReference"/>
          <w:rFonts w:asciiTheme="minorHAnsi" w:hAnsiTheme="minorHAnsi"/>
          <w:b w:val="0"/>
          <w:sz w:val="24"/>
          <w:szCs w:val="24"/>
        </w:rPr>
        <w:fldChar w:fldCharType="separate"/>
      </w:r>
      <w:r w:rsidR="00B73A9E" w:rsidRPr="00886D8A">
        <w:t xml:space="preserve">Table </w:t>
      </w:r>
      <w:r w:rsidR="00B73A9E">
        <w:rPr>
          <w:noProof/>
        </w:rPr>
        <w:t>5</w:t>
      </w:r>
      <w:r w:rsidRPr="00886D8A">
        <w:rPr>
          <w:rStyle w:val="CommentReference"/>
          <w:rFonts w:asciiTheme="minorHAnsi" w:hAnsiTheme="minorHAnsi"/>
          <w:b w:val="0"/>
          <w:sz w:val="24"/>
          <w:szCs w:val="24"/>
        </w:rPr>
        <w:fldChar w:fldCharType="end"/>
      </w:r>
      <w:r w:rsidRPr="00886D8A">
        <w:rPr>
          <w:rStyle w:val="CommentReference"/>
          <w:rFonts w:asciiTheme="minorHAnsi" w:hAnsiTheme="minorHAnsi"/>
          <w:b w:val="0"/>
          <w:sz w:val="24"/>
          <w:szCs w:val="24"/>
        </w:rPr>
        <w:t xml:space="preserve">, in the key biomarker </w:t>
      </w:r>
      <w:r w:rsidR="37545E74" w:rsidRPr="00886D8A">
        <w:rPr>
          <w:rStyle w:val="CommentReference"/>
          <w:rFonts w:asciiTheme="minorHAnsi" w:hAnsiTheme="minorHAnsi"/>
          <w:b w:val="0"/>
          <w:sz w:val="24"/>
          <w:szCs w:val="24"/>
        </w:rPr>
        <w:t xml:space="preserve">(i.e., </w:t>
      </w:r>
      <w:r w:rsidR="00874BD5" w:rsidRPr="00886D8A">
        <w:rPr>
          <w:rStyle w:val="CommentReference"/>
          <w:rFonts w:asciiTheme="minorHAnsi" w:hAnsiTheme="minorHAnsi"/>
          <w:b w:val="0"/>
          <w:sz w:val="24"/>
          <w:szCs w:val="24"/>
        </w:rPr>
        <w:t>serum oligosaccharides</w:t>
      </w:r>
      <w:r w:rsidR="37545E74" w:rsidRPr="00886D8A">
        <w:rPr>
          <w:rStyle w:val="CommentReference"/>
          <w:rFonts w:asciiTheme="minorHAnsi" w:hAnsiTheme="minorHAnsi"/>
          <w:b w:val="0"/>
          <w:sz w:val="24"/>
          <w:szCs w:val="24"/>
        </w:rPr>
        <w:t xml:space="preserve">) </w:t>
      </w:r>
      <w:r w:rsidRPr="00886D8A">
        <w:rPr>
          <w:rStyle w:val="CommentReference"/>
          <w:rFonts w:asciiTheme="minorHAnsi" w:hAnsiTheme="minorHAnsi"/>
          <w:b w:val="0"/>
          <w:sz w:val="24"/>
          <w:szCs w:val="24"/>
        </w:rPr>
        <w:t>and in at least one clinically relevant outcome within at least one clinical domain. The results of the multi</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domain responder analysis are presented in the table below. </w:t>
      </w:r>
    </w:p>
    <w:p w14:paraId="3DC9A291" w14:textId="33705348" w:rsidR="00EB0321" w:rsidRPr="00886D8A" w:rsidRDefault="00EB0321" w:rsidP="004E36D3">
      <w:pPr>
        <w:pStyle w:val="Caption"/>
      </w:pPr>
      <w:r w:rsidRPr="00886D8A">
        <w:t xml:space="preserve">Table </w:t>
      </w:r>
      <w:r>
        <w:fldChar w:fldCharType="begin"/>
      </w:r>
      <w:r>
        <w:instrText>SEQ Table \* ARABIC</w:instrText>
      </w:r>
      <w:r>
        <w:fldChar w:fldCharType="separate"/>
      </w:r>
      <w:r w:rsidR="00B73A9E">
        <w:rPr>
          <w:noProof/>
        </w:rPr>
        <w:t>10</w:t>
      </w:r>
      <w:r>
        <w:fldChar w:fldCharType="end"/>
      </w:r>
      <w:r w:rsidRPr="00886D8A">
        <w:t xml:space="preserve">: </w:t>
      </w:r>
      <w:bookmarkStart w:id="55" w:name="_Hlk204874261"/>
      <w:r w:rsidRPr="00886D8A">
        <w:t>Results of multi</w:t>
      </w:r>
      <w:r w:rsidR="0011024A">
        <w:noBreakHyphen/>
      </w:r>
      <w:r w:rsidRPr="00886D8A">
        <w:t>domain responder analysis for rhLAMAN</w:t>
      </w:r>
      <w:r w:rsidR="0011024A">
        <w:noBreakHyphen/>
      </w:r>
      <w:r w:rsidRPr="00886D8A">
        <w:t>05 and rhLAMAN</w:t>
      </w:r>
      <w:r w:rsidR="0011024A">
        <w:noBreakHyphen/>
      </w:r>
      <w:r w:rsidRPr="00886D8A">
        <w:t>10 studies</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0: Results of multi domain responder analysis for rhLAMAN 05 and rhLAMAN 10 studies"/>
      </w:tblPr>
      <w:tblGrid>
        <w:gridCol w:w="1694"/>
        <w:gridCol w:w="1563"/>
        <w:gridCol w:w="1558"/>
        <w:gridCol w:w="1843"/>
        <w:gridCol w:w="2359"/>
      </w:tblGrid>
      <w:tr w:rsidR="00EB0321" w:rsidRPr="00886D8A" w14:paraId="067F4311" w14:textId="77777777" w:rsidTr="006571DA">
        <w:trPr>
          <w:trHeight w:val="364"/>
        </w:trPr>
        <w:tc>
          <w:tcPr>
            <w:tcW w:w="939" w:type="pct"/>
            <w:vMerge w:val="restart"/>
          </w:tcPr>
          <w:p w14:paraId="7B6E7A6D" w14:textId="77777777" w:rsidR="00EB0321" w:rsidRPr="00886D8A" w:rsidRDefault="00EB0321" w:rsidP="004E36D3">
            <w:pPr>
              <w:pStyle w:val="TableText0"/>
              <w:rPr>
                <w:b/>
                <w:bCs w:val="0"/>
                <w:lang w:eastAsia="en-IN"/>
              </w:rPr>
            </w:pPr>
            <w:r w:rsidRPr="00886D8A">
              <w:rPr>
                <w:b/>
                <w:bCs w:val="0"/>
                <w:lang w:eastAsia="en-IN"/>
              </w:rPr>
              <w:t>Domain</w:t>
            </w:r>
          </w:p>
        </w:tc>
        <w:tc>
          <w:tcPr>
            <w:tcW w:w="866" w:type="pct"/>
            <w:vMerge w:val="restart"/>
          </w:tcPr>
          <w:p w14:paraId="585B9B10" w14:textId="77777777" w:rsidR="00EB0321" w:rsidRPr="00886D8A" w:rsidRDefault="00EB0321" w:rsidP="004E36D3">
            <w:pPr>
              <w:pStyle w:val="TableText0"/>
              <w:rPr>
                <w:b/>
                <w:bCs w:val="0"/>
                <w:lang w:eastAsia="en-IN"/>
              </w:rPr>
            </w:pPr>
            <w:r w:rsidRPr="00886D8A">
              <w:rPr>
                <w:b/>
                <w:bCs w:val="0"/>
                <w:lang w:eastAsia="en-IN"/>
              </w:rPr>
              <w:t>Criterion</w:t>
            </w:r>
          </w:p>
        </w:tc>
        <w:tc>
          <w:tcPr>
            <w:tcW w:w="1886" w:type="pct"/>
            <w:gridSpan w:val="2"/>
          </w:tcPr>
          <w:p w14:paraId="4D588B34" w14:textId="5638A82C" w:rsidR="00EB0321" w:rsidRPr="00886D8A" w:rsidRDefault="00EB0321" w:rsidP="004E36D3">
            <w:pPr>
              <w:pStyle w:val="TableText0"/>
              <w:jc w:val="center"/>
              <w:rPr>
                <w:rFonts w:eastAsia="Calibri"/>
                <w:b/>
                <w:bCs w:val="0"/>
              </w:rPr>
            </w:pPr>
            <w:r w:rsidRPr="00886D8A">
              <w:rPr>
                <w:b/>
                <w:bCs w:val="0"/>
                <w:lang w:eastAsia="en-IN"/>
              </w:rPr>
              <w:t>rhLAMAN</w:t>
            </w:r>
            <w:r w:rsidR="0011024A">
              <w:rPr>
                <w:b/>
                <w:bCs w:val="0"/>
                <w:lang w:eastAsia="en-IN"/>
              </w:rPr>
              <w:noBreakHyphen/>
            </w:r>
            <w:r w:rsidRPr="00886D8A">
              <w:rPr>
                <w:b/>
                <w:bCs w:val="0"/>
                <w:lang w:eastAsia="en-IN"/>
              </w:rPr>
              <w:t xml:space="preserve">05 trial </w:t>
            </w:r>
            <w:r w:rsidRPr="00886D8A">
              <w:rPr>
                <w:rFonts w:eastAsia="Calibri"/>
                <w:b/>
                <w:bCs w:val="0"/>
              </w:rPr>
              <w:t>(N=25)</w:t>
            </w:r>
          </w:p>
          <w:p w14:paraId="58E1344A" w14:textId="77777777" w:rsidR="00EB0321" w:rsidRPr="00886D8A" w:rsidRDefault="00EB0321" w:rsidP="004E36D3">
            <w:pPr>
              <w:pStyle w:val="TableText0"/>
              <w:jc w:val="center"/>
              <w:rPr>
                <w:rFonts w:eastAsia="Calibri"/>
                <w:b/>
                <w:bCs w:val="0"/>
              </w:rPr>
            </w:pPr>
            <w:r w:rsidRPr="00886D8A">
              <w:rPr>
                <w:rFonts w:eastAsia="Calibri"/>
                <w:b/>
                <w:bCs w:val="0"/>
              </w:rPr>
              <w:t>Month 12</w:t>
            </w:r>
          </w:p>
        </w:tc>
        <w:tc>
          <w:tcPr>
            <w:tcW w:w="1308" w:type="pct"/>
          </w:tcPr>
          <w:p w14:paraId="529FD206" w14:textId="3280A595" w:rsidR="00EB0321" w:rsidRPr="00886D8A" w:rsidRDefault="00EB0321" w:rsidP="004E36D3">
            <w:pPr>
              <w:pStyle w:val="TableText0"/>
              <w:jc w:val="center"/>
              <w:rPr>
                <w:rFonts w:eastAsia="Calibri"/>
                <w:b/>
                <w:bCs w:val="0"/>
              </w:rPr>
            </w:pPr>
            <w:r w:rsidRPr="00886D8A">
              <w:rPr>
                <w:rFonts w:eastAsia="Calibri"/>
                <w:b/>
                <w:bCs w:val="0"/>
              </w:rPr>
              <w:t>rhLAMAN</w:t>
            </w:r>
            <w:r w:rsidR="0011024A">
              <w:rPr>
                <w:rFonts w:eastAsia="Calibri"/>
                <w:b/>
                <w:bCs w:val="0"/>
              </w:rPr>
              <w:noBreakHyphen/>
            </w:r>
            <w:r w:rsidRPr="00886D8A">
              <w:rPr>
                <w:rFonts w:eastAsia="Calibri"/>
                <w:b/>
                <w:bCs w:val="0"/>
              </w:rPr>
              <w:t>10 study (N=33)</w:t>
            </w:r>
          </w:p>
          <w:p w14:paraId="58491389" w14:textId="77777777" w:rsidR="00EB0321" w:rsidRPr="00886D8A" w:rsidRDefault="00EB0321" w:rsidP="004E36D3">
            <w:pPr>
              <w:pStyle w:val="TableText0"/>
              <w:jc w:val="center"/>
              <w:rPr>
                <w:rFonts w:eastAsia="Calibri"/>
                <w:b/>
                <w:bCs w:val="0"/>
              </w:rPr>
            </w:pPr>
            <w:r w:rsidRPr="00886D8A">
              <w:rPr>
                <w:rFonts w:eastAsia="Calibri"/>
                <w:b/>
                <w:bCs w:val="0"/>
              </w:rPr>
              <w:t>Last observation</w:t>
            </w:r>
          </w:p>
        </w:tc>
      </w:tr>
      <w:tr w:rsidR="00EB0321" w:rsidRPr="00886D8A" w14:paraId="00BCA180" w14:textId="77777777" w:rsidTr="006571DA">
        <w:trPr>
          <w:trHeight w:val="484"/>
        </w:trPr>
        <w:tc>
          <w:tcPr>
            <w:tcW w:w="939" w:type="pct"/>
            <w:vMerge/>
          </w:tcPr>
          <w:p w14:paraId="5B3CA3EA" w14:textId="77777777" w:rsidR="00EB0321" w:rsidRPr="00886D8A" w:rsidRDefault="00EB0321" w:rsidP="004E36D3">
            <w:pPr>
              <w:pStyle w:val="TableText0"/>
              <w:rPr>
                <w:lang w:eastAsia="en-IN"/>
              </w:rPr>
            </w:pPr>
          </w:p>
        </w:tc>
        <w:tc>
          <w:tcPr>
            <w:tcW w:w="866" w:type="pct"/>
            <w:vMerge/>
          </w:tcPr>
          <w:p w14:paraId="40691F73" w14:textId="77777777" w:rsidR="00EB0321" w:rsidRPr="00886D8A" w:rsidRDefault="00EB0321" w:rsidP="004E36D3">
            <w:pPr>
              <w:pStyle w:val="TableText0"/>
              <w:rPr>
                <w:b/>
                <w:bCs w:val="0"/>
                <w:lang w:eastAsia="en-IN"/>
              </w:rPr>
            </w:pPr>
          </w:p>
        </w:tc>
        <w:tc>
          <w:tcPr>
            <w:tcW w:w="864" w:type="pct"/>
          </w:tcPr>
          <w:p w14:paraId="3B7718C1" w14:textId="0805B23C" w:rsidR="00EB0321" w:rsidRPr="00886D8A" w:rsidRDefault="00EB0321" w:rsidP="004E36D3">
            <w:pPr>
              <w:pStyle w:val="TableText0"/>
              <w:jc w:val="center"/>
              <w:rPr>
                <w:b/>
                <w:bCs w:val="0"/>
                <w:lang w:eastAsia="en-IN"/>
              </w:rPr>
            </w:pPr>
            <w:r w:rsidRPr="00886D8A">
              <w:rPr>
                <w:b/>
                <w:bCs w:val="0"/>
                <w:lang w:eastAsia="en-IN"/>
              </w:rPr>
              <w:t xml:space="preserve">BSC </w:t>
            </w:r>
            <w:r w:rsidR="00F17E2E" w:rsidRPr="00886D8A">
              <w:rPr>
                <w:b/>
                <w:bCs w:val="0"/>
                <w:lang w:eastAsia="en-IN"/>
              </w:rPr>
              <w:br/>
            </w:r>
            <w:r w:rsidRPr="00886D8A">
              <w:rPr>
                <w:b/>
                <w:bCs w:val="0"/>
                <w:lang w:eastAsia="en-IN"/>
              </w:rPr>
              <w:t>(N=10); n (%)</w:t>
            </w:r>
          </w:p>
        </w:tc>
        <w:tc>
          <w:tcPr>
            <w:tcW w:w="1022" w:type="pct"/>
          </w:tcPr>
          <w:p w14:paraId="62FD6659" w14:textId="77777777" w:rsidR="00EB0321" w:rsidRPr="00886D8A" w:rsidRDefault="00EB0321" w:rsidP="004E36D3">
            <w:pPr>
              <w:pStyle w:val="TableText0"/>
              <w:jc w:val="center"/>
              <w:rPr>
                <w:rFonts w:eastAsia="Calibri"/>
                <w:b/>
                <w:bCs w:val="0"/>
              </w:rPr>
            </w:pPr>
            <w:r w:rsidRPr="00886D8A">
              <w:rPr>
                <w:b/>
                <w:bCs w:val="0"/>
                <w:lang w:eastAsia="en-IN"/>
              </w:rPr>
              <w:t xml:space="preserve">Velmanase alfa </w:t>
            </w:r>
            <w:r w:rsidRPr="00886D8A">
              <w:rPr>
                <w:rFonts w:eastAsia="Calibri"/>
                <w:b/>
                <w:bCs w:val="0"/>
              </w:rPr>
              <w:t xml:space="preserve">(N=15); </w:t>
            </w:r>
            <w:r w:rsidRPr="00886D8A">
              <w:rPr>
                <w:b/>
                <w:bCs w:val="0"/>
                <w:lang w:eastAsia="en-IN"/>
              </w:rPr>
              <w:t>n (%)</w:t>
            </w:r>
          </w:p>
        </w:tc>
        <w:tc>
          <w:tcPr>
            <w:tcW w:w="1308" w:type="pct"/>
          </w:tcPr>
          <w:p w14:paraId="414149E5" w14:textId="68B5299A" w:rsidR="00EB0321" w:rsidRPr="00886D8A" w:rsidRDefault="00EB0321" w:rsidP="004E36D3">
            <w:pPr>
              <w:pStyle w:val="TableText0"/>
              <w:jc w:val="center"/>
              <w:rPr>
                <w:rFonts w:eastAsia="Calibri"/>
                <w:b/>
                <w:bCs w:val="0"/>
              </w:rPr>
            </w:pPr>
            <w:r w:rsidRPr="00886D8A">
              <w:rPr>
                <w:rFonts w:eastAsia="Calibri"/>
                <w:b/>
                <w:bCs w:val="0"/>
              </w:rPr>
              <w:t xml:space="preserve">Velmanase Alfa </w:t>
            </w:r>
            <w:r w:rsidR="00F17E2E" w:rsidRPr="00886D8A">
              <w:rPr>
                <w:rFonts w:eastAsia="Calibri"/>
                <w:b/>
                <w:bCs w:val="0"/>
              </w:rPr>
              <w:br/>
            </w:r>
            <w:r w:rsidRPr="00886D8A">
              <w:rPr>
                <w:rFonts w:eastAsia="Calibri"/>
                <w:b/>
                <w:bCs w:val="0"/>
              </w:rPr>
              <w:t xml:space="preserve">(N=33); </w:t>
            </w:r>
            <w:r w:rsidRPr="00886D8A">
              <w:rPr>
                <w:b/>
                <w:bCs w:val="0"/>
                <w:lang w:eastAsia="en-IN"/>
              </w:rPr>
              <w:t>n (%)</w:t>
            </w:r>
          </w:p>
        </w:tc>
      </w:tr>
      <w:tr w:rsidR="00EB0321" w:rsidRPr="00886D8A" w14:paraId="14510A17" w14:textId="77777777" w:rsidTr="006571DA">
        <w:trPr>
          <w:trHeight w:val="20"/>
        </w:trPr>
        <w:tc>
          <w:tcPr>
            <w:tcW w:w="939" w:type="pct"/>
          </w:tcPr>
          <w:p w14:paraId="5F8C4DAA" w14:textId="77777777" w:rsidR="00EB0321" w:rsidRPr="00886D8A" w:rsidRDefault="00EB0321" w:rsidP="004E36D3">
            <w:pPr>
              <w:pStyle w:val="TableText0"/>
              <w:rPr>
                <w:rFonts w:eastAsia="Calibri"/>
              </w:rPr>
            </w:pPr>
            <w:r w:rsidRPr="00886D8A">
              <w:rPr>
                <w:rFonts w:eastAsia="Calibri"/>
              </w:rPr>
              <w:t>Pharmacodynamic</w:t>
            </w:r>
          </w:p>
        </w:tc>
        <w:tc>
          <w:tcPr>
            <w:tcW w:w="866" w:type="pct"/>
          </w:tcPr>
          <w:p w14:paraId="248C6C5F" w14:textId="77777777" w:rsidR="00EB0321" w:rsidRPr="00886D8A" w:rsidRDefault="00EB0321" w:rsidP="004E36D3">
            <w:pPr>
              <w:pStyle w:val="TableText0"/>
              <w:rPr>
                <w:rFonts w:eastAsia="Calibri"/>
              </w:rPr>
            </w:pPr>
            <w:r w:rsidRPr="00886D8A">
              <w:rPr>
                <w:rFonts w:eastAsia="Calibri"/>
              </w:rPr>
              <w:t>Oligosaccharides</w:t>
            </w:r>
          </w:p>
        </w:tc>
        <w:tc>
          <w:tcPr>
            <w:tcW w:w="864" w:type="pct"/>
          </w:tcPr>
          <w:p w14:paraId="3A262FE2" w14:textId="77777777" w:rsidR="00EB0321" w:rsidRPr="00886D8A" w:rsidRDefault="00EB0321" w:rsidP="004E36D3">
            <w:pPr>
              <w:pStyle w:val="TableText0"/>
              <w:jc w:val="center"/>
              <w:rPr>
                <w:rFonts w:eastAsia="Calibri"/>
              </w:rPr>
            </w:pPr>
            <w:r w:rsidRPr="00886D8A">
              <w:rPr>
                <w:rFonts w:eastAsia="Calibri"/>
              </w:rPr>
              <w:t>2 (20.0%)</w:t>
            </w:r>
          </w:p>
        </w:tc>
        <w:tc>
          <w:tcPr>
            <w:tcW w:w="1022" w:type="pct"/>
          </w:tcPr>
          <w:p w14:paraId="6607D3DB" w14:textId="77777777" w:rsidR="00EB0321" w:rsidRPr="00886D8A" w:rsidRDefault="00EB0321" w:rsidP="004E36D3">
            <w:pPr>
              <w:pStyle w:val="TableText0"/>
              <w:jc w:val="center"/>
              <w:rPr>
                <w:rFonts w:eastAsia="Calibri"/>
              </w:rPr>
            </w:pPr>
            <w:r w:rsidRPr="00886D8A">
              <w:rPr>
                <w:rFonts w:eastAsia="Calibri"/>
              </w:rPr>
              <w:t>15 (100.0%)</w:t>
            </w:r>
          </w:p>
        </w:tc>
        <w:tc>
          <w:tcPr>
            <w:tcW w:w="1308" w:type="pct"/>
          </w:tcPr>
          <w:p w14:paraId="555761D5" w14:textId="77777777" w:rsidR="00EB0321" w:rsidRPr="00886D8A" w:rsidRDefault="00EB0321" w:rsidP="004E36D3">
            <w:pPr>
              <w:pStyle w:val="TableText0"/>
              <w:jc w:val="center"/>
              <w:rPr>
                <w:rFonts w:eastAsia="Calibri"/>
              </w:rPr>
            </w:pPr>
            <w:r w:rsidRPr="00886D8A">
              <w:rPr>
                <w:rFonts w:eastAsia="Calibri"/>
              </w:rPr>
              <w:t>30 (91.0%)</w:t>
            </w:r>
          </w:p>
        </w:tc>
      </w:tr>
      <w:tr w:rsidR="00EB0321" w:rsidRPr="00886D8A" w14:paraId="3C248FEF" w14:textId="77777777" w:rsidTr="006571DA">
        <w:trPr>
          <w:trHeight w:val="20"/>
        </w:trPr>
        <w:tc>
          <w:tcPr>
            <w:tcW w:w="939" w:type="pct"/>
          </w:tcPr>
          <w:p w14:paraId="03FCC271" w14:textId="77777777" w:rsidR="00EB0321" w:rsidRPr="00886D8A" w:rsidRDefault="00EB0321" w:rsidP="004E36D3">
            <w:pPr>
              <w:pStyle w:val="TableText0"/>
              <w:rPr>
                <w:rFonts w:eastAsia="Calibri"/>
              </w:rPr>
            </w:pPr>
            <w:r w:rsidRPr="00886D8A">
              <w:rPr>
                <w:rFonts w:eastAsia="Calibri"/>
              </w:rPr>
              <w:t>Pharmacodynamic domain response</w:t>
            </w:r>
          </w:p>
        </w:tc>
        <w:tc>
          <w:tcPr>
            <w:tcW w:w="866" w:type="pct"/>
          </w:tcPr>
          <w:p w14:paraId="12BC115E" w14:textId="77777777" w:rsidR="00EB0321" w:rsidRPr="00886D8A" w:rsidRDefault="00EB0321" w:rsidP="004E36D3">
            <w:pPr>
              <w:pStyle w:val="TableText0"/>
              <w:rPr>
                <w:rFonts w:eastAsia="Calibri"/>
              </w:rPr>
            </w:pPr>
            <w:r w:rsidRPr="00886D8A">
              <w:rPr>
                <w:rFonts w:eastAsia="Calibri"/>
              </w:rPr>
              <w:t>Oligosaccharides</w:t>
            </w:r>
          </w:p>
        </w:tc>
        <w:tc>
          <w:tcPr>
            <w:tcW w:w="864" w:type="pct"/>
          </w:tcPr>
          <w:p w14:paraId="53F2EBFC" w14:textId="77777777" w:rsidR="00EB0321" w:rsidRPr="00886D8A" w:rsidRDefault="00EB0321" w:rsidP="004E36D3">
            <w:pPr>
              <w:pStyle w:val="TableText0"/>
              <w:jc w:val="center"/>
              <w:rPr>
                <w:rFonts w:eastAsia="Calibri"/>
              </w:rPr>
            </w:pPr>
            <w:r w:rsidRPr="00886D8A">
              <w:rPr>
                <w:rFonts w:eastAsia="Calibri"/>
              </w:rPr>
              <w:t>2 (20.0%)</w:t>
            </w:r>
          </w:p>
        </w:tc>
        <w:tc>
          <w:tcPr>
            <w:tcW w:w="1022" w:type="pct"/>
          </w:tcPr>
          <w:p w14:paraId="2953FC2A" w14:textId="77777777" w:rsidR="00EB0321" w:rsidRPr="00886D8A" w:rsidRDefault="00EB0321" w:rsidP="004E36D3">
            <w:pPr>
              <w:pStyle w:val="TableText0"/>
              <w:jc w:val="center"/>
              <w:rPr>
                <w:rFonts w:eastAsia="Calibri"/>
              </w:rPr>
            </w:pPr>
            <w:r w:rsidRPr="00886D8A">
              <w:rPr>
                <w:rFonts w:eastAsia="Calibri"/>
              </w:rPr>
              <w:t>15 (100.0%)</w:t>
            </w:r>
          </w:p>
        </w:tc>
        <w:tc>
          <w:tcPr>
            <w:tcW w:w="1308" w:type="pct"/>
          </w:tcPr>
          <w:p w14:paraId="15FD9407" w14:textId="77777777" w:rsidR="00EB0321" w:rsidRPr="00886D8A" w:rsidRDefault="00EB0321" w:rsidP="004E36D3">
            <w:pPr>
              <w:pStyle w:val="TableText0"/>
              <w:jc w:val="center"/>
              <w:rPr>
                <w:rFonts w:eastAsia="Calibri"/>
              </w:rPr>
            </w:pPr>
            <w:r w:rsidRPr="00886D8A">
              <w:rPr>
                <w:rFonts w:eastAsia="Calibri"/>
              </w:rPr>
              <w:t>30 (91.0%)</w:t>
            </w:r>
          </w:p>
        </w:tc>
      </w:tr>
      <w:tr w:rsidR="00EB0321" w:rsidRPr="00886D8A" w14:paraId="3B24554B" w14:textId="77777777" w:rsidTr="006571DA">
        <w:trPr>
          <w:trHeight w:val="20"/>
        </w:trPr>
        <w:tc>
          <w:tcPr>
            <w:tcW w:w="939" w:type="pct"/>
            <w:vMerge w:val="restart"/>
          </w:tcPr>
          <w:p w14:paraId="61B290EC" w14:textId="77777777" w:rsidR="00EB0321" w:rsidRPr="00886D8A" w:rsidRDefault="00EB0321" w:rsidP="004E36D3">
            <w:pPr>
              <w:pStyle w:val="TableText0"/>
              <w:rPr>
                <w:rFonts w:eastAsia="Calibri"/>
              </w:rPr>
            </w:pPr>
            <w:r w:rsidRPr="00886D8A">
              <w:rPr>
                <w:rFonts w:eastAsia="Calibri"/>
              </w:rPr>
              <w:t>Functional</w:t>
            </w:r>
          </w:p>
        </w:tc>
        <w:tc>
          <w:tcPr>
            <w:tcW w:w="866" w:type="pct"/>
          </w:tcPr>
          <w:p w14:paraId="1A6EAA6B" w14:textId="77777777" w:rsidR="00EB0321" w:rsidRPr="00886D8A" w:rsidRDefault="00EB0321" w:rsidP="004E36D3">
            <w:pPr>
              <w:pStyle w:val="TableText0"/>
              <w:rPr>
                <w:rFonts w:eastAsia="Calibri"/>
              </w:rPr>
            </w:pPr>
            <w:r w:rsidRPr="00886D8A">
              <w:rPr>
                <w:rFonts w:eastAsia="Calibri"/>
              </w:rPr>
              <w:t>3MSCT</w:t>
            </w:r>
          </w:p>
        </w:tc>
        <w:tc>
          <w:tcPr>
            <w:tcW w:w="864" w:type="pct"/>
          </w:tcPr>
          <w:p w14:paraId="228C87F1" w14:textId="77777777" w:rsidR="00EB0321" w:rsidRPr="00886D8A" w:rsidRDefault="00EB0321" w:rsidP="004E36D3">
            <w:pPr>
              <w:pStyle w:val="TableText0"/>
              <w:jc w:val="center"/>
              <w:rPr>
                <w:rFonts w:eastAsia="Calibri"/>
              </w:rPr>
            </w:pPr>
            <w:r w:rsidRPr="00886D8A">
              <w:rPr>
                <w:rFonts w:eastAsia="Calibri"/>
              </w:rPr>
              <w:t>1 (10.0%)</w:t>
            </w:r>
          </w:p>
        </w:tc>
        <w:tc>
          <w:tcPr>
            <w:tcW w:w="1022" w:type="pct"/>
          </w:tcPr>
          <w:p w14:paraId="0447DD74" w14:textId="77777777" w:rsidR="00EB0321" w:rsidRPr="00886D8A" w:rsidRDefault="00EB0321" w:rsidP="004E36D3">
            <w:pPr>
              <w:pStyle w:val="TableText0"/>
              <w:jc w:val="center"/>
              <w:rPr>
                <w:rFonts w:eastAsia="Calibri"/>
              </w:rPr>
            </w:pPr>
            <w:r w:rsidRPr="00886D8A">
              <w:rPr>
                <w:rFonts w:eastAsia="Calibri"/>
              </w:rPr>
              <w:t>3 (20.0%)</w:t>
            </w:r>
          </w:p>
        </w:tc>
        <w:tc>
          <w:tcPr>
            <w:tcW w:w="1308" w:type="pct"/>
          </w:tcPr>
          <w:p w14:paraId="540767C2" w14:textId="77777777" w:rsidR="00EB0321" w:rsidRPr="00886D8A" w:rsidRDefault="00EB0321" w:rsidP="004E36D3">
            <w:pPr>
              <w:pStyle w:val="TableText0"/>
              <w:jc w:val="center"/>
              <w:rPr>
                <w:rFonts w:eastAsia="Calibri"/>
              </w:rPr>
            </w:pPr>
            <w:r w:rsidRPr="00886D8A">
              <w:rPr>
                <w:rFonts w:eastAsia="Calibri"/>
              </w:rPr>
              <w:t>16 (48.5%)</w:t>
            </w:r>
          </w:p>
        </w:tc>
      </w:tr>
      <w:tr w:rsidR="00EB0321" w:rsidRPr="00886D8A" w14:paraId="6DCEBB77" w14:textId="77777777" w:rsidTr="006571DA">
        <w:trPr>
          <w:trHeight w:val="20"/>
        </w:trPr>
        <w:tc>
          <w:tcPr>
            <w:tcW w:w="939" w:type="pct"/>
            <w:vMerge/>
          </w:tcPr>
          <w:p w14:paraId="7BE8F396" w14:textId="77777777" w:rsidR="00EB0321" w:rsidRPr="00886D8A" w:rsidRDefault="00EB0321" w:rsidP="004E36D3">
            <w:pPr>
              <w:pStyle w:val="TableText0"/>
              <w:rPr>
                <w:rFonts w:eastAsia="Calibri"/>
              </w:rPr>
            </w:pPr>
          </w:p>
        </w:tc>
        <w:tc>
          <w:tcPr>
            <w:tcW w:w="866" w:type="pct"/>
          </w:tcPr>
          <w:p w14:paraId="32D5BD6D" w14:textId="77777777" w:rsidR="00EB0321" w:rsidRPr="00886D8A" w:rsidRDefault="00EB0321" w:rsidP="004E36D3">
            <w:pPr>
              <w:pStyle w:val="TableText0"/>
              <w:rPr>
                <w:rFonts w:eastAsia="Calibri"/>
              </w:rPr>
            </w:pPr>
            <w:r w:rsidRPr="00886D8A">
              <w:rPr>
                <w:rFonts w:eastAsia="Calibri"/>
              </w:rPr>
              <w:t>6MWT</w:t>
            </w:r>
          </w:p>
        </w:tc>
        <w:tc>
          <w:tcPr>
            <w:tcW w:w="864" w:type="pct"/>
          </w:tcPr>
          <w:p w14:paraId="4CD0C2DB" w14:textId="77777777" w:rsidR="00EB0321" w:rsidRPr="00886D8A" w:rsidRDefault="00EB0321" w:rsidP="004E36D3">
            <w:pPr>
              <w:pStyle w:val="TableText0"/>
              <w:jc w:val="center"/>
              <w:rPr>
                <w:rFonts w:eastAsia="Calibri"/>
              </w:rPr>
            </w:pPr>
            <w:r w:rsidRPr="00886D8A">
              <w:rPr>
                <w:rFonts w:eastAsia="Calibri"/>
              </w:rPr>
              <w:t>1 (10.0%)</w:t>
            </w:r>
          </w:p>
        </w:tc>
        <w:tc>
          <w:tcPr>
            <w:tcW w:w="1022" w:type="pct"/>
          </w:tcPr>
          <w:p w14:paraId="7FD0379A" w14:textId="77777777" w:rsidR="00EB0321" w:rsidRPr="00886D8A" w:rsidRDefault="00EB0321" w:rsidP="004E36D3">
            <w:pPr>
              <w:pStyle w:val="TableText0"/>
              <w:jc w:val="center"/>
              <w:rPr>
                <w:rFonts w:eastAsia="Calibri"/>
              </w:rPr>
            </w:pPr>
            <w:r w:rsidRPr="00886D8A">
              <w:rPr>
                <w:rFonts w:eastAsia="Calibri"/>
              </w:rPr>
              <w:t>3 (20.0%)</w:t>
            </w:r>
          </w:p>
        </w:tc>
        <w:tc>
          <w:tcPr>
            <w:tcW w:w="1308" w:type="pct"/>
          </w:tcPr>
          <w:p w14:paraId="71F20C4C" w14:textId="77777777" w:rsidR="00EB0321" w:rsidRPr="00886D8A" w:rsidRDefault="00EB0321" w:rsidP="004E36D3">
            <w:pPr>
              <w:pStyle w:val="TableText0"/>
              <w:jc w:val="center"/>
              <w:rPr>
                <w:rFonts w:eastAsia="Calibri"/>
              </w:rPr>
            </w:pPr>
            <w:r w:rsidRPr="00886D8A">
              <w:rPr>
                <w:rFonts w:eastAsia="Calibri"/>
              </w:rPr>
              <w:t>16 (48.5%)</w:t>
            </w:r>
          </w:p>
        </w:tc>
      </w:tr>
      <w:tr w:rsidR="00EB0321" w:rsidRPr="00886D8A" w14:paraId="344054E0" w14:textId="77777777" w:rsidTr="006571DA">
        <w:trPr>
          <w:trHeight w:val="20"/>
        </w:trPr>
        <w:tc>
          <w:tcPr>
            <w:tcW w:w="939" w:type="pct"/>
            <w:vMerge/>
          </w:tcPr>
          <w:p w14:paraId="2EFAA7D0" w14:textId="77777777" w:rsidR="00EB0321" w:rsidRPr="00886D8A" w:rsidRDefault="00EB0321" w:rsidP="004E36D3">
            <w:pPr>
              <w:pStyle w:val="TableText0"/>
              <w:rPr>
                <w:rFonts w:eastAsia="Calibri"/>
              </w:rPr>
            </w:pPr>
          </w:p>
        </w:tc>
        <w:tc>
          <w:tcPr>
            <w:tcW w:w="866" w:type="pct"/>
          </w:tcPr>
          <w:p w14:paraId="61049979" w14:textId="77777777" w:rsidR="00EB0321" w:rsidRPr="00886D8A" w:rsidRDefault="00EB0321" w:rsidP="004E36D3">
            <w:pPr>
              <w:pStyle w:val="TableText0"/>
              <w:rPr>
                <w:rFonts w:eastAsia="Calibri"/>
              </w:rPr>
            </w:pPr>
            <w:r w:rsidRPr="00886D8A">
              <w:rPr>
                <w:rFonts w:eastAsia="Calibri"/>
              </w:rPr>
              <w:t>FVC (% predicted)</w:t>
            </w:r>
          </w:p>
        </w:tc>
        <w:tc>
          <w:tcPr>
            <w:tcW w:w="864" w:type="pct"/>
          </w:tcPr>
          <w:p w14:paraId="088098AB" w14:textId="77777777" w:rsidR="00EB0321" w:rsidRPr="00886D8A" w:rsidRDefault="00EB0321" w:rsidP="004E36D3">
            <w:pPr>
              <w:pStyle w:val="TableText0"/>
              <w:jc w:val="center"/>
              <w:rPr>
                <w:rFonts w:eastAsia="Calibri"/>
              </w:rPr>
            </w:pPr>
            <w:r w:rsidRPr="00886D8A">
              <w:rPr>
                <w:rFonts w:eastAsia="Calibri"/>
              </w:rPr>
              <w:t>2 (20.0%)</w:t>
            </w:r>
          </w:p>
        </w:tc>
        <w:tc>
          <w:tcPr>
            <w:tcW w:w="1022" w:type="pct"/>
          </w:tcPr>
          <w:p w14:paraId="486D8634" w14:textId="77777777" w:rsidR="00EB0321" w:rsidRPr="00886D8A" w:rsidRDefault="00EB0321" w:rsidP="004E36D3">
            <w:pPr>
              <w:pStyle w:val="TableText0"/>
              <w:jc w:val="center"/>
              <w:rPr>
                <w:rFonts w:eastAsia="Calibri"/>
              </w:rPr>
            </w:pPr>
            <w:r w:rsidRPr="00886D8A">
              <w:rPr>
                <w:rFonts w:eastAsia="Calibri"/>
              </w:rPr>
              <w:t>5 (33.3%)</w:t>
            </w:r>
          </w:p>
        </w:tc>
        <w:tc>
          <w:tcPr>
            <w:tcW w:w="1308" w:type="pct"/>
          </w:tcPr>
          <w:p w14:paraId="2CC24791" w14:textId="77777777" w:rsidR="00EB0321" w:rsidRPr="00886D8A" w:rsidRDefault="00EB0321" w:rsidP="004E36D3">
            <w:pPr>
              <w:pStyle w:val="TableText0"/>
              <w:jc w:val="center"/>
              <w:rPr>
                <w:rFonts w:eastAsia="Calibri"/>
              </w:rPr>
            </w:pPr>
            <w:r w:rsidRPr="00886D8A">
              <w:rPr>
                <w:rFonts w:eastAsia="Calibri"/>
              </w:rPr>
              <w:t>13 (39.4%)</w:t>
            </w:r>
          </w:p>
        </w:tc>
      </w:tr>
      <w:tr w:rsidR="00EB0321" w:rsidRPr="00886D8A" w14:paraId="1DC90635" w14:textId="77777777" w:rsidTr="006571DA">
        <w:trPr>
          <w:trHeight w:val="20"/>
        </w:trPr>
        <w:tc>
          <w:tcPr>
            <w:tcW w:w="939" w:type="pct"/>
          </w:tcPr>
          <w:p w14:paraId="2304EEFE" w14:textId="77777777" w:rsidR="00EB0321" w:rsidRPr="00886D8A" w:rsidRDefault="00EB0321" w:rsidP="004E36D3">
            <w:pPr>
              <w:pStyle w:val="TableText0"/>
              <w:rPr>
                <w:rFonts w:eastAsia="Calibri"/>
              </w:rPr>
            </w:pPr>
            <w:r w:rsidRPr="00886D8A">
              <w:rPr>
                <w:rFonts w:eastAsia="Calibri"/>
              </w:rPr>
              <w:t>Functional domain response</w:t>
            </w:r>
          </w:p>
        </w:tc>
        <w:tc>
          <w:tcPr>
            <w:tcW w:w="866" w:type="pct"/>
          </w:tcPr>
          <w:p w14:paraId="0F51430B" w14:textId="77777777" w:rsidR="00EB0321" w:rsidRPr="00886D8A" w:rsidRDefault="00EB0321" w:rsidP="004E36D3">
            <w:pPr>
              <w:pStyle w:val="TableText0"/>
              <w:rPr>
                <w:rFonts w:eastAsia="Calibri"/>
              </w:rPr>
            </w:pPr>
            <w:r w:rsidRPr="00886D8A">
              <w:rPr>
                <w:rFonts w:eastAsia="Calibri"/>
              </w:rPr>
              <w:t>Combined</w:t>
            </w:r>
          </w:p>
        </w:tc>
        <w:tc>
          <w:tcPr>
            <w:tcW w:w="864" w:type="pct"/>
          </w:tcPr>
          <w:p w14:paraId="3B85BC63" w14:textId="77777777" w:rsidR="00EB0321" w:rsidRPr="00886D8A" w:rsidRDefault="00EB0321" w:rsidP="004E36D3">
            <w:pPr>
              <w:pStyle w:val="TableText0"/>
              <w:jc w:val="center"/>
              <w:rPr>
                <w:rFonts w:eastAsia="Calibri"/>
              </w:rPr>
            </w:pPr>
            <w:r w:rsidRPr="00886D8A">
              <w:rPr>
                <w:rFonts w:eastAsia="Calibri"/>
              </w:rPr>
              <w:t>3 (30.0%)</w:t>
            </w:r>
          </w:p>
        </w:tc>
        <w:tc>
          <w:tcPr>
            <w:tcW w:w="1022" w:type="pct"/>
          </w:tcPr>
          <w:p w14:paraId="1498EF12" w14:textId="77777777" w:rsidR="00EB0321" w:rsidRPr="00886D8A" w:rsidRDefault="00EB0321" w:rsidP="004E36D3">
            <w:pPr>
              <w:pStyle w:val="TableText0"/>
              <w:jc w:val="center"/>
              <w:rPr>
                <w:rFonts w:eastAsia="Calibri"/>
              </w:rPr>
            </w:pPr>
            <w:r w:rsidRPr="00886D8A">
              <w:rPr>
                <w:rFonts w:eastAsia="Calibri"/>
              </w:rPr>
              <w:t>9 (60.0%)</w:t>
            </w:r>
          </w:p>
        </w:tc>
        <w:tc>
          <w:tcPr>
            <w:tcW w:w="1308" w:type="pct"/>
          </w:tcPr>
          <w:p w14:paraId="4A18357E" w14:textId="77777777" w:rsidR="00EB0321" w:rsidRPr="00886D8A" w:rsidRDefault="00EB0321" w:rsidP="004E36D3">
            <w:pPr>
              <w:pStyle w:val="TableText0"/>
              <w:jc w:val="center"/>
              <w:rPr>
                <w:rFonts w:eastAsia="Calibri"/>
              </w:rPr>
            </w:pPr>
            <w:r w:rsidRPr="00886D8A">
              <w:rPr>
                <w:rFonts w:eastAsia="Calibri"/>
              </w:rPr>
              <w:t>24 (72.7%)</w:t>
            </w:r>
          </w:p>
        </w:tc>
      </w:tr>
      <w:tr w:rsidR="00EB0321" w:rsidRPr="00886D8A" w14:paraId="45A45759" w14:textId="77777777" w:rsidTr="006571DA">
        <w:trPr>
          <w:trHeight w:val="20"/>
        </w:trPr>
        <w:tc>
          <w:tcPr>
            <w:tcW w:w="939" w:type="pct"/>
            <w:vMerge w:val="restart"/>
          </w:tcPr>
          <w:p w14:paraId="43FFD427" w14:textId="77777777" w:rsidR="00EB0321" w:rsidRPr="00886D8A" w:rsidRDefault="00EB0321" w:rsidP="004E36D3">
            <w:pPr>
              <w:pStyle w:val="TableText0"/>
              <w:rPr>
                <w:rFonts w:eastAsia="Calibri"/>
              </w:rPr>
            </w:pPr>
            <w:r w:rsidRPr="00886D8A">
              <w:rPr>
                <w:rFonts w:eastAsia="Calibri"/>
              </w:rPr>
              <w:t>Quality of Life</w:t>
            </w:r>
          </w:p>
        </w:tc>
        <w:tc>
          <w:tcPr>
            <w:tcW w:w="866" w:type="pct"/>
          </w:tcPr>
          <w:p w14:paraId="487ABF26" w14:textId="6CA4D450" w:rsidR="00EB0321" w:rsidRPr="00886D8A" w:rsidRDefault="00EB0321" w:rsidP="004E36D3">
            <w:pPr>
              <w:pStyle w:val="TableText0"/>
              <w:rPr>
                <w:rFonts w:eastAsia="Calibri"/>
              </w:rPr>
            </w:pPr>
            <w:r w:rsidRPr="00886D8A">
              <w:rPr>
                <w:rFonts w:eastAsia="Calibri"/>
              </w:rPr>
              <w:t>CHAQ</w:t>
            </w:r>
            <w:r w:rsidR="0011024A">
              <w:rPr>
                <w:rFonts w:eastAsia="Calibri"/>
              </w:rPr>
              <w:noBreakHyphen/>
            </w:r>
            <w:r w:rsidRPr="00886D8A">
              <w:rPr>
                <w:rFonts w:eastAsia="Calibri"/>
              </w:rPr>
              <w:t>DI</w:t>
            </w:r>
          </w:p>
        </w:tc>
        <w:tc>
          <w:tcPr>
            <w:tcW w:w="864" w:type="pct"/>
          </w:tcPr>
          <w:p w14:paraId="2803EC9F" w14:textId="77777777" w:rsidR="00EB0321" w:rsidRPr="00886D8A" w:rsidRDefault="00EB0321" w:rsidP="004E36D3">
            <w:pPr>
              <w:pStyle w:val="TableText0"/>
              <w:jc w:val="center"/>
              <w:rPr>
                <w:rFonts w:eastAsia="Calibri"/>
              </w:rPr>
            </w:pPr>
            <w:r w:rsidRPr="00886D8A">
              <w:rPr>
                <w:rFonts w:eastAsia="Calibri"/>
              </w:rPr>
              <w:t>2 (20.0%)</w:t>
            </w:r>
          </w:p>
        </w:tc>
        <w:tc>
          <w:tcPr>
            <w:tcW w:w="1022" w:type="pct"/>
          </w:tcPr>
          <w:p w14:paraId="3999651B" w14:textId="77777777" w:rsidR="00EB0321" w:rsidRPr="00886D8A" w:rsidRDefault="00EB0321" w:rsidP="004E36D3">
            <w:pPr>
              <w:pStyle w:val="TableText0"/>
              <w:jc w:val="center"/>
              <w:rPr>
                <w:rFonts w:eastAsia="Calibri"/>
              </w:rPr>
            </w:pPr>
            <w:r w:rsidRPr="00886D8A">
              <w:rPr>
                <w:rFonts w:eastAsia="Calibri"/>
              </w:rPr>
              <w:t>3 (20.0%)</w:t>
            </w:r>
          </w:p>
        </w:tc>
        <w:tc>
          <w:tcPr>
            <w:tcW w:w="1308" w:type="pct"/>
          </w:tcPr>
          <w:p w14:paraId="4CC89260" w14:textId="77777777" w:rsidR="00EB0321" w:rsidRPr="00886D8A" w:rsidRDefault="00EB0321" w:rsidP="004E36D3">
            <w:pPr>
              <w:pStyle w:val="TableText0"/>
              <w:jc w:val="center"/>
              <w:rPr>
                <w:rFonts w:eastAsia="Calibri"/>
              </w:rPr>
            </w:pPr>
            <w:r w:rsidRPr="00886D8A">
              <w:rPr>
                <w:rFonts w:eastAsia="Calibri"/>
              </w:rPr>
              <w:t>14 (42.2%)</w:t>
            </w:r>
          </w:p>
        </w:tc>
      </w:tr>
      <w:tr w:rsidR="00EB0321" w:rsidRPr="00886D8A" w14:paraId="3F644268" w14:textId="77777777" w:rsidTr="006571DA">
        <w:trPr>
          <w:trHeight w:val="20"/>
        </w:trPr>
        <w:tc>
          <w:tcPr>
            <w:tcW w:w="939" w:type="pct"/>
            <w:vMerge/>
          </w:tcPr>
          <w:p w14:paraId="4CB7CF71" w14:textId="77777777" w:rsidR="00EB0321" w:rsidRPr="00886D8A" w:rsidRDefault="00EB0321" w:rsidP="004E36D3">
            <w:pPr>
              <w:pStyle w:val="TableText0"/>
              <w:rPr>
                <w:rFonts w:eastAsia="Calibri"/>
              </w:rPr>
            </w:pPr>
          </w:p>
        </w:tc>
        <w:tc>
          <w:tcPr>
            <w:tcW w:w="866" w:type="pct"/>
          </w:tcPr>
          <w:p w14:paraId="429E0149" w14:textId="51992B9B" w:rsidR="00EB0321" w:rsidRPr="00886D8A" w:rsidRDefault="00EB0321" w:rsidP="004E36D3">
            <w:pPr>
              <w:pStyle w:val="TableText0"/>
              <w:rPr>
                <w:rFonts w:eastAsia="Calibri"/>
              </w:rPr>
            </w:pPr>
            <w:r w:rsidRPr="00886D8A">
              <w:rPr>
                <w:rFonts w:eastAsia="Calibri"/>
              </w:rPr>
              <w:t>CHAQ</w:t>
            </w:r>
            <w:r w:rsidR="0011024A">
              <w:rPr>
                <w:rFonts w:eastAsia="Calibri"/>
              </w:rPr>
              <w:noBreakHyphen/>
            </w:r>
            <w:r w:rsidRPr="00886D8A">
              <w:rPr>
                <w:rFonts w:eastAsia="Calibri"/>
              </w:rPr>
              <w:t>VAS</w:t>
            </w:r>
          </w:p>
        </w:tc>
        <w:tc>
          <w:tcPr>
            <w:tcW w:w="864" w:type="pct"/>
          </w:tcPr>
          <w:p w14:paraId="42A42230" w14:textId="77777777" w:rsidR="00EB0321" w:rsidRPr="00886D8A" w:rsidRDefault="00EB0321" w:rsidP="004E36D3">
            <w:pPr>
              <w:pStyle w:val="TableText0"/>
              <w:jc w:val="center"/>
              <w:rPr>
                <w:rFonts w:eastAsia="Calibri"/>
              </w:rPr>
            </w:pPr>
            <w:r w:rsidRPr="00886D8A">
              <w:rPr>
                <w:rFonts w:eastAsia="Calibri"/>
              </w:rPr>
              <w:t>4 (40.0%)</w:t>
            </w:r>
          </w:p>
        </w:tc>
        <w:tc>
          <w:tcPr>
            <w:tcW w:w="1022" w:type="pct"/>
          </w:tcPr>
          <w:p w14:paraId="2DC06F05" w14:textId="77777777" w:rsidR="00EB0321" w:rsidRPr="00886D8A" w:rsidRDefault="00EB0321" w:rsidP="004E36D3">
            <w:pPr>
              <w:pStyle w:val="TableText0"/>
              <w:jc w:val="center"/>
              <w:rPr>
                <w:rFonts w:eastAsia="Calibri"/>
              </w:rPr>
            </w:pPr>
            <w:r w:rsidRPr="00886D8A">
              <w:rPr>
                <w:rFonts w:eastAsia="Calibri"/>
              </w:rPr>
              <w:t>5 (33.3%)</w:t>
            </w:r>
          </w:p>
        </w:tc>
        <w:tc>
          <w:tcPr>
            <w:tcW w:w="1308" w:type="pct"/>
          </w:tcPr>
          <w:p w14:paraId="4A6FD5A7" w14:textId="77777777" w:rsidR="00EB0321" w:rsidRPr="00886D8A" w:rsidRDefault="00EB0321" w:rsidP="004E36D3">
            <w:pPr>
              <w:pStyle w:val="TableText0"/>
              <w:jc w:val="center"/>
              <w:rPr>
                <w:rFonts w:eastAsia="Calibri"/>
              </w:rPr>
            </w:pPr>
            <w:r w:rsidRPr="00886D8A">
              <w:rPr>
                <w:rFonts w:eastAsia="Calibri"/>
              </w:rPr>
              <w:t>15 (45.5%)</w:t>
            </w:r>
          </w:p>
        </w:tc>
      </w:tr>
      <w:tr w:rsidR="00EB0321" w:rsidRPr="00886D8A" w14:paraId="375A0FCC" w14:textId="77777777" w:rsidTr="006571DA">
        <w:trPr>
          <w:trHeight w:val="20"/>
        </w:trPr>
        <w:tc>
          <w:tcPr>
            <w:tcW w:w="939" w:type="pct"/>
          </w:tcPr>
          <w:p w14:paraId="0454685A" w14:textId="77777777" w:rsidR="00EB0321" w:rsidRPr="00886D8A" w:rsidRDefault="00EB0321" w:rsidP="004E36D3">
            <w:pPr>
              <w:pStyle w:val="TableText0"/>
              <w:rPr>
                <w:lang w:eastAsia="en-IN"/>
              </w:rPr>
            </w:pPr>
            <w:r w:rsidRPr="00886D8A">
              <w:rPr>
                <w:lang w:eastAsia="en-IN"/>
              </w:rPr>
              <w:t>QoL domain</w:t>
            </w:r>
          </w:p>
        </w:tc>
        <w:tc>
          <w:tcPr>
            <w:tcW w:w="866" w:type="pct"/>
          </w:tcPr>
          <w:p w14:paraId="3533ECA2" w14:textId="77777777" w:rsidR="00EB0321" w:rsidRPr="00886D8A" w:rsidRDefault="00EB0321" w:rsidP="004E36D3">
            <w:pPr>
              <w:pStyle w:val="TableText0"/>
              <w:rPr>
                <w:lang w:eastAsia="en-IN"/>
              </w:rPr>
            </w:pPr>
            <w:r w:rsidRPr="00886D8A">
              <w:rPr>
                <w:lang w:eastAsia="en-IN"/>
              </w:rPr>
              <w:t>Combined</w:t>
            </w:r>
          </w:p>
        </w:tc>
        <w:tc>
          <w:tcPr>
            <w:tcW w:w="864" w:type="pct"/>
          </w:tcPr>
          <w:p w14:paraId="2409D593" w14:textId="77777777" w:rsidR="00EB0321" w:rsidRPr="00886D8A" w:rsidRDefault="00EB0321" w:rsidP="004E36D3">
            <w:pPr>
              <w:pStyle w:val="TableText0"/>
              <w:jc w:val="center"/>
              <w:rPr>
                <w:rFonts w:eastAsia="Calibri"/>
              </w:rPr>
            </w:pPr>
            <w:r w:rsidRPr="00886D8A">
              <w:rPr>
                <w:rFonts w:eastAsia="Calibri"/>
              </w:rPr>
              <w:t>4 (40.0%)</w:t>
            </w:r>
          </w:p>
        </w:tc>
        <w:tc>
          <w:tcPr>
            <w:tcW w:w="1022" w:type="pct"/>
          </w:tcPr>
          <w:p w14:paraId="28533043" w14:textId="77777777" w:rsidR="00EB0321" w:rsidRPr="00886D8A" w:rsidRDefault="00EB0321" w:rsidP="004E36D3">
            <w:pPr>
              <w:pStyle w:val="TableText0"/>
              <w:jc w:val="center"/>
              <w:rPr>
                <w:rFonts w:eastAsia="Calibri"/>
              </w:rPr>
            </w:pPr>
            <w:r w:rsidRPr="00886D8A">
              <w:rPr>
                <w:rFonts w:eastAsia="Calibri"/>
              </w:rPr>
              <w:t>6 (40.0%)</w:t>
            </w:r>
          </w:p>
        </w:tc>
        <w:tc>
          <w:tcPr>
            <w:tcW w:w="1308" w:type="pct"/>
          </w:tcPr>
          <w:p w14:paraId="1A6F353C" w14:textId="77777777" w:rsidR="00EB0321" w:rsidRPr="00886D8A" w:rsidRDefault="00EB0321" w:rsidP="004E36D3">
            <w:pPr>
              <w:pStyle w:val="TableText0"/>
              <w:jc w:val="center"/>
              <w:rPr>
                <w:rFonts w:eastAsia="Calibri"/>
              </w:rPr>
            </w:pPr>
            <w:r w:rsidRPr="00886D8A">
              <w:rPr>
                <w:rFonts w:eastAsia="Calibri"/>
              </w:rPr>
              <w:t>22 (66.7%)</w:t>
            </w:r>
          </w:p>
        </w:tc>
      </w:tr>
      <w:tr w:rsidR="00EB0321" w:rsidRPr="00886D8A" w14:paraId="0534CADB" w14:textId="77777777" w:rsidTr="006571DA">
        <w:trPr>
          <w:trHeight w:val="20"/>
        </w:trPr>
        <w:tc>
          <w:tcPr>
            <w:tcW w:w="939" w:type="pct"/>
            <w:vMerge w:val="restart"/>
          </w:tcPr>
          <w:p w14:paraId="151CC626" w14:textId="77777777" w:rsidR="00EB0321" w:rsidRPr="00886D8A" w:rsidRDefault="00EB0321" w:rsidP="004E36D3">
            <w:pPr>
              <w:pStyle w:val="TableText0"/>
              <w:rPr>
                <w:lang w:eastAsia="en-IN"/>
              </w:rPr>
            </w:pPr>
            <w:r w:rsidRPr="00886D8A">
              <w:rPr>
                <w:lang w:eastAsia="en-IN"/>
              </w:rPr>
              <w:t>Overall response</w:t>
            </w:r>
          </w:p>
        </w:tc>
        <w:tc>
          <w:tcPr>
            <w:tcW w:w="866" w:type="pct"/>
          </w:tcPr>
          <w:p w14:paraId="0BEA6CC2" w14:textId="77777777" w:rsidR="00EB0321" w:rsidRPr="00886D8A" w:rsidRDefault="00EB0321" w:rsidP="004E36D3">
            <w:pPr>
              <w:pStyle w:val="TableText0"/>
              <w:rPr>
                <w:lang w:eastAsia="en-IN"/>
              </w:rPr>
            </w:pPr>
            <w:r w:rsidRPr="00886D8A">
              <w:rPr>
                <w:lang w:eastAsia="en-IN"/>
              </w:rPr>
              <w:t xml:space="preserve">Responder </w:t>
            </w:r>
          </w:p>
          <w:p w14:paraId="3B5B16DC" w14:textId="77777777" w:rsidR="00EB0321" w:rsidRPr="00886D8A" w:rsidRDefault="00EB0321" w:rsidP="004E36D3">
            <w:pPr>
              <w:pStyle w:val="TableText0"/>
              <w:rPr>
                <w:lang w:eastAsia="en-IN"/>
              </w:rPr>
            </w:pPr>
            <w:r w:rsidRPr="00886D8A">
              <w:rPr>
                <w:lang w:eastAsia="en-IN"/>
              </w:rPr>
              <w:t>(≥ 2 domains)</w:t>
            </w:r>
          </w:p>
        </w:tc>
        <w:tc>
          <w:tcPr>
            <w:tcW w:w="864" w:type="pct"/>
          </w:tcPr>
          <w:p w14:paraId="3088BB3B" w14:textId="77777777" w:rsidR="00EB0321" w:rsidRPr="00886D8A" w:rsidRDefault="00EB0321" w:rsidP="004E36D3">
            <w:pPr>
              <w:pStyle w:val="TableText0"/>
              <w:jc w:val="center"/>
              <w:rPr>
                <w:rFonts w:eastAsia="Calibri"/>
              </w:rPr>
            </w:pPr>
            <w:r w:rsidRPr="00886D8A">
              <w:rPr>
                <w:rFonts w:eastAsia="Calibri"/>
              </w:rPr>
              <w:t>30.0%</w:t>
            </w:r>
          </w:p>
        </w:tc>
        <w:tc>
          <w:tcPr>
            <w:tcW w:w="1022" w:type="pct"/>
          </w:tcPr>
          <w:p w14:paraId="0883A0F3" w14:textId="77777777" w:rsidR="00EB0321" w:rsidRPr="00886D8A" w:rsidRDefault="00EB0321" w:rsidP="004E36D3">
            <w:pPr>
              <w:pStyle w:val="TableText0"/>
              <w:jc w:val="center"/>
              <w:rPr>
                <w:rFonts w:eastAsia="Calibri"/>
              </w:rPr>
            </w:pPr>
            <w:r w:rsidRPr="00886D8A">
              <w:rPr>
                <w:rFonts w:eastAsia="Calibri"/>
              </w:rPr>
              <w:t>86.6%</w:t>
            </w:r>
          </w:p>
        </w:tc>
        <w:tc>
          <w:tcPr>
            <w:tcW w:w="1308" w:type="pct"/>
          </w:tcPr>
          <w:p w14:paraId="3CC24DF0" w14:textId="77777777" w:rsidR="00EB0321" w:rsidRPr="00886D8A" w:rsidRDefault="00EB0321" w:rsidP="004E36D3">
            <w:pPr>
              <w:pStyle w:val="TableText0"/>
              <w:jc w:val="center"/>
              <w:rPr>
                <w:rFonts w:eastAsia="Calibri"/>
              </w:rPr>
            </w:pPr>
            <w:r w:rsidRPr="00886D8A">
              <w:rPr>
                <w:rFonts w:eastAsia="Calibri"/>
              </w:rPr>
              <w:t>87.9%</w:t>
            </w:r>
          </w:p>
        </w:tc>
      </w:tr>
      <w:tr w:rsidR="00EB0321" w:rsidRPr="00886D8A" w14:paraId="6760F0D0" w14:textId="77777777" w:rsidTr="006571DA">
        <w:trPr>
          <w:trHeight w:val="20"/>
        </w:trPr>
        <w:tc>
          <w:tcPr>
            <w:tcW w:w="939" w:type="pct"/>
            <w:vMerge/>
          </w:tcPr>
          <w:p w14:paraId="5556DECB" w14:textId="77777777" w:rsidR="00EB0321" w:rsidRPr="00886D8A" w:rsidRDefault="00EB0321" w:rsidP="004E36D3">
            <w:pPr>
              <w:pStyle w:val="TableText0"/>
              <w:rPr>
                <w:lang w:eastAsia="en-IN"/>
              </w:rPr>
            </w:pPr>
          </w:p>
        </w:tc>
        <w:tc>
          <w:tcPr>
            <w:tcW w:w="866" w:type="pct"/>
          </w:tcPr>
          <w:p w14:paraId="00ADE42C" w14:textId="77777777" w:rsidR="00EB0321" w:rsidRPr="00886D8A" w:rsidRDefault="00EB0321" w:rsidP="004E36D3">
            <w:pPr>
              <w:pStyle w:val="TableText0"/>
              <w:rPr>
                <w:lang w:eastAsia="en-IN"/>
              </w:rPr>
            </w:pPr>
            <w:r w:rsidRPr="00886D8A">
              <w:rPr>
                <w:lang w:eastAsia="en-IN"/>
              </w:rPr>
              <w:t>Three domains</w:t>
            </w:r>
          </w:p>
        </w:tc>
        <w:tc>
          <w:tcPr>
            <w:tcW w:w="864" w:type="pct"/>
          </w:tcPr>
          <w:p w14:paraId="2A1717F8" w14:textId="77777777" w:rsidR="00EB0321" w:rsidRPr="00886D8A" w:rsidRDefault="00EB0321" w:rsidP="004E36D3">
            <w:pPr>
              <w:pStyle w:val="TableText0"/>
              <w:jc w:val="center"/>
              <w:rPr>
                <w:rFonts w:eastAsia="Calibri"/>
              </w:rPr>
            </w:pPr>
            <w:r w:rsidRPr="00886D8A">
              <w:rPr>
                <w:rFonts w:eastAsia="Calibri"/>
              </w:rPr>
              <w:t>0.0%</w:t>
            </w:r>
          </w:p>
        </w:tc>
        <w:tc>
          <w:tcPr>
            <w:tcW w:w="1022" w:type="pct"/>
          </w:tcPr>
          <w:p w14:paraId="52FF5079" w14:textId="77777777" w:rsidR="00EB0321" w:rsidRPr="00886D8A" w:rsidRDefault="00EB0321" w:rsidP="004E36D3">
            <w:pPr>
              <w:pStyle w:val="TableText0"/>
              <w:jc w:val="center"/>
              <w:rPr>
                <w:rFonts w:eastAsia="Calibri"/>
              </w:rPr>
            </w:pPr>
            <w:r w:rsidRPr="00886D8A">
              <w:rPr>
                <w:rFonts w:eastAsia="Calibri"/>
              </w:rPr>
              <w:t>13.3%</w:t>
            </w:r>
          </w:p>
        </w:tc>
        <w:tc>
          <w:tcPr>
            <w:tcW w:w="1308" w:type="pct"/>
          </w:tcPr>
          <w:p w14:paraId="27BF0CF6" w14:textId="77777777" w:rsidR="00EB0321" w:rsidRPr="00886D8A" w:rsidRDefault="00EB0321" w:rsidP="004E36D3">
            <w:pPr>
              <w:pStyle w:val="TableText0"/>
              <w:jc w:val="center"/>
              <w:rPr>
                <w:rFonts w:eastAsia="Calibri"/>
              </w:rPr>
            </w:pPr>
            <w:r w:rsidRPr="00886D8A">
              <w:rPr>
                <w:rFonts w:eastAsia="Calibri"/>
              </w:rPr>
              <w:t>45.5%</w:t>
            </w:r>
          </w:p>
        </w:tc>
      </w:tr>
      <w:tr w:rsidR="00EB0321" w:rsidRPr="00886D8A" w14:paraId="2C3D7187" w14:textId="77777777" w:rsidTr="006571DA">
        <w:trPr>
          <w:trHeight w:val="20"/>
        </w:trPr>
        <w:tc>
          <w:tcPr>
            <w:tcW w:w="939" w:type="pct"/>
            <w:vMerge/>
          </w:tcPr>
          <w:p w14:paraId="0D03454A" w14:textId="77777777" w:rsidR="00EB0321" w:rsidRPr="00886D8A" w:rsidRDefault="00EB0321" w:rsidP="004E36D3">
            <w:pPr>
              <w:pStyle w:val="TableText0"/>
              <w:rPr>
                <w:lang w:eastAsia="en-IN"/>
              </w:rPr>
            </w:pPr>
          </w:p>
        </w:tc>
        <w:tc>
          <w:tcPr>
            <w:tcW w:w="866" w:type="pct"/>
          </w:tcPr>
          <w:p w14:paraId="5185E6AC" w14:textId="77777777" w:rsidR="00EB0321" w:rsidRPr="00886D8A" w:rsidRDefault="00EB0321" w:rsidP="004E36D3">
            <w:pPr>
              <w:pStyle w:val="TableText0"/>
              <w:rPr>
                <w:lang w:eastAsia="en-IN"/>
              </w:rPr>
            </w:pPr>
            <w:r w:rsidRPr="00886D8A">
              <w:rPr>
                <w:lang w:eastAsia="en-IN"/>
              </w:rPr>
              <w:t>Two domains</w:t>
            </w:r>
          </w:p>
        </w:tc>
        <w:tc>
          <w:tcPr>
            <w:tcW w:w="864" w:type="pct"/>
          </w:tcPr>
          <w:p w14:paraId="18EF3691" w14:textId="77777777" w:rsidR="00EB0321" w:rsidRPr="00886D8A" w:rsidRDefault="00EB0321" w:rsidP="004E36D3">
            <w:pPr>
              <w:pStyle w:val="TableText0"/>
              <w:jc w:val="center"/>
              <w:rPr>
                <w:rFonts w:eastAsia="Calibri"/>
              </w:rPr>
            </w:pPr>
            <w:r w:rsidRPr="00886D8A">
              <w:rPr>
                <w:rFonts w:eastAsia="Calibri"/>
              </w:rPr>
              <w:t>30.0%</w:t>
            </w:r>
          </w:p>
        </w:tc>
        <w:tc>
          <w:tcPr>
            <w:tcW w:w="1022" w:type="pct"/>
          </w:tcPr>
          <w:p w14:paraId="2C0D299A" w14:textId="77777777" w:rsidR="00EB0321" w:rsidRPr="00886D8A" w:rsidRDefault="00EB0321" w:rsidP="004E36D3">
            <w:pPr>
              <w:pStyle w:val="TableText0"/>
              <w:jc w:val="center"/>
              <w:rPr>
                <w:rFonts w:eastAsia="Calibri"/>
              </w:rPr>
            </w:pPr>
            <w:r w:rsidRPr="00886D8A">
              <w:rPr>
                <w:rFonts w:eastAsia="Calibri"/>
              </w:rPr>
              <w:t>73.3%</w:t>
            </w:r>
          </w:p>
        </w:tc>
        <w:tc>
          <w:tcPr>
            <w:tcW w:w="1308" w:type="pct"/>
          </w:tcPr>
          <w:p w14:paraId="1001B305" w14:textId="77777777" w:rsidR="00EB0321" w:rsidRPr="00886D8A" w:rsidRDefault="00EB0321" w:rsidP="004E36D3">
            <w:pPr>
              <w:pStyle w:val="TableText0"/>
              <w:jc w:val="center"/>
              <w:rPr>
                <w:rFonts w:eastAsia="Calibri"/>
              </w:rPr>
            </w:pPr>
            <w:r w:rsidRPr="00886D8A">
              <w:rPr>
                <w:rFonts w:eastAsia="Calibri"/>
              </w:rPr>
              <w:t>42.4%</w:t>
            </w:r>
          </w:p>
        </w:tc>
      </w:tr>
      <w:tr w:rsidR="00EB0321" w:rsidRPr="00886D8A" w14:paraId="7DAC177F" w14:textId="77777777" w:rsidTr="006571DA">
        <w:trPr>
          <w:trHeight w:val="20"/>
        </w:trPr>
        <w:tc>
          <w:tcPr>
            <w:tcW w:w="939" w:type="pct"/>
            <w:vMerge/>
          </w:tcPr>
          <w:p w14:paraId="4C39100C" w14:textId="77777777" w:rsidR="00EB0321" w:rsidRPr="00886D8A" w:rsidRDefault="00EB0321" w:rsidP="004E36D3">
            <w:pPr>
              <w:pStyle w:val="TableText0"/>
              <w:rPr>
                <w:lang w:eastAsia="en-IN"/>
              </w:rPr>
            </w:pPr>
          </w:p>
        </w:tc>
        <w:tc>
          <w:tcPr>
            <w:tcW w:w="866" w:type="pct"/>
          </w:tcPr>
          <w:p w14:paraId="44298B8E" w14:textId="77777777" w:rsidR="00EB0321" w:rsidRPr="00886D8A" w:rsidRDefault="00EB0321" w:rsidP="004E36D3">
            <w:pPr>
              <w:pStyle w:val="TableText0"/>
              <w:rPr>
                <w:lang w:eastAsia="en-IN"/>
              </w:rPr>
            </w:pPr>
            <w:r w:rsidRPr="00886D8A">
              <w:rPr>
                <w:lang w:eastAsia="en-IN"/>
              </w:rPr>
              <w:t>One domain</w:t>
            </w:r>
          </w:p>
        </w:tc>
        <w:tc>
          <w:tcPr>
            <w:tcW w:w="864" w:type="pct"/>
          </w:tcPr>
          <w:p w14:paraId="08DB8F58" w14:textId="77777777" w:rsidR="00EB0321" w:rsidRPr="00886D8A" w:rsidRDefault="00EB0321" w:rsidP="004E36D3">
            <w:pPr>
              <w:pStyle w:val="TableText0"/>
              <w:jc w:val="center"/>
              <w:rPr>
                <w:rFonts w:eastAsia="Calibri"/>
              </w:rPr>
            </w:pPr>
            <w:r w:rsidRPr="00886D8A">
              <w:rPr>
                <w:rFonts w:eastAsia="Calibri"/>
              </w:rPr>
              <w:t>30.0%</w:t>
            </w:r>
          </w:p>
        </w:tc>
        <w:tc>
          <w:tcPr>
            <w:tcW w:w="1022" w:type="pct"/>
          </w:tcPr>
          <w:p w14:paraId="6A16E4C1" w14:textId="77777777" w:rsidR="00EB0321" w:rsidRPr="00886D8A" w:rsidRDefault="00EB0321" w:rsidP="004E36D3">
            <w:pPr>
              <w:pStyle w:val="TableText0"/>
              <w:jc w:val="center"/>
              <w:rPr>
                <w:rFonts w:eastAsia="Calibri"/>
              </w:rPr>
            </w:pPr>
            <w:r w:rsidRPr="00886D8A">
              <w:rPr>
                <w:rFonts w:eastAsia="Calibri"/>
              </w:rPr>
              <w:t>13.3%</w:t>
            </w:r>
          </w:p>
        </w:tc>
        <w:tc>
          <w:tcPr>
            <w:tcW w:w="1308" w:type="pct"/>
          </w:tcPr>
          <w:p w14:paraId="0B52AC63" w14:textId="77777777" w:rsidR="00EB0321" w:rsidRPr="00886D8A" w:rsidRDefault="00EB0321" w:rsidP="004E36D3">
            <w:pPr>
              <w:pStyle w:val="TableText0"/>
              <w:jc w:val="center"/>
              <w:rPr>
                <w:rFonts w:eastAsia="Calibri"/>
              </w:rPr>
            </w:pPr>
            <w:r w:rsidRPr="00886D8A">
              <w:rPr>
                <w:rFonts w:eastAsia="Calibri"/>
              </w:rPr>
              <w:t>9.1%</w:t>
            </w:r>
          </w:p>
        </w:tc>
      </w:tr>
      <w:tr w:rsidR="00EB0321" w:rsidRPr="00886D8A" w14:paraId="7AEA1CDF" w14:textId="77777777" w:rsidTr="006571DA">
        <w:trPr>
          <w:trHeight w:val="20"/>
        </w:trPr>
        <w:tc>
          <w:tcPr>
            <w:tcW w:w="939" w:type="pct"/>
            <w:vMerge/>
          </w:tcPr>
          <w:p w14:paraId="4E0E528E" w14:textId="77777777" w:rsidR="00EB0321" w:rsidRPr="00886D8A" w:rsidRDefault="00EB0321" w:rsidP="004E36D3">
            <w:pPr>
              <w:pStyle w:val="TableText0"/>
              <w:rPr>
                <w:lang w:eastAsia="en-IN"/>
              </w:rPr>
            </w:pPr>
          </w:p>
        </w:tc>
        <w:tc>
          <w:tcPr>
            <w:tcW w:w="866" w:type="pct"/>
          </w:tcPr>
          <w:p w14:paraId="1681EF53" w14:textId="77777777" w:rsidR="00EB0321" w:rsidRPr="00886D8A" w:rsidRDefault="00EB0321" w:rsidP="004E36D3">
            <w:pPr>
              <w:pStyle w:val="TableText0"/>
              <w:rPr>
                <w:lang w:eastAsia="en-IN"/>
              </w:rPr>
            </w:pPr>
            <w:r w:rsidRPr="00886D8A">
              <w:rPr>
                <w:lang w:eastAsia="en-IN"/>
              </w:rPr>
              <w:t>No domains</w:t>
            </w:r>
          </w:p>
        </w:tc>
        <w:tc>
          <w:tcPr>
            <w:tcW w:w="864" w:type="pct"/>
          </w:tcPr>
          <w:p w14:paraId="11C6FF8C" w14:textId="77777777" w:rsidR="00EB0321" w:rsidRPr="00886D8A" w:rsidRDefault="00EB0321" w:rsidP="004E36D3">
            <w:pPr>
              <w:pStyle w:val="TableText0"/>
              <w:jc w:val="center"/>
              <w:rPr>
                <w:rFonts w:eastAsia="Calibri"/>
              </w:rPr>
            </w:pPr>
            <w:r w:rsidRPr="00886D8A">
              <w:rPr>
                <w:rFonts w:eastAsia="Calibri"/>
              </w:rPr>
              <w:t>40.0%</w:t>
            </w:r>
          </w:p>
        </w:tc>
        <w:tc>
          <w:tcPr>
            <w:tcW w:w="1022" w:type="pct"/>
          </w:tcPr>
          <w:p w14:paraId="1A4660C6" w14:textId="77777777" w:rsidR="00EB0321" w:rsidRPr="00886D8A" w:rsidRDefault="00EB0321" w:rsidP="004E36D3">
            <w:pPr>
              <w:pStyle w:val="TableText0"/>
              <w:jc w:val="center"/>
              <w:rPr>
                <w:rFonts w:eastAsia="Calibri"/>
              </w:rPr>
            </w:pPr>
            <w:r w:rsidRPr="00886D8A">
              <w:rPr>
                <w:rFonts w:eastAsia="Calibri"/>
              </w:rPr>
              <w:t>0.0%</w:t>
            </w:r>
          </w:p>
        </w:tc>
        <w:tc>
          <w:tcPr>
            <w:tcW w:w="1308" w:type="pct"/>
          </w:tcPr>
          <w:p w14:paraId="18FB4747" w14:textId="77777777" w:rsidR="00EB0321" w:rsidRPr="00886D8A" w:rsidRDefault="00EB0321" w:rsidP="004E36D3">
            <w:pPr>
              <w:pStyle w:val="TableText0"/>
              <w:jc w:val="center"/>
              <w:rPr>
                <w:rFonts w:eastAsia="Calibri"/>
              </w:rPr>
            </w:pPr>
            <w:r w:rsidRPr="00886D8A">
              <w:rPr>
                <w:rFonts w:eastAsia="Calibri"/>
              </w:rPr>
              <w:t>3.0%</w:t>
            </w:r>
          </w:p>
        </w:tc>
      </w:tr>
    </w:tbl>
    <w:p w14:paraId="02628C0E" w14:textId="0EB158C3" w:rsidR="00EB0321" w:rsidRPr="00886D8A" w:rsidRDefault="00EB0321" w:rsidP="004E36D3">
      <w:pPr>
        <w:pStyle w:val="TableFigureFooter"/>
        <w:rPr>
          <w:rStyle w:val="CommentReference"/>
          <w:b w:val="0"/>
          <w:sz w:val="18"/>
          <w:szCs w:val="22"/>
        </w:rPr>
      </w:pPr>
      <w:r w:rsidRPr="00886D8A">
        <w:rPr>
          <w:rStyle w:val="CommentReference"/>
          <w:b w:val="0"/>
          <w:sz w:val="18"/>
          <w:szCs w:val="22"/>
        </w:rPr>
        <w:t>Source: Table 2.6</w:t>
      </w:r>
      <w:r w:rsidR="0011024A">
        <w:rPr>
          <w:rStyle w:val="CommentReference"/>
          <w:b w:val="0"/>
          <w:sz w:val="18"/>
          <w:szCs w:val="22"/>
        </w:rPr>
        <w:noBreakHyphen/>
      </w:r>
      <w:r w:rsidRPr="00886D8A">
        <w:rPr>
          <w:rStyle w:val="CommentReference"/>
          <w:b w:val="0"/>
          <w:sz w:val="18"/>
          <w:szCs w:val="22"/>
        </w:rPr>
        <w:t xml:space="preserve">19, p130 of the submission. </w:t>
      </w:r>
    </w:p>
    <w:p w14:paraId="19A39E13" w14:textId="584DD591" w:rsidR="00EB0321" w:rsidRPr="00886D8A" w:rsidRDefault="00EB0321" w:rsidP="004E36D3">
      <w:pPr>
        <w:pStyle w:val="TableFigureFooter"/>
        <w:rPr>
          <w:rStyle w:val="CommentReference"/>
          <w:b w:val="0"/>
          <w:sz w:val="18"/>
          <w:szCs w:val="18"/>
        </w:rPr>
      </w:pPr>
      <w:r w:rsidRPr="00886D8A">
        <w:rPr>
          <w:rStyle w:val="CommentReference"/>
          <w:b w:val="0"/>
          <w:sz w:val="18"/>
          <w:szCs w:val="18"/>
        </w:rPr>
        <w:t>3MSCT = 3</w:t>
      </w:r>
      <w:r w:rsidR="0011024A">
        <w:rPr>
          <w:rStyle w:val="CommentReference"/>
          <w:b w:val="0"/>
          <w:sz w:val="18"/>
          <w:szCs w:val="18"/>
        </w:rPr>
        <w:noBreakHyphen/>
      </w:r>
      <w:r w:rsidRPr="00886D8A">
        <w:rPr>
          <w:rStyle w:val="CommentReference"/>
          <w:b w:val="0"/>
          <w:sz w:val="18"/>
          <w:szCs w:val="18"/>
        </w:rPr>
        <w:t>Minute Stair Climb Test; 6MWT = 6</w:t>
      </w:r>
      <w:r w:rsidR="0011024A">
        <w:rPr>
          <w:rStyle w:val="CommentReference"/>
          <w:b w:val="0"/>
          <w:sz w:val="18"/>
          <w:szCs w:val="18"/>
        </w:rPr>
        <w:noBreakHyphen/>
      </w:r>
      <w:r w:rsidRPr="00886D8A">
        <w:rPr>
          <w:rStyle w:val="CommentReference"/>
          <w:b w:val="0"/>
          <w:sz w:val="18"/>
          <w:szCs w:val="18"/>
        </w:rPr>
        <w:t xml:space="preserve">Minute Walk Test; </w:t>
      </w:r>
      <w:r w:rsidR="00874BD5" w:rsidRPr="00886D8A">
        <w:rPr>
          <w:rStyle w:val="CommentReference"/>
          <w:b w:val="0"/>
          <w:sz w:val="18"/>
          <w:szCs w:val="18"/>
        </w:rPr>
        <w:t xml:space="preserve">BSC = best supportive care; </w:t>
      </w:r>
      <w:r w:rsidRPr="00886D8A">
        <w:rPr>
          <w:rStyle w:val="CommentReference"/>
          <w:b w:val="0"/>
          <w:sz w:val="18"/>
          <w:szCs w:val="18"/>
        </w:rPr>
        <w:t xml:space="preserve">CHAQ = Childhood Health Assessment Questionnaire; DI = disability index; FVC = forced vital capacity; n = number of participants reporting data; N = total participants in group; </w:t>
      </w:r>
      <w:r w:rsidR="5DDDE942" w:rsidRPr="00886D8A">
        <w:rPr>
          <w:rStyle w:val="CommentReference"/>
          <w:b w:val="0"/>
          <w:sz w:val="18"/>
          <w:szCs w:val="18"/>
        </w:rPr>
        <w:t>QoL = quality of life;</w:t>
      </w:r>
      <w:r w:rsidRPr="00886D8A">
        <w:rPr>
          <w:rStyle w:val="CommentReference"/>
          <w:b w:val="0"/>
          <w:sz w:val="18"/>
          <w:szCs w:val="18"/>
        </w:rPr>
        <w:t xml:space="preserve"> VAS = visual analogue scale.</w:t>
      </w:r>
    </w:p>
    <w:p w14:paraId="34F40018" w14:textId="3CC2566E" w:rsidR="00EB0321" w:rsidRPr="00886D8A" w:rsidRDefault="00EB0321" w:rsidP="004E36D3">
      <w:pPr>
        <w:pStyle w:val="3-BodyText"/>
        <w:rPr>
          <w:rStyle w:val="CommentReference"/>
          <w:rFonts w:asciiTheme="minorHAnsi" w:hAnsiTheme="minorHAnsi"/>
          <w:b w:val="0"/>
          <w:sz w:val="24"/>
          <w:szCs w:val="24"/>
        </w:rPr>
      </w:pPr>
      <w:bookmarkStart w:id="56" w:name="_Hlk204874300"/>
      <w:bookmarkStart w:id="57" w:name="_Ref204937106"/>
      <w:bookmarkStart w:id="58" w:name="_Hlk204874058"/>
      <w:r w:rsidRPr="00886D8A">
        <w:rPr>
          <w:rStyle w:val="CommentReference"/>
          <w:rFonts w:asciiTheme="minorHAnsi" w:hAnsiTheme="minorHAnsi"/>
          <w:b w:val="0"/>
          <w:sz w:val="24"/>
          <w:szCs w:val="24"/>
        </w:rPr>
        <w:t>In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05, a GTR (defined by response to ≥ two domains) was achieved by 87% of patients in the velmanase alfa arm compared to 30% in the BSC arm after 12 months of treatment. Following long</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term treatment (up to 48 months) with velmanase alfa in the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10 integrated analysis, 88% of patients achieved GTR. </w:t>
      </w:r>
      <w:r w:rsidR="1F9A2C1E" w:rsidRPr="00886D8A">
        <w:rPr>
          <w:rStyle w:val="CommentReference"/>
          <w:rFonts w:asciiTheme="minorHAnsi" w:hAnsiTheme="minorHAnsi"/>
          <w:b w:val="0"/>
          <w:sz w:val="24"/>
          <w:szCs w:val="24"/>
        </w:rPr>
        <w:t>Based on</w:t>
      </w:r>
      <w:r w:rsidRPr="00886D8A">
        <w:rPr>
          <w:rStyle w:val="CommentReference"/>
          <w:rFonts w:asciiTheme="minorHAnsi" w:hAnsiTheme="minorHAnsi"/>
          <w:b w:val="0"/>
          <w:sz w:val="24"/>
          <w:szCs w:val="24"/>
        </w:rPr>
        <w:t xml:space="preserve"> the subgroup analyses, 100% of paediatric patients and 71% of adult patients achieved GTR at last observation in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10 study. </w:t>
      </w:r>
      <w:bookmarkEnd w:id="56"/>
      <w:r w:rsidRPr="00886D8A">
        <w:rPr>
          <w:rStyle w:val="CommentReference"/>
          <w:rFonts w:asciiTheme="minorHAnsi" w:hAnsiTheme="minorHAnsi"/>
          <w:b w:val="0"/>
          <w:sz w:val="24"/>
          <w:szCs w:val="24"/>
        </w:rPr>
        <w:t>The submission stated that the higher proportion of three</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domain responders at the last observation in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10 compared to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05 may reflect the benefits of long</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term treatment with velmanase alfa.</w:t>
      </w:r>
      <w:bookmarkEnd w:id="57"/>
      <w:r w:rsidR="00A961F5">
        <w:rPr>
          <w:rStyle w:val="CommentReference"/>
          <w:rFonts w:asciiTheme="minorHAnsi" w:hAnsiTheme="minorHAnsi"/>
          <w:b w:val="0"/>
          <w:sz w:val="24"/>
          <w:szCs w:val="24"/>
        </w:rPr>
        <w:t xml:space="preserve"> </w:t>
      </w:r>
    </w:p>
    <w:p w14:paraId="0FB46440" w14:textId="77369F6C" w:rsidR="00EB0321" w:rsidRPr="00886D8A" w:rsidRDefault="1B8940E1" w:rsidP="004E36D3">
      <w:pPr>
        <w:pStyle w:val="3-BodyText"/>
        <w:rPr>
          <w:rStyle w:val="CommentReference"/>
          <w:rFonts w:asciiTheme="minorHAnsi" w:hAnsiTheme="minorHAnsi"/>
          <w:b w:val="0"/>
          <w:sz w:val="24"/>
          <w:szCs w:val="24"/>
        </w:rPr>
      </w:pPr>
      <w:bookmarkStart w:id="59" w:name="_Ref204861583"/>
      <w:r w:rsidRPr="00886D8A">
        <w:rPr>
          <w:rStyle w:val="CommentReference"/>
          <w:rFonts w:asciiTheme="minorHAnsi" w:hAnsiTheme="minorHAnsi"/>
          <w:b w:val="0"/>
          <w:sz w:val="24"/>
          <w:szCs w:val="24"/>
        </w:rPr>
        <w:t xml:space="preserve">The GTR model was developed </w:t>
      </w:r>
      <w:r w:rsidR="220413F2" w:rsidRPr="00886D8A">
        <w:rPr>
          <w:rStyle w:val="CommentReference"/>
          <w:rFonts w:asciiTheme="minorHAnsi" w:hAnsiTheme="minorHAnsi"/>
          <w:b w:val="0"/>
          <w:sz w:val="24"/>
          <w:szCs w:val="24"/>
        </w:rPr>
        <w:t>as a</w:t>
      </w:r>
      <w:r w:rsidR="004F2F58" w:rsidRPr="00886D8A">
        <w:rPr>
          <w:rStyle w:val="CommentReference"/>
          <w:rFonts w:asciiTheme="minorHAnsi" w:hAnsiTheme="minorHAnsi"/>
          <w:b w:val="0"/>
          <w:sz w:val="24"/>
          <w:szCs w:val="24"/>
        </w:rPr>
        <w:t xml:space="preserve"> </w:t>
      </w:r>
      <w:r w:rsidR="6F01C0C8" w:rsidRPr="00886D8A">
        <w:rPr>
          <w:rStyle w:val="CommentReference"/>
          <w:rFonts w:asciiTheme="minorHAnsi" w:hAnsiTheme="minorHAnsi"/>
          <w:b w:val="0"/>
          <w:sz w:val="24"/>
          <w:szCs w:val="24"/>
        </w:rPr>
        <w:t>multiple variable responder analysis</w:t>
      </w:r>
      <w:r w:rsidR="220413F2" w:rsidRPr="00886D8A">
        <w:rPr>
          <w:rStyle w:val="CommentReference"/>
          <w:rFonts w:asciiTheme="minorHAnsi" w:hAnsiTheme="minorHAnsi"/>
          <w:b w:val="0"/>
          <w:sz w:val="24"/>
          <w:szCs w:val="24"/>
        </w:rPr>
        <w:t xml:space="preserve"> </w:t>
      </w:r>
      <w:r w:rsidRPr="00886D8A">
        <w:rPr>
          <w:rStyle w:val="CommentReference"/>
          <w:rFonts w:asciiTheme="minorHAnsi" w:hAnsiTheme="minorHAnsi"/>
          <w:b w:val="0"/>
          <w:sz w:val="24"/>
          <w:szCs w:val="24"/>
        </w:rPr>
        <w:t>by the sponsor</w:t>
      </w:r>
      <w:r w:rsidR="2149BB33" w:rsidRPr="00886D8A">
        <w:rPr>
          <w:rStyle w:val="CommentReference"/>
          <w:rFonts w:asciiTheme="minorHAnsi" w:hAnsiTheme="minorHAnsi"/>
          <w:b w:val="0"/>
          <w:sz w:val="24"/>
          <w:szCs w:val="24"/>
        </w:rPr>
        <w:t xml:space="preserve">. </w:t>
      </w:r>
      <w:r w:rsidR="2EAC5F87" w:rsidRPr="00886D8A">
        <w:rPr>
          <w:rStyle w:val="CommentReference"/>
          <w:rFonts w:asciiTheme="minorHAnsi" w:hAnsiTheme="minorHAnsi"/>
          <w:b w:val="0"/>
          <w:sz w:val="24"/>
          <w:szCs w:val="24"/>
        </w:rPr>
        <w:t>However</w:t>
      </w:r>
      <w:r w:rsidR="2149BB33" w:rsidRPr="00886D8A">
        <w:rPr>
          <w:rStyle w:val="CommentReference"/>
          <w:rFonts w:asciiTheme="minorHAnsi" w:hAnsiTheme="minorHAnsi"/>
          <w:b w:val="0"/>
          <w:sz w:val="24"/>
          <w:szCs w:val="24"/>
        </w:rPr>
        <w:t>, t</w:t>
      </w:r>
      <w:r w:rsidR="5DD88181" w:rsidRPr="00886D8A">
        <w:rPr>
          <w:rStyle w:val="CommentReference"/>
          <w:rFonts w:asciiTheme="minorHAnsi" w:hAnsiTheme="minorHAnsi"/>
          <w:b w:val="0"/>
          <w:sz w:val="24"/>
          <w:szCs w:val="24"/>
        </w:rPr>
        <w:t xml:space="preserve">he GTR model has several notable limitations, including its </w:t>
      </w:r>
      <w:r w:rsidR="5DD88181" w:rsidRPr="00886D8A">
        <w:rPr>
          <w:rStyle w:val="CommentReference"/>
          <w:rFonts w:asciiTheme="minorHAnsi" w:hAnsiTheme="minorHAnsi"/>
          <w:b w:val="0"/>
          <w:i/>
          <w:iCs/>
          <w:sz w:val="24"/>
          <w:szCs w:val="24"/>
        </w:rPr>
        <w:t>post hoc</w:t>
      </w:r>
      <w:r w:rsidR="5DD88181" w:rsidRPr="00886D8A">
        <w:rPr>
          <w:rStyle w:val="CommentReference"/>
          <w:rFonts w:asciiTheme="minorHAnsi" w:hAnsiTheme="minorHAnsi"/>
          <w:b w:val="0"/>
          <w:sz w:val="24"/>
          <w:szCs w:val="24"/>
        </w:rPr>
        <w:t xml:space="preserve"> application to the clinical study, the lack of age normalisation for certain outcomes (serum oligosaccharides, 3MSCT, and 6MWT), the absence of validated MCIDs </w:t>
      </w:r>
      <w:r w:rsidR="5DB6F337" w:rsidRPr="00886D8A">
        <w:rPr>
          <w:rStyle w:val="CommentReference"/>
          <w:rFonts w:asciiTheme="minorHAnsi" w:hAnsiTheme="minorHAnsi"/>
          <w:b w:val="0"/>
          <w:sz w:val="24"/>
          <w:szCs w:val="24"/>
        </w:rPr>
        <w:t xml:space="preserve">for the outcomes in </w:t>
      </w:r>
      <w:r w:rsidR="5DD88181" w:rsidRPr="00886D8A">
        <w:rPr>
          <w:rStyle w:val="CommentReference"/>
          <w:rFonts w:asciiTheme="minorHAnsi" w:hAnsiTheme="minorHAnsi"/>
          <w:b w:val="0"/>
          <w:sz w:val="24"/>
          <w:szCs w:val="24"/>
        </w:rPr>
        <w:t>AM</w:t>
      </w:r>
      <w:r w:rsidR="22F70215" w:rsidRPr="00886D8A">
        <w:rPr>
          <w:rStyle w:val="CommentReference"/>
          <w:rFonts w:asciiTheme="minorHAnsi" w:hAnsiTheme="minorHAnsi"/>
          <w:b w:val="0"/>
          <w:sz w:val="24"/>
          <w:szCs w:val="24"/>
        </w:rPr>
        <w:t xml:space="preserve"> patients</w:t>
      </w:r>
      <w:r w:rsidR="5DD88181" w:rsidRPr="00886D8A">
        <w:rPr>
          <w:rStyle w:val="CommentReference"/>
          <w:rFonts w:asciiTheme="minorHAnsi" w:hAnsiTheme="minorHAnsi"/>
          <w:b w:val="0"/>
          <w:sz w:val="24"/>
          <w:szCs w:val="24"/>
        </w:rPr>
        <w:t>, and the small population size.</w:t>
      </w:r>
      <w:bookmarkEnd w:id="59"/>
    </w:p>
    <w:p w14:paraId="1676A253" w14:textId="77777777" w:rsidR="00EB0321" w:rsidRPr="00886D8A" w:rsidRDefault="00EB0321" w:rsidP="004E36D3">
      <w:pPr>
        <w:pStyle w:val="3-BodyText"/>
        <w:numPr>
          <w:ilvl w:val="0"/>
          <w:numId w:val="0"/>
        </w:numPr>
        <w:rPr>
          <w:rStyle w:val="CommentReference"/>
          <w:rFonts w:asciiTheme="minorHAnsi" w:hAnsiTheme="minorHAnsi"/>
          <w:bCs/>
          <w:sz w:val="24"/>
          <w:szCs w:val="24"/>
        </w:rPr>
      </w:pPr>
      <w:bookmarkStart w:id="60" w:name="_Hlk197087871"/>
      <w:bookmarkEnd w:id="58"/>
      <w:r w:rsidRPr="00886D8A">
        <w:rPr>
          <w:rStyle w:val="CommentReference"/>
          <w:rFonts w:asciiTheme="minorHAnsi" w:hAnsiTheme="minorHAnsi"/>
          <w:bCs/>
          <w:sz w:val="24"/>
          <w:szCs w:val="24"/>
        </w:rPr>
        <w:t>Patients switching from placebo to velmanase alfa</w:t>
      </w:r>
    </w:p>
    <w:p w14:paraId="603E1108" w14:textId="2CEA06D7" w:rsidR="00EB0321" w:rsidRPr="00886D8A" w:rsidRDefault="00EB0321" w:rsidP="004E36D3">
      <w:pPr>
        <w:pStyle w:val="3-BodyText"/>
        <w:rPr>
          <w:rStyle w:val="CommentReference"/>
          <w:rFonts w:asciiTheme="minorHAnsi" w:hAnsiTheme="minorHAnsi"/>
          <w:b w:val="0"/>
          <w:sz w:val="24"/>
          <w:szCs w:val="24"/>
        </w:rPr>
      </w:pPr>
      <w:r w:rsidRPr="00886D8A">
        <w:rPr>
          <w:rStyle w:val="CommentReference"/>
          <w:rFonts w:asciiTheme="minorHAnsi" w:hAnsiTheme="minorHAnsi"/>
          <w:b w:val="0"/>
          <w:sz w:val="24"/>
          <w:szCs w:val="24"/>
        </w:rPr>
        <w:t xml:space="preserve">A </w:t>
      </w:r>
      <w:r w:rsidRPr="00886D8A">
        <w:rPr>
          <w:rStyle w:val="CommentReference"/>
          <w:rFonts w:asciiTheme="minorHAnsi" w:hAnsiTheme="minorHAnsi"/>
          <w:b w:val="0"/>
          <w:i/>
          <w:iCs/>
          <w:sz w:val="24"/>
          <w:szCs w:val="24"/>
        </w:rPr>
        <w:t>post hoc</w:t>
      </w:r>
      <w:r w:rsidRPr="00886D8A">
        <w:rPr>
          <w:rStyle w:val="CommentReference"/>
          <w:rFonts w:asciiTheme="minorHAnsi" w:hAnsiTheme="minorHAnsi"/>
          <w:b w:val="0"/>
          <w:sz w:val="24"/>
          <w:szCs w:val="24"/>
        </w:rPr>
        <w:t xml:space="preserve"> analysis was conducted to assess the treatment response in patients who transitioned from BSC (received during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05) to velmanase alfa upon entering the after</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trial studies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07 or rhLAMAN</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09) or the compassionate use program. Patients who switched to velmanase alfa showed improvements compared to baseline, with changes observed in 3MSCT (</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4% to 9%) and 6MWT (</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1% to 2%). Additionally, a reduction (improvement) was seen in mean CHAQ</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DI scores (1.56 to 1.43) and CHAQ</w:t>
      </w:r>
      <w:r w:rsidR="0011024A">
        <w:rPr>
          <w:rStyle w:val="CommentReference"/>
          <w:rFonts w:asciiTheme="minorHAnsi" w:hAnsiTheme="minorHAnsi"/>
          <w:b w:val="0"/>
          <w:sz w:val="24"/>
          <w:szCs w:val="24"/>
        </w:rPr>
        <w:noBreakHyphen/>
      </w:r>
      <w:r w:rsidRPr="00886D8A">
        <w:rPr>
          <w:rStyle w:val="CommentReference"/>
          <w:rFonts w:asciiTheme="minorHAnsi" w:hAnsiTheme="minorHAnsi"/>
          <w:b w:val="0"/>
          <w:sz w:val="24"/>
          <w:szCs w:val="24"/>
        </w:rPr>
        <w:t xml:space="preserve">pain (VAS) scores (0.42 to 0.36). </w:t>
      </w:r>
      <w:bookmarkStart w:id="61" w:name="_Hlk197088033"/>
      <w:r w:rsidRPr="00886D8A">
        <w:rPr>
          <w:rStyle w:val="CommentReference"/>
          <w:rFonts w:asciiTheme="minorHAnsi" w:hAnsiTheme="minorHAnsi"/>
          <w:b w:val="0"/>
          <w:sz w:val="24"/>
          <w:szCs w:val="24"/>
        </w:rPr>
        <w:t xml:space="preserve">Notably, the analysis was based on only nine patients at last observation (12 to 18 months of active treatment), limiting robustness of the findings. </w:t>
      </w:r>
      <w:bookmarkEnd w:id="61"/>
    </w:p>
    <w:p w14:paraId="482059AA" w14:textId="2E18060A" w:rsidR="00EB0321" w:rsidRPr="00886D8A" w:rsidRDefault="00EB0321" w:rsidP="004E36D3">
      <w:pPr>
        <w:pStyle w:val="5-SubsectionSubheading"/>
      </w:pPr>
      <w:bookmarkStart w:id="62" w:name="_Toc197460419"/>
      <w:bookmarkStart w:id="63" w:name="_Toc198645881"/>
      <w:r w:rsidRPr="00886D8A">
        <w:t>rhLAMAN</w:t>
      </w:r>
      <w:r w:rsidR="0011024A">
        <w:noBreakHyphen/>
      </w:r>
      <w:r w:rsidR="00F023AC" w:rsidRPr="00886D8A">
        <w:t>0</w:t>
      </w:r>
      <w:r w:rsidRPr="00886D8A">
        <w:t>8</w:t>
      </w:r>
      <w:bookmarkEnd w:id="62"/>
      <w:bookmarkEnd w:id="63"/>
    </w:p>
    <w:p w14:paraId="1C1CAEF8" w14:textId="443EEEA0" w:rsidR="00EB0321" w:rsidRPr="00886D8A" w:rsidRDefault="00EB0321" w:rsidP="004E36D3">
      <w:pPr>
        <w:pStyle w:val="3-BodyText"/>
      </w:pPr>
      <w:r w:rsidRPr="00886D8A">
        <w:t>rhLAMAN</w:t>
      </w:r>
      <w:r w:rsidR="0011024A">
        <w:noBreakHyphen/>
      </w:r>
      <w:r w:rsidRPr="00886D8A">
        <w:t>08 was a phase II, multi</w:t>
      </w:r>
      <w:r w:rsidR="0011024A">
        <w:noBreakHyphen/>
      </w:r>
      <w:r w:rsidRPr="00886D8A">
        <w:t>centre, open</w:t>
      </w:r>
      <w:r w:rsidR="0011024A">
        <w:noBreakHyphen/>
      </w:r>
      <w:r w:rsidRPr="00886D8A">
        <w:t>label, single arm study of 24</w:t>
      </w:r>
      <w:r w:rsidR="0011024A">
        <w:noBreakHyphen/>
      </w:r>
      <w:r w:rsidRPr="00886D8A">
        <w:t xml:space="preserve">month duration (40 months for one patient) that evaluated the pharmacokinetics, safety, and efficacy of velmanase alfa in paediatric patients aged under six years. </w:t>
      </w:r>
      <w:bookmarkStart w:id="64" w:name="_Hlk197183382"/>
      <w:r w:rsidRPr="00886D8A">
        <w:t>The study enrolled five patients with a mean age of 4.5 years (range: 3.7 to 5.9 years).</w:t>
      </w:r>
      <w:bookmarkEnd w:id="64"/>
    </w:p>
    <w:p w14:paraId="13711C44" w14:textId="29061FD1" w:rsidR="00EB0321" w:rsidRPr="00886D8A" w:rsidRDefault="00EB0321" w:rsidP="004E36D3">
      <w:pPr>
        <w:pStyle w:val="3-BodyText"/>
      </w:pPr>
      <w:bookmarkStart w:id="65" w:name="_Ref204073846"/>
      <w:r w:rsidRPr="00886D8A">
        <w:t xml:space="preserve">The mean absolute (percentage) change in serum oligosaccharides was </w:t>
      </w:r>
      <w:r w:rsidR="0011024A">
        <w:noBreakHyphen/>
      </w:r>
      <w:r w:rsidRPr="00886D8A">
        <w:t>61%</w:t>
      </w:r>
      <w:r w:rsidR="008D5FAF" w:rsidRPr="00886D8A">
        <w:t xml:space="preserve"> at</w:t>
      </w:r>
      <w:r w:rsidRPr="00886D8A">
        <w:t xml:space="preserve"> </w:t>
      </w:r>
      <w:r w:rsidR="00F704D9">
        <w:br/>
      </w:r>
      <w:r w:rsidRPr="00886D8A">
        <w:t xml:space="preserve">6 months, </w:t>
      </w:r>
      <w:r w:rsidR="0011024A">
        <w:noBreakHyphen/>
      </w:r>
      <w:r w:rsidRPr="00886D8A">
        <w:t>72%</w:t>
      </w:r>
      <w:r w:rsidR="00A961F5">
        <w:t xml:space="preserve"> </w:t>
      </w:r>
      <w:r w:rsidR="00811F89" w:rsidRPr="00886D8A">
        <w:t xml:space="preserve">at </w:t>
      </w:r>
      <w:r w:rsidRPr="00886D8A">
        <w:t xml:space="preserve">12 months, </w:t>
      </w:r>
      <w:r w:rsidR="0011024A">
        <w:noBreakHyphen/>
      </w:r>
      <w:r w:rsidRPr="00886D8A">
        <w:t xml:space="preserve">79% </w:t>
      </w:r>
      <w:r w:rsidR="00811F89" w:rsidRPr="00886D8A">
        <w:t xml:space="preserve">at </w:t>
      </w:r>
      <w:r w:rsidRPr="00886D8A">
        <w:t xml:space="preserve">18 months and </w:t>
      </w:r>
      <w:r w:rsidR="0011024A">
        <w:noBreakHyphen/>
      </w:r>
      <w:r w:rsidRPr="00886D8A">
        <w:t xml:space="preserve">66% </w:t>
      </w:r>
      <w:r w:rsidR="00811F89" w:rsidRPr="00886D8A">
        <w:t xml:space="preserve">at </w:t>
      </w:r>
      <w:r w:rsidRPr="00886D8A">
        <w:t xml:space="preserve">24 months. After </w:t>
      </w:r>
      <w:r w:rsidR="00F704D9">
        <w:br/>
      </w:r>
      <w:r w:rsidRPr="00886D8A">
        <w:t xml:space="preserve">24 months of treatment with velmanase alfa, 6MWT improved for three patients, decreased </w:t>
      </w:r>
      <w:r w:rsidR="00811F89" w:rsidRPr="00886D8A">
        <w:t xml:space="preserve">for </w:t>
      </w:r>
      <w:r w:rsidRPr="00886D8A">
        <w:t>one patient and could not be obtained from one patient. At the same timepoint, the 3MSCT improved for two patients, decreased for two patients and could not be obtained from one patient. QoL questionnaires administered to parents tended to show improvements in all domains, which included self</w:t>
      </w:r>
      <w:r w:rsidR="0011024A">
        <w:noBreakHyphen/>
      </w:r>
      <w:r w:rsidRPr="00886D8A">
        <w:t>care, mobility and social function.</w:t>
      </w:r>
      <w:bookmarkEnd w:id="65"/>
    </w:p>
    <w:p w14:paraId="75560AB5" w14:textId="6E497EDD" w:rsidR="00EB0321" w:rsidRPr="00886D8A" w:rsidRDefault="00EB0321" w:rsidP="004E36D3">
      <w:pPr>
        <w:pStyle w:val="5-SubsectionSubheading"/>
        <w:rPr>
          <w:bCs/>
        </w:rPr>
      </w:pPr>
      <w:bookmarkStart w:id="66" w:name="_Toc198645882"/>
      <w:r w:rsidRPr="00886D8A">
        <w:rPr>
          <w:bCs/>
        </w:rPr>
        <w:t>Long</w:t>
      </w:r>
      <w:r w:rsidR="0011024A">
        <w:rPr>
          <w:bCs/>
        </w:rPr>
        <w:noBreakHyphen/>
      </w:r>
      <w:r w:rsidRPr="00886D8A">
        <w:rPr>
          <w:bCs/>
        </w:rPr>
        <w:t>term benefits of velmanase alfa</w:t>
      </w:r>
      <w:bookmarkEnd w:id="66"/>
    </w:p>
    <w:p w14:paraId="36558295" w14:textId="61F341C6" w:rsidR="008512BE" w:rsidRPr="00886D8A" w:rsidRDefault="008512BE" w:rsidP="004E36D3">
      <w:pPr>
        <w:pStyle w:val="3-BodyText"/>
      </w:pPr>
      <w:r w:rsidRPr="00886D8A">
        <w:t>The results of single arm trial (rhLAMAN</w:t>
      </w:r>
      <w:r w:rsidR="0011024A">
        <w:noBreakHyphen/>
      </w:r>
      <w:r w:rsidRPr="00886D8A">
        <w:t>10 and rhLAMAN</w:t>
      </w:r>
      <w:r w:rsidR="0011024A">
        <w:noBreakHyphen/>
      </w:r>
      <w:r w:rsidRPr="00886D8A">
        <w:t>11) and observation</w:t>
      </w:r>
      <w:r w:rsidR="002265FD" w:rsidRPr="00886D8A">
        <w:t>al</w:t>
      </w:r>
      <w:r w:rsidRPr="00886D8A">
        <w:t xml:space="preserve"> studies (</w:t>
      </w:r>
      <w:r w:rsidR="003E6297" w:rsidRPr="00886D8A">
        <w:t xml:space="preserve">the </w:t>
      </w:r>
      <w:r w:rsidRPr="00886D8A">
        <w:t>Etoile Alpha</w:t>
      </w:r>
      <w:r w:rsidR="003E6297" w:rsidRPr="00886D8A">
        <w:t xml:space="preserve"> study</w:t>
      </w:r>
      <w:r w:rsidRPr="00886D8A">
        <w:t xml:space="preserve">, The Alpha Mannosidosis Registry, </w:t>
      </w:r>
      <w:r w:rsidR="003E6297" w:rsidRPr="00886D8A">
        <w:t>the UK Natural History study and the 2022 Patient and Caregiver Survey</w:t>
      </w:r>
      <w:r w:rsidRPr="00886D8A">
        <w:t>) supported the long</w:t>
      </w:r>
      <w:r w:rsidR="0011024A">
        <w:noBreakHyphen/>
      </w:r>
      <w:r w:rsidRPr="00886D8A">
        <w:t xml:space="preserve">term effectiveness of </w:t>
      </w:r>
      <w:r w:rsidR="003E6297" w:rsidRPr="00886D8A">
        <w:t>velmanase alfa</w:t>
      </w:r>
      <w:r w:rsidRPr="00886D8A">
        <w:t xml:space="preserve"> in managing non</w:t>
      </w:r>
      <w:r w:rsidR="0011024A">
        <w:noBreakHyphen/>
      </w:r>
      <w:r w:rsidRPr="00886D8A">
        <w:t xml:space="preserve">neurological symptoms of AM. However, </w:t>
      </w:r>
      <w:r w:rsidR="00522545" w:rsidRPr="00886D8A">
        <w:t xml:space="preserve">as </w:t>
      </w:r>
      <w:r w:rsidRPr="00886D8A">
        <w:t xml:space="preserve">the </w:t>
      </w:r>
      <w:r w:rsidR="003E6297" w:rsidRPr="00886D8A">
        <w:t>studies</w:t>
      </w:r>
      <w:r w:rsidRPr="00886D8A">
        <w:t xml:space="preserve"> were limited by their small sample sizes, absence of control groups, inconsistent assessment timepoints and missing data</w:t>
      </w:r>
      <w:r w:rsidR="00522545" w:rsidRPr="00886D8A">
        <w:t>,</w:t>
      </w:r>
      <w:r w:rsidR="00A961F5">
        <w:t xml:space="preserve"> </w:t>
      </w:r>
      <w:r w:rsidRPr="00886D8A">
        <w:t>the results should be interpreted with caution</w:t>
      </w:r>
      <w:r w:rsidR="21AF2901" w:rsidRPr="00886D8A">
        <w:t>.</w:t>
      </w:r>
    </w:p>
    <w:p w14:paraId="24510665" w14:textId="2D8C8790" w:rsidR="00EB0321" w:rsidRPr="00886D8A" w:rsidRDefault="00EB0321" w:rsidP="004E36D3">
      <w:pPr>
        <w:pStyle w:val="4-SubsectionHeading"/>
      </w:pPr>
      <w:bookmarkStart w:id="67" w:name="_Toc197460420"/>
      <w:bookmarkStart w:id="68" w:name="_Toc198645883"/>
      <w:bookmarkEnd w:id="52"/>
      <w:bookmarkEnd w:id="60"/>
      <w:r w:rsidRPr="00886D8A">
        <w:t>Comparative harms</w:t>
      </w:r>
      <w:bookmarkEnd w:id="54"/>
      <w:bookmarkEnd w:id="67"/>
      <w:bookmarkEnd w:id="68"/>
    </w:p>
    <w:p w14:paraId="536F10E7" w14:textId="08E200EC" w:rsidR="00EB0321" w:rsidRPr="00886D8A" w:rsidRDefault="0030011A" w:rsidP="004E36D3">
      <w:pPr>
        <w:pStyle w:val="3-BodyText"/>
      </w:pPr>
      <w:r w:rsidRPr="00886D8A">
        <w:t>Summary of safety profile of velmanase alfa in rhLAMAN</w:t>
      </w:r>
      <w:r w:rsidR="0011024A">
        <w:noBreakHyphen/>
      </w:r>
      <w:r w:rsidRPr="00886D8A">
        <w:t>5 and rhLAMAN</w:t>
      </w:r>
      <w:r w:rsidR="0011024A">
        <w:noBreakHyphen/>
      </w:r>
      <w:r w:rsidRPr="00886D8A">
        <w:t>10 are</w:t>
      </w:r>
      <w:r w:rsidR="00EB0321" w:rsidRPr="00886D8A">
        <w:t xml:space="preserve"> presented in </w:t>
      </w:r>
      <w:r w:rsidR="00EB0321" w:rsidRPr="00886D8A">
        <w:fldChar w:fldCharType="begin"/>
      </w:r>
      <w:r w:rsidR="00EB0321" w:rsidRPr="00886D8A">
        <w:instrText xml:space="preserve"> REF _Ref197162224 \h </w:instrText>
      </w:r>
      <w:r w:rsidR="00594021" w:rsidRPr="00886D8A">
        <w:instrText xml:space="preserve"> \* MERGEFORMAT </w:instrText>
      </w:r>
      <w:r w:rsidR="00EB0321" w:rsidRPr="00886D8A">
        <w:fldChar w:fldCharType="separate"/>
      </w:r>
      <w:r w:rsidR="00B73A9E" w:rsidRPr="00886D8A">
        <w:t xml:space="preserve">Table </w:t>
      </w:r>
      <w:r w:rsidR="00B73A9E">
        <w:t>11</w:t>
      </w:r>
      <w:r w:rsidR="00EB0321" w:rsidRPr="00886D8A">
        <w:fldChar w:fldCharType="end"/>
      </w:r>
      <w:r w:rsidR="00EB0321" w:rsidRPr="00886D8A">
        <w:t>.</w:t>
      </w:r>
      <w:r w:rsidRPr="00886D8A">
        <w:t xml:space="preserve"> </w:t>
      </w:r>
      <w:r w:rsidR="00050266" w:rsidRPr="00886D8A">
        <w:t>Only the rhLAMAN</w:t>
      </w:r>
      <w:r w:rsidR="0011024A">
        <w:noBreakHyphen/>
      </w:r>
      <w:r w:rsidR="00050266" w:rsidRPr="00886D8A">
        <w:t>05 trial provided the comparative safety profile of velmanase alfa versus BSC</w:t>
      </w:r>
      <w:r w:rsidR="002265FD" w:rsidRPr="00886D8A">
        <w:t>.</w:t>
      </w:r>
    </w:p>
    <w:p w14:paraId="66E8614E" w14:textId="1578034F" w:rsidR="00EB0321" w:rsidRPr="00886D8A" w:rsidRDefault="00EB0321" w:rsidP="004E36D3">
      <w:pPr>
        <w:pStyle w:val="Caption"/>
      </w:pPr>
      <w:bookmarkStart w:id="69" w:name="_Ref197162224"/>
      <w:r w:rsidRPr="00886D8A">
        <w:t xml:space="preserve">Table </w:t>
      </w:r>
      <w:r>
        <w:fldChar w:fldCharType="begin"/>
      </w:r>
      <w:r>
        <w:instrText>SEQ Table \* ARABIC</w:instrText>
      </w:r>
      <w:r>
        <w:fldChar w:fldCharType="separate"/>
      </w:r>
      <w:r w:rsidR="00B73A9E">
        <w:rPr>
          <w:noProof/>
        </w:rPr>
        <w:t>11</w:t>
      </w:r>
      <w:r>
        <w:fldChar w:fldCharType="end"/>
      </w:r>
      <w:bookmarkEnd w:id="69"/>
      <w:r w:rsidRPr="00886D8A">
        <w:t>: Overall summary of adverse events in rhLAMAN</w:t>
      </w:r>
      <w:r w:rsidR="0011024A">
        <w:noBreakHyphen/>
      </w:r>
      <w:r w:rsidRPr="00886D8A">
        <w:t>05 and rhLAMAN</w:t>
      </w:r>
      <w:r w:rsidR="0011024A">
        <w:noBreakHyphen/>
      </w:r>
      <w:r w:rsidRPr="00886D8A">
        <w:t>10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1: Overall summary of adverse events in rhLAMAN 05 and rhLAMAN 10 trials"/>
      </w:tblPr>
      <w:tblGrid>
        <w:gridCol w:w="2830"/>
        <w:gridCol w:w="1134"/>
        <w:gridCol w:w="923"/>
        <w:gridCol w:w="1032"/>
        <w:gridCol w:w="1033"/>
        <w:gridCol w:w="1032"/>
        <w:gridCol w:w="1033"/>
      </w:tblGrid>
      <w:tr w:rsidR="00162AD2" w:rsidRPr="00886D8A" w14:paraId="765A92A6" w14:textId="77777777" w:rsidTr="00162AD2">
        <w:trPr>
          <w:trHeight w:val="53"/>
          <w:tblHeader/>
        </w:trPr>
        <w:tc>
          <w:tcPr>
            <w:tcW w:w="1569" w:type="pct"/>
            <w:vMerge w:val="restart"/>
            <w:vAlign w:val="center"/>
          </w:tcPr>
          <w:p w14:paraId="7BE9E30C" w14:textId="77777777" w:rsidR="00162AD2" w:rsidRPr="00886D8A" w:rsidRDefault="00162AD2" w:rsidP="004E36D3">
            <w:pPr>
              <w:pStyle w:val="TableText0"/>
              <w:rPr>
                <w:lang w:eastAsia="en-IN"/>
              </w:rPr>
            </w:pPr>
          </w:p>
        </w:tc>
        <w:tc>
          <w:tcPr>
            <w:tcW w:w="2286" w:type="pct"/>
            <w:gridSpan w:val="4"/>
            <w:vAlign w:val="center"/>
          </w:tcPr>
          <w:p w14:paraId="56B82AE9" w14:textId="7424EDBF" w:rsidR="00162AD2" w:rsidRPr="00886D8A" w:rsidRDefault="00162AD2" w:rsidP="004E36D3">
            <w:pPr>
              <w:pStyle w:val="TableText0"/>
              <w:jc w:val="center"/>
              <w:rPr>
                <w:b/>
                <w:bCs w:val="0"/>
                <w:lang w:eastAsia="en-IN"/>
              </w:rPr>
            </w:pPr>
            <w:r w:rsidRPr="00886D8A">
              <w:rPr>
                <w:b/>
                <w:bCs w:val="0"/>
                <w:lang w:eastAsia="en-IN"/>
              </w:rPr>
              <w:t>rhLAMAN</w:t>
            </w:r>
            <w:r w:rsidR="0011024A">
              <w:rPr>
                <w:b/>
                <w:bCs w:val="0"/>
                <w:lang w:eastAsia="en-IN"/>
              </w:rPr>
              <w:noBreakHyphen/>
            </w:r>
            <w:r w:rsidRPr="00886D8A">
              <w:rPr>
                <w:b/>
                <w:bCs w:val="0"/>
                <w:lang w:eastAsia="en-IN"/>
              </w:rPr>
              <w:t>05</w:t>
            </w:r>
          </w:p>
        </w:tc>
        <w:tc>
          <w:tcPr>
            <w:tcW w:w="1145" w:type="pct"/>
            <w:gridSpan w:val="2"/>
            <w:vAlign w:val="center"/>
          </w:tcPr>
          <w:p w14:paraId="725307AE" w14:textId="6F239B65" w:rsidR="00162AD2" w:rsidRPr="00886D8A" w:rsidRDefault="00162AD2" w:rsidP="004E36D3">
            <w:pPr>
              <w:pStyle w:val="TableText0"/>
              <w:jc w:val="center"/>
              <w:rPr>
                <w:b/>
                <w:bCs w:val="0"/>
                <w:lang w:eastAsia="en-IN"/>
              </w:rPr>
            </w:pPr>
            <w:r w:rsidRPr="00886D8A">
              <w:rPr>
                <w:b/>
                <w:bCs w:val="0"/>
                <w:lang w:eastAsia="en-IN"/>
              </w:rPr>
              <w:t>rhLAMAN</w:t>
            </w:r>
            <w:r w:rsidR="0011024A">
              <w:rPr>
                <w:b/>
                <w:bCs w:val="0"/>
                <w:lang w:eastAsia="en-IN"/>
              </w:rPr>
              <w:noBreakHyphen/>
            </w:r>
            <w:r w:rsidRPr="00886D8A">
              <w:rPr>
                <w:b/>
                <w:bCs w:val="0"/>
                <w:lang w:eastAsia="en-IN"/>
              </w:rPr>
              <w:t>10</w:t>
            </w:r>
          </w:p>
        </w:tc>
      </w:tr>
      <w:tr w:rsidR="00162AD2" w:rsidRPr="00886D8A" w14:paraId="5BC700D4" w14:textId="77777777" w:rsidTr="006571DA">
        <w:trPr>
          <w:trHeight w:val="330"/>
          <w:tblHeader/>
        </w:trPr>
        <w:tc>
          <w:tcPr>
            <w:tcW w:w="1569" w:type="pct"/>
            <w:vMerge/>
            <w:vAlign w:val="center"/>
          </w:tcPr>
          <w:p w14:paraId="0BB8CEA3" w14:textId="77777777" w:rsidR="00162AD2" w:rsidRPr="00886D8A" w:rsidRDefault="00162AD2" w:rsidP="004E36D3">
            <w:pPr>
              <w:pStyle w:val="TableText0"/>
              <w:rPr>
                <w:lang w:eastAsia="en-IN"/>
              </w:rPr>
            </w:pPr>
          </w:p>
        </w:tc>
        <w:tc>
          <w:tcPr>
            <w:tcW w:w="1141" w:type="pct"/>
            <w:gridSpan w:val="2"/>
            <w:vAlign w:val="center"/>
          </w:tcPr>
          <w:p w14:paraId="4BDBFF15" w14:textId="77777777" w:rsidR="00162AD2" w:rsidRPr="00886D8A" w:rsidRDefault="00162AD2" w:rsidP="004E36D3">
            <w:pPr>
              <w:pStyle w:val="TableText0"/>
              <w:jc w:val="center"/>
              <w:rPr>
                <w:b/>
                <w:bCs w:val="0"/>
                <w:lang w:eastAsia="en-IN"/>
              </w:rPr>
            </w:pPr>
            <w:r w:rsidRPr="00886D8A">
              <w:rPr>
                <w:b/>
                <w:bCs w:val="0"/>
                <w:lang w:eastAsia="en-IN"/>
              </w:rPr>
              <w:t>Velmanase alfa</w:t>
            </w:r>
          </w:p>
          <w:p w14:paraId="51D5A77D" w14:textId="77777777" w:rsidR="00162AD2" w:rsidRPr="00886D8A" w:rsidRDefault="00162AD2" w:rsidP="004E36D3">
            <w:pPr>
              <w:pStyle w:val="TableText0"/>
              <w:jc w:val="center"/>
              <w:rPr>
                <w:b/>
                <w:bCs w:val="0"/>
                <w:lang w:eastAsia="en-IN"/>
              </w:rPr>
            </w:pPr>
            <w:r w:rsidRPr="00886D8A">
              <w:rPr>
                <w:b/>
                <w:bCs w:val="0"/>
                <w:lang w:eastAsia="en-IN"/>
              </w:rPr>
              <w:t>(N=15)</w:t>
            </w:r>
          </w:p>
        </w:tc>
        <w:tc>
          <w:tcPr>
            <w:tcW w:w="1145" w:type="pct"/>
            <w:gridSpan w:val="2"/>
            <w:vAlign w:val="center"/>
          </w:tcPr>
          <w:p w14:paraId="0C873E9B" w14:textId="77777777" w:rsidR="00162AD2" w:rsidRPr="00886D8A" w:rsidRDefault="00162AD2" w:rsidP="004E36D3">
            <w:pPr>
              <w:pStyle w:val="TableText0"/>
              <w:jc w:val="center"/>
              <w:rPr>
                <w:b/>
                <w:bCs w:val="0"/>
                <w:lang w:eastAsia="en-IN"/>
              </w:rPr>
            </w:pPr>
            <w:r w:rsidRPr="00886D8A">
              <w:rPr>
                <w:b/>
                <w:bCs w:val="0"/>
                <w:lang w:eastAsia="en-IN"/>
              </w:rPr>
              <w:t>BSC</w:t>
            </w:r>
          </w:p>
          <w:p w14:paraId="3B796BC5" w14:textId="77777777" w:rsidR="00162AD2" w:rsidRPr="00886D8A" w:rsidRDefault="00162AD2" w:rsidP="004E36D3">
            <w:pPr>
              <w:pStyle w:val="TableText0"/>
              <w:jc w:val="center"/>
              <w:rPr>
                <w:b/>
                <w:bCs w:val="0"/>
                <w:lang w:eastAsia="en-IN"/>
              </w:rPr>
            </w:pPr>
            <w:r w:rsidRPr="00886D8A">
              <w:rPr>
                <w:b/>
                <w:bCs w:val="0"/>
                <w:lang w:eastAsia="en-IN"/>
              </w:rPr>
              <w:t>(N=10)</w:t>
            </w:r>
          </w:p>
        </w:tc>
        <w:tc>
          <w:tcPr>
            <w:tcW w:w="1145" w:type="pct"/>
            <w:gridSpan w:val="2"/>
          </w:tcPr>
          <w:p w14:paraId="3C282588" w14:textId="77777777" w:rsidR="00162AD2" w:rsidRPr="00886D8A" w:rsidRDefault="00162AD2" w:rsidP="004E36D3">
            <w:pPr>
              <w:pStyle w:val="TableText0"/>
              <w:jc w:val="center"/>
              <w:rPr>
                <w:b/>
                <w:bCs w:val="0"/>
                <w:lang w:eastAsia="en-IN"/>
              </w:rPr>
            </w:pPr>
            <w:r w:rsidRPr="00886D8A">
              <w:rPr>
                <w:b/>
                <w:bCs w:val="0"/>
                <w:lang w:eastAsia="en-IN"/>
              </w:rPr>
              <w:t>Overall</w:t>
            </w:r>
          </w:p>
          <w:p w14:paraId="6B349863" w14:textId="6A64B979" w:rsidR="00162AD2" w:rsidRPr="00886D8A" w:rsidRDefault="00162AD2" w:rsidP="004E36D3">
            <w:pPr>
              <w:pStyle w:val="TableText0"/>
              <w:jc w:val="center"/>
              <w:rPr>
                <w:b/>
                <w:bCs w:val="0"/>
                <w:lang w:eastAsia="en-IN"/>
              </w:rPr>
            </w:pPr>
            <w:r w:rsidRPr="00886D8A">
              <w:rPr>
                <w:b/>
                <w:bCs w:val="0"/>
                <w:lang w:eastAsia="en-IN"/>
              </w:rPr>
              <w:t>(N=33)</w:t>
            </w:r>
          </w:p>
        </w:tc>
      </w:tr>
      <w:tr w:rsidR="00162AD2" w:rsidRPr="00886D8A" w14:paraId="0B78E4AD" w14:textId="77777777" w:rsidTr="00162AD2">
        <w:trPr>
          <w:trHeight w:val="53"/>
          <w:tblHeader/>
        </w:trPr>
        <w:tc>
          <w:tcPr>
            <w:tcW w:w="1569" w:type="pct"/>
            <w:vMerge/>
            <w:vAlign w:val="center"/>
          </w:tcPr>
          <w:p w14:paraId="7C77B062" w14:textId="77777777" w:rsidR="00162AD2" w:rsidRPr="00886D8A" w:rsidRDefault="00162AD2" w:rsidP="004E36D3">
            <w:pPr>
              <w:pStyle w:val="TableText0"/>
              <w:rPr>
                <w:lang w:eastAsia="en-IN"/>
              </w:rPr>
            </w:pPr>
          </w:p>
        </w:tc>
        <w:tc>
          <w:tcPr>
            <w:tcW w:w="629" w:type="pct"/>
            <w:vAlign w:val="center"/>
          </w:tcPr>
          <w:p w14:paraId="16B6AAF9" w14:textId="77777777" w:rsidR="00162AD2" w:rsidRPr="00886D8A" w:rsidRDefault="00162AD2" w:rsidP="004E36D3">
            <w:pPr>
              <w:pStyle w:val="TableText0"/>
              <w:jc w:val="center"/>
              <w:rPr>
                <w:b/>
                <w:bCs w:val="0"/>
                <w:lang w:eastAsia="en-IN"/>
              </w:rPr>
            </w:pPr>
            <w:r w:rsidRPr="00886D8A">
              <w:rPr>
                <w:b/>
                <w:bCs w:val="0"/>
                <w:lang w:eastAsia="en-IN"/>
              </w:rPr>
              <w:t>n (%)</w:t>
            </w:r>
          </w:p>
        </w:tc>
        <w:tc>
          <w:tcPr>
            <w:tcW w:w="512" w:type="pct"/>
            <w:vAlign w:val="center"/>
          </w:tcPr>
          <w:p w14:paraId="78C9C03C" w14:textId="77777777" w:rsidR="00162AD2" w:rsidRPr="00886D8A" w:rsidRDefault="00162AD2" w:rsidP="004E36D3">
            <w:pPr>
              <w:pStyle w:val="TableText0"/>
              <w:jc w:val="center"/>
              <w:rPr>
                <w:b/>
                <w:bCs w:val="0"/>
                <w:lang w:eastAsia="en-IN"/>
              </w:rPr>
            </w:pPr>
            <w:r w:rsidRPr="00886D8A">
              <w:rPr>
                <w:b/>
                <w:bCs w:val="0"/>
                <w:lang w:eastAsia="en-IN"/>
              </w:rPr>
              <w:t>Events</w:t>
            </w:r>
          </w:p>
        </w:tc>
        <w:tc>
          <w:tcPr>
            <w:tcW w:w="572" w:type="pct"/>
            <w:vAlign w:val="center"/>
          </w:tcPr>
          <w:p w14:paraId="6EE0BD53" w14:textId="77777777" w:rsidR="00162AD2" w:rsidRPr="00886D8A" w:rsidRDefault="00162AD2" w:rsidP="004E36D3">
            <w:pPr>
              <w:pStyle w:val="TableText0"/>
              <w:jc w:val="center"/>
              <w:rPr>
                <w:b/>
                <w:bCs w:val="0"/>
                <w:lang w:eastAsia="en-IN"/>
              </w:rPr>
            </w:pPr>
            <w:r w:rsidRPr="00886D8A">
              <w:rPr>
                <w:b/>
                <w:bCs w:val="0"/>
                <w:lang w:eastAsia="en-IN"/>
              </w:rPr>
              <w:t>n (%)</w:t>
            </w:r>
          </w:p>
        </w:tc>
        <w:tc>
          <w:tcPr>
            <w:tcW w:w="573" w:type="pct"/>
            <w:vAlign w:val="center"/>
          </w:tcPr>
          <w:p w14:paraId="3ECBF8FC" w14:textId="77777777" w:rsidR="00162AD2" w:rsidRPr="00886D8A" w:rsidRDefault="00162AD2" w:rsidP="004E36D3">
            <w:pPr>
              <w:pStyle w:val="TableText0"/>
              <w:jc w:val="center"/>
              <w:rPr>
                <w:b/>
                <w:bCs w:val="0"/>
                <w:lang w:eastAsia="en-IN"/>
              </w:rPr>
            </w:pPr>
            <w:r w:rsidRPr="00886D8A">
              <w:rPr>
                <w:b/>
                <w:bCs w:val="0"/>
                <w:lang w:eastAsia="en-IN"/>
              </w:rPr>
              <w:t>Events</w:t>
            </w:r>
          </w:p>
        </w:tc>
        <w:tc>
          <w:tcPr>
            <w:tcW w:w="572" w:type="pct"/>
            <w:vAlign w:val="center"/>
          </w:tcPr>
          <w:p w14:paraId="321BC1AD" w14:textId="77777777" w:rsidR="00162AD2" w:rsidRPr="00886D8A" w:rsidRDefault="00162AD2" w:rsidP="004E36D3">
            <w:pPr>
              <w:pStyle w:val="TableText0"/>
              <w:jc w:val="center"/>
              <w:rPr>
                <w:b/>
                <w:bCs w:val="0"/>
                <w:lang w:eastAsia="en-IN"/>
              </w:rPr>
            </w:pPr>
            <w:r w:rsidRPr="00886D8A">
              <w:rPr>
                <w:b/>
                <w:bCs w:val="0"/>
                <w:lang w:eastAsia="en-IN"/>
              </w:rPr>
              <w:t>n (%)</w:t>
            </w:r>
          </w:p>
        </w:tc>
        <w:tc>
          <w:tcPr>
            <w:tcW w:w="573" w:type="pct"/>
            <w:vAlign w:val="center"/>
          </w:tcPr>
          <w:p w14:paraId="6DE1D36D" w14:textId="77777777" w:rsidR="00162AD2" w:rsidRPr="00886D8A" w:rsidRDefault="00162AD2" w:rsidP="004E36D3">
            <w:pPr>
              <w:pStyle w:val="TableText0"/>
              <w:jc w:val="center"/>
              <w:rPr>
                <w:b/>
                <w:bCs w:val="0"/>
                <w:lang w:eastAsia="en-IN"/>
              </w:rPr>
            </w:pPr>
            <w:r w:rsidRPr="00886D8A">
              <w:rPr>
                <w:b/>
                <w:bCs w:val="0"/>
                <w:lang w:eastAsia="en-IN"/>
              </w:rPr>
              <w:t>Events</w:t>
            </w:r>
          </w:p>
        </w:tc>
      </w:tr>
      <w:tr w:rsidR="00EB0321" w:rsidRPr="00886D8A" w14:paraId="16EA5B60" w14:textId="77777777" w:rsidTr="006571DA">
        <w:trPr>
          <w:trHeight w:val="20"/>
        </w:trPr>
        <w:tc>
          <w:tcPr>
            <w:tcW w:w="1569" w:type="pct"/>
            <w:hideMark/>
          </w:tcPr>
          <w:p w14:paraId="37E97FDD" w14:textId="77777777" w:rsidR="00EB0321" w:rsidRPr="00886D8A" w:rsidRDefault="00EB0321" w:rsidP="004E36D3">
            <w:pPr>
              <w:pStyle w:val="TableText0"/>
              <w:rPr>
                <w:lang w:eastAsia="en-IN"/>
              </w:rPr>
            </w:pPr>
            <w:r w:rsidRPr="00886D8A">
              <w:t>TEAEs</w:t>
            </w:r>
          </w:p>
        </w:tc>
        <w:tc>
          <w:tcPr>
            <w:tcW w:w="629" w:type="pct"/>
            <w:hideMark/>
          </w:tcPr>
          <w:p w14:paraId="13DB11E9" w14:textId="77777777" w:rsidR="00EB0321" w:rsidRPr="00886D8A" w:rsidRDefault="00EB0321" w:rsidP="004E36D3">
            <w:pPr>
              <w:pStyle w:val="TableText0"/>
              <w:jc w:val="center"/>
            </w:pPr>
            <w:r w:rsidRPr="00886D8A">
              <w:t>15 (100.0%)</w:t>
            </w:r>
          </w:p>
        </w:tc>
        <w:tc>
          <w:tcPr>
            <w:tcW w:w="512" w:type="pct"/>
          </w:tcPr>
          <w:p w14:paraId="564ADC34" w14:textId="77777777" w:rsidR="00EB0321" w:rsidRPr="00886D8A" w:rsidRDefault="00EB0321" w:rsidP="004E36D3">
            <w:pPr>
              <w:pStyle w:val="TableText0"/>
              <w:jc w:val="center"/>
            </w:pPr>
            <w:r w:rsidRPr="00886D8A">
              <w:t>157</w:t>
            </w:r>
          </w:p>
        </w:tc>
        <w:tc>
          <w:tcPr>
            <w:tcW w:w="572" w:type="pct"/>
            <w:hideMark/>
          </w:tcPr>
          <w:p w14:paraId="10EE9873" w14:textId="77777777" w:rsidR="00EB0321" w:rsidRPr="00886D8A" w:rsidRDefault="00EB0321" w:rsidP="004E36D3">
            <w:pPr>
              <w:pStyle w:val="TableText0"/>
              <w:jc w:val="center"/>
            </w:pPr>
            <w:r w:rsidRPr="00886D8A">
              <w:t>9 (90.0%)</w:t>
            </w:r>
          </w:p>
        </w:tc>
        <w:tc>
          <w:tcPr>
            <w:tcW w:w="573" w:type="pct"/>
          </w:tcPr>
          <w:p w14:paraId="2C5B3A49" w14:textId="77777777" w:rsidR="00EB0321" w:rsidRPr="00886D8A" w:rsidRDefault="00EB0321" w:rsidP="004E36D3">
            <w:pPr>
              <w:pStyle w:val="TableText0"/>
              <w:jc w:val="center"/>
            </w:pPr>
            <w:r w:rsidRPr="00886D8A">
              <w:t>113</w:t>
            </w:r>
          </w:p>
        </w:tc>
        <w:tc>
          <w:tcPr>
            <w:tcW w:w="572" w:type="pct"/>
          </w:tcPr>
          <w:p w14:paraId="42D7D970" w14:textId="77777777" w:rsidR="00EB0321" w:rsidRPr="00886D8A" w:rsidRDefault="00EB0321" w:rsidP="004E36D3">
            <w:pPr>
              <w:pStyle w:val="TableText0"/>
              <w:jc w:val="center"/>
            </w:pPr>
            <w:r w:rsidRPr="00886D8A">
              <w:t>29 (87.9%)</w:t>
            </w:r>
          </w:p>
        </w:tc>
        <w:tc>
          <w:tcPr>
            <w:tcW w:w="573" w:type="pct"/>
          </w:tcPr>
          <w:p w14:paraId="6DBD6C23" w14:textId="77777777" w:rsidR="00EB0321" w:rsidRPr="00886D8A" w:rsidRDefault="00EB0321" w:rsidP="004E36D3">
            <w:pPr>
              <w:pStyle w:val="TableText0"/>
              <w:jc w:val="center"/>
            </w:pPr>
            <w:r w:rsidRPr="00886D8A">
              <w:t>546</w:t>
            </w:r>
          </w:p>
        </w:tc>
      </w:tr>
      <w:tr w:rsidR="00EB0321" w:rsidRPr="00886D8A" w14:paraId="654A8AEB" w14:textId="77777777" w:rsidTr="006571DA">
        <w:trPr>
          <w:trHeight w:val="20"/>
        </w:trPr>
        <w:tc>
          <w:tcPr>
            <w:tcW w:w="1569" w:type="pct"/>
            <w:hideMark/>
          </w:tcPr>
          <w:p w14:paraId="37C031A4" w14:textId="4F81766C" w:rsidR="00EB0321" w:rsidRPr="00886D8A" w:rsidRDefault="00EB0321" w:rsidP="004E36D3">
            <w:pPr>
              <w:pStyle w:val="TableText0"/>
              <w:rPr>
                <w:lang w:eastAsia="en-IN"/>
              </w:rPr>
            </w:pPr>
            <w:r w:rsidRPr="00886D8A">
              <w:t>Treatment</w:t>
            </w:r>
            <w:r w:rsidR="0011024A">
              <w:noBreakHyphen/>
            </w:r>
            <w:r w:rsidRPr="00886D8A">
              <w:t>related TEAEs</w:t>
            </w:r>
          </w:p>
        </w:tc>
        <w:tc>
          <w:tcPr>
            <w:tcW w:w="629" w:type="pct"/>
            <w:hideMark/>
          </w:tcPr>
          <w:p w14:paraId="633D2A28" w14:textId="77777777" w:rsidR="00EB0321" w:rsidRPr="00886D8A" w:rsidRDefault="00EB0321" w:rsidP="004E36D3">
            <w:pPr>
              <w:pStyle w:val="TableText0"/>
              <w:jc w:val="center"/>
            </w:pPr>
            <w:r w:rsidRPr="00886D8A">
              <w:t>7 (46.7%)</w:t>
            </w:r>
          </w:p>
        </w:tc>
        <w:tc>
          <w:tcPr>
            <w:tcW w:w="512" w:type="pct"/>
          </w:tcPr>
          <w:p w14:paraId="3C87289B" w14:textId="77777777" w:rsidR="00EB0321" w:rsidRPr="00886D8A" w:rsidRDefault="00EB0321" w:rsidP="004E36D3">
            <w:pPr>
              <w:pStyle w:val="TableText0"/>
              <w:jc w:val="center"/>
            </w:pPr>
            <w:r w:rsidRPr="00886D8A">
              <w:t>30</w:t>
            </w:r>
          </w:p>
        </w:tc>
        <w:tc>
          <w:tcPr>
            <w:tcW w:w="572" w:type="pct"/>
            <w:hideMark/>
          </w:tcPr>
          <w:p w14:paraId="282DA79D" w14:textId="77777777" w:rsidR="00EB0321" w:rsidRPr="00886D8A" w:rsidRDefault="00EB0321" w:rsidP="004E36D3">
            <w:pPr>
              <w:pStyle w:val="TableText0"/>
              <w:jc w:val="center"/>
            </w:pPr>
            <w:r w:rsidRPr="00886D8A">
              <w:t>5 (50%)</w:t>
            </w:r>
          </w:p>
        </w:tc>
        <w:tc>
          <w:tcPr>
            <w:tcW w:w="573" w:type="pct"/>
          </w:tcPr>
          <w:p w14:paraId="7A83FBB0" w14:textId="77777777" w:rsidR="00EB0321" w:rsidRPr="00886D8A" w:rsidRDefault="00EB0321" w:rsidP="004E36D3">
            <w:pPr>
              <w:pStyle w:val="TableText0"/>
              <w:jc w:val="center"/>
            </w:pPr>
            <w:r w:rsidRPr="00886D8A">
              <w:t>9</w:t>
            </w:r>
          </w:p>
        </w:tc>
        <w:tc>
          <w:tcPr>
            <w:tcW w:w="572" w:type="pct"/>
          </w:tcPr>
          <w:p w14:paraId="345B7DFB" w14:textId="77777777" w:rsidR="00EB0321" w:rsidRPr="00886D8A" w:rsidRDefault="00EB0321" w:rsidP="004E36D3">
            <w:pPr>
              <w:pStyle w:val="TableText0"/>
              <w:jc w:val="center"/>
            </w:pPr>
            <w:r w:rsidRPr="00886D8A">
              <w:t>17 (51.5%)</w:t>
            </w:r>
          </w:p>
        </w:tc>
        <w:tc>
          <w:tcPr>
            <w:tcW w:w="573" w:type="pct"/>
          </w:tcPr>
          <w:p w14:paraId="34FCE784" w14:textId="77777777" w:rsidR="00EB0321" w:rsidRPr="00886D8A" w:rsidRDefault="00EB0321" w:rsidP="004E36D3">
            <w:pPr>
              <w:pStyle w:val="TableText0"/>
              <w:jc w:val="center"/>
            </w:pPr>
            <w:r w:rsidRPr="00886D8A">
              <w:t>84</w:t>
            </w:r>
          </w:p>
        </w:tc>
      </w:tr>
      <w:tr w:rsidR="00EB0321" w:rsidRPr="00886D8A" w14:paraId="2F392726" w14:textId="77777777" w:rsidTr="006571DA">
        <w:trPr>
          <w:trHeight w:val="20"/>
        </w:trPr>
        <w:tc>
          <w:tcPr>
            <w:tcW w:w="1569" w:type="pct"/>
            <w:hideMark/>
          </w:tcPr>
          <w:p w14:paraId="77C03CA6" w14:textId="77777777" w:rsidR="00EB0321" w:rsidRPr="00886D8A" w:rsidRDefault="00EB0321" w:rsidP="004E36D3">
            <w:pPr>
              <w:pStyle w:val="TableText0"/>
              <w:rPr>
                <w:lang w:eastAsia="en-IN"/>
              </w:rPr>
            </w:pPr>
            <w:r w:rsidRPr="00886D8A">
              <w:t>Serious TEAEs</w:t>
            </w:r>
          </w:p>
        </w:tc>
        <w:tc>
          <w:tcPr>
            <w:tcW w:w="629" w:type="pct"/>
            <w:hideMark/>
          </w:tcPr>
          <w:p w14:paraId="24E39FFF" w14:textId="77777777" w:rsidR="00EB0321" w:rsidRPr="00886D8A" w:rsidRDefault="00EB0321" w:rsidP="004E36D3">
            <w:pPr>
              <w:pStyle w:val="TableText0"/>
              <w:jc w:val="center"/>
            </w:pPr>
            <w:r w:rsidRPr="00886D8A">
              <w:t>5 (33.3%)</w:t>
            </w:r>
          </w:p>
        </w:tc>
        <w:tc>
          <w:tcPr>
            <w:tcW w:w="512" w:type="pct"/>
          </w:tcPr>
          <w:p w14:paraId="4B7DBE7F" w14:textId="77777777" w:rsidR="00EB0321" w:rsidRPr="00886D8A" w:rsidRDefault="00EB0321" w:rsidP="004E36D3">
            <w:pPr>
              <w:pStyle w:val="TableText0"/>
              <w:jc w:val="center"/>
            </w:pPr>
            <w:r w:rsidRPr="00886D8A">
              <w:t>5</w:t>
            </w:r>
          </w:p>
        </w:tc>
        <w:tc>
          <w:tcPr>
            <w:tcW w:w="572" w:type="pct"/>
            <w:hideMark/>
          </w:tcPr>
          <w:p w14:paraId="3201E534" w14:textId="77777777" w:rsidR="00EB0321" w:rsidRPr="00886D8A" w:rsidRDefault="00EB0321" w:rsidP="004E36D3">
            <w:pPr>
              <w:pStyle w:val="TableText0"/>
              <w:jc w:val="center"/>
            </w:pPr>
            <w:r w:rsidRPr="00886D8A">
              <w:t>0 (0%)</w:t>
            </w:r>
          </w:p>
        </w:tc>
        <w:tc>
          <w:tcPr>
            <w:tcW w:w="573" w:type="pct"/>
          </w:tcPr>
          <w:p w14:paraId="0DC2D848" w14:textId="77777777" w:rsidR="00EB0321" w:rsidRPr="00886D8A" w:rsidRDefault="00EB0321" w:rsidP="004E36D3">
            <w:pPr>
              <w:pStyle w:val="TableText0"/>
              <w:jc w:val="center"/>
            </w:pPr>
            <w:r w:rsidRPr="00886D8A">
              <w:t>0</w:t>
            </w:r>
          </w:p>
        </w:tc>
        <w:tc>
          <w:tcPr>
            <w:tcW w:w="572" w:type="pct"/>
          </w:tcPr>
          <w:p w14:paraId="06EFF436" w14:textId="77777777" w:rsidR="00EB0321" w:rsidRPr="00886D8A" w:rsidRDefault="00EB0321" w:rsidP="004E36D3">
            <w:pPr>
              <w:pStyle w:val="TableText0"/>
              <w:jc w:val="center"/>
            </w:pPr>
            <w:r w:rsidRPr="00886D8A">
              <w:t>12 (36.4%)</w:t>
            </w:r>
          </w:p>
        </w:tc>
        <w:tc>
          <w:tcPr>
            <w:tcW w:w="573" w:type="pct"/>
          </w:tcPr>
          <w:p w14:paraId="3E787BFB" w14:textId="77777777" w:rsidR="00EB0321" w:rsidRPr="00886D8A" w:rsidRDefault="00EB0321" w:rsidP="004E36D3">
            <w:pPr>
              <w:pStyle w:val="TableText0"/>
              <w:jc w:val="center"/>
            </w:pPr>
            <w:r w:rsidRPr="00886D8A">
              <w:t>14</w:t>
            </w:r>
          </w:p>
        </w:tc>
      </w:tr>
      <w:tr w:rsidR="00EB0321" w:rsidRPr="00886D8A" w14:paraId="3898353E" w14:textId="77777777" w:rsidTr="006571DA">
        <w:trPr>
          <w:trHeight w:val="20"/>
        </w:trPr>
        <w:tc>
          <w:tcPr>
            <w:tcW w:w="1569" w:type="pct"/>
            <w:hideMark/>
          </w:tcPr>
          <w:p w14:paraId="3E9FA3E9" w14:textId="502E24A2" w:rsidR="00EB0321" w:rsidRPr="00886D8A" w:rsidRDefault="00EB0321" w:rsidP="004E36D3">
            <w:pPr>
              <w:pStyle w:val="TableText0"/>
              <w:rPr>
                <w:lang w:eastAsia="en-IN"/>
              </w:rPr>
            </w:pPr>
            <w:r w:rsidRPr="00886D8A">
              <w:t>Serious treatment</w:t>
            </w:r>
            <w:r w:rsidR="0011024A">
              <w:noBreakHyphen/>
            </w:r>
            <w:r w:rsidRPr="00886D8A">
              <w:t>related TEAEs</w:t>
            </w:r>
          </w:p>
        </w:tc>
        <w:tc>
          <w:tcPr>
            <w:tcW w:w="629" w:type="pct"/>
            <w:hideMark/>
          </w:tcPr>
          <w:p w14:paraId="0D6009F3" w14:textId="77777777" w:rsidR="00EB0321" w:rsidRPr="00886D8A" w:rsidRDefault="00EB0321" w:rsidP="004E36D3">
            <w:pPr>
              <w:pStyle w:val="TableText0"/>
              <w:jc w:val="center"/>
            </w:pPr>
            <w:r w:rsidRPr="00886D8A">
              <w:t>1 (6.7%)</w:t>
            </w:r>
          </w:p>
        </w:tc>
        <w:tc>
          <w:tcPr>
            <w:tcW w:w="512" w:type="pct"/>
          </w:tcPr>
          <w:p w14:paraId="386A5CC2" w14:textId="77777777" w:rsidR="00EB0321" w:rsidRPr="00886D8A" w:rsidRDefault="00EB0321" w:rsidP="004E36D3">
            <w:pPr>
              <w:pStyle w:val="TableText0"/>
              <w:jc w:val="center"/>
            </w:pPr>
            <w:r w:rsidRPr="00886D8A">
              <w:t>1</w:t>
            </w:r>
          </w:p>
        </w:tc>
        <w:tc>
          <w:tcPr>
            <w:tcW w:w="572" w:type="pct"/>
            <w:hideMark/>
          </w:tcPr>
          <w:p w14:paraId="63756221" w14:textId="77777777" w:rsidR="00EB0321" w:rsidRPr="00886D8A" w:rsidRDefault="00EB0321" w:rsidP="004E36D3">
            <w:pPr>
              <w:pStyle w:val="TableText0"/>
              <w:jc w:val="center"/>
            </w:pPr>
            <w:r w:rsidRPr="00886D8A">
              <w:t>0 (0%)</w:t>
            </w:r>
          </w:p>
        </w:tc>
        <w:tc>
          <w:tcPr>
            <w:tcW w:w="573" w:type="pct"/>
          </w:tcPr>
          <w:p w14:paraId="29427C28" w14:textId="77777777" w:rsidR="00EB0321" w:rsidRPr="00886D8A" w:rsidRDefault="00EB0321" w:rsidP="004E36D3">
            <w:pPr>
              <w:pStyle w:val="TableText0"/>
              <w:jc w:val="center"/>
            </w:pPr>
            <w:r w:rsidRPr="00886D8A">
              <w:t>0</w:t>
            </w:r>
          </w:p>
        </w:tc>
        <w:tc>
          <w:tcPr>
            <w:tcW w:w="572" w:type="pct"/>
          </w:tcPr>
          <w:p w14:paraId="76A1E125" w14:textId="77777777" w:rsidR="00EB0321" w:rsidRPr="00886D8A" w:rsidRDefault="00EB0321" w:rsidP="004E36D3">
            <w:pPr>
              <w:pStyle w:val="TableText0"/>
              <w:jc w:val="center"/>
            </w:pPr>
            <w:r w:rsidRPr="00886D8A">
              <w:t>2 (6.1%)</w:t>
            </w:r>
          </w:p>
        </w:tc>
        <w:tc>
          <w:tcPr>
            <w:tcW w:w="573" w:type="pct"/>
          </w:tcPr>
          <w:p w14:paraId="3B4747BF" w14:textId="77777777" w:rsidR="00EB0321" w:rsidRPr="00886D8A" w:rsidRDefault="00EB0321" w:rsidP="004E36D3">
            <w:pPr>
              <w:pStyle w:val="TableText0"/>
              <w:jc w:val="center"/>
            </w:pPr>
            <w:r w:rsidRPr="00886D8A">
              <w:t>2</w:t>
            </w:r>
          </w:p>
        </w:tc>
      </w:tr>
      <w:tr w:rsidR="00EB0321" w:rsidRPr="00886D8A" w14:paraId="1181E945" w14:textId="77777777" w:rsidTr="006571DA">
        <w:trPr>
          <w:trHeight w:val="20"/>
        </w:trPr>
        <w:tc>
          <w:tcPr>
            <w:tcW w:w="1569" w:type="pct"/>
            <w:hideMark/>
          </w:tcPr>
          <w:p w14:paraId="423F509C" w14:textId="77777777" w:rsidR="00EB0321" w:rsidRPr="00886D8A" w:rsidRDefault="00EB0321" w:rsidP="004E36D3">
            <w:pPr>
              <w:pStyle w:val="TableText0"/>
              <w:rPr>
                <w:lang w:eastAsia="en-IN"/>
              </w:rPr>
            </w:pPr>
            <w:r w:rsidRPr="00886D8A">
              <w:t xml:space="preserve">Severe TEAEs </w:t>
            </w:r>
          </w:p>
        </w:tc>
        <w:tc>
          <w:tcPr>
            <w:tcW w:w="629" w:type="pct"/>
            <w:hideMark/>
          </w:tcPr>
          <w:p w14:paraId="12043649" w14:textId="77777777" w:rsidR="00EB0321" w:rsidRPr="00886D8A" w:rsidRDefault="00EB0321" w:rsidP="004E36D3">
            <w:pPr>
              <w:pStyle w:val="TableText0"/>
              <w:jc w:val="center"/>
            </w:pPr>
            <w:r w:rsidRPr="00886D8A">
              <w:t>1 (6.7%)</w:t>
            </w:r>
          </w:p>
        </w:tc>
        <w:tc>
          <w:tcPr>
            <w:tcW w:w="512" w:type="pct"/>
          </w:tcPr>
          <w:p w14:paraId="46A3382E" w14:textId="77777777" w:rsidR="00EB0321" w:rsidRPr="00886D8A" w:rsidRDefault="00EB0321" w:rsidP="004E36D3">
            <w:pPr>
              <w:pStyle w:val="TableText0"/>
              <w:jc w:val="center"/>
            </w:pPr>
            <w:r w:rsidRPr="00886D8A">
              <w:t>1</w:t>
            </w:r>
          </w:p>
        </w:tc>
        <w:tc>
          <w:tcPr>
            <w:tcW w:w="572" w:type="pct"/>
            <w:hideMark/>
          </w:tcPr>
          <w:p w14:paraId="7EAF163F" w14:textId="77777777" w:rsidR="00EB0321" w:rsidRPr="00886D8A" w:rsidRDefault="00EB0321" w:rsidP="004E36D3">
            <w:pPr>
              <w:pStyle w:val="TableText0"/>
              <w:jc w:val="center"/>
            </w:pPr>
            <w:r w:rsidRPr="00886D8A">
              <w:t>0 (0%)</w:t>
            </w:r>
          </w:p>
        </w:tc>
        <w:tc>
          <w:tcPr>
            <w:tcW w:w="573" w:type="pct"/>
          </w:tcPr>
          <w:p w14:paraId="1DF5716A" w14:textId="77777777" w:rsidR="00EB0321" w:rsidRPr="00886D8A" w:rsidRDefault="00EB0321" w:rsidP="004E36D3">
            <w:pPr>
              <w:pStyle w:val="TableText0"/>
              <w:jc w:val="center"/>
            </w:pPr>
            <w:r w:rsidRPr="00886D8A">
              <w:t>0</w:t>
            </w:r>
          </w:p>
        </w:tc>
        <w:tc>
          <w:tcPr>
            <w:tcW w:w="572" w:type="pct"/>
          </w:tcPr>
          <w:p w14:paraId="6C0CB32A" w14:textId="77777777" w:rsidR="00EB0321" w:rsidRPr="00886D8A" w:rsidRDefault="00EB0321" w:rsidP="004E36D3">
            <w:pPr>
              <w:pStyle w:val="TableText0"/>
              <w:jc w:val="center"/>
            </w:pPr>
            <w:r w:rsidRPr="00886D8A">
              <w:t>3 (9.1%)</w:t>
            </w:r>
          </w:p>
        </w:tc>
        <w:tc>
          <w:tcPr>
            <w:tcW w:w="573" w:type="pct"/>
          </w:tcPr>
          <w:p w14:paraId="3E425349" w14:textId="77777777" w:rsidR="00EB0321" w:rsidRPr="00886D8A" w:rsidRDefault="00EB0321" w:rsidP="004E36D3">
            <w:pPr>
              <w:pStyle w:val="TableText0"/>
              <w:jc w:val="center"/>
            </w:pPr>
            <w:r w:rsidRPr="00886D8A">
              <w:t>4</w:t>
            </w:r>
          </w:p>
        </w:tc>
      </w:tr>
      <w:tr w:rsidR="00EB0321" w:rsidRPr="00886D8A" w14:paraId="5A343D1E" w14:textId="77777777" w:rsidTr="006571DA">
        <w:trPr>
          <w:trHeight w:val="20"/>
        </w:trPr>
        <w:tc>
          <w:tcPr>
            <w:tcW w:w="1569" w:type="pct"/>
          </w:tcPr>
          <w:p w14:paraId="3FDEB610" w14:textId="77777777" w:rsidR="00EB0321" w:rsidRPr="00886D8A" w:rsidRDefault="00EB0321" w:rsidP="004E36D3">
            <w:pPr>
              <w:pStyle w:val="TableText0"/>
            </w:pPr>
            <w:r w:rsidRPr="00886D8A">
              <w:t>TEAEs Leading to Dose Reduction</w:t>
            </w:r>
          </w:p>
        </w:tc>
        <w:tc>
          <w:tcPr>
            <w:tcW w:w="629" w:type="pct"/>
          </w:tcPr>
          <w:p w14:paraId="5DFB4DEA" w14:textId="77777777" w:rsidR="00EB0321" w:rsidRPr="00886D8A" w:rsidRDefault="00EB0321" w:rsidP="004E36D3">
            <w:pPr>
              <w:pStyle w:val="TableText0"/>
              <w:jc w:val="center"/>
            </w:pPr>
            <w:r w:rsidRPr="00886D8A">
              <w:t>0 (0%)</w:t>
            </w:r>
          </w:p>
        </w:tc>
        <w:tc>
          <w:tcPr>
            <w:tcW w:w="512" w:type="pct"/>
          </w:tcPr>
          <w:p w14:paraId="0CE8FC80" w14:textId="77777777" w:rsidR="00EB0321" w:rsidRPr="00886D8A" w:rsidRDefault="00EB0321" w:rsidP="004E36D3">
            <w:pPr>
              <w:pStyle w:val="TableText0"/>
              <w:jc w:val="center"/>
            </w:pPr>
            <w:r w:rsidRPr="00886D8A">
              <w:t>0</w:t>
            </w:r>
          </w:p>
        </w:tc>
        <w:tc>
          <w:tcPr>
            <w:tcW w:w="572" w:type="pct"/>
          </w:tcPr>
          <w:p w14:paraId="612B82F4" w14:textId="77777777" w:rsidR="00EB0321" w:rsidRPr="00886D8A" w:rsidRDefault="00EB0321" w:rsidP="004E36D3">
            <w:pPr>
              <w:pStyle w:val="TableText0"/>
              <w:jc w:val="center"/>
            </w:pPr>
            <w:r w:rsidRPr="00886D8A">
              <w:t>0 (0%)</w:t>
            </w:r>
          </w:p>
        </w:tc>
        <w:tc>
          <w:tcPr>
            <w:tcW w:w="573" w:type="pct"/>
          </w:tcPr>
          <w:p w14:paraId="5D4BBD48" w14:textId="77777777" w:rsidR="00EB0321" w:rsidRPr="00886D8A" w:rsidRDefault="00EB0321" w:rsidP="004E36D3">
            <w:pPr>
              <w:pStyle w:val="TableText0"/>
              <w:jc w:val="center"/>
            </w:pPr>
            <w:r w:rsidRPr="00886D8A">
              <w:t>NR</w:t>
            </w:r>
          </w:p>
        </w:tc>
        <w:tc>
          <w:tcPr>
            <w:tcW w:w="572" w:type="pct"/>
          </w:tcPr>
          <w:p w14:paraId="3DA9498D" w14:textId="77777777" w:rsidR="00EB0321" w:rsidRPr="00886D8A" w:rsidRDefault="00EB0321" w:rsidP="004E36D3">
            <w:pPr>
              <w:pStyle w:val="TableText0"/>
              <w:jc w:val="center"/>
            </w:pPr>
            <w:r w:rsidRPr="00886D8A">
              <w:t>NR</w:t>
            </w:r>
          </w:p>
        </w:tc>
        <w:tc>
          <w:tcPr>
            <w:tcW w:w="573" w:type="pct"/>
          </w:tcPr>
          <w:p w14:paraId="22776A42" w14:textId="77777777" w:rsidR="00EB0321" w:rsidRPr="00886D8A" w:rsidRDefault="00EB0321" w:rsidP="004E36D3">
            <w:pPr>
              <w:pStyle w:val="TableText0"/>
              <w:jc w:val="center"/>
            </w:pPr>
            <w:r w:rsidRPr="00886D8A">
              <w:t>NR</w:t>
            </w:r>
          </w:p>
        </w:tc>
      </w:tr>
      <w:tr w:rsidR="00EB0321" w:rsidRPr="00886D8A" w14:paraId="5057F99B" w14:textId="77777777" w:rsidTr="006571DA">
        <w:trPr>
          <w:trHeight w:val="20"/>
        </w:trPr>
        <w:tc>
          <w:tcPr>
            <w:tcW w:w="1569" w:type="pct"/>
          </w:tcPr>
          <w:p w14:paraId="21198B41" w14:textId="77777777" w:rsidR="00EB0321" w:rsidRPr="00886D8A" w:rsidRDefault="00EB0321" w:rsidP="004E36D3">
            <w:pPr>
              <w:pStyle w:val="TableText0"/>
            </w:pPr>
            <w:r w:rsidRPr="00886D8A">
              <w:t>TEAEs Leading to Study Drug Interruption</w:t>
            </w:r>
          </w:p>
        </w:tc>
        <w:tc>
          <w:tcPr>
            <w:tcW w:w="629" w:type="pct"/>
          </w:tcPr>
          <w:p w14:paraId="6C0010E8" w14:textId="77777777" w:rsidR="00EB0321" w:rsidRPr="00886D8A" w:rsidRDefault="00EB0321" w:rsidP="004E36D3">
            <w:pPr>
              <w:pStyle w:val="TableText0"/>
              <w:jc w:val="center"/>
            </w:pPr>
            <w:r w:rsidRPr="00886D8A">
              <w:t>1 (6.7%)</w:t>
            </w:r>
          </w:p>
        </w:tc>
        <w:tc>
          <w:tcPr>
            <w:tcW w:w="512" w:type="pct"/>
          </w:tcPr>
          <w:p w14:paraId="59957B62" w14:textId="77777777" w:rsidR="00EB0321" w:rsidRPr="00886D8A" w:rsidRDefault="00EB0321" w:rsidP="004E36D3">
            <w:pPr>
              <w:pStyle w:val="TableText0"/>
              <w:jc w:val="center"/>
            </w:pPr>
            <w:r w:rsidRPr="00886D8A">
              <w:t>NR</w:t>
            </w:r>
          </w:p>
        </w:tc>
        <w:tc>
          <w:tcPr>
            <w:tcW w:w="572" w:type="pct"/>
          </w:tcPr>
          <w:p w14:paraId="56AB360B" w14:textId="77777777" w:rsidR="00EB0321" w:rsidRPr="00886D8A" w:rsidRDefault="00EB0321" w:rsidP="004E36D3">
            <w:pPr>
              <w:pStyle w:val="TableText0"/>
              <w:jc w:val="center"/>
            </w:pPr>
            <w:r w:rsidRPr="00886D8A">
              <w:t>0 (0%)</w:t>
            </w:r>
          </w:p>
        </w:tc>
        <w:tc>
          <w:tcPr>
            <w:tcW w:w="573" w:type="pct"/>
          </w:tcPr>
          <w:p w14:paraId="01451CDD" w14:textId="77777777" w:rsidR="00EB0321" w:rsidRPr="00886D8A" w:rsidRDefault="00EB0321" w:rsidP="004E36D3">
            <w:pPr>
              <w:pStyle w:val="TableText0"/>
              <w:jc w:val="center"/>
            </w:pPr>
            <w:r w:rsidRPr="00886D8A">
              <w:t>NR</w:t>
            </w:r>
          </w:p>
        </w:tc>
        <w:tc>
          <w:tcPr>
            <w:tcW w:w="572" w:type="pct"/>
          </w:tcPr>
          <w:p w14:paraId="53710E18" w14:textId="77777777" w:rsidR="00EB0321" w:rsidRPr="00886D8A" w:rsidRDefault="00EB0321" w:rsidP="004E36D3">
            <w:pPr>
              <w:pStyle w:val="TableText0"/>
              <w:jc w:val="center"/>
            </w:pPr>
            <w:r w:rsidRPr="00886D8A">
              <w:t>NR</w:t>
            </w:r>
          </w:p>
        </w:tc>
        <w:tc>
          <w:tcPr>
            <w:tcW w:w="573" w:type="pct"/>
          </w:tcPr>
          <w:p w14:paraId="33369752" w14:textId="77777777" w:rsidR="00EB0321" w:rsidRPr="00886D8A" w:rsidRDefault="00EB0321" w:rsidP="004E36D3">
            <w:pPr>
              <w:pStyle w:val="TableText0"/>
              <w:jc w:val="center"/>
            </w:pPr>
            <w:r w:rsidRPr="00886D8A">
              <w:t>NR</w:t>
            </w:r>
          </w:p>
        </w:tc>
      </w:tr>
      <w:tr w:rsidR="00EB0321" w:rsidRPr="00886D8A" w14:paraId="58E29B39" w14:textId="77777777" w:rsidTr="006571DA">
        <w:trPr>
          <w:trHeight w:val="20"/>
        </w:trPr>
        <w:tc>
          <w:tcPr>
            <w:tcW w:w="1569" w:type="pct"/>
            <w:hideMark/>
          </w:tcPr>
          <w:p w14:paraId="5A0FA0D3" w14:textId="77777777" w:rsidR="00EB0321" w:rsidRPr="00886D8A" w:rsidRDefault="00EB0321" w:rsidP="004E36D3">
            <w:pPr>
              <w:pStyle w:val="TableText0"/>
              <w:rPr>
                <w:lang w:eastAsia="en-IN"/>
              </w:rPr>
            </w:pPr>
            <w:r w:rsidRPr="00886D8A">
              <w:t>TEAEs Leading to Study Drug Discontinuation</w:t>
            </w:r>
          </w:p>
        </w:tc>
        <w:tc>
          <w:tcPr>
            <w:tcW w:w="629" w:type="pct"/>
            <w:hideMark/>
          </w:tcPr>
          <w:p w14:paraId="24999F9D" w14:textId="77777777" w:rsidR="00EB0321" w:rsidRPr="00886D8A" w:rsidRDefault="00EB0321" w:rsidP="004E36D3">
            <w:pPr>
              <w:pStyle w:val="TableText0"/>
              <w:jc w:val="center"/>
            </w:pPr>
            <w:r w:rsidRPr="00886D8A">
              <w:t>0 (0%)</w:t>
            </w:r>
          </w:p>
        </w:tc>
        <w:tc>
          <w:tcPr>
            <w:tcW w:w="512" w:type="pct"/>
          </w:tcPr>
          <w:p w14:paraId="348CFF29" w14:textId="77777777" w:rsidR="00EB0321" w:rsidRPr="00886D8A" w:rsidRDefault="00EB0321" w:rsidP="004E36D3">
            <w:pPr>
              <w:pStyle w:val="TableText0"/>
              <w:jc w:val="center"/>
            </w:pPr>
            <w:r w:rsidRPr="00886D8A">
              <w:t>0</w:t>
            </w:r>
          </w:p>
        </w:tc>
        <w:tc>
          <w:tcPr>
            <w:tcW w:w="572" w:type="pct"/>
            <w:hideMark/>
          </w:tcPr>
          <w:p w14:paraId="2025996B" w14:textId="77777777" w:rsidR="00EB0321" w:rsidRPr="00886D8A" w:rsidRDefault="00EB0321" w:rsidP="004E36D3">
            <w:pPr>
              <w:pStyle w:val="TableText0"/>
              <w:jc w:val="center"/>
            </w:pPr>
            <w:r w:rsidRPr="00886D8A">
              <w:t>0 (0%)</w:t>
            </w:r>
          </w:p>
        </w:tc>
        <w:tc>
          <w:tcPr>
            <w:tcW w:w="573" w:type="pct"/>
          </w:tcPr>
          <w:p w14:paraId="5D7B6953" w14:textId="77777777" w:rsidR="00EB0321" w:rsidRPr="00886D8A" w:rsidRDefault="00EB0321" w:rsidP="004E36D3">
            <w:pPr>
              <w:pStyle w:val="TableText0"/>
              <w:jc w:val="center"/>
            </w:pPr>
            <w:r w:rsidRPr="00886D8A">
              <w:t>0</w:t>
            </w:r>
          </w:p>
        </w:tc>
        <w:tc>
          <w:tcPr>
            <w:tcW w:w="572" w:type="pct"/>
          </w:tcPr>
          <w:p w14:paraId="62846B9E" w14:textId="77777777" w:rsidR="00EB0321" w:rsidRPr="00886D8A" w:rsidRDefault="00EB0321" w:rsidP="004E36D3">
            <w:pPr>
              <w:pStyle w:val="TableText0"/>
              <w:jc w:val="center"/>
            </w:pPr>
            <w:r w:rsidRPr="00886D8A">
              <w:t>0 (0%)</w:t>
            </w:r>
          </w:p>
        </w:tc>
        <w:tc>
          <w:tcPr>
            <w:tcW w:w="573" w:type="pct"/>
          </w:tcPr>
          <w:p w14:paraId="0D217DC5" w14:textId="77777777" w:rsidR="00EB0321" w:rsidRPr="00886D8A" w:rsidRDefault="00EB0321" w:rsidP="004E36D3">
            <w:pPr>
              <w:pStyle w:val="TableText0"/>
              <w:jc w:val="center"/>
            </w:pPr>
            <w:r w:rsidRPr="00886D8A">
              <w:t>0</w:t>
            </w:r>
          </w:p>
        </w:tc>
      </w:tr>
      <w:tr w:rsidR="00EB0321" w:rsidRPr="00886D8A" w14:paraId="0F1945BE" w14:textId="77777777" w:rsidTr="006571DA">
        <w:trPr>
          <w:trHeight w:val="20"/>
        </w:trPr>
        <w:tc>
          <w:tcPr>
            <w:tcW w:w="1569" w:type="pct"/>
          </w:tcPr>
          <w:p w14:paraId="0869BD71" w14:textId="77777777" w:rsidR="00EB0321" w:rsidRPr="00886D8A" w:rsidRDefault="00EB0321" w:rsidP="004E36D3">
            <w:pPr>
              <w:pStyle w:val="TableText0"/>
              <w:rPr>
                <w:lang w:eastAsia="en-IN"/>
              </w:rPr>
            </w:pPr>
            <w:r w:rsidRPr="00886D8A">
              <w:t>TEAEs Leading to Death</w:t>
            </w:r>
          </w:p>
        </w:tc>
        <w:tc>
          <w:tcPr>
            <w:tcW w:w="629" w:type="pct"/>
          </w:tcPr>
          <w:p w14:paraId="5B954275" w14:textId="77777777" w:rsidR="00EB0321" w:rsidRPr="00886D8A" w:rsidRDefault="00EB0321" w:rsidP="004E36D3">
            <w:pPr>
              <w:pStyle w:val="TableText0"/>
              <w:jc w:val="center"/>
            </w:pPr>
            <w:r w:rsidRPr="00886D8A">
              <w:t>0 (0%)</w:t>
            </w:r>
          </w:p>
        </w:tc>
        <w:tc>
          <w:tcPr>
            <w:tcW w:w="512" w:type="pct"/>
          </w:tcPr>
          <w:p w14:paraId="08237B5E" w14:textId="77777777" w:rsidR="00EB0321" w:rsidRPr="00886D8A" w:rsidRDefault="00EB0321" w:rsidP="004E36D3">
            <w:pPr>
              <w:pStyle w:val="TableText0"/>
              <w:jc w:val="center"/>
            </w:pPr>
            <w:r w:rsidRPr="00886D8A">
              <w:t>0</w:t>
            </w:r>
          </w:p>
        </w:tc>
        <w:tc>
          <w:tcPr>
            <w:tcW w:w="572" w:type="pct"/>
          </w:tcPr>
          <w:p w14:paraId="54407819" w14:textId="77777777" w:rsidR="00EB0321" w:rsidRPr="00886D8A" w:rsidRDefault="00EB0321" w:rsidP="004E36D3">
            <w:pPr>
              <w:pStyle w:val="TableText0"/>
              <w:jc w:val="center"/>
            </w:pPr>
            <w:r w:rsidRPr="00886D8A">
              <w:t>0 (0%)</w:t>
            </w:r>
          </w:p>
        </w:tc>
        <w:tc>
          <w:tcPr>
            <w:tcW w:w="573" w:type="pct"/>
          </w:tcPr>
          <w:p w14:paraId="484C44B4" w14:textId="77777777" w:rsidR="00EB0321" w:rsidRPr="00886D8A" w:rsidRDefault="00EB0321" w:rsidP="004E36D3">
            <w:pPr>
              <w:pStyle w:val="TableText0"/>
              <w:jc w:val="center"/>
            </w:pPr>
            <w:r w:rsidRPr="00886D8A">
              <w:t>0</w:t>
            </w:r>
          </w:p>
        </w:tc>
        <w:tc>
          <w:tcPr>
            <w:tcW w:w="572" w:type="pct"/>
          </w:tcPr>
          <w:p w14:paraId="30F47D44" w14:textId="77777777" w:rsidR="00EB0321" w:rsidRPr="00886D8A" w:rsidRDefault="00EB0321" w:rsidP="004E36D3">
            <w:pPr>
              <w:pStyle w:val="TableText0"/>
              <w:jc w:val="center"/>
            </w:pPr>
            <w:r w:rsidRPr="00886D8A">
              <w:t>0 (0%)</w:t>
            </w:r>
          </w:p>
        </w:tc>
        <w:tc>
          <w:tcPr>
            <w:tcW w:w="573" w:type="pct"/>
          </w:tcPr>
          <w:p w14:paraId="2E76654F" w14:textId="77777777" w:rsidR="00EB0321" w:rsidRPr="00886D8A" w:rsidRDefault="00EB0321" w:rsidP="004E36D3">
            <w:pPr>
              <w:pStyle w:val="TableText0"/>
              <w:jc w:val="center"/>
            </w:pPr>
            <w:r w:rsidRPr="00886D8A">
              <w:t>0</w:t>
            </w:r>
          </w:p>
        </w:tc>
      </w:tr>
    </w:tbl>
    <w:p w14:paraId="57954CC9" w14:textId="15AA1257" w:rsidR="00EB0321" w:rsidRPr="00886D8A" w:rsidRDefault="00EB0321" w:rsidP="004E36D3">
      <w:pPr>
        <w:pStyle w:val="TableFigureFooter"/>
      </w:pPr>
      <w:r w:rsidRPr="00886D8A">
        <w:t>Source: Table 2.5</w:t>
      </w:r>
      <w:r w:rsidR="0011024A">
        <w:noBreakHyphen/>
      </w:r>
      <w:r w:rsidRPr="00886D8A">
        <w:t>18, p97 and Table 2.5</w:t>
      </w:r>
      <w:r w:rsidR="0011024A">
        <w:noBreakHyphen/>
      </w:r>
      <w:r w:rsidRPr="00886D8A">
        <w:t xml:space="preserve">24, p100 of the submission. </w:t>
      </w:r>
    </w:p>
    <w:p w14:paraId="15AF8ECB" w14:textId="489F7BE4" w:rsidR="00EB0321" w:rsidRPr="00886D8A" w:rsidRDefault="00EB0321" w:rsidP="004E36D3">
      <w:pPr>
        <w:pStyle w:val="TableFigureFooter"/>
      </w:pPr>
      <w:r w:rsidRPr="00886D8A">
        <w:t>AE = adverse event; BSC = best supportive care; n = number of participants reporting data; N = total participants in group; NR = not reported; TEAE = treatment</w:t>
      </w:r>
      <w:r w:rsidR="0011024A">
        <w:noBreakHyphen/>
      </w:r>
      <w:r w:rsidRPr="00886D8A">
        <w:t xml:space="preserve">emergent adverse event. </w:t>
      </w:r>
    </w:p>
    <w:p w14:paraId="0B05B813" w14:textId="6A72BB20" w:rsidR="00EB0321" w:rsidRPr="00886D8A" w:rsidRDefault="00EB0321" w:rsidP="004E36D3">
      <w:pPr>
        <w:pStyle w:val="3-BodyText"/>
        <w:rPr>
          <w:color w:val="0066FF"/>
        </w:rPr>
      </w:pPr>
      <w:r w:rsidRPr="00886D8A">
        <w:t>In rhLAMAN</w:t>
      </w:r>
      <w:r w:rsidR="0011024A">
        <w:noBreakHyphen/>
      </w:r>
      <w:r w:rsidRPr="00886D8A">
        <w:t>05, any treatment</w:t>
      </w:r>
      <w:r w:rsidR="0011024A">
        <w:noBreakHyphen/>
      </w:r>
      <w:r w:rsidRPr="00886D8A">
        <w:t>emergent adverse event (TEAE) was reported by 100% of patients in the velmanase alfa group and 90% in the BSC group</w:t>
      </w:r>
      <w:r w:rsidR="00BD3941" w:rsidRPr="00886D8A">
        <w:t>. These</w:t>
      </w:r>
      <w:r w:rsidRPr="00886D8A">
        <w:t xml:space="preserve"> were considered treatment</w:t>
      </w:r>
      <w:r w:rsidR="0011024A">
        <w:noBreakHyphen/>
      </w:r>
      <w:r w:rsidRPr="00886D8A">
        <w:t xml:space="preserve">related in 47% and 50% </w:t>
      </w:r>
      <w:r w:rsidR="00936E7C" w:rsidRPr="00886D8A">
        <w:t xml:space="preserve">of patients </w:t>
      </w:r>
      <w:r w:rsidRPr="00886D8A">
        <w:t xml:space="preserve">respectively. In the velmanase alfa </w:t>
      </w:r>
      <w:r w:rsidR="00BF386B" w:rsidRPr="00886D8A">
        <w:t xml:space="preserve">arm 33% of patients </w:t>
      </w:r>
      <w:r w:rsidR="000A734A" w:rsidRPr="00886D8A">
        <w:t xml:space="preserve">reported a </w:t>
      </w:r>
      <w:r w:rsidR="0045633D" w:rsidRPr="00886D8A">
        <w:t xml:space="preserve">serious TEAE, as compared to 0% in the </w:t>
      </w:r>
      <w:r w:rsidRPr="00886D8A">
        <w:t>BSC arm</w:t>
      </w:r>
      <w:r w:rsidR="00C14BAF" w:rsidRPr="00886D8A">
        <w:t xml:space="preserve">; only one (sepsis) was classified as a severe TEAE. </w:t>
      </w:r>
      <w:r w:rsidRPr="00886D8A">
        <w:t>One patient in the velmanase alfa arm experienced a treatment</w:t>
      </w:r>
      <w:r w:rsidR="0011024A">
        <w:noBreakHyphen/>
      </w:r>
      <w:r w:rsidRPr="00886D8A">
        <w:t xml:space="preserve">related serious TEAE </w:t>
      </w:r>
      <w:r w:rsidR="00CA6A32" w:rsidRPr="00886D8A">
        <w:t>(</w:t>
      </w:r>
      <w:r w:rsidRPr="00886D8A">
        <w:t>acute renal failure of moderate severity</w:t>
      </w:r>
      <w:r w:rsidR="00CA6A32" w:rsidRPr="00886D8A">
        <w:t>)</w:t>
      </w:r>
      <w:r w:rsidRPr="00886D8A">
        <w:t xml:space="preserve">, leading to temporary discontinuation of study drug. No patients discontinued study treatment or died due to TEAEs. </w:t>
      </w:r>
    </w:p>
    <w:p w14:paraId="75735876" w14:textId="49441AFE" w:rsidR="00EB0321" w:rsidRPr="00886D8A" w:rsidRDefault="00EB0321" w:rsidP="004E36D3">
      <w:pPr>
        <w:pStyle w:val="3-BodyText"/>
      </w:pPr>
      <w:r w:rsidRPr="00886D8A">
        <w:t>The most frequently reported any grade TEAEs occurring in two or more patients in the velmanase alfa group versus the BSC group were: nasopharyngitis (66% vs. 70%), pyrexia (40% vs. 50%), headache (33% vs. 30%), arthralgia (20% vs. 10%), vomiting (20% vs. 40%), acute tonsillitis (13% vs. 0%), diarrhoea (13% vs. 30%), syncope (13% vs. 0%), back pain (13% vs. 10%), ear infection (13% vs. 10%),</w:t>
      </w:r>
      <w:r w:rsidR="00A961F5">
        <w:t xml:space="preserve"> </w:t>
      </w:r>
      <w:r w:rsidRPr="00886D8A">
        <w:t xml:space="preserve">influenza (13% vs. 10%), gastroenteritis (13% vs. 10%), dizziness (6.7% vs. 20%), and ear discomfort (0% vs. 20%). </w:t>
      </w:r>
    </w:p>
    <w:p w14:paraId="6515A379" w14:textId="41E7B453" w:rsidR="00EB0321" w:rsidRPr="00886D8A" w:rsidRDefault="00EB0321" w:rsidP="004E36D3">
      <w:pPr>
        <w:pStyle w:val="3-BodyText"/>
      </w:pPr>
      <w:r w:rsidRPr="00886D8A">
        <w:t xml:space="preserve">In </w:t>
      </w:r>
      <w:r w:rsidR="008A5609" w:rsidRPr="00886D8A">
        <w:t xml:space="preserve">the </w:t>
      </w:r>
      <w:r w:rsidRPr="00886D8A">
        <w:t>rhLAMAN</w:t>
      </w:r>
      <w:r w:rsidR="0011024A">
        <w:noBreakHyphen/>
      </w:r>
      <w:r w:rsidRPr="00886D8A">
        <w:t>10 integrated analysis, 88% of patients reported a total of 546 TEAEs</w:t>
      </w:r>
      <w:r w:rsidR="00A957C9" w:rsidRPr="00886D8A">
        <w:t>,</w:t>
      </w:r>
      <w:r w:rsidR="00A961F5">
        <w:t xml:space="preserve"> </w:t>
      </w:r>
      <w:r w:rsidR="004F391D" w:rsidRPr="00886D8A">
        <w:t xml:space="preserve">52% </w:t>
      </w:r>
      <w:r w:rsidR="00A957C9" w:rsidRPr="00886D8A">
        <w:t xml:space="preserve">of which </w:t>
      </w:r>
      <w:r w:rsidRPr="00886D8A">
        <w:t>were considered treatment</w:t>
      </w:r>
      <w:r w:rsidR="0011024A">
        <w:noBreakHyphen/>
      </w:r>
      <w:r w:rsidRPr="00886D8A">
        <w:t>related. A total of 36% of patients reported experiencing serious TEAEs, 6% reported treatment</w:t>
      </w:r>
      <w:r w:rsidR="0011024A">
        <w:noBreakHyphen/>
      </w:r>
      <w:r w:rsidRPr="00886D8A">
        <w:t>related serious TEAEs, while 9% reported experiencing severe TEAEs. No patients discontinued study treatment or died due to TEAEs. The most frequently reported AEs in the rhLAMAN</w:t>
      </w:r>
      <w:r w:rsidR="0011024A">
        <w:noBreakHyphen/>
      </w:r>
      <w:r w:rsidRPr="00886D8A">
        <w:t xml:space="preserve">10 </w:t>
      </w:r>
      <w:r w:rsidR="004F4B4E" w:rsidRPr="00886D8A">
        <w:t xml:space="preserve">integrated analysis </w:t>
      </w:r>
      <w:r w:rsidRPr="00886D8A">
        <w:t>were nasopharyngitis (70%), headache (39%), pyrexia (33%), vomiting (30%) and diarrhoea (27%), and cough (27%). The safety profile observed in rhLAMAN</w:t>
      </w:r>
      <w:r w:rsidR="0011024A">
        <w:noBreakHyphen/>
      </w:r>
      <w:r w:rsidRPr="00886D8A">
        <w:t>10 integrated analysis was consistent with that reported in rhLAMAN</w:t>
      </w:r>
      <w:r w:rsidR="0011024A">
        <w:noBreakHyphen/>
      </w:r>
      <w:r w:rsidRPr="00886D8A">
        <w:t>05 trial, with similar frequency, type, and severity of AEs.</w:t>
      </w:r>
      <w:r w:rsidR="004062A9" w:rsidRPr="00886D8A">
        <w:t xml:space="preserve"> Notably, TEAEs were not reported for </w:t>
      </w:r>
      <w:r w:rsidR="00090622" w:rsidRPr="00886D8A">
        <w:t>rhLAMAN</w:t>
      </w:r>
      <w:r w:rsidR="0011024A">
        <w:noBreakHyphen/>
      </w:r>
      <w:r w:rsidR="00090622" w:rsidRPr="00886D8A">
        <w:t xml:space="preserve">11. </w:t>
      </w:r>
    </w:p>
    <w:p w14:paraId="0A2D357F" w14:textId="010F2599" w:rsidR="00EB0321" w:rsidRPr="00886D8A" w:rsidRDefault="00EB0321" w:rsidP="004E36D3">
      <w:pPr>
        <w:pStyle w:val="3-BodyText"/>
      </w:pPr>
      <w:r w:rsidRPr="00886D8A">
        <w:t>In rhLAMAN</w:t>
      </w:r>
      <w:r w:rsidR="0011024A">
        <w:noBreakHyphen/>
      </w:r>
      <w:r w:rsidRPr="00886D8A">
        <w:t>08, all patients (100%) experienced TEAEs, none of which led to death or study drug discontinuation. The most frequent TEAEs (≥ 40% of children) were vomiting (100%), pyrexia (80%), cough (80%), otitis media (80%), nasopharyngitis (60%), rhinitis (60%), and diarrhoea (60%). The submission stated that velmanase alfa was well tolerated in paediatric patients (aged ≤6 years), with the majority of TEAEs being mild or moderate in intensity. Additionally, of the 16 adverse drug reactions (ADRs) reported in four children, most were infusion</w:t>
      </w:r>
      <w:r w:rsidR="0011024A">
        <w:noBreakHyphen/>
      </w:r>
      <w:r w:rsidRPr="00886D8A">
        <w:t xml:space="preserve">related reactions (IRRs). One child experienced a serious IRR (chills and hyperthermia) requiring overnight hospitalisation; symptoms resolved the same day. </w:t>
      </w:r>
    </w:p>
    <w:p w14:paraId="5BE30242" w14:textId="444DC37E" w:rsidR="00296DD8" w:rsidRPr="00886D8A" w:rsidRDefault="000D3C3E" w:rsidP="004E36D3">
      <w:pPr>
        <w:pStyle w:val="3-BodyText"/>
      </w:pPr>
      <w:bookmarkStart w:id="70" w:name="_Ref197522983"/>
      <w:r w:rsidRPr="00886D8A">
        <w:t>Safety data is also available from the real</w:t>
      </w:r>
      <w:r w:rsidR="0011024A">
        <w:noBreakHyphen/>
      </w:r>
      <w:r w:rsidRPr="00886D8A">
        <w:t xml:space="preserve">word </w:t>
      </w:r>
      <w:r w:rsidR="00EC0780" w:rsidRPr="00886D8A">
        <w:t>evidence in</w:t>
      </w:r>
      <w:r w:rsidRPr="00886D8A">
        <w:t xml:space="preserve"> </w:t>
      </w:r>
      <w:r w:rsidR="00F210EB" w:rsidRPr="00886D8A">
        <w:t xml:space="preserve">the </w:t>
      </w:r>
      <w:r w:rsidRPr="00886D8A">
        <w:t>Alpha</w:t>
      </w:r>
      <w:r w:rsidR="0011024A">
        <w:noBreakHyphen/>
      </w:r>
      <w:r w:rsidRPr="00886D8A">
        <w:t>Mannosidosis Registry</w:t>
      </w:r>
      <w:r w:rsidR="00EC0780" w:rsidRPr="00886D8A">
        <w:t xml:space="preserve"> (</w:t>
      </w:r>
      <w:r w:rsidRPr="00886D8A">
        <w:t>SPARKLE study</w:t>
      </w:r>
      <w:r w:rsidR="00EC0780" w:rsidRPr="00886D8A">
        <w:t>)</w:t>
      </w:r>
      <w:r w:rsidRPr="00886D8A">
        <w:t xml:space="preserve">. </w:t>
      </w:r>
      <w:r w:rsidR="00C20898" w:rsidRPr="00886D8A">
        <w:t xml:space="preserve">As of </w:t>
      </w:r>
      <w:r w:rsidR="002467F9" w:rsidRPr="00886D8A">
        <w:t xml:space="preserve">5 March 2024, </w:t>
      </w:r>
      <w:r w:rsidR="00303DD3" w:rsidRPr="00886D8A">
        <w:t xml:space="preserve">the </w:t>
      </w:r>
      <w:r w:rsidR="00296DD8" w:rsidRPr="00886D8A">
        <w:t>fourth interim</w:t>
      </w:r>
      <w:r w:rsidR="00303DD3" w:rsidRPr="00886D8A">
        <w:t xml:space="preserve"> report (approximately 2.5 years</w:t>
      </w:r>
      <w:r w:rsidR="00296DD8" w:rsidRPr="00886D8A">
        <w:t>)</w:t>
      </w:r>
      <w:r w:rsidR="00E10E02" w:rsidRPr="00886D8A">
        <w:t xml:space="preserve"> reported </w:t>
      </w:r>
      <w:r w:rsidR="00296DD8" w:rsidRPr="00886D8A">
        <w:t>142 study</w:t>
      </w:r>
      <w:r w:rsidR="0011024A">
        <w:noBreakHyphen/>
      </w:r>
      <w:r w:rsidR="00296DD8" w:rsidRPr="00886D8A">
        <w:t xml:space="preserve">emergent AEs in 31 patients (35%). </w:t>
      </w:r>
      <w:r w:rsidR="00B64ACB" w:rsidRPr="00886D8A">
        <w:t>A total of</w:t>
      </w:r>
      <w:r w:rsidR="00296DD8" w:rsidRPr="00886D8A">
        <w:t xml:space="preserve"> 108 events in 19 patients were classified as TEA</w:t>
      </w:r>
      <w:r w:rsidR="00B64ACB" w:rsidRPr="00886D8A">
        <w:t xml:space="preserve">E, </w:t>
      </w:r>
      <w:r w:rsidR="00722847" w:rsidRPr="00886D8A">
        <w:t xml:space="preserve">mostly mild </w:t>
      </w:r>
      <w:r w:rsidR="00296DD8" w:rsidRPr="00886D8A">
        <w:t xml:space="preserve">to moderate severity </w:t>
      </w:r>
      <w:r w:rsidR="00AB2DA2" w:rsidRPr="00886D8A">
        <w:t>and</w:t>
      </w:r>
      <w:r w:rsidR="00296DD8" w:rsidRPr="00886D8A">
        <w:t xml:space="preserve"> assessed as unrelated to velmanase alfa</w:t>
      </w:r>
      <w:bookmarkEnd w:id="70"/>
      <w:r w:rsidR="00722847" w:rsidRPr="00886D8A">
        <w:t xml:space="preserve">. </w:t>
      </w:r>
      <w:r w:rsidR="004062A9" w:rsidRPr="00886D8A">
        <w:t xml:space="preserve">Seventeen </w:t>
      </w:r>
      <w:r w:rsidR="00296DD8" w:rsidRPr="00886D8A">
        <w:t>serious TEAEs were experienced in five patients</w:t>
      </w:r>
      <w:r w:rsidR="00090622" w:rsidRPr="00886D8A">
        <w:t>, a</w:t>
      </w:r>
      <w:r w:rsidR="00296DD8" w:rsidRPr="00886D8A">
        <w:t>ll unrelated to velmanase alfa and requir</w:t>
      </w:r>
      <w:r w:rsidR="00090622" w:rsidRPr="00886D8A">
        <w:t>ing</w:t>
      </w:r>
      <w:r w:rsidR="00296DD8" w:rsidRPr="00886D8A">
        <w:t xml:space="preserve"> hospitalisation, except one seizure </w:t>
      </w:r>
      <w:r w:rsidR="00090622" w:rsidRPr="00886D8A">
        <w:t>considered</w:t>
      </w:r>
      <w:r w:rsidR="00296DD8" w:rsidRPr="00886D8A">
        <w:t xml:space="preserve"> unlikely related but did not require hospitalisation. </w:t>
      </w:r>
    </w:p>
    <w:p w14:paraId="036A0921" w14:textId="77777777" w:rsidR="00EB0321" w:rsidRPr="00886D8A" w:rsidRDefault="00EB0321" w:rsidP="004E36D3">
      <w:pPr>
        <w:pStyle w:val="4-SubsectionHeading"/>
      </w:pPr>
      <w:bookmarkStart w:id="71" w:name="_Toc22897643"/>
      <w:bookmarkStart w:id="72" w:name="_Toc197460421"/>
      <w:bookmarkStart w:id="73" w:name="_Toc198645884"/>
      <w:r w:rsidRPr="00886D8A">
        <w:t>Benefits/harms</w:t>
      </w:r>
      <w:bookmarkEnd w:id="71"/>
      <w:bookmarkEnd w:id="72"/>
      <w:bookmarkEnd w:id="73"/>
    </w:p>
    <w:p w14:paraId="15ECEF1D" w14:textId="3A375F18" w:rsidR="00EB0321" w:rsidRPr="00886D8A" w:rsidRDefault="00EB0321" w:rsidP="004E36D3">
      <w:pPr>
        <w:pStyle w:val="3-BodyText"/>
      </w:pPr>
      <w:bookmarkStart w:id="74" w:name="_Ref197683396"/>
      <w:r w:rsidRPr="00886D8A">
        <w:t>On the basis of direct evidence presented by the submission</w:t>
      </w:r>
      <w:r w:rsidR="007D20CD" w:rsidRPr="00886D8A">
        <w:t xml:space="preserve"> from rhLAMAN</w:t>
      </w:r>
      <w:r w:rsidR="0011024A">
        <w:noBreakHyphen/>
      </w:r>
      <w:r w:rsidR="007D20CD" w:rsidRPr="00886D8A">
        <w:t>05</w:t>
      </w:r>
      <w:r w:rsidRPr="00886D8A">
        <w:t xml:space="preserve">, as presented in </w:t>
      </w:r>
      <w:r w:rsidRPr="00886D8A">
        <w:fldChar w:fldCharType="begin"/>
      </w:r>
      <w:r w:rsidRPr="00886D8A">
        <w:instrText xml:space="preserve"> REF _Ref197168537 \h  \* MERGEFORMAT </w:instrText>
      </w:r>
      <w:r w:rsidRPr="00886D8A">
        <w:fldChar w:fldCharType="separate"/>
      </w:r>
      <w:r w:rsidR="00B73A9E" w:rsidRPr="00886D8A">
        <w:t xml:space="preserve">Table </w:t>
      </w:r>
      <w:r w:rsidR="00B73A9E">
        <w:t>6</w:t>
      </w:r>
      <w:r w:rsidRPr="00886D8A">
        <w:fldChar w:fldCharType="end"/>
      </w:r>
      <w:r w:rsidRPr="00886D8A">
        <w:t>, the comparison of velmanase alfa and BSC at Month 12 resulted in</w:t>
      </w:r>
      <w:r w:rsidR="007D20CD" w:rsidRPr="00886D8A">
        <w:t xml:space="preserve"> an</w:t>
      </w:r>
      <w:r w:rsidRPr="00886D8A">
        <w:t>:</w:t>
      </w:r>
      <w:bookmarkEnd w:id="74"/>
    </w:p>
    <w:p w14:paraId="3D9DE0E2" w14:textId="1F1FD813" w:rsidR="00EB0321" w:rsidRPr="00886D8A" w:rsidRDefault="00EB0321" w:rsidP="004E36D3">
      <w:pPr>
        <w:pStyle w:val="ListParagraph"/>
        <w:ind w:left="1134"/>
      </w:pPr>
      <w:r w:rsidRPr="00886D8A">
        <w:rPr>
          <w:snapToGrid/>
        </w:rPr>
        <w:t xml:space="preserve">Average </w:t>
      </w:r>
      <w:r w:rsidR="001B71FB" w:rsidRPr="00886D8A">
        <w:rPr>
          <w:snapToGrid/>
        </w:rPr>
        <w:t xml:space="preserve">incremental </w:t>
      </w:r>
      <w:r w:rsidRPr="00886D8A">
        <w:rPr>
          <w:snapToGrid/>
        </w:rPr>
        <w:t xml:space="preserve">reduction of 3.50 µmol/L from baseline </w:t>
      </w:r>
      <w:r w:rsidR="007D20CD" w:rsidRPr="00886D8A">
        <w:rPr>
          <w:snapToGrid/>
        </w:rPr>
        <w:t xml:space="preserve">in </w:t>
      </w:r>
      <w:r w:rsidRPr="00886D8A">
        <w:rPr>
          <w:snapToGrid/>
        </w:rPr>
        <w:t>serum oligosaccharide levels.</w:t>
      </w:r>
    </w:p>
    <w:p w14:paraId="1DDFDB19" w14:textId="51CED0DD" w:rsidR="00EB0321" w:rsidRPr="00886D8A" w:rsidRDefault="00EB0321" w:rsidP="004E36D3">
      <w:pPr>
        <w:pStyle w:val="4-SubsectionHeading"/>
      </w:pPr>
      <w:bookmarkStart w:id="75" w:name="_Toc22897644"/>
      <w:bookmarkStart w:id="76" w:name="_Toc197460422"/>
      <w:bookmarkStart w:id="77" w:name="_Toc198645885"/>
      <w:r w:rsidRPr="00886D8A">
        <w:t>Clinical claim</w:t>
      </w:r>
      <w:bookmarkEnd w:id="75"/>
      <w:bookmarkEnd w:id="76"/>
      <w:bookmarkEnd w:id="77"/>
    </w:p>
    <w:p w14:paraId="2FE50DB3" w14:textId="77777777" w:rsidR="00EB0321" w:rsidRPr="00886D8A" w:rsidRDefault="00EB0321" w:rsidP="004E36D3">
      <w:pPr>
        <w:pStyle w:val="3-BodyText"/>
        <w:rPr>
          <w:rFonts w:eastAsia="Calibri"/>
        </w:rPr>
      </w:pPr>
      <w:bookmarkStart w:id="78" w:name="_Hlk197080210"/>
      <w:r w:rsidRPr="00886D8A">
        <w:rPr>
          <w:rFonts w:eastAsia="Calibri"/>
        </w:rPr>
        <w:t>The submission described velmanase alfa as superior in terms of effectiveness compared with BSC and inferior in terms of safety compared to BSC.</w:t>
      </w:r>
    </w:p>
    <w:p w14:paraId="014B47AD" w14:textId="107F8ED7" w:rsidR="00EB0321" w:rsidRPr="00886D8A" w:rsidRDefault="00EB0321" w:rsidP="004E36D3">
      <w:pPr>
        <w:pStyle w:val="3-BodyText"/>
        <w:rPr>
          <w:rFonts w:eastAsia="Calibri"/>
          <w:iCs/>
        </w:rPr>
      </w:pPr>
      <w:bookmarkStart w:id="79" w:name="_Ref197757401"/>
      <w:r w:rsidRPr="00886D8A">
        <w:rPr>
          <w:rFonts w:eastAsia="Calibri"/>
          <w:iCs/>
        </w:rPr>
        <w:t xml:space="preserve">The </w:t>
      </w:r>
      <w:r w:rsidR="004C7648" w:rsidRPr="00886D8A">
        <w:rPr>
          <w:rFonts w:eastAsia="Calibri"/>
          <w:iCs/>
        </w:rPr>
        <w:t>Sub</w:t>
      </w:r>
      <w:r w:rsidR="0011024A">
        <w:rPr>
          <w:rFonts w:eastAsia="Calibri"/>
          <w:iCs/>
        </w:rPr>
        <w:noBreakHyphen/>
      </w:r>
      <w:r w:rsidR="004C7648" w:rsidRPr="00886D8A">
        <w:rPr>
          <w:rFonts w:eastAsia="Calibri"/>
          <w:iCs/>
        </w:rPr>
        <w:t>Committees</w:t>
      </w:r>
      <w:r w:rsidR="00465DD9" w:rsidRPr="00886D8A">
        <w:rPr>
          <w:rFonts w:eastAsia="Calibri"/>
          <w:iCs/>
        </w:rPr>
        <w:t xml:space="preserve"> considered that the</w:t>
      </w:r>
      <w:r w:rsidRPr="00886D8A">
        <w:rPr>
          <w:rFonts w:eastAsia="Calibri"/>
          <w:iCs/>
        </w:rPr>
        <w:t xml:space="preserve"> claim of superior effectiveness to BSC was reasonably supported by the evidence presented in the submission; however, </w:t>
      </w:r>
      <w:r w:rsidR="003644E4" w:rsidRPr="00886D8A">
        <w:rPr>
          <w:rFonts w:eastAsia="Calibri"/>
          <w:iCs/>
        </w:rPr>
        <w:t xml:space="preserve">noted that </w:t>
      </w:r>
      <w:r w:rsidRPr="00886D8A">
        <w:rPr>
          <w:rFonts w:eastAsia="Calibri"/>
          <w:iCs/>
        </w:rPr>
        <w:t xml:space="preserve">the following issues </w:t>
      </w:r>
      <w:r w:rsidR="003644E4" w:rsidRPr="00886D8A">
        <w:rPr>
          <w:rFonts w:eastAsia="Calibri"/>
          <w:iCs/>
        </w:rPr>
        <w:t>should</w:t>
      </w:r>
      <w:r w:rsidRPr="00886D8A">
        <w:rPr>
          <w:rFonts w:eastAsia="Calibri"/>
          <w:iCs/>
        </w:rPr>
        <w:t xml:space="preserve"> be considered:</w:t>
      </w:r>
      <w:bookmarkEnd w:id="79"/>
    </w:p>
    <w:p w14:paraId="22E34AAB" w14:textId="637BD11B" w:rsidR="00B63F91" w:rsidRPr="00886D8A" w:rsidRDefault="550CE4DF" w:rsidP="004E36D3">
      <w:pPr>
        <w:pStyle w:val="ListParagraph"/>
        <w:ind w:left="1080"/>
        <w:rPr>
          <w:rFonts w:eastAsia="Calibri"/>
          <w:iCs/>
        </w:rPr>
      </w:pPr>
      <w:r w:rsidRPr="00886D8A">
        <w:rPr>
          <w:rFonts w:eastAsia="Calibri"/>
          <w:iCs/>
        </w:rPr>
        <w:t xml:space="preserve">The comparative evidence was </w:t>
      </w:r>
      <w:r w:rsidR="183AAE17" w:rsidRPr="00886D8A">
        <w:rPr>
          <w:rFonts w:eastAsia="Calibri"/>
          <w:iCs/>
        </w:rPr>
        <w:t>limited to</w:t>
      </w:r>
      <w:r w:rsidRPr="00886D8A">
        <w:rPr>
          <w:rFonts w:eastAsia="Calibri"/>
          <w:iCs/>
        </w:rPr>
        <w:t xml:space="preserve"> </w:t>
      </w:r>
      <w:r w:rsidR="6842A1F1" w:rsidRPr="00886D8A">
        <w:rPr>
          <w:rFonts w:eastAsia="Calibri"/>
          <w:iCs/>
        </w:rPr>
        <w:t xml:space="preserve">only </w:t>
      </w:r>
      <w:r w:rsidRPr="00886D8A">
        <w:rPr>
          <w:rFonts w:eastAsia="Calibri"/>
          <w:iCs/>
        </w:rPr>
        <w:t>one head</w:t>
      </w:r>
      <w:r w:rsidR="0011024A">
        <w:rPr>
          <w:rFonts w:eastAsia="Calibri"/>
          <w:iCs/>
        </w:rPr>
        <w:noBreakHyphen/>
      </w:r>
      <w:r w:rsidRPr="00886D8A">
        <w:rPr>
          <w:rFonts w:eastAsia="Calibri"/>
          <w:iCs/>
        </w:rPr>
        <w:t>to</w:t>
      </w:r>
      <w:r w:rsidR="0011024A">
        <w:rPr>
          <w:rFonts w:eastAsia="Calibri"/>
          <w:iCs/>
        </w:rPr>
        <w:noBreakHyphen/>
      </w:r>
      <w:r w:rsidRPr="00886D8A">
        <w:rPr>
          <w:rFonts w:eastAsia="Calibri"/>
          <w:iCs/>
        </w:rPr>
        <w:t>head RCT trial (rhLAMAN</w:t>
      </w:r>
      <w:r w:rsidR="0011024A">
        <w:rPr>
          <w:rFonts w:eastAsia="Calibri"/>
          <w:iCs/>
        </w:rPr>
        <w:noBreakHyphen/>
      </w:r>
      <w:r w:rsidRPr="00886D8A">
        <w:rPr>
          <w:rFonts w:eastAsia="Calibri"/>
          <w:iCs/>
        </w:rPr>
        <w:t>05</w:t>
      </w:r>
      <w:r w:rsidR="008A7C5A" w:rsidRPr="00886D8A">
        <w:rPr>
          <w:rFonts w:eastAsia="Calibri"/>
          <w:iCs/>
        </w:rPr>
        <w:t>, n=</w:t>
      </w:r>
      <w:r w:rsidR="0050089E" w:rsidRPr="00886D8A">
        <w:rPr>
          <w:rFonts w:eastAsia="Calibri"/>
          <w:iCs/>
        </w:rPr>
        <w:t>25</w:t>
      </w:r>
      <w:r w:rsidRPr="00886D8A">
        <w:rPr>
          <w:rFonts w:eastAsia="Calibri"/>
          <w:iCs/>
        </w:rPr>
        <w:t>)</w:t>
      </w:r>
      <w:r w:rsidR="316488C2" w:rsidRPr="00886D8A">
        <w:rPr>
          <w:rFonts w:eastAsia="Calibri"/>
          <w:iCs/>
        </w:rPr>
        <w:t xml:space="preserve">. </w:t>
      </w:r>
      <w:r w:rsidR="183AAE17" w:rsidRPr="00886D8A">
        <w:rPr>
          <w:rFonts w:eastAsia="Calibri"/>
          <w:iCs/>
        </w:rPr>
        <w:t xml:space="preserve">While </w:t>
      </w:r>
      <w:r w:rsidR="316488C2" w:rsidRPr="00886D8A">
        <w:rPr>
          <w:rFonts w:eastAsia="Calibri"/>
          <w:iCs/>
        </w:rPr>
        <w:t xml:space="preserve">there was a </w:t>
      </w:r>
      <w:r w:rsidRPr="00886D8A">
        <w:rPr>
          <w:rFonts w:eastAsia="Calibri"/>
          <w:iCs/>
        </w:rPr>
        <w:t>statistically significant improvement in serum oligosaccharides</w:t>
      </w:r>
      <w:r w:rsidR="316488C2" w:rsidRPr="00886D8A">
        <w:rPr>
          <w:rFonts w:eastAsia="Calibri"/>
          <w:iCs/>
        </w:rPr>
        <w:t xml:space="preserve"> level</w:t>
      </w:r>
      <w:r w:rsidR="183AAE17" w:rsidRPr="00886D8A">
        <w:rPr>
          <w:rFonts w:eastAsia="Calibri"/>
          <w:iCs/>
        </w:rPr>
        <w:t>s</w:t>
      </w:r>
      <w:r w:rsidR="316488C2" w:rsidRPr="00886D8A">
        <w:rPr>
          <w:rFonts w:eastAsia="Calibri"/>
          <w:iCs/>
        </w:rPr>
        <w:t xml:space="preserve">, </w:t>
      </w:r>
      <w:r w:rsidRPr="00886D8A">
        <w:rPr>
          <w:rFonts w:eastAsia="Calibri"/>
          <w:iCs/>
        </w:rPr>
        <w:t>functional outcomes</w:t>
      </w:r>
      <w:r w:rsidR="316488C2" w:rsidRPr="00886D8A">
        <w:rPr>
          <w:rFonts w:eastAsia="Calibri"/>
          <w:iCs/>
        </w:rPr>
        <w:t xml:space="preserve"> (3MSCT, 6MWT, and FVC [% predicted])</w:t>
      </w:r>
      <w:r w:rsidR="23342905" w:rsidRPr="00886D8A">
        <w:rPr>
          <w:rFonts w:eastAsia="Calibri"/>
          <w:iCs/>
        </w:rPr>
        <w:t xml:space="preserve"> improved only numerically</w:t>
      </w:r>
      <w:r w:rsidRPr="00886D8A">
        <w:rPr>
          <w:rFonts w:eastAsia="Calibri"/>
          <w:iCs/>
        </w:rPr>
        <w:t xml:space="preserve">, </w:t>
      </w:r>
      <w:r w:rsidR="23342905" w:rsidRPr="00886D8A">
        <w:rPr>
          <w:rFonts w:eastAsia="Calibri"/>
          <w:iCs/>
        </w:rPr>
        <w:t>a</w:t>
      </w:r>
      <w:r w:rsidR="4C1C6F08" w:rsidRPr="00886D8A">
        <w:rPr>
          <w:rFonts w:eastAsia="Calibri"/>
          <w:iCs/>
        </w:rPr>
        <w:t>n</w:t>
      </w:r>
      <w:r w:rsidR="23342905" w:rsidRPr="00886D8A">
        <w:rPr>
          <w:rFonts w:eastAsia="Calibri"/>
          <w:iCs/>
        </w:rPr>
        <w:t xml:space="preserve">d </w:t>
      </w:r>
      <w:r w:rsidR="05861C8F" w:rsidRPr="00886D8A">
        <w:rPr>
          <w:rFonts w:eastAsia="Calibri"/>
          <w:iCs/>
        </w:rPr>
        <w:t>HR</w:t>
      </w:r>
      <w:r w:rsidR="23342905" w:rsidRPr="00886D8A">
        <w:rPr>
          <w:rFonts w:eastAsia="Calibri"/>
          <w:iCs/>
        </w:rPr>
        <w:t>QoL outcomes (CHAQ and EQ</w:t>
      </w:r>
      <w:r w:rsidR="0011024A">
        <w:rPr>
          <w:rFonts w:eastAsia="Calibri"/>
          <w:iCs/>
        </w:rPr>
        <w:noBreakHyphen/>
      </w:r>
      <w:r w:rsidR="23342905" w:rsidRPr="00886D8A">
        <w:rPr>
          <w:rFonts w:eastAsia="Calibri"/>
          <w:iCs/>
        </w:rPr>
        <w:t>5D</w:t>
      </w:r>
      <w:r w:rsidR="0011024A">
        <w:rPr>
          <w:rFonts w:eastAsia="Calibri"/>
          <w:iCs/>
        </w:rPr>
        <w:noBreakHyphen/>
      </w:r>
      <w:r w:rsidR="23342905" w:rsidRPr="00886D8A">
        <w:rPr>
          <w:rFonts w:eastAsia="Calibri"/>
          <w:iCs/>
        </w:rPr>
        <w:t xml:space="preserve">5L) showed </w:t>
      </w:r>
      <w:r w:rsidRPr="00886D8A">
        <w:rPr>
          <w:rFonts w:eastAsia="Calibri"/>
          <w:iCs/>
        </w:rPr>
        <w:t xml:space="preserve">minimal </w:t>
      </w:r>
      <w:r w:rsidR="23342905" w:rsidRPr="00886D8A">
        <w:rPr>
          <w:rFonts w:eastAsia="Calibri"/>
          <w:iCs/>
        </w:rPr>
        <w:t xml:space="preserve">change. </w:t>
      </w:r>
    </w:p>
    <w:p w14:paraId="0CCEDAC9" w14:textId="2700BE6F" w:rsidR="00243176" w:rsidRPr="00886D8A" w:rsidRDefault="00507752" w:rsidP="004E36D3">
      <w:pPr>
        <w:pStyle w:val="ListParagraph"/>
        <w:ind w:left="1080"/>
        <w:rPr>
          <w:rFonts w:eastAsia="Calibri"/>
          <w:iCs/>
        </w:rPr>
      </w:pPr>
      <w:r w:rsidRPr="00886D8A">
        <w:rPr>
          <w:rFonts w:eastAsia="Calibri"/>
          <w:iCs/>
        </w:rPr>
        <w:t>MCID</w:t>
      </w:r>
      <w:r w:rsidR="00083A12" w:rsidRPr="00886D8A">
        <w:rPr>
          <w:rFonts w:eastAsia="Calibri"/>
          <w:iCs/>
        </w:rPr>
        <w:t xml:space="preserve"> threshold</w:t>
      </w:r>
      <w:r w:rsidR="004F2F58" w:rsidRPr="00886D8A">
        <w:rPr>
          <w:rFonts w:eastAsia="Calibri"/>
          <w:iCs/>
        </w:rPr>
        <w:t>s</w:t>
      </w:r>
      <w:r w:rsidR="00083A12" w:rsidRPr="00886D8A">
        <w:rPr>
          <w:rFonts w:eastAsia="Calibri"/>
          <w:iCs/>
        </w:rPr>
        <w:t xml:space="preserve"> have not previously </w:t>
      </w:r>
      <w:r w:rsidR="00A836C8" w:rsidRPr="00886D8A">
        <w:rPr>
          <w:rFonts w:eastAsia="Calibri"/>
          <w:iCs/>
        </w:rPr>
        <w:t xml:space="preserve">been </w:t>
      </w:r>
      <w:r w:rsidR="00DB3FEF" w:rsidRPr="00886D8A">
        <w:rPr>
          <w:rFonts w:eastAsia="Calibri"/>
          <w:iCs/>
        </w:rPr>
        <w:t>defined</w:t>
      </w:r>
      <w:r w:rsidRPr="00886D8A">
        <w:rPr>
          <w:rFonts w:eastAsia="Calibri"/>
          <w:iCs/>
        </w:rPr>
        <w:t xml:space="preserve"> for AM</w:t>
      </w:r>
      <w:r w:rsidR="003C6615" w:rsidRPr="00886D8A">
        <w:rPr>
          <w:rFonts w:eastAsia="Calibri"/>
          <w:iCs/>
        </w:rPr>
        <w:t xml:space="preserve">. </w:t>
      </w:r>
      <w:r w:rsidR="003C6615" w:rsidRPr="00886D8A">
        <w:rPr>
          <w:rFonts w:eastAsia="Calibri"/>
          <w:i/>
        </w:rPr>
        <w:t>Post hoc</w:t>
      </w:r>
      <w:r w:rsidR="003C6615" w:rsidRPr="00886D8A">
        <w:rPr>
          <w:rFonts w:eastAsia="Calibri"/>
          <w:iCs/>
        </w:rPr>
        <w:t xml:space="preserve"> threshold</w:t>
      </w:r>
      <w:r w:rsidR="004F2F58" w:rsidRPr="00886D8A">
        <w:rPr>
          <w:rFonts w:eastAsia="Calibri"/>
          <w:iCs/>
        </w:rPr>
        <w:t>s</w:t>
      </w:r>
      <w:r w:rsidR="003C6615" w:rsidRPr="00886D8A">
        <w:rPr>
          <w:rFonts w:eastAsia="Calibri"/>
          <w:iCs/>
        </w:rPr>
        <w:t xml:space="preserve"> based on </w:t>
      </w:r>
      <w:r w:rsidR="00A87D55" w:rsidRPr="00886D8A">
        <w:rPr>
          <w:rFonts w:eastAsia="Calibri"/>
          <w:iCs/>
        </w:rPr>
        <w:t>other disease</w:t>
      </w:r>
      <w:r w:rsidR="00864C5B" w:rsidRPr="00886D8A">
        <w:rPr>
          <w:rFonts w:eastAsia="Calibri"/>
          <w:iCs/>
        </w:rPr>
        <w:t>s</w:t>
      </w:r>
      <w:r w:rsidR="003C6615" w:rsidRPr="00886D8A">
        <w:rPr>
          <w:rFonts w:eastAsia="Calibri"/>
          <w:iCs/>
        </w:rPr>
        <w:t xml:space="preserve"> were applied to outcomes</w:t>
      </w:r>
      <w:r w:rsidR="00A87D55" w:rsidRPr="00886D8A">
        <w:rPr>
          <w:rFonts w:eastAsia="Calibri"/>
          <w:iCs/>
        </w:rPr>
        <w:t xml:space="preserve">, </w:t>
      </w:r>
      <w:r w:rsidR="00243176" w:rsidRPr="00886D8A">
        <w:rPr>
          <w:rFonts w:eastAsia="Calibri"/>
          <w:iCs/>
        </w:rPr>
        <w:t>limiting</w:t>
      </w:r>
      <w:r w:rsidR="003C6615" w:rsidRPr="00886D8A">
        <w:rPr>
          <w:rFonts w:eastAsia="Calibri"/>
          <w:iCs/>
        </w:rPr>
        <w:t xml:space="preserve"> applicability as </w:t>
      </w:r>
      <w:r w:rsidR="001A0DE8" w:rsidRPr="00886D8A">
        <w:rPr>
          <w:rFonts w:eastAsia="Calibri"/>
          <w:iCs/>
        </w:rPr>
        <w:t xml:space="preserve">described </w:t>
      </w:r>
      <w:r w:rsidR="00A87D55" w:rsidRPr="00886D8A">
        <w:rPr>
          <w:rFonts w:eastAsia="Calibri"/>
          <w:iCs/>
        </w:rPr>
        <w:t xml:space="preserve">in </w:t>
      </w:r>
      <w:r w:rsidR="00A87D55" w:rsidRPr="00886D8A">
        <w:rPr>
          <w:rFonts w:eastAsia="Calibri"/>
          <w:iCs/>
        </w:rPr>
        <w:fldChar w:fldCharType="begin"/>
      </w:r>
      <w:r w:rsidR="00A87D55" w:rsidRPr="00886D8A">
        <w:rPr>
          <w:rFonts w:eastAsia="Calibri"/>
          <w:iCs/>
        </w:rPr>
        <w:instrText xml:space="preserve"> REF _Ref197503721 \h </w:instrText>
      </w:r>
      <w:r w:rsidR="002A01AA" w:rsidRPr="00886D8A">
        <w:rPr>
          <w:rFonts w:eastAsia="Calibri"/>
          <w:iCs/>
        </w:rPr>
        <w:instrText xml:space="preserve"> \* MERGEFORMAT </w:instrText>
      </w:r>
      <w:r w:rsidR="00A87D55" w:rsidRPr="00886D8A">
        <w:rPr>
          <w:rFonts w:eastAsia="Calibri"/>
          <w:iCs/>
        </w:rPr>
      </w:r>
      <w:r w:rsidR="00A87D55" w:rsidRPr="00886D8A">
        <w:rPr>
          <w:rFonts w:eastAsia="Calibri"/>
          <w:iCs/>
        </w:rPr>
        <w:fldChar w:fldCharType="separate"/>
      </w:r>
      <w:r w:rsidR="00B73A9E" w:rsidRPr="00B73A9E">
        <w:rPr>
          <w:iCs/>
        </w:rPr>
        <w:t>Table 5</w:t>
      </w:r>
      <w:r w:rsidR="00A87D55" w:rsidRPr="00886D8A">
        <w:rPr>
          <w:rFonts w:eastAsia="Calibri"/>
          <w:iCs/>
        </w:rPr>
        <w:fldChar w:fldCharType="end"/>
      </w:r>
      <w:r w:rsidR="00A87D55" w:rsidRPr="00886D8A">
        <w:rPr>
          <w:rFonts w:eastAsia="Calibri"/>
          <w:iCs/>
        </w:rPr>
        <w:t>.</w:t>
      </w:r>
      <w:r w:rsidR="00DB1323" w:rsidRPr="00886D8A">
        <w:rPr>
          <w:rFonts w:eastAsia="Calibri"/>
          <w:iCs/>
        </w:rPr>
        <w:t xml:space="preserve"> </w:t>
      </w:r>
      <w:r w:rsidR="001761AF" w:rsidRPr="00886D8A">
        <w:rPr>
          <w:rFonts w:eastAsia="Calibri"/>
          <w:iCs/>
        </w:rPr>
        <w:t>Further, the Subcommittees noted that t</w:t>
      </w:r>
      <w:r w:rsidR="00DB1323" w:rsidRPr="00886D8A">
        <w:rPr>
          <w:rFonts w:eastAsia="Calibri"/>
          <w:iCs/>
        </w:rPr>
        <w:t xml:space="preserve">he nominated </w:t>
      </w:r>
      <w:r w:rsidR="000C628D" w:rsidRPr="00886D8A">
        <w:rPr>
          <w:rFonts w:eastAsia="Calibri"/>
          <w:iCs/>
        </w:rPr>
        <w:t xml:space="preserve">threshold for serum oligosaccharides was based on </w:t>
      </w:r>
      <w:r w:rsidR="0011748F" w:rsidRPr="00886D8A">
        <w:rPr>
          <w:rFonts w:eastAsia="Calibri"/>
          <w:iCs/>
        </w:rPr>
        <w:t xml:space="preserve">a </w:t>
      </w:r>
      <w:r w:rsidR="000C628D" w:rsidRPr="00886D8A">
        <w:rPr>
          <w:rFonts w:eastAsia="Calibri"/>
          <w:iCs/>
        </w:rPr>
        <w:t xml:space="preserve">baseline measure in the </w:t>
      </w:r>
      <w:r w:rsidR="0011748F" w:rsidRPr="00886D8A">
        <w:rPr>
          <w:rFonts w:eastAsia="Calibri"/>
          <w:iCs/>
        </w:rPr>
        <w:t>rh</w:t>
      </w:r>
      <w:r w:rsidR="0011024A">
        <w:rPr>
          <w:rFonts w:eastAsia="Calibri"/>
          <w:iCs/>
        </w:rPr>
        <w:noBreakHyphen/>
      </w:r>
      <w:r w:rsidR="0011748F" w:rsidRPr="00886D8A">
        <w:rPr>
          <w:rFonts w:eastAsia="Calibri"/>
          <w:iCs/>
        </w:rPr>
        <w:t>LAMAN</w:t>
      </w:r>
      <w:r w:rsidR="0011024A">
        <w:rPr>
          <w:rFonts w:eastAsia="Calibri"/>
          <w:iCs/>
        </w:rPr>
        <w:noBreakHyphen/>
      </w:r>
      <w:r w:rsidR="0011748F" w:rsidRPr="00886D8A">
        <w:rPr>
          <w:rFonts w:eastAsia="Calibri"/>
          <w:iCs/>
        </w:rPr>
        <w:t>05 trial</w:t>
      </w:r>
      <w:r w:rsidR="001761AF" w:rsidRPr="00886D8A">
        <w:rPr>
          <w:rFonts w:eastAsia="Calibri"/>
          <w:iCs/>
        </w:rPr>
        <w:t>.</w:t>
      </w:r>
      <w:r w:rsidR="001924E6" w:rsidRPr="00886D8A">
        <w:rPr>
          <w:rFonts w:eastAsia="Calibri"/>
          <w:iCs/>
        </w:rPr>
        <w:t xml:space="preserve"> The Pre</w:t>
      </w:r>
      <w:r w:rsidR="0011024A">
        <w:rPr>
          <w:rFonts w:eastAsia="Calibri"/>
          <w:iCs/>
        </w:rPr>
        <w:noBreakHyphen/>
      </w:r>
      <w:r w:rsidR="001924E6" w:rsidRPr="00886D8A">
        <w:rPr>
          <w:rFonts w:eastAsia="Calibri"/>
          <w:iCs/>
        </w:rPr>
        <w:t xml:space="preserve">PBAC Response </w:t>
      </w:r>
      <w:r w:rsidR="0026274B" w:rsidRPr="00886D8A">
        <w:rPr>
          <w:rFonts w:eastAsia="Calibri"/>
          <w:iCs/>
        </w:rPr>
        <w:t>stated</w:t>
      </w:r>
      <w:r w:rsidR="00B73F0B" w:rsidRPr="00886D8A">
        <w:rPr>
          <w:rFonts w:eastAsia="Calibri"/>
          <w:iCs/>
        </w:rPr>
        <w:t xml:space="preserve"> that as an ultra</w:t>
      </w:r>
      <w:r w:rsidR="0011024A">
        <w:rPr>
          <w:rFonts w:eastAsia="Calibri"/>
          <w:iCs/>
        </w:rPr>
        <w:noBreakHyphen/>
      </w:r>
      <w:r w:rsidR="00B73F0B" w:rsidRPr="00886D8A">
        <w:rPr>
          <w:rFonts w:eastAsia="Calibri"/>
          <w:iCs/>
        </w:rPr>
        <w:t>rare disease, the available population limits trial size and statistical power making anchor</w:t>
      </w:r>
      <w:r w:rsidR="0011024A">
        <w:rPr>
          <w:rFonts w:eastAsia="Calibri"/>
          <w:iCs/>
        </w:rPr>
        <w:noBreakHyphen/>
      </w:r>
      <w:r w:rsidR="00B73F0B" w:rsidRPr="00886D8A">
        <w:rPr>
          <w:rFonts w:eastAsia="Calibri"/>
          <w:iCs/>
        </w:rPr>
        <w:t xml:space="preserve">based </w:t>
      </w:r>
      <w:r w:rsidR="00544281" w:rsidRPr="00886D8A">
        <w:rPr>
          <w:rFonts w:eastAsia="Calibri"/>
          <w:iCs/>
        </w:rPr>
        <w:t>MCID analyses infeasible due to a lack of data</w:t>
      </w:r>
      <w:r w:rsidR="00243913" w:rsidRPr="00886D8A">
        <w:rPr>
          <w:rFonts w:eastAsia="Calibri"/>
          <w:iCs/>
        </w:rPr>
        <w:t>. The Pre</w:t>
      </w:r>
      <w:r w:rsidR="0011024A">
        <w:rPr>
          <w:rFonts w:eastAsia="Calibri"/>
          <w:iCs/>
        </w:rPr>
        <w:noBreakHyphen/>
      </w:r>
      <w:r w:rsidR="00243913" w:rsidRPr="00886D8A">
        <w:rPr>
          <w:rFonts w:eastAsia="Calibri"/>
          <w:iCs/>
        </w:rPr>
        <w:t>PBAC response</w:t>
      </w:r>
      <w:r w:rsidR="005F1011" w:rsidRPr="00886D8A">
        <w:rPr>
          <w:rFonts w:eastAsia="Calibri"/>
          <w:iCs/>
        </w:rPr>
        <w:t xml:space="preserve"> reiterated the MCIDs were derived using baseline data from the rhLAMAN</w:t>
      </w:r>
      <w:r w:rsidR="0011024A">
        <w:rPr>
          <w:rFonts w:eastAsia="Calibri"/>
          <w:iCs/>
        </w:rPr>
        <w:noBreakHyphen/>
      </w:r>
      <w:r w:rsidR="005F1011" w:rsidRPr="00886D8A">
        <w:rPr>
          <w:rFonts w:eastAsia="Calibri"/>
          <w:iCs/>
        </w:rPr>
        <w:t xml:space="preserve">05 trial. </w:t>
      </w:r>
    </w:p>
    <w:p w14:paraId="7EF29575" w14:textId="673BC8CF" w:rsidR="00C3725A" w:rsidRPr="00886D8A" w:rsidRDefault="00F23715" w:rsidP="004E36D3">
      <w:pPr>
        <w:pStyle w:val="ListParagraph"/>
        <w:ind w:left="1080"/>
        <w:rPr>
          <w:rFonts w:eastAsia="Calibri"/>
          <w:iCs/>
        </w:rPr>
      </w:pPr>
      <w:r w:rsidRPr="00886D8A">
        <w:rPr>
          <w:rFonts w:eastAsia="Calibri"/>
          <w:iCs/>
        </w:rPr>
        <w:t xml:space="preserve">There was an imbalance </w:t>
      </w:r>
      <w:r w:rsidR="00987A08" w:rsidRPr="00886D8A">
        <w:rPr>
          <w:rFonts w:eastAsia="Calibri"/>
          <w:iCs/>
        </w:rPr>
        <w:t xml:space="preserve">at baseline </w:t>
      </w:r>
      <w:r w:rsidRPr="00886D8A">
        <w:rPr>
          <w:rFonts w:eastAsia="Calibri"/>
          <w:iCs/>
        </w:rPr>
        <w:t xml:space="preserve">between the arms in terms of </w:t>
      </w:r>
      <w:r w:rsidR="00964707" w:rsidRPr="00886D8A">
        <w:rPr>
          <w:rFonts w:eastAsia="Calibri"/>
          <w:iCs/>
        </w:rPr>
        <w:t>3MSCT, 6MWT, FVC</w:t>
      </w:r>
      <w:r w:rsidR="00794CDA" w:rsidRPr="00886D8A">
        <w:rPr>
          <w:rFonts w:eastAsia="Calibri"/>
          <w:iCs/>
        </w:rPr>
        <w:t xml:space="preserve"> (% </w:t>
      </w:r>
      <w:r w:rsidR="009B238B" w:rsidRPr="00886D8A">
        <w:rPr>
          <w:rFonts w:eastAsia="Calibri"/>
          <w:iCs/>
        </w:rPr>
        <w:t>predicted)</w:t>
      </w:r>
      <w:r w:rsidR="00987A08" w:rsidRPr="00886D8A">
        <w:rPr>
          <w:rFonts w:eastAsia="Calibri"/>
          <w:iCs/>
        </w:rPr>
        <w:t xml:space="preserve"> and</w:t>
      </w:r>
      <w:r w:rsidR="00964707" w:rsidRPr="00886D8A">
        <w:rPr>
          <w:rFonts w:eastAsia="Calibri"/>
          <w:iCs/>
        </w:rPr>
        <w:t xml:space="preserve"> CHAQ</w:t>
      </w:r>
      <w:r w:rsidR="0011024A">
        <w:rPr>
          <w:rFonts w:eastAsia="Calibri"/>
          <w:iCs/>
        </w:rPr>
        <w:noBreakHyphen/>
      </w:r>
      <w:r w:rsidR="00964707" w:rsidRPr="00886D8A">
        <w:rPr>
          <w:rFonts w:eastAsia="Calibri"/>
          <w:iCs/>
        </w:rPr>
        <w:t>DI score, with</w:t>
      </w:r>
      <w:r w:rsidR="009B238B" w:rsidRPr="00886D8A">
        <w:rPr>
          <w:rFonts w:eastAsia="Calibri"/>
          <w:iCs/>
        </w:rPr>
        <w:t xml:space="preserve"> </w:t>
      </w:r>
      <w:r w:rsidR="00964707" w:rsidRPr="00886D8A">
        <w:rPr>
          <w:rFonts w:eastAsia="Calibri"/>
          <w:iCs/>
        </w:rPr>
        <w:t xml:space="preserve">more compromised patients randomised to the velmanase alfa arm. </w:t>
      </w:r>
      <w:r w:rsidR="009B238B" w:rsidRPr="00886D8A">
        <w:rPr>
          <w:rFonts w:eastAsia="Calibri"/>
          <w:iCs/>
        </w:rPr>
        <w:t>T</w:t>
      </w:r>
      <w:r w:rsidR="00B9534A" w:rsidRPr="00886D8A">
        <w:rPr>
          <w:rFonts w:eastAsia="Calibri"/>
          <w:iCs/>
        </w:rPr>
        <w:t xml:space="preserve">he direction of bias </w:t>
      </w:r>
      <w:r w:rsidR="00C25C3D" w:rsidRPr="00886D8A">
        <w:rPr>
          <w:rFonts w:eastAsia="Calibri"/>
          <w:iCs/>
        </w:rPr>
        <w:t xml:space="preserve">was </w:t>
      </w:r>
      <w:r w:rsidR="00B9534A" w:rsidRPr="00886D8A">
        <w:rPr>
          <w:rFonts w:eastAsia="Calibri"/>
          <w:iCs/>
        </w:rPr>
        <w:t xml:space="preserve">unclear, </w:t>
      </w:r>
      <w:r w:rsidR="009B238B" w:rsidRPr="00886D8A">
        <w:rPr>
          <w:rFonts w:eastAsia="Calibri"/>
          <w:iCs/>
        </w:rPr>
        <w:t>as these</w:t>
      </w:r>
      <w:r w:rsidR="00E132AC" w:rsidRPr="00886D8A">
        <w:rPr>
          <w:rFonts w:eastAsia="Calibri"/>
          <w:iCs/>
        </w:rPr>
        <w:t xml:space="preserve"> patients may have greater potential for improvement, or may </w:t>
      </w:r>
      <w:r w:rsidR="00D44169" w:rsidRPr="00886D8A">
        <w:rPr>
          <w:rFonts w:eastAsia="Calibri"/>
          <w:iCs/>
        </w:rPr>
        <w:t xml:space="preserve">have </w:t>
      </w:r>
      <w:r w:rsidR="00E132AC" w:rsidRPr="00886D8A">
        <w:rPr>
          <w:rFonts w:eastAsia="Calibri"/>
          <w:iCs/>
        </w:rPr>
        <w:t>experience</w:t>
      </w:r>
      <w:r w:rsidR="00D44169" w:rsidRPr="00886D8A">
        <w:rPr>
          <w:rFonts w:eastAsia="Calibri"/>
          <w:iCs/>
        </w:rPr>
        <w:t>d</w:t>
      </w:r>
      <w:r w:rsidR="00E132AC" w:rsidRPr="00886D8A">
        <w:rPr>
          <w:rFonts w:eastAsia="Calibri"/>
          <w:iCs/>
        </w:rPr>
        <w:t xml:space="preserve"> </w:t>
      </w:r>
      <w:r w:rsidR="00987A08" w:rsidRPr="00886D8A">
        <w:rPr>
          <w:rFonts w:eastAsia="Calibri"/>
          <w:iCs/>
        </w:rPr>
        <w:t xml:space="preserve">increased </w:t>
      </w:r>
      <w:r w:rsidR="00E132AC" w:rsidRPr="00886D8A">
        <w:rPr>
          <w:rFonts w:eastAsia="Calibri"/>
          <w:iCs/>
        </w:rPr>
        <w:t xml:space="preserve">irreversible </w:t>
      </w:r>
      <w:r w:rsidR="009B238B" w:rsidRPr="00886D8A">
        <w:rPr>
          <w:rFonts w:eastAsia="Calibri"/>
          <w:iCs/>
        </w:rPr>
        <w:t>decline</w:t>
      </w:r>
      <w:r w:rsidR="00C3725A" w:rsidRPr="00886D8A">
        <w:rPr>
          <w:rFonts w:eastAsia="Calibri"/>
          <w:iCs/>
        </w:rPr>
        <w:t>.</w:t>
      </w:r>
      <w:r w:rsidR="00D75B9A" w:rsidRPr="00886D8A">
        <w:rPr>
          <w:rFonts w:eastAsia="Calibri"/>
          <w:iCs/>
        </w:rPr>
        <w:t xml:space="preserve"> The PSCR </w:t>
      </w:r>
      <w:r w:rsidR="00C55564" w:rsidRPr="00886D8A">
        <w:rPr>
          <w:rFonts w:eastAsia="Calibri"/>
          <w:iCs/>
        </w:rPr>
        <w:t xml:space="preserve">agreed that the </w:t>
      </w:r>
      <w:r w:rsidR="00397A4C" w:rsidRPr="00886D8A">
        <w:rPr>
          <w:rFonts w:eastAsia="Calibri"/>
          <w:iCs/>
        </w:rPr>
        <w:t xml:space="preserve">potential direction of the bias </w:t>
      </w:r>
      <w:r w:rsidR="00C25C3D" w:rsidRPr="00886D8A">
        <w:rPr>
          <w:rFonts w:eastAsia="Calibri"/>
          <w:iCs/>
        </w:rPr>
        <w:t>was</w:t>
      </w:r>
      <w:r w:rsidR="00397A4C" w:rsidRPr="00886D8A">
        <w:rPr>
          <w:rFonts w:eastAsia="Calibri"/>
          <w:iCs/>
        </w:rPr>
        <w:t xml:space="preserve"> difficult to quantify but</w:t>
      </w:r>
      <w:r w:rsidR="007D34BB" w:rsidRPr="00886D8A">
        <w:rPr>
          <w:rFonts w:eastAsia="Calibri"/>
          <w:iCs/>
        </w:rPr>
        <w:t>, noting</w:t>
      </w:r>
      <w:r w:rsidR="00397A4C" w:rsidRPr="00886D8A">
        <w:rPr>
          <w:rFonts w:eastAsia="Calibri"/>
          <w:iCs/>
        </w:rPr>
        <w:t xml:space="preserve"> </w:t>
      </w:r>
      <w:r w:rsidR="003A6EBA" w:rsidRPr="00886D8A">
        <w:rPr>
          <w:rFonts w:eastAsia="Calibri"/>
          <w:iCs/>
        </w:rPr>
        <w:t>the progressive and irreversible nature of AM, patients with advanced or more severe disease accumulate damage that limits their capacity for improvement. As a result, it is unlikely that patients with more severe disease would experience greater benefits from treatment compared to those with milder forms of the condition.</w:t>
      </w:r>
    </w:p>
    <w:p w14:paraId="6860168E" w14:textId="4E22C54A" w:rsidR="00B60939" w:rsidRPr="00886D8A" w:rsidRDefault="00EB0321" w:rsidP="004E36D3">
      <w:pPr>
        <w:pStyle w:val="3-BodyText"/>
        <w:rPr>
          <w:rFonts w:eastAsia="Calibri"/>
          <w:iCs/>
        </w:rPr>
      </w:pPr>
      <w:r w:rsidRPr="00886D8A">
        <w:rPr>
          <w:rFonts w:eastAsia="Calibri"/>
          <w:iCs/>
        </w:rPr>
        <w:t xml:space="preserve">The </w:t>
      </w:r>
      <w:r w:rsidR="004C7648" w:rsidRPr="00886D8A">
        <w:rPr>
          <w:rFonts w:eastAsia="Calibri"/>
          <w:iCs/>
        </w:rPr>
        <w:t>Sub</w:t>
      </w:r>
      <w:r w:rsidR="0011024A">
        <w:rPr>
          <w:rFonts w:eastAsia="Calibri"/>
          <w:iCs/>
        </w:rPr>
        <w:noBreakHyphen/>
      </w:r>
      <w:r w:rsidR="004C7648" w:rsidRPr="00886D8A">
        <w:rPr>
          <w:rFonts w:eastAsia="Calibri"/>
          <w:iCs/>
        </w:rPr>
        <w:t xml:space="preserve">Committees </w:t>
      </w:r>
      <w:r w:rsidR="003F6E15" w:rsidRPr="00886D8A">
        <w:rPr>
          <w:rFonts w:eastAsia="Calibri"/>
          <w:iCs/>
        </w:rPr>
        <w:t>considered that the</w:t>
      </w:r>
      <w:r w:rsidRPr="00886D8A">
        <w:rPr>
          <w:rFonts w:eastAsia="Calibri"/>
          <w:iCs/>
        </w:rPr>
        <w:t xml:space="preserve"> claim of inferior safety to BSC was reasonable and adequately supported by the data.</w:t>
      </w:r>
      <w:r w:rsidR="00A961F5">
        <w:rPr>
          <w:rFonts w:eastAsia="Calibri"/>
          <w:iCs/>
        </w:rPr>
        <w:t xml:space="preserve"> </w:t>
      </w:r>
      <w:bookmarkEnd w:id="78"/>
    </w:p>
    <w:p w14:paraId="03324A59" w14:textId="0396C116" w:rsidR="00234933" w:rsidRPr="00886D8A" w:rsidRDefault="00234933" w:rsidP="00CD7617">
      <w:pPr>
        <w:numPr>
          <w:ilvl w:val="1"/>
          <w:numId w:val="1"/>
        </w:numPr>
        <w:spacing w:after="120"/>
        <w:rPr>
          <w:rFonts w:asciiTheme="minorHAnsi" w:hAnsiTheme="minorHAnsi"/>
          <w:snapToGrid w:val="0"/>
          <w:szCs w:val="20"/>
        </w:rPr>
      </w:pPr>
      <w:bookmarkStart w:id="80" w:name="_Hlk76376200"/>
      <w:r w:rsidRPr="00886D8A">
        <w:rPr>
          <w:rFonts w:asciiTheme="minorHAnsi" w:hAnsiTheme="minorHAnsi"/>
          <w:iCs/>
          <w:snapToGrid w:val="0"/>
        </w:rPr>
        <w:t>The</w:t>
      </w:r>
      <w:r w:rsidRPr="00886D8A">
        <w:rPr>
          <w:rFonts w:asciiTheme="minorHAnsi" w:hAnsiTheme="minorHAnsi"/>
          <w:snapToGrid w:val="0"/>
          <w:szCs w:val="20"/>
        </w:rPr>
        <w:t xml:space="preserve"> PBAC considered that the claim of superior comparative effectiveness</w:t>
      </w:r>
      <w:r w:rsidR="0028028D" w:rsidRPr="00886D8A">
        <w:rPr>
          <w:rFonts w:asciiTheme="minorHAnsi" w:hAnsiTheme="minorHAnsi"/>
          <w:snapToGrid w:val="0"/>
          <w:szCs w:val="20"/>
        </w:rPr>
        <w:t>,</w:t>
      </w:r>
      <w:r w:rsidR="003B0479" w:rsidRPr="00886D8A">
        <w:rPr>
          <w:rFonts w:asciiTheme="minorHAnsi" w:hAnsiTheme="minorHAnsi"/>
          <w:snapToGrid w:val="0"/>
          <w:szCs w:val="20"/>
        </w:rPr>
        <w:t xml:space="preserve"> </w:t>
      </w:r>
      <w:r w:rsidR="00F17A52" w:rsidRPr="00886D8A">
        <w:rPr>
          <w:rFonts w:asciiTheme="minorHAnsi" w:hAnsiTheme="minorHAnsi"/>
          <w:snapToGrid w:val="0"/>
          <w:szCs w:val="20"/>
        </w:rPr>
        <w:t>in</w:t>
      </w:r>
      <w:r w:rsidR="00B846D8" w:rsidRPr="00886D8A">
        <w:rPr>
          <w:rFonts w:asciiTheme="minorHAnsi" w:hAnsiTheme="minorHAnsi"/>
          <w:snapToGrid w:val="0"/>
          <w:szCs w:val="20"/>
        </w:rPr>
        <w:t xml:space="preserve"> terms of biochemical effectiveness,</w:t>
      </w:r>
      <w:r w:rsidRPr="00886D8A">
        <w:rPr>
          <w:rFonts w:asciiTheme="minorHAnsi" w:hAnsiTheme="minorHAnsi"/>
          <w:snapToGrid w:val="0"/>
          <w:szCs w:val="20"/>
        </w:rPr>
        <w:t xml:space="preserve"> was reasonable</w:t>
      </w:r>
      <w:r w:rsidR="00B846D8" w:rsidRPr="00886D8A">
        <w:rPr>
          <w:rFonts w:asciiTheme="minorHAnsi" w:hAnsiTheme="minorHAnsi"/>
          <w:snapToGrid w:val="0"/>
          <w:szCs w:val="20"/>
        </w:rPr>
        <w:t xml:space="preserve">. </w:t>
      </w:r>
      <w:r w:rsidR="00B25B91" w:rsidRPr="00886D8A">
        <w:rPr>
          <w:rFonts w:asciiTheme="minorHAnsi" w:hAnsiTheme="minorHAnsi"/>
          <w:snapToGrid w:val="0"/>
          <w:szCs w:val="20"/>
        </w:rPr>
        <w:t xml:space="preserve">However, the PBAC </w:t>
      </w:r>
      <w:r w:rsidR="00F11C75" w:rsidRPr="00886D8A">
        <w:rPr>
          <w:rFonts w:asciiTheme="minorHAnsi" w:hAnsiTheme="minorHAnsi"/>
          <w:snapToGrid w:val="0"/>
          <w:szCs w:val="20"/>
        </w:rPr>
        <w:t>considered the nature and magnitude of clinical benefit was uncertain based on the available data.</w:t>
      </w:r>
      <w:r w:rsidR="00A961F5">
        <w:rPr>
          <w:rFonts w:asciiTheme="minorHAnsi" w:hAnsiTheme="minorHAnsi"/>
          <w:snapToGrid w:val="0"/>
          <w:szCs w:val="20"/>
        </w:rPr>
        <w:t xml:space="preserve"> </w:t>
      </w:r>
    </w:p>
    <w:p w14:paraId="5E0EB877" w14:textId="3794BC7B" w:rsidR="00234933" w:rsidRPr="00886D8A" w:rsidRDefault="00234933" w:rsidP="00CD7617">
      <w:pPr>
        <w:numPr>
          <w:ilvl w:val="1"/>
          <w:numId w:val="1"/>
        </w:numPr>
        <w:spacing w:after="120"/>
        <w:rPr>
          <w:rFonts w:asciiTheme="minorHAnsi" w:hAnsiTheme="minorHAnsi"/>
          <w:snapToGrid w:val="0"/>
          <w:szCs w:val="20"/>
        </w:rPr>
      </w:pPr>
      <w:r w:rsidRPr="00886D8A">
        <w:rPr>
          <w:rFonts w:asciiTheme="minorHAnsi" w:hAnsiTheme="minorHAnsi"/>
          <w:snapToGrid w:val="0"/>
          <w:szCs w:val="20"/>
        </w:rPr>
        <w:t>The PBAC considered that the claim of inferior comparative safety was reasonable</w:t>
      </w:r>
      <w:bookmarkEnd w:id="80"/>
      <w:r w:rsidR="00B25B91" w:rsidRPr="00886D8A">
        <w:rPr>
          <w:rFonts w:asciiTheme="minorHAnsi" w:hAnsiTheme="minorHAnsi"/>
          <w:snapToGrid w:val="0"/>
          <w:szCs w:val="20"/>
        </w:rPr>
        <w:t>.</w:t>
      </w:r>
    </w:p>
    <w:p w14:paraId="7AF70B60" w14:textId="1B54DF41" w:rsidR="0062669E" w:rsidRPr="00886D8A" w:rsidRDefault="00780EA9" w:rsidP="004E36D3">
      <w:pPr>
        <w:pStyle w:val="4-SubsectionHeading"/>
      </w:pPr>
      <w:bookmarkStart w:id="81" w:name="_Toc22897645"/>
      <w:bookmarkStart w:id="82" w:name="_Toc107927631"/>
      <w:bookmarkStart w:id="83" w:name="_Toc198645886"/>
      <w:r w:rsidRPr="00886D8A">
        <w:t>Economic analysis</w:t>
      </w:r>
      <w:bookmarkEnd w:id="81"/>
      <w:bookmarkEnd w:id="82"/>
      <w:bookmarkEnd w:id="83"/>
      <w:r w:rsidRPr="00886D8A">
        <w:t xml:space="preserve"> </w:t>
      </w:r>
    </w:p>
    <w:p w14:paraId="0267E07E" w14:textId="1B7D1727" w:rsidR="00FB4693" w:rsidRPr="00886D8A" w:rsidRDefault="37D6D75E" w:rsidP="004E36D3">
      <w:pPr>
        <w:pStyle w:val="3-BodyText"/>
      </w:pPr>
      <w:r w:rsidRPr="00886D8A">
        <w:t>The submission presented a cost</w:t>
      </w:r>
      <w:r w:rsidR="0011024A">
        <w:noBreakHyphen/>
      </w:r>
      <w:r w:rsidRPr="00886D8A">
        <w:t xml:space="preserve">utility analysis comparing velmanase alfa </w:t>
      </w:r>
      <w:r w:rsidR="009F3E93" w:rsidRPr="00886D8A">
        <w:t xml:space="preserve">plus </w:t>
      </w:r>
      <w:r w:rsidRPr="00886D8A">
        <w:t xml:space="preserve">BSC to BSC alone for the treatment of patients with AM. </w:t>
      </w:r>
      <w:r w:rsidR="0024776E" w:rsidRPr="00886D8A">
        <w:t xml:space="preserve">Table 12 </w:t>
      </w:r>
      <w:r w:rsidRPr="00886D8A">
        <w:t>presents a summary of the model structure and rationale.</w:t>
      </w:r>
    </w:p>
    <w:p w14:paraId="661BE117" w14:textId="1CB80718" w:rsidR="00FB4693" w:rsidRPr="00886D8A" w:rsidRDefault="00FB4693" w:rsidP="004E36D3">
      <w:pPr>
        <w:pStyle w:val="Caption"/>
      </w:pPr>
      <w:bookmarkStart w:id="84" w:name="_Ref197524914"/>
      <w:r w:rsidRPr="00886D8A">
        <w:t xml:space="preserve">Table </w:t>
      </w:r>
      <w:r>
        <w:fldChar w:fldCharType="begin"/>
      </w:r>
      <w:r>
        <w:instrText>SEQ Table \* ARABIC</w:instrText>
      </w:r>
      <w:r>
        <w:fldChar w:fldCharType="separate"/>
      </w:r>
      <w:r w:rsidR="00B73A9E">
        <w:rPr>
          <w:noProof/>
        </w:rPr>
        <w:t>12</w:t>
      </w:r>
      <w:r>
        <w:fldChar w:fldCharType="end"/>
      </w:r>
      <w:bookmarkEnd w:id="84"/>
      <w:r w:rsidRPr="00886D8A">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2: Key components of the economic evaluation"/>
      </w:tblPr>
      <w:tblGrid>
        <w:gridCol w:w="1087"/>
        <w:gridCol w:w="3633"/>
        <w:gridCol w:w="4297"/>
      </w:tblGrid>
      <w:tr w:rsidR="00FB4693" w:rsidRPr="00886D8A" w14:paraId="4C42F61F" w14:textId="77777777" w:rsidTr="1C29292A">
        <w:trPr>
          <w:tblHeader/>
        </w:trPr>
        <w:tc>
          <w:tcPr>
            <w:tcW w:w="550" w:type="pct"/>
            <w:vAlign w:val="center"/>
          </w:tcPr>
          <w:p w14:paraId="56972CB6" w14:textId="77777777" w:rsidR="00FB4693" w:rsidRPr="00886D8A" w:rsidRDefault="00FB4693" w:rsidP="004E36D3">
            <w:pPr>
              <w:pStyle w:val="In-tableHeading"/>
              <w:keepLines/>
              <w:jc w:val="center"/>
              <w:rPr>
                <w:lang w:val="en-AU"/>
              </w:rPr>
            </w:pPr>
            <w:r w:rsidRPr="00886D8A">
              <w:rPr>
                <w:lang w:val="en-AU"/>
              </w:rPr>
              <w:t>Component</w:t>
            </w:r>
          </w:p>
        </w:tc>
        <w:tc>
          <w:tcPr>
            <w:tcW w:w="2041" w:type="pct"/>
          </w:tcPr>
          <w:p w14:paraId="009B2E8B" w14:textId="77777777" w:rsidR="00FB4693" w:rsidRPr="00886D8A" w:rsidRDefault="00FB4693" w:rsidP="004E36D3">
            <w:pPr>
              <w:pStyle w:val="In-tableHeading"/>
              <w:keepLines/>
              <w:jc w:val="center"/>
              <w:rPr>
                <w:lang w:val="en-AU"/>
              </w:rPr>
            </w:pPr>
            <w:r w:rsidRPr="00886D8A">
              <w:rPr>
                <w:lang w:val="en-AU"/>
              </w:rPr>
              <w:t>Description</w:t>
            </w:r>
          </w:p>
        </w:tc>
        <w:tc>
          <w:tcPr>
            <w:tcW w:w="2409" w:type="pct"/>
          </w:tcPr>
          <w:p w14:paraId="5C55379A" w14:textId="77777777" w:rsidR="00FB4693" w:rsidRPr="00886D8A" w:rsidRDefault="00FB4693" w:rsidP="004E36D3">
            <w:pPr>
              <w:pStyle w:val="In-tableHeading"/>
              <w:keepLines/>
              <w:jc w:val="center"/>
              <w:rPr>
                <w:lang w:val="en-AU"/>
              </w:rPr>
            </w:pPr>
            <w:r w:rsidRPr="00886D8A">
              <w:rPr>
                <w:lang w:val="en-AU"/>
              </w:rPr>
              <w:t>Justification/comments</w:t>
            </w:r>
          </w:p>
        </w:tc>
      </w:tr>
      <w:tr w:rsidR="00FB4693" w:rsidRPr="00886D8A" w14:paraId="38AEE880" w14:textId="77777777" w:rsidTr="1C29292A">
        <w:tc>
          <w:tcPr>
            <w:tcW w:w="550" w:type="pct"/>
            <w:vAlign w:val="center"/>
          </w:tcPr>
          <w:p w14:paraId="3FE8ED23" w14:textId="77777777" w:rsidR="00FB4693" w:rsidRPr="00886D8A" w:rsidRDefault="00FB4693" w:rsidP="004E36D3">
            <w:pPr>
              <w:pStyle w:val="TableText0"/>
              <w:keepLines/>
            </w:pPr>
            <w:r w:rsidRPr="00886D8A">
              <w:t>Treatment</w:t>
            </w:r>
          </w:p>
        </w:tc>
        <w:tc>
          <w:tcPr>
            <w:tcW w:w="2041" w:type="pct"/>
          </w:tcPr>
          <w:p w14:paraId="65DE2470" w14:textId="77777777" w:rsidR="00FB4693" w:rsidRPr="00886D8A" w:rsidRDefault="00FB4693" w:rsidP="004E36D3">
            <w:pPr>
              <w:pStyle w:val="TableText0"/>
              <w:keepLines/>
            </w:pPr>
            <w:r w:rsidRPr="00886D8A">
              <w:t>Velmanase alfa and BSC vs BSC</w:t>
            </w:r>
          </w:p>
        </w:tc>
        <w:tc>
          <w:tcPr>
            <w:tcW w:w="2409" w:type="pct"/>
          </w:tcPr>
          <w:p w14:paraId="1628DCE5" w14:textId="4C7EF98A" w:rsidR="00FB4693" w:rsidRPr="00886D8A" w:rsidRDefault="0011024A" w:rsidP="004E36D3">
            <w:pPr>
              <w:pStyle w:val="TableText0"/>
              <w:keepLines/>
            </w:pPr>
            <w:r>
              <w:noBreakHyphen/>
            </w:r>
          </w:p>
        </w:tc>
      </w:tr>
      <w:tr w:rsidR="00FB4693" w:rsidRPr="00886D8A" w14:paraId="6A5FE428" w14:textId="77777777" w:rsidTr="1C29292A">
        <w:tc>
          <w:tcPr>
            <w:tcW w:w="550" w:type="pct"/>
            <w:vAlign w:val="center"/>
          </w:tcPr>
          <w:p w14:paraId="291A4FE4" w14:textId="77777777" w:rsidR="00FB4693" w:rsidRPr="00886D8A" w:rsidRDefault="00FB4693" w:rsidP="004E36D3">
            <w:pPr>
              <w:pStyle w:val="TableText0"/>
              <w:keepLines/>
            </w:pPr>
            <w:r w:rsidRPr="00886D8A">
              <w:t>Time horizon</w:t>
            </w:r>
          </w:p>
        </w:tc>
        <w:tc>
          <w:tcPr>
            <w:tcW w:w="2041" w:type="pct"/>
          </w:tcPr>
          <w:p w14:paraId="7177AC0D" w14:textId="4332788E" w:rsidR="00FB4693" w:rsidRPr="00886D8A" w:rsidRDefault="00FB4693" w:rsidP="004E36D3">
            <w:pPr>
              <w:pStyle w:val="TableText0"/>
              <w:keepLines/>
            </w:pPr>
            <w:r w:rsidRPr="00886D8A">
              <w:t>Lifetime (until death) in the base</w:t>
            </w:r>
            <w:r w:rsidR="0011024A">
              <w:noBreakHyphen/>
            </w:r>
            <w:r w:rsidRPr="00886D8A">
              <w:t>case in the model base case versus 4 years (48 month) in the rhLAMAN</w:t>
            </w:r>
            <w:r w:rsidR="0011024A">
              <w:noBreakHyphen/>
            </w:r>
            <w:r w:rsidRPr="00886D8A">
              <w:t>10 trial</w:t>
            </w:r>
          </w:p>
        </w:tc>
        <w:tc>
          <w:tcPr>
            <w:tcW w:w="2409" w:type="pct"/>
          </w:tcPr>
          <w:p w14:paraId="171060D7" w14:textId="31A22E81" w:rsidR="00FB4693" w:rsidRPr="00886D8A" w:rsidRDefault="008C4C97" w:rsidP="004E36D3">
            <w:pPr>
              <w:pStyle w:val="TableText0"/>
              <w:keepLines/>
            </w:pPr>
            <w:r w:rsidRPr="00886D8A">
              <w:t>The time horizon in the base case exceeded the average life expectancy for patients with AM of 40 years.</w:t>
            </w:r>
            <w:r w:rsidR="00110062" w:rsidRPr="00886D8A">
              <w:t xml:space="preserve"> The ICER was highly sensitive to shorter time horizons</w:t>
            </w:r>
          </w:p>
        </w:tc>
      </w:tr>
      <w:tr w:rsidR="00FB4693" w:rsidRPr="00886D8A" w14:paraId="36A9473F" w14:textId="77777777" w:rsidTr="1C29292A">
        <w:tc>
          <w:tcPr>
            <w:tcW w:w="550" w:type="pct"/>
            <w:vAlign w:val="center"/>
          </w:tcPr>
          <w:p w14:paraId="7BC0BA61" w14:textId="77777777" w:rsidR="00FB4693" w:rsidRPr="00886D8A" w:rsidRDefault="00FB4693" w:rsidP="004E36D3">
            <w:pPr>
              <w:pStyle w:val="TableText0"/>
              <w:keepLines/>
            </w:pPr>
            <w:r w:rsidRPr="00886D8A">
              <w:t>Outcomes</w:t>
            </w:r>
          </w:p>
        </w:tc>
        <w:tc>
          <w:tcPr>
            <w:tcW w:w="2041" w:type="pct"/>
          </w:tcPr>
          <w:p w14:paraId="2BBB1200" w14:textId="77777777" w:rsidR="00FB4693" w:rsidRPr="00886D8A" w:rsidRDefault="00FB4693" w:rsidP="004E36D3">
            <w:pPr>
              <w:pStyle w:val="TableText0"/>
              <w:keepLines/>
            </w:pPr>
            <w:r w:rsidRPr="00886D8A">
              <w:t>LYs gained, QALYs gained</w:t>
            </w:r>
          </w:p>
        </w:tc>
        <w:tc>
          <w:tcPr>
            <w:tcW w:w="2409" w:type="pct"/>
          </w:tcPr>
          <w:p w14:paraId="42AE6018" w14:textId="77777777" w:rsidR="00FB4693" w:rsidRPr="00886D8A" w:rsidRDefault="00FB4693" w:rsidP="004E36D3">
            <w:pPr>
              <w:pStyle w:val="TableText0"/>
              <w:keepLines/>
            </w:pPr>
            <w:r w:rsidRPr="00886D8A">
              <w:t>This was appropriate.</w:t>
            </w:r>
          </w:p>
        </w:tc>
      </w:tr>
      <w:tr w:rsidR="00FB4693" w:rsidRPr="00886D8A" w14:paraId="794935B9" w14:textId="77777777" w:rsidTr="00F726E5">
        <w:trPr>
          <w:trHeight w:val="840"/>
        </w:trPr>
        <w:tc>
          <w:tcPr>
            <w:tcW w:w="550" w:type="pct"/>
            <w:vAlign w:val="center"/>
          </w:tcPr>
          <w:p w14:paraId="171EFD27" w14:textId="77777777" w:rsidR="00FB4693" w:rsidRPr="00886D8A" w:rsidRDefault="00FB4693" w:rsidP="004E36D3">
            <w:pPr>
              <w:pStyle w:val="TableText0"/>
              <w:keepLines/>
            </w:pPr>
            <w:r w:rsidRPr="00886D8A">
              <w:t>Methods used to generate results</w:t>
            </w:r>
          </w:p>
        </w:tc>
        <w:tc>
          <w:tcPr>
            <w:tcW w:w="2041" w:type="pct"/>
          </w:tcPr>
          <w:p w14:paraId="1AE27CAA" w14:textId="77777777" w:rsidR="00FB4693" w:rsidRPr="00886D8A" w:rsidRDefault="00FB4693" w:rsidP="004E36D3">
            <w:pPr>
              <w:pStyle w:val="TableText0"/>
              <w:keepLines/>
            </w:pPr>
            <w:r w:rsidRPr="00886D8A">
              <w:t xml:space="preserve">Markov model </w:t>
            </w:r>
          </w:p>
        </w:tc>
        <w:tc>
          <w:tcPr>
            <w:tcW w:w="2409" w:type="pct"/>
          </w:tcPr>
          <w:p w14:paraId="7DD541C6" w14:textId="77777777" w:rsidR="00FB4693" w:rsidRPr="00886D8A" w:rsidRDefault="00FB4693" w:rsidP="004E36D3">
            <w:pPr>
              <w:pStyle w:val="TableText0"/>
              <w:keepLines/>
            </w:pPr>
            <w:r w:rsidRPr="00886D8A">
              <w:t>This was appropriate.</w:t>
            </w:r>
          </w:p>
        </w:tc>
      </w:tr>
      <w:tr w:rsidR="00FB4693" w:rsidRPr="00886D8A" w14:paraId="12DC40FE" w14:textId="77777777" w:rsidTr="1C29292A">
        <w:tc>
          <w:tcPr>
            <w:tcW w:w="550" w:type="pct"/>
            <w:vAlign w:val="center"/>
          </w:tcPr>
          <w:p w14:paraId="089EF086" w14:textId="77777777" w:rsidR="00FB4693" w:rsidRPr="00886D8A" w:rsidRDefault="00FB4693" w:rsidP="004E36D3">
            <w:pPr>
              <w:pStyle w:val="TableText0"/>
              <w:keepLines/>
            </w:pPr>
            <w:r w:rsidRPr="00886D8A">
              <w:t>Health states</w:t>
            </w:r>
          </w:p>
        </w:tc>
        <w:tc>
          <w:tcPr>
            <w:tcW w:w="2041" w:type="pct"/>
          </w:tcPr>
          <w:p w14:paraId="547DF0F6" w14:textId="165088E0" w:rsidR="00FB4693" w:rsidRPr="00886D8A" w:rsidRDefault="1B90B834" w:rsidP="004E36D3">
            <w:pPr>
              <w:pStyle w:val="TableText0"/>
              <w:keepLines/>
            </w:pPr>
            <w:r w:rsidRPr="00886D8A">
              <w:t>Five mutually exclusive health states:</w:t>
            </w:r>
            <w:r w:rsidR="00FB4693" w:rsidRPr="00886D8A">
              <w:t xml:space="preserve"> Normal walking, Occasional walking aid/wheelchair use; Frequent walking aid/wheelchair use; Wheelchair dependence; and Death</w:t>
            </w:r>
            <w:r w:rsidR="0008229A" w:rsidRPr="00886D8A">
              <w:t xml:space="preserve"> Transition probabilities were based on the rhLAMAN</w:t>
            </w:r>
            <w:r w:rsidR="0011024A">
              <w:noBreakHyphen/>
            </w:r>
            <w:r w:rsidR="0008229A" w:rsidRPr="00886D8A">
              <w:t>10 trial data and a structured expert elicitation panel.</w:t>
            </w:r>
          </w:p>
          <w:p w14:paraId="7E91F49D" w14:textId="77777777" w:rsidR="00FB4693" w:rsidRPr="00886D8A" w:rsidRDefault="00FB4693" w:rsidP="004E36D3">
            <w:pPr>
              <w:pStyle w:val="TableText0"/>
              <w:keepLines/>
            </w:pPr>
            <w:r w:rsidRPr="00886D8A">
              <w:t>Infections were modelled as an independent event associated with each model health state</w:t>
            </w:r>
          </w:p>
        </w:tc>
        <w:tc>
          <w:tcPr>
            <w:tcW w:w="2409" w:type="pct"/>
          </w:tcPr>
          <w:p w14:paraId="406236C7" w14:textId="49FF1826" w:rsidR="00FB4693" w:rsidRPr="00886D8A" w:rsidRDefault="00FB4693" w:rsidP="004E36D3">
            <w:pPr>
              <w:pStyle w:val="TableText0"/>
              <w:keepLines/>
            </w:pPr>
            <w:r w:rsidRPr="00886D8A">
              <w:t>While this was reasonable; AM is a multi</w:t>
            </w:r>
            <w:r w:rsidR="0011024A">
              <w:noBreakHyphen/>
            </w:r>
            <w:r w:rsidRPr="00886D8A">
              <w:t xml:space="preserve">systemic disease, characterised by hearing impairment, intellectual disability, facial and skeletal abnormalities, reduced lung function, and immunodeficiency, among other manifestations. </w:t>
            </w:r>
            <w:r w:rsidR="00E30488" w:rsidRPr="00886D8A">
              <w:t>T</w:t>
            </w:r>
            <w:r w:rsidRPr="00886D8A">
              <w:t xml:space="preserve">he current model structure does not fully capture all clinically relevant aspects of the condition. </w:t>
            </w:r>
          </w:p>
        </w:tc>
      </w:tr>
      <w:tr w:rsidR="00FB4693" w:rsidRPr="00886D8A" w14:paraId="0499DF71" w14:textId="77777777" w:rsidTr="1C29292A">
        <w:tc>
          <w:tcPr>
            <w:tcW w:w="550" w:type="pct"/>
            <w:vAlign w:val="center"/>
          </w:tcPr>
          <w:p w14:paraId="26B61BCE" w14:textId="77777777" w:rsidR="00FB4693" w:rsidRPr="00886D8A" w:rsidRDefault="00FB4693" w:rsidP="004E36D3">
            <w:pPr>
              <w:pStyle w:val="TableText0"/>
              <w:keepLines/>
            </w:pPr>
            <w:r w:rsidRPr="00886D8A">
              <w:t>Cycle length</w:t>
            </w:r>
          </w:p>
        </w:tc>
        <w:tc>
          <w:tcPr>
            <w:tcW w:w="2041" w:type="pct"/>
          </w:tcPr>
          <w:p w14:paraId="335564E9" w14:textId="77777777" w:rsidR="00FB4693" w:rsidRPr="00886D8A" w:rsidRDefault="00FB4693" w:rsidP="004E36D3">
            <w:pPr>
              <w:pStyle w:val="TableText0"/>
              <w:keepLines/>
            </w:pPr>
            <w:r w:rsidRPr="00886D8A">
              <w:t>Annual (1 year)</w:t>
            </w:r>
          </w:p>
        </w:tc>
        <w:tc>
          <w:tcPr>
            <w:tcW w:w="2409" w:type="pct"/>
          </w:tcPr>
          <w:p w14:paraId="6E0D0586" w14:textId="77777777" w:rsidR="00FB4693" w:rsidRPr="00886D8A" w:rsidRDefault="00FB4693" w:rsidP="004E36D3">
            <w:pPr>
              <w:pStyle w:val="TableText0"/>
              <w:keepLines/>
            </w:pPr>
            <w:r w:rsidRPr="00886D8A">
              <w:t>This was appropriate.</w:t>
            </w:r>
          </w:p>
        </w:tc>
      </w:tr>
      <w:tr w:rsidR="00FB4693" w:rsidRPr="00886D8A" w14:paraId="0DC03AFC" w14:textId="77777777" w:rsidTr="1C29292A">
        <w:tc>
          <w:tcPr>
            <w:tcW w:w="550" w:type="pct"/>
          </w:tcPr>
          <w:p w14:paraId="1E1DABF9" w14:textId="77777777" w:rsidR="00FB4693" w:rsidRPr="00886D8A" w:rsidRDefault="00FB4693" w:rsidP="004E36D3">
            <w:pPr>
              <w:pStyle w:val="TableText0"/>
              <w:keepLines/>
            </w:pPr>
            <w:r w:rsidRPr="00886D8A">
              <w:t>Transition probabilities</w:t>
            </w:r>
          </w:p>
        </w:tc>
        <w:tc>
          <w:tcPr>
            <w:tcW w:w="2041" w:type="pct"/>
          </w:tcPr>
          <w:p w14:paraId="735B3297" w14:textId="77777777" w:rsidR="00FB4693" w:rsidRPr="00886D8A" w:rsidRDefault="00FB4693" w:rsidP="004E36D3">
            <w:pPr>
              <w:pStyle w:val="TableText0"/>
              <w:keepLines/>
            </w:pPr>
            <w:r w:rsidRPr="00886D8A">
              <w:t>Primary data sources for velmanase alfa arm:</w:t>
            </w:r>
          </w:p>
          <w:p w14:paraId="0CB0C178" w14:textId="0560DB52" w:rsidR="00FB4693" w:rsidRPr="00886D8A" w:rsidRDefault="00FB4693" w:rsidP="004E36D3">
            <w:pPr>
              <w:pStyle w:val="TableText0"/>
              <w:keepLines/>
            </w:pPr>
            <w:r w:rsidRPr="00886D8A">
              <w:t>• rhLAMAN</w:t>
            </w:r>
            <w:r w:rsidR="0011024A">
              <w:noBreakHyphen/>
            </w:r>
            <w:r w:rsidRPr="00886D8A">
              <w:t>10 clinical trial</w:t>
            </w:r>
          </w:p>
          <w:p w14:paraId="73FAE0BF" w14:textId="40874C3E" w:rsidR="00FB4693" w:rsidRPr="00886D8A" w:rsidRDefault="00FB4693" w:rsidP="004E36D3">
            <w:pPr>
              <w:pStyle w:val="TableText0"/>
              <w:keepLines/>
            </w:pPr>
            <w:r w:rsidRPr="00886D8A">
              <w:t xml:space="preserve">• Structured </w:t>
            </w:r>
            <w:r w:rsidR="00F5246C" w:rsidRPr="00886D8A">
              <w:t>e</w:t>
            </w:r>
            <w:r w:rsidRPr="00886D8A">
              <w:t xml:space="preserve">xpert </w:t>
            </w:r>
            <w:r w:rsidR="7A243AA0" w:rsidRPr="00886D8A">
              <w:t>e</w:t>
            </w:r>
            <w:r w:rsidRPr="00886D8A">
              <w:t xml:space="preserve">licitation </w:t>
            </w:r>
            <w:r w:rsidR="79C1F7B4" w:rsidRPr="00886D8A">
              <w:t>p</w:t>
            </w:r>
            <w:r w:rsidRPr="00886D8A">
              <w:t>anel report (Attachment 15</w:t>
            </w:r>
            <w:r w:rsidR="00E30488" w:rsidRPr="00886D8A">
              <w:t xml:space="preserve"> to the submission</w:t>
            </w:r>
            <w:r w:rsidRPr="00886D8A">
              <w:t>)</w:t>
            </w:r>
          </w:p>
        </w:tc>
        <w:tc>
          <w:tcPr>
            <w:tcW w:w="2409" w:type="pct"/>
          </w:tcPr>
          <w:p w14:paraId="7A8CFC84" w14:textId="2728E223" w:rsidR="00FB4693" w:rsidRPr="00886D8A" w:rsidRDefault="37D6D75E" w:rsidP="004E36D3">
            <w:pPr>
              <w:pStyle w:val="TableText0"/>
              <w:keepLines/>
            </w:pPr>
            <w:r w:rsidRPr="00886D8A">
              <w:t xml:space="preserve">Transition probabilities for most of the health states and BSC arm were based on inputs from </w:t>
            </w:r>
            <w:r w:rsidR="1F6892C5" w:rsidRPr="00886D8A">
              <w:t xml:space="preserve">a </w:t>
            </w:r>
            <w:r w:rsidR="6B5BF65F" w:rsidRPr="00886D8A">
              <w:t>s</w:t>
            </w:r>
            <w:r w:rsidRPr="00886D8A">
              <w:t>tructure</w:t>
            </w:r>
            <w:r w:rsidR="35A8706C" w:rsidRPr="00886D8A">
              <w:t>d</w:t>
            </w:r>
            <w:r w:rsidRPr="00886D8A">
              <w:t xml:space="preserve"> </w:t>
            </w:r>
            <w:r w:rsidR="3310A2E2" w:rsidRPr="00886D8A">
              <w:t>e</w:t>
            </w:r>
            <w:r w:rsidRPr="00886D8A">
              <w:t xml:space="preserve">xpert </w:t>
            </w:r>
            <w:r w:rsidR="63C193F0" w:rsidRPr="00886D8A">
              <w:t>e</w:t>
            </w:r>
            <w:r w:rsidRPr="00886D8A">
              <w:t xml:space="preserve">licitation panel. </w:t>
            </w:r>
            <w:r w:rsidR="005A382A" w:rsidRPr="00886D8A">
              <w:t>T</w:t>
            </w:r>
            <w:r w:rsidRPr="00886D8A">
              <w:t xml:space="preserve">he </w:t>
            </w:r>
            <w:r w:rsidR="3CEB4887" w:rsidRPr="00886D8A">
              <w:t>elicitation exercise</w:t>
            </w:r>
            <w:r w:rsidRPr="00886D8A">
              <w:t xml:space="preserve"> </w:t>
            </w:r>
            <w:r w:rsidR="7108E4D4" w:rsidRPr="00886D8A">
              <w:t xml:space="preserve">has </w:t>
            </w:r>
            <w:r w:rsidRPr="00886D8A">
              <w:t xml:space="preserve">limitations as described in paragraph </w:t>
            </w:r>
            <w:r w:rsidR="00FB4693" w:rsidRPr="00886D8A">
              <w:fldChar w:fldCharType="begin"/>
            </w:r>
            <w:r w:rsidR="00FB4693" w:rsidRPr="00886D8A">
              <w:instrText xml:space="preserve"> REF _Ref197681409 \r \h </w:instrText>
            </w:r>
            <w:r w:rsidR="00110521" w:rsidRPr="00886D8A">
              <w:instrText xml:space="preserve"> \* MERGEFORMAT </w:instrText>
            </w:r>
            <w:r w:rsidR="00FB4693" w:rsidRPr="00886D8A">
              <w:fldChar w:fldCharType="separate"/>
            </w:r>
            <w:r w:rsidR="00B73A9E">
              <w:t>6.58</w:t>
            </w:r>
            <w:r w:rsidR="00FB4693" w:rsidRPr="00886D8A">
              <w:fldChar w:fldCharType="end"/>
            </w:r>
            <w:r w:rsidRPr="00886D8A">
              <w:t>.</w:t>
            </w:r>
          </w:p>
        </w:tc>
      </w:tr>
      <w:tr w:rsidR="00FB4693" w:rsidRPr="00886D8A" w14:paraId="6566BFA6" w14:textId="77777777" w:rsidTr="1C29292A">
        <w:tc>
          <w:tcPr>
            <w:tcW w:w="550" w:type="pct"/>
          </w:tcPr>
          <w:p w14:paraId="22A37FBC" w14:textId="459C9F18" w:rsidR="00FB4693" w:rsidRPr="00886D8A" w:rsidRDefault="00FB4693" w:rsidP="004E36D3">
            <w:pPr>
              <w:pStyle w:val="TableText0"/>
              <w:keepLines/>
            </w:pPr>
            <w:r w:rsidRPr="00886D8A">
              <w:t>Health</w:t>
            </w:r>
            <w:r w:rsidR="0011024A">
              <w:noBreakHyphen/>
            </w:r>
            <w:r w:rsidRPr="00886D8A">
              <w:t>related quality of life</w:t>
            </w:r>
          </w:p>
        </w:tc>
        <w:tc>
          <w:tcPr>
            <w:tcW w:w="2041" w:type="pct"/>
          </w:tcPr>
          <w:p w14:paraId="75680CE3" w14:textId="400FCA86" w:rsidR="00FB4693" w:rsidRPr="00886D8A" w:rsidRDefault="00FB4693" w:rsidP="004E36D3">
            <w:pPr>
              <w:pStyle w:val="TableText0"/>
              <w:keepLines/>
            </w:pPr>
            <w:r w:rsidRPr="00886D8A">
              <w:t>Utility values were based on EQ</w:t>
            </w:r>
            <w:r w:rsidR="0011024A">
              <w:noBreakHyphen/>
            </w:r>
            <w:r w:rsidRPr="00886D8A">
              <w:t>5D</w:t>
            </w:r>
            <w:r w:rsidR="0011024A">
              <w:noBreakHyphen/>
            </w:r>
            <w:r w:rsidRPr="00886D8A">
              <w:t>5L scores from rhLAMAN</w:t>
            </w:r>
            <w:r w:rsidR="0011024A">
              <w:noBreakHyphen/>
            </w:r>
            <w:r w:rsidRPr="00886D8A">
              <w:t>10 and Adam et al. (2019)</w:t>
            </w:r>
            <w:r w:rsidR="00D4543B" w:rsidRPr="00886D8A">
              <w:t xml:space="preserve">. </w:t>
            </w:r>
            <w:r w:rsidR="00EA6146" w:rsidRPr="00886D8A">
              <w:t>A utility gain of 0.18 was applied to all p</w:t>
            </w:r>
            <w:r w:rsidR="00D4543B" w:rsidRPr="00886D8A">
              <w:t>atients treated with velmanase alfa</w:t>
            </w:r>
            <w:r w:rsidR="002B56F0" w:rsidRPr="00886D8A">
              <w:t xml:space="preserve"> (based on the FVC outcome in the rhLAMAN</w:t>
            </w:r>
            <w:r w:rsidR="0011024A">
              <w:noBreakHyphen/>
            </w:r>
            <w:r w:rsidR="002B56F0" w:rsidRPr="00886D8A">
              <w:t>10 trial)</w:t>
            </w:r>
            <w:r w:rsidR="00EA6146" w:rsidRPr="00886D8A">
              <w:t>.</w:t>
            </w:r>
            <w:r w:rsidR="00D4543B" w:rsidRPr="00886D8A">
              <w:t xml:space="preserve"> </w:t>
            </w:r>
          </w:p>
        </w:tc>
        <w:tc>
          <w:tcPr>
            <w:tcW w:w="2409" w:type="pct"/>
          </w:tcPr>
          <w:p w14:paraId="33C34625" w14:textId="03911464" w:rsidR="00FB4693" w:rsidRPr="00886D8A" w:rsidRDefault="0031341E" w:rsidP="004E36D3">
            <w:pPr>
              <w:pStyle w:val="TableText0"/>
              <w:keepLines/>
            </w:pPr>
            <w:r w:rsidRPr="00886D8A">
              <w:t xml:space="preserve">The </w:t>
            </w:r>
            <w:r w:rsidR="00001432" w:rsidRPr="00886D8A">
              <w:t>utilisation of</w:t>
            </w:r>
            <w:r w:rsidRPr="00886D8A">
              <w:t xml:space="preserve"> </w:t>
            </w:r>
            <w:r w:rsidR="00E72F00" w:rsidRPr="00886D8A">
              <w:t xml:space="preserve">the </w:t>
            </w:r>
            <w:r w:rsidRPr="00886D8A">
              <w:t>same health utility values for ‘Occasional walking aid/wheelchair use’ and ‘Frequent walking aid/wheelchair use’</w:t>
            </w:r>
            <w:r w:rsidR="00001432" w:rsidRPr="00886D8A">
              <w:t xml:space="preserve"> was not appropriate</w:t>
            </w:r>
            <w:r w:rsidR="00881602" w:rsidRPr="00886D8A">
              <w:t xml:space="preserve">. Additionally, using improvement in FVC </w:t>
            </w:r>
            <w:r w:rsidR="00004AC6" w:rsidRPr="00886D8A">
              <w:t>t</w:t>
            </w:r>
            <w:r w:rsidR="00EC6F98" w:rsidRPr="00886D8A">
              <w:t xml:space="preserve">o </w:t>
            </w:r>
            <w:r w:rsidR="00004AC6" w:rsidRPr="00886D8A">
              <w:t xml:space="preserve">estimate the utility benefit with velmanase alfa may </w:t>
            </w:r>
            <w:r w:rsidR="00E72F00" w:rsidRPr="00886D8A">
              <w:t xml:space="preserve">result in </w:t>
            </w:r>
            <w:r w:rsidR="00D3653D" w:rsidRPr="00886D8A">
              <w:t>double counting as EQ</w:t>
            </w:r>
            <w:r w:rsidR="0011024A">
              <w:noBreakHyphen/>
            </w:r>
            <w:r w:rsidR="00D3653D" w:rsidRPr="00886D8A">
              <w:t>5D captures overall HRQoL.</w:t>
            </w:r>
          </w:p>
        </w:tc>
      </w:tr>
      <w:tr w:rsidR="00FB4693" w:rsidRPr="00886D8A" w14:paraId="4CAC59CD" w14:textId="77777777" w:rsidTr="1C29292A">
        <w:tc>
          <w:tcPr>
            <w:tcW w:w="550" w:type="pct"/>
          </w:tcPr>
          <w:p w14:paraId="31D324B6" w14:textId="1AAB7850" w:rsidR="00FB4693" w:rsidRPr="00886D8A" w:rsidRDefault="00E72F00" w:rsidP="004E36D3">
            <w:pPr>
              <w:pStyle w:val="TableText0"/>
              <w:keepNext w:val="0"/>
            </w:pPr>
            <w:r w:rsidRPr="00886D8A">
              <w:t>Age at model entry</w:t>
            </w:r>
          </w:p>
        </w:tc>
        <w:tc>
          <w:tcPr>
            <w:tcW w:w="2041" w:type="pct"/>
          </w:tcPr>
          <w:p w14:paraId="46DBAA0E" w14:textId="7E9C395C" w:rsidR="00FB4693" w:rsidRPr="00886D8A" w:rsidRDefault="7FB68629" w:rsidP="004E36D3">
            <w:pPr>
              <w:pStyle w:val="TableText0"/>
              <w:keepNext w:val="0"/>
            </w:pPr>
            <w:r w:rsidRPr="00886D8A">
              <w:t xml:space="preserve">Six years for the under 18 population; </w:t>
            </w:r>
          </w:p>
          <w:p w14:paraId="0C34390E" w14:textId="3EE6BAEB" w:rsidR="00FB4693" w:rsidRPr="00886D8A" w:rsidRDefault="7FB68629" w:rsidP="004E36D3">
            <w:pPr>
              <w:pStyle w:val="TableText0"/>
              <w:keepNext w:val="0"/>
            </w:pPr>
            <w:r w:rsidRPr="00886D8A">
              <w:t xml:space="preserve">18 years for the </w:t>
            </w:r>
            <w:r w:rsidR="00FB4693" w:rsidRPr="00886D8A">
              <w:t>over 18 population</w:t>
            </w:r>
          </w:p>
        </w:tc>
        <w:tc>
          <w:tcPr>
            <w:tcW w:w="2409" w:type="pct"/>
          </w:tcPr>
          <w:p w14:paraId="4A7D86E2" w14:textId="4F6662AE" w:rsidR="00FB4693" w:rsidRPr="00886D8A" w:rsidRDefault="00FB4693" w:rsidP="004E36D3">
            <w:pPr>
              <w:pStyle w:val="TableText0"/>
              <w:keepNext w:val="0"/>
            </w:pPr>
            <w:r w:rsidRPr="00886D8A">
              <w:t xml:space="preserve">Although the assumption of treatment initiation at six years </w:t>
            </w:r>
            <w:r w:rsidR="30BD6C48" w:rsidRPr="00886D8A">
              <w:t xml:space="preserve">is </w:t>
            </w:r>
            <w:r w:rsidR="00836118" w:rsidRPr="00886D8A">
              <w:t>conservative</w:t>
            </w:r>
            <w:r w:rsidRPr="00886D8A">
              <w:t xml:space="preserve"> </w:t>
            </w:r>
            <w:r w:rsidR="00E72F00" w:rsidRPr="00886D8A">
              <w:t>i</w:t>
            </w:r>
            <w:r w:rsidR="006707D6" w:rsidRPr="00886D8A">
              <w:t xml:space="preserve">n Australia, </w:t>
            </w:r>
            <w:r w:rsidRPr="00886D8A">
              <w:t>Chin and Fuller (20</w:t>
            </w:r>
            <w:r w:rsidR="00D2590A" w:rsidRPr="00886D8A">
              <w:t>22</w:t>
            </w:r>
            <w:r w:rsidRPr="00886D8A">
              <w:t xml:space="preserve">) reported a median age at diagnosis of 1.3 years (range: 1.2 to 8.6). </w:t>
            </w:r>
          </w:p>
        </w:tc>
      </w:tr>
      <w:tr w:rsidR="00FB4693" w:rsidRPr="00886D8A" w14:paraId="73B68AB0" w14:textId="77777777" w:rsidTr="1C29292A">
        <w:tc>
          <w:tcPr>
            <w:tcW w:w="550" w:type="pct"/>
          </w:tcPr>
          <w:p w14:paraId="0AFDF52D" w14:textId="77777777" w:rsidR="00FB4693" w:rsidRPr="00886D8A" w:rsidRDefault="00FB4693" w:rsidP="004E36D3">
            <w:pPr>
              <w:pStyle w:val="TableText0"/>
              <w:keepNext w:val="0"/>
            </w:pPr>
            <w:r w:rsidRPr="00886D8A">
              <w:t>Resource use</w:t>
            </w:r>
          </w:p>
        </w:tc>
        <w:tc>
          <w:tcPr>
            <w:tcW w:w="2041" w:type="pct"/>
          </w:tcPr>
          <w:p w14:paraId="4BB381CF" w14:textId="77777777" w:rsidR="00FB4693" w:rsidRPr="00886D8A" w:rsidRDefault="00FB4693" w:rsidP="004E36D3">
            <w:pPr>
              <w:pStyle w:val="TableText0"/>
              <w:keepNext w:val="0"/>
            </w:pPr>
            <w:r w:rsidRPr="00886D8A">
              <w:t xml:space="preserve">Costs included in the model in the base analysis from a payer’s perspective: </w:t>
            </w:r>
          </w:p>
          <w:p w14:paraId="4087C076" w14:textId="77777777" w:rsidR="00FB4693" w:rsidRPr="00886D8A" w:rsidRDefault="00FB4693" w:rsidP="004E36D3">
            <w:pPr>
              <w:pStyle w:val="TableText0"/>
              <w:keepNext w:val="0"/>
            </w:pPr>
            <w:r w:rsidRPr="00886D8A">
              <w:t>• Drug acquisition and administration cost of the velmanase alfa therapy</w:t>
            </w:r>
          </w:p>
          <w:p w14:paraId="32EF35AD" w14:textId="62D00F4D" w:rsidR="00FB4693" w:rsidRPr="00886D8A" w:rsidRDefault="00FB4693" w:rsidP="004E36D3">
            <w:pPr>
              <w:pStyle w:val="TableText0"/>
              <w:keepNext w:val="0"/>
            </w:pPr>
            <w:r w:rsidRPr="00886D8A">
              <w:t>• Pre</w:t>
            </w:r>
            <w:r w:rsidR="0011024A">
              <w:noBreakHyphen/>
            </w:r>
            <w:r w:rsidRPr="00886D8A">
              <w:t>treatment cost for velmanase alfa</w:t>
            </w:r>
          </w:p>
          <w:p w14:paraId="1DEAFA47" w14:textId="77777777" w:rsidR="00FB4693" w:rsidRPr="00886D8A" w:rsidRDefault="00FB4693" w:rsidP="004E36D3">
            <w:pPr>
              <w:pStyle w:val="TableText0"/>
              <w:keepNext w:val="0"/>
            </w:pPr>
            <w:r w:rsidRPr="00886D8A">
              <w:t>• HCRU related to disease management</w:t>
            </w:r>
          </w:p>
          <w:p w14:paraId="5A9033C2" w14:textId="77777777" w:rsidR="00FB4693" w:rsidRPr="00886D8A" w:rsidRDefault="00FB4693" w:rsidP="004E36D3">
            <w:pPr>
              <w:pStyle w:val="TableText0"/>
              <w:keepNext w:val="0"/>
            </w:pPr>
            <w:r w:rsidRPr="00886D8A">
              <w:t>• Mortality costs</w:t>
            </w:r>
          </w:p>
          <w:p w14:paraId="691E7BA1" w14:textId="641D0776" w:rsidR="00FB4693" w:rsidRPr="00886D8A" w:rsidRDefault="37D6D75E" w:rsidP="004E36D3">
            <w:pPr>
              <w:pStyle w:val="TableText0"/>
              <w:keepNext w:val="0"/>
            </w:pPr>
            <w:r w:rsidRPr="00886D8A">
              <w:t>• AE</w:t>
            </w:r>
            <w:r w:rsidR="2952916D" w:rsidRPr="00886D8A">
              <w:t>s</w:t>
            </w:r>
            <w:r w:rsidRPr="00886D8A">
              <w:t xml:space="preserve"> management</w:t>
            </w:r>
          </w:p>
          <w:p w14:paraId="5179CDBE" w14:textId="77777777" w:rsidR="00FB4693" w:rsidRPr="00886D8A" w:rsidRDefault="00FB4693" w:rsidP="004E36D3">
            <w:pPr>
              <w:pStyle w:val="TableText0"/>
              <w:keepNext w:val="0"/>
            </w:pPr>
            <w:r w:rsidRPr="00886D8A">
              <w:t>Additionally, cost of patient and caregiver productivity loss, and the costs of professional homecare services included in a scenario analysis from a societal perspective.</w:t>
            </w:r>
          </w:p>
        </w:tc>
        <w:tc>
          <w:tcPr>
            <w:tcW w:w="2409" w:type="pct"/>
          </w:tcPr>
          <w:p w14:paraId="48D6CE56" w14:textId="082A7804" w:rsidR="00FB4693" w:rsidRPr="00886D8A" w:rsidRDefault="37D6D75E" w:rsidP="004E36D3">
            <w:pPr>
              <w:pStyle w:val="TableText0"/>
              <w:keepNext w:val="0"/>
            </w:pPr>
            <w:r w:rsidRPr="00886D8A">
              <w:t xml:space="preserve">This was reasonable; however, the frequency and proportion of </w:t>
            </w:r>
            <w:r w:rsidR="00E72F00" w:rsidRPr="00886D8A">
              <w:t xml:space="preserve">resource </w:t>
            </w:r>
            <w:r w:rsidRPr="00886D8A">
              <w:t xml:space="preserve">utilisation were derived based on inputs from </w:t>
            </w:r>
            <w:r w:rsidR="6096F3CF" w:rsidRPr="00886D8A">
              <w:t>s</w:t>
            </w:r>
            <w:r w:rsidRPr="00886D8A">
              <w:t xml:space="preserve">tructured </w:t>
            </w:r>
            <w:r w:rsidR="636E9FAA" w:rsidRPr="00886D8A">
              <w:t>e</w:t>
            </w:r>
            <w:r w:rsidRPr="00886D8A">
              <w:t xml:space="preserve">xpert </w:t>
            </w:r>
            <w:r w:rsidR="1FC64140" w:rsidRPr="00886D8A">
              <w:t>e</w:t>
            </w:r>
            <w:r w:rsidRPr="00886D8A">
              <w:t>licitation</w:t>
            </w:r>
            <w:r w:rsidR="75347101" w:rsidRPr="00886D8A">
              <w:t>.</w:t>
            </w:r>
            <w:r w:rsidRPr="00886D8A">
              <w:t xml:space="preserve"> </w:t>
            </w:r>
          </w:p>
        </w:tc>
      </w:tr>
    </w:tbl>
    <w:p w14:paraId="3CF36CC9" w14:textId="31A07C6A" w:rsidR="00FB4693" w:rsidRPr="00886D8A" w:rsidRDefault="00FB4693" w:rsidP="004E36D3">
      <w:pPr>
        <w:pStyle w:val="FooterTableFigure"/>
      </w:pPr>
      <w:r w:rsidRPr="00886D8A">
        <w:t>Source: Table 3.1</w:t>
      </w:r>
      <w:r w:rsidR="0011024A">
        <w:noBreakHyphen/>
      </w:r>
      <w:r w:rsidRPr="00886D8A">
        <w:t>1, pp141</w:t>
      </w:r>
      <w:r w:rsidR="0011024A">
        <w:noBreakHyphen/>
      </w:r>
      <w:r w:rsidRPr="00886D8A">
        <w:t xml:space="preserve">142 of the submission. </w:t>
      </w:r>
    </w:p>
    <w:p w14:paraId="61A135C2" w14:textId="06F4191C" w:rsidR="00FB4693" w:rsidRPr="00886D8A" w:rsidRDefault="00FB4693" w:rsidP="004E36D3">
      <w:pPr>
        <w:pStyle w:val="FooterTableFigure"/>
      </w:pPr>
      <w:r w:rsidRPr="00886D8A">
        <w:t>AE = Adverse events; AM = alpha</w:t>
      </w:r>
      <w:r w:rsidR="0011024A">
        <w:noBreakHyphen/>
      </w:r>
      <w:r w:rsidRPr="00886D8A">
        <w:t xml:space="preserve">mannosidosis; BSC = best supportive care; </w:t>
      </w:r>
      <w:r w:rsidRPr="00886D8A">
        <w:rPr>
          <w:rFonts w:eastAsia="Calibri"/>
          <w:lang w:eastAsia="en-US"/>
        </w:rPr>
        <w:t>EQ</w:t>
      </w:r>
      <w:r w:rsidR="0011024A">
        <w:rPr>
          <w:rFonts w:eastAsia="Calibri"/>
          <w:lang w:eastAsia="en-US"/>
        </w:rPr>
        <w:noBreakHyphen/>
      </w:r>
      <w:r w:rsidRPr="00886D8A">
        <w:rPr>
          <w:rFonts w:eastAsia="Calibri"/>
          <w:lang w:eastAsia="en-US"/>
        </w:rPr>
        <w:t>5D</w:t>
      </w:r>
      <w:r w:rsidR="0011024A">
        <w:rPr>
          <w:rFonts w:eastAsia="Calibri"/>
          <w:lang w:eastAsia="en-US"/>
        </w:rPr>
        <w:noBreakHyphen/>
      </w:r>
      <w:r w:rsidRPr="00886D8A">
        <w:rPr>
          <w:rFonts w:eastAsia="Calibri"/>
          <w:lang w:eastAsia="en-US"/>
        </w:rPr>
        <w:t>5L, EuroQol</w:t>
      </w:r>
      <w:r w:rsidR="0011024A">
        <w:rPr>
          <w:rFonts w:eastAsia="Calibri"/>
          <w:lang w:eastAsia="en-US"/>
        </w:rPr>
        <w:noBreakHyphen/>
      </w:r>
      <w:r w:rsidRPr="00886D8A">
        <w:rPr>
          <w:rFonts w:eastAsia="Calibri"/>
          <w:lang w:eastAsia="en-US"/>
        </w:rPr>
        <w:t>5 Dimension</w:t>
      </w:r>
      <w:r w:rsidR="0011024A">
        <w:rPr>
          <w:rFonts w:eastAsia="Calibri"/>
          <w:lang w:eastAsia="en-US"/>
        </w:rPr>
        <w:noBreakHyphen/>
      </w:r>
      <w:r w:rsidRPr="00886D8A">
        <w:rPr>
          <w:rFonts w:eastAsia="Calibri"/>
          <w:lang w:eastAsia="en-US"/>
        </w:rPr>
        <w:t>5 Level questionnaire;</w:t>
      </w:r>
      <w:r w:rsidR="004B1DDF" w:rsidRPr="00886D8A">
        <w:rPr>
          <w:rFonts w:eastAsia="Calibri"/>
          <w:lang w:eastAsia="en-US"/>
        </w:rPr>
        <w:t xml:space="preserve"> FVC = Forced vital capacity;</w:t>
      </w:r>
      <w:r w:rsidRPr="00886D8A">
        <w:rPr>
          <w:rFonts w:eastAsia="Calibri"/>
          <w:lang w:eastAsia="en-US"/>
        </w:rPr>
        <w:t xml:space="preserve"> </w:t>
      </w:r>
      <w:r w:rsidRPr="00886D8A">
        <w:t>LYs = life</w:t>
      </w:r>
      <w:r w:rsidR="0011024A">
        <w:noBreakHyphen/>
      </w:r>
      <w:r w:rsidRPr="00886D8A">
        <w:t xml:space="preserve">years; HCRU = health care resource use; </w:t>
      </w:r>
      <w:r w:rsidR="00D3653D" w:rsidRPr="00886D8A">
        <w:t>HRQoL = health</w:t>
      </w:r>
      <w:r w:rsidR="0011024A">
        <w:noBreakHyphen/>
      </w:r>
      <w:r w:rsidR="00D3653D" w:rsidRPr="00886D8A">
        <w:t xml:space="preserve">related quality of life; </w:t>
      </w:r>
      <w:r w:rsidRPr="00886D8A">
        <w:t>ICER = incremental cost</w:t>
      </w:r>
      <w:r w:rsidR="0011024A">
        <w:noBreakHyphen/>
      </w:r>
      <w:r w:rsidRPr="00886D8A">
        <w:t>effectiveness ratio; QALYs = quality</w:t>
      </w:r>
      <w:r w:rsidR="0011024A">
        <w:noBreakHyphen/>
      </w:r>
      <w:r w:rsidRPr="00886D8A">
        <w:t>adjusted life</w:t>
      </w:r>
      <w:r w:rsidR="0011024A">
        <w:noBreakHyphen/>
      </w:r>
      <w:r w:rsidRPr="00886D8A">
        <w:t>years.</w:t>
      </w:r>
    </w:p>
    <w:p w14:paraId="00982C0C" w14:textId="478B1844" w:rsidR="00FB4693" w:rsidRPr="00886D8A" w:rsidRDefault="37D6D75E" w:rsidP="004E36D3">
      <w:pPr>
        <w:pStyle w:val="3-BodyText"/>
      </w:pPr>
      <w:r w:rsidRPr="00886D8A">
        <w:t>The model structure presented in the submission was consistent with that used by Stevenson et al. (2024), which was an update to the Markov model used for the NICE evaluation of velmanase alfa in 2023 (NICE HST29)</w:t>
      </w:r>
      <w:r w:rsidR="0049049A" w:rsidRPr="00886D8A">
        <w:t>.</w:t>
      </w:r>
      <w:r w:rsidR="00FB4693" w:rsidRPr="00886D8A">
        <w:rPr>
          <w:rStyle w:val="FootnoteReference"/>
        </w:rPr>
        <w:footnoteReference w:id="3"/>
      </w:r>
      <w:r w:rsidRPr="00886D8A">
        <w:t xml:space="preserve"> The Markov model assessed the following five mutually exclusive health states: Normal walking, Occasional walking aid/wheelchair use, Frequent walking aid/wheelchair use, Wheelchair dependence, and Death. In the base case, the model allowed backward transition, but </w:t>
      </w:r>
      <w:r w:rsidR="6998D497" w:rsidRPr="00886D8A">
        <w:t>only from</w:t>
      </w:r>
      <w:r w:rsidRPr="00886D8A">
        <w:t xml:space="preserve"> ‘Occasional walking aid/wheelchair use’ to ‘Normal walking’ and </w:t>
      </w:r>
      <w:r w:rsidR="28C5A650" w:rsidRPr="00886D8A">
        <w:t xml:space="preserve">only </w:t>
      </w:r>
      <w:r w:rsidRPr="00886D8A">
        <w:t>for those receiving velmanase alfa. Infections were modelled as independent events within each health state.</w:t>
      </w:r>
    </w:p>
    <w:p w14:paraId="68DE704B" w14:textId="0D3838D5" w:rsidR="00FB4693" w:rsidRPr="00886D8A" w:rsidRDefault="00FB4693" w:rsidP="004E36D3">
      <w:pPr>
        <w:pStyle w:val="3-BodyText"/>
      </w:pPr>
      <w:r w:rsidRPr="00886D8A">
        <w:t>AM is a multi</w:t>
      </w:r>
      <w:r w:rsidR="0011024A">
        <w:noBreakHyphen/>
      </w:r>
      <w:r w:rsidRPr="00886D8A">
        <w:t xml:space="preserve">systemic disease, characterised by hearing impairment, intellectual disability, facial and skeletal abnormalities, reduced lung function, and immunodeficiency, among other manifestations. </w:t>
      </w:r>
      <w:r w:rsidR="009D2424" w:rsidRPr="00886D8A">
        <w:t>The evaluators noted that</w:t>
      </w:r>
      <w:r w:rsidRPr="00886D8A">
        <w:t xml:space="preserve"> the model structure </w:t>
      </w:r>
      <w:r w:rsidR="00817A8B" w:rsidRPr="00886D8A">
        <w:t xml:space="preserve">did </w:t>
      </w:r>
      <w:r w:rsidRPr="00886D8A">
        <w:t>not fully capture all clinically relevant aspects of the condition. Key opinion leaders identified pain as a significant symptom with a substantial impact on QoL and recommended its inclusion in the model, while noting that infection was not a high priority for adults. The NICE evaluation concluded that while other measures of disease progression, such as lung function, could be an option for defining the model structure, the overall model structure was adequate for decision</w:t>
      </w:r>
      <w:r w:rsidR="0011024A">
        <w:noBreakHyphen/>
      </w:r>
      <w:r w:rsidRPr="00886D8A">
        <w:t>making.</w:t>
      </w:r>
      <w:r w:rsidR="003A2DEF" w:rsidRPr="00886D8A">
        <w:t xml:space="preserve"> The </w:t>
      </w:r>
      <w:r w:rsidR="00E16ACC" w:rsidRPr="00886D8A">
        <w:t>Sub</w:t>
      </w:r>
      <w:r w:rsidR="0011024A">
        <w:noBreakHyphen/>
      </w:r>
      <w:r w:rsidR="00E16ACC" w:rsidRPr="00886D8A">
        <w:t>Committees</w:t>
      </w:r>
      <w:r w:rsidR="003A2DEF" w:rsidRPr="00886D8A">
        <w:t xml:space="preserve"> considered that although the specified health states were categorised using mobility as the main criteria, the</w:t>
      </w:r>
      <w:r w:rsidR="009D2424" w:rsidRPr="00886D8A">
        <w:t>y</w:t>
      </w:r>
      <w:r w:rsidR="003A2DEF" w:rsidRPr="00886D8A">
        <w:t xml:space="preserve"> </w:t>
      </w:r>
      <w:r w:rsidR="009D2424" w:rsidRPr="00886D8A">
        <w:t>we</w:t>
      </w:r>
      <w:r w:rsidR="003A2DEF" w:rsidRPr="00886D8A">
        <w:t xml:space="preserve">re likely to represent the progression and severity of disease in a reasonable way, </w:t>
      </w:r>
      <w:r w:rsidR="009D2424" w:rsidRPr="00886D8A">
        <w:t xml:space="preserve">so </w:t>
      </w:r>
      <w:r w:rsidR="003A2DEF" w:rsidRPr="00886D8A">
        <w:t xml:space="preserve">long as </w:t>
      </w:r>
      <w:r w:rsidR="009D2424" w:rsidRPr="00886D8A">
        <w:t xml:space="preserve">the </w:t>
      </w:r>
      <w:r w:rsidR="003A2DEF" w:rsidRPr="00886D8A">
        <w:t>health state utilities applied to each state sufficiently capture</w:t>
      </w:r>
      <w:r w:rsidR="009D2424" w:rsidRPr="00886D8A">
        <w:t>d</w:t>
      </w:r>
      <w:r w:rsidR="003A2DEF" w:rsidRPr="00886D8A">
        <w:t xml:space="preserve"> the heterogeneity of </w:t>
      </w:r>
      <w:r w:rsidR="009D2424" w:rsidRPr="00886D8A">
        <w:t>the</w:t>
      </w:r>
      <w:r w:rsidR="003A2DEF" w:rsidRPr="00886D8A">
        <w:t xml:space="preserve"> symptoms being experienced (on average). </w:t>
      </w:r>
      <w:r w:rsidR="009D2424" w:rsidRPr="00886D8A">
        <w:t>The Sub</w:t>
      </w:r>
      <w:r w:rsidR="0011024A">
        <w:noBreakHyphen/>
      </w:r>
      <w:r w:rsidR="009D2424" w:rsidRPr="00886D8A">
        <w:t xml:space="preserve">Committees </w:t>
      </w:r>
      <w:r w:rsidR="0051282D" w:rsidRPr="00886D8A">
        <w:t>noted that a</w:t>
      </w:r>
      <w:r w:rsidR="003A2DEF" w:rsidRPr="00886D8A">
        <w:t>dditional granularity of health state occupation could potentially be added</w:t>
      </w:r>
      <w:r w:rsidR="0051282D" w:rsidRPr="00886D8A">
        <w:t xml:space="preserve"> to the model;</w:t>
      </w:r>
      <w:r w:rsidR="003A2DEF" w:rsidRPr="00886D8A">
        <w:t xml:space="preserve"> however, given the paucity of available evidence it </w:t>
      </w:r>
      <w:r w:rsidR="0051282D" w:rsidRPr="00886D8A">
        <w:t>would</w:t>
      </w:r>
      <w:r w:rsidR="003A2DEF" w:rsidRPr="00886D8A">
        <w:t xml:space="preserve"> likely unnecessarily increase the complexity of the model and decrease confidence in the results.</w:t>
      </w:r>
    </w:p>
    <w:p w14:paraId="3886E655" w14:textId="272D9D54" w:rsidR="00FB4693" w:rsidRPr="00886D8A" w:rsidRDefault="569414F0" w:rsidP="004E36D3">
      <w:pPr>
        <w:pStyle w:val="3-BodyText"/>
      </w:pPr>
      <w:bookmarkStart w:id="85" w:name="_Ref204073872"/>
      <w:r w:rsidRPr="00886D8A">
        <w:t>The base case used a lifetime time horizon (i.e., until age 100 or death) to capture the potential long</w:t>
      </w:r>
      <w:r w:rsidR="0011024A">
        <w:noBreakHyphen/>
      </w:r>
      <w:r w:rsidRPr="00886D8A">
        <w:t>term benefits of velmanase alfa. The submission noted that the use of a lifetime model was consistent with the March 2022 PBAC consideration of sebelipase alfa, which was listed on the Life Saving Drugs Program in April 2023</w:t>
      </w:r>
      <w:r w:rsidR="00B9072C" w:rsidRPr="00886D8A">
        <w:t xml:space="preserve"> for the treatment of infantile onset lysosomal acid lipase deficiency</w:t>
      </w:r>
      <w:r w:rsidR="06127EBA" w:rsidRPr="00886D8A">
        <w:t xml:space="preserve">. </w:t>
      </w:r>
      <w:r w:rsidR="008C4C97" w:rsidRPr="00886D8A">
        <w:t>T</w:t>
      </w:r>
      <w:r w:rsidR="00553287" w:rsidRPr="00886D8A">
        <w:t xml:space="preserve">he model assumed survival until the </w:t>
      </w:r>
      <w:r w:rsidR="06127EBA" w:rsidRPr="00886D8A">
        <w:t>age of</w:t>
      </w:r>
      <w:r w:rsidR="00553287" w:rsidRPr="00886D8A">
        <w:t xml:space="preserve"> 100 </w:t>
      </w:r>
      <w:r w:rsidR="00D910CC" w:rsidRPr="00886D8A">
        <w:t>years,</w:t>
      </w:r>
      <w:r w:rsidR="06127EBA" w:rsidRPr="00886D8A">
        <w:t xml:space="preserve"> </w:t>
      </w:r>
      <w:r w:rsidR="00553287" w:rsidRPr="00886D8A">
        <w:t>which may not be clinically plausible in this population</w:t>
      </w:r>
      <w:r w:rsidR="008C4C97" w:rsidRPr="00886D8A">
        <w:t xml:space="preserve"> as the average life expectancy for patients with AM is approximately 40 </w:t>
      </w:r>
      <w:r w:rsidR="008F44E9" w:rsidRPr="00886D8A">
        <w:t xml:space="preserve">to 50 </w:t>
      </w:r>
      <w:r w:rsidR="008C4C97" w:rsidRPr="00886D8A">
        <w:t>years</w:t>
      </w:r>
      <w:r w:rsidR="00553287" w:rsidRPr="00886D8A">
        <w:t>. T</w:t>
      </w:r>
      <w:r w:rsidRPr="00886D8A">
        <w:t>he model inputs were derived from the rhLAMAN</w:t>
      </w:r>
      <w:r w:rsidR="0011024A">
        <w:noBreakHyphen/>
      </w:r>
      <w:r w:rsidRPr="00886D8A">
        <w:t xml:space="preserve">10 trial, which had </w:t>
      </w:r>
      <w:r w:rsidR="00A24528" w:rsidRPr="00886D8A">
        <w:t>median follow up</w:t>
      </w:r>
      <w:r w:rsidRPr="00886D8A">
        <w:t xml:space="preserve"> of four years (48 months</w:t>
      </w:r>
      <w:r w:rsidR="06127EBA" w:rsidRPr="00886D8A">
        <w:t>), and</w:t>
      </w:r>
      <w:r w:rsidR="71AEAD14" w:rsidRPr="00886D8A">
        <w:t xml:space="preserve"> </w:t>
      </w:r>
      <w:r w:rsidR="0463A954" w:rsidRPr="00886D8A">
        <w:t>as stated in paragraph</w:t>
      </w:r>
      <w:r w:rsidR="3CCDD073" w:rsidRPr="00886D8A">
        <w:t xml:space="preserve"> </w:t>
      </w:r>
      <w:r w:rsidR="00FB4693" w:rsidRPr="00886D8A">
        <w:fldChar w:fldCharType="begin"/>
      </w:r>
      <w:r w:rsidR="00FB4693" w:rsidRPr="00886D8A">
        <w:instrText xml:space="preserve"> REF _Ref197757401 \r \h </w:instrText>
      </w:r>
      <w:r w:rsidR="00332C9F" w:rsidRPr="00886D8A">
        <w:instrText xml:space="preserve"> \* MERGEFORMAT </w:instrText>
      </w:r>
      <w:r w:rsidR="00FB4693" w:rsidRPr="00886D8A">
        <w:fldChar w:fldCharType="separate"/>
      </w:r>
      <w:r w:rsidR="00B73A9E">
        <w:t>6.50</w:t>
      </w:r>
      <w:r w:rsidR="00FB4693" w:rsidRPr="00886D8A">
        <w:fldChar w:fldCharType="end"/>
      </w:r>
      <w:r w:rsidR="3CCDD073" w:rsidRPr="00886D8A">
        <w:t>,</w:t>
      </w:r>
      <w:r w:rsidR="0463A954" w:rsidRPr="00886D8A">
        <w:t xml:space="preserve"> </w:t>
      </w:r>
      <w:r w:rsidR="64CCB156" w:rsidRPr="00886D8A">
        <w:t xml:space="preserve">the </w:t>
      </w:r>
      <w:r w:rsidR="3438559C" w:rsidRPr="00886D8A">
        <w:t>long</w:t>
      </w:r>
      <w:r w:rsidR="0011024A">
        <w:noBreakHyphen/>
      </w:r>
      <w:r w:rsidR="0463A954" w:rsidRPr="00886D8A">
        <w:t>term effectiveness and safety of velmanase alfa was uncertain.</w:t>
      </w:r>
      <w:r w:rsidR="2298F34C" w:rsidRPr="00886D8A">
        <w:t xml:space="preserve"> </w:t>
      </w:r>
      <w:r w:rsidRPr="00886D8A">
        <w:t>Additionally, the model was sensitive to the time horizon; reducing the time horizon to 20 years increased the</w:t>
      </w:r>
      <w:r w:rsidR="00C01D9B" w:rsidRPr="00C01D9B">
        <w:t xml:space="preserve"> incremental cost effectiveness ratio</w:t>
      </w:r>
      <w:r w:rsidRPr="00886D8A">
        <w:t xml:space="preserve"> </w:t>
      </w:r>
      <w:r w:rsidR="00C01D9B">
        <w:t>(</w:t>
      </w:r>
      <w:r w:rsidRPr="00886D8A">
        <w:t>ICER</w:t>
      </w:r>
      <w:r w:rsidR="00C01D9B">
        <w:t>)</w:t>
      </w:r>
      <w:r w:rsidRPr="00886D8A">
        <w:t xml:space="preserve"> </w:t>
      </w:r>
      <w:r w:rsidRPr="00863E0B">
        <w:t xml:space="preserve">by </w:t>
      </w:r>
      <w:r w:rsidR="00ED4AC4" w:rsidRPr="001E6CE7">
        <w:rPr>
          <w:color w:val="000000"/>
          <w:w w:val="15"/>
          <w:shd w:val="solid" w:color="000000" w:fill="000000"/>
          <w:fitText w:val="-20" w:id="-628411391"/>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391"/>
          <w14:textFill>
            <w14:solidFill>
              <w14:srgbClr w14:val="000000">
                <w14:alpha w14:val="100000"/>
              </w14:srgbClr>
            </w14:solidFill>
          </w14:textFill>
        </w:rPr>
        <w:t>|</w:t>
      </w:r>
      <w:r w:rsidRPr="00863E0B">
        <w:t>%</w:t>
      </w:r>
      <w:r w:rsidR="00C03441" w:rsidRPr="00886D8A">
        <w:t xml:space="preserve"> and assuming a time horizon of 30 years increased the ICER</w:t>
      </w:r>
      <w:r w:rsidR="00F146BE">
        <w:t xml:space="preserve"> </w:t>
      </w:r>
      <w:r w:rsidR="00C03441" w:rsidRPr="00886D8A">
        <w:t xml:space="preserve">by </w:t>
      </w:r>
      <w:r w:rsidR="00ED4AC4" w:rsidRPr="001E6CE7">
        <w:rPr>
          <w:color w:val="000000"/>
          <w:w w:val="15"/>
          <w:shd w:val="solid" w:color="000000" w:fill="000000"/>
          <w:fitText w:val="-20" w:id="-628411390"/>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390"/>
          <w14:textFill>
            <w14:solidFill>
              <w14:srgbClr w14:val="000000">
                <w14:alpha w14:val="100000"/>
              </w14:srgbClr>
            </w14:solidFill>
          </w14:textFill>
        </w:rPr>
        <w:t>|</w:t>
      </w:r>
      <w:r w:rsidR="00C03441" w:rsidRPr="00886D8A">
        <w:t>%</w:t>
      </w:r>
      <w:r w:rsidRPr="00886D8A">
        <w:t xml:space="preserve">. </w:t>
      </w:r>
      <w:r w:rsidR="00F27152" w:rsidRPr="00886D8A">
        <w:t>The PSCR</w:t>
      </w:r>
      <w:r w:rsidR="00327B92" w:rsidRPr="00886D8A" w:rsidDel="00F60D51">
        <w:t xml:space="preserve"> </w:t>
      </w:r>
      <w:r w:rsidR="00F60D51" w:rsidRPr="00886D8A">
        <w:t>stated</w:t>
      </w:r>
      <w:r w:rsidR="00327B92" w:rsidRPr="00886D8A">
        <w:t xml:space="preserve"> that a 20</w:t>
      </w:r>
      <w:r w:rsidR="0011024A">
        <w:noBreakHyphen/>
      </w:r>
      <w:r w:rsidR="00327B92" w:rsidRPr="00886D8A">
        <w:t xml:space="preserve">year time horizon </w:t>
      </w:r>
      <w:r w:rsidR="008F44E9" w:rsidRPr="00886D8A">
        <w:t>would</w:t>
      </w:r>
      <w:r w:rsidR="00F474C0" w:rsidRPr="00886D8A">
        <w:t xml:space="preserve"> be too short given the limited data available in the literature on AM</w:t>
      </w:r>
      <w:r w:rsidR="0011024A">
        <w:noBreakHyphen/>
      </w:r>
      <w:r w:rsidR="00F474C0" w:rsidRPr="00886D8A">
        <w:t>related mortality</w:t>
      </w:r>
      <w:r w:rsidR="00384100" w:rsidRPr="00886D8A">
        <w:t xml:space="preserve"> and stated that </w:t>
      </w:r>
      <w:r w:rsidR="008F44E9" w:rsidRPr="00886D8A">
        <w:t>as</w:t>
      </w:r>
      <w:r w:rsidR="00F474C0" w:rsidRPr="00886D8A">
        <w:t xml:space="preserve"> the average life expectancy for patients with AM is between 40 and 50 years, a 40</w:t>
      </w:r>
      <w:r w:rsidR="0011024A">
        <w:noBreakHyphen/>
      </w:r>
      <w:r w:rsidR="00F474C0" w:rsidRPr="00886D8A">
        <w:t xml:space="preserve">year time horizon might be more appropriate. </w:t>
      </w:r>
      <w:r w:rsidR="00D20260" w:rsidRPr="00886D8A">
        <w:t>The PSCR noted that a 40</w:t>
      </w:r>
      <w:r w:rsidR="0011024A">
        <w:noBreakHyphen/>
      </w:r>
      <w:r w:rsidR="00D20260" w:rsidRPr="00886D8A">
        <w:t xml:space="preserve">year horizon </w:t>
      </w:r>
      <w:r w:rsidR="008F44E9" w:rsidRPr="00886D8A">
        <w:t xml:space="preserve">increased the ICER by </w:t>
      </w:r>
      <w:r w:rsidR="00ED4AC4" w:rsidRPr="001E6CE7">
        <w:rPr>
          <w:color w:val="000000"/>
          <w:w w:val="15"/>
          <w:shd w:val="solid" w:color="000000" w:fill="000000"/>
          <w:fitText w:val="-20" w:id="-628411389"/>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389"/>
          <w14:textFill>
            <w14:solidFill>
              <w14:srgbClr w14:val="000000">
                <w14:alpha w14:val="100000"/>
              </w14:srgbClr>
            </w14:solidFill>
          </w14:textFill>
        </w:rPr>
        <w:t>|</w:t>
      </w:r>
      <w:r w:rsidR="008F44E9" w:rsidRPr="00886D8A">
        <w:t xml:space="preserve">%. </w:t>
      </w:r>
      <w:r w:rsidR="00D42F98" w:rsidRPr="00886D8A">
        <w:t xml:space="preserve">The </w:t>
      </w:r>
      <w:r w:rsidR="00746434" w:rsidRPr="00886D8A">
        <w:t>Sub</w:t>
      </w:r>
      <w:r w:rsidR="0011024A">
        <w:noBreakHyphen/>
      </w:r>
      <w:r w:rsidR="00746434" w:rsidRPr="00886D8A">
        <w:t xml:space="preserve">Committees </w:t>
      </w:r>
      <w:r w:rsidR="00EC0956" w:rsidRPr="00886D8A">
        <w:t>considered that</w:t>
      </w:r>
      <w:r w:rsidR="00753FCF" w:rsidRPr="00886D8A">
        <w:t xml:space="preserve"> </w:t>
      </w:r>
      <w:r w:rsidR="004D4DC1" w:rsidRPr="00886D8A">
        <w:t>a time horizon of 30</w:t>
      </w:r>
      <w:r w:rsidR="0011024A">
        <w:noBreakHyphen/>
      </w:r>
      <w:r w:rsidR="004D4DC1" w:rsidRPr="00886D8A">
        <w:t xml:space="preserve">40 years </w:t>
      </w:r>
      <w:r w:rsidR="00001F74" w:rsidRPr="00886D8A">
        <w:t>might be</w:t>
      </w:r>
      <w:r w:rsidR="00753FCF" w:rsidRPr="00886D8A">
        <w:t xml:space="preserve"> appropriate for </w:t>
      </w:r>
      <w:r w:rsidR="00290DB6" w:rsidRPr="00886D8A">
        <w:t xml:space="preserve">both </w:t>
      </w:r>
      <w:r w:rsidR="00753FCF" w:rsidRPr="00886D8A">
        <w:t xml:space="preserve">the </w:t>
      </w:r>
      <w:r w:rsidR="00001F74" w:rsidRPr="00886D8A">
        <w:t>paediatric and adult populations</w:t>
      </w:r>
      <w:r w:rsidR="00BD19D7" w:rsidRPr="00886D8A">
        <w:t xml:space="preserve"> </w:t>
      </w:r>
      <w:r w:rsidR="00753FCF" w:rsidRPr="00886D8A">
        <w:t xml:space="preserve">as greater life expectancy gains may be expected (but not necessarily realised) </w:t>
      </w:r>
      <w:r w:rsidR="00357A78" w:rsidRPr="00886D8A">
        <w:t xml:space="preserve">for patients diagnosed as adults who generally have a </w:t>
      </w:r>
      <w:r w:rsidR="007E24F2" w:rsidRPr="00886D8A">
        <w:t xml:space="preserve">milder, </w:t>
      </w:r>
      <w:r w:rsidR="00357A78" w:rsidRPr="00886D8A">
        <w:t>more attenuated disease course.</w:t>
      </w:r>
      <w:bookmarkEnd w:id="85"/>
      <w:r w:rsidR="00357A78" w:rsidRPr="00886D8A">
        <w:t xml:space="preserve"> </w:t>
      </w:r>
    </w:p>
    <w:p w14:paraId="15221F20" w14:textId="6AB612A7" w:rsidR="00331DB7" w:rsidRPr="00886D8A" w:rsidRDefault="569414F0" w:rsidP="004E36D3">
      <w:pPr>
        <w:pStyle w:val="3-BodyText"/>
      </w:pPr>
      <w:bookmarkStart w:id="86" w:name="_Ref204073876"/>
      <w:bookmarkStart w:id="87" w:name="_Ref197681409"/>
      <w:r w:rsidRPr="00886D8A">
        <w:t xml:space="preserve">Health state transition probabilities for progression (forward transition probabilities) and </w:t>
      </w:r>
      <w:r w:rsidR="002F3372" w:rsidRPr="00886D8A">
        <w:t>improvement</w:t>
      </w:r>
      <w:r w:rsidRPr="00886D8A">
        <w:t xml:space="preserve"> (backward transition probabilities) were based on </w:t>
      </w:r>
      <w:r w:rsidR="5B4A90F9" w:rsidRPr="00886D8A">
        <w:t xml:space="preserve">the </w:t>
      </w:r>
      <w:r w:rsidRPr="00886D8A">
        <w:t>rhLAMAN</w:t>
      </w:r>
      <w:r w:rsidR="0011024A">
        <w:noBreakHyphen/>
      </w:r>
      <w:r w:rsidRPr="00886D8A">
        <w:t xml:space="preserve">10 trial data and a structured expert elicitation panel. </w:t>
      </w:r>
      <w:r w:rsidR="008E6FF9" w:rsidRPr="00886D8A">
        <w:t>The Sub</w:t>
      </w:r>
      <w:r w:rsidR="0011024A">
        <w:noBreakHyphen/>
      </w:r>
      <w:r w:rsidR="008E6FF9" w:rsidRPr="00886D8A">
        <w:t>Committees noted that the transition probabilities between normal walking and occasional walking aid/wheelchair use (both forward</w:t>
      </w:r>
      <w:r w:rsidR="009F26AF" w:rsidRPr="00886D8A">
        <w:t>s</w:t>
      </w:r>
      <w:r w:rsidR="008E6FF9" w:rsidRPr="00886D8A">
        <w:t xml:space="preserve"> and backward</w:t>
      </w:r>
      <w:r w:rsidR="009F26AF" w:rsidRPr="00886D8A">
        <w:t>s</w:t>
      </w:r>
      <w:r w:rsidR="008E6FF9" w:rsidRPr="00886D8A">
        <w:t>) were based on small numbers from the rhLAMAN</w:t>
      </w:r>
      <w:r w:rsidR="0011024A">
        <w:noBreakHyphen/>
      </w:r>
      <w:r w:rsidR="008E6FF9" w:rsidRPr="00886D8A">
        <w:t xml:space="preserve">10 trial and it was </w:t>
      </w:r>
      <w:r w:rsidR="0063054D" w:rsidRPr="00886D8A">
        <w:t xml:space="preserve">therefore </w:t>
      </w:r>
      <w:r w:rsidR="008E6FF9" w:rsidRPr="00886D8A">
        <w:t xml:space="preserve">difficult to assess the effect of the probabilities applied apart from ‘include’ and ‘exclude’. Excluding the backward transition probabilities for velmanase alfa increased the ICER by </w:t>
      </w:r>
      <w:r w:rsidR="00ED4AC4" w:rsidRPr="001E6CE7">
        <w:rPr>
          <w:color w:val="000000"/>
          <w:w w:val="15"/>
          <w:shd w:val="solid" w:color="000000" w:fill="000000"/>
          <w:fitText w:val="-20" w:id="-628411388"/>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388"/>
          <w14:textFill>
            <w14:solidFill>
              <w14:srgbClr w14:val="000000">
                <w14:alpha w14:val="100000"/>
              </w14:srgbClr>
            </w14:solidFill>
          </w14:textFill>
        </w:rPr>
        <w:t>|</w:t>
      </w:r>
      <w:r w:rsidR="008E6FF9" w:rsidRPr="00886D8A">
        <w:t xml:space="preserve">% to </w:t>
      </w:r>
      <w:r w:rsidR="00F03431" w:rsidRPr="00F03431">
        <w:t>&gt; $1,055,000</w:t>
      </w:r>
      <w:r w:rsidR="005C5BFF" w:rsidRPr="00886D8A">
        <w:t>.</w:t>
      </w:r>
      <w:bookmarkEnd w:id="86"/>
      <w:r w:rsidR="00C934F9" w:rsidRPr="00886D8A">
        <w:t xml:space="preserve"> </w:t>
      </w:r>
    </w:p>
    <w:p w14:paraId="2A3F1E33" w14:textId="5B149F1D" w:rsidR="00FB4693" w:rsidRPr="00886D8A" w:rsidRDefault="00331DB7" w:rsidP="004E36D3">
      <w:pPr>
        <w:pStyle w:val="3-BodyText"/>
      </w:pPr>
      <w:bookmarkStart w:id="88" w:name="_Ref204073878"/>
      <w:r w:rsidRPr="00886D8A">
        <w:t>A</w:t>
      </w:r>
      <w:r w:rsidR="007B7720" w:rsidRPr="00886D8A">
        <w:t xml:space="preserve">s </w:t>
      </w:r>
      <w:r w:rsidR="569414F0" w:rsidRPr="00886D8A">
        <w:t xml:space="preserve">limited data was available from rhLAMAN studies, transition probabilities </w:t>
      </w:r>
      <w:r w:rsidR="007B7720" w:rsidRPr="00886D8A">
        <w:t xml:space="preserve">between </w:t>
      </w:r>
      <w:r w:rsidR="569414F0" w:rsidRPr="00886D8A">
        <w:t xml:space="preserve">other health states and </w:t>
      </w:r>
      <w:r w:rsidR="007B7720" w:rsidRPr="00886D8A">
        <w:t xml:space="preserve">for </w:t>
      </w:r>
      <w:r w:rsidR="569414F0" w:rsidRPr="00886D8A">
        <w:t xml:space="preserve">BSC patients were derived </w:t>
      </w:r>
      <w:r w:rsidR="6F9CA3F0" w:rsidRPr="00886D8A">
        <w:t>using a</w:t>
      </w:r>
      <w:r w:rsidR="569414F0" w:rsidRPr="00886D8A">
        <w:t xml:space="preserve"> structured expert elicitation </w:t>
      </w:r>
      <w:r w:rsidR="648C8859" w:rsidRPr="00886D8A">
        <w:t>exercise</w:t>
      </w:r>
      <w:r w:rsidR="569414F0" w:rsidRPr="00886D8A">
        <w:t xml:space="preserve"> as described in Hemming et al. (2017; IDEA protocol). While the use of expert elicitation was reasonable in the absence of empirical data, the method</w:t>
      </w:r>
      <w:r w:rsidR="14E255A9" w:rsidRPr="00886D8A">
        <w:t>s followed</w:t>
      </w:r>
      <w:r w:rsidR="08F0AECE" w:rsidRPr="00886D8A">
        <w:t xml:space="preserve"> had some</w:t>
      </w:r>
      <w:r w:rsidR="569414F0" w:rsidRPr="00886D8A">
        <w:t xml:space="preserve"> limitations, including the lack of expert interaction, cognitive bias among experts, no guidance on fitting distributions or aggregating responses, and the absence of a formal validation process.</w:t>
      </w:r>
      <w:bookmarkEnd w:id="87"/>
      <w:r w:rsidR="002A0741" w:rsidRPr="00886D8A">
        <w:t xml:space="preserve"> </w:t>
      </w:r>
      <w:r w:rsidR="009E1353" w:rsidRPr="00886D8A">
        <w:t>The PSCR</w:t>
      </w:r>
      <w:r w:rsidR="00D71D43" w:rsidRPr="00886D8A" w:rsidDel="00642947">
        <w:t xml:space="preserve"> </w:t>
      </w:r>
      <w:r w:rsidR="00D71D43" w:rsidRPr="00886D8A">
        <w:t xml:space="preserve">agreed </w:t>
      </w:r>
      <w:r w:rsidR="00642947" w:rsidRPr="00886D8A">
        <w:t xml:space="preserve">that there were limitations with the expert </w:t>
      </w:r>
      <w:r w:rsidR="00B93186" w:rsidRPr="00886D8A">
        <w:t>elicitation exercise</w:t>
      </w:r>
      <w:r w:rsidR="00D71D43" w:rsidRPr="00886D8A">
        <w:t xml:space="preserve"> but noted </w:t>
      </w:r>
      <w:r w:rsidR="00635154" w:rsidRPr="00886D8A">
        <w:t>that given the ultra</w:t>
      </w:r>
      <w:r w:rsidR="0011024A">
        <w:noBreakHyphen/>
      </w:r>
      <w:r w:rsidR="00635154" w:rsidRPr="00886D8A">
        <w:t>rare nat</w:t>
      </w:r>
      <w:r w:rsidR="00F71B87" w:rsidRPr="00886D8A">
        <w:t xml:space="preserve">ure of AM, </w:t>
      </w:r>
      <w:r w:rsidR="000D1185" w:rsidRPr="00886D8A">
        <w:t xml:space="preserve">there is a significant lack of published data to inform key model parameters. </w:t>
      </w:r>
      <w:r w:rsidR="00E35012" w:rsidRPr="00886D8A">
        <w:t>Further, i</w:t>
      </w:r>
      <w:r w:rsidR="00975B4A" w:rsidRPr="00886D8A">
        <w:t>mportant clinical aspects such as the incidence of severe infections and the need for surgical interventions were not captured in the rhLAMAN trials and could not be derived from trial data</w:t>
      </w:r>
      <w:r w:rsidR="00252D04" w:rsidRPr="00886D8A">
        <w:t xml:space="preserve">. The PSCR </w:t>
      </w:r>
      <w:r w:rsidR="00681427" w:rsidRPr="00886D8A">
        <w:t xml:space="preserve">stated </w:t>
      </w:r>
      <w:r w:rsidR="00252D04" w:rsidRPr="00886D8A">
        <w:t>that</w:t>
      </w:r>
      <w:r w:rsidR="0095003B" w:rsidRPr="00886D8A">
        <w:t xml:space="preserve"> the</w:t>
      </w:r>
      <w:r w:rsidR="005F7BD9" w:rsidRPr="00886D8A">
        <w:t xml:space="preserve"> </w:t>
      </w:r>
      <w:r w:rsidR="00975B4A" w:rsidRPr="00886D8A">
        <w:t>structured expert elicitation panel report remains the best evidence to inform the model inputs</w:t>
      </w:r>
      <w:r w:rsidR="005F7BD9" w:rsidRPr="00886D8A">
        <w:t>.</w:t>
      </w:r>
      <w:bookmarkEnd w:id="88"/>
      <w:r w:rsidR="005F7BD9" w:rsidRPr="00886D8A">
        <w:t xml:space="preserve"> </w:t>
      </w:r>
    </w:p>
    <w:p w14:paraId="527663C4" w14:textId="7A51A0EA" w:rsidR="00FB4693" w:rsidRPr="00886D8A" w:rsidRDefault="00FB4693" w:rsidP="004E36D3">
      <w:pPr>
        <w:pStyle w:val="3-BodyText"/>
      </w:pPr>
      <w:r w:rsidRPr="00886D8A">
        <w:t xml:space="preserve">Infections were modelled as independent events that </w:t>
      </w:r>
      <w:r w:rsidR="00745696" w:rsidRPr="00886D8A">
        <w:t xml:space="preserve">could </w:t>
      </w:r>
      <w:r w:rsidRPr="00886D8A">
        <w:t xml:space="preserve">have economic, </w:t>
      </w:r>
      <w:r w:rsidR="3EB98ACF" w:rsidRPr="00886D8A">
        <w:t>HRQoL</w:t>
      </w:r>
      <w:r w:rsidRPr="00886D8A">
        <w:t>, and survival consequences. In the absence of available data from rhLAMAN</w:t>
      </w:r>
      <w:r w:rsidR="0011024A">
        <w:noBreakHyphen/>
      </w:r>
      <w:r w:rsidRPr="00886D8A">
        <w:t xml:space="preserve">10 or the literature, rates of acute and recurrent infections in paediatric and adult patients were derived from the structured expert elicitation panel report. </w:t>
      </w:r>
    </w:p>
    <w:p w14:paraId="22DE3CDB" w14:textId="0AE29AD9" w:rsidR="00FB4693" w:rsidRPr="00886D8A" w:rsidRDefault="00FB4693" w:rsidP="004E36D3">
      <w:pPr>
        <w:pStyle w:val="3-BodyText"/>
      </w:pPr>
      <w:r w:rsidRPr="00886D8A">
        <w:t>The submission applied an annual discontinuation rate of 13.3% in Year 1, based on a multi</w:t>
      </w:r>
      <w:r w:rsidR="0011024A">
        <w:noBreakHyphen/>
      </w:r>
      <w:r w:rsidRPr="00886D8A">
        <w:t>domain responder analysis where two of 15 patients were non</w:t>
      </w:r>
      <w:r w:rsidR="0011024A">
        <w:noBreakHyphen/>
      </w:r>
      <w:r w:rsidRPr="00886D8A">
        <w:t>responders over 12 months</w:t>
      </w:r>
      <w:r w:rsidR="0E4923C2" w:rsidRPr="00886D8A">
        <w:t xml:space="preserve">. </w:t>
      </w:r>
      <w:r w:rsidR="5F700502" w:rsidRPr="00886D8A">
        <w:t>A</w:t>
      </w:r>
      <w:r w:rsidRPr="00886D8A">
        <w:t xml:space="preserve"> 10% </w:t>
      </w:r>
      <w:r w:rsidR="4F18D2E3" w:rsidRPr="00886D8A">
        <w:t xml:space="preserve">discontinuation </w:t>
      </w:r>
      <w:r w:rsidRPr="00886D8A">
        <w:t xml:space="preserve">rate </w:t>
      </w:r>
      <w:r w:rsidR="007B7720" w:rsidRPr="00886D8A">
        <w:t>was applied</w:t>
      </w:r>
      <w:r w:rsidRPr="00886D8A">
        <w:t xml:space="preserve"> in subsequent years to reflect potential factors such as infusion</w:t>
      </w:r>
      <w:r w:rsidR="0011024A">
        <w:noBreakHyphen/>
      </w:r>
      <w:r w:rsidRPr="00886D8A">
        <w:t>related reactions, non</w:t>
      </w:r>
      <w:r w:rsidR="0011024A">
        <w:noBreakHyphen/>
      </w:r>
      <w:r w:rsidRPr="00886D8A">
        <w:t>compliance, patient preference, and the development of other life</w:t>
      </w:r>
      <w:r w:rsidR="0011024A">
        <w:noBreakHyphen/>
      </w:r>
      <w:r w:rsidRPr="00886D8A">
        <w:t>limiting conditions (e.g., cancer).</w:t>
      </w:r>
      <w:r w:rsidR="384AFC1B" w:rsidRPr="00886D8A">
        <w:t xml:space="preserve"> </w:t>
      </w:r>
      <w:r w:rsidRPr="00886D8A">
        <w:t xml:space="preserve">These discontinuation rates were applied uniformly across both paediatric and adult subgroups. Notably, the requested restriction did not include any stopping or continuation criteria, and patients may remain on treatment for life. </w:t>
      </w:r>
      <w:r w:rsidR="0038256F" w:rsidRPr="00886D8A">
        <w:t>T</w:t>
      </w:r>
      <w:r w:rsidR="001C2031" w:rsidRPr="00886D8A">
        <w:t>he Sub</w:t>
      </w:r>
      <w:r w:rsidR="0011024A">
        <w:noBreakHyphen/>
      </w:r>
      <w:r w:rsidR="001C2031" w:rsidRPr="00886D8A">
        <w:t>Committees noted that t</w:t>
      </w:r>
      <w:r w:rsidR="0038256F" w:rsidRPr="00886D8A">
        <w:t>here was a lack of transparency in the submission detailing the transition probabilities in the velmanase al</w:t>
      </w:r>
      <w:r w:rsidR="00F74BBF" w:rsidRPr="00886D8A">
        <w:t>f</w:t>
      </w:r>
      <w:r w:rsidR="0038256F" w:rsidRPr="00886D8A">
        <w:t xml:space="preserve">a arm following discontinuation of treatment. </w:t>
      </w:r>
      <w:r w:rsidR="001C2031" w:rsidRPr="00886D8A">
        <w:t>The Sub</w:t>
      </w:r>
      <w:r w:rsidR="0011024A">
        <w:noBreakHyphen/>
      </w:r>
      <w:r w:rsidR="001C2031" w:rsidRPr="00886D8A">
        <w:t>Committees noted that it</w:t>
      </w:r>
      <w:r w:rsidR="0038256F" w:rsidRPr="00886D8A">
        <w:t xml:space="preserve"> appear</w:t>
      </w:r>
      <w:r w:rsidR="001C2031" w:rsidRPr="00886D8A">
        <w:t>ed,</w:t>
      </w:r>
      <w:r w:rsidR="0038256F" w:rsidRPr="00886D8A">
        <w:t xml:space="preserve"> from the model</w:t>
      </w:r>
      <w:r w:rsidR="001C2031" w:rsidRPr="00886D8A">
        <w:t>,</w:t>
      </w:r>
      <w:r w:rsidR="0038256F" w:rsidRPr="00886D8A">
        <w:t xml:space="preserve"> that </w:t>
      </w:r>
      <w:r w:rsidR="00AB2623" w:rsidRPr="00886D8A">
        <w:t>BSC</w:t>
      </w:r>
      <w:r w:rsidR="0038256F" w:rsidRPr="00886D8A">
        <w:t xml:space="preserve"> transitions were applied</w:t>
      </w:r>
      <w:r w:rsidR="00AB2623" w:rsidRPr="00886D8A">
        <w:t xml:space="preserve"> to these patients</w:t>
      </w:r>
      <w:r w:rsidR="0038256F" w:rsidRPr="00886D8A">
        <w:t>.</w:t>
      </w:r>
    </w:p>
    <w:p w14:paraId="42D1718E" w14:textId="77777777" w:rsidR="00FB4693" w:rsidRPr="00886D8A" w:rsidRDefault="00FB4693" w:rsidP="004E36D3">
      <w:pPr>
        <w:pStyle w:val="3-BodyText"/>
      </w:pPr>
      <w:r w:rsidRPr="00886D8A">
        <w:t xml:space="preserve">Based on the structured expert elicitation panel and published literature, acute infections requiring hospitalisation were considered the primary drivers of mortality, while recurrent infections were assumed not to contribute to increased mortality risk. </w:t>
      </w:r>
    </w:p>
    <w:p w14:paraId="77FE1FD0" w14:textId="6E5BEB67" w:rsidR="00FB4693" w:rsidRPr="00886D8A" w:rsidRDefault="00FB4693" w:rsidP="004E36D3">
      <w:pPr>
        <w:pStyle w:val="3-BodyText"/>
      </w:pPr>
      <w:r w:rsidRPr="00886D8A">
        <w:t>Anaphylaxis and severe hypersensitivity reactions requiring medical treatment were considered in the model. The risk of adverse events and mean exposure to velmanase alfa were sourced from the FDA label. Reported probabilities of adverse events and mean treatment duration were used to calculate the per</w:t>
      </w:r>
      <w:r w:rsidR="0011024A">
        <w:noBreakHyphen/>
      </w:r>
      <w:r w:rsidRPr="00886D8A">
        <w:t>cycle probability of experiencing each event. Patients receiving BSC were assumed not to experience any adverse events.</w:t>
      </w:r>
    </w:p>
    <w:p w14:paraId="15D7A13C" w14:textId="24C7C327" w:rsidR="0010242E" w:rsidRPr="00886D8A" w:rsidRDefault="569414F0" w:rsidP="004E36D3">
      <w:pPr>
        <w:pStyle w:val="3-BodyText"/>
      </w:pPr>
      <w:bookmarkStart w:id="89" w:name="_Ref201145948"/>
      <w:bookmarkStart w:id="90" w:name="_Ref204073881"/>
      <w:r w:rsidRPr="00886D8A">
        <w:t>Health state utilities in the base case for Normal walking, Occasional walking aid/wheelchair use, Frequent walking aid/wheelchair use health states were derived from using the baseline EQ</w:t>
      </w:r>
      <w:r w:rsidR="0011024A">
        <w:noBreakHyphen/>
      </w:r>
      <w:r w:rsidRPr="00886D8A">
        <w:t>5D</w:t>
      </w:r>
      <w:r w:rsidR="0011024A">
        <w:noBreakHyphen/>
      </w:r>
      <w:r w:rsidRPr="00886D8A">
        <w:t>5L scores collected in the rhLAMAN</w:t>
      </w:r>
      <w:r w:rsidR="0011024A">
        <w:noBreakHyphen/>
      </w:r>
      <w:r w:rsidRPr="00886D8A">
        <w:t>10 study</w:t>
      </w:r>
      <w:r w:rsidR="003A3A26" w:rsidRPr="00886D8A">
        <w:t xml:space="preserve"> (see </w:t>
      </w:r>
      <w:r w:rsidR="00AF1116" w:rsidRPr="00886D8A">
        <w:fldChar w:fldCharType="begin"/>
      </w:r>
      <w:r w:rsidR="00AF1116" w:rsidRPr="00886D8A">
        <w:instrText xml:space="preserve"> REF _Ref201313799 \h </w:instrText>
      </w:r>
      <w:r w:rsidR="00F76563" w:rsidRPr="00886D8A">
        <w:instrText xml:space="preserve"> \* MERGEFORMAT </w:instrText>
      </w:r>
      <w:r w:rsidR="00AF1116" w:rsidRPr="00886D8A">
        <w:fldChar w:fldCharType="separate"/>
      </w:r>
      <w:r w:rsidR="00B73A9E" w:rsidRPr="00886D8A">
        <w:t xml:space="preserve">Table </w:t>
      </w:r>
      <w:r w:rsidR="00B73A9E">
        <w:t>13</w:t>
      </w:r>
      <w:r w:rsidR="00AF1116" w:rsidRPr="00886D8A">
        <w:fldChar w:fldCharType="end"/>
      </w:r>
      <w:r w:rsidR="003A3A26" w:rsidRPr="00886D8A">
        <w:t>)</w:t>
      </w:r>
      <w:r w:rsidRPr="00886D8A">
        <w:t>. Within the base case, utility values were 0.65 for Normal walking, 0.58 for Occasional walking aid/wheelchair use as well as Frequent walking aid/wheelchair use.</w:t>
      </w:r>
      <w:r w:rsidR="161B6D6F" w:rsidRPr="00886D8A">
        <w:t xml:space="preserve"> </w:t>
      </w:r>
      <w:r w:rsidR="79367780" w:rsidRPr="00886D8A">
        <w:t xml:space="preserve">As the states reflect disease progression, </w:t>
      </w:r>
      <w:r w:rsidR="144BD9A3" w:rsidRPr="00886D8A">
        <w:t xml:space="preserve">the use of the same utility value for both </w:t>
      </w:r>
      <w:r w:rsidR="006C1149" w:rsidRPr="00886D8A">
        <w:t>the Occasional walking</w:t>
      </w:r>
      <w:r w:rsidR="003623E2" w:rsidRPr="00886D8A">
        <w:t xml:space="preserve"> aid</w:t>
      </w:r>
      <w:r w:rsidR="006C1149" w:rsidRPr="00886D8A">
        <w:t>/wheelchair use and Frequent walking</w:t>
      </w:r>
      <w:r w:rsidR="003623E2" w:rsidRPr="00886D8A">
        <w:t xml:space="preserve"> aid/wheelchair use </w:t>
      </w:r>
      <w:r w:rsidR="144BD9A3" w:rsidRPr="00886D8A">
        <w:t>was not reasonable and may overestimate the actual benefit</w:t>
      </w:r>
      <w:r w:rsidR="161B6D6F" w:rsidRPr="00886D8A">
        <w:t xml:space="preserve">. </w:t>
      </w:r>
      <w:r w:rsidR="0089330B" w:rsidRPr="00886D8A">
        <w:t xml:space="preserve">The PSCR </w:t>
      </w:r>
      <w:r w:rsidR="00613716" w:rsidRPr="00886D8A">
        <w:t xml:space="preserve">acknowledged </w:t>
      </w:r>
      <w:r w:rsidR="00EB01AA" w:rsidRPr="00886D8A">
        <w:t xml:space="preserve">the limitation of applying the same utility value to both the ‘Occasional walking aid/wheelchair use’ and ‘Frequent walking aid/wheelchair use’ health states but </w:t>
      </w:r>
      <w:r w:rsidR="00AA7823" w:rsidRPr="00886D8A">
        <w:t>stated</w:t>
      </w:r>
      <w:r w:rsidR="00EB01AA" w:rsidRPr="00886D8A">
        <w:t xml:space="preserve"> that this was </w:t>
      </w:r>
      <w:r w:rsidR="00981F79" w:rsidRPr="00886D8A">
        <w:t xml:space="preserve">a </w:t>
      </w:r>
      <w:r w:rsidR="00901F47" w:rsidRPr="00886D8A">
        <w:t xml:space="preserve">conservative assumption as more patients in the BSC arm will be </w:t>
      </w:r>
      <w:r w:rsidR="00AA7823" w:rsidRPr="00886D8A">
        <w:t>in the</w:t>
      </w:r>
      <w:r w:rsidR="00901F47" w:rsidRPr="00886D8A">
        <w:t xml:space="preserve"> more severe ‘Frequent walking aid/wheelchair use’ health state compared to </w:t>
      </w:r>
      <w:r w:rsidR="007C7C73" w:rsidRPr="00886D8A">
        <w:t xml:space="preserve">velmanase alfa </w:t>
      </w:r>
      <w:r w:rsidR="00AA7823" w:rsidRPr="00886D8A">
        <w:t>patients</w:t>
      </w:r>
      <w:r w:rsidR="00901F47" w:rsidRPr="00886D8A">
        <w:t xml:space="preserve">. </w:t>
      </w:r>
      <w:r w:rsidR="00C37403" w:rsidRPr="00886D8A">
        <w:t xml:space="preserve">The PSCR </w:t>
      </w:r>
      <w:r w:rsidR="00F56734" w:rsidRPr="00886D8A">
        <w:t xml:space="preserve">noted that the </w:t>
      </w:r>
      <w:r w:rsidR="00283C4C" w:rsidRPr="00886D8A">
        <w:t>application of a lower utility value for</w:t>
      </w:r>
      <w:r w:rsidR="00C37403" w:rsidRPr="00886D8A">
        <w:t xml:space="preserve"> </w:t>
      </w:r>
      <w:bookmarkEnd w:id="89"/>
      <w:r w:rsidR="000D0E34" w:rsidRPr="00886D8A">
        <w:t xml:space="preserve">the ‘Frequent walking aid/wheelchair use’ health state resulted in a </w:t>
      </w:r>
      <w:r w:rsidR="00ED4AC4" w:rsidRPr="001E6CE7">
        <w:rPr>
          <w:color w:val="000000"/>
          <w:w w:val="15"/>
          <w:shd w:val="solid" w:color="000000" w:fill="000000"/>
          <w:fitText w:val="-20" w:id="-628411387"/>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387"/>
          <w14:textFill>
            <w14:solidFill>
              <w14:srgbClr w14:val="000000">
                <w14:alpha w14:val="100000"/>
              </w14:srgbClr>
            </w14:solidFill>
          </w14:textFill>
        </w:rPr>
        <w:t>|</w:t>
      </w:r>
      <w:r w:rsidR="000D0E34" w:rsidRPr="00886D8A">
        <w:t>% decrease in the ICER</w:t>
      </w:r>
      <w:r w:rsidR="00992EBB" w:rsidRPr="00886D8A">
        <w:t>.</w:t>
      </w:r>
      <w:bookmarkEnd w:id="90"/>
    </w:p>
    <w:p w14:paraId="6B17567C" w14:textId="7B4D3DFA" w:rsidR="00FB4693" w:rsidRPr="00886D8A" w:rsidRDefault="003623E2" w:rsidP="004E36D3">
      <w:pPr>
        <w:pStyle w:val="3-BodyText"/>
      </w:pPr>
      <w:r w:rsidRPr="00886D8A">
        <w:t>A</w:t>
      </w:r>
      <w:r w:rsidR="569414F0" w:rsidRPr="00886D8A">
        <w:t>s no patients in rhLAMAN</w:t>
      </w:r>
      <w:r w:rsidR="0011024A">
        <w:noBreakHyphen/>
      </w:r>
      <w:r w:rsidR="569414F0" w:rsidRPr="00886D8A">
        <w:t>10 were Wheelchair dependent at baseline, utility values for this health state were not estimated from trial data</w:t>
      </w:r>
      <w:r w:rsidR="00283C4C" w:rsidRPr="00886D8A">
        <w:t xml:space="preserve">. Instead, they </w:t>
      </w:r>
      <w:r w:rsidR="569414F0" w:rsidRPr="00886D8A">
        <w:t xml:space="preserve">were sourced from Adam et al. (2019), which reported a value of 0.10. </w:t>
      </w:r>
    </w:p>
    <w:p w14:paraId="54D4CDA2" w14:textId="6EA3D91F" w:rsidR="00EA3BC7" w:rsidRPr="00886D8A" w:rsidRDefault="00FB4693" w:rsidP="004E36D3">
      <w:pPr>
        <w:pStyle w:val="3-BodyText"/>
      </w:pPr>
      <w:bookmarkStart w:id="91" w:name="_Ref204073885"/>
      <w:r w:rsidRPr="00886D8A">
        <w:t xml:space="preserve">Additionally, </w:t>
      </w:r>
      <w:r w:rsidR="00AD5E92" w:rsidRPr="00886D8A">
        <w:t>for the velmanase alfa arm</w:t>
      </w:r>
      <w:r w:rsidR="00080D43" w:rsidRPr="00886D8A">
        <w:t xml:space="preserve">, the submission applied a utility gain of 0.18 to each health state to reflect the benefit of treatment </w:t>
      </w:r>
      <w:r w:rsidR="00217A63" w:rsidRPr="00886D8A">
        <w:t xml:space="preserve">and delayed progression </w:t>
      </w:r>
      <w:r w:rsidR="00080D43" w:rsidRPr="00886D8A">
        <w:t xml:space="preserve">with velmanase alfa. </w:t>
      </w:r>
      <w:r w:rsidRPr="00886D8A">
        <w:t xml:space="preserve">The utility </w:t>
      </w:r>
      <w:r w:rsidR="78710A68" w:rsidRPr="00886D8A">
        <w:t>gain</w:t>
      </w:r>
      <w:r w:rsidRPr="00886D8A">
        <w:t xml:space="preserve"> of 0.18 was based on a +0.9</w:t>
      </w:r>
      <w:r w:rsidR="008413C9" w:rsidRPr="00886D8A">
        <w:t xml:space="preserve"> </w:t>
      </w:r>
      <w:r w:rsidRPr="00886D8A">
        <w:t>L improvement in FVC observed among 17 children in the rhLAMAN</w:t>
      </w:r>
      <w:r w:rsidR="0011024A">
        <w:noBreakHyphen/>
      </w:r>
      <w:r w:rsidRPr="00886D8A">
        <w:t xml:space="preserve">10 trial, </w:t>
      </w:r>
      <w:r w:rsidR="00351D26" w:rsidRPr="00886D8A">
        <w:t xml:space="preserve">and the application of </w:t>
      </w:r>
      <w:r w:rsidRPr="00886D8A">
        <w:t>a utility gain of 0.2 per +1</w:t>
      </w:r>
      <w:r w:rsidR="008413C9" w:rsidRPr="00886D8A">
        <w:t xml:space="preserve"> </w:t>
      </w:r>
      <w:r w:rsidRPr="00886D8A">
        <w:t>L increase in FVC in the NICE evaluation of elosulfase alfa for treating mucopolysaccharidosis type IV A (NICE HST19)</w:t>
      </w:r>
      <w:r w:rsidRPr="00886D8A">
        <w:rPr>
          <w:rStyle w:val="FootnoteReference"/>
        </w:rPr>
        <w:footnoteReference w:id="4"/>
      </w:r>
      <w:r w:rsidRPr="00886D8A">
        <w:t>.</w:t>
      </w:r>
      <w:bookmarkEnd w:id="91"/>
      <w:r w:rsidRPr="00886D8A">
        <w:t xml:space="preserve"> </w:t>
      </w:r>
    </w:p>
    <w:p w14:paraId="00885591" w14:textId="2D4CFE33" w:rsidR="00EF050F" w:rsidRPr="00886D8A" w:rsidRDefault="00EF050F" w:rsidP="004E36D3">
      <w:pPr>
        <w:pStyle w:val="TableFigureHeading"/>
        <w:rPr>
          <w:i/>
          <w:iCs/>
        </w:rPr>
      </w:pPr>
      <w:bookmarkStart w:id="92" w:name="_Ref201313799"/>
      <w:r w:rsidRPr="00886D8A">
        <w:t xml:space="preserve">Table </w:t>
      </w:r>
      <w:r>
        <w:fldChar w:fldCharType="begin"/>
      </w:r>
      <w:r>
        <w:instrText>SEQ Table \* ARABIC</w:instrText>
      </w:r>
      <w:r>
        <w:fldChar w:fldCharType="separate"/>
      </w:r>
      <w:r w:rsidR="00B73A9E">
        <w:rPr>
          <w:noProof/>
        </w:rPr>
        <w:t>13</w:t>
      </w:r>
      <w:r>
        <w:fldChar w:fldCharType="end"/>
      </w:r>
      <w:bookmarkEnd w:id="92"/>
      <w:r w:rsidRPr="00886D8A">
        <w:t>: Utility values applied in the submission</w:t>
      </w:r>
    </w:p>
    <w:tbl>
      <w:tblPr>
        <w:tblStyle w:val="TableGrid"/>
        <w:tblW w:w="5000" w:type="pct"/>
        <w:tblLook w:val="0620" w:firstRow="1" w:lastRow="0" w:firstColumn="0" w:lastColumn="0" w:noHBand="1" w:noVBand="1"/>
        <w:tblCaption w:val="Table 13: Utility values applied in the submission"/>
      </w:tblPr>
      <w:tblGrid>
        <w:gridCol w:w="3253"/>
        <w:gridCol w:w="1277"/>
        <w:gridCol w:w="1271"/>
        <w:gridCol w:w="1133"/>
        <w:gridCol w:w="2083"/>
      </w:tblGrid>
      <w:tr w:rsidR="00EF050F" w:rsidRPr="00886D8A" w14:paraId="26401CED" w14:textId="77777777" w:rsidTr="00681FA0">
        <w:trPr>
          <w:trHeight w:val="235"/>
        </w:trPr>
        <w:tc>
          <w:tcPr>
            <w:tcW w:w="1804" w:type="pct"/>
            <w:hideMark/>
          </w:tcPr>
          <w:p w14:paraId="094751C7" w14:textId="77777777" w:rsidR="00EF050F" w:rsidRPr="00886D8A" w:rsidRDefault="00EF050F" w:rsidP="004E36D3">
            <w:pPr>
              <w:pStyle w:val="TableText0"/>
              <w:rPr>
                <w:b/>
                <w:bCs w:val="0"/>
                <w:lang w:eastAsia="en-US"/>
              </w:rPr>
            </w:pPr>
            <w:r w:rsidRPr="00886D8A">
              <w:rPr>
                <w:b/>
                <w:bCs w:val="0"/>
                <w:lang w:eastAsia="en-US"/>
              </w:rPr>
              <w:t>Health State</w:t>
            </w:r>
          </w:p>
        </w:tc>
        <w:tc>
          <w:tcPr>
            <w:tcW w:w="708" w:type="pct"/>
          </w:tcPr>
          <w:p w14:paraId="1018F851" w14:textId="2D54A735" w:rsidR="00EF050F" w:rsidRPr="00886D8A" w:rsidRDefault="00EF050F" w:rsidP="004E36D3">
            <w:pPr>
              <w:pStyle w:val="TableText0"/>
              <w:rPr>
                <w:b/>
                <w:bCs w:val="0"/>
                <w:lang w:eastAsia="en-US"/>
              </w:rPr>
            </w:pPr>
            <w:r w:rsidRPr="00886D8A">
              <w:rPr>
                <w:b/>
                <w:bCs w:val="0"/>
                <w:lang w:eastAsia="en-US"/>
              </w:rPr>
              <w:t xml:space="preserve">VA </w:t>
            </w:r>
            <w:r w:rsidR="0011024A">
              <w:rPr>
                <w:b/>
                <w:bCs w:val="0"/>
                <w:lang w:eastAsia="en-US"/>
              </w:rPr>
              <w:noBreakHyphen/>
            </w:r>
            <w:r w:rsidRPr="00886D8A">
              <w:rPr>
                <w:b/>
                <w:bCs w:val="0"/>
                <w:lang w:eastAsia="en-US"/>
              </w:rPr>
              <w:t xml:space="preserve"> on treatment</w:t>
            </w:r>
          </w:p>
        </w:tc>
        <w:tc>
          <w:tcPr>
            <w:tcW w:w="705" w:type="pct"/>
          </w:tcPr>
          <w:p w14:paraId="28FB032C" w14:textId="3579FFCD" w:rsidR="00EF050F" w:rsidRPr="00886D8A" w:rsidRDefault="00EF050F" w:rsidP="004E36D3">
            <w:pPr>
              <w:pStyle w:val="TableText0"/>
              <w:rPr>
                <w:b/>
                <w:bCs w:val="0"/>
                <w:lang w:eastAsia="en-US"/>
              </w:rPr>
            </w:pPr>
            <w:r w:rsidRPr="00886D8A">
              <w:rPr>
                <w:b/>
                <w:bCs w:val="0"/>
                <w:lang w:eastAsia="en-US"/>
              </w:rPr>
              <w:t xml:space="preserve">VA </w:t>
            </w:r>
            <w:r w:rsidR="0011024A">
              <w:rPr>
                <w:b/>
                <w:bCs w:val="0"/>
                <w:lang w:eastAsia="en-US"/>
              </w:rPr>
              <w:noBreakHyphen/>
            </w:r>
            <w:r w:rsidRPr="00886D8A">
              <w:rPr>
                <w:b/>
                <w:bCs w:val="0"/>
                <w:lang w:eastAsia="en-US"/>
              </w:rPr>
              <w:t xml:space="preserve"> off treatment</w:t>
            </w:r>
          </w:p>
        </w:tc>
        <w:tc>
          <w:tcPr>
            <w:tcW w:w="628" w:type="pct"/>
            <w:hideMark/>
          </w:tcPr>
          <w:p w14:paraId="40B5729C" w14:textId="77777777" w:rsidR="00EF050F" w:rsidRPr="00886D8A" w:rsidRDefault="00EF050F" w:rsidP="004E36D3">
            <w:pPr>
              <w:pStyle w:val="TableText0"/>
              <w:rPr>
                <w:b/>
                <w:bCs w:val="0"/>
                <w:lang w:eastAsia="en-US"/>
              </w:rPr>
            </w:pPr>
            <w:r w:rsidRPr="00886D8A">
              <w:rPr>
                <w:b/>
                <w:bCs w:val="0"/>
                <w:lang w:eastAsia="en-US"/>
              </w:rPr>
              <w:t>BSC</w:t>
            </w:r>
          </w:p>
        </w:tc>
        <w:tc>
          <w:tcPr>
            <w:tcW w:w="1155" w:type="pct"/>
            <w:hideMark/>
          </w:tcPr>
          <w:p w14:paraId="0BFA8EAC" w14:textId="77777777" w:rsidR="00EF050F" w:rsidRPr="00886D8A" w:rsidRDefault="00EF050F" w:rsidP="004E36D3">
            <w:pPr>
              <w:pStyle w:val="TableText0"/>
              <w:rPr>
                <w:b/>
                <w:bCs w:val="0"/>
                <w:lang w:eastAsia="en-US"/>
              </w:rPr>
            </w:pPr>
            <w:r w:rsidRPr="00886D8A">
              <w:rPr>
                <w:b/>
                <w:bCs w:val="0"/>
                <w:lang w:eastAsia="en-US"/>
              </w:rPr>
              <w:t>Source</w:t>
            </w:r>
          </w:p>
        </w:tc>
      </w:tr>
      <w:tr w:rsidR="00EF050F" w:rsidRPr="00886D8A" w14:paraId="6609421B" w14:textId="77777777" w:rsidTr="00681FA0">
        <w:trPr>
          <w:trHeight w:val="235"/>
        </w:trPr>
        <w:tc>
          <w:tcPr>
            <w:tcW w:w="5000" w:type="pct"/>
            <w:gridSpan w:val="5"/>
          </w:tcPr>
          <w:p w14:paraId="04A26BAB" w14:textId="77777777" w:rsidR="00EF050F" w:rsidRPr="00886D8A" w:rsidRDefault="00EF050F" w:rsidP="004E36D3">
            <w:pPr>
              <w:pStyle w:val="TableText0"/>
              <w:rPr>
                <w:b/>
                <w:bCs w:val="0"/>
                <w:lang w:eastAsia="en-US"/>
              </w:rPr>
            </w:pPr>
            <w:r w:rsidRPr="00886D8A">
              <w:rPr>
                <w:b/>
                <w:bCs w:val="0"/>
                <w:lang w:eastAsia="en-US"/>
              </w:rPr>
              <w:t>Base case</w:t>
            </w:r>
          </w:p>
        </w:tc>
      </w:tr>
      <w:tr w:rsidR="00EF050F" w:rsidRPr="00886D8A" w14:paraId="5719A93C" w14:textId="77777777" w:rsidTr="00681FA0">
        <w:trPr>
          <w:trHeight w:val="56"/>
        </w:trPr>
        <w:tc>
          <w:tcPr>
            <w:tcW w:w="1804" w:type="pct"/>
            <w:hideMark/>
          </w:tcPr>
          <w:p w14:paraId="0C39EE7D" w14:textId="77777777" w:rsidR="00EF050F" w:rsidRPr="00886D8A" w:rsidRDefault="00EF050F" w:rsidP="004E36D3">
            <w:pPr>
              <w:pStyle w:val="TableText0"/>
              <w:rPr>
                <w:lang w:eastAsia="en-US"/>
              </w:rPr>
            </w:pPr>
            <w:r w:rsidRPr="00886D8A">
              <w:rPr>
                <w:lang w:eastAsia="en-US"/>
              </w:rPr>
              <w:t>Normal walking</w:t>
            </w:r>
          </w:p>
        </w:tc>
        <w:tc>
          <w:tcPr>
            <w:tcW w:w="708" w:type="pct"/>
          </w:tcPr>
          <w:p w14:paraId="257EDB5F" w14:textId="77777777" w:rsidR="00EF050F" w:rsidRPr="00886D8A" w:rsidRDefault="00EF050F" w:rsidP="004E36D3">
            <w:pPr>
              <w:pStyle w:val="TableText0"/>
              <w:rPr>
                <w:lang w:eastAsia="en-US"/>
              </w:rPr>
            </w:pPr>
            <w:r w:rsidRPr="00886D8A">
              <w:rPr>
                <w:lang w:eastAsia="en-US"/>
              </w:rPr>
              <w:t>0.83</w:t>
            </w:r>
          </w:p>
        </w:tc>
        <w:tc>
          <w:tcPr>
            <w:tcW w:w="705" w:type="pct"/>
          </w:tcPr>
          <w:p w14:paraId="0EB29A90" w14:textId="77777777" w:rsidR="00EF050F" w:rsidRPr="00886D8A" w:rsidRDefault="00EF050F" w:rsidP="004E36D3">
            <w:pPr>
              <w:pStyle w:val="TableText0"/>
              <w:rPr>
                <w:lang w:eastAsia="en-US"/>
              </w:rPr>
            </w:pPr>
            <w:r w:rsidRPr="00886D8A">
              <w:rPr>
                <w:lang w:eastAsia="en-US"/>
              </w:rPr>
              <w:t>0.65</w:t>
            </w:r>
          </w:p>
        </w:tc>
        <w:tc>
          <w:tcPr>
            <w:tcW w:w="628" w:type="pct"/>
            <w:hideMark/>
          </w:tcPr>
          <w:p w14:paraId="74E051FD" w14:textId="77777777" w:rsidR="00EF050F" w:rsidRPr="00886D8A" w:rsidRDefault="00EF050F" w:rsidP="004E36D3">
            <w:pPr>
              <w:pStyle w:val="TableText0"/>
              <w:rPr>
                <w:lang w:eastAsia="en-US"/>
              </w:rPr>
            </w:pPr>
            <w:r w:rsidRPr="00886D8A">
              <w:rPr>
                <w:lang w:eastAsia="en-US"/>
              </w:rPr>
              <w:t>0.65</w:t>
            </w:r>
          </w:p>
        </w:tc>
        <w:tc>
          <w:tcPr>
            <w:tcW w:w="1155" w:type="pct"/>
            <w:vMerge w:val="restart"/>
            <w:hideMark/>
          </w:tcPr>
          <w:p w14:paraId="5CB64248" w14:textId="4D61024B" w:rsidR="00EF050F" w:rsidRPr="00886D8A" w:rsidRDefault="00EF050F" w:rsidP="004E36D3">
            <w:pPr>
              <w:pStyle w:val="TableText0"/>
              <w:rPr>
                <w:lang w:eastAsia="en-US"/>
              </w:rPr>
            </w:pPr>
            <w:r w:rsidRPr="00886D8A">
              <w:rPr>
                <w:lang w:eastAsia="en-US"/>
              </w:rPr>
              <w:t>rh</w:t>
            </w:r>
            <w:r w:rsidR="0011024A">
              <w:rPr>
                <w:lang w:eastAsia="en-US"/>
              </w:rPr>
              <w:noBreakHyphen/>
            </w:r>
            <w:r w:rsidRPr="00886D8A">
              <w:rPr>
                <w:lang w:eastAsia="en-US"/>
              </w:rPr>
              <w:t>LAMAN</w:t>
            </w:r>
            <w:r w:rsidR="0011024A">
              <w:rPr>
                <w:lang w:eastAsia="en-US"/>
              </w:rPr>
              <w:noBreakHyphen/>
            </w:r>
            <w:r w:rsidRPr="00886D8A">
              <w:rPr>
                <w:lang w:eastAsia="en-US"/>
              </w:rPr>
              <w:t>10;</w:t>
            </w:r>
            <w:r w:rsidRPr="00886D8A" w:rsidDel="006E1F74">
              <w:rPr>
                <w:lang w:eastAsia="en-US"/>
              </w:rPr>
              <w:t xml:space="preserve"> </w:t>
            </w:r>
            <w:r w:rsidRPr="00886D8A">
              <w:rPr>
                <w:lang w:eastAsia="en-US"/>
              </w:rPr>
              <w:t>NICE committee paper</w:t>
            </w:r>
            <w:r w:rsidR="0011024A">
              <w:rPr>
                <w:lang w:eastAsia="en-US"/>
              </w:rPr>
              <w:noBreakHyphen/>
            </w:r>
            <w:r w:rsidRPr="00886D8A">
              <w:rPr>
                <w:lang w:eastAsia="en-US"/>
              </w:rPr>
              <w:t>2; Table 22; Page 61</w:t>
            </w:r>
          </w:p>
        </w:tc>
      </w:tr>
      <w:tr w:rsidR="00EF050F" w:rsidRPr="00886D8A" w14:paraId="65563D51" w14:textId="77777777" w:rsidTr="00681FA0">
        <w:trPr>
          <w:trHeight w:val="64"/>
        </w:trPr>
        <w:tc>
          <w:tcPr>
            <w:tcW w:w="1804" w:type="pct"/>
            <w:hideMark/>
          </w:tcPr>
          <w:p w14:paraId="0E7E3DEA" w14:textId="77777777" w:rsidR="00EF050F" w:rsidRPr="00886D8A" w:rsidRDefault="00EF050F" w:rsidP="004E36D3">
            <w:pPr>
              <w:pStyle w:val="TableText0"/>
              <w:rPr>
                <w:lang w:eastAsia="en-US"/>
              </w:rPr>
            </w:pPr>
            <w:r w:rsidRPr="00886D8A">
              <w:rPr>
                <w:lang w:eastAsia="en-US"/>
              </w:rPr>
              <w:t>Occasional walking aid/wheelchair use</w:t>
            </w:r>
          </w:p>
        </w:tc>
        <w:tc>
          <w:tcPr>
            <w:tcW w:w="708" w:type="pct"/>
          </w:tcPr>
          <w:p w14:paraId="1C19E8B1" w14:textId="77777777" w:rsidR="00EF050F" w:rsidRPr="00886D8A" w:rsidRDefault="00EF050F" w:rsidP="004E36D3">
            <w:pPr>
              <w:pStyle w:val="TableText0"/>
              <w:rPr>
                <w:lang w:eastAsia="en-US"/>
              </w:rPr>
            </w:pPr>
            <w:r w:rsidRPr="00886D8A">
              <w:rPr>
                <w:lang w:eastAsia="en-US"/>
              </w:rPr>
              <w:t>0.76</w:t>
            </w:r>
          </w:p>
        </w:tc>
        <w:tc>
          <w:tcPr>
            <w:tcW w:w="705" w:type="pct"/>
          </w:tcPr>
          <w:p w14:paraId="290087FF" w14:textId="77777777" w:rsidR="00EF050F" w:rsidRPr="00886D8A" w:rsidRDefault="00EF050F" w:rsidP="004E36D3">
            <w:pPr>
              <w:pStyle w:val="TableText0"/>
              <w:rPr>
                <w:lang w:eastAsia="en-US"/>
              </w:rPr>
            </w:pPr>
            <w:r w:rsidRPr="00886D8A">
              <w:rPr>
                <w:lang w:eastAsia="en-US"/>
              </w:rPr>
              <w:t>0.58</w:t>
            </w:r>
          </w:p>
        </w:tc>
        <w:tc>
          <w:tcPr>
            <w:tcW w:w="628" w:type="pct"/>
            <w:hideMark/>
          </w:tcPr>
          <w:p w14:paraId="146E163C" w14:textId="77777777" w:rsidR="00EF050F" w:rsidRPr="00886D8A" w:rsidRDefault="00EF050F" w:rsidP="004E36D3">
            <w:pPr>
              <w:pStyle w:val="TableText0"/>
              <w:rPr>
                <w:lang w:eastAsia="en-US"/>
              </w:rPr>
            </w:pPr>
            <w:r w:rsidRPr="00886D8A">
              <w:rPr>
                <w:lang w:eastAsia="en-US"/>
              </w:rPr>
              <w:t>0.58</w:t>
            </w:r>
          </w:p>
        </w:tc>
        <w:tc>
          <w:tcPr>
            <w:tcW w:w="1155" w:type="pct"/>
            <w:vMerge/>
            <w:hideMark/>
          </w:tcPr>
          <w:p w14:paraId="5E57B20B" w14:textId="77777777" w:rsidR="00EF050F" w:rsidRPr="00886D8A" w:rsidRDefault="00EF050F" w:rsidP="004E36D3">
            <w:pPr>
              <w:pStyle w:val="TableText0"/>
              <w:rPr>
                <w:lang w:eastAsia="en-US"/>
              </w:rPr>
            </w:pPr>
          </w:p>
        </w:tc>
      </w:tr>
      <w:tr w:rsidR="00EF050F" w:rsidRPr="00886D8A" w14:paraId="587F063F" w14:textId="77777777" w:rsidTr="00681FA0">
        <w:trPr>
          <w:trHeight w:val="56"/>
        </w:trPr>
        <w:tc>
          <w:tcPr>
            <w:tcW w:w="1804" w:type="pct"/>
            <w:hideMark/>
          </w:tcPr>
          <w:p w14:paraId="387B26CA" w14:textId="77777777" w:rsidR="00EF050F" w:rsidRPr="00886D8A" w:rsidRDefault="00EF050F" w:rsidP="004E36D3">
            <w:pPr>
              <w:pStyle w:val="TableText0"/>
              <w:rPr>
                <w:lang w:eastAsia="en-US"/>
              </w:rPr>
            </w:pPr>
            <w:r w:rsidRPr="00886D8A">
              <w:rPr>
                <w:lang w:eastAsia="en-US"/>
              </w:rPr>
              <w:t>Frequent walking aid/wheelchair use</w:t>
            </w:r>
          </w:p>
        </w:tc>
        <w:tc>
          <w:tcPr>
            <w:tcW w:w="708" w:type="pct"/>
          </w:tcPr>
          <w:p w14:paraId="678BEF78" w14:textId="77777777" w:rsidR="00EF050F" w:rsidRPr="00886D8A" w:rsidRDefault="00EF050F" w:rsidP="004E36D3">
            <w:pPr>
              <w:pStyle w:val="TableText0"/>
              <w:rPr>
                <w:lang w:eastAsia="en-US"/>
              </w:rPr>
            </w:pPr>
            <w:r w:rsidRPr="00886D8A">
              <w:rPr>
                <w:lang w:eastAsia="en-US"/>
              </w:rPr>
              <w:t>0.76</w:t>
            </w:r>
          </w:p>
        </w:tc>
        <w:tc>
          <w:tcPr>
            <w:tcW w:w="705" w:type="pct"/>
          </w:tcPr>
          <w:p w14:paraId="7E6EB17F" w14:textId="77777777" w:rsidR="00EF050F" w:rsidRPr="00886D8A" w:rsidRDefault="00EF050F" w:rsidP="004E36D3">
            <w:pPr>
              <w:pStyle w:val="TableText0"/>
              <w:rPr>
                <w:lang w:eastAsia="en-US"/>
              </w:rPr>
            </w:pPr>
            <w:r w:rsidRPr="00886D8A">
              <w:rPr>
                <w:lang w:eastAsia="en-US"/>
              </w:rPr>
              <w:t>0.58</w:t>
            </w:r>
          </w:p>
        </w:tc>
        <w:tc>
          <w:tcPr>
            <w:tcW w:w="628" w:type="pct"/>
            <w:hideMark/>
          </w:tcPr>
          <w:p w14:paraId="779C4C58" w14:textId="77777777" w:rsidR="00EF050F" w:rsidRPr="00886D8A" w:rsidRDefault="00EF050F" w:rsidP="004E36D3">
            <w:pPr>
              <w:pStyle w:val="TableText0"/>
              <w:rPr>
                <w:lang w:eastAsia="en-US"/>
              </w:rPr>
            </w:pPr>
            <w:r w:rsidRPr="00886D8A">
              <w:rPr>
                <w:lang w:eastAsia="en-US"/>
              </w:rPr>
              <w:t>0.58</w:t>
            </w:r>
          </w:p>
        </w:tc>
        <w:tc>
          <w:tcPr>
            <w:tcW w:w="1155" w:type="pct"/>
            <w:vMerge/>
            <w:hideMark/>
          </w:tcPr>
          <w:p w14:paraId="4229CBDF" w14:textId="77777777" w:rsidR="00EF050F" w:rsidRPr="00886D8A" w:rsidRDefault="00EF050F" w:rsidP="004E36D3">
            <w:pPr>
              <w:pStyle w:val="TableText0"/>
              <w:rPr>
                <w:lang w:eastAsia="en-US"/>
              </w:rPr>
            </w:pPr>
          </w:p>
        </w:tc>
      </w:tr>
      <w:tr w:rsidR="00EF050F" w:rsidRPr="00886D8A" w14:paraId="21A805C7" w14:textId="77777777" w:rsidTr="00681FA0">
        <w:trPr>
          <w:trHeight w:val="169"/>
        </w:trPr>
        <w:tc>
          <w:tcPr>
            <w:tcW w:w="1804" w:type="pct"/>
            <w:hideMark/>
          </w:tcPr>
          <w:p w14:paraId="1C1F8FBB" w14:textId="63B9AC58" w:rsidR="00EF050F" w:rsidRPr="00886D8A" w:rsidRDefault="00EF050F" w:rsidP="004E36D3">
            <w:pPr>
              <w:pStyle w:val="TableText0"/>
              <w:rPr>
                <w:lang w:eastAsia="en-US"/>
              </w:rPr>
            </w:pPr>
            <w:r w:rsidRPr="00886D8A">
              <w:rPr>
                <w:lang w:eastAsia="en-US"/>
              </w:rPr>
              <w:t>Wheelchair</w:t>
            </w:r>
            <w:r w:rsidR="0011024A">
              <w:rPr>
                <w:lang w:eastAsia="en-US"/>
              </w:rPr>
              <w:noBreakHyphen/>
            </w:r>
            <w:r w:rsidRPr="00886D8A">
              <w:rPr>
                <w:lang w:eastAsia="en-US"/>
              </w:rPr>
              <w:t>dependent</w:t>
            </w:r>
          </w:p>
        </w:tc>
        <w:tc>
          <w:tcPr>
            <w:tcW w:w="708" w:type="pct"/>
          </w:tcPr>
          <w:p w14:paraId="01D9C18B" w14:textId="77777777" w:rsidR="00EF050F" w:rsidRPr="00886D8A" w:rsidRDefault="00EF050F" w:rsidP="004E36D3">
            <w:pPr>
              <w:pStyle w:val="TableText0"/>
              <w:rPr>
                <w:lang w:eastAsia="en-US"/>
              </w:rPr>
            </w:pPr>
            <w:r w:rsidRPr="00886D8A">
              <w:rPr>
                <w:lang w:eastAsia="en-US"/>
              </w:rPr>
              <w:t>0.28</w:t>
            </w:r>
          </w:p>
        </w:tc>
        <w:tc>
          <w:tcPr>
            <w:tcW w:w="705" w:type="pct"/>
          </w:tcPr>
          <w:p w14:paraId="19E2A559" w14:textId="77777777" w:rsidR="00EF050F" w:rsidRPr="00886D8A" w:rsidRDefault="00EF050F" w:rsidP="004E36D3">
            <w:pPr>
              <w:pStyle w:val="TableText0"/>
              <w:rPr>
                <w:lang w:eastAsia="en-US"/>
              </w:rPr>
            </w:pPr>
            <w:r w:rsidRPr="00886D8A">
              <w:rPr>
                <w:lang w:eastAsia="en-US"/>
              </w:rPr>
              <w:t>0.10</w:t>
            </w:r>
          </w:p>
        </w:tc>
        <w:tc>
          <w:tcPr>
            <w:tcW w:w="628" w:type="pct"/>
            <w:hideMark/>
          </w:tcPr>
          <w:p w14:paraId="26EE157D" w14:textId="77777777" w:rsidR="00EF050F" w:rsidRPr="00886D8A" w:rsidRDefault="00EF050F" w:rsidP="004E36D3">
            <w:pPr>
              <w:pStyle w:val="TableText0"/>
              <w:rPr>
                <w:lang w:eastAsia="en-US"/>
              </w:rPr>
            </w:pPr>
            <w:r w:rsidRPr="00886D8A">
              <w:rPr>
                <w:lang w:eastAsia="en-US"/>
              </w:rPr>
              <w:t>0.10</w:t>
            </w:r>
          </w:p>
        </w:tc>
        <w:tc>
          <w:tcPr>
            <w:tcW w:w="1155" w:type="pct"/>
            <w:hideMark/>
          </w:tcPr>
          <w:p w14:paraId="16BB11D6" w14:textId="77777777" w:rsidR="00EF050F" w:rsidRPr="00886D8A" w:rsidRDefault="00EF050F" w:rsidP="004E36D3">
            <w:pPr>
              <w:pStyle w:val="TableText0"/>
              <w:rPr>
                <w:lang w:eastAsia="en-US"/>
              </w:rPr>
            </w:pPr>
            <w:r w:rsidRPr="00886D8A">
              <w:rPr>
                <w:lang w:eastAsia="en-US"/>
              </w:rPr>
              <w:t>Adam et al. 2019; Figure 1; Page 4; NICE HST29</w:t>
            </w:r>
          </w:p>
        </w:tc>
      </w:tr>
    </w:tbl>
    <w:p w14:paraId="1FE71510" w14:textId="78F05635" w:rsidR="00AF1116" w:rsidRPr="00886D8A" w:rsidRDefault="00AF1116" w:rsidP="004E36D3">
      <w:pPr>
        <w:pStyle w:val="TableFigureFooter"/>
        <w:rPr>
          <w:lang w:eastAsia="en-US"/>
        </w:rPr>
      </w:pPr>
      <w:r w:rsidRPr="00886D8A">
        <w:rPr>
          <w:lang w:eastAsia="en-US"/>
        </w:rPr>
        <w:t>Source: Table 3.5</w:t>
      </w:r>
      <w:r w:rsidR="0011024A">
        <w:rPr>
          <w:lang w:eastAsia="en-US"/>
        </w:rPr>
        <w:noBreakHyphen/>
      </w:r>
      <w:r w:rsidRPr="00886D8A">
        <w:rPr>
          <w:lang w:eastAsia="en-US"/>
        </w:rPr>
        <w:t>2, p166, Table 3.5</w:t>
      </w:r>
      <w:r w:rsidR="0011024A">
        <w:rPr>
          <w:lang w:eastAsia="en-US"/>
        </w:rPr>
        <w:noBreakHyphen/>
      </w:r>
      <w:r w:rsidRPr="00886D8A">
        <w:rPr>
          <w:lang w:eastAsia="en-US"/>
        </w:rPr>
        <w:t>3, p166 and Table 3.5</w:t>
      </w:r>
      <w:r w:rsidR="0011024A">
        <w:rPr>
          <w:lang w:eastAsia="en-US"/>
        </w:rPr>
        <w:noBreakHyphen/>
      </w:r>
      <w:r w:rsidRPr="00886D8A">
        <w:rPr>
          <w:lang w:eastAsia="en-US"/>
        </w:rPr>
        <w:t xml:space="preserve">4, p167 of the submission. </w:t>
      </w:r>
    </w:p>
    <w:p w14:paraId="2791EE0B" w14:textId="76DF4F25" w:rsidR="00EF050F" w:rsidRPr="00886D8A" w:rsidRDefault="00AF1116" w:rsidP="004E36D3">
      <w:pPr>
        <w:pStyle w:val="TableFigureFooter"/>
        <w:rPr>
          <w:rFonts w:eastAsia="Calibri"/>
          <w:lang w:eastAsia="en-US"/>
        </w:rPr>
      </w:pPr>
      <w:r w:rsidRPr="00886D8A">
        <w:rPr>
          <w:lang w:eastAsia="en-US"/>
        </w:rPr>
        <w:t xml:space="preserve">BSC = best supportive care; NICE = National Institute for Health and Care Excellence; </w:t>
      </w:r>
      <w:r w:rsidRPr="00886D8A">
        <w:rPr>
          <w:rFonts w:eastAsia="Calibri"/>
          <w:lang w:eastAsia="en-US"/>
        </w:rPr>
        <w:t>VA = velmanase alfa</w:t>
      </w:r>
    </w:p>
    <w:p w14:paraId="795DD0D9" w14:textId="6E058F0F" w:rsidR="00FB4693" w:rsidRPr="00886D8A" w:rsidRDefault="00A650EE" w:rsidP="004E36D3">
      <w:pPr>
        <w:pStyle w:val="3-BodyText"/>
      </w:pPr>
      <w:bookmarkStart w:id="93" w:name="_Ref204073887"/>
      <w:r w:rsidRPr="00886D8A">
        <w:t>T</w:t>
      </w:r>
      <w:r w:rsidR="490ED399" w:rsidRPr="00886D8A">
        <w:t>he</w:t>
      </w:r>
      <w:r w:rsidR="434E6EC2" w:rsidRPr="00886D8A">
        <w:t xml:space="preserve"> utility gain of 0.18 was applied to both paediatric and adult patients, resulting in identical utility values being assumed for both cohorts.</w:t>
      </w:r>
      <w:r w:rsidR="7E6CCABB" w:rsidRPr="00886D8A">
        <w:t xml:space="preserve"> </w:t>
      </w:r>
      <w:r w:rsidR="569414F0" w:rsidRPr="00886D8A">
        <w:t xml:space="preserve">This assumption may not be reasonable given that the </w:t>
      </w:r>
      <w:r w:rsidR="569414F0" w:rsidRPr="00886D8A">
        <w:rPr>
          <w:i/>
          <w:iCs/>
        </w:rPr>
        <w:t>post hoc</w:t>
      </w:r>
      <w:r w:rsidR="569414F0" w:rsidRPr="00886D8A">
        <w:t xml:space="preserve"> subgroup analyses by age demonstrated a larger benefit for FVC (L) in </w:t>
      </w:r>
      <w:r w:rsidR="00DA1C14" w:rsidRPr="00886D8A">
        <w:t xml:space="preserve">the </w:t>
      </w:r>
      <w:r w:rsidR="569414F0" w:rsidRPr="00886D8A">
        <w:t>paediatric (+0.88</w:t>
      </w:r>
      <w:r w:rsidRPr="00886D8A">
        <w:t xml:space="preserve"> </w:t>
      </w:r>
      <w:r w:rsidR="569414F0" w:rsidRPr="00886D8A">
        <w:t xml:space="preserve">L) </w:t>
      </w:r>
      <w:r w:rsidR="00217A63" w:rsidRPr="00886D8A">
        <w:t>patient</w:t>
      </w:r>
      <w:r w:rsidR="00DA1C14" w:rsidRPr="00886D8A">
        <w:t xml:space="preserve"> cohort</w:t>
      </w:r>
      <w:r w:rsidR="00217A63" w:rsidRPr="00886D8A">
        <w:t xml:space="preserve"> </w:t>
      </w:r>
      <w:r w:rsidR="569414F0" w:rsidRPr="00886D8A">
        <w:t>compared to</w:t>
      </w:r>
      <w:r w:rsidR="00DA1C14" w:rsidRPr="00886D8A">
        <w:t xml:space="preserve"> the</w:t>
      </w:r>
      <w:r w:rsidR="569414F0" w:rsidRPr="00886D8A">
        <w:t xml:space="preserve"> adult (+0.15</w:t>
      </w:r>
      <w:r w:rsidRPr="00886D8A">
        <w:t xml:space="preserve"> </w:t>
      </w:r>
      <w:r w:rsidR="569414F0" w:rsidRPr="00886D8A">
        <w:t>L) patient cohort in rhLAMAN</w:t>
      </w:r>
      <w:r w:rsidR="0011024A">
        <w:noBreakHyphen/>
      </w:r>
      <w:r w:rsidR="569414F0" w:rsidRPr="00886D8A">
        <w:t xml:space="preserve">10. Consequently, this may overestimate the utility benefit in the adult population. </w:t>
      </w:r>
      <w:r w:rsidR="33706C3F" w:rsidRPr="00886D8A">
        <w:t xml:space="preserve">Excluding the utility benefit </w:t>
      </w:r>
      <w:r w:rsidR="6DBCAE8E" w:rsidRPr="00886D8A">
        <w:t xml:space="preserve">increased the ICER by </w:t>
      </w:r>
      <w:r w:rsidR="00ED4AC4" w:rsidRPr="001E6CE7">
        <w:rPr>
          <w:color w:val="000000"/>
          <w:w w:val="15"/>
          <w:shd w:val="solid" w:color="000000" w:fill="000000"/>
          <w:fitText w:val="-20" w:id="-628411386"/>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386"/>
          <w14:textFill>
            <w14:solidFill>
              <w14:srgbClr w14:val="000000">
                <w14:alpha w14:val="100000"/>
              </w14:srgbClr>
            </w14:solidFill>
          </w14:textFill>
        </w:rPr>
        <w:t>|</w:t>
      </w:r>
      <w:r w:rsidR="6DBCAE8E" w:rsidRPr="00886D8A">
        <w:t>%.</w:t>
      </w:r>
      <w:r w:rsidR="00A11578" w:rsidRPr="00886D8A">
        <w:t xml:space="preserve"> The PSCR</w:t>
      </w:r>
      <w:r w:rsidR="00780371" w:rsidRPr="00886D8A">
        <w:t xml:space="preserve"> agreed </w:t>
      </w:r>
      <w:r w:rsidR="00396604" w:rsidRPr="00886D8A">
        <w:t xml:space="preserve">that </w:t>
      </w:r>
      <w:r w:rsidR="00655F15" w:rsidRPr="00886D8A">
        <w:t>appl</w:t>
      </w:r>
      <w:r w:rsidR="00C11FBA" w:rsidRPr="00886D8A">
        <w:t xml:space="preserve">ying the same utility gain to paediatric and adult patients </w:t>
      </w:r>
      <w:r w:rsidR="00EB3113" w:rsidRPr="00886D8A">
        <w:t xml:space="preserve">may not be reasonable </w:t>
      </w:r>
      <w:r w:rsidR="00726D2F" w:rsidRPr="00886D8A">
        <w:t xml:space="preserve">but </w:t>
      </w:r>
      <w:r w:rsidR="00EE563C" w:rsidRPr="00886D8A">
        <w:t xml:space="preserve">stated </w:t>
      </w:r>
      <w:r w:rsidR="00726D2F" w:rsidRPr="00886D8A">
        <w:t>that the</w:t>
      </w:r>
      <w:r w:rsidR="007E2297" w:rsidRPr="00886D8A">
        <w:t xml:space="preserve"> utility gain in the paediatric population would be higher than </w:t>
      </w:r>
      <w:r w:rsidR="00EE563C" w:rsidRPr="00886D8A">
        <w:t xml:space="preserve">the </w:t>
      </w:r>
      <w:r w:rsidR="00DB2D3E" w:rsidRPr="00886D8A">
        <w:t xml:space="preserve">0.18 </w:t>
      </w:r>
      <w:r w:rsidR="00EE563C" w:rsidRPr="00886D8A">
        <w:t>applied</w:t>
      </w:r>
      <w:r w:rsidR="00DB2D3E" w:rsidRPr="00886D8A">
        <w:t xml:space="preserve"> in the submission</w:t>
      </w:r>
      <w:r w:rsidR="00EE563C" w:rsidRPr="00886D8A">
        <w:t xml:space="preserve"> as</w:t>
      </w:r>
      <w:r w:rsidR="000343EB" w:rsidRPr="00886D8A">
        <w:t xml:space="preserve"> the rhLAMAN</w:t>
      </w:r>
      <w:r w:rsidR="0011024A">
        <w:noBreakHyphen/>
      </w:r>
      <w:r w:rsidR="000343EB" w:rsidRPr="00886D8A">
        <w:t xml:space="preserve">11 trial </w:t>
      </w:r>
      <w:r w:rsidR="00EB13A4" w:rsidRPr="00886D8A">
        <w:t>demonstrated</w:t>
      </w:r>
      <w:r w:rsidR="00D76603" w:rsidRPr="00886D8A">
        <w:t xml:space="preserve"> </w:t>
      </w:r>
      <w:r w:rsidR="000343EB" w:rsidRPr="00886D8A">
        <w:t>a mean FVC improvement of +1.274</w:t>
      </w:r>
      <w:r w:rsidR="00D76603" w:rsidRPr="00886D8A">
        <w:t xml:space="preserve"> </w:t>
      </w:r>
      <w:r w:rsidR="000343EB" w:rsidRPr="00886D8A">
        <w:t>L at last observation, which correspond</w:t>
      </w:r>
      <w:r w:rsidR="00D76603" w:rsidRPr="00886D8A">
        <w:t>ed</w:t>
      </w:r>
      <w:r w:rsidR="000343EB" w:rsidRPr="00886D8A">
        <w:t xml:space="preserve"> to a utility gain of 0.255 (1.274 × 0.2).</w:t>
      </w:r>
      <w:r w:rsidR="00DF4C99" w:rsidRPr="00886D8A">
        <w:t xml:space="preserve"> The PSCR presented a </w:t>
      </w:r>
      <w:r w:rsidR="00061951" w:rsidRPr="00886D8A">
        <w:t>scenario analysis</w:t>
      </w:r>
      <w:r w:rsidR="00A508DF" w:rsidRPr="00886D8A">
        <w:t xml:space="preserve"> </w:t>
      </w:r>
      <w:r w:rsidR="007E6AF4" w:rsidRPr="00886D8A">
        <w:t xml:space="preserve">which assumed 0.255 and 0.0 utility gains </w:t>
      </w:r>
      <w:r w:rsidR="00D76603" w:rsidRPr="00886D8A">
        <w:t>for</w:t>
      </w:r>
      <w:r w:rsidR="007E6AF4" w:rsidRPr="00886D8A">
        <w:t xml:space="preserve"> velmanase alfa </w:t>
      </w:r>
      <w:r w:rsidR="00D76603" w:rsidRPr="00886D8A">
        <w:t xml:space="preserve">patients in the </w:t>
      </w:r>
      <w:r w:rsidR="00FC19C0" w:rsidRPr="00886D8A">
        <w:t xml:space="preserve">paediatric and adult populations, respectively. </w:t>
      </w:r>
      <w:r w:rsidR="00A508DF" w:rsidRPr="00886D8A">
        <w:t xml:space="preserve">This resulted in a </w:t>
      </w:r>
      <w:r w:rsidR="00ED4AC4" w:rsidRPr="001E6CE7">
        <w:rPr>
          <w:color w:val="000000"/>
          <w:w w:val="15"/>
          <w:shd w:val="solid" w:color="000000" w:fill="000000"/>
          <w:fitText w:val="-20" w:id="-628411385"/>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385"/>
          <w14:textFill>
            <w14:solidFill>
              <w14:srgbClr w14:val="000000">
                <w14:alpha w14:val="100000"/>
              </w14:srgbClr>
            </w14:solidFill>
          </w14:textFill>
        </w:rPr>
        <w:t>|</w:t>
      </w:r>
      <w:r w:rsidR="00A508DF" w:rsidRPr="00886D8A">
        <w:t>% increase in the base case ICER.</w:t>
      </w:r>
      <w:r w:rsidR="001E7735" w:rsidRPr="00886D8A">
        <w:t xml:space="preserve"> The Sub</w:t>
      </w:r>
      <w:r w:rsidR="0011024A">
        <w:noBreakHyphen/>
      </w:r>
      <w:r w:rsidR="001E7735" w:rsidRPr="00886D8A">
        <w:t>Committees noted that the utility gains (change from baseline in EQ</w:t>
      </w:r>
      <w:r w:rsidR="0011024A">
        <w:noBreakHyphen/>
      </w:r>
      <w:r w:rsidR="001E7735" w:rsidRPr="00886D8A">
        <w:t>5D</w:t>
      </w:r>
      <w:r w:rsidR="0011024A">
        <w:noBreakHyphen/>
      </w:r>
      <w:r w:rsidR="001E7735" w:rsidRPr="00886D8A">
        <w:t>5L scores up to month 48) for paediatric patients treated with velmanase alfa in the rhLAMAN</w:t>
      </w:r>
      <w:r w:rsidR="0011024A">
        <w:noBreakHyphen/>
      </w:r>
      <w:r w:rsidR="001E7735" w:rsidRPr="00886D8A">
        <w:t>10 study was 0.08. The Sub</w:t>
      </w:r>
      <w:r w:rsidR="0011024A">
        <w:noBreakHyphen/>
      </w:r>
      <w:r w:rsidR="001E7735" w:rsidRPr="00886D8A">
        <w:t>Committees therefore considered that the applied utility gain of 0.18 lacked face validity and meant that the on</w:t>
      </w:r>
      <w:r w:rsidR="0011024A">
        <w:noBreakHyphen/>
      </w:r>
      <w:r w:rsidR="001E7735" w:rsidRPr="00886D8A">
        <w:t>treatment utility value for patients in the Normal walking state was 0.83, which is almost comparable with the general population in Australia.</w:t>
      </w:r>
      <w:bookmarkEnd w:id="93"/>
    </w:p>
    <w:p w14:paraId="68AE312D" w14:textId="4E1E5A1C" w:rsidR="008413C9" w:rsidRPr="00886D8A" w:rsidRDefault="00D76603" w:rsidP="004E36D3">
      <w:pPr>
        <w:pStyle w:val="3-BodyText"/>
      </w:pPr>
      <w:bookmarkStart w:id="94" w:name="_Ref201145966"/>
      <w:r w:rsidRPr="00886D8A">
        <w:t xml:space="preserve">Patients who discontinued velmanase alfa </w:t>
      </w:r>
      <w:r w:rsidR="00D30FDB" w:rsidRPr="00886D8A">
        <w:t xml:space="preserve">received </w:t>
      </w:r>
      <w:r w:rsidR="00C1343A" w:rsidRPr="00886D8A">
        <w:t>utility values equal to those applied to the BSC arm (i.e. without the 0.18</w:t>
      </w:r>
      <w:r w:rsidR="00552711" w:rsidRPr="00886D8A">
        <w:t xml:space="preserve"> gain). </w:t>
      </w:r>
      <w:bookmarkEnd w:id="94"/>
    </w:p>
    <w:p w14:paraId="1F221423" w14:textId="660266CB" w:rsidR="00FB4693" w:rsidRPr="00886D8A" w:rsidRDefault="00FB4693" w:rsidP="004E36D3">
      <w:pPr>
        <w:pStyle w:val="3-BodyText"/>
      </w:pPr>
      <w:r w:rsidRPr="00886D8A">
        <w:t>Healthcare resource use</w:t>
      </w:r>
      <w:r w:rsidR="7DA0BFB7" w:rsidRPr="00886D8A">
        <w:t>d</w:t>
      </w:r>
      <w:r w:rsidRPr="00886D8A">
        <w:t xml:space="preserve"> in the model appropriately included costs for drug acquisition, administration, pre</w:t>
      </w:r>
      <w:r w:rsidR="0011024A">
        <w:noBreakHyphen/>
      </w:r>
      <w:r w:rsidRPr="00886D8A">
        <w:t xml:space="preserve">treatment for velmanase alfa, disease management and monitoring, and </w:t>
      </w:r>
      <w:r w:rsidR="619A8E78" w:rsidRPr="00886D8A">
        <w:t>AE</w:t>
      </w:r>
      <w:r w:rsidRPr="00886D8A">
        <w:t xml:space="preserve"> management. Notably, the frequency and utilisation of healthcare resource use, except for adverse events, was based on structured expert elicitation panel instead of empirical data from rhLAMAN studies. </w:t>
      </w:r>
    </w:p>
    <w:p w14:paraId="796B4D91" w14:textId="79D795BC" w:rsidR="00FB4693" w:rsidRPr="00886D8A" w:rsidRDefault="569414F0" w:rsidP="004E36D3">
      <w:pPr>
        <w:pStyle w:val="3-BodyText"/>
      </w:pPr>
      <w:r w:rsidRPr="00886D8A">
        <w:t>Additionally, cost</w:t>
      </w:r>
      <w:r w:rsidR="6F50ADA8" w:rsidRPr="00886D8A">
        <w:t>s</w:t>
      </w:r>
      <w:r w:rsidRPr="00886D8A">
        <w:t xml:space="preserve"> of patient and caregiver productivity loss</w:t>
      </w:r>
      <w:r w:rsidR="2B79901C" w:rsidRPr="00886D8A">
        <w:t>es</w:t>
      </w:r>
      <w:r w:rsidRPr="00886D8A">
        <w:t xml:space="preserve">, and the costs of professional homecare services were also included in a scenario analysis from a societal perspective. From a societal perspective, the ICER decreased by </w:t>
      </w:r>
      <w:r w:rsidR="00ED4AC4" w:rsidRPr="001E6CE7">
        <w:rPr>
          <w:color w:val="000000"/>
          <w:w w:val="15"/>
          <w:shd w:val="solid" w:color="000000" w:fill="000000"/>
          <w:fitText w:val="-20" w:id="-628411384"/>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384"/>
          <w14:textFill>
            <w14:solidFill>
              <w14:srgbClr w14:val="000000">
                <w14:alpha w14:val="100000"/>
              </w14:srgbClr>
            </w14:solidFill>
          </w14:textFill>
        </w:rPr>
        <w:t>|</w:t>
      </w:r>
      <w:r w:rsidRPr="00886D8A">
        <w:t xml:space="preserve">% compared to health care payer perspective. </w:t>
      </w:r>
    </w:p>
    <w:p w14:paraId="248B9F20" w14:textId="4DDB023E" w:rsidR="00FB4693" w:rsidRPr="00886D8A" w:rsidRDefault="00FB4693" w:rsidP="004E36D3">
      <w:pPr>
        <w:pStyle w:val="3-BodyText"/>
      </w:pPr>
      <w:r w:rsidRPr="00886D8A">
        <w:t>A summary of the key drivers of the model is presented in</w:t>
      </w:r>
      <w:r w:rsidR="0024776E" w:rsidRPr="00886D8A">
        <w:t xml:space="preserve"> </w:t>
      </w:r>
      <w:r w:rsidR="00032559" w:rsidRPr="00886D8A">
        <w:fldChar w:fldCharType="begin"/>
      </w:r>
      <w:r w:rsidR="00032559" w:rsidRPr="00886D8A">
        <w:instrText xml:space="preserve"> REF _Ref104805122 \h </w:instrText>
      </w:r>
      <w:r w:rsidR="00F76563" w:rsidRPr="00886D8A">
        <w:instrText xml:space="preserve"> \* MERGEFORMAT </w:instrText>
      </w:r>
      <w:r w:rsidR="00032559" w:rsidRPr="00886D8A">
        <w:fldChar w:fldCharType="separate"/>
      </w:r>
      <w:r w:rsidR="00B73A9E" w:rsidRPr="00886D8A">
        <w:t xml:space="preserve">Table </w:t>
      </w:r>
      <w:r w:rsidR="00B73A9E">
        <w:t>14</w:t>
      </w:r>
      <w:r w:rsidR="00032559" w:rsidRPr="00886D8A">
        <w:fldChar w:fldCharType="end"/>
      </w:r>
      <w:r w:rsidRPr="00886D8A">
        <w:t xml:space="preserve">. </w:t>
      </w:r>
    </w:p>
    <w:p w14:paraId="1B645463" w14:textId="65C81C2E" w:rsidR="00FB4693" w:rsidRPr="00886D8A" w:rsidRDefault="00FB4693" w:rsidP="004E36D3">
      <w:pPr>
        <w:pStyle w:val="Caption"/>
        <w:jc w:val="left"/>
        <w:rPr>
          <w:rStyle w:val="CommentReference"/>
          <w:b/>
          <w:szCs w:val="24"/>
        </w:rPr>
      </w:pPr>
      <w:bookmarkStart w:id="95" w:name="_Ref104805122"/>
      <w:r w:rsidRPr="00886D8A">
        <w:t xml:space="preserve">Table </w:t>
      </w:r>
      <w:r>
        <w:fldChar w:fldCharType="begin"/>
      </w:r>
      <w:r>
        <w:instrText>SEQ Table \* ARABIC</w:instrText>
      </w:r>
      <w:r>
        <w:fldChar w:fldCharType="separate"/>
      </w:r>
      <w:r w:rsidR="00B73A9E">
        <w:rPr>
          <w:noProof/>
        </w:rPr>
        <w:t>14</w:t>
      </w:r>
      <w:r>
        <w:fldChar w:fldCharType="end"/>
      </w:r>
      <w:bookmarkEnd w:id="95"/>
      <w:r w:rsidRPr="00886D8A">
        <w:t>:</w:t>
      </w:r>
      <w:r w:rsidRPr="00886D8A">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Key drivers of the model"/>
      </w:tblPr>
      <w:tblGrid>
        <w:gridCol w:w="1129"/>
        <w:gridCol w:w="3686"/>
        <w:gridCol w:w="4202"/>
      </w:tblGrid>
      <w:tr w:rsidR="00FB4693" w:rsidRPr="00886D8A" w14:paraId="51226E23" w14:textId="77777777" w:rsidTr="1C29292A">
        <w:trPr>
          <w:tblHeader/>
        </w:trPr>
        <w:tc>
          <w:tcPr>
            <w:tcW w:w="626" w:type="pct"/>
            <w:vAlign w:val="center"/>
          </w:tcPr>
          <w:p w14:paraId="7306118F" w14:textId="77777777" w:rsidR="00FB4693" w:rsidRPr="00886D8A" w:rsidRDefault="00FB4693" w:rsidP="004E36D3">
            <w:pPr>
              <w:pStyle w:val="In-tableHeading"/>
              <w:jc w:val="center"/>
              <w:rPr>
                <w:lang w:val="en-AU"/>
              </w:rPr>
            </w:pPr>
            <w:r w:rsidRPr="00886D8A">
              <w:rPr>
                <w:lang w:val="en-AU"/>
              </w:rPr>
              <w:t>Description</w:t>
            </w:r>
          </w:p>
        </w:tc>
        <w:tc>
          <w:tcPr>
            <w:tcW w:w="2044" w:type="pct"/>
            <w:vAlign w:val="center"/>
          </w:tcPr>
          <w:p w14:paraId="4ADC929C" w14:textId="77777777" w:rsidR="00FB4693" w:rsidRPr="00886D8A" w:rsidRDefault="00FB4693" w:rsidP="004E36D3">
            <w:pPr>
              <w:pStyle w:val="In-tableHeading"/>
              <w:jc w:val="center"/>
              <w:rPr>
                <w:lang w:val="en-AU"/>
              </w:rPr>
            </w:pPr>
            <w:r w:rsidRPr="00886D8A">
              <w:rPr>
                <w:lang w:val="en-AU"/>
              </w:rPr>
              <w:t>Method/Value</w:t>
            </w:r>
          </w:p>
        </w:tc>
        <w:tc>
          <w:tcPr>
            <w:tcW w:w="2330" w:type="pct"/>
            <w:vAlign w:val="center"/>
          </w:tcPr>
          <w:p w14:paraId="0AF147A9" w14:textId="77777777" w:rsidR="00FB4693" w:rsidRPr="00886D8A" w:rsidRDefault="00FB4693" w:rsidP="004E36D3">
            <w:pPr>
              <w:pStyle w:val="In-tableHeading"/>
              <w:jc w:val="center"/>
              <w:rPr>
                <w:lang w:val="en-AU"/>
              </w:rPr>
            </w:pPr>
            <w:r w:rsidRPr="00886D8A">
              <w:rPr>
                <w:lang w:val="en-AU"/>
              </w:rPr>
              <w:t>Impact</w:t>
            </w:r>
          </w:p>
          <w:p w14:paraId="6556E1D4" w14:textId="5D291AC1" w:rsidR="00FB4693" w:rsidRPr="00886D8A" w:rsidRDefault="00FB4693" w:rsidP="004E36D3">
            <w:pPr>
              <w:pStyle w:val="In-tableHeading"/>
              <w:jc w:val="center"/>
              <w:rPr>
                <w:lang w:val="en-AU"/>
              </w:rPr>
            </w:pPr>
            <w:r w:rsidRPr="00886D8A">
              <w:rPr>
                <w:rFonts w:cs="Arial"/>
                <w:szCs w:val="20"/>
                <w:lang w:val="en-AU"/>
              </w:rPr>
              <w:t xml:space="preserve">Base case: </w:t>
            </w:r>
            <w:r w:rsidR="00ED4AC4" w:rsidRPr="00ED4AC4">
              <w:rPr>
                <w:rFonts w:cs="Arial"/>
                <w:color w:val="000000"/>
                <w:szCs w:val="20"/>
                <w:shd w:val="solid" w:color="000000" w:fill="000000"/>
                <w:lang w:val="en-AU"/>
                <w14:textFill>
                  <w14:solidFill>
                    <w14:srgbClr w14:val="000000">
                      <w14:alpha w14:val="100000"/>
                    </w14:srgbClr>
                  </w14:solidFill>
                </w14:textFill>
              </w:rPr>
              <w:t>|</w:t>
            </w:r>
            <w:r w:rsidR="00402F96" w:rsidRPr="00402F96">
              <w:rPr>
                <w:rFonts w:cs="Arial"/>
                <w:szCs w:val="20"/>
                <w:vertAlign w:val="superscript"/>
                <w:lang w:val="en-AU"/>
              </w:rPr>
              <w:t>1</w:t>
            </w:r>
            <w:r w:rsidRPr="00886D8A">
              <w:rPr>
                <w:rFonts w:cs="Arial"/>
                <w:szCs w:val="20"/>
                <w:lang w:val="en-AU"/>
              </w:rPr>
              <w:t>/QALY gained</w:t>
            </w:r>
          </w:p>
        </w:tc>
      </w:tr>
      <w:tr w:rsidR="00FB4693" w:rsidRPr="00886D8A" w14:paraId="40F197EC" w14:textId="77777777" w:rsidTr="1C29292A">
        <w:tc>
          <w:tcPr>
            <w:tcW w:w="626" w:type="pct"/>
            <w:vAlign w:val="center"/>
          </w:tcPr>
          <w:p w14:paraId="30E812AD" w14:textId="57272C60" w:rsidR="00FB4693" w:rsidRPr="00886D8A" w:rsidRDefault="00FB4693" w:rsidP="004E36D3">
            <w:pPr>
              <w:pStyle w:val="TableText0"/>
            </w:pPr>
            <w:r w:rsidRPr="00886D8A">
              <w:t xml:space="preserve">Time </w:t>
            </w:r>
            <w:r w:rsidR="00ED173E" w:rsidRPr="00886D8A">
              <w:t>h</w:t>
            </w:r>
            <w:r w:rsidRPr="00886D8A">
              <w:t>orizon</w:t>
            </w:r>
          </w:p>
        </w:tc>
        <w:tc>
          <w:tcPr>
            <w:tcW w:w="2044" w:type="pct"/>
            <w:vAlign w:val="center"/>
          </w:tcPr>
          <w:p w14:paraId="52214825" w14:textId="5FE45529" w:rsidR="00FB4693" w:rsidRPr="00886D8A" w:rsidRDefault="00FB4693" w:rsidP="004E36D3">
            <w:pPr>
              <w:pStyle w:val="TableText0"/>
              <w:jc w:val="both"/>
            </w:pPr>
            <w:r w:rsidRPr="00886D8A">
              <w:t>The time horizon in the base case (lifetime</w:t>
            </w:r>
            <w:r w:rsidR="00294E92" w:rsidRPr="00886D8A">
              <w:t>, up to 100 years</w:t>
            </w:r>
            <w:r w:rsidRPr="00886D8A">
              <w:t xml:space="preserve">) </w:t>
            </w:r>
            <w:r w:rsidR="00776845" w:rsidRPr="00886D8A">
              <w:t xml:space="preserve">exceeded the average life expectancy for patients with AM </w:t>
            </w:r>
            <w:r w:rsidR="001E504F" w:rsidRPr="00886D8A">
              <w:t>of 40</w:t>
            </w:r>
            <w:r w:rsidR="0011024A">
              <w:noBreakHyphen/>
            </w:r>
            <w:r w:rsidR="00ED173E" w:rsidRPr="00886D8A">
              <w:t>50</w:t>
            </w:r>
            <w:r w:rsidR="001E504F" w:rsidRPr="00886D8A">
              <w:t xml:space="preserve"> years</w:t>
            </w:r>
            <w:r w:rsidR="003776D5" w:rsidRPr="00886D8A">
              <w:t>.</w:t>
            </w:r>
          </w:p>
        </w:tc>
        <w:tc>
          <w:tcPr>
            <w:tcW w:w="2330" w:type="pct"/>
            <w:vAlign w:val="center"/>
          </w:tcPr>
          <w:p w14:paraId="61D9905A" w14:textId="77777777" w:rsidR="00FB4693" w:rsidRPr="00886D8A" w:rsidRDefault="00FB4693" w:rsidP="004E36D3">
            <w:pPr>
              <w:pStyle w:val="TableText0"/>
            </w:pPr>
            <w:r w:rsidRPr="00886D8A">
              <w:t>High, favours velmanase alfa</w:t>
            </w:r>
          </w:p>
          <w:p w14:paraId="7283AF86" w14:textId="08C88D6A" w:rsidR="00FB4693" w:rsidRPr="00886D8A" w:rsidRDefault="00FB4693" w:rsidP="004E36D3">
            <w:pPr>
              <w:pStyle w:val="TableText0"/>
            </w:pPr>
            <w:r w:rsidRPr="00886D8A">
              <w:t>Use of 20</w:t>
            </w:r>
            <w:r w:rsidR="0011024A">
              <w:noBreakHyphen/>
            </w:r>
            <w:r w:rsidRPr="00886D8A">
              <w:t xml:space="preserve">year time horizon increased the ICER by </w:t>
            </w:r>
            <w:r w:rsidR="00ED4AC4" w:rsidRPr="00896015">
              <w:rPr>
                <w:color w:val="000000"/>
                <w:spacing w:val="51"/>
                <w:shd w:val="solid" w:color="000000" w:fill="000000"/>
                <w:fitText w:val="325" w:id="-628411383"/>
                <w14:textFill>
                  <w14:solidFill>
                    <w14:srgbClr w14:val="000000">
                      <w14:alpha w14:val="100000"/>
                    </w14:srgbClr>
                  </w14:solidFill>
                </w14:textFill>
              </w:rPr>
              <w:t>|||</w:t>
            </w:r>
            <w:r w:rsidR="00ED4AC4" w:rsidRPr="00896015">
              <w:rPr>
                <w:color w:val="000000"/>
                <w:shd w:val="solid" w:color="000000" w:fill="000000"/>
                <w:fitText w:val="325" w:id="-628411383"/>
                <w14:textFill>
                  <w14:solidFill>
                    <w14:srgbClr w14:val="000000">
                      <w14:alpha w14:val="100000"/>
                    </w14:srgbClr>
                  </w14:solidFill>
                </w14:textFill>
              </w:rPr>
              <w:t>|</w:t>
            </w:r>
            <w:r w:rsidRPr="00886D8A">
              <w:t xml:space="preserve">% to </w:t>
            </w:r>
            <w:r w:rsidR="00ED4AC4" w:rsidRPr="00896015">
              <w:rPr>
                <w:color w:val="000000"/>
                <w:spacing w:val="51"/>
                <w:shd w:val="solid" w:color="000000" w:fill="000000"/>
                <w:fitText w:val="325" w:id="-628411382"/>
                <w14:textFill>
                  <w14:solidFill>
                    <w14:srgbClr w14:val="000000">
                      <w14:alpha w14:val="100000"/>
                    </w14:srgbClr>
                  </w14:solidFill>
                </w14:textFill>
              </w:rPr>
              <w:t>|||</w:t>
            </w:r>
            <w:r w:rsidR="00ED4AC4" w:rsidRPr="00896015">
              <w:rPr>
                <w:color w:val="000000"/>
                <w:shd w:val="solid" w:color="000000" w:fill="000000"/>
                <w:fitText w:val="325" w:id="-628411382"/>
                <w14:textFill>
                  <w14:solidFill>
                    <w14:srgbClr w14:val="000000">
                      <w14:alpha w14:val="100000"/>
                    </w14:srgbClr>
                  </w14:solidFill>
                </w14:textFill>
              </w:rPr>
              <w:t>|</w:t>
            </w:r>
            <w:r w:rsidR="00402F96" w:rsidRPr="00402F96">
              <w:rPr>
                <w:rFonts w:cs="Arial"/>
                <w:szCs w:val="20"/>
                <w:vertAlign w:val="superscript"/>
              </w:rPr>
              <w:t>1</w:t>
            </w:r>
            <w:r w:rsidRPr="00886D8A">
              <w:t>/QALY gained.</w:t>
            </w:r>
          </w:p>
        </w:tc>
      </w:tr>
      <w:tr w:rsidR="00FB4693" w:rsidRPr="00886D8A" w14:paraId="42265CE6" w14:textId="77777777" w:rsidTr="1C29292A">
        <w:tc>
          <w:tcPr>
            <w:tcW w:w="626" w:type="pct"/>
            <w:vAlign w:val="center"/>
          </w:tcPr>
          <w:p w14:paraId="0F5E1679" w14:textId="77777777" w:rsidR="00FB4693" w:rsidRPr="00886D8A" w:rsidRDefault="00FB4693" w:rsidP="004E36D3">
            <w:pPr>
              <w:pStyle w:val="TableText0"/>
            </w:pPr>
            <w:r w:rsidRPr="00886D8A">
              <w:t>Backwards transition</w:t>
            </w:r>
          </w:p>
        </w:tc>
        <w:tc>
          <w:tcPr>
            <w:tcW w:w="2044" w:type="pct"/>
            <w:vAlign w:val="center"/>
          </w:tcPr>
          <w:p w14:paraId="2790DC5A" w14:textId="291C1BB3" w:rsidR="00FB4693" w:rsidRPr="00886D8A" w:rsidRDefault="00ED173E" w:rsidP="004E36D3">
            <w:pPr>
              <w:pStyle w:val="TableText0"/>
            </w:pPr>
            <w:r w:rsidRPr="00886D8A">
              <w:t>The model allowed</w:t>
            </w:r>
            <w:r w:rsidR="00FB4693" w:rsidRPr="00886D8A">
              <w:t xml:space="preserve"> backward</w:t>
            </w:r>
            <w:r w:rsidRPr="00886D8A">
              <w:t xml:space="preserve">s </w:t>
            </w:r>
            <w:r w:rsidR="00FB4693" w:rsidRPr="00886D8A">
              <w:t xml:space="preserve">transition </w:t>
            </w:r>
            <w:r w:rsidR="004226EE" w:rsidRPr="00886D8A">
              <w:t xml:space="preserve">for </w:t>
            </w:r>
            <w:r w:rsidR="00FB4693" w:rsidRPr="00886D8A">
              <w:t>velmanase alfa</w:t>
            </w:r>
            <w:r w:rsidR="00106264" w:rsidRPr="00886D8A">
              <w:t xml:space="preserve"> patients </w:t>
            </w:r>
            <w:r w:rsidR="004226EE" w:rsidRPr="00886D8A">
              <w:t>from Occasional walking aid/wheelchair use to Normal walking.</w:t>
            </w:r>
          </w:p>
        </w:tc>
        <w:tc>
          <w:tcPr>
            <w:tcW w:w="2330" w:type="pct"/>
            <w:vAlign w:val="center"/>
          </w:tcPr>
          <w:p w14:paraId="7B622B9A" w14:textId="77777777" w:rsidR="00FB4693" w:rsidRPr="00886D8A" w:rsidRDefault="00FB4693" w:rsidP="004E36D3">
            <w:pPr>
              <w:pStyle w:val="TableText0"/>
            </w:pPr>
            <w:r w:rsidRPr="00886D8A">
              <w:t>High, favours velmanase alfa</w:t>
            </w:r>
          </w:p>
          <w:p w14:paraId="002FBB05" w14:textId="3B3BF135" w:rsidR="00FB4693" w:rsidRPr="00886D8A" w:rsidRDefault="00FB4693" w:rsidP="004E36D3">
            <w:pPr>
              <w:pStyle w:val="TableText0"/>
            </w:pPr>
            <w:r w:rsidRPr="00886D8A">
              <w:t xml:space="preserve">Excluding backward transition </w:t>
            </w:r>
            <w:r w:rsidR="00043019" w:rsidRPr="00886D8A">
              <w:t>for velmanase alfa patients</w:t>
            </w:r>
            <w:r w:rsidRPr="00886D8A">
              <w:t xml:space="preserve"> increased the ICER by </w:t>
            </w:r>
            <w:r w:rsidR="00ED4AC4" w:rsidRPr="00896015">
              <w:rPr>
                <w:color w:val="000000"/>
                <w:spacing w:val="51"/>
                <w:shd w:val="solid" w:color="000000" w:fill="000000"/>
                <w:fitText w:val="325" w:id="-628411381"/>
                <w14:textFill>
                  <w14:solidFill>
                    <w14:srgbClr w14:val="000000">
                      <w14:alpha w14:val="100000"/>
                    </w14:srgbClr>
                  </w14:solidFill>
                </w14:textFill>
              </w:rPr>
              <w:t>|||</w:t>
            </w:r>
            <w:r w:rsidR="00ED4AC4" w:rsidRPr="00896015">
              <w:rPr>
                <w:color w:val="000000"/>
                <w:shd w:val="solid" w:color="000000" w:fill="000000"/>
                <w:fitText w:val="325" w:id="-628411381"/>
                <w14:textFill>
                  <w14:solidFill>
                    <w14:srgbClr w14:val="000000">
                      <w14:alpha w14:val="100000"/>
                    </w14:srgbClr>
                  </w14:solidFill>
                </w14:textFill>
              </w:rPr>
              <w:t>|</w:t>
            </w:r>
            <w:r w:rsidRPr="00886D8A">
              <w:t xml:space="preserve">% to </w:t>
            </w:r>
            <w:r w:rsidR="00ED4AC4" w:rsidRPr="00896015">
              <w:rPr>
                <w:color w:val="000000"/>
                <w:spacing w:val="51"/>
                <w:shd w:val="solid" w:color="000000" w:fill="000000"/>
                <w:fitText w:val="325" w:id="-628411380"/>
                <w14:textFill>
                  <w14:solidFill>
                    <w14:srgbClr w14:val="000000">
                      <w14:alpha w14:val="100000"/>
                    </w14:srgbClr>
                  </w14:solidFill>
                </w14:textFill>
              </w:rPr>
              <w:t>|||</w:t>
            </w:r>
            <w:r w:rsidR="00ED4AC4" w:rsidRPr="00896015">
              <w:rPr>
                <w:color w:val="000000"/>
                <w:shd w:val="solid" w:color="000000" w:fill="000000"/>
                <w:fitText w:val="325" w:id="-628411380"/>
                <w14:textFill>
                  <w14:solidFill>
                    <w14:srgbClr w14:val="000000">
                      <w14:alpha w14:val="100000"/>
                    </w14:srgbClr>
                  </w14:solidFill>
                </w14:textFill>
              </w:rPr>
              <w:t>|</w:t>
            </w:r>
            <w:r w:rsidR="00402F96" w:rsidRPr="00402F96">
              <w:rPr>
                <w:rFonts w:cs="Arial"/>
                <w:szCs w:val="20"/>
                <w:vertAlign w:val="superscript"/>
              </w:rPr>
              <w:t>1</w:t>
            </w:r>
            <w:r w:rsidRPr="00886D8A">
              <w:t>/QALY gained.</w:t>
            </w:r>
          </w:p>
        </w:tc>
      </w:tr>
      <w:tr w:rsidR="00FB4693" w:rsidRPr="00886D8A" w14:paraId="41875E1B" w14:textId="77777777" w:rsidTr="1C29292A">
        <w:tc>
          <w:tcPr>
            <w:tcW w:w="626" w:type="pct"/>
            <w:vAlign w:val="center"/>
          </w:tcPr>
          <w:p w14:paraId="54C6B23B" w14:textId="18739FEF" w:rsidR="00FB4693" w:rsidRPr="00886D8A" w:rsidRDefault="00B274EF" w:rsidP="004E36D3">
            <w:pPr>
              <w:pStyle w:val="TableText0"/>
            </w:pPr>
            <w:r w:rsidRPr="00886D8A">
              <w:t>Utility</w:t>
            </w:r>
            <w:r w:rsidR="00B149BB" w:rsidRPr="00886D8A">
              <w:t xml:space="preserve"> </w:t>
            </w:r>
            <w:r w:rsidR="009E3BAC" w:rsidRPr="00886D8A">
              <w:t>gain</w:t>
            </w:r>
            <w:r w:rsidR="00B149BB" w:rsidRPr="00886D8A">
              <w:t xml:space="preserve"> </w:t>
            </w:r>
            <w:r w:rsidR="004226EE" w:rsidRPr="00886D8A">
              <w:t xml:space="preserve">for </w:t>
            </w:r>
            <w:r w:rsidR="00B149BB" w:rsidRPr="00886D8A">
              <w:t>velmanase alfa</w:t>
            </w:r>
            <w:r w:rsidR="004226EE" w:rsidRPr="00886D8A">
              <w:t xml:space="preserve"> patients</w:t>
            </w:r>
          </w:p>
        </w:tc>
        <w:tc>
          <w:tcPr>
            <w:tcW w:w="2044" w:type="pct"/>
            <w:vAlign w:val="center"/>
          </w:tcPr>
          <w:p w14:paraId="65B05F04" w14:textId="0F3B201B" w:rsidR="00FB4693" w:rsidRPr="00886D8A" w:rsidRDefault="00ED173E" w:rsidP="004E36D3">
            <w:pPr>
              <w:pStyle w:val="TableText0"/>
            </w:pPr>
            <w:r w:rsidRPr="00886D8A">
              <w:t>The model applied</w:t>
            </w:r>
            <w:r w:rsidR="00B149BB" w:rsidRPr="00886D8A">
              <w:t xml:space="preserve"> a utility gain of 0.18 to reflect the benefit of treatment with velmanase alfa </w:t>
            </w:r>
            <w:r w:rsidR="009E3BAC" w:rsidRPr="00886D8A">
              <w:t>based on improvement in FVC.</w:t>
            </w:r>
          </w:p>
        </w:tc>
        <w:tc>
          <w:tcPr>
            <w:tcW w:w="2330" w:type="pct"/>
            <w:vAlign w:val="center"/>
          </w:tcPr>
          <w:p w14:paraId="3A3A17A3" w14:textId="77777777" w:rsidR="00FB4693" w:rsidRPr="00886D8A" w:rsidRDefault="00FB4693" w:rsidP="004E36D3">
            <w:pPr>
              <w:pStyle w:val="TableText0"/>
            </w:pPr>
            <w:r w:rsidRPr="00886D8A">
              <w:t>High, favours velmanase alfa</w:t>
            </w:r>
          </w:p>
          <w:p w14:paraId="61A9935E" w14:textId="24E28C67" w:rsidR="00FB4693" w:rsidRPr="00886D8A" w:rsidRDefault="004226EE" w:rsidP="004E36D3">
            <w:pPr>
              <w:pStyle w:val="TableText0"/>
            </w:pPr>
            <w:r w:rsidRPr="00886D8A">
              <w:t>Removing the</w:t>
            </w:r>
            <w:r w:rsidR="00FB4693" w:rsidRPr="00886D8A">
              <w:t xml:space="preserve"> </w:t>
            </w:r>
            <w:r w:rsidR="009E3BAC" w:rsidRPr="00886D8A">
              <w:t xml:space="preserve">utility gain </w:t>
            </w:r>
            <w:r w:rsidR="00DD1BE2" w:rsidRPr="00886D8A">
              <w:t xml:space="preserve">of 0.18 </w:t>
            </w:r>
            <w:r w:rsidR="00D71611" w:rsidRPr="00886D8A">
              <w:t>for</w:t>
            </w:r>
            <w:r w:rsidR="00AB5AA2" w:rsidRPr="00886D8A">
              <w:t xml:space="preserve"> patients treated with</w:t>
            </w:r>
            <w:r w:rsidR="00D71611" w:rsidRPr="00886D8A">
              <w:t xml:space="preserve"> </w:t>
            </w:r>
            <w:r w:rsidR="00DD1BE2" w:rsidRPr="00886D8A">
              <w:t xml:space="preserve">velmanase alfa </w:t>
            </w:r>
            <w:r w:rsidR="00FB4693" w:rsidRPr="00886D8A">
              <w:t xml:space="preserve">increased the ICER by </w:t>
            </w:r>
            <w:r w:rsidR="00ED4AC4" w:rsidRPr="00896015">
              <w:rPr>
                <w:color w:val="000000"/>
                <w:spacing w:val="51"/>
                <w:shd w:val="solid" w:color="000000" w:fill="000000"/>
                <w:fitText w:val="325" w:id="-628411379"/>
                <w14:textFill>
                  <w14:solidFill>
                    <w14:srgbClr w14:val="000000">
                      <w14:alpha w14:val="100000"/>
                    </w14:srgbClr>
                  </w14:solidFill>
                </w14:textFill>
              </w:rPr>
              <w:t>|||</w:t>
            </w:r>
            <w:r w:rsidR="00ED4AC4" w:rsidRPr="00896015">
              <w:rPr>
                <w:color w:val="000000"/>
                <w:shd w:val="solid" w:color="000000" w:fill="000000"/>
                <w:fitText w:val="325" w:id="-628411379"/>
                <w14:textFill>
                  <w14:solidFill>
                    <w14:srgbClr w14:val="000000">
                      <w14:alpha w14:val="100000"/>
                    </w14:srgbClr>
                  </w14:solidFill>
                </w14:textFill>
              </w:rPr>
              <w:t>|</w:t>
            </w:r>
            <w:r w:rsidR="00FB4693" w:rsidRPr="00886D8A">
              <w:t xml:space="preserve">% to </w:t>
            </w:r>
            <w:r w:rsidR="00ED4AC4" w:rsidRPr="00896015">
              <w:rPr>
                <w:color w:val="000000"/>
                <w:spacing w:val="51"/>
                <w:shd w:val="solid" w:color="000000" w:fill="000000"/>
                <w:fitText w:val="325" w:id="-628411378"/>
                <w14:textFill>
                  <w14:solidFill>
                    <w14:srgbClr w14:val="000000">
                      <w14:alpha w14:val="100000"/>
                    </w14:srgbClr>
                  </w14:solidFill>
                </w14:textFill>
              </w:rPr>
              <w:t>|||</w:t>
            </w:r>
            <w:r w:rsidR="00ED4AC4" w:rsidRPr="00896015">
              <w:rPr>
                <w:color w:val="000000"/>
                <w:shd w:val="solid" w:color="000000" w:fill="000000"/>
                <w:fitText w:val="325" w:id="-628411378"/>
                <w14:textFill>
                  <w14:solidFill>
                    <w14:srgbClr w14:val="000000">
                      <w14:alpha w14:val="100000"/>
                    </w14:srgbClr>
                  </w14:solidFill>
                </w14:textFill>
              </w:rPr>
              <w:t>|</w:t>
            </w:r>
            <w:r w:rsidR="00402F96" w:rsidRPr="00402F96">
              <w:rPr>
                <w:rFonts w:cs="Arial"/>
                <w:szCs w:val="20"/>
                <w:vertAlign w:val="superscript"/>
              </w:rPr>
              <w:t>1</w:t>
            </w:r>
            <w:r w:rsidR="00FB4693" w:rsidRPr="00886D8A">
              <w:t>/QALY gained.</w:t>
            </w:r>
          </w:p>
        </w:tc>
      </w:tr>
    </w:tbl>
    <w:p w14:paraId="01320D4D" w14:textId="3142212B" w:rsidR="00FB4693" w:rsidRPr="00886D8A" w:rsidRDefault="00FB4693" w:rsidP="004E36D3">
      <w:pPr>
        <w:pStyle w:val="FooterTableFigure"/>
      </w:pPr>
      <w:r w:rsidRPr="00886D8A">
        <w:t>Source: Source: Table 3.9</w:t>
      </w:r>
      <w:r w:rsidR="0011024A">
        <w:noBreakHyphen/>
      </w:r>
      <w:r w:rsidR="00924AD7" w:rsidRPr="00886D8A">
        <w:t>2</w:t>
      </w:r>
      <w:r w:rsidRPr="00886D8A">
        <w:t>, p190 of the submission.</w:t>
      </w:r>
    </w:p>
    <w:p w14:paraId="50B7D907" w14:textId="77777777" w:rsidR="0019518B" w:rsidRDefault="007D5D1D" w:rsidP="004E36D3">
      <w:pPr>
        <w:pStyle w:val="FooterTableFigure"/>
      </w:pPr>
      <w:r w:rsidRPr="00886D8A">
        <w:t xml:space="preserve">FVC = forced vital capacity; </w:t>
      </w:r>
      <w:r w:rsidR="00FB4693" w:rsidRPr="00886D8A">
        <w:t>ICER = Incremental Cost</w:t>
      </w:r>
      <w:r w:rsidR="0011024A">
        <w:noBreakHyphen/>
      </w:r>
      <w:r w:rsidR="00FB4693" w:rsidRPr="00886D8A">
        <w:t>Effectiveness Ratio; QALYs = Quality</w:t>
      </w:r>
      <w:r w:rsidR="0011024A">
        <w:noBreakHyphen/>
      </w:r>
      <w:r w:rsidR="00FB4693" w:rsidRPr="00886D8A">
        <w:t xml:space="preserve">Adjusted Life Year. </w:t>
      </w:r>
    </w:p>
    <w:p w14:paraId="0D885796" w14:textId="566822DC" w:rsidR="001E3648" w:rsidRPr="00406D06" w:rsidRDefault="0019518B" w:rsidP="004E36D3">
      <w:pPr>
        <w:pStyle w:val="FooterTableFigure"/>
        <w:rPr>
          <w:i/>
          <w:iCs/>
        </w:rPr>
      </w:pPr>
      <w:r w:rsidRPr="00406D06">
        <w:rPr>
          <w:i/>
          <w:iCs/>
        </w:rPr>
        <w:t>The redacted values correspond to the following ranges:</w:t>
      </w:r>
    </w:p>
    <w:p w14:paraId="7834EE21" w14:textId="7C135A9E" w:rsidR="00FB4693" w:rsidRPr="00406D06" w:rsidRDefault="001E3648" w:rsidP="004E36D3">
      <w:pPr>
        <w:pStyle w:val="FooterTableFigure"/>
        <w:rPr>
          <w:i/>
          <w:iCs/>
        </w:rPr>
      </w:pPr>
      <w:r w:rsidRPr="00406D06">
        <w:rPr>
          <w:i/>
          <w:iCs/>
          <w:vertAlign w:val="superscript"/>
        </w:rPr>
        <w:t>1</w:t>
      </w:r>
      <w:r w:rsidRPr="00406D06">
        <w:rPr>
          <w:i/>
          <w:iCs/>
        </w:rPr>
        <w:t xml:space="preserve"> &gt; $1,055,000</w:t>
      </w:r>
    </w:p>
    <w:p w14:paraId="21A059CF" w14:textId="3216DD98" w:rsidR="00FB4693" w:rsidRPr="00886D8A" w:rsidRDefault="00032559" w:rsidP="004E36D3">
      <w:pPr>
        <w:pStyle w:val="3-BodyText"/>
      </w:pPr>
      <w:r w:rsidRPr="00886D8A">
        <w:fldChar w:fldCharType="begin"/>
      </w:r>
      <w:r w:rsidRPr="00886D8A">
        <w:instrText xml:space="preserve"> REF _Ref197812970 \h </w:instrText>
      </w:r>
      <w:r w:rsidRPr="00886D8A">
        <w:fldChar w:fldCharType="separate"/>
      </w:r>
      <w:r w:rsidR="00B73A9E" w:rsidRPr="00886D8A">
        <w:t xml:space="preserve">Table </w:t>
      </w:r>
      <w:r w:rsidR="00B73A9E">
        <w:rPr>
          <w:noProof/>
        </w:rPr>
        <w:t>15</w:t>
      </w:r>
      <w:r w:rsidRPr="00886D8A">
        <w:fldChar w:fldCharType="end"/>
      </w:r>
      <w:r w:rsidR="00FB4693" w:rsidRPr="00886D8A">
        <w:t xml:space="preserve"> presents the results of the stepped economic evaluation.</w:t>
      </w:r>
    </w:p>
    <w:p w14:paraId="1FA215EB" w14:textId="3DEA976E" w:rsidR="00FB4693" w:rsidRPr="00886D8A" w:rsidRDefault="00FB4693" w:rsidP="004E36D3">
      <w:pPr>
        <w:pStyle w:val="Caption"/>
      </w:pPr>
      <w:bookmarkStart w:id="96" w:name="_Ref197812970"/>
      <w:bookmarkStart w:id="97" w:name="_Hlk196919015"/>
      <w:r w:rsidRPr="00886D8A">
        <w:t xml:space="preserve">Table </w:t>
      </w:r>
      <w:r>
        <w:fldChar w:fldCharType="begin"/>
      </w:r>
      <w:r>
        <w:instrText>SEQ Table \* ARABIC</w:instrText>
      </w:r>
      <w:r>
        <w:fldChar w:fldCharType="separate"/>
      </w:r>
      <w:r w:rsidR="00B73A9E">
        <w:rPr>
          <w:noProof/>
        </w:rPr>
        <w:t>15</w:t>
      </w:r>
      <w:r>
        <w:fldChar w:fldCharType="end"/>
      </w:r>
      <w:bookmarkEnd w:id="96"/>
      <w:r w:rsidRPr="00886D8A">
        <w:t>:</w:t>
      </w:r>
      <w:r w:rsidRPr="00886D8A">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5: Results of the stepped economic evaluation"/>
      </w:tblPr>
      <w:tblGrid>
        <w:gridCol w:w="2757"/>
        <w:gridCol w:w="2451"/>
        <w:gridCol w:w="2298"/>
        <w:gridCol w:w="1511"/>
      </w:tblGrid>
      <w:tr w:rsidR="00FB4693" w:rsidRPr="00886D8A" w14:paraId="7CF469DF" w14:textId="77777777" w:rsidTr="001D27DB">
        <w:trPr>
          <w:cantSplit/>
          <w:tblHeader/>
        </w:trPr>
        <w:tc>
          <w:tcPr>
            <w:tcW w:w="1529" w:type="pct"/>
            <w:vAlign w:val="center"/>
          </w:tcPr>
          <w:p w14:paraId="282FA94C" w14:textId="77777777" w:rsidR="00FB4693" w:rsidRPr="00886D8A" w:rsidRDefault="00FB4693" w:rsidP="004E36D3">
            <w:pPr>
              <w:pStyle w:val="In-tableHeading"/>
              <w:rPr>
                <w:lang w:val="en-AU"/>
              </w:rPr>
            </w:pPr>
            <w:r w:rsidRPr="00886D8A">
              <w:rPr>
                <w:lang w:val="en-AU"/>
              </w:rPr>
              <w:t>Step and component</w:t>
            </w:r>
          </w:p>
        </w:tc>
        <w:tc>
          <w:tcPr>
            <w:tcW w:w="1359" w:type="pct"/>
            <w:vAlign w:val="center"/>
          </w:tcPr>
          <w:p w14:paraId="477E82AE" w14:textId="77777777" w:rsidR="00FB4693" w:rsidRPr="00886D8A" w:rsidRDefault="00FB4693" w:rsidP="004E36D3">
            <w:pPr>
              <w:pStyle w:val="In-tableHeading"/>
              <w:jc w:val="center"/>
              <w:rPr>
                <w:lang w:val="en-AU"/>
              </w:rPr>
            </w:pPr>
            <w:r w:rsidRPr="00886D8A">
              <w:rPr>
                <w:lang w:val="en-AU"/>
              </w:rPr>
              <w:t>Velmanase alfa</w:t>
            </w:r>
          </w:p>
        </w:tc>
        <w:tc>
          <w:tcPr>
            <w:tcW w:w="1274" w:type="pct"/>
            <w:vAlign w:val="center"/>
          </w:tcPr>
          <w:p w14:paraId="5B681E48" w14:textId="77777777" w:rsidR="00FB4693" w:rsidRPr="00886D8A" w:rsidRDefault="00FB4693" w:rsidP="004E36D3">
            <w:pPr>
              <w:pStyle w:val="In-tableHeading"/>
              <w:jc w:val="center"/>
              <w:rPr>
                <w:lang w:val="en-AU"/>
              </w:rPr>
            </w:pPr>
            <w:r w:rsidRPr="00886D8A">
              <w:rPr>
                <w:lang w:val="en-AU"/>
              </w:rPr>
              <w:t>BSC</w:t>
            </w:r>
          </w:p>
        </w:tc>
        <w:tc>
          <w:tcPr>
            <w:tcW w:w="838" w:type="pct"/>
            <w:vAlign w:val="center"/>
          </w:tcPr>
          <w:p w14:paraId="445E9E87" w14:textId="77777777" w:rsidR="00FB4693" w:rsidRPr="00886D8A" w:rsidRDefault="00FB4693" w:rsidP="004E36D3">
            <w:pPr>
              <w:pStyle w:val="In-tableHeading"/>
              <w:jc w:val="center"/>
              <w:rPr>
                <w:lang w:val="en-AU"/>
              </w:rPr>
            </w:pPr>
            <w:r w:rsidRPr="00886D8A">
              <w:rPr>
                <w:lang w:val="en-AU"/>
              </w:rPr>
              <w:t>Increment</w:t>
            </w:r>
          </w:p>
        </w:tc>
      </w:tr>
      <w:tr w:rsidR="00FB4693" w:rsidRPr="00886D8A" w14:paraId="40AFFD37" w14:textId="77777777" w:rsidTr="001D27DB">
        <w:trPr>
          <w:cantSplit/>
        </w:trPr>
        <w:tc>
          <w:tcPr>
            <w:tcW w:w="5000" w:type="pct"/>
            <w:gridSpan w:val="4"/>
            <w:vAlign w:val="center"/>
          </w:tcPr>
          <w:p w14:paraId="478E7F21" w14:textId="553F5BA3" w:rsidR="00FB4693" w:rsidRPr="00886D8A" w:rsidRDefault="00FB4693" w:rsidP="004E36D3">
            <w:pPr>
              <w:pStyle w:val="In-tableHeading"/>
              <w:rPr>
                <w:lang w:val="en-AU"/>
              </w:rPr>
            </w:pPr>
            <w:r w:rsidRPr="00886D8A">
              <w:rPr>
                <w:lang w:val="en-AU"/>
              </w:rPr>
              <w:t>Step 1: Trial</w:t>
            </w:r>
            <w:r w:rsidR="0011024A">
              <w:rPr>
                <w:lang w:val="en-AU"/>
              </w:rPr>
              <w:noBreakHyphen/>
            </w:r>
            <w:r w:rsidRPr="00886D8A">
              <w:rPr>
                <w:lang w:val="en-AU"/>
              </w:rPr>
              <w:t>based economic evaluation</w:t>
            </w:r>
          </w:p>
        </w:tc>
      </w:tr>
      <w:tr w:rsidR="00FB4693" w:rsidRPr="00886D8A" w14:paraId="6869ED4E" w14:textId="77777777" w:rsidTr="001D27DB">
        <w:trPr>
          <w:cantSplit/>
        </w:trPr>
        <w:tc>
          <w:tcPr>
            <w:tcW w:w="1529" w:type="pct"/>
            <w:vAlign w:val="center"/>
          </w:tcPr>
          <w:p w14:paraId="3A91F3DC" w14:textId="77777777" w:rsidR="00FB4693" w:rsidRPr="00886D8A" w:rsidRDefault="00FB4693" w:rsidP="004E36D3">
            <w:pPr>
              <w:pStyle w:val="TableText0"/>
              <w:rPr>
                <w:rFonts w:ascii="Times" w:hAnsi="Times"/>
              </w:rPr>
            </w:pPr>
            <w:r w:rsidRPr="00886D8A">
              <w:t>Costs</w:t>
            </w:r>
          </w:p>
        </w:tc>
        <w:tc>
          <w:tcPr>
            <w:tcW w:w="1359" w:type="pct"/>
            <w:vAlign w:val="center"/>
          </w:tcPr>
          <w:p w14:paraId="0C450056" w14:textId="02DEE06B"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c>
          <w:tcPr>
            <w:tcW w:w="1274" w:type="pct"/>
            <w:vAlign w:val="center"/>
          </w:tcPr>
          <w:p w14:paraId="4E2AACAC" w14:textId="77777777" w:rsidR="00FB4693" w:rsidRPr="00886D8A" w:rsidRDefault="00FB4693" w:rsidP="004E36D3">
            <w:pPr>
              <w:pStyle w:val="TableText0"/>
              <w:jc w:val="center"/>
              <w:rPr>
                <w:rFonts w:ascii="Times" w:hAnsi="Times"/>
              </w:rPr>
            </w:pPr>
            <w:r w:rsidRPr="00886D8A">
              <w:t>$0</w:t>
            </w:r>
          </w:p>
        </w:tc>
        <w:tc>
          <w:tcPr>
            <w:tcW w:w="838" w:type="pct"/>
            <w:vAlign w:val="center"/>
          </w:tcPr>
          <w:p w14:paraId="562F1C9F" w14:textId="0851F524"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r>
      <w:tr w:rsidR="00FB4693" w:rsidRPr="00886D8A" w14:paraId="24E23CF9" w14:textId="77777777" w:rsidTr="001D27DB">
        <w:trPr>
          <w:cantSplit/>
        </w:trPr>
        <w:tc>
          <w:tcPr>
            <w:tcW w:w="1529" w:type="pct"/>
            <w:vAlign w:val="center"/>
          </w:tcPr>
          <w:p w14:paraId="42C1B89B" w14:textId="77777777" w:rsidR="00FB4693" w:rsidRPr="00886D8A" w:rsidRDefault="00FB4693" w:rsidP="004E36D3">
            <w:pPr>
              <w:pStyle w:val="TableText0"/>
              <w:rPr>
                <w:rFonts w:ascii="Times" w:hAnsi="Times"/>
              </w:rPr>
            </w:pPr>
            <w:r w:rsidRPr="00886D8A">
              <w:t>LY</w:t>
            </w:r>
          </w:p>
        </w:tc>
        <w:tc>
          <w:tcPr>
            <w:tcW w:w="1359" w:type="pct"/>
            <w:vAlign w:val="center"/>
          </w:tcPr>
          <w:p w14:paraId="1CD3E209" w14:textId="77777777" w:rsidR="00FB4693" w:rsidRPr="00886D8A" w:rsidRDefault="00FB4693" w:rsidP="004E36D3">
            <w:pPr>
              <w:pStyle w:val="TableText0"/>
              <w:jc w:val="center"/>
              <w:rPr>
                <w:rFonts w:ascii="Times" w:hAnsi="Times"/>
              </w:rPr>
            </w:pPr>
            <w:r w:rsidRPr="00886D8A">
              <w:t>3.88</w:t>
            </w:r>
          </w:p>
        </w:tc>
        <w:tc>
          <w:tcPr>
            <w:tcW w:w="1274" w:type="pct"/>
            <w:vAlign w:val="center"/>
          </w:tcPr>
          <w:p w14:paraId="079330F0" w14:textId="77777777" w:rsidR="00FB4693" w:rsidRPr="00886D8A" w:rsidRDefault="00FB4693" w:rsidP="004E36D3">
            <w:pPr>
              <w:pStyle w:val="TableText0"/>
              <w:jc w:val="center"/>
              <w:rPr>
                <w:rFonts w:ascii="Times" w:hAnsi="Times"/>
              </w:rPr>
            </w:pPr>
            <w:r w:rsidRPr="00886D8A">
              <w:t>3.83</w:t>
            </w:r>
          </w:p>
        </w:tc>
        <w:tc>
          <w:tcPr>
            <w:tcW w:w="838" w:type="pct"/>
            <w:vAlign w:val="center"/>
          </w:tcPr>
          <w:p w14:paraId="34C92D79" w14:textId="2B6140B1" w:rsidR="00FB4693" w:rsidRPr="00886D8A" w:rsidRDefault="00FB4693" w:rsidP="004E36D3">
            <w:pPr>
              <w:pStyle w:val="TableText0"/>
              <w:jc w:val="center"/>
            </w:pPr>
            <w:r w:rsidRPr="00886D8A">
              <w:t>0.05</w:t>
            </w:r>
          </w:p>
        </w:tc>
      </w:tr>
      <w:tr w:rsidR="00FB4693" w:rsidRPr="00886D8A" w14:paraId="3C30A31B" w14:textId="77777777" w:rsidTr="001D27DB">
        <w:trPr>
          <w:cantSplit/>
        </w:trPr>
        <w:tc>
          <w:tcPr>
            <w:tcW w:w="4162" w:type="pct"/>
            <w:gridSpan w:val="3"/>
            <w:vAlign w:val="center"/>
          </w:tcPr>
          <w:p w14:paraId="1649D0E9" w14:textId="77777777" w:rsidR="00FB4693" w:rsidRPr="00886D8A" w:rsidRDefault="00FB4693" w:rsidP="004E36D3">
            <w:pPr>
              <w:pStyle w:val="TableText0"/>
              <w:rPr>
                <w:rFonts w:ascii="Times" w:hAnsi="Times"/>
              </w:rPr>
            </w:pPr>
            <w:r w:rsidRPr="00886D8A">
              <w:t>Incremental cost/extra LY gained</w:t>
            </w:r>
          </w:p>
        </w:tc>
        <w:tc>
          <w:tcPr>
            <w:tcW w:w="838" w:type="pct"/>
            <w:vAlign w:val="center"/>
          </w:tcPr>
          <w:p w14:paraId="28E033D1" w14:textId="5DD987D0"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r w:rsidR="002F6829" w:rsidRPr="002F6829">
              <w:rPr>
                <w:vertAlign w:val="superscript"/>
              </w:rPr>
              <w:t>1</w:t>
            </w:r>
          </w:p>
        </w:tc>
      </w:tr>
      <w:tr w:rsidR="00FB4693" w:rsidRPr="00886D8A" w14:paraId="38CB299E" w14:textId="77777777" w:rsidTr="001D27DB">
        <w:trPr>
          <w:cantSplit/>
        </w:trPr>
        <w:tc>
          <w:tcPr>
            <w:tcW w:w="5000" w:type="pct"/>
            <w:gridSpan w:val="4"/>
            <w:vAlign w:val="center"/>
          </w:tcPr>
          <w:p w14:paraId="30EE15E8" w14:textId="19EEAA50" w:rsidR="00FB4693" w:rsidRPr="00886D8A" w:rsidRDefault="00FB4693" w:rsidP="004E36D3">
            <w:pPr>
              <w:pStyle w:val="In-tableHeading"/>
              <w:rPr>
                <w:lang w:val="en-AU"/>
              </w:rPr>
            </w:pPr>
            <w:r w:rsidRPr="00886D8A">
              <w:rPr>
                <w:lang w:val="en-AU"/>
              </w:rPr>
              <w:t>Step 2: Model</w:t>
            </w:r>
            <w:r w:rsidR="0011024A">
              <w:rPr>
                <w:lang w:val="en-AU"/>
              </w:rPr>
              <w:noBreakHyphen/>
            </w:r>
            <w:r w:rsidRPr="00886D8A">
              <w:rPr>
                <w:lang w:val="en-AU"/>
              </w:rPr>
              <w:t xml:space="preserve">based analysis modelled over a lifetime time horizon </w:t>
            </w:r>
          </w:p>
        </w:tc>
      </w:tr>
      <w:tr w:rsidR="00FB4693" w:rsidRPr="00886D8A" w14:paraId="4F4D268E" w14:textId="77777777" w:rsidTr="001D27DB">
        <w:trPr>
          <w:cantSplit/>
        </w:trPr>
        <w:tc>
          <w:tcPr>
            <w:tcW w:w="1529" w:type="pct"/>
            <w:vAlign w:val="center"/>
          </w:tcPr>
          <w:p w14:paraId="65085F0C" w14:textId="77777777" w:rsidR="00FB4693" w:rsidRPr="00886D8A" w:rsidRDefault="00FB4693" w:rsidP="004E36D3">
            <w:pPr>
              <w:pStyle w:val="TableText0"/>
              <w:rPr>
                <w:rFonts w:ascii="Times" w:hAnsi="Times"/>
              </w:rPr>
            </w:pPr>
            <w:r w:rsidRPr="00886D8A">
              <w:t>Costs</w:t>
            </w:r>
          </w:p>
        </w:tc>
        <w:tc>
          <w:tcPr>
            <w:tcW w:w="1359" w:type="pct"/>
            <w:vAlign w:val="center"/>
          </w:tcPr>
          <w:p w14:paraId="0D334899" w14:textId="49ED9B87"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c>
          <w:tcPr>
            <w:tcW w:w="1274" w:type="pct"/>
            <w:vAlign w:val="center"/>
          </w:tcPr>
          <w:p w14:paraId="0374C504" w14:textId="77777777" w:rsidR="00FB4693" w:rsidRPr="00886D8A" w:rsidRDefault="00FB4693" w:rsidP="004E36D3">
            <w:pPr>
              <w:pStyle w:val="TableText0"/>
              <w:jc w:val="center"/>
              <w:rPr>
                <w:rFonts w:ascii="Times" w:hAnsi="Times"/>
              </w:rPr>
            </w:pPr>
            <w:r w:rsidRPr="00886D8A">
              <w:t>$0</w:t>
            </w:r>
          </w:p>
        </w:tc>
        <w:tc>
          <w:tcPr>
            <w:tcW w:w="838" w:type="pct"/>
            <w:vAlign w:val="center"/>
          </w:tcPr>
          <w:p w14:paraId="31B6DD1B" w14:textId="32EDB1F1"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r>
      <w:tr w:rsidR="00FB4693" w:rsidRPr="00886D8A" w14:paraId="45C1D2CA" w14:textId="77777777" w:rsidTr="001D27DB">
        <w:trPr>
          <w:cantSplit/>
        </w:trPr>
        <w:tc>
          <w:tcPr>
            <w:tcW w:w="1529" w:type="pct"/>
            <w:vAlign w:val="center"/>
          </w:tcPr>
          <w:p w14:paraId="5DCCF5F1" w14:textId="77777777" w:rsidR="00FB4693" w:rsidRPr="00886D8A" w:rsidRDefault="00FB4693" w:rsidP="004E36D3">
            <w:pPr>
              <w:pStyle w:val="TableText0"/>
              <w:rPr>
                <w:rFonts w:ascii="Times" w:hAnsi="Times"/>
              </w:rPr>
            </w:pPr>
            <w:r w:rsidRPr="00886D8A">
              <w:t>LY</w:t>
            </w:r>
          </w:p>
        </w:tc>
        <w:tc>
          <w:tcPr>
            <w:tcW w:w="1359" w:type="pct"/>
            <w:vAlign w:val="center"/>
          </w:tcPr>
          <w:p w14:paraId="1B040F05" w14:textId="77777777" w:rsidR="00FB4693" w:rsidRPr="00886D8A" w:rsidRDefault="00FB4693" w:rsidP="004E36D3">
            <w:pPr>
              <w:pStyle w:val="TableText0"/>
              <w:jc w:val="center"/>
            </w:pPr>
            <w:r w:rsidRPr="00886D8A">
              <w:t>33.90</w:t>
            </w:r>
          </w:p>
        </w:tc>
        <w:tc>
          <w:tcPr>
            <w:tcW w:w="1274" w:type="pct"/>
            <w:vAlign w:val="center"/>
          </w:tcPr>
          <w:p w14:paraId="05C0FEF3" w14:textId="77777777" w:rsidR="00FB4693" w:rsidRPr="00886D8A" w:rsidRDefault="00FB4693" w:rsidP="004E36D3">
            <w:pPr>
              <w:pStyle w:val="TableText0"/>
              <w:jc w:val="center"/>
            </w:pPr>
            <w:r w:rsidRPr="00886D8A">
              <w:t>24.34</w:t>
            </w:r>
          </w:p>
        </w:tc>
        <w:tc>
          <w:tcPr>
            <w:tcW w:w="838" w:type="pct"/>
            <w:vAlign w:val="center"/>
          </w:tcPr>
          <w:p w14:paraId="5801525E" w14:textId="77777777" w:rsidR="00FB4693" w:rsidRPr="00886D8A" w:rsidRDefault="00FB4693" w:rsidP="004E36D3">
            <w:pPr>
              <w:pStyle w:val="TableText0"/>
              <w:jc w:val="center"/>
            </w:pPr>
            <w:r w:rsidRPr="00886D8A">
              <w:t>9.56</w:t>
            </w:r>
          </w:p>
        </w:tc>
      </w:tr>
      <w:tr w:rsidR="00FB4693" w:rsidRPr="00886D8A" w14:paraId="777638A7" w14:textId="77777777" w:rsidTr="001D27DB">
        <w:trPr>
          <w:cantSplit/>
        </w:trPr>
        <w:tc>
          <w:tcPr>
            <w:tcW w:w="4162" w:type="pct"/>
            <w:gridSpan w:val="3"/>
            <w:vAlign w:val="center"/>
          </w:tcPr>
          <w:p w14:paraId="37C065C7" w14:textId="77777777" w:rsidR="00FB4693" w:rsidRPr="00886D8A" w:rsidRDefault="00FB4693" w:rsidP="004E36D3">
            <w:pPr>
              <w:pStyle w:val="TableText0"/>
              <w:rPr>
                <w:rFonts w:ascii="Times" w:hAnsi="Times"/>
              </w:rPr>
            </w:pPr>
            <w:r w:rsidRPr="00886D8A">
              <w:t>Incremental cost/extra LY gained</w:t>
            </w:r>
          </w:p>
        </w:tc>
        <w:tc>
          <w:tcPr>
            <w:tcW w:w="838" w:type="pct"/>
            <w:vAlign w:val="center"/>
          </w:tcPr>
          <w:p w14:paraId="6B0D4753" w14:textId="29CD5E82"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r w:rsidR="00384C99" w:rsidRPr="00384C99">
              <w:rPr>
                <w:vertAlign w:val="superscript"/>
              </w:rPr>
              <w:t>2</w:t>
            </w:r>
          </w:p>
        </w:tc>
      </w:tr>
      <w:tr w:rsidR="00FB4693" w:rsidRPr="00886D8A" w14:paraId="797C5234" w14:textId="77777777" w:rsidTr="001D27DB">
        <w:trPr>
          <w:cantSplit/>
        </w:trPr>
        <w:tc>
          <w:tcPr>
            <w:tcW w:w="5000" w:type="pct"/>
            <w:gridSpan w:val="4"/>
            <w:vAlign w:val="center"/>
          </w:tcPr>
          <w:p w14:paraId="0D686877" w14:textId="04BCD730" w:rsidR="00FB4693" w:rsidRPr="00886D8A" w:rsidRDefault="00FB4693" w:rsidP="004E36D3">
            <w:pPr>
              <w:pStyle w:val="In-tableHeading"/>
              <w:rPr>
                <w:lang w:val="en-AU"/>
              </w:rPr>
            </w:pPr>
            <w:r w:rsidRPr="00886D8A">
              <w:rPr>
                <w:lang w:val="en-AU"/>
              </w:rPr>
              <w:t>Step 3: Model</w:t>
            </w:r>
            <w:r w:rsidR="0011024A">
              <w:rPr>
                <w:lang w:val="en-AU"/>
              </w:rPr>
              <w:noBreakHyphen/>
            </w:r>
            <w:r w:rsidRPr="00886D8A">
              <w:rPr>
                <w:lang w:val="en-AU"/>
              </w:rPr>
              <w:t xml:space="preserve">based analysis from Step 2 adding discounting of cost and effectiveness outcomes at 5% </w:t>
            </w:r>
          </w:p>
        </w:tc>
      </w:tr>
      <w:tr w:rsidR="00FB4693" w:rsidRPr="00886D8A" w14:paraId="1F53731C" w14:textId="77777777" w:rsidTr="001D27DB">
        <w:trPr>
          <w:cantSplit/>
        </w:trPr>
        <w:tc>
          <w:tcPr>
            <w:tcW w:w="1529" w:type="pct"/>
            <w:vAlign w:val="center"/>
          </w:tcPr>
          <w:p w14:paraId="316A7ED7" w14:textId="77777777" w:rsidR="00FB4693" w:rsidRPr="00886D8A" w:rsidRDefault="00FB4693" w:rsidP="004E36D3">
            <w:pPr>
              <w:pStyle w:val="TableText0"/>
              <w:rPr>
                <w:rFonts w:ascii="Times" w:hAnsi="Times"/>
              </w:rPr>
            </w:pPr>
            <w:r w:rsidRPr="00886D8A">
              <w:t>Costs</w:t>
            </w:r>
          </w:p>
        </w:tc>
        <w:tc>
          <w:tcPr>
            <w:tcW w:w="1359" w:type="pct"/>
            <w:vAlign w:val="center"/>
          </w:tcPr>
          <w:p w14:paraId="5D90D1F3" w14:textId="6ADDE053"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c>
          <w:tcPr>
            <w:tcW w:w="1274" w:type="pct"/>
            <w:vAlign w:val="center"/>
          </w:tcPr>
          <w:p w14:paraId="17D33AEF" w14:textId="77777777" w:rsidR="00FB4693" w:rsidRPr="00886D8A" w:rsidRDefault="00FB4693" w:rsidP="004E36D3">
            <w:pPr>
              <w:pStyle w:val="TableText0"/>
              <w:jc w:val="center"/>
              <w:rPr>
                <w:rFonts w:ascii="Times" w:hAnsi="Times"/>
              </w:rPr>
            </w:pPr>
            <w:r w:rsidRPr="00886D8A">
              <w:t>$0</w:t>
            </w:r>
          </w:p>
        </w:tc>
        <w:tc>
          <w:tcPr>
            <w:tcW w:w="838" w:type="pct"/>
            <w:vAlign w:val="center"/>
          </w:tcPr>
          <w:p w14:paraId="1D88ACA2" w14:textId="5552C560"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r>
      <w:tr w:rsidR="00FB4693" w:rsidRPr="00886D8A" w14:paraId="4073D3AA" w14:textId="77777777" w:rsidTr="001D27DB">
        <w:trPr>
          <w:cantSplit/>
        </w:trPr>
        <w:tc>
          <w:tcPr>
            <w:tcW w:w="1529" w:type="pct"/>
            <w:vAlign w:val="center"/>
          </w:tcPr>
          <w:p w14:paraId="5F73ABBF" w14:textId="77777777" w:rsidR="00FB4693" w:rsidRPr="00886D8A" w:rsidRDefault="00FB4693" w:rsidP="004E36D3">
            <w:pPr>
              <w:pStyle w:val="TableText0"/>
              <w:rPr>
                <w:rFonts w:ascii="Times" w:hAnsi="Times"/>
              </w:rPr>
            </w:pPr>
            <w:r w:rsidRPr="00886D8A">
              <w:t>LY</w:t>
            </w:r>
          </w:p>
        </w:tc>
        <w:tc>
          <w:tcPr>
            <w:tcW w:w="1359" w:type="pct"/>
            <w:vAlign w:val="center"/>
          </w:tcPr>
          <w:p w14:paraId="7390AF87" w14:textId="77777777" w:rsidR="00FB4693" w:rsidRPr="00886D8A" w:rsidRDefault="00FB4693" w:rsidP="004E36D3">
            <w:pPr>
              <w:pStyle w:val="TableText0"/>
              <w:jc w:val="center"/>
              <w:rPr>
                <w:rFonts w:ascii="Times" w:hAnsi="Times"/>
              </w:rPr>
            </w:pPr>
            <w:r w:rsidRPr="00886D8A">
              <w:t>14.07</w:t>
            </w:r>
          </w:p>
        </w:tc>
        <w:tc>
          <w:tcPr>
            <w:tcW w:w="1274" w:type="pct"/>
            <w:vAlign w:val="center"/>
          </w:tcPr>
          <w:p w14:paraId="10AAB286" w14:textId="77777777" w:rsidR="00FB4693" w:rsidRPr="00886D8A" w:rsidRDefault="00FB4693" w:rsidP="004E36D3">
            <w:pPr>
              <w:pStyle w:val="TableText0"/>
              <w:jc w:val="center"/>
              <w:rPr>
                <w:rFonts w:ascii="Times" w:hAnsi="Times"/>
              </w:rPr>
            </w:pPr>
            <w:r w:rsidRPr="00886D8A">
              <w:t>11.99</w:t>
            </w:r>
          </w:p>
        </w:tc>
        <w:tc>
          <w:tcPr>
            <w:tcW w:w="838" w:type="pct"/>
            <w:vAlign w:val="center"/>
          </w:tcPr>
          <w:p w14:paraId="7F8F887B" w14:textId="77777777" w:rsidR="00FB4693" w:rsidRPr="00886D8A" w:rsidRDefault="00FB4693" w:rsidP="004E36D3">
            <w:pPr>
              <w:pStyle w:val="TableText0"/>
              <w:jc w:val="center"/>
            </w:pPr>
            <w:r w:rsidRPr="00886D8A">
              <w:t>2.08</w:t>
            </w:r>
          </w:p>
        </w:tc>
      </w:tr>
      <w:tr w:rsidR="00FB4693" w:rsidRPr="00886D8A" w14:paraId="4B994D50" w14:textId="77777777" w:rsidTr="001D27DB">
        <w:trPr>
          <w:cantSplit/>
        </w:trPr>
        <w:tc>
          <w:tcPr>
            <w:tcW w:w="4162" w:type="pct"/>
            <w:gridSpan w:val="3"/>
            <w:vAlign w:val="center"/>
          </w:tcPr>
          <w:p w14:paraId="368BF9B3" w14:textId="77777777" w:rsidR="00FB4693" w:rsidRPr="00886D8A" w:rsidRDefault="00FB4693" w:rsidP="004E36D3">
            <w:pPr>
              <w:pStyle w:val="TableText0"/>
              <w:rPr>
                <w:rFonts w:ascii="Times" w:hAnsi="Times"/>
              </w:rPr>
            </w:pPr>
            <w:r w:rsidRPr="00886D8A">
              <w:t>Incremental cost/extra LY gained</w:t>
            </w:r>
          </w:p>
        </w:tc>
        <w:tc>
          <w:tcPr>
            <w:tcW w:w="838" w:type="pct"/>
            <w:vAlign w:val="center"/>
          </w:tcPr>
          <w:p w14:paraId="32F712CF" w14:textId="1B8044AE"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r w:rsidR="00155DA4" w:rsidRPr="002F6829">
              <w:rPr>
                <w:vertAlign w:val="superscript"/>
              </w:rPr>
              <w:t>1</w:t>
            </w:r>
          </w:p>
        </w:tc>
      </w:tr>
      <w:tr w:rsidR="00FB4693" w:rsidRPr="00886D8A" w14:paraId="22855C2F" w14:textId="77777777" w:rsidTr="001D27DB">
        <w:trPr>
          <w:cantSplit/>
        </w:trPr>
        <w:tc>
          <w:tcPr>
            <w:tcW w:w="5000" w:type="pct"/>
            <w:gridSpan w:val="4"/>
            <w:vAlign w:val="center"/>
          </w:tcPr>
          <w:p w14:paraId="5337E628" w14:textId="6E84253C" w:rsidR="00FB4693" w:rsidRPr="00886D8A" w:rsidRDefault="00FB4693" w:rsidP="004E36D3">
            <w:pPr>
              <w:pStyle w:val="In-tableHeading"/>
              <w:rPr>
                <w:lang w:val="en-AU"/>
              </w:rPr>
            </w:pPr>
            <w:r w:rsidRPr="00886D8A">
              <w:rPr>
                <w:lang w:val="en-AU"/>
              </w:rPr>
              <w:t>Step 4: Model</w:t>
            </w:r>
            <w:r w:rsidR="0011024A">
              <w:rPr>
                <w:lang w:val="en-AU"/>
              </w:rPr>
              <w:noBreakHyphen/>
            </w:r>
            <w:r w:rsidRPr="00886D8A">
              <w:rPr>
                <w:lang w:val="en-AU"/>
              </w:rPr>
              <w:t>based analysis from Step 3 adding calculation of QALYs based on time spent in each health state</w:t>
            </w:r>
          </w:p>
        </w:tc>
      </w:tr>
      <w:tr w:rsidR="00FB4693" w:rsidRPr="00886D8A" w14:paraId="758E5D91" w14:textId="77777777" w:rsidTr="001D27DB">
        <w:trPr>
          <w:cantSplit/>
        </w:trPr>
        <w:tc>
          <w:tcPr>
            <w:tcW w:w="1529" w:type="pct"/>
            <w:vAlign w:val="center"/>
          </w:tcPr>
          <w:p w14:paraId="712E2DC5" w14:textId="77777777" w:rsidR="00FB4693" w:rsidRPr="00886D8A" w:rsidRDefault="00FB4693" w:rsidP="004E36D3">
            <w:pPr>
              <w:pStyle w:val="TableText0"/>
              <w:rPr>
                <w:rFonts w:ascii="Times" w:hAnsi="Times"/>
              </w:rPr>
            </w:pPr>
            <w:r w:rsidRPr="00886D8A">
              <w:t>Costs</w:t>
            </w:r>
          </w:p>
        </w:tc>
        <w:tc>
          <w:tcPr>
            <w:tcW w:w="1359" w:type="pct"/>
            <w:vAlign w:val="center"/>
          </w:tcPr>
          <w:p w14:paraId="139ECF56" w14:textId="087E60D9"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c>
          <w:tcPr>
            <w:tcW w:w="1274" w:type="pct"/>
            <w:vAlign w:val="center"/>
          </w:tcPr>
          <w:p w14:paraId="4E84D7F4" w14:textId="77777777" w:rsidR="00FB4693" w:rsidRPr="00886D8A" w:rsidRDefault="00FB4693" w:rsidP="004E36D3">
            <w:pPr>
              <w:pStyle w:val="TableText0"/>
              <w:jc w:val="center"/>
              <w:rPr>
                <w:rFonts w:ascii="Times" w:hAnsi="Times"/>
              </w:rPr>
            </w:pPr>
            <w:r w:rsidRPr="00886D8A">
              <w:t>$0</w:t>
            </w:r>
          </w:p>
        </w:tc>
        <w:tc>
          <w:tcPr>
            <w:tcW w:w="838" w:type="pct"/>
            <w:vAlign w:val="center"/>
          </w:tcPr>
          <w:p w14:paraId="595D90F1" w14:textId="46A0D6F2"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r>
      <w:tr w:rsidR="00FB4693" w:rsidRPr="00886D8A" w14:paraId="4395E32F" w14:textId="77777777" w:rsidTr="001D27DB">
        <w:trPr>
          <w:cantSplit/>
        </w:trPr>
        <w:tc>
          <w:tcPr>
            <w:tcW w:w="1529" w:type="pct"/>
            <w:vAlign w:val="center"/>
          </w:tcPr>
          <w:p w14:paraId="71A872B8" w14:textId="77777777" w:rsidR="00FB4693" w:rsidRPr="00886D8A" w:rsidRDefault="00FB4693" w:rsidP="004E36D3">
            <w:pPr>
              <w:pStyle w:val="TableText0"/>
              <w:rPr>
                <w:rFonts w:ascii="Times" w:hAnsi="Times"/>
              </w:rPr>
            </w:pPr>
            <w:r w:rsidRPr="00886D8A">
              <w:t>QALY</w:t>
            </w:r>
          </w:p>
        </w:tc>
        <w:tc>
          <w:tcPr>
            <w:tcW w:w="1359" w:type="pct"/>
            <w:vAlign w:val="center"/>
          </w:tcPr>
          <w:p w14:paraId="6645DE2C" w14:textId="77777777" w:rsidR="00FB4693" w:rsidRPr="00886D8A" w:rsidRDefault="00FB4693" w:rsidP="004E36D3">
            <w:pPr>
              <w:pStyle w:val="TableText0"/>
              <w:jc w:val="center"/>
            </w:pPr>
            <w:r w:rsidRPr="00886D8A">
              <w:t>8.67</w:t>
            </w:r>
          </w:p>
        </w:tc>
        <w:tc>
          <w:tcPr>
            <w:tcW w:w="1274" w:type="pct"/>
            <w:vAlign w:val="center"/>
          </w:tcPr>
          <w:p w14:paraId="21693C64" w14:textId="77777777" w:rsidR="00FB4693" w:rsidRPr="00886D8A" w:rsidRDefault="00FB4693" w:rsidP="004E36D3">
            <w:pPr>
              <w:pStyle w:val="TableText0"/>
              <w:jc w:val="center"/>
            </w:pPr>
            <w:r w:rsidRPr="00886D8A">
              <w:t>5.99</w:t>
            </w:r>
          </w:p>
        </w:tc>
        <w:tc>
          <w:tcPr>
            <w:tcW w:w="838" w:type="pct"/>
            <w:vAlign w:val="center"/>
          </w:tcPr>
          <w:p w14:paraId="5D3E8C36" w14:textId="77777777" w:rsidR="00FB4693" w:rsidRPr="00886D8A" w:rsidRDefault="00FB4693" w:rsidP="004E36D3">
            <w:pPr>
              <w:pStyle w:val="TableText0"/>
              <w:jc w:val="center"/>
            </w:pPr>
            <w:r w:rsidRPr="00886D8A">
              <w:t>2.68</w:t>
            </w:r>
          </w:p>
        </w:tc>
      </w:tr>
      <w:tr w:rsidR="00FB4693" w:rsidRPr="00886D8A" w14:paraId="407F81B0" w14:textId="77777777" w:rsidTr="001D27DB">
        <w:trPr>
          <w:cantSplit/>
        </w:trPr>
        <w:tc>
          <w:tcPr>
            <w:tcW w:w="4162" w:type="pct"/>
            <w:gridSpan w:val="3"/>
            <w:vAlign w:val="center"/>
          </w:tcPr>
          <w:p w14:paraId="68396DAB" w14:textId="77777777" w:rsidR="00FB4693" w:rsidRPr="00886D8A" w:rsidRDefault="00FB4693" w:rsidP="004E36D3">
            <w:pPr>
              <w:pStyle w:val="TableText0"/>
              <w:rPr>
                <w:rFonts w:ascii="Times" w:hAnsi="Times"/>
              </w:rPr>
            </w:pPr>
            <w:r w:rsidRPr="00886D8A">
              <w:t>Incremental cost/extra LY gained</w:t>
            </w:r>
          </w:p>
        </w:tc>
        <w:tc>
          <w:tcPr>
            <w:tcW w:w="838" w:type="pct"/>
            <w:vAlign w:val="center"/>
          </w:tcPr>
          <w:p w14:paraId="7E313307" w14:textId="44EA4ADD"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r w:rsidR="00155DA4" w:rsidRPr="002F6829">
              <w:rPr>
                <w:vertAlign w:val="superscript"/>
              </w:rPr>
              <w:t>1</w:t>
            </w:r>
          </w:p>
        </w:tc>
      </w:tr>
      <w:tr w:rsidR="00FB4693" w:rsidRPr="00886D8A" w14:paraId="5050A0EE" w14:textId="77777777" w:rsidTr="001D27DB">
        <w:trPr>
          <w:cantSplit/>
        </w:trPr>
        <w:tc>
          <w:tcPr>
            <w:tcW w:w="5000" w:type="pct"/>
            <w:gridSpan w:val="4"/>
            <w:vAlign w:val="center"/>
          </w:tcPr>
          <w:p w14:paraId="769F175F" w14:textId="213599C6" w:rsidR="00FB4693" w:rsidRPr="00886D8A" w:rsidRDefault="00FB4693" w:rsidP="004E36D3">
            <w:pPr>
              <w:pStyle w:val="In-tableHeading"/>
              <w:rPr>
                <w:lang w:val="en-AU"/>
              </w:rPr>
            </w:pPr>
            <w:r w:rsidRPr="00886D8A">
              <w:rPr>
                <w:lang w:val="en-AU"/>
              </w:rPr>
              <w:t>Step 5: Model</w:t>
            </w:r>
            <w:r w:rsidR="0011024A">
              <w:rPr>
                <w:lang w:val="en-AU"/>
              </w:rPr>
              <w:noBreakHyphen/>
            </w:r>
            <w:r w:rsidRPr="00886D8A">
              <w:rPr>
                <w:lang w:val="en-AU"/>
              </w:rPr>
              <w:t>based analysis from Step 4 adding the cost of HCRU, AE, and mortality and disutility associated with acute infections</w:t>
            </w:r>
          </w:p>
        </w:tc>
      </w:tr>
      <w:tr w:rsidR="00FB4693" w:rsidRPr="00886D8A" w14:paraId="5328A1A7" w14:textId="77777777" w:rsidTr="001D27DB">
        <w:trPr>
          <w:cantSplit/>
        </w:trPr>
        <w:tc>
          <w:tcPr>
            <w:tcW w:w="1529" w:type="pct"/>
            <w:vAlign w:val="center"/>
          </w:tcPr>
          <w:p w14:paraId="403AA965" w14:textId="77777777" w:rsidR="00FB4693" w:rsidRPr="00886D8A" w:rsidRDefault="00FB4693" w:rsidP="004E36D3">
            <w:pPr>
              <w:pStyle w:val="TableText0"/>
              <w:rPr>
                <w:rFonts w:ascii="Times" w:hAnsi="Times"/>
              </w:rPr>
            </w:pPr>
            <w:r w:rsidRPr="00886D8A">
              <w:t>Costs</w:t>
            </w:r>
          </w:p>
        </w:tc>
        <w:tc>
          <w:tcPr>
            <w:tcW w:w="1359" w:type="pct"/>
            <w:vAlign w:val="center"/>
          </w:tcPr>
          <w:p w14:paraId="258166DA" w14:textId="5871BDD8"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c>
          <w:tcPr>
            <w:tcW w:w="1274" w:type="pct"/>
            <w:vAlign w:val="center"/>
          </w:tcPr>
          <w:p w14:paraId="705386E5" w14:textId="77777777" w:rsidR="00FB4693" w:rsidRPr="00886D8A" w:rsidRDefault="00FB4693" w:rsidP="004E36D3">
            <w:pPr>
              <w:pStyle w:val="TableText0"/>
              <w:jc w:val="center"/>
              <w:rPr>
                <w:rFonts w:ascii="Times" w:hAnsi="Times"/>
              </w:rPr>
            </w:pPr>
            <w:r w:rsidRPr="00886D8A">
              <w:t>$338,594</w:t>
            </w:r>
          </w:p>
        </w:tc>
        <w:tc>
          <w:tcPr>
            <w:tcW w:w="838" w:type="pct"/>
            <w:vAlign w:val="center"/>
          </w:tcPr>
          <w:p w14:paraId="4F6AE6E4" w14:textId="12C6C982" w:rsidR="00FB4693" w:rsidRPr="00886D8A" w:rsidRDefault="00FB4693" w:rsidP="004E36D3">
            <w:pPr>
              <w:pStyle w:val="TableText0"/>
              <w:jc w:val="center"/>
              <w:rPr>
                <w:rFonts w:ascii="Times" w:hAnsi="Times"/>
              </w:rPr>
            </w:pPr>
            <w:r w:rsidRPr="00886D8A">
              <w:t>$</w:t>
            </w:r>
            <w:r w:rsidR="00ED4AC4" w:rsidRPr="00ED4AC4">
              <w:rPr>
                <w:color w:val="000000"/>
                <w:shd w:val="solid" w:color="000000" w:fill="000000"/>
                <w14:textFill>
                  <w14:solidFill>
                    <w14:srgbClr w14:val="000000">
                      <w14:alpha w14:val="100000"/>
                    </w14:srgbClr>
                  </w14:solidFill>
                </w14:textFill>
              </w:rPr>
              <w:t>|</w:t>
            </w:r>
          </w:p>
        </w:tc>
      </w:tr>
      <w:tr w:rsidR="00FB4693" w:rsidRPr="00886D8A" w14:paraId="50BFA21A" w14:textId="77777777" w:rsidTr="001D27DB">
        <w:trPr>
          <w:cantSplit/>
        </w:trPr>
        <w:tc>
          <w:tcPr>
            <w:tcW w:w="1529" w:type="pct"/>
            <w:vAlign w:val="center"/>
          </w:tcPr>
          <w:p w14:paraId="58CE61ED" w14:textId="77777777" w:rsidR="00FB4693" w:rsidRPr="00886D8A" w:rsidRDefault="00FB4693" w:rsidP="004E36D3">
            <w:pPr>
              <w:pStyle w:val="TableText0"/>
              <w:rPr>
                <w:rFonts w:ascii="Times" w:hAnsi="Times"/>
              </w:rPr>
            </w:pPr>
            <w:r w:rsidRPr="00886D8A">
              <w:t>QALY</w:t>
            </w:r>
          </w:p>
        </w:tc>
        <w:tc>
          <w:tcPr>
            <w:tcW w:w="1359" w:type="pct"/>
            <w:vAlign w:val="center"/>
          </w:tcPr>
          <w:p w14:paraId="008FAE46" w14:textId="77777777" w:rsidR="00FB4693" w:rsidRPr="00886D8A" w:rsidRDefault="00FB4693" w:rsidP="004E36D3">
            <w:pPr>
              <w:pStyle w:val="TableText0"/>
              <w:jc w:val="center"/>
            </w:pPr>
            <w:r w:rsidRPr="00886D8A">
              <w:t>8.17</w:t>
            </w:r>
          </w:p>
        </w:tc>
        <w:tc>
          <w:tcPr>
            <w:tcW w:w="1274" w:type="pct"/>
            <w:vAlign w:val="center"/>
          </w:tcPr>
          <w:p w14:paraId="231D597F" w14:textId="77777777" w:rsidR="00FB4693" w:rsidRPr="00886D8A" w:rsidRDefault="00FB4693" w:rsidP="004E36D3">
            <w:pPr>
              <w:pStyle w:val="TableText0"/>
              <w:jc w:val="center"/>
            </w:pPr>
            <w:r w:rsidRPr="00886D8A">
              <w:t>5.34</w:t>
            </w:r>
          </w:p>
        </w:tc>
        <w:tc>
          <w:tcPr>
            <w:tcW w:w="838" w:type="pct"/>
            <w:vAlign w:val="center"/>
          </w:tcPr>
          <w:p w14:paraId="37FF1B1B" w14:textId="77777777" w:rsidR="00FB4693" w:rsidRPr="00886D8A" w:rsidRDefault="00FB4693" w:rsidP="004E36D3">
            <w:pPr>
              <w:pStyle w:val="TableText0"/>
              <w:jc w:val="center"/>
            </w:pPr>
            <w:r w:rsidRPr="00886D8A">
              <w:t>2.84</w:t>
            </w:r>
          </w:p>
        </w:tc>
      </w:tr>
      <w:tr w:rsidR="00FB4693" w:rsidRPr="00886D8A" w14:paraId="3474B3B7" w14:textId="77777777" w:rsidTr="001D27DB">
        <w:trPr>
          <w:cantSplit/>
        </w:trPr>
        <w:tc>
          <w:tcPr>
            <w:tcW w:w="4162" w:type="pct"/>
            <w:gridSpan w:val="3"/>
            <w:vAlign w:val="center"/>
          </w:tcPr>
          <w:p w14:paraId="62BAA5F2" w14:textId="77777777" w:rsidR="00FB4693" w:rsidRPr="00886D8A" w:rsidRDefault="00FB4693" w:rsidP="004E36D3">
            <w:pPr>
              <w:pStyle w:val="TableText0"/>
              <w:rPr>
                <w:b/>
                <w:bCs w:val="0"/>
              </w:rPr>
            </w:pPr>
            <w:r w:rsidRPr="00886D8A">
              <w:rPr>
                <w:b/>
                <w:bCs w:val="0"/>
              </w:rPr>
              <w:t>Incremental cost/extra QALY gained</w:t>
            </w:r>
          </w:p>
        </w:tc>
        <w:tc>
          <w:tcPr>
            <w:tcW w:w="838" w:type="pct"/>
            <w:vAlign w:val="center"/>
          </w:tcPr>
          <w:p w14:paraId="2D7D2156" w14:textId="08947704" w:rsidR="00FB4693" w:rsidRPr="00886D8A" w:rsidRDefault="00FB4693" w:rsidP="004E36D3">
            <w:pPr>
              <w:pStyle w:val="TableText0"/>
              <w:jc w:val="center"/>
              <w:rPr>
                <w:b/>
                <w:bCs w:val="0"/>
              </w:rPr>
            </w:pPr>
            <w:r w:rsidRPr="00886D8A">
              <w:rPr>
                <w:b/>
                <w:bCs w:val="0"/>
              </w:rPr>
              <w:t>$</w:t>
            </w:r>
            <w:r w:rsidR="00ED4AC4" w:rsidRPr="00ED4AC4">
              <w:rPr>
                <w:b/>
                <w:bCs w:val="0"/>
                <w:color w:val="000000"/>
                <w:shd w:val="solid" w:color="000000" w:fill="000000"/>
                <w14:textFill>
                  <w14:solidFill>
                    <w14:srgbClr w14:val="000000">
                      <w14:alpha w14:val="100000"/>
                    </w14:srgbClr>
                  </w14:solidFill>
                </w14:textFill>
              </w:rPr>
              <w:t>|</w:t>
            </w:r>
            <w:r w:rsidR="00155DA4" w:rsidRPr="002F6829">
              <w:rPr>
                <w:vertAlign w:val="superscript"/>
              </w:rPr>
              <w:t>1</w:t>
            </w:r>
          </w:p>
        </w:tc>
      </w:tr>
    </w:tbl>
    <w:p w14:paraId="7C1F344A" w14:textId="10DE5D5C" w:rsidR="00FB4693" w:rsidRPr="00886D8A" w:rsidRDefault="00FB4693" w:rsidP="004E36D3">
      <w:pPr>
        <w:pStyle w:val="FooterTableFigure"/>
      </w:pPr>
      <w:r w:rsidRPr="00886D8A">
        <w:t>Source: Table 3.8</w:t>
      </w:r>
      <w:r w:rsidR="0011024A">
        <w:noBreakHyphen/>
      </w:r>
      <w:r w:rsidRPr="00886D8A">
        <w:t>1, p186 of the submission.</w:t>
      </w:r>
    </w:p>
    <w:p w14:paraId="5597366A" w14:textId="750EC982" w:rsidR="00155DA4" w:rsidRPr="00406D06" w:rsidRDefault="00FB4693" w:rsidP="00155DA4">
      <w:pPr>
        <w:pStyle w:val="FooterTableFigure"/>
        <w:rPr>
          <w:i/>
          <w:iCs/>
        </w:rPr>
      </w:pPr>
      <w:r w:rsidRPr="00886D8A">
        <w:t>AE = adverse event; BSC = best supportive care; HCRU = healthcare resource utilisation; LY = life</w:t>
      </w:r>
      <w:r w:rsidR="0011024A">
        <w:noBreakHyphen/>
      </w:r>
      <w:r w:rsidRPr="00886D8A">
        <w:t>years; QALY = quality</w:t>
      </w:r>
      <w:r w:rsidR="0011024A">
        <w:noBreakHyphen/>
      </w:r>
      <w:r w:rsidRPr="00886D8A">
        <w:t>adjusted life</w:t>
      </w:r>
      <w:r w:rsidR="0011024A">
        <w:noBreakHyphen/>
      </w:r>
      <w:r w:rsidRPr="00886D8A">
        <w:t>years.</w:t>
      </w:r>
      <w:r w:rsidR="00155DA4" w:rsidRPr="00155DA4">
        <w:t xml:space="preserve"> </w:t>
      </w:r>
      <w:r w:rsidR="00155DA4" w:rsidRPr="00406D06">
        <w:rPr>
          <w:i/>
          <w:iCs/>
        </w:rPr>
        <w:t>The redacted values correspond to the following ranges:</w:t>
      </w:r>
    </w:p>
    <w:p w14:paraId="66832E90" w14:textId="77777777" w:rsidR="005366F4" w:rsidRPr="00406D06" w:rsidRDefault="00155DA4" w:rsidP="00155DA4">
      <w:pPr>
        <w:pStyle w:val="FooterTableFigure"/>
        <w:rPr>
          <w:i/>
          <w:iCs/>
        </w:rPr>
      </w:pPr>
      <w:r w:rsidRPr="00406D06">
        <w:rPr>
          <w:i/>
          <w:iCs/>
          <w:vertAlign w:val="superscript"/>
        </w:rPr>
        <w:t>1</w:t>
      </w:r>
      <w:r w:rsidRPr="00406D06">
        <w:rPr>
          <w:i/>
          <w:iCs/>
        </w:rPr>
        <w:t xml:space="preserve"> &gt; $1,055,000</w:t>
      </w:r>
      <w:r w:rsidR="005366F4" w:rsidRPr="00406D06">
        <w:rPr>
          <w:i/>
          <w:iCs/>
        </w:rPr>
        <w:t xml:space="preserve"> </w:t>
      </w:r>
    </w:p>
    <w:p w14:paraId="5425FFA8" w14:textId="4C2FF2D2" w:rsidR="00FB4693" w:rsidRPr="00406D06" w:rsidRDefault="005366F4" w:rsidP="00155DA4">
      <w:pPr>
        <w:pStyle w:val="FooterTableFigure"/>
        <w:rPr>
          <w:rStyle w:val="CommentReference"/>
          <w:b w:val="0"/>
          <w:i/>
          <w:iCs/>
          <w:sz w:val="18"/>
          <w:szCs w:val="22"/>
        </w:rPr>
      </w:pPr>
      <w:r w:rsidRPr="00406D06">
        <w:rPr>
          <w:i/>
          <w:iCs/>
          <w:vertAlign w:val="superscript"/>
        </w:rPr>
        <w:t>2</w:t>
      </w:r>
      <w:r w:rsidRPr="00406D06">
        <w:rPr>
          <w:i/>
          <w:iCs/>
        </w:rPr>
        <w:t xml:space="preserve"> $455,000 to &lt; $555,000</w:t>
      </w:r>
    </w:p>
    <w:bookmarkEnd w:id="97"/>
    <w:p w14:paraId="234E98E0" w14:textId="44E5FA00" w:rsidR="00A37349" w:rsidRPr="00886D8A" w:rsidRDefault="0044415A" w:rsidP="004E36D3">
      <w:pPr>
        <w:pStyle w:val="3-BodyText"/>
      </w:pPr>
      <w:r w:rsidRPr="00886D8A">
        <w:t xml:space="preserve">Overall, the ICER was extremely high in all steps of the economic evaluation. The base case ICER presented by the submission was </w:t>
      </w:r>
      <w:r w:rsidR="00E96796" w:rsidRPr="00E96796">
        <w:t>&gt; $1,055,000</w:t>
      </w:r>
      <w:r w:rsidR="00A961F5">
        <w:t xml:space="preserve"> </w:t>
      </w:r>
      <w:r w:rsidRPr="00886D8A">
        <w:t>per QALY gained.</w:t>
      </w:r>
      <w:r w:rsidR="003A6CA7" w:rsidRPr="00886D8A">
        <w:t xml:space="preserve"> </w:t>
      </w:r>
      <w:r w:rsidR="00AB07C8" w:rsidRPr="00886D8A">
        <w:t>The Pre</w:t>
      </w:r>
      <w:r w:rsidR="0011024A">
        <w:noBreakHyphen/>
      </w:r>
      <w:r w:rsidR="00AB07C8" w:rsidRPr="00886D8A">
        <w:t>PBAC Response</w:t>
      </w:r>
      <w:r w:rsidR="00A961F5">
        <w:t xml:space="preserve"> </w:t>
      </w:r>
      <w:r w:rsidR="00DB3764" w:rsidRPr="00886D8A">
        <w:t>acknowledged the ICER was very high</w:t>
      </w:r>
      <w:r w:rsidR="007A6370" w:rsidRPr="00886D8A">
        <w:t>;</w:t>
      </w:r>
      <w:r w:rsidR="00DB3764" w:rsidRPr="00886D8A">
        <w:t xml:space="preserve"> however</w:t>
      </w:r>
      <w:r w:rsidR="007A6370" w:rsidRPr="00886D8A">
        <w:t>,</w:t>
      </w:r>
      <w:r w:rsidR="00DB3764" w:rsidRPr="00886D8A">
        <w:t xml:space="preserve"> </w:t>
      </w:r>
      <w:r w:rsidR="001649C2" w:rsidRPr="00886D8A">
        <w:t xml:space="preserve">stated that this should be considered </w:t>
      </w:r>
      <w:r w:rsidR="00EF339E" w:rsidRPr="00886D8A">
        <w:t xml:space="preserve">in </w:t>
      </w:r>
      <w:r w:rsidR="00DB3764" w:rsidRPr="00886D8A">
        <w:t>the context of alpha</w:t>
      </w:r>
      <w:r w:rsidR="0011024A">
        <w:noBreakHyphen/>
      </w:r>
      <w:r w:rsidR="001304F8" w:rsidRPr="00886D8A">
        <w:t>mannosidosis being an ultra</w:t>
      </w:r>
      <w:r w:rsidR="0011024A">
        <w:noBreakHyphen/>
      </w:r>
      <w:r w:rsidR="001304F8" w:rsidRPr="00886D8A">
        <w:t>rare disease</w:t>
      </w:r>
      <w:r w:rsidR="004D431D" w:rsidRPr="00886D8A">
        <w:t xml:space="preserve">, the high unmet clinical need and </w:t>
      </w:r>
      <w:r w:rsidR="003768BA" w:rsidRPr="00886D8A">
        <w:t>as</w:t>
      </w:r>
      <w:r w:rsidR="0067455A" w:rsidRPr="00886D8A">
        <w:t xml:space="preserve"> ICER in the paediatric population was </w:t>
      </w:r>
      <w:r w:rsidR="004D431D" w:rsidRPr="00886D8A">
        <w:t>lower</w:t>
      </w:r>
      <w:r w:rsidR="007619A4">
        <w:t xml:space="preserve"> </w:t>
      </w:r>
      <w:r w:rsidR="006C269B" w:rsidRPr="006C269B">
        <w:t>$955,000 to &lt; $1,055,000</w:t>
      </w:r>
      <w:r w:rsidR="00A961F5">
        <w:t xml:space="preserve"> </w:t>
      </w:r>
      <w:r w:rsidR="003768BA" w:rsidRPr="00886D8A">
        <w:t xml:space="preserve">versus </w:t>
      </w:r>
      <w:r w:rsidR="001F2585" w:rsidRPr="001F2585">
        <w:t>&gt; $1,055,000</w:t>
      </w:r>
      <w:r w:rsidR="00A961F5">
        <w:t xml:space="preserve"> </w:t>
      </w:r>
      <w:r w:rsidR="003768BA" w:rsidRPr="00886D8A">
        <w:t>per QALY in the adult population</w:t>
      </w:r>
      <w:r w:rsidR="003060AC" w:rsidRPr="00886D8A">
        <w:t xml:space="preserve">. </w:t>
      </w:r>
    </w:p>
    <w:p w14:paraId="61D0B200" w14:textId="2957BB71" w:rsidR="0044415A" w:rsidRPr="00886D8A" w:rsidRDefault="00CD2E06" w:rsidP="004E36D3">
      <w:pPr>
        <w:pStyle w:val="3-BodyText"/>
      </w:pPr>
      <w:bookmarkStart w:id="98" w:name="_Ref201146102"/>
      <w:r w:rsidRPr="00886D8A">
        <w:t xml:space="preserve">Based </w:t>
      </w:r>
      <w:r w:rsidR="00E17AE6" w:rsidRPr="00886D8A">
        <w:t xml:space="preserve">the presented model, </w:t>
      </w:r>
      <w:r w:rsidR="004F6F32" w:rsidRPr="00886D8A">
        <w:t>th</w:t>
      </w:r>
      <w:r w:rsidR="00395820" w:rsidRPr="00886D8A">
        <w:t>e</w:t>
      </w:r>
      <w:r w:rsidR="00EC7AE8" w:rsidRPr="00886D8A">
        <w:t xml:space="preserve"> median </w:t>
      </w:r>
      <w:r w:rsidR="00A37349" w:rsidRPr="00886D8A">
        <w:t>life expectancy</w:t>
      </w:r>
      <w:r w:rsidR="00EC7AE8" w:rsidRPr="00886D8A">
        <w:t xml:space="preserve"> for </w:t>
      </w:r>
      <w:r w:rsidR="00A37349" w:rsidRPr="00886D8A">
        <w:t xml:space="preserve">paediatric </w:t>
      </w:r>
      <w:r w:rsidR="00EC7AE8" w:rsidRPr="00886D8A">
        <w:t xml:space="preserve">patients </w:t>
      </w:r>
      <w:r w:rsidR="00A37349" w:rsidRPr="00886D8A">
        <w:t xml:space="preserve">receiving </w:t>
      </w:r>
      <w:r w:rsidR="003A0111" w:rsidRPr="00886D8A">
        <w:t>velmanase alfa</w:t>
      </w:r>
      <w:r w:rsidR="000D0E01" w:rsidRPr="00886D8A">
        <w:t xml:space="preserve"> </w:t>
      </w:r>
      <w:r w:rsidR="008B3D0B" w:rsidRPr="00886D8A">
        <w:t>was 37 years</w:t>
      </w:r>
      <w:r w:rsidR="00E93AF0" w:rsidRPr="00886D8A">
        <w:t xml:space="preserve"> and 27 years for those receiving BSC</w:t>
      </w:r>
      <w:r w:rsidR="00A37349" w:rsidRPr="00886D8A">
        <w:t xml:space="preserve">. Less than 10% of the </w:t>
      </w:r>
      <w:r w:rsidR="00E93AF0" w:rsidRPr="00886D8A">
        <w:t xml:space="preserve">paediatric </w:t>
      </w:r>
      <w:r w:rsidR="00A37349" w:rsidRPr="00886D8A">
        <w:t xml:space="preserve">population were receiving treatment by the age of 25. For adults, the median life expectancy for velmanase alfa </w:t>
      </w:r>
      <w:r w:rsidR="007014A8" w:rsidRPr="00886D8A">
        <w:t xml:space="preserve">patients was </w:t>
      </w:r>
      <w:r w:rsidR="00A8613D" w:rsidRPr="00886D8A">
        <w:t>51 years</w:t>
      </w:r>
      <w:r w:rsidR="00E93AF0" w:rsidRPr="00886D8A">
        <w:t xml:space="preserve"> and </w:t>
      </w:r>
      <w:r w:rsidR="001C14F4">
        <w:br/>
      </w:r>
      <w:r w:rsidR="00E93AF0" w:rsidRPr="00886D8A">
        <w:t>40 years for those receiving BSC</w:t>
      </w:r>
      <w:r w:rsidR="00A37349" w:rsidRPr="00886D8A">
        <w:t xml:space="preserve">. Less than 10% of the population were still on treatment by the age of 37. </w:t>
      </w:r>
      <w:bookmarkEnd w:id="98"/>
    </w:p>
    <w:p w14:paraId="50CDA4C6" w14:textId="555C597E" w:rsidR="00FB4693" w:rsidRPr="00886D8A" w:rsidRDefault="00FB4693" w:rsidP="004E36D3">
      <w:pPr>
        <w:pStyle w:val="3-BodyText"/>
      </w:pPr>
      <w:r w:rsidRPr="00886D8A">
        <w:t xml:space="preserve">The results of key univariate sensitivity analyses </w:t>
      </w:r>
      <w:r w:rsidR="00B03EB8" w:rsidRPr="00886D8A">
        <w:t>were</w:t>
      </w:r>
      <w:r w:rsidRPr="00886D8A">
        <w:t xml:space="preserve"> summarised in </w:t>
      </w:r>
      <w:r w:rsidRPr="00886D8A">
        <w:fldChar w:fldCharType="begin"/>
      </w:r>
      <w:r w:rsidRPr="00886D8A">
        <w:instrText xml:space="preserve"> REF _Ref104804865 \h </w:instrText>
      </w:r>
      <w:r w:rsidR="00110521" w:rsidRPr="00886D8A">
        <w:instrText xml:space="preserve"> \* MERGEFORMAT </w:instrText>
      </w:r>
      <w:r w:rsidRPr="00886D8A">
        <w:fldChar w:fldCharType="separate"/>
      </w:r>
      <w:r w:rsidR="00B73A9E" w:rsidRPr="00886D8A">
        <w:t xml:space="preserve">Table </w:t>
      </w:r>
      <w:r w:rsidR="00B73A9E">
        <w:t>16</w:t>
      </w:r>
      <w:r w:rsidRPr="00886D8A">
        <w:fldChar w:fldCharType="end"/>
      </w:r>
      <w:r w:rsidRPr="00886D8A">
        <w:t>.</w:t>
      </w:r>
    </w:p>
    <w:p w14:paraId="7C372A79" w14:textId="0BA6EE34" w:rsidR="00FB4693" w:rsidRPr="00886D8A" w:rsidRDefault="00FB4693" w:rsidP="004E36D3">
      <w:pPr>
        <w:pStyle w:val="Caption"/>
        <w:rPr>
          <w:rStyle w:val="CommentReference"/>
          <w:b/>
          <w:szCs w:val="24"/>
        </w:rPr>
      </w:pPr>
      <w:bookmarkStart w:id="99" w:name="_Ref104804865"/>
      <w:r w:rsidRPr="00886D8A">
        <w:t xml:space="preserve">Table </w:t>
      </w:r>
      <w:r>
        <w:fldChar w:fldCharType="begin"/>
      </w:r>
      <w:r>
        <w:instrText>SEQ Table \* ARABIC</w:instrText>
      </w:r>
      <w:r>
        <w:fldChar w:fldCharType="separate"/>
      </w:r>
      <w:r w:rsidR="00B73A9E">
        <w:rPr>
          <w:noProof/>
        </w:rPr>
        <w:t>16</w:t>
      </w:r>
      <w:r>
        <w:fldChar w:fldCharType="end"/>
      </w:r>
      <w:bookmarkEnd w:id="99"/>
      <w:r w:rsidRPr="00886D8A">
        <w:t>:</w:t>
      </w:r>
      <w:r w:rsidRPr="00886D8A">
        <w:rPr>
          <w:rStyle w:val="CommentReference"/>
          <w:b/>
          <w:szCs w:val="24"/>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Sensitivity analyses"/>
      </w:tblPr>
      <w:tblGrid>
        <w:gridCol w:w="4796"/>
        <w:gridCol w:w="1080"/>
        <w:gridCol w:w="1080"/>
        <w:gridCol w:w="1080"/>
        <w:gridCol w:w="981"/>
      </w:tblGrid>
      <w:tr w:rsidR="00FB4693" w:rsidRPr="00886D8A" w14:paraId="327E2693" w14:textId="77777777" w:rsidTr="005269B4">
        <w:trPr>
          <w:tblHeader/>
        </w:trPr>
        <w:tc>
          <w:tcPr>
            <w:tcW w:w="2659" w:type="pct"/>
            <w:tcMar>
              <w:left w:w="20" w:type="dxa"/>
              <w:right w:w="20" w:type="dxa"/>
            </w:tcMar>
          </w:tcPr>
          <w:p w14:paraId="6B656F65" w14:textId="77777777" w:rsidR="00FB4693" w:rsidRPr="00886D8A" w:rsidRDefault="00FB4693" w:rsidP="004E36D3">
            <w:pPr>
              <w:pStyle w:val="In-tableHeading"/>
              <w:rPr>
                <w:lang w:val="en-AU"/>
              </w:rPr>
            </w:pPr>
            <w:r w:rsidRPr="00886D8A">
              <w:rPr>
                <w:lang w:val="en-AU"/>
              </w:rPr>
              <w:t>Analyses</w:t>
            </w:r>
          </w:p>
        </w:tc>
        <w:tc>
          <w:tcPr>
            <w:tcW w:w="599" w:type="pct"/>
            <w:tcMar>
              <w:left w:w="20" w:type="dxa"/>
              <w:right w:w="20" w:type="dxa"/>
            </w:tcMar>
          </w:tcPr>
          <w:p w14:paraId="2D6F773E" w14:textId="6F9A0C3B" w:rsidR="00FB4693" w:rsidRPr="00886D8A" w:rsidRDefault="00FB4693" w:rsidP="004E36D3">
            <w:pPr>
              <w:pStyle w:val="In-tableHeading"/>
              <w:jc w:val="center"/>
              <w:rPr>
                <w:lang w:val="en-AU"/>
              </w:rPr>
            </w:pPr>
            <w:r w:rsidRPr="00886D8A">
              <w:rPr>
                <w:lang w:val="en-AU"/>
              </w:rPr>
              <w:t>Incremental cost</w:t>
            </w:r>
            <w:r w:rsidR="00BA28D1">
              <w:rPr>
                <w:lang w:val="en-AU"/>
              </w:rPr>
              <w:t xml:space="preserve"> ($)</w:t>
            </w:r>
          </w:p>
        </w:tc>
        <w:tc>
          <w:tcPr>
            <w:tcW w:w="599" w:type="pct"/>
            <w:tcMar>
              <w:left w:w="20" w:type="dxa"/>
              <w:right w:w="20" w:type="dxa"/>
            </w:tcMar>
          </w:tcPr>
          <w:p w14:paraId="283E619D" w14:textId="77777777" w:rsidR="00FB4693" w:rsidRPr="00886D8A" w:rsidRDefault="00FB4693" w:rsidP="004E36D3">
            <w:pPr>
              <w:pStyle w:val="In-tableHeading"/>
              <w:jc w:val="center"/>
              <w:rPr>
                <w:lang w:val="en-AU"/>
              </w:rPr>
            </w:pPr>
            <w:r w:rsidRPr="00886D8A">
              <w:rPr>
                <w:lang w:val="en-AU"/>
              </w:rPr>
              <w:t>Incremental QALY</w:t>
            </w:r>
          </w:p>
        </w:tc>
        <w:tc>
          <w:tcPr>
            <w:tcW w:w="599" w:type="pct"/>
            <w:tcMar>
              <w:left w:w="20" w:type="dxa"/>
              <w:right w:w="20" w:type="dxa"/>
            </w:tcMar>
          </w:tcPr>
          <w:p w14:paraId="7C338093" w14:textId="77777777" w:rsidR="00FB4693" w:rsidRPr="00886D8A" w:rsidRDefault="00FB4693" w:rsidP="004E36D3">
            <w:pPr>
              <w:pStyle w:val="In-tableHeading"/>
              <w:jc w:val="center"/>
              <w:rPr>
                <w:lang w:val="en-AU"/>
              </w:rPr>
            </w:pPr>
            <w:r w:rsidRPr="00886D8A">
              <w:rPr>
                <w:lang w:val="en-AU"/>
              </w:rPr>
              <w:t>ICER</w:t>
            </w:r>
          </w:p>
        </w:tc>
        <w:tc>
          <w:tcPr>
            <w:tcW w:w="544" w:type="pct"/>
            <w:tcMar>
              <w:left w:w="20" w:type="dxa"/>
              <w:right w:w="20" w:type="dxa"/>
            </w:tcMar>
          </w:tcPr>
          <w:p w14:paraId="5ED87E9D" w14:textId="77777777" w:rsidR="00FB4693" w:rsidRPr="00886D8A" w:rsidRDefault="00FB4693" w:rsidP="004E36D3">
            <w:pPr>
              <w:pStyle w:val="In-tableHeading"/>
              <w:jc w:val="center"/>
              <w:rPr>
                <w:lang w:val="en-AU"/>
              </w:rPr>
            </w:pPr>
            <w:r w:rsidRPr="00886D8A">
              <w:rPr>
                <w:lang w:val="en-AU"/>
              </w:rPr>
              <w:t>% change from base case</w:t>
            </w:r>
          </w:p>
        </w:tc>
      </w:tr>
      <w:tr w:rsidR="00FB4693" w:rsidRPr="00886D8A" w14:paraId="5FC7D380" w14:textId="77777777" w:rsidTr="005269B4">
        <w:tc>
          <w:tcPr>
            <w:tcW w:w="2659" w:type="pct"/>
            <w:tcMar>
              <w:left w:w="20" w:type="dxa"/>
              <w:right w:w="20" w:type="dxa"/>
            </w:tcMar>
          </w:tcPr>
          <w:p w14:paraId="2C9AB191" w14:textId="77777777" w:rsidR="00FB4693" w:rsidRPr="00886D8A" w:rsidRDefault="00FB4693" w:rsidP="004E36D3">
            <w:pPr>
              <w:pStyle w:val="TableText0"/>
              <w:rPr>
                <w:b/>
              </w:rPr>
            </w:pPr>
            <w:r w:rsidRPr="00886D8A">
              <w:rPr>
                <w:b/>
              </w:rPr>
              <w:t>Base case</w:t>
            </w:r>
          </w:p>
        </w:tc>
        <w:tc>
          <w:tcPr>
            <w:tcW w:w="599" w:type="pct"/>
            <w:tcMar>
              <w:left w:w="20" w:type="dxa"/>
              <w:right w:w="20" w:type="dxa"/>
            </w:tcMar>
          </w:tcPr>
          <w:p w14:paraId="459ACB30" w14:textId="6A37E863" w:rsidR="00FB4693" w:rsidRPr="00BA28D1" w:rsidRDefault="00ED4AC4" w:rsidP="004E36D3">
            <w:pPr>
              <w:pStyle w:val="TableText0"/>
              <w:jc w:val="center"/>
              <w:rPr>
                <w:b/>
                <w:highlight w:val="darkGray"/>
              </w:rPr>
            </w:pPr>
            <w:r w:rsidRPr="001E6CE7">
              <w:rPr>
                <w:rFonts w:hint="eastAsia"/>
                <w:color w:val="000000"/>
                <w:w w:val="15"/>
                <w:shd w:val="solid" w:color="000000" w:fill="000000"/>
                <w:fitText w:val="25" w:id="-628411377"/>
                <w14:textFill>
                  <w14:solidFill>
                    <w14:srgbClr w14:val="000000">
                      <w14:alpha w14:val="100000"/>
                    </w14:srgbClr>
                  </w14:solidFill>
                </w14:textFill>
              </w:rPr>
              <w:t xml:space="preserve">　</w:t>
            </w:r>
            <w:r w:rsidRPr="001E6CE7">
              <w:rPr>
                <w:color w:val="000000"/>
                <w:w w:val="15"/>
                <w:shd w:val="solid" w:color="000000" w:fill="000000"/>
                <w:fitText w:val="25" w:id="-628411377"/>
                <w14:textFill>
                  <w14:solidFill>
                    <w14:srgbClr w14:val="000000">
                      <w14:alpha w14:val="100000"/>
                    </w14:srgbClr>
                  </w14:solidFill>
                </w14:textFill>
              </w:rPr>
              <w:t>|</w:t>
            </w:r>
            <w:r w:rsidRPr="001E6CE7">
              <w:rPr>
                <w:rFonts w:hint="eastAsia"/>
                <w:color w:val="000000"/>
                <w:spacing w:val="-41"/>
                <w:w w:val="15"/>
                <w:shd w:val="solid" w:color="000000" w:fill="000000"/>
                <w:fitText w:val="25" w:id="-628411377"/>
                <w14:textFill>
                  <w14:solidFill>
                    <w14:srgbClr w14:val="000000">
                      <w14:alpha w14:val="100000"/>
                    </w14:srgbClr>
                  </w14:solidFill>
                </w14:textFill>
              </w:rPr>
              <w:t xml:space="preserve">　</w:t>
            </w:r>
            <w:r w:rsidR="001A3C89" w:rsidRPr="001A3C89">
              <w:t xml:space="preserve"> </w:t>
            </w:r>
          </w:p>
        </w:tc>
        <w:tc>
          <w:tcPr>
            <w:tcW w:w="599" w:type="pct"/>
            <w:tcMar>
              <w:left w:w="20" w:type="dxa"/>
              <w:right w:w="20" w:type="dxa"/>
            </w:tcMar>
          </w:tcPr>
          <w:p w14:paraId="5E71BD2A" w14:textId="77777777" w:rsidR="00FB4693" w:rsidRPr="00886D8A" w:rsidRDefault="00FB4693" w:rsidP="004E36D3">
            <w:pPr>
              <w:pStyle w:val="TableText0"/>
              <w:jc w:val="center"/>
              <w:rPr>
                <w:b/>
              </w:rPr>
            </w:pPr>
            <w:r w:rsidRPr="00886D8A">
              <w:t>2.84</w:t>
            </w:r>
          </w:p>
        </w:tc>
        <w:tc>
          <w:tcPr>
            <w:tcW w:w="599" w:type="pct"/>
            <w:tcMar>
              <w:left w:w="20" w:type="dxa"/>
              <w:right w:w="20" w:type="dxa"/>
            </w:tcMar>
          </w:tcPr>
          <w:p w14:paraId="4C72CE19" w14:textId="7916D431" w:rsidR="00FB4693" w:rsidRPr="00F63ACE" w:rsidRDefault="00ED4AC4" w:rsidP="004E36D3">
            <w:pPr>
              <w:pStyle w:val="TableText0"/>
              <w:jc w:val="center"/>
              <w:rPr>
                <w:b/>
                <w:highlight w:val="darkGray"/>
              </w:rPr>
            </w:pPr>
            <w:r w:rsidRPr="005265DE">
              <w:rPr>
                <w:rFonts w:hint="eastAsia"/>
                <w:color w:val="000000"/>
                <w:w w:val="16"/>
                <w:shd w:val="solid" w:color="000000" w:fill="000000"/>
                <w:fitText w:val="75" w:id="-628411376"/>
                <w14:textFill>
                  <w14:solidFill>
                    <w14:srgbClr w14:val="000000">
                      <w14:alpha w14:val="100000"/>
                    </w14:srgbClr>
                  </w14:solidFill>
                </w14:textFill>
              </w:rPr>
              <w:t xml:space="preserve">　</w:t>
            </w:r>
            <w:r w:rsidRPr="005265DE">
              <w:rPr>
                <w:color w:val="000000"/>
                <w:w w:val="16"/>
                <w:shd w:val="solid" w:color="000000" w:fill="000000"/>
                <w:fitText w:val="75" w:id="-628411376"/>
                <w14:textFill>
                  <w14:solidFill>
                    <w14:srgbClr w14:val="000000">
                      <w14:alpha w14:val="100000"/>
                    </w14:srgbClr>
                  </w14:solidFill>
                </w14:textFill>
              </w:rPr>
              <w:t>|</w:t>
            </w:r>
            <w:r w:rsidRPr="005265DE">
              <w:rPr>
                <w:rFonts w:hint="eastAsia"/>
                <w:color w:val="000000"/>
                <w:w w:val="16"/>
                <w:shd w:val="solid" w:color="000000" w:fill="000000"/>
                <w:fitText w:val="75" w:id="-628411376"/>
                <w14:textFill>
                  <w14:solidFill>
                    <w14:srgbClr w14:val="000000">
                      <w14:alpha w14:val="100000"/>
                    </w14:srgbClr>
                  </w14:solidFill>
                </w14:textFill>
              </w:rPr>
              <w:t xml:space="preserve">　</w:t>
            </w:r>
            <w:r w:rsidR="001A3C89" w:rsidRPr="001A3C89">
              <w:t xml:space="preserve"> </w:t>
            </w:r>
            <w:r w:rsidR="00B62206" w:rsidRPr="00B62206">
              <w:rPr>
                <w:vertAlign w:val="superscript"/>
              </w:rPr>
              <w:t>1</w:t>
            </w:r>
          </w:p>
        </w:tc>
        <w:tc>
          <w:tcPr>
            <w:tcW w:w="544" w:type="pct"/>
            <w:tcMar>
              <w:left w:w="20" w:type="dxa"/>
              <w:right w:w="20" w:type="dxa"/>
            </w:tcMar>
          </w:tcPr>
          <w:p w14:paraId="6B5966C0" w14:textId="046BFDB3" w:rsidR="00FB4693" w:rsidRPr="00886D8A" w:rsidRDefault="0011024A" w:rsidP="004E36D3">
            <w:pPr>
              <w:pStyle w:val="TableText0"/>
              <w:jc w:val="center"/>
              <w:rPr>
                <w:b/>
              </w:rPr>
            </w:pPr>
            <w:r>
              <w:noBreakHyphen/>
            </w:r>
          </w:p>
        </w:tc>
      </w:tr>
      <w:tr w:rsidR="00FB4693" w:rsidRPr="00886D8A" w14:paraId="5B5B27A9" w14:textId="77777777" w:rsidTr="005269B4">
        <w:tc>
          <w:tcPr>
            <w:tcW w:w="2659" w:type="pct"/>
            <w:tcMar>
              <w:left w:w="20" w:type="dxa"/>
              <w:right w:w="20" w:type="dxa"/>
            </w:tcMar>
          </w:tcPr>
          <w:p w14:paraId="1009CA2B" w14:textId="77777777" w:rsidR="00FB4693" w:rsidRPr="00886D8A" w:rsidRDefault="00FB4693" w:rsidP="004E36D3">
            <w:pPr>
              <w:pStyle w:val="TableText0"/>
            </w:pPr>
            <w:r w:rsidRPr="00886D8A">
              <w:t>Discount rate (base case: 5% costs and outcomes)</w:t>
            </w:r>
          </w:p>
          <w:p w14:paraId="629D7FFA" w14:textId="77777777" w:rsidR="00FB4693" w:rsidRPr="00886D8A" w:rsidRDefault="00FB4693" w:rsidP="00CD7617">
            <w:pPr>
              <w:pStyle w:val="TableText0"/>
              <w:numPr>
                <w:ilvl w:val="0"/>
                <w:numId w:val="6"/>
              </w:numPr>
            </w:pPr>
            <w:r w:rsidRPr="00886D8A">
              <w:t>0% costs and outcomes</w:t>
            </w:r>
          </w:p>
          <w:p w14:paraId="4F43880A" w14:textId="77777777" w:rsidR="00FB4693" w:rsidRPr="00886D8A" w:rsidRDefault="00FB4693" w:rsidP="00CD7617">
            <w:pPr>
              <w:pStyle w:val="TableText0"/>
              <w:numPr>
                <w:ilvl w:val="0"/>
                <w:numId w:val="6"/>
              </w:numPr>
            </w:pPr>
            <w:r w:rsidRPr="00886D8A">
              <w:t>3.5% costs and outcomes</w:t>
            </w:r>
          </w:p>
        </w:tc>
        <w:tc>
          <w:tcPr>
            <w:tcW w:w="599" w:type="pct"/>
            <w:tcMar>
              <w:left w:w="20" w:type="dxa"/>
              <w:right w:w="20" w:type="dxa"/>
            </w:tcMar>
            <w:vAlign w:val="bottom"/>
          </w:tcPr>
          <w:p w14:paraId="5A6382E3" w14:textId="668CF8D4" w:rsidR="001A3C89" w:rsidRPr="001A3C89" w:rsidRDefault="00ED4AC4" w:rsidP="004E36D3">
            <w:pPr>
              <w:pStyle w:val="TableText0"/>
              <w:jc w:val="center"/>
            </w:pPr>
            <w:r w:rsidRPr="001E6CE7">
              <w:rPr>
                <w:rFonts w:hint="eastAsia"/>
                <w:color w:val="000000"/>
                <w:w w:val="15"/>
                <w:shd w:val="solid" w:color="000000" w:fill="000000"/>
                <w:fitText w:val="25" w:id="-628411392"/>
                <w14:textFill>
                  <w14:solidFill>
                    <w14:srgbClr w14:val="000000">
                      <w14:alpha w14:val="100000"/>
                    </w14:srgbClr>
                  </w14:solidFill>
                </w14:textFill>
              </w:rPr>
              <w:t xml:space="preserve">　</w:t>
            </w:r>
            <w:r w:rsidRPr="001E6CE7">
              <w:rPr>
                <w:color w:val="000000"/>
                <w:w w:val="15"/>
                <w:shd w:val="solid" w:color="000000" w:fill="000000"/>
                <w:fitText w:val="25" w:id="-628411392"/>
                <w14:textFill>
                  <w14:solidFill>
                    <w14:srgbClr w14:val="000000">
                      <w14:alpha w14:val="100000"/>
                    </w14:srgbClr>
                  </w14:solidFill>
                </w14:textFill>
              </w:rPr>
              <w:t>|</w:t>
            </w:r>
            <w:r w:rsidRPr="001E6CE7">
              <w:rPr>
                <w:rFonts w:hint="eastAsia"/>
                <w:color w:val="000000"/>
                <w:spacing w:val="-41"/>
                <w:w w:val="15"/>
                <w:shd w:val="solid" w:color="000000" w:fill="000000"/>
                <w:fitText w:val="25" w:id="-628411392"/>
                <w14:textFill>
                  <w14:solidFill>
                    <w14:srgbClr w14:val="000000">
                      <w14:alpha w14:val="100000"/>
                    </w14:srgbClr>
                  </w14:solidFill>
                </w14:textFill>
              </w:rPr>
              <w:t xml:space="preserve">　</w:t>
            </w:r>
          </w:p>
          <w:p w14:paraId="2115A3D4" w14:textId="27D30888" w:rsidR="00FB4693" w:rsidRPr="00BA28D1" w:rsidRDefault="00ED4AC4" w:rsidP="004E36D3">
            <w:pPr>
              <w:pStyle w:val="TableText0"/>
              <w:jc w:val="center"/>
              <w:rPr>
                <w:highlight w:val="darkGray"/>
              </w:rPr>
            </w:pPr>
            <w:r w:rsidRPr="001E6CE7">
              <w:rPr>
                <w:rFonts w:hint="eastAsia"/>
                <w:color w:val="000000"/>
                <w:w w:val="15"/>
                <w:shd w:val="solid" w:color="000000" w:fill="000000"/>
                <w:fitText w:val="25" w:id="-628411391"/>
                <w14:textFill>
                  <w14:solidFill>
                    <w14:srgbClr w14:val="000000">
                      <w14:alpha w14:val="100000"/>
                    </w14:srgbClr>
                  </w14:solidFill>
                </w14:textFill>
              </w:rPr>
              <w:t xml:space="preserve">　</w:t>
            </w:r>
            <w:r w:rsidRPr="001E6CE7">
              <w:rPr>
                <w:color w:val="000000"/>
                <w:w w:val="15"/>
                <w:shd w:val="solid" w:color="000000" w:fill="000000"/>
                <w:fitText w:val="25" w:id="-628411391"/>
                <w14:textFill>
                  <w14:solidFill>
                    <w14:srgbClr w14:val="000000">
                      <w14:alpha w14:val="100000"/>
                    </w14:srgbClr>
                  </w14:solidFill>
                </w14:textFill>
              </w:rPr>
              <w:t>|</w:t>
            </w:r>
            <w:r w:rsidRPr="001E6CE7">
              <w:rPr>
                <w:rFonts w:hint="eastAsia"/>
                <w:color w:val="000000"/>
                <w:spacing w:val="-41"/>
                <w:w w:val="15"/>
                <w:shd w:val="solid" w:color="000000" w:fill="000000"/>
                <w:fitText w:val="25" w:id="-628411391"/>
                <w14:textFill>
                  <w14:solidFill>
                    <w14:srgbClr w14:val="000000">
                      <w14:alpha w14:val="100000"/>
                    </w14:srgbClr>
                  </w14:solidFill>
                </w14:textFill>
              </w:rPr>
              <w:t xml:space="preserve">　</w:t>
            </w:r>
          </w:p>
        </w:tc>
        <w:tc>
          <w:tcPr>
            <w:tcW w:w="599" w:type="pct"/>
            <w:tcMar>
              <w:left w:w="20" w:type="dxa"/>
              <w:right w:w="20" w:type="dxa"/>
            </w:tcMar>
            <w:vAlign w:val="bottom"/>
          </w:tcPr>
          <w:p w14:paraId="563ABD21" w14:textId="77777777" w:rsidR="00FB4693" w:rsidRPr="00886D8A" w:rsidRDefault="00FB4693" w:rsidP="004E36D3">
            <w:pPr>
              <w:pStyle w:val="TableText0"/>
              <w:jc w:val="center"/>
            </w:pPr>
            <w:r w:rsidRPr="00886D8A">
              <w:t>6.57</w:t>
            </w:r>
          </w:p>
          <w:p w14:paraId="26766EE9" w14:textId="77777777" w:rsidR="00FB4693" w:rsidRPr="00886D8A" w:rsidRDefault="00FB4693" w:rsidP="004E36D3">
            <w:pPr>
              <w:pStyle w:val="TableText0"/>
              <w:jc w:val="center"/>
            </w:pPr>
            <w:r w:rsidRPr="00886D8A">
              <w:t>3.50</w:t>
            </w:r>
          </w:p>
        </w:tc>
        <w:tc>
          <w:tcPr>
            <w:tcW w:w="599" w:type="pct"/>
            <w:tcMar>
              <w:left w:w="20" w:type="dxa"/>
              <w:right w:w="20" w:type="dxa"/>
            </w:tcMar>
            <w:vAlign w:val="bottom"/>
          </w:tcPr>
          <w:p w14:paraId="5F44C326" w14:textId="63281B2C" w:rsidR="001A3C89" w:rsidRPr="001A3C89" w:rsidRDefault="00ED4AC4" w:rsidP="004E36D3">
            <w:pPr>
              <w:pStyle w:val="TableText0"/>
              <w:jc w:val="center"/>
            </w:pPr>
            <w:r w:rsidRPr="005265DE">
              <w:rPr>
                <w:rFonts w:hint="eastAsia"/>
                <w:color w:val="000000"/>
                <w:w w:val="15"/>
                <w:shd w:val="solid" w:color="000000" w:fill="000000"/>
                <w:fitText w:val="62" w:id="-628411390"/>
                <w14:textFill>
                  <w14:solidFill>
                    <w14:srgbClr w14:val="000000">
                      <w14:alpha w14:val="100000"/>
                    </w14:srgbClr>
                  </w14:solidFill>
                </w14:textFill>
              </w:rPr>
              <w:t xml:space="preserve">　</w:t>
            </w:r>
            <w:r w:rsidRPr="005265DE">
              <w:rPr>
                <w:color w:val="000000"/>
                <w:w w:val="15"/>
                <w:shd w:val="solid" w:color="000000" w:fill="000000"/>
                <w:fitText w:val="62" w:id="-628411390"/>
                <w14:textFill>
                  <w14:solidFill>
                    <w14:srgbClr w14:val="000000">
                      <w14:alpha w14:val="100000"/>
                    </w14:srgbClr>
                  </w14:solidFill>
                </w14:textFill>
              </w:rPr>
              <w:t>|</w:t>
            </w:r>
            <w:r w:rsidRPr="005265DE">
              <w:rPr>
                <w:rFonts w:hint="eastAsia"/>
                <w:color w:val="000000"/>
                <w:w w:val="15"/>
                <w:shd w:val="solid" w:color="000000" w:fill="000000"/>
                <w:fitText w:val="62" w:id="-628411390"/>
                <w14:textFill>
                  <w14:solidFill>
                    <w14:srgbClr w14:val="000000">
                      <w14:alpha w14:val="100000"/>
                    </w14:srgbClr>
                  </w14:solidFill>
                </w14:textFill>
              </w:rPr>
              <w:t xml:space="preserve">　</w:t>
            </w:r>
            <w:r w:rsidR="003A1533" w:rsidRPr="003A1533">
              <w:rPr>
                <w:vertAlign w:val="superscript"/>
              </w:rPr>
              <w:t>2</w:t>
            </w:r>
          </w:p>
          <w:p w14:paraId="43881DF7" w14:textId="25395368" w:rsidR="00FB4693" w:rsidRPr="00F63ACE" w:rsidRDefault="00ED4AC4" w:rsidP="004E36D3">
            <w:pPr>
              <w:pStyle w:val="TableText0"/>
              <w:jc w:val="center"/>
              <w:rPr>
                <w:highlight w:val="darkGray"/>
              </w:rPr>
            </w:pPr>
            <w:r w:rsidRPr="005265DE">
              <w:rPr>
                <w:rFonts w:hint="eastAsia"/>
                <w:color w:val="000000"/>
                <w:w w:val="15"/>
                <w:shd w:val="solid" w:color="000000" w:fill="000000"/>
                <w:fitText w:val="62" w:id="-628411389"/>
                <w14:textFill>
                  <w14:solidFill>
                    <w14:srgbClr w14:val="000000">
                      <w14:alpha w14:val="100000"/>
                    </w14:srgbClr>
                  </w14:solidFill>
                </w14:textFill>
              </w:rPr>
              <w:t xml:space="preserve">　</w:t>
            </w:r>
            <w:r w:rsidRPr="005265DE">
              <w:rPr>
                <w:color w:val="000000"/>
                <w:w w:val="15"/>
                <w:shd w:val="solid" w:color="000000" w:fill="000000"/>
                <w:fitText w:val="62" w:id="-628411389"/>
                <w14:textFill>
                  <w14:solidFill>
                    <w14:srgbClr w14:val="000000">
                      <w14:alpha w14:val="100000"/>
                    </w14:srgbClr>
                  </w14:solidFill>
                </w14:textFill>
              </w:rPr>
              <w:t>|</w:t>
            </w:r>
            <w:r w:rsidRPr="005265DE">
              <w:rPr>
                <w:rFonts w:hint="eastAsia"/>
                <w:color w:val="000000"/>
                <w:w w:val="15"/>
                <w:shd w:val="solid" w:color="000000" w:fill="000000"/>
                <w:fitText w:val="62" w:id="-628411389"/>
                <w14:textFill>
                  <w14:solidFill>
                    <w14:srgbClr w14:val="000000">
                      <w14:alpha w14:val="100000"/>
                    </w14:srgbClr>
                  </w14:solidFill>
                </w14:textFill>
              </w:rPr>
              <w:t xml:space="preserve">　</w:t>
            </w:r>
            <w:r w:rsidR="00B62206" w:rsidRPr="00B62206">
              <w:rPr>
                <w:vertAlign w:val="superscript"/>
              </w:rPr>
              <w:t>1</w:t>
            </w:r>
          </w:p>
        </w:tc>
        <w:tc>
          <w:tcPr>
            <w:tcW w:w="544" w:type="pct"/>
            <w:tcMar>
              <w:left w:w="20" w:type="dxa"/>
              <w:right w:w="20" w:type="dxa"/>
            </w:tcMar>
            <w:vAlign w:val="bottom"/>
          </w:tcPr>
          <w:p w14:paraId="57F263B9" w14:textId="3ADDB204" w:rsidR="00FB4693" w:rsidRPr="00886D8A" w:rsidRDefault="0011024A" w:rsidP="004E36D3">
            <w:pPr>
              <w:pStyle w:val="TableText0"/>
              <w:jc w:val="center"/>
            </w:pPr>
            <w:r>
              <w:noBreakHyphen/>
            </w:r>
            <w:r w:rsidR="00ED4AC4" w:rsidRPr="00896015">
              <w:rPr>
                <w:color w:val="000000"/>
                <w:spacing w:val="89"/>
                <w:shd w:val="solid" w:color="000000" w:fill="000000"/>
                <w:fitText w:val="175" w:id="-628411388"/>
                <w14:textFill>
                  <w14:solidFill>
                    <w14:srgbClr w14:val="000000">
                      <w14:alpha w14:val="100000"/>
                    </w14:srgbClr>
                  </w14:solidFill>
                </w14:textFill>
              </w:rPr>
              <w:t>|</w:t>
            </w:r>
            <w:r w:rsidR="00ED4AC4" w:rsidRPr="00896015">
              <w:rPr>
                <w:color w:val="000000"/>
                <w:shd w:val="solid" w:color="000000" w:fill="000000"/>
                <w:fitText w:val="175" w:id="-628411388"/>
                <w14:textFill>
                  <w14:solidFill>
                    <w14:srgbClr w14:val="000000">
                      <w14:alpha w14:val="100000"/>
                    </w14:srgbClr>
                  </w14:solidFill>
                </w14:textFill>
              </w:rPr>
              <w:t>|</w:t>
            </w:r>
            <w:r w:rsidR="00FB4693" w:rsidRPr="00886D8A">
              <w:t>%</w:t>
            </w:r>
          </w:p>
          <w:p w14:paraId="08E885A1" w14:textId="56130F85" w:rsidR="00FB4693" w:rsidRPr="00886D8A" w:rsidRDefault="0011024A" w:rsidP="004E36D3">
            <w:pPr>
              <w:pStyle w:val="TableText0"/>
              <w:jc w:val="center"/>
            </w:pPr>
            <w:r>
              <w:noBreakHyphen/>
            </w:r>
            <w:r w:rsidR="00ED4AC4" w:rsidRPr="00896015">
              <w:rPr>
                <w:color w:val="000000"/>
                <w:spacing w:val="89"/>
                <w:shd w:val="solid" w:color="000000" w:fill="000000"/>
                <w:fitText w:val="175" w:id="-628411387"/>
                <w14:textFill>
                  <w14:solidFill>
                    <w14:srgbClr w14:val="000000">
                      <w14:alpha w14:val="100000"/>
                    </w14:srgbClr>
                  </w14:solidFill>
                </w14:textFill>
              </w:rPr>
              <w:t>|</w:t>
            </w:r>
            <w:r w:rsidR="00ED4AC4" w:rsidRPr="00896015">
              <w:rPr>
                <w:color w:val="000000"/>
                <w:shd w:val="solid" w:color="000000" w:fill="000000"/>
                <w:fitText w:val="175" w:id="-628411387"/>
                <w14:textFill>
                  <w14:solidFill>
                    <w14:srgbClr w14:val="000000">
                      <w14:alpha w14:val="100000"/>
                    </w14:srgbClr>
                  </w14:solidFill>
                </w14:textFill>
              </w:rPr>
              <w:t>|</w:t>
            </w:r>
            <w:r w:rsidR="00FB4693" w:rsidRPr="00886D8A">
              <w:t>%</w:t>
            </w:r>
          </w:p>
        </w:tc>
      </w:tr>
      <w:tr w:rsidR="00FB4693" w:rsidRPr="00886D8A" w14:paraId="5B3FE7C9" w14:textId="77777777" w:rsidTr="005269B4">
        <w:tc>
          <w:tcPr>
            <w:tcW w:w="2659" w:type="pct"/>
            <w:tcMar>
              <w:left w:w="20" w:type="dxa"/>
              <w:right w:w="20" w:type="dxa"/>
            </w:tcMar>
          </w:tcPr>
          <w:p w14:paraId="530D64BF" w14:textId="77777777" w:rsidR="00FB4693" w:rsidRPr="00886D8A" w:rsidRDefault="00FB4693" w:rsidP="004E36D3">
            <w:pPr>
              <w:pStyle w:val="TableText0"/>
            </w:pPr>
            <w:r w:rsidRPr="00886D8A">
              <w:t>Time horizon (base case: 100 years)</w:t>
            </w:r>
          </w:p>
          <w:p w14:paraId="43DED1DF" w14:textId="77777777" w:rsidR="00FB4693" w:rsidRPr="00886D8A" w:rsidRDefault="00FB4693" w:rsidP="00CD7617">
            <w:pPr>
              <w:pStyle w:val="TableText0"/>
              <w:numPr>
                <w:ilvl w:val="0"/>
                <w:numId w:val="7"/>
              </w:numPr>
            </w:pPr>
            <w:r w:rsidRPr="00886D8A">
              <w:t>20 years</w:t>
            </w:r>
          </w:p>
          <w:p w14:paraId="562633B9" w14:textId="77777777" w:rsidR="00FB4693" w:rsidRPr="00886D8A" w:rsidRDefault="00FB4693" w:rsidP="00CD7617">
            <w:pPr>
              <w:pStyle w:val="TableText0"/>
              <w:numPr>
                <w:ilvl w:val="0"/>
                <w:numId w:val="7"/>
              </w:numPr>
            </w:pPr>
            <w:r w:rsidRPr="00886D8A">
              <w:t>30 years</w:t>
            </w:r>
          </w:p>
        </w:tc>
        <w:tc>
          <w:tcPr>
            <w:tcW w:w="599" w:type="pct"/>
            <w:tcMar>
              <w:left w:w="20" w:type="dxa"/>
              <w:right w:w="20" w:type="dxa"/>
            </w:tcMar>
            <w:vAlign w:val="bottom"/>
          </w:tcPr>
          <w:p w14:paraId="3F907338" w14:textId="4AB785FD" w:rsidR="001A3C89" w:rsidRPr="001A3C89" w:rsidRDefault="00ED4AC4" w:rsidP="004E36D3">
            <w:pPr>
              <w:pStyle w:val="TableText0"/>
              <w:jc w:val="center"/>
            </w:pPr>
            <w:r w:rsidRPr="001E6CE7">
              <w:rPr>
                <w:rFonts w:hint="eastAsia"/>
                <w:color w:val="000000"/>
                <w:w w:val="15"/>
                <w:shd w:val="solid" w:color="000000" w:fill="000000"/>
                <w:fitText w:val="25" w:id="-628411386"/>
                <w14:textFill>
                  <w14:solidFill>
                    <w14:srgbClr w14:val="000000">
                      <w14:alpha w14:val="100000"/>
                    </w14:srgbClr>
                  </w14:solidFill>
                </w14:textFill>
              </w:rPr>
              <w:t xml:space="preserve">　</w:t>
            </w:r>
            <w:r w:rsidRPr="001E6CE7">
              <w:rPr>
                <w:color w:val="000000"/>
                <w:w w:val="15"/>
                <w:shd w:val="solid" w:color="000000" w:fill="000000"/>
                <w:fitText w:val="25" w:id="-628411386"/>
                <w14:textFill>
                  <w14:solidFill>
                    <w14:srgbClr w14:val="000000">
                      <w14:alpha w14:val="100000"/>
                    </w14:srgbClr>
                  </w14:solidFill>
                </w14:textFill>
              </w:rPr>
              <w:t>|</w:t>
            </w:r>
            <w:r w:rsidRPr="001E6CE7">
              <w:rPr>
                <w:rFonts w:hint="eastAsia"/>
                <w:color w:val="000000"/>
                <w:spacing w:val="-41"/>
                <w:w w:val="15"/>
                <w:shd w:val="solid" w:color="000000" w:fill="000000"/>
                <w:fitText w:val="25" w:id="-628411386"/>
                <w14:textFill>
                  <w14:solidFill>
                    <w14:srgbClr w14:val="000000">
                      <w14:alpha w14:val="100000"/>
                    </w14:srgbClr>
                  </w14:solidFill>
                </w14:textFill>
              </w:rPr>
              <w:t xml:space="preserve">　</w:t>
            </w:r>
          </w:p>
          <w:p w14:paraId="6525FA4D" w14:textId="32E16EB3" w:rsidR="00FB4693" w:rsidRPr="00BA28D1" w:rsidRDefault="00ED4AC4" w:rsidP="004E36D3">
            <w:pPr>
              <w:pStyle w:val="TableText0"/>
              <w:jc w:val="center"/>
              <w:rPr>
                <w:highlight w:val="darkGray"/>
              </w:rPr>
            </w:pPr>
            <w:r w:rsidRPr="001E6CE7">
              <w:rPr>
                <w:rFonts w:hint="eastAsia"/>
                <w:color w:val="000000"/>
                <w:w w:val="15"/>
                <w:shd w:val="solid" w:color="000000" w:fill="000000"/>
                <w:fitText w:val="25" w:id="-628411136"/>
                <w14:textFill>
                  <w14:solidFill>
                    <w14:srgbClr w14:val="000000">
                      <w14:alpha w14:val="100000"/>
                    </w14:srgbClr>
                  </w14:solidFill>
                </w14:textFill>
              </w:rPr>
              <w:t xml:space="preserve">　</w:t>
            </w:r>
            <w:r w:rsidRPr="001E6CE7">
              <w:rPr>
                <w:color w:val="000000"/>
                <w:w w:val="15"/>
                <w:shd w:val="solid" w:color="000000" w:fill="000000"/>
                <w:fitText w:val="25" w:id="-628411136"/>
                <w14:textFill>
                  <w14:solidFill>
                    <w14:srgbClr w14:val="000000">
                      <w14:alpha w14:val="100000"/>
                    </w14:srgbClr>
                  </w14:solidFill>
                </w14:textFill>
              </w:rPr>
              <w:t>|</w:t>
            </w:r>
            <w:r w:rsidRPr="001E6CE7">
              <w:rPr>
                <w:rFonts w:hint="eastAsia"/>
                <w:color w:val="000000"/>
                <w:spacing w:val="-41"/>
                <w:w w:val="15"/>
                <w:shd w:val="solid" w:color="000000" w:fill="000000"/>
                <w:fitText w:val="25" w:id="-628411136"/>
                <w14:textFill>
                  <w14:solidFill>
                    <w14:srgbClr w14:val="000000">
                      <w14:alpha w14:val="100000"/>
                    </w14:srgbClr>
                  </w14:solidFill>
                </w14:textFill>
              </w:rPr>
              <w:t xml:space="preserve">　</w:t>
            </w:r>
          </w:p>
        </w:tc>
        <w:tc>
          <w:tcPr>
            <w:tcW w:w="599" w:type="pct"/>
            <w:tcMar>
              <w:left w:w="20" w:type="dxa"/>
              <w:right w:w="20" w:type="dxa"/>
            </w:tcMar>
            <w:vAlign w:val="bottom"/>
          </w:tcPr>
          <w:p w14:paraId="7D0059EC" w14:textId="77777777" w:rsidR="00FB4693" w:rsidRPr="00886D8A" w:rsidRDefault="00FB4693" w:rsidP="004E36D3">
            <w:pPr>
              <w:pStyle w:val="TableText0"/>
              <w:jc w:val="center"/>
            </w:pPr>
            <w:r w:rsidRPr="00886D8A">
              <w:t>2.18</w:t>
            </w:r>
          </w:p>
          <w:p w14:paraId="1186BFE7" w14:textId="77777777" w:rsidR="00FB4693" w:rsidRPr="00886D8A" w:rsidRDefault="00FB4693" w:rsidP="004E36D3">
            <w:pPr>
              <w:pStyle w:val="TableText0"/>
              <w:jc w:val="center"/>
            </w:pPr>
            <w:r w:rsidRPr="00886D8A">
              <w:t>2.61</w:t>
            </w:r>
          </w:p>
        </w:tc>
        <w:tc>
          <w:tcPr>
            <w:tcW w:w="599" w:type="pct"/>
            <w:tcMar>
              <w:left w:w="20" w:type="dxa"/>
              <w:right w:w="20" w:type="dxa"/>
            </w:tcMar>
            <w:vAlign w:val="bottom"/>
          </w:tcPr>
          <w:p w14:paraId="63265EA0" w14:textId="59F5B7EB" w:rsidR="001A3C89" w:rsidRPr="001A3C89" w:rsidRDefault="00ED4AC4" w:rsidP="004E36D3">
            <w:pPr>
              <w:pStyle w:val="TableText0"/>
              <w:jc w:val="center"/>
            </w:pPr>
            <w:r w:rsidRPr="005265DE">
              <w:rPr>
                <w:rFonts w:hint="eastAsia"/>
                <w:color w:val="000000"/>
                <w:w w:val="15"/>
                <w:shd w:val="solid" w:color="000000" w:fill="000000"/>
                <w:fitText w:val="62" w:id="-628411135"/>
                <w14:textFill>
                  <w14:solidFill>
                    <w14:srgbClr w14:val="000000">
                      <w14:alpha w14:val="100000"/>
                    </w14:srgbClr>
                  </w14:solidFill>
                </w14:textFill>
              </w:rPr>
              <w:t xml:space="preserve">　</w:t>
            </w:r>
            <w:r w:rsidRPr="005265DE">
              <w:rPr>
                <w:color w:val="000000"/>
                <w:w w:val="15"/>
                <w:shd w:val="solid" w:color="000000" w:fill="000000"/>
                <w:fitText w:val="62" w:id="-628411135"/>
                <w14:textFill>
                  <w14:solidFill>
                    <w14:srgbClr w14:val="000000">
                      <w14:alpha w14:val="100000"/>
                    </w14:srgbClr>
                  </w14:solidFill>
                </w14:textFill>
              </w:rPr>
              <w:t>|</w:t>
            </w:r>
            <w:r w:rsidRPr="005265DE">
              <w:rPr>
                <w:rFonts w:hint="eastAsia"/>
                <w:color w:val="000000"/>
                <w:w w:val="15"/>
                <w:shd w:val="solid" w:color="000000" w:fill="000000"/>
                <w:fitText w:val="62" w:id="-628411135"/>
                <w14:textFill>
                  <w14:solidFill>
                    <w14:srgbClr w14:val="000000">
                      <w14:alpha w14:val="100000"/>
                    </w14:srgbClr>
                  </w14:solidFill>
                </w14:textFill>
              </w:rPr>
              <w:t xml:space="preserve">　</w:t>
            </w:r>
            <w:r w:rsidR="00B62206" w:rsidRPr="00B62206">
              <w:rPr>
                <w:vertAlign w:val="superscript"/>
              </w:rPr>
              <w:t>1</w:t>
            </w:r>
          </w:p>
          <w:p w14:paraId="4157CA65" w14:textId="5A7F6684" w:rsidR="00FB4693" w:rsidRPr="00F63ACE" w:rsidRDefault="00ED4AC4" w:rsidP="004E36D3">
            <w:pPr>
              <w:pStyle w:val="TableText0"/>
              <w:jc w:val="center"/>
              <w:rPr>
                <w:highlight w:val="darkGray"/>
              </w:rPr>
            </w:pPr>
            <w:r w:rsidRPr="005265DE">
              <w:rPr>
                <w:rFonts w:hint="eastAsia"/>
                <w:color w:val="000000"/>
                <w:w w:val="15"/>
                <w:shd w:val="solid" w:color="000000" w:fill="000000"/>
                <w:fitText w:val="62" w:id="-628411134"/>
                <w14:textFill>
                  <w14:solidFill>
                    <w14:srgbClr w14:val="000000">
                      <w14:alpha w14:val="100000"/>
                    </w14:srgbClr>
                  </w14:solidFill>
                </w14:textFill>
              </w:rPr>
              <w:t xml:space="preserve">　</w:t>
            </w:r>
            <w:r w:rsidRPr="005265DE">
              <w:rPr>
                <w:color w:val="000000"/>
                <w:w w:val="15"/>
                <w:shd w:val="solid" w:color="000000" w:fill="000000"/>
                <w:fitText w:val="62" w:id="-628411134"/>
                <w14:textFill>
                  <w14:solidFill>
                    <w14:srgbClr w14:val="000000">
                      <w14:alpha w14:val="100000"/>
                    </w14:srgbClr>
                  </w14:solidFill>
                </w14:textFill>
              </w:rPr>
              <w:t>|</w:t>
            </w:r>
            <w:r w:rsidRPr="005265DE">
              <w:rPr>
                <w:rFonts w:hint="eastAsia"/>
                <w:color w:val="000000"/>
                <w:w w:val="15"/>
                <w:shd w:val="solid" w:color="000000" w:fill="000000"/>
                <w:fitText w:val="62" w:id="-628411134"/>
                <w14:textFill>
                  <w14:solidFill>
                    <w14:srgbClr w14:val="000000">
                      <w14:alpha w14:val="100000"/>
                    </w14:srgbClr>
                  </w14:solidFill>
                </w14:textFill>
              </w:rPr>
              <w:t xml:space="preserve">　</w:t>
            </w:r>
            <w:r w:rsidR="00B62206" w:rsidRPr="00B62206">
              <w:rPr>
                <w:vertAlign w:val="superscript"/>
              </w:rPr>
              <w:t>1</w:t>
            </w:r>
          </w:p>
        </w:tc>
        <w:tc>
          <w:tcPr>
            <w:tcW w:w="544" w:type="pct"/>
            <w:tcMar>
              <w:left w:w="20" w:type="dxa"/>
              <w:right w:w="20" w:type="dxa"/>
            </w:tcMar>
            <w:vAlign w:val="bottom"/>
          </w:tcPr>
          <w:p w14:paraId="5FFC6D84" w14:textId="332B41C3" w:rsidR="00FB4693" w:rsidRPr="00886D8A" w:rsidRDefault="00ED4AC4" w:rsidP="004E36D3">
            <w:pPr>
              <w:pStyle w:val="TableText0"/>
              <w:jc w:val="center"/>
            </w:pPr>
            <w:r w:rsidRPr="005265DE">
              <w:rPr>
                <w:rFonts w:hint="eastAsia"/>
                <w:color w:val="000000"/>
                <w:w w:val="33"/>
                <w:shd w:val="solid" w:color="000000" w:fill="000000"/>
                <w:fitText w:val="150" w:id="-628411133"/>
                <w14:textFill>
                  <w14:solidFill>
                    <w14:srgbClr w14:val="000000">
                      <w14:alpha w14:val="100000"/>
                    </w14:srgbClr>
                  </w14:solidFill>
                </w14:textFill>
              </w:rPr>
              <w:t xml:space="preserve">　</w:t>
            </w:r>
            <w:r w:rsidRPr="005265DE">
              <w:rPr>
                <w:color w:val="000000"/>
                <w:w w:val="33"/>
                <w:shd w:val="solid" w:color="000000" w:fill="000000"/>
                <w:fitText w:val="150" w:id="-628411133"/>
                <w14:textFill>
                  <w14:solidFill>
                    <w14:srgbClr w14:val="000000">
                      <w14:alpha w14:val="100000"/>
                    </w14:srgbClr>
                  </w14:solidFill>
                </w14:textFill>
              </w:rPr>
              <w:t>|</w:t>
            </w:r>
            <w:r w:rsidRPr="005265DE">
              <w:rPr>
                <w:rFonts w:hint="eastAsia"/>
                <w:color w:val="000000"/>
                <w:w w:val="33"/>
                <w:shd w:val="solid" w:color="000000" w:fill="000000"/>
                <w:fitText w:val="150" w:id="-628411133"/>
                <w14:textFill>
                  <w14:solidFill>
                    <w14:srgbClr w14:val="000000">
                      <w14:alpha w14:val="100000"/>
                    </w14:srgbClr>
                  </w14:solidFill>
                </w14:textFill>
              </w:rPr>
              <w:t xml:space="preserve">　</w:t>
            </w:r>
            <w:r w:rsidR="00FB4693" w:rsidRPr="00886D8A">
              <w:t>%</w:t>
            </w:r>
          </w:p>
          <w:p w14:paraId="72023F36" w14:textId="6B86AE40" w:rsidR="00FB4693" w:rsidRPr="00886D8A" w:rsidRDefault="00ED4AC4" w:rsidP="004E36D3">
            <w:pPr>
              <w:pStyle w:val="TableText0"/>
              <w:jc w:val="center"/>
            </w:pPr>
            <w:r w:rsidRPr="005265DE">
              <w:rPr>
                <w:rFonts w:hint="eastAsia"/>
                <w:color w:val="000000"/>
                <w:w w:val="33"/>
                <w:shd w:val="solid" w:color="000000" w:fill="000000"/>
                <w:fitText w:val="150" w:id="-628411132"/>
                <w14:textFill>
                  <w14:solidFill>
                    <w14:srgbClr w14:val="000000">
                      <w14:alpha w14:val="100000"/>
                    </w14:srgbClr>
                  </w14:solidFill>
                </w14:textFill>
              </w:rPr>
              <w:t xml:space="preserve">　</w:t>
            </w:r>
            <w:r w:rsidRPr="005265DE">
              <w:rPr>
                <w:color w:val="000000"/>
                <w:w w:val="33"/>
                <w:shd w:val="solid" w:color="000000" w:fill="000000"/>
                <w:fitText w:val="150" w:id="-628411132"/>
                <w14:textFill>
                  <w14:solidFill>
                    <w14:srgbClr w14:val="000000">
                      <w14:alpha w14:val="100000"/>
                    </w14:srgbClr>
                  </w14:solidFill>
                </w14:textFill>
              </w:rPr>
              <w:t>|</w:t>
            </w:r>
            <w:r w:rsidRPr="005265DE">
              <w:rPr>
                <w:rFonts w:hint="eastAsia"/>
                <w:color w:val="000000"/>
                <w:w w:val="33"/>
                <w:shd w:val="solid" w:color="000000" w:fill="000000"/>
                <w:fitText w:val="150" w:id="-628411132"/>
                <w14:textFill>
                  <w14:solidFill>
                    <w14:srgbClr w14:val="000000">
                      <w14:alpha w14:val="100000"/>
                    </w14:srgbClr>
                  </w14:solidFill>
                </w14:textFill>
              </w:rPr>
              <w:t xml:space="preserve">　</w:t>
            </w:r>
            <w:r w:rsidR="00FB4693" w:rsidRPr="00886D8A">
              <w:t>%</w:t>
            </w:r>
          </w:p>
        </w:tc>
      </w:tr>
      <w:tr w:rsidR="00FB4693" w:rsidRPr="00886D8A" w14:paraId="2D09EE1E" w14:textId="77777777" w:rsidTr="005269B4">
        <w:tc>
          <w:tcPr>
            <w:tcW w:w="2659" w:type="pct"/>
            <w:tcMar>
              <w:left w:w="20" w:type="dxa"/>
              <w:right w:w="20" w:type="dxa"/>
            </w:tcMar>
          </w:tcPr>
          <w:p w14:paraId="3DABFCE3" w14:textId="2BE6B700" w:rsidR="00FB4693" w:rsidRPr="00886D8A" w:rsidRDefault="00FB4693" w:rsidP="004E36D3">
            <w:pPr>
              <w:pStyle w:val="TableText0"/>
            </w:pPr>
            <w:r w:rsidRPr="00886D8A">
              <w:t>Utility source (base case: rhLAMAN</w:t>
            </w:r>
            <w:r w:rsidR="0011024A">
              <w:noBreakHyphen/>
            </w:r>
            <w:r w:rsidRPr="00886D8A">
              <w:t>10 /NICE HST29)</w:t>
            </w:r>
          </w:p>
          <w:p w14:paraId="0A115567" w14:textId="2A29B1FD" w:rsidR="00FB4693" w:rsidRPr="00886D8A" w:rsidRDefault="00FB4693" w:rsidP="00CD7617">
            <w:pPr>
              <w:pStyle w:val="TableText0"/>
              <w:numPr>
                <w:ilvl w:val="0"/>
                <w:numId w:val="8"/>
              </w:numPr>
            </w:pPr>
            <w:r w:rsidRPr="00886D8A">
              <w:t>rhLAMAN</w:t>
            </w:r>
            <w:r w:rsidR="0011024A">
              <w:noBreakHyphen/>
            </w:r>
            <w:r w:rsidRPr="00886D8A">
              <w:t>10/NICE HST29 and SEEP</w:t>
            </w:r>
          </w:p>
          <w:p w14:paraId="56060817" w14:textId="2369370E" w:rsidR="00C6331F" w:rsidRPr="00886D8A" w:rsidRDefault="00FB4693" w:rsidP="00CD7617">
            <w:pPr>
              <w:pStyle w:val="TableText0"/>
              <w:numPr>
                <w:ilvl w:val="0"/>
                <w:numId w:val="8"/>
              </w:numPr>
            </w:pPr>
            <w:r w:rsidRPr="00886D8A">
              <w:t>MPS Society Survey/NICE HST29</w:t>
            </w:r>
          </w:p>
        </w:tc>
        <w:tc>
          <w:tcPr>
            <w:tcW w:w="599" w:type="pct"/>
            <w:tcMar>
              <w:left w:w="20" w:type="dxa"/>
              <w:right w:w="20" w:type="dxa"/>
            </w:tcMar>
            <w:vAlign w:val="bottom"/>
          </w:tcPr>
          <w:p w14:paraId="06491704" w14:textId="77777777" w:rsidR="001A3C89" w:rsidRPr="001A3C89" w:rsidRDefault="001A3C89" w:rsidP="004E36D3">
            <w:pPr>
              <w:pStyle w:val="TableText0"/>
              <w:jc w:val="center"/>
            </w:pPr>
          </w:p>
          <w:p w14:paraId="266AE9A1" w14:textId="5529D65D" w:rsidR="001A3C89" w:rsidRPr="001A3C89" w:rsidRDefault="00ED4AC4" w:rsidP="004E36D3">
            <w:pPr>
              <w:pStyle w:val="TableText0"/>
              <w:jc w:val="center"/>
            </w:pPr>
            <w:r w:rsidRPr="001E6CE7">
              <w:rPr>
                <w:rFonts w:hint="eastAsia"/>
                <w:color w:val="000000"/>
                <w:w w:val="15"/>
                <w:shd w:val="solid" w:color="000000" w:fill="000000"/>
                <w:fitText w:val="25" w:id="-628411131"/>
                <w14:textFill>
                  <w14:solidFill>
                    <w14:srgbClr w14:val="000000">
                      <w14:alpha w14:val="100000"/>
                    </w14:srgbClr>
                  </w14:solidFill>
                </w14:textFill>
              </w:rPr>
              <w:t xml:space="preserve">　</w:t>
            </w:r>
            <w:r w:rsidRPr="001E6CE7">
              <w:rPr>
                <w:color w:val="000000"/>
                <w:w w:val="15"/>
                <w:shd w:val="solid" w:color="000000" w:fill="000000"/>
                <w:fitText w:val="25" w:id="-628411131"/>
                <w14:textFill>
                  <w14:solidFill>
                    <w14:srgbClr w14:val="000000">
                      <w14:alpha w14:val="100000"/>
                    </w14:srgbClr>
                  </w14:solidFill>
                </w14:textFill>
              </w:rPr>
              <w:t>|</w:t>
            </w:r>
            <w:r w:rsidRPr="001E6CE7">
              <w:rPr>
                <w:rFonts w:hint="eastAsia"/>
                <w:color w:val="000000"/>
                <w:spacing w:val="-41"/>
                <w:w w:val="15"/>
                <w:shd w:val="solid" w:color="000000" w:fill="000000"/>
                <w:fitText w:val="25" w:id="-628411131"/>
                <w14:textFill>
                  <w14:solidFill>
                    <w14:srgbClr w14:val="000000">
                      <w14:alpha w14:val="100000"/>
                    </w14:srgbClr>
                  </w14:solidFill>
                </w14:textFill>
              </w:rPr>
              <w:t xml:space="preserve">　</w:t>
            </w:r>
          </w:p>
          <w:p w14:paraId="51AFD68D" w14:textId="6B07263A" w:rsidR="00C6331F" w:rsidRPr="00BA28D1" w:rsidRDefault="00ED4AC4" w:rsidP="004E36D3">
            <w:pPr>
              <w:pStyle w:val="TableText0"/>
              <w:jc w:val="center"/>
              <w:rPr>
                <w:highlight w:val="darkGray"/>
              </w:rPr>
            </w:pPr>
            <w:r w:rsidRPr="001E6CE7">
              <w:rPr>
                <w:rFonts w:hint="eastAsia"/>
                <w:color w:val="000000"/>
                <w:w w:val="15"/>
                <w:shd w:val="solid" w:color="000000" w:fill="000000"/>
                <w:fitText w:val="25" w:id="-628411130"/>
                <w14:textFill>
                  <w14:solidFill>
                    <w14:srgbClr w14:val="000000">
                      <w14:alpha w14:val="100000"/>
                    </w14:srgbClr>
                  </w14:solidFill>
                </w14:textFill>
              </w:rPr>
              <w:t xml:space="preserve">　</w:t>
            </w:r>
            <w:r w:rsidRPr="001E6CE7">
              <w:rPr>
                <w:color w:val="000000"/>
                <w:w w:val="15"/>
                <w:shd w:val="solid" w:color="000000" w:fill="000000"/>
                <w:fitText w:val="25" w:id="-628411130"/>
                <w14:textFill>
                  <w14:solidFill>
                    <w14:srgbClr w14:val="000000">
                      <w14:alpha w14:val="100000"/>
                    </w14:srgbClr>
                  </w14:solidFill>
                </w14:textFill>
              </w:rPr>
              <w:t>|</w:t>
            </w:r>
            <w:r w:rsidRPr="001E6CE7">
              <w:rPr>
                <w:rFonts w:hint="eastAsia"/>
                <w:color w:val="000000"/>
                <w:spacing w:val="-41"/>
                <w:w w:val="15"/>
                <w:shd w:val="solid" w:color="000000" w:fill="000000"/>
                <w:fitText w:val="25" w:id="-628411130"/>
                <w14:textFill>
                  <w14:solidFill>
                    <w14:srgbClr w14:val="000000">
                      <w14:alpha w14:val="100000"/>
                    </w14:srgbClr>
                  </w14:solidFill>
                </w14:textFill>
              </w:rPr>
              <w:t xml:space="preserve">　</w:t>
            </w:r>
          </w:p>
        </w:tc>
        <w:tc>
          <w:tcPr>
            <w:tcW w:w="599" w:type="pct"/>
            <w:tcMar>
              <w:left w:w="20" w:type="dxa"/>
              <w:right w:w="20" w:type="dxa"/>
            </w:tcMar>
            <w:vAlign w:val="bottom"/>
          </w:tcPr>
          <w:p w14:paraId="61C6C26D" w14:textId="77777777" w:rsidR="00FB4693" w:rsidRPr="00886D8A" w:rsidRDefault="00FB4693" w:rsidP="004E36D3">
            <w:pPr>
              <w:pStyle w:val="TableText0"/>
              <w:jc w:val="center"/>
            </w:pPr>
            <w:r w:rsidRPr="00886D8A">
              <w:t>2.82</w:t>
            </w:r>
          </w:p>
          <w:p w14:paraId="211DBC52" w14:textId="079C1C85" w:rsidR="00C6331F" w:rsidRPr="00886D8A" w:rsidRDefault="00FB4693" w:rsidP="004E36D3">
            <w:pPr>
              <w:pStyle w:val="TableText0"/>
              <w:jc w:val="center"/>
            </w:pPr>
            <w:r w:rsidRPr="00886D8A">
              <w:t>3.60</w:t>
            </w:r>
          </w:p>
        </w:tc>
        <w:tc>
          <w:tcPr>
            <w:tcW w:w="599" w:type="pct"/>
            <w:tcMar>
              <w:left w:w="20" w:type="dxa"/>
              <w:right w:w="20" w:type="dxa"/>
            </w:tcMar>
            <w:vAlign w:val="bottom"/>
          </w:tcPr>
          <w:p w14:paraId="46BE58DD" w14:textId="4E884C75" w:rsidR="001A3C89" w:rsidRPr="001A3C89" w:rsidRDefault="00ED4AC4" w:rsidP="004E36D3">
            <w:pPr>
              <w:pStyle w:val="TableText0"/>
              <w:jc w:val="center"/>
            </w:pPr>
            <w:r w:rsidRPr="005265DE">
              <w:rPr>
                <w:rFonts w:hint="eastAsia"/>
                <w:color w:val="000000"/>
                <w:w w:val="15"/>
                <w:shd w:val="solid" w:color="000000" w:fill="000000"/>
                <w:fitText w:val="62" w:id="-628411129"/>
                <w14:textFill>
                  <w14:solidFill>
                    <w14:srgbClr w14:val="000000">
                      <w14:alpha w14:val="100000"/>
                    </w14:srgbClr>
                  </w14:solidFill>
                </w14:textFill>
              </w:rPr>
              <w:t xml:space="preserve">　</w:t>
            </w:r>
            <w:r w:rsidRPr="005265DE">
              <w:rPr>
                <w:color w:val="000000"/>
                <w:w w:val="15"/>
                <w:shd w:val="solid" w:color="000000" w:fill="000000"/>
                <w:fitText w:val="62" w:id="-628411129"/>
                <w14:textFill>
                  <w14:solidFill>
                    <w14:srgbClr w14:val="000000">
                      <w14:alpha w14:val="100000"/>
                    </w14:srgbClr>
                  </w14:solidFill>
                </w14:textFill>
              </w:rPr>
              <w:t>|</w:t>
            </w:r>
            <w:r w:rsidRPr="005265DE">
              <w:rPr>
                <w:rFonts w:hint="eastAsia"/>
                <w:color w:val="000000"/>
                <w:w w:val="15"/>
                <w:shd w:val="solid" w:color="000000" w:fill="000000"/>
                <w:fitText w:val="62" w:id="-628411129"/>
                <w14:textFill>
                  <w14:solidFill>
                    <w14:srgbClr w14:val="000000">
                      <w14:alpha w14:val="100000"/>
                    </w14:srgbClr>
                  </w14:solidFill>
                </w14:textFill>
              </w:rPr>
              <w:t xml:space="preserve">　</w:t>
            </w:r>
            <w:r w:rsidR="00B62206" w:rsidRPr="00B62206">
              <w:rPr>
                <w:vertAlign w:val="superscript"/>
              </w:rPr>
              <w:t>1</w:t>
            </w:r>
          </w:p>
          <w:p w14:paraId="64168242" w14:textId="2722293B" w:rsidR="00C6331F" w:rsidRPr="00F63ACE" w:rsidRDefault="00ED4AC4" w:rsidP="004E36D3">
            <w:pPr>
              <w:pStyle w:val="TableText0"/>
              <w:jc w:val="center"/>
              <w:rPr>
                <w:highlight w:val="darkGray"/>
              </w:rPr>
            </w:pPr>
            <w:r w:rsidRPr="005265DE">
              <w:rPr>
                <w:rFonts w:hint="eastAsia"/>
                <w:color w:val="000000"/>
                <w:w w:val="15"/>
                <w:shd w:val="solid" w:color="000000" w:fill="000000"/>
                <w:fitText w:val="62" w:id="-628411128"/>
                <w14:textFill>
                  <w14:solidFill>
                    <w14:srgbClr w14:val="000000">
                      <w14:alpha w14:val="100000"/>
                    </w14:srgbClr>
                  </w14:solidFill>
                </w14:textFill>
              </w:rPr>
              <w:t xml:space="preserve">　</w:t>
            </w:r>
            <w:r w:rsidRPr="005265DE">
              <w:rPr>
                <w:color w:val="000000"/>
                <w:w w:val="15"/>
                <w:shd w:val="solid" w:color="000000" w:fill="000000"/>
                <w:fitText w:val="62" w:id="-628411128"/>
                <w14:textFill>
                  <w14:solidFill>
                    <w14:srgbClr w14:val="000000">
                      <w14:alpha w14:val="100000"/>
                    </w14:srgbClr>
                  </w14:solidFill>
                </w14:textFill>
              </w:rPr>
              <w:t>|</w:t>
            </w:r>
            <w:r w:rsidRPr="005265DE">
              <w:rPr>
                <w:rFonts w:hint="eastAsia"/>
                <w:color w:val="000000"/>
                <w:w w:val="15"/>
                <w:shd w:val="solid" w:color="000000" w:fill="000000"/>
                <w:fitText w:val="62" w:id="-628411128"/>
                <w14:textFill>
                  <w14:solidFill>
                    <w14:srgbClr w14:val="000000">
                      <w14:alpha w14:val="100000"/>
                    </w14:srgbClr>
                  </w14:solidFill>
                </w14:textFill>
              </w:rPr>
              <w:t xml:space="preserve">　</w:t>
            </w:r>
            <w:r w:rsidR="00663E18" w:rsidRPr="00663E18">
              <w:rPr>
                <w:vertAlign w:val="superscript"/>
              </w:rPr>
              <w:t>3</w:t>
            </w:r>
          </w:p>
        </w:tc>
        <w:tc>
          <w:tcPr>
            <w:tcW w:w="544" w:type="pct"/>
            <w:tcMar>
              <w:left w:w="20" w:type="dxa"/>
              <w:right w:w="20" w:type="dxa"/>
            </w:tcMar>
            <w:vAlign w:val="bottom"/>
          </w:tcPr>
          <w:p w14:paraId="4E8FFDE2" w14:textId="1A2B8D6A" w:rsidR="00FB4693" w:rsidRPr="00886D8A" w:rsidRDefault="00ED4AC4" w:rsidP="004E36D3">
            <w:pPr>
              <w:pStyle w:val="TableText0"/>
              <w:jc w:val="center"/>
            </w:pPr>
            <w:r w:rsidRPr="005265DE">
              <w:rPr>
                <w:rFonts w:hint="eastAsia"/>
                <w:color w:val="000000"/>
                <w:w w:val="33"/>
                <w:shd w:val="solid" w:color="000000" w:fill="000000"/>
                <w:fitText w:val="150" w:id="-628411127"/>
                <w14:textFill>
                  <w14:solidFill>
                    <w14:srgbClr w14:val="000000">
                      <w14:alpha w14:val="100000"/>
                    </w14:srgbClr>
                  </w14:solidFill>
                </w14:textFill>
              </w:rPr>
              <w:t xml:space="preserve">　</w:t>
            </w:r>
            <w:r w:rsidRPr="005265DE">
              <w:rPr>
                <w:color w:val="000000"/>
                <w:w w:val="33"/>
                <w:shd w:val="solid" w:color="000000" w:fill="000000"/>
                <w:fitText w:val="150" w:id="-628411127"/>
                <w14:textFill>
                  <w14:solidFill>
                    <w14:srgbClr w14:val="000000">
                      <w14:alpha w14:val="100000"/>
                    </w14:srgbClr>
                  </w14:solidFill>
                </w14:textFill>
              </w:rPr>
              <w:t>|</w:t>
            </w:r>
            <w:r w:rsidRPr="005265DE">
              <w:rPr>
                <w:rFonts w:hint="eastAsia"/>
                <w:color w:val="000000"/>
                <w:w w:val="33"/>
                <w:shd w:val="solid" w:color="000000" w:fill="000000"/>
                <w:fitText w:val="150" w:id="-628411127"/>
                <w14:textFill>
                  <w14:solidFill>
                    <w14:srgbClr w14:val="000000">
                      <w14:alpha w14:val="100000"/>
                    </w14:srgbClr>
                  </w14:solidFill>
                </w14:textFill>
              </w:rPr>
              <w:t xml:space="preserve">　</w:t>
            </w:r>
            <w:r w:rsidR="00FB4693" w:rsidRPr="00886D8A">
              <w:t>%</w:t>
            </w:r>
          </w:p>
          <w:p w14:paraId="050BB420" w14:textId="04E8419A" w:rsidR="00B258FA" w:rsidRPr="00886D8A" w:rsidRDefault="0011024A" w:rsidP="004E36D3">
            <w:pPr>
              <w:pStyle w:val="TableText0"/>
              <w:jc w:val="center"/>
            </w:pPr>
            <w:r>
              <w:noBreakHyphen/>
            </w:r>
            <w:r w:rsidR="00ED4AC4" w:rsidRPr="00896015">
              <w:rPr>
                <w:color w:val="000000"/>
                <w:spacing w:val="89"/>
                <w:shd w:val="solid" w:color="000000" w:fill="000000"/>
                <w:fitText w:val="175" w:id="-628411126"/>
                <w14:textFill>
                  <w14:solidFill>
                    <w14:srgbClr w14:val="000000">
                      <w14:alpha w14:val="100000"/>
                    </w14:srgbClr>
                  </w14:solidFill>
                </w14:textFill>
              </w:rPr>
              <w:t>|</w:t>
            </w:r>
            <w:r w:rsidR="00ED4AC4" w:rsidRPr="00896015">
              <w:rPr>
                <w:color w:val="000000"/>
                <w:shd w:val="solid" w:color="000000" w:fill="000000"/>
                <w:fitText w:val="175" w:id="-628411126"/>
                <w14:textFill>
                  <w14:solidFill>
                    <w14:srgbClr w14:val="000000">
                      <w14:alpha w14:val="100000"/>
                    </w14:srgbClr>
                  </w14:solidFill>
                </w14:textFill>
              </w:rPr>
              <w:t>|</w:t>
            </w:r>
            <w:r w:rsidR="00FB4693" w:rsidRPr="00886D8A">
              <w:t>%</w:t>
            </w:r>
          </w:p>
        </w:tc>
      </w:tr>
      <w:tr w:rsidR="00FB4693" w:rsidRPr="00886D8A" w14:paraId="604D1569" w14:textId="77777777" w:rsidTr="00ED4AC4">
        <w:tc>
          <w:tcPr>
            <w:tcW w:w="2659" w:type="pct"/>
            <w:tcMar>
              <w:left w:w="20" w:type="dxa"/>
              <w:right w:w="20" w:type="dxa"/>
            </w:tcMar>
          </w:tcPr>
          <w:p w14:paraId="7100BB1B" w14:textId="0F012D0D" w:rsidR="00FB4693" w:rsidRPr="00886D8A" w:rsidRDefault="00FB4693" w:rsidP="004E36D3">
            <w:pPr>
              <w:pStyle w:val="TableText0"/>
            </w:pPr>
            <w:r w:rsidRPr="00886D8A">
              <w:t>Population (base case: both &lt;18 and ≥18 years)</w:t>
            </w:r>
          </w:p>
          <w:p w14:paraId="4416DC37" w14:textId="77777777" w:rsidR="00FB4693" w:rsidRPr="00886D8A" w:rsidRDefault="00FB4693" w:rsidP="00CD7617">
            <w:pPr>
              <w:pStyle w:val="TableText0"/>
              <w:numPr>
                <w:ilvl w:val="0"/>
                <w:numId w:val="12"/>
              </w:numPr>
            </w:pPr>
            <w:r w:rsidRPr="00886D8A">
              <w:t>&lt;18 years</w:t>
            </w:r>
          </w:p>
          <w:p w14:paraId="3C0B08EA" w14:textId="77777777" w:rsidR="00FB4693" w:rsidRPr="00886D8A" w:rsidRDefault="00FB4693" w:rsidP="00CD7617">
            <w:pPr>
              <w:pStyle w:val="TableText0"/>
              <w:numPr>
                <w:ilvl w:val="0"/>
                <w:numId w:val="12"/>
              </w:numPr>
            </w:pPr>
            <w:r w:rsidRPr="00886D8A">
              <w:t xml:space="preserve">≥18 years </w:t>
            </w:r>
          </w:p>
        </w:tc>
        <w:tc>
          <w:tcPr>
            <w:tcW w:w="599" w:type="pct"/>
            <w:tcBorders>
              <w:bottom w:val="single" w:sz="4" w:space="0" w:color="auto"/>
            </w:tcBorders>
            <w:tcMar>
              <w:left w:w="20" w:type="dxa"/>
              <w:right w:w="20" w:type="dxa"/>
            </w:tcMar>
            <w:vAlign w:val="bottom"/>
          </w:tcPr>
          <w:p w14:paraId="2FB6D584" w14:textId="12146F94" w:rsidR="001A3C89" w:rsidRPr="001A3C89" w:rsidRDefault="00ED4AC4" w:rsidP="004E36D3">
            <w:pPr>
              <w:pStyle w:val="TableText0"/>
              <w:jc w:val="center"/>
            </w:pPr>
            <w:r w:rsidRPr="001E6CE7">
              <w:rPr>
                <w:rFonts w:hint="eastAsia"/>
                <w:color w:val="000000"/>
                <w:w w:val="15"/>
                <w:shd w:val="solid" w:color="000000" w:fill="000000"/>
                <w:fitText w:val="25" w:id="-628411125"/>
                <w14:textFill>
                  <w14:solidFill>
                    <w14:srgbClr w14:val="000000">
                      <w14:alpha w14:val="100000"/>
                    </w14:srgbClr>
                  </w14:solidFill>
                </w14:textFill>
              </w:rPr>
              <w:t xml:space="preserve">　</w:t>
            </w:r>
            <w:r w:rsidRPr="001E6CE7">
              <w:rPr>
                <w:color w:val="000000"/>
                <w:w w:val="15"/>
                <w:shd w:val="solid" w:color="000000" w:fill="000000"/>
                <w:fitText w:val="25" w:id="-628411125"/>
                <w14:textFill>
                  <w14:solidFill>
                    <w14:srgbClr w14:val="000000">
                      <w14:alpha w14:val="100000"/>
                    </w14:srgbClr>
                  </w14:solidFill>
                </w14:textFill>
              </w:rPr>
              <w:t>|</w:t>
            </w:r>
            <w:r w:rsidRPr="001E6CE7">
              <w:rPr>
                <w:rFonts w:hint="eastAsia"/>
                <w:color w:val="000000"/>
                <w:spacing w:val="-41"/>
                <w:w w:val="15"/>
                <w:shd w:val="solid" w:color="000000" w:fill="000000"/>
                <w:fitText w:val="25" w:id="-628411125"/>
                <w14:textFill>
                  <w14:solidFill>
                    <w14:srgbClr w14:val="000000">
                      <w14:alpha w14:val="100000"/>
                    </w14:srgbClr>
                  </w14:solidFill>
                </w14:textFill>
              </w:rPr>
              <w:t xml:space="preserve">　</w:t>
            </w:r>
          </w:p>
          <w:p w14:paraId="5AAEB752" w14:textId="762C5EB1" w:rsidR="00FB4693" w:rsidRPr="00BA28D1" w:rsidRDefault="00ED4AC4" w:rsidP="004E36D3">
            <w:pPr>
              <w:pStyle w:val="TableText0"/>
              <w:jc w:val="center"/>
              <w:rPr>
                <w:highlight w:val="darkGray"/>
              </w:rPr>
            </w:pPr>
            <w:r w:rsidRPr="001E6CE7">
              <w:rPr>
                <w:rFonts w:hint="eastAsia"/>
                <w:color w:val="000000"/>
                <w:w w:val="15"/>
                <w:shd w:val="solid" w:color="000000" w:fill="000000"/>
                <w:fitText w:val="25" w:id="-628411124"/>
                <w14:textFill>
                  <w14:solidFill>
                    <w14:srgbClr w14:val="000000">
                      <w14:alpha w14:val="100000"/>
                    </w14:srgbClr>
                  </w14:solidFill>
                </w14:textFill>
              </w:rPr>
              <w:t xml:space="preserve">　</w:t>
            </w:r>
            <w:r w:rsidRPr="001E6CE7">
              <w:rPr>
                <w:color w:val="000000"/>
                <w:w w:val="15"/>
                <w:shd w:val="solid" w:color="000000" w:fill="000000"/>
                <w:fitText w:val="25" w:id="-628411124"/>
                <w14:textFill>
                  <w14:solidFill>
                    <w14:srgbClr w14:val="000000">
                      <w14:alpha w14:val="100000"/>
                    </w14:srgbClr>
                  </w14:solidFill>
                </w14:textFill>
              </w:rPr>
              <w:t>|</w:t>
            </w:r>
            <w:r w:rsidRPr="001E6CE7">
              <w:rPr>
                <w:rFonts w:hint="eastAsia"/>
                <w:color w:val="000000"/>
                <w:spacing w:val="-41"/>
                <w:w w:val="15"/>
                <w:shd w:val="solid" w:color="000000" w:fill="000000"/>
                <w:fitText w:val="25" w:id="-628411124"/>
                <w14:textFill>
                  <w14:solidFill>
                    <w14:srgbClr w14:val="000000">
                      <w14:alpha w14:val="100000"/>
                    </w14:srgbClr>
                  </w14:solidFill>
                </w14:textFill>
              </w:rPr>
              <w:t xml:space="preserve">　</w:t>
            </w:r>
          </w:p>
        </w:tc>
        <w:tc>
          <w:tcPr>
            <w:tcW w:w="599" w:type="pct"/>
            <w:tcMar>
              <w:left w:w="20" w:type="dxa"/>
              <w:right w:w="20" w:type="dxa"/>
            </w:tcMar>
            <w:vAlign w:val="bottom"/>
          </w:tcPr>
          <w:p w14:paraId="7BBBAC7D" w14:textId="77777777" w:rsidR="00FB4693" w:rsidRPr="00886D8A" w:rsidRDefault="00FB4693" w:rsidP="004E36D3">
            <w:pPr>
              <w:pStyle w:val="TableText0"/>
              <w:jc w:val="center"/>
            </w:pPr>
            <w:r w:rsidRPr="00886D8A">
              <w:t>2.81</w:t>
            </w:r>
          </w:p>
          <w:p w14:paraId="69D5203C" w14:textId="77777777" w:rsidR="00FB4693" w:rsidRPr="00886D8A" w:rsidRDefault="00FB4693" w:rsidP="004E36D3">
            <w:pPr>
              <w:pStyle w:val="TableText0"/>
              <w:jc w:val="center"/>
            </w:pPr>
            <w:r w:rsidRPr="00886D8A">
              <w:t>2.88</w:t>
            </w:r>
          </w:p>
        </w:tc>
        <w:tc>
          <w:tcPr>
            <w:tcW w:w="599" w:type="pct"/>
            <w:tcMar>
              <w:left w:w="20" w:type="dxa"/>
              <w:right w:w="20" w:type="dxa"/>
            </w:tcMar>
            <w:vAlign w:val="bottom"/>
          </w:tcPr>
          <w:p w14:paraId="4D6118A5" w14:textId="1D963E60" w:rsidR="001A3C89" w:rsidRPr="001A3C89" w:rsidRDefault="00ED4AC4" w:rsidP="004E36D3">
            <w:pPr>
              <w:pStyle w:val="TableText0"/>
              <w:jc w:val="center"/>
            </w:pPr>
            <w:r w:rsidRPr="005265DE">
              <w:rPr>
                <w:rFonts w:hint="eastAsia"/>
                <w:color w:val="000000"/>
                <w:w w:val="15"/>
                <w:shd w:val="solid" w:color="000000" w:fill="000000"/>
                <w:fitText w:val="62" w:id="-628411123"/>
                <w14:textFill>
                  <w14:solidFill>
                    <w14:srgbClr w14:val="000000">
                      <w14:alpha w14:val="100000"/>
                    </w14:srgbClr>
                  </w14:solidFill>
                </w14:textFill>
              </w:rPr>
              <w:t xml:space="preserve">　</w:t>
            </w:r>
            <w:r w:rsidRPr="005265DE">
              <w:rPr>
                <w:color w:val="000000"/>
                <w:w w:val="15"/>
                <w:shd w:val="solid" w:color="000000" w:fill="000000"/>
                <w:fitText w:val="62" w:id="-628411123"/>
                <w14:textFill>
                  <w14:solidFill>
                    <w14:srgbClr w14:val="000000">
                      <w14:alpha w14:val="100000"/>
                    </w14:srgbClr>
                  </w14:solidFill>
                </w14:textFill>
              </w:rPr>
              <w:t>|</w:t>
            </w:r>
            <w:r w:rsidRPr="005265DE">
              <w:rPr>
                <w:rFonts w:hint="eastAsia"/>
                <w:color w:val="000000"/>
                <w:w w:val="15"/>
                <w:shd w:val="solid" w:color="000000" w:fill="000000"/>
                <w:fitText w:val="62" w:id="-628411123"/>
                <w14:textFill>
                  <w14:solidFill>
                    <w14:srgbClr w14:val="000000">
                      <w14:alpha w14:val="100000"/>
                    </w14:srgbClr>
                  </w14:solidFill>
                </w14:textFill>
              </w:rPr>
              <w:t xml:space="preserve">　</w:t>
            </w:r>
            <w:r w:rsidR="00B62206" w:rsidRPr="00B62206">
              <w:rPr>
                <w:vertAlign w:val="superscript"/>
              </w:rPr>
              <w:t>1</w:t>
            </w:r>
          </w:p>
          <w:p w14:paraId="01A0F222" w14:textId="38AAFB4E" w:rsidR="00FB4693" w:rsidRPr="00F63ACE" w:rsidRDefault="00ED4AC4" w:rsidP="004E36D3">
            <w:pPr>
              <w:pStyle w:val="TableText0"/>
              <w:jc w:val="center"/>
              <w:rPr>
                <w:highlight w:val="darkGray"/>
              </w:rPr>
            </w:pPr>
            <w:r w:rsidRPr="005265DE">
              <w:rPr>
                <w:rFonts w:hint="eastAsia"/>
                <w:color w:val="000000"/>
                <w:w w:val="15"/>
                <w:shd w:val="solid" w:color="000000" w:fill="000000"/>
                <w:fitText w:val="62" w:id="-628411122"/>
                <w14:textFill>
                  <w14:solidFill>
                    <w14:srgbClr w14:val="000000">
                      <w14:alpha w14:val="100000"/>
                    </w14:srgbClr>
                  </w14:solidFill>
                </w14:textFill>
              </w:rPr>
              <w:t xml:space="preserve">　</w:t>
            </w:r>
            <w:r w:rsidRPr="005265DE">
              <w:rPr>
                <w:color w:val="000000"/>
                <w:w w:val="15"/>
                <w:shd w:val="solid" w:color="000000" w:fill="000000"/>
                <w:fitText w:val="62" w:id="-628411122"/>
                <w14:textFill>
                  <w14:solidFill>
                    <w14:srgbClr w14:val="000000">
                      <w14:alpha w14:val="100000"/>
                    </w14:srgbClr>
                  </w14:solidFill>
                </w14:textFill>
              </w:rPr>
              <w:t>|</w:t>
            </w:r>
            <w:r w:rsidRPr="005265DE">
              <w:rPr>
                <w:rFonts w:hint="eastAsia"/>
                <w:color w:val="000000"/>
                <w:w w:val="15"/>
                <w:shd w:val="solid" w:color="000000" w:fill="000000"/>
                <w:fitText w:val="62" w:id="-628411122"/>
                <w14:textFill>
                  <w14:solidFill>
                    <w14:srgbClr w14:val="000000">
                      <w14:alpha w14:val="100000"/>
                    </w14:srgbClr>
                  </w14:solidFill>
                </w14:textFill>
              </w:rPr>
              <w:t xml:space="preserve">　</w:t>
            </w:r>
            <w:r w:rsidR="00B62206" w:rsidRPr="00B62206">
              <w:rPr>
                <w:vertAlign w:val="superscript"/>
              </w:rPr>
              <w:t>1</w:t>
            </w:r>
          </w:p>
        </w:tc>
        <w:tc>
          <w:tcPr>
            <w:tcW w:w="544" w:type="pct"/>
            <w:tcMar>
              <w:left w:w="20" w:type="dxa"/>
              <w:right w:w="20" w:type="dxa"/>
            </w:tcMar>
            <w:vAlign w:val="bottom"/>
          </w:tcPr>
          <w:p w14:paraId="1675A44C" w14:textId="671B933D" w:rsidR="00FB4693" w:rsidRPr="00886D8A" w:rsidRDefault="0011024A" w:rsidP="004E36D3">
            <w:pPr>
              <w:pStyle w:val="TableText0"/>
              <w:jc w:val="center"/>
            </w:pPr>
            <w:r>
              <w:noBreakHyphen/>
            </w:r>
            <w:r w:rsidR="00ED4AC4" w:rsidRPr="00896015">
              <w:rPr>
                <w:color w:val="000000"/>
                <w:spacing w:val="89"/>
                <w:shd w:val="solid" w:color="000000" w:fill="000000"/>
                <w:fitText w:val="175" w:id="-628411121"/>
                <w14:textFill>
                  <w14:solidFill>
                    <w14:srgbClr w14:val="000000">
                      <w14:alpha w14:val="100000"/>
                    </w14:srgbClr>
                  </w14:solidFill>
                </w14:textFill>
              </w:rPr>
              <w:t>|</w:t>
            </w:r>
            <w:r w:rsidR="00ED4AC4" w:rsidRPr="00896015">
              <w:rPr>
                <w:color w:val="000000"/>
                <w:shd w:val="solid" w:color="000000" w:fill="000000"/>
                <w:fitText w:val="175" w:id="-628411121"/>
                <w14:textFill>
                  <w14:solidFill>
                    <w14:srgbClr w14:val="000000">
                      <w14:alpha w14:val="100000"/>
                    </w14:srgbClr>
                  </w14:solidFill>
                </w14:textFill>
              </w:rPr>
              <w:t>|</w:t>
            </w:r>
            <w:r w:rsidR="00FB4693" w:rsidRPr="00886D8A">
              <w:t>%</w:t>
            </w:r>
          </w:p>
          <w:p w14:paraId="3A2CB5F4" w14:textId="050D6DCE" w:rsidR="00FB4693" w:rsidRPr="00886D8A" w:rsidRDefault="00ED4AC4" w:rsidP="004E36D3">
            <w:pPr>
              <w:pStyle w:val="TableText0"/>
              <w:jc w:val="center"/>
            </w:pPr>
            <w:r w:rsidRPr="005265DE">
              <w:rPr>
                <w:rFonts w:hint="eastAsia"/>
                <w:color w:val="000000"/>
                <w:w w:val="33"/>
                <w:shd w:val="solid" w:color="000000" w:fill="000000"/>
                <w:fitText w:val="150" w:id="-628411120"/>
                <w14:textFill>
                  <w14:solidFill>
                    <w14:srgbClr w14:val="000000">
                      <w14:alpha w14:val="100000"/>
                    </w14:srgbClr>
                  </w14:solidFill>
                </w14:textFill>
              </w:rPr>
              <w:t xml:space="preserve">　</w:t>
            </w:r>
            <w:r w:rsidRPr="005265DE">
              <w:rPr>
                <w:color w:val="000000"/>
                <w:w w:val="33"/>
                <w:shd w:val="solid" w:color="000000" w:fill="000000"/>
                <w:fitText w:val="150" w:id="-628411120"/>
                <w14:textFill>
                  <w14:solidFill>
                    <w14:srgbClr w14:val="000000">
                      <w14:alpha w14:val="100000"/>
                    </w14:srgbClr>
                  </w14:solidFill>
                </w14:textFill>
              </w:rPr>
              <w:t>|</w:t>
            </w:r>
            <w:r w:rsidRPr="005265DE">
              <w:rPr>
                <w:rFonts w:hint="eastAsia"/>
                <w:color w:val="000000"/>
                <w:w w:val="33"/>
                <w:shd w:val="solid" w:color="000000" w:fill="000000"/>
                <w:fitText w:val="150" w:id="-628411120"/>
                <w14:textFill>
                  <w14:solidFill>
                    <w14:srgbClr w14:val="000000">
                      <w14:alpha w14:val="100000"/>
                    </w14:srgbClr>
                  </w14:solidFill>
                </w14:textFill>
              </w:rPr>
              <w:t xml:space="preserve">　</w:t>
            </w:r>
            <w:r w:rsidR="00FB4693" w:rsidRPr="00886D8A">
              <w:t>%</w:t>
            </w:r>
          </w:p>
        </w:tc>
      </w:tr>
      <w:tr w:rsidR="00FB4693" w:rsidRPr="00886D8A" w14:paraId="2531A5B9" w14:textId="77777777" w:rsidTr="00ED4AC4">
        <w:tc>
          <w:tcPr>
            <w:tcW w:w="2659" w:type="pct"/>
            <w:tcMar>
              <w:left w:w="20" w:type="dxa"/>
              <w:right w:w="20" w:type="dxa"/>
            </w:tcMar>
          </w:tcPr>
          <w:p w14:paraId="083B557C" w14:textId="77777777" w:rsidR="00FB4693" w:rsidRPr="00886D8A" w:rsidRDefault="00FB4693" w:rsidP="004E36D3">
            <w:pPr>
              <w:pStyle w:val="TableText0"/>
              <w:tabs>
                <w:tab w:val="left" w:pos="1372"/>
              </w:tabs>
              <w:jc w:val="both"/>
            </w:pPr>
            <w:r w:rsidRPr="00886D8A">
              <w:t>Backwards transition for velmanase alfa (base case: include)</w:t>
            </w:r>
          </w:p>
          <w:p w14:paraId="674B1E95" w14:textId="77777777" w:rsidR="00FB4693" w:rsidRPr="00886D8A" w:rsidRDefault="00FB4693" w:rsidP="00CD7617">
            <w:pPr>
              <w:pStyle w:val="TableText0"/>
              <w:numPr>
                <w:ilvl w:val="0"/>
                <w:numId w:val="13"/>
              </w:numPr>
              <w:tabs>
                <w:tab w:val="left" w:pos="1372"/>
              </w:tabs>
              <w:jc w:val="both"/>
            </w:pPr>
            <w:r w:rsidRPr="00886D8A">
              <w:t>Exclude</w:t>
            </w:r>
          </w:p>
        </w:tc>
        <w:tc>
          <w:tcPr>
            <w:tcW w:w="599" w:type="pct"/>
            <w:tcBorders>
              <w:bottom w:val="single" w:sz="4" w:space="0" w:color="auto"/>
            </w:tcBorders>
            <w:shd w:val="solid" w:color="000000" w:fill="000000"/>
            <w:tcMar>
              <w:left w:w="20" w:type="dxa"/>
              <w:right w:w="20" w:type="dxa"/>
            </w:tcMar>
            <w:vAlign w:val="bottom"/>
          </w:tcPr>
          <w:p w14:paraId="47E11E3C" w14:textId="465DBD18" w:rsidR="00FB4693" w:rsidRPr="00BA28D1" w:rsidRDefault="00ED4AC4" w:rsidP="004E36D3">
            <w:pPr>
              <w:pStyle w:val="TableText0"/>
              <w:jc w:val="center"/>
              <w:rPr>
                <w:highlight w:val="darkGray"/>
              </w:rPr>
            </w:pPr>
            <w:r w:rsidRPr="001E6CE7">
              <w:rPr>
                <w:rFonts w:hint="eastAsia"/>
                <w:color w:val="000000"/>
                <w:w w:val="15"/>
                <w:fitText w:val="25" w:id="-628411136"/>
                <w14:textFill>
                  <w14:solidFill>
                    <w14:srgbClr w14:val="000000">
                      <w14:alpha w14:val="100000"/>
                    </w14:srgbClr>
                  </w14:solidFill>
                </w14:textFill>
              </w:rPr>
              <w:t xml:space="preserve">　</w:t>
            </w:r>
            <w:r w:rsidRPr="001E6CE7">
              <w:rPr>
                <w:color w:val="000000"/>
                <w:w w:val="15"/>
                <w:fitText w:val="25" w:id="-628411136"/>
                <w14:textFill>
                  <w14:solidFill>
                    <w14:srgbClr w14:val="000000">
                      <w14:alpha w14:val="100000"/>
                    </w14:srgbClr>
                  </w14:solidFill>
                </w14:textFill>
              </w:rPr>
              <w:t>|</w:t>
            </w:r>
            <w:r w:rsidRPr="001E6CE7">
              <w:rPr>
                <w:rFonts w:hint="eastAsia"/>
                <w:color w:val="000000"/>
                <w:spacing w:val="-41"/>
                <w:w w:val="15"/>
                <w:fitText w:val="25" w:id="-628411136"/>
                <w14:textFill>
                  <w14:solidFill>
                    <w14:srgbClr w14:val="000000">
                      <w14:alpha w14:val="100000"/>
                    </w14:srgbClr>
                  </w14:solidFill>
                </w14:textFill>
              </w:rPr>
              <w:t xml:space="preserve">　</w:t>
            </w:r>
          </w:p>
        </w:tc>
        <w:tc>
          <w:tcPr>
            <w:tcW w:w="599" w:type="pct"/>
            <w:tcMar>
              <w:left w:w="20" w:type="dxa"/>
              <w:right w:w="20" w:type="dxa"/>
            </w:tcMar>
            <w:vAlign w:val="bottom"/>
          </w:tcPr>
          <w:p w14:paraId="2251B10D" w14:textId="77777777" w:rsidR="00FB4693" w:rsidRPr="00886D8A" w:rsidRDefault="00FB4693" w:rsidP="004E36D3">
            <w:pPr>
              <w:pStyle w:val="TableText0"/>
              <w:jc w:val="center"/>
            </w:pPr>
            <w:r w:rsidRPr="00886D8A">
              <w:t>2.17</w:t>
            </w:r>
          </w:p>
        </w:tc>
        <w:tc>
          <w:tcPr>
            <w:tcW w:w="599" w:type="pct"/>
            <w:tcMar>
              <w:left w:w="20" w:type="dxa"/>
              <w:right w:w="20" w:type="dxa"/>
            </w:tcMar>
            <w:vAlign w:val="bottom"/>
          </w:tcPr>
          <w:p w14:paraId="3301FD9D" w14:textId="67D8D9C0" w:rsidR="00FB4693" w:rsidRPr="00F63ACE" w:rsidRDefault="00ED4AC4" w:rsidP="004E36D3">
            <w:pPr>
              <w:pStyle w:val="TableText0"/>
              <w:jc w:val="center"/>
              <w:rPr>
                <w:highlight w:val="darkGray"/>
              </w:rPr>
            </w:pPr>
            <w:r w:rsidRPr="005265DE">
              <w:rPr>
                <w:rFonts w:hint="eastAsia"/>
                <w:color w:val="000000"/>
                <w:w w:val="15"/>
                <w:shd w:val="solid" w:color="000000" w:fill="000000"/>
                <w:fitText w:val="62" w:id="-628411135"/>
                <w14:textFill>
                  <w14:solidFill>
                    <w14:srgbClr w14:val="000000">
                      <w14:alpha w14:val="100000"/>
                    </w14:srgbClr>
                  </w14:solidFill>
                </w14:textFill>
              </w:rPr>
              <w:t xml:space="preserve">　</w:t>
            </w:r>
            <w:r w:rsidRPr="005265DE">
              <w:rPr>
                <w:color w:val="000000"/>
                <w:w w:val="15"/>
                <w:shd w:val="solid" w:color="000000" w:fill="000000"/>
                <w:fitText w:val="62" w:id="-628411135"/>
                <w14:textFill>
                  <w14:solidFill>
                    <w14:srgbClr w14:val="000000">
                      <w14:alpha w14:val="100000"/>
                    </w14:srgbClr>
                  </w14:solidFill>
                </w14:textFill>
              </w:rPr>
              <w:t>|</w:t>
            </w:r>
            <w:r w:rsidRPr="005265DE">
              <w:rPr>
                <w:rFonts w:hint="eastAsia"/>
                <w:color w:val="000000"/>
                <w:w w:val="15"/>
                <w:shd w:val="solid" w:color="000000" w:fill="000000"/>
                <w:fitText w:val="62" w:id="-628411135"/>
                <w14:textFill>
                  <w14:solidFill>
                    <w14:srgbClr w14:val="000000">
                      <w14:alpha w14:val="100000"/>
                    </w14:srgbClr>
                  </w14:solidFill>
                </w14:textFill>
              </w:rPr>
              <w:t xml:space="preserve">　</w:t>
            </w:r>
            <w:r w:rsidR="00B62206" w:rsidRPr="00B62206">
              <w:rPr>
                <w:vertAlign w:val="superscript"/>
              </w:rPr>
              <w:t>1</w:t>
            </w:r>
          </w:p>
        </w:tc>
        <w:tc>
          <w:tcPr>
            <w:tcW w:w="544" w:type="pct"/>
            <w:tcMar>
              <w:left w:w="20" w:type="dxa"/>
              <w:right w:w="20" w:type="dxa"/>
            </w:tcMar>
            <w:vAlign w:val="bottom"/>
          </w:tcPr>
          <w:p w14:paraId="6E6B4B38" w14:textId="27B5B932" w:rsidR="00FB4693" w:rsidRPr="00886D8A" w:rsidRDefault="00ED4AC4" w:rsidP="004E36D3">
            <w:pPr>
              <w:pStyle w:val="TableText0"/>
              <w:jc w:val="center"/>
            </w:pPr>
            <w:r w:rsidRPr="005265DE">
              <w:rPr>
                <w:rFonts w:hint="eastAsia"/>
                <w:color w:val="000000"/>
                <w:w w:val="33"/>
                <w:shd w:val="solid" w:color="000000" w:fill="000000"/>
                <w:fitText w:val="150" w:id="-628411134"/>
                <w14:textFill>
                  <w14:solidFill>
                    <w14:srgbClr w14:val="000000">
                      <w14:alpha w14:val="100000"/>
                    </w14:srgbClr>
                  </w14:solidFill>
                </w14:textFill>
              </w:rPr>
              <w:t xml:space="preserve">　</w:t>
            </w:r>
            <w:r w:rsidRPr="005265DE">
              <w:rPr>
                <w:color w:val="000000"/>
                <w:w w:val="33"/>
                <w:shd w:val="solid" w:color="000000" w:fill="000000"/>
                <w:fitText w:val="150" w:id="-628411134"/>
                <w14:textFill>
                  <w14:solidFill>
                    <w14:srgbClr w14:val="000000">
                      <w14:alpha w14:val="100000"/>
                    </w14:srgbClr>
                  </w14:solidFill>
                </w14:textFill>
              </w:rPr>
              <w:t>|</w:t>
            </w:r>
            <w:r w:rsidRPr="005265DE">
              <w:rPr>
                <w:rFonts w:hint="eastAsia"/>
                <w:color w:val="000000"/>
                <w:w w:val="33"/>
                <w:shd w:val="solid" w:color="000000" w:fill="000000"/>
                <w:fitText w:val="150" w:id="-628411134"/>
                <w14:textFill>
                  <w14:solidFill>
                    <w14:srgbClr w14:val="000000">
                      <w14:alpha w14:val="100000"/>
                    </w14:srgbClr>
                  </w14:solidFill>
                </w14:textFill>
              </w:rPr>
              <w:t xml:space="preserve">　</w:t>
            </w:r>
            <w:r w:rsidR="00FB4693" w:rsidRPr="00886D8A">
              <w:t>%</w:t>
            </w:r>
          </w:p>
        </w:tc>
      </w:tr>
      <w:tr w:rsidR="00FB4693" w:rsidRPr="00886D8A" w14:paraId="7BCF6199" w14:textId="77777777" w:rsidTr="00ED4AC4">
        <w:tc>
          <w:tcPr>
            <w:tcW w:w="2659" w:type="pct"/>
            <w:tcMar>
              <w:left w:w="20" w:type="dxa"/>
              <w:right w:w="20" w:type="dxa"/>
            </w:tcMar>
          </w:tcPr>
          <w:p w14:paraId="7CAF5FC7" w14:textId="77777777" w:rsidR="00FB4693" w:rsidRPr="00886D8A" w:rsidRDefault="00FB4693" w:rsidP="004E36D3">
            <w:pPr>
              <w:pStyle w:val="TableText0"/>
            </w:pPr>
            <w:r w:rsidRPr="00886D8A">
              <w:t>Perspective (base case: payer)</w:t>
            </w:r>
          </w:p>
          <w:p w14:paraId="6EFA509F" w14:textId="77777777" w:rsidR="00FB4693" w:rsidRPr="00886D8A" w:rsidRDefault="00FB4693" w:rsidP="00CD7617">
            <w:pPr>
              <w:pStyle w:val="TableText0"/>
              <w:numPr>
                <w:ilvl w:val="0"/>
                <w:numId w:val="13"/>
              </w:numPr>
            </w:pPr>
            <w:r w:rsidRPr="00886D8A">
              <w:t xml:space="preserve">Societal </w:t>
            </w:r>
          </w:p>
        </w:tc>
        <w:tc>
          <w:tcPr>
            <w:tcW w:w="599" w:type="pct"/>
            <w:tcBorders>
              <w:bottom w:val="single" w:sz="4" w:space="0" w:color="auto"/>
            </w:tcBorders>
            <w:shd w:val="solid" w:color="000000" w:fill="000000"/>
            <w:tcMar>
              <w:left w:w="20" w:type="dxa"/>
              <w:right w:w="20" w:type="dxa"/>
            </w:tcMar>
            <w:vAlign w:val="bottom"/>
          </w:tcPr>
          <w:p w14:paraId="13F3E35E" w14:textId="50AB9C54" w:rsidR="00FB4693" w:rsidRPr="00BA28D1" w:rsidRDefault="00ED4AC4" w:rsidP="004E36D3">
            <w:pPr>
              <w:pStyle w:val="TableText0"/>
              <w:jc w:val="center"/>
              <w:rPr>
                <w:highlight w:val="darkGray"/>
              </w:rPr>
            </w:pPr>
            <w:r w:rsidRPr="001E6CE7">
              <w:rPr>
                <w:rFonts w:hint="eastAsia"/>
                <w:color w:val="000000"/>
                <w:w w:val="15"/>
                <w:fitText w:val="25" w:id="-628411133"/>
                <w14:textFill>
                  <w14:solidFill>
                    <w14:srgbClr w14:val="000000">
                      <w14:alpha w14:val="100000"/>
                    </w14:srgbClr>
                  </w14:solidFill>
                </w14:textFill>
              </w:rPr>
              <w:t xml:space="preserve">　</w:t>
            </w:r>
            <w:r w:rsidRPr="001E6CE7">
              <w:rPr>
                <w:color w:val="000000"/>
                <w:w w:val="15"/>
                <w:fitText w:val="25" w:id="-628411133"/>
                <w14:textFill>
                  <w14:solidFill>
                    <w14:srgbClr w14:val="000000">
                      <w14:alpha w14:val="100000"/>
                    </w14:srgbClr>
                  </w14:solidFill>
                </w14:textFill>
              </w:rPr>
              <w:t>|</w:t>
            </w:r>
            <w:r w:rsidRPr="001E6CE7">
              <w:rPr>
                <w:rFonts w:hint="eastAsia"/>
                <w:color w:val="000000"/>
                <w:spacing w:val="-41"/>
                <w:w w:val="15"/>
                <w:fitText w:val="25" w:id="-628411133"/>
                <w14:textFill>
                  <w14:solidFill>
                    <w14:srgbClr w14:val="000000">
                      <w14:alpha w14:val="100000"/>
                    </w14:srgbClr>
                  </w14:solidFill>
                </w14:textFill>
              </w:rPr>
              <w:t xml:space="preserve">　</w:t>
            </w:r>
          </w:p>
        </w:tc>
        <w:tc>
          <w:tcPr>
            <w:tcW w:w="599" w:type="pct"/>
            <w:tcMar>
              <w:left w:w="20" w:type="dxa"/>
              <w:right w:w="20" w:type="dxa"/>
            </w:tcMar>
            <w:vAlign w:val="bottom"/>
          </w:tcPr>
          <w:p w14:paraId="0E664D84" w14:textId="77777777" w:rsidR="00FB4693" w:rsidRPr="00886D8A" w:rsidRDefault="00FB4693" w:rsidP="004E36D3">
            <w:pPr>
              <w:pStyle w:val="TableText0"/>
              <w:jc w:val="center"/>
            </w:pPr>
            <w:r w:rsidRPr="00886D8A">
              <w:t>2.71</w:t>
            </w:r>
          </w:p>
        </w:tc>
        <w:tc>
          <w:tcPr>
            <w:tcW w:w="599" w:type="pct"/>
            <w:tcMar>
              <w:left w:w="20" w:type="dxa"/>
              <w:right w:w="20" w:type="dxa"/>
            </w:tcMar>
            <w:vAlign w:val="bottom"/>
          </w:tcPr>
          <w:p w14:paraId="05B8758F" w14:textId="5B66D2CB" w:rsidR="00FB4693" w:rsidRPr="00F63ACE" w:rsidRDefault="00ED4AC4" w:rsidP="004E36D3">
            <w:pPr>
              <w:pStyle w:val="TableText0"/>
              <w:jc w:val="center"/>
              <w:rPr>
                <w:highlight w:val="darkGray"/>
              </w:rPr>
            </w:pPr>
            <w:r w:rsidRPr="005265DE">
              <w:rPr>
                <w:rFonts w:hint="eastAsia"/>
                <w:color w:val="000000"/>
                <w:w w:val="15"/>
                <w:shd w:val="solid" w:color="000000" w:fill="000000"/>
                <w:fitText w:val="62" w:id="-628411132"/>
                <w14:textFill>
                  <w14:solidFill>
                    <w14:srgbClr w14:val="000000">
                      <w14:alpha w14:val="100000"/>
                    </w14:srgbClr>
                  </w14:solidFill>
                </w14:textFill>
              </w:rPr>
              <w:t xml:space="preserve">　</w:t>
            </w:r>
            <w:r w:rsidRPr="005265DE">
              <w:rPr>
                <w:color w:val="000000"/>
                <w:w w:val="15"/>
                <w:shd w:val="solid" w:color="000000" w:fill="000000"/>
                <w:fitText w:val="62" w:id="-628411132"/>
                <w14:textFill>
                  <w14:solidFill>
                    <w14:srgbClr w14:val="000000">
                      <w14:alpha w14:val="100000"/>
                    </w14:srgbClr>
                  </w14:solidFill>
                </w14:textFill>
              </w:rPr>
              <w:t>|</w:t>
            </w:r>
            <w:r w:rsidRPr="005265DE">
              <w:rPr>
                <w:rFonts w:hint="eastAsia"/>
                <w:color w:val="000000"/>
                <w:w w:val="15"/>
                <w:shd w:val="solid" w:color="000000" w:fill="000000"/>
                <w:fitText w:val="62" w:id="-628411132"/>
                <w14:textFill>
                  <w14:solidFill>
                    <w14:srgbClr w14:val="000000">
                      <w14:alpha w14:val="100000"/>
                    </w14:srgbClr>
                  </w14:solidFill>
                </w14:textFill>
              </w:rPr>
              <w:t xml:space="preserve">　</w:t>
            </w:r>
            <w:r w:rsidR="00663E18" w:rsidRPr="009C0DE4">
              <w:rPr>
                <w:vertAlign w:val="superscript"/>
              </w:rPr>
              <w:t>1</w:t>
            </w:r>
          </w:p>
        </w:tc>
        <w:tc>
          <w:tcPr>
            <w:tcW w:w="544" w:type="pct"/>
            <w:tcMar>
              <w:left w:w="20" w:type="dxa"/>
              <w:right w:w="20" w:type="dxa"/>
            </w:tcMar>
            <w:vAlign w:val="bottom"/>
          </w:tcPr>
          <w:p w14:paraId="10828FB2" w14:textId="2D6F4489" w:rsidR="00FB4693" w:rsidRPr="00886D8A" w:rsidRDefault="0011024A" w:rsidP="004E36D3">
            <w:pPr>
              <w:pStyle w:val="TableText0"/>
              <w:jc w:val="center"/>
            </w:pPr>
            <w:r>
              <w:noBreakHyphen/>
            </w:r>
            <w:r w:rsidR="00ED4AC4" w:rsidRPr="00896015">
              <w:rPr>
                <w:color w:val="000000"/>
                <w:spacing w:val="89"/>
                <w:shd w:val="solid" w:color="000000" w:fill="000000"/>
                <w:fitText w:val="175" w:id="-628411131"/>
                <w14:textFill>
                  <w14:solidFill>
                    <w14:srgbClr w14:val="000000">
                      <w14:alpha w14:val="100000"/>
                    </w14:srgbClr>
                  </w14:solidFill>
                </w14:textFill>
              </w:rPr>
              <w:t>|</w:t>
            </w:r>
            <w:r w:rsidR="00ED4AC4" w:rsidRPr="00896015">
              <w:rPr>
                <w:color w:val="000000"/>
                <w:shd w:val="solid" w:color="000000" w:fill="000000"/>
                <w:fitText w:val="175" w:id="-628411131"/>
                <w14:textFill>
                  <w14:solidFill>
                    <w14:srgbClr w14:val="000000">
                      <w14:alpha w14:val="100000"/>
                    </w14:srgbClr>
                  </w14:solidFill>
                </w14:textFill>
              </w:rPr>
              <w:t>|</w:t>
            </w:r>
            <w:r w:rsidR="00FB4693" w:rsidRPr="00886D8A">
              <w:t>%</w:t>
            </w:r>
          </w:p>
        </w:tc>
      </w:tr>
      <w:tr w:rsidR="00BF6316" w:rsidRPr="00886D8A" w14:paraId="4439C5BC" w14:textId="77777777" w:rsidTr="00ED4AC4">
        <w:tc>
          <w:tcPr>
            <w:tcW w:w="2659" w:type="pct"/>
            <w:tcMar>
              <w:left w:w="20" w:type="dxa"/>
              <w:right w:w="20" w:type="dxa"/>
            </w:tcMar>
          </w:tcPr>
          <w:p w14:paraId="1F172218" w14:textId="77777777" w:rsidR="00BF6316" w:rsidRPr="00886D8A" w:rsidRDefault="00BF6316" w:rsidP="004E36D3">
            <w:pPr>
              <w:pStyle w:val="TableText0"/>
            </w:pPr>
            <w:r w:rsidRPr="00886D8A">
              <w:t>Utility gain with velmanase alfa treatment (base case: include)</w:t>
            </w:r>
          </w:p>
          <w:p w14:paraId="7DE8CCDE" w14:textId="5583C2F7" w:rsidR="00BF6316" w:rsidRPr="00886D8A" w:rsidRDefault="00BF6316" w:rsidP="00CD7617">
            <w:pPr>
              <w:pStyle w:val="TableText0"/>
              <w:numPr>
                <w:ilvl w:val="0"/>
                <w:numId w:val="13"/>
              </w:numPr>
            </w:pPr>
            <w:r w:rsidRPr="00886D8A">
              <w:t>Exclude</w:t>
            </w:r>
          </w:p>
        </w:tc>
        <w:tc>
          <w:tcPr>
            <w:tcW w:w="599" w:type="pct"/>
            <w:shd w:val="solid" w:color="000000" w:fill="000000"/>
            <w:tcMar>
              <w:left w:w="20" w:type="dxa"/>
              <w:right w:w="20" w:type="dxa"/>
            </w:tcMar>
            <w:vAlign w:val="bottom"/>
          </w:tcPr>
          <w:p w14:paraId="670865B8" w14:textId="349CA60B" w:rsidR="00BF6316" w:rsidRPr="00BA28D1" w:rsidRDefault="00ED4AC4" w:rsidP="004E36D3">
            <w:pPr>
              <w:pStyle w:val="TableText0"/>
              <w:jc w:val="center"/>
              <w:rPr>
                <w:highlight w:val="darkGray"/>
              </w:rPr>
            </w:pPr>
            <w:r w:rsidRPr="001E6CE7">
              <w:rPr>
                <w:rFonts w:hint="eastAsia"/>
                <w:color w:val="000000"/>
                <w:w w:val="15"/>
                <w:fitText w:val="25" w:id="-628411130"/>
                <w14:textFill>
                  <w14:solidFill>
                    <w14:srgbClr w14:val="000000">
                      <w14:alpha w14:val="100000"/>
                    </w14:srgbClr>
                  </w14:solidFill>
                </w14:textFill>
              </w:rPr>
              <w:t xml:space="preserve">　</w:t>
            </w:r>
            <w:r w:rsidRPr="001E6CE7">
              <w:rPr>
                <w:color w:val="000000"/>
                <w:w w:val="15"/>
                <w:fitText w:val="25" w:id="-628411130"/>
                <w14:textFill>
                  <w14:solidFill>
                    <w14:srgbClr w14:val="000000">
                      <w14:alpha w14:val="100000"/>
                    </w14:srgbClr>
                  </w14:solidFill>
                </w14:textFill>
              </w:rPr>
              <w:t>|</w:t>
            </w:r>
            <w:r w:rsidRPr="001E6CE7">
              <w:rPr>
                <w:rFonts w:hint="eastAsia"/>
                <w:color w:val="000000"/>
                <w:spacing w:val="-41"/>
                <w:w w:val="15"/>
                <w:fitText w:val="25" w:id="-628411130"/>
                <w14:textFill>
                  <w14:solidFill>
                    <w14:srgbClr w14:val="000000">
                      <w14:alpha w14:val="100000"/>
                    </w14:srgbClr>
                  </w14:solidFill>
                </w14:textFill>
              </w:rPr>
              <w:t xml:space="preserve">　</w:t>
            </w:r>
          </w:p>
        </w:tc>
        <w:tc>
          <w:tcPr>
            <w:tcW w:w="599" w:type="pct"/>
            <w:tcMar>
              <w:left w:w="20" w:type="dxa"/>
              <w:right w:w="20" w:type="dxa"/>
            </w:tcMar>
            <w:vAlign w:val="bottom"/>
          </w:tcPr>
          <w:p w14:paraId="48333476" w14:textId="0ED1CA26" w:rsidR="00BF6316" w:rsidRPr="00886D8A" w:rsidRDefault="00BF6316" w:rsidP="004E36D3">
            <w:pPr>
              <w:pStyle w:val="TableText0"/>
              <w:jc w:val="center"/>
            </w:pPr>
            <w:r w:rsidRPr="00886D8A">
              <w:t>1.84</w:t>
            </w:r>
          </w:p>
        </w:tc>
        <w:tc>
          <w:tcPr>
            <w:tcW w:w="599" w:type="pct"/>
            <w:tcMar>
              <w:left w:w="20" w:type="dxa"/>
              <w:right w:w="20" w:type="dxa"/>
            </w:tcMar>
            <w:vAlign w:val="bottom"/>
          </w:tcPr>
          <w:p w14:paraId="6F706CEE" w14:textId="6C028F4D" w:rsidR="00BF6316" w:rsidRPr="00F63ACE" w:rsidRDefault="00ED4AC4" w:rsidP="004E36D3">
            <w:pPr>
              <w:pStyle w:val="TableText0"/>
              <w:jc w:val="center"/>
              <w:rPr>
                <w:highlight w:val="darkGray"/>
              </w:rPr>
            </w:pPr>
            <w:r w:rsidRPr="00896015">
              <w:rPr>
                <w:color w:val="000000"/>
                <w:spacing w:val="214"/>
                <w:shd w:val="solid" w:color="000000" w:fill="000000"/>
                <w:fitText w:val="300" w:id="-628411129"/>
                <w14:textFill>
                  <w14:solidFill>
                    <w14:srgbClr w14:val="000000">
                      <w14:alpha w14:val="100000"/>
                    </w14:srgbClr>
                  </w14:solidFill>
                </w14:textFill>
              </w:rPr>
              <w:t>|</w:t>
            </w:r>
            <w:r w:rsidRPr="00896015">
              <w:rPr>
                <w:color w:val="000000"/>
                <w:shd w:val="solid" w:color="000000" w:fill="000000"/>
                <w:fitText w:val="300" w:id="-628411129"/>
                <w14:textFill>
                  <w14:solidFill>
                    <w14:srgbClr w14:val="000000">
                      <w14:alpha w14:val="100000"/>
                    </w14:srgbClr>
                  </w14:solidFill>
                </w14:textFill>
              </w:rPr>
              <w:t>|</w:t>
            </w:r>
            <w:r w:rsidR="001A3C89" w:rsidRPr="001A3C89">
              <w:t xml:space="preserve"> </w:t>
            </w:r>
            <w:r w:rsidRPr="00896015">
              <w:rPr>
                <w:color w:val="000000"/>
                <w:spacing w:val="48"/>
                <w:shd w:val="solid" w:color="000000" w:fill="000000"/>
                <w:fitText w:val="225" w:id="-628411128"/>
                <w14:textFill>
                  <w14:solidFill>
                    <w14:srgbClr w14:val="000000">
                      <w14:alpha w14:val="100000"/>
                    </w14:srgbClr>
                  </w14:solidFill>
                </w14:textFill>
              </w:rPr>
              <w:t>||</w:t>
            </w:r>
            <w:r w:rsidRPr="00896015">
              <w:rPr>
                <w:color w:val="000000"/>
                <w:shd w:val="solid" w:color="000000" w:fill="000000"/>
                <w:fitText w:val="225" w:id="-628411128"/>
                <w14:textFill>
                  <w14:solidFill>
                    <w14:srgbClr w14:val="000000">
                      <w14:alpha w14:val="100000"/>
                    </w14:srgbClr>
                  </w14:solidFill>
                </w14:textFill>
              </w:rPr>
              <w:t>|</w:t>
            </w:r>
            <w:r w:rsidR="00B62206" w:rsidRPr="00B62206">
              <w:rPr>
                <w:vertAlign w:val="superscript"/>
              </w:rPr>
              <w:t>1</w:t>
            </w:r>
          </w:p>
        </w:tc>
        <w:tc>
          <w:tcPr>
            <w:tcW w:w="544" w:type="pct"/>
            <w:tcMar>
              <w:left w:w="20" w:type="dxa"/>
              <w:right w:w="20" w:type="dxa"/>
            </w:tcMar>
            <w:vAlign w:val="bottom"/>
          </w:tcPr>
          <w:p w14:paraId="470FCD0A" w14:textId="7255ECA2" w:rsidR="00BF6316" w:rsidRPr="00886D8A" w:rsidRDefault="00ED4AC4" w:rsidP="004E36D3">
            <w:pPr>
              <w:pStyle w:val="TableText0"/>
              <w:jc w:val="center"/>
            </w:pPr>
            <w:r w:rsidRPr="005265DE">
              <w:rPr>
                <w:rFonts w:hint="eastAsia"/>
                <w:color w:val="000000"/>
                <w:w w:val="33"/>
                <w:shd w:val="solid" w:color="000000" w:fill="000000"/>
                <w:fitText w:val="150" w:id="-628411127"/>
                <w14:textFill>
                  <w14:solidFill>
                    <w14:srgbClr w14:val="000000">
                      <w14:alpha w14:val="100000"/>
                    </w14:srgbClr>
                  </w14:solidFill>
                </w14:textFill>
              </w:rPr>
              <w:t xml:space="preserve">　</w:t>
            </w:r>
            <w:r w:rsidRPr="005265DE">
              <w:rPr>
                <w:color w:val="000000"/>
                <w:w w:val="33"/>
                <w:shd w:val="solid" w:color="000000" w:fill="000000"/>
                <w:fitText w:val="150" w:id="-628411127"/>
                <w14:textFill>
                  <w14:solidFill>
                    <w14:srgbClr w14:val="000000">
                      <w14:alpha w14:val="100000"/>
                    </w14:srgbClr>
                  </w14:solidFill>
                </w14:textFill>
              </w:rPr>
              <w:t>|</w:t>
            </w:r>
            <w:r w:rsidRPr="005265DE">
              <w:rPr>
                <w:rFonts w:hint="eastAsia"/>
                <w:color w:val="000000"/>
                <w:w w:val="33"/>
                <w:shd w:val="solid" w:color="000000" w:fill="000000"/>
                <w:fitText w:val="150" w:id="-628411127"/>
                <w14:textFill>
                  <w14:solidFill>
                    <w14:srgbClr w14:val="000000">
                      <w14:alpha w14:val="100000"/>
                    </w14:srgbClr>
                  </w14:solidFill>
                </w14:textFill>
              </w:rPr>
              <w:t xml:space="preserve">　</w:t>
            </w:r>
            <w:r w:rsidR="00BF6316" w:rsidRPr="00886D8A">
              <w:t>%</w:t>
            </w:r>
          </w:p>
        </w:tc>
      </w:tr>
      <w:tr w:rsidR="002128E2" w:rsidRPr="00886D8A" w14:paraId="4F359DC8" w14:textId="77777777" w:rsidTr="005269B4">
        <w:tc>
          <w:tcPr>
            <w:tcW w:w="2659" w:type="pct"/>
            <w:tcMar>
              <w:left w:w="20" w:type="dxa"/>
              <w:right w:w="20" w:type="dxa"/>
            </w:tcMar>
          </w:tcPr>
          <w:p w14:paraId="276A0D40" w14:textId="6FF776EC" w:rsidR="00105A5F" w:rsidRPr="00886D8A" w:rsidRDefault="00105A5F" w:rsidP="004E36D3">
            <w:pPr>
              <w:pStyle w:val="TableText0"/>
            </w:pPr>
            <w:r w:rsidRPr="00886D8A">
              <w:t xml:space="preserve">Utility value for Frequent walking aid/wheelchair health state (base case: </w:t>
            </w:r>
            <w:r w:rsidR="00E26C9C" w:rsidRPr="00886D8A">
              <w:t xml:space="preserve">the same as </w:t>
            </w:r>
            <w:r w:rsidRPr="00886D8A">
              <w:t xml:space="preserve">Occasional walking aid/wheelchair health state, i.e., 0.76 for velmanase alfa – on treatment and </w:t>
            </w:r>
            <w:r w:rsidR="00202695" w:rsidRPr="00886D8A">
              <w:t>0.58 for velmanase alfa)</w:t>
            </w:r>
          </w:p>
          <w:p w14:paraId="7F1894F1" w14:textId="6812D00C" w:rsidR="002128E2" w:rsidRPr="00886D8A" w:rsidRDefault="00105A5F" w:rsidP="00CD7617">
            <w:pPr>
              <w:pStyle w:val="TableText0"/>
              <w:numPr>
                <w:ilvl w:val="0"/>
                <w:numId w:val="13"/>
              </w:numPr>
            </w:pPr>
            <w:r w:rsidRPr="00886D8A">
              <w:t>Using a lower utility value of 0.66 for velmanase alfa – on treatment and 0.47 for velmanase alfa – off treatment and BSC</w:t>
            </w:r>
            <w:r w:rsidR="00BC36D3" w:rsidRPr="00886D8A">
              <w:rPr>
                <w:vertAlign w:val="superscript"/>
              </w:rPr>
              <w:t>a</w:t>
            </w:r>
          </w:p>
        </w:tc>
        <w:tc>
          <w:tcPr>
            <w:tcW w:w="599" w:type="pct"/>
            <w:tcMar>
              <w:left w:w="20" w:type="dxa"/>
              <w:right w:w="20" w:type="dxa"/>
            </w:tcMar>
            <w:vAlign w:val="bottom"/>
          </w:tcPr>
          <w:p w14:paraId="7A0D5470" w14:textId="66A7F1F4" w:rsidR="001A3C89" w:rsidRPr="001A3C89" w:rsidRDefault="00ED4AC4" w:rsidP="004E36D3">
            <w:pPr>
              <w:pStyle w:val="TableText0"/>
              <w:jc w:val="center"/>
            </w:pPr>
            <w:r w:rsidRPr="001E6CE7">
              <w:rPr>
                <w:rFonts w:hint="eastAsia"/>
                <w:color w:val="000000"/>
                <w:w w:val="15"/>
                <w:shd w:val="solid" w:color="000000" w:fill="000000"/>
                <w:fitText w:val="25" w:id="-628411126"/>
                <w14:textFill>
                  <w14:solidFill>
                    <w14:srgbClr w14:val="000000">
                      <w14:alpha w14:val="100000"/>
                    </w14:srgbClr>
                  </w14:solidFill>
                </w14:textFill>
              </w:rPr>
              <w:t xml:space="preserve">　</w:t>
            </w:r>
            <w:r w:rsidRPr="001E6CE7">
              <w:rPr>
                <w:color w:val="000000"/>
                <w:w w:val="15"/>
                <w:shd w:val="solid" w:color="000000" w:fill="000000"/>
                <w:fitText w:val="25" w:id="-628411126"/>
                <w14:textFill>
                  <w14:solidFill>
                    <w14:srgbClr w14:val="000000">
                      <w14:alpha w14:val="100000"/>
                    </w14:srgbClr>
                  </w14:solidFill>
                </w14:textFill>
              </w:rPr>
              <w:t>|</w:t>
            </w:r>
            <w:r w:rsidRPr="001E6CE7">
              <w:rPr>
                <w:rFonts w:hint="eastAsia"/>
                <w:color w:val="000000"/>
                <w:spacing w:val="-41"/>
                <w:w w:val="15"/>
                <w:shd w:val="solid" w:color="000000" w:fill="000000"/>
                <w:fitText w:val="25" w:id="-628411126"/>
                <w14:textFill>
                  <w14:solidFill>
                    <w14:srgbClr w14:val="000000">
                      <w14:alpha w14:val="100000"/>
                    </w14:srgbClr>
                  </w14:solidFill>
                </w14:textFill>
              </w:rPr>
              <w:t xml:space="preserve">　</w:t>
            </w:r>
          </w:p>
          <w:p w14:paraId="0B3CB4C7" w14:textId="77777777" w:rsidR="001A3C89" w:rsidRPr="001A3C89" w:rsidRDefault="001A3C89" w:rsidP="004E36D3">
            <w:pPr>
              <w:pStyle w:val="TableText0"/>
              <w:jc w:val="center"/>
            </w:pPr>
          </w:p>
          <w:p w14:paraId="6D16F109" w14:textId="77777777" w:rsidR="00202695" w:rsidRPr="00BA28D1" w:rsidRDefault="00202695" w:rsidP="004E36D3">
            <w:pPr>
              <w:pStyle w:val="TableText0"/>
              <w:jc w:val="center"/>
              <w:rPr>
                <w:highlight w:val="darkGray"/>
              </w:rPr>
            </w:pPr>
          </w:p>
        </w:tc>
        <w:tc>
          <w:tcPr>
            <w:tcW w:w="599" w:type="pct"/>
            <w:tcMar>
              <w:left w:w="20" w:type="dxa"/>
              <w:right w:w="20" w:type="dxa"/>
            </w:tcMar>
            <w:vAlign w:val="bottom"/>
          </w:tcPr>
          <w:p w14:paraId="2C2E5892" w14:textId="77777777" w:rsidR="00202695" w:rsidRPr="00886D8A" w:rsidRDefault="00202695" w:rsidP="004E36D3">
            <w:pPr>
              <w:pStyle w:val="TableText0"/>
              <w:jc w:val="center"/>
            </w:pPr>
            <w:r w:rsidRPr="00886D8A">
              <w:t>2.92</w:t>
            </w:r>
          </w:p>
          <w:p w14:paraId="58CE6C76" w14:textId="77777777" w:rsidR="002128E2" w:rsidRPr="00886D8A" w:rsidRDefault="002128E2" w:rsidP="004E36D3">
            <w:pPr>
              <w:pStyle w:val="TableText0"/>
              <w:jc w:val="center"/>
            </w:pPr>
          </w:p>
          <w:p w14:paraId="2429E07B" w14:textId="77777777" w:rsidR="00202695" w:rsidRPr="00886D8A" w:rsidRDefault="00202695" w:rsidP="004E36D3">
            <w:pPr>
              <w:pStyle w:val="TableText0"/>
              <w:jc w:val="center"/>
            </w:pPr>
          </w:p>
        </w:tc>
        <w:tc>
          <w:tcPr>
            <w:tcW w:w="599" w:type="pct"/>
            <w:tcMar>
              <w:left w:w="20" w:type="dxa"/>
              <w:right w:w="20" w:type="dxa"/>
            </w:tcMar>
            <w:vAlign w:val="bottom"/>
          </w:tcPr>
          <w:p w14:paraId="78B8E91C" w14:textId="456FE293" w:rsidR="001A3C89" w:rsidRPr="001A3C89" w:rsidRDefault="00ED4AC4" w:rsidP="004E36D3">
            <w:pPr>
              <w:pStyle w:val="TableText0"/>
              <w:jc w:val="center"/>
            </w:pPr>
            <w:r w:rsidRPr="005265DE">
              <w:rPr>
                <w:rFonts w:hint="eastAsia"/>
                <w:color w:val="000000"/>
                <w:w w:val="15"/>
                <w:shd w:val="solid" w:color="000000" w:fill="000000"/>
                <w:fitText w:val="62" w:id="-628411125"/>
                <w14:textFill>
                  <w14:solidFill>
                    <w14:srgbClr w14:val="000000">
                      <w14:alpha w14:val="100000"/>
                    </w14:srgbClr>
                  </w14:solidFill>
                </w14:textFill>
              </w:rPr>
              <w:t xml:space="preserve">　</w:t>
            </w:r>
            <w:r w:rsidRPr="005265DE">
              <w:rPr>
                <w:color w:val="000000"/>
                <w:w w:val="15"/>
                <w:shd w:val="solid" w:color="000000" w:fill="000000"/>
                <w:fitText w:val="62" w:id="-628411125"/>
                <w14:textFill>
                  <w14:solidFill>
                    <w14:srgbClr w14:val="000000">
                      <w14:alpha w14:val="100000"/>
                    </w14:srgbClr>
                  </w14:solidFill>
                </w14:textFill>
              </w:rPr>
              <w:t>|</w:t>
            </w:r>
            <w:r w:rsidRPr="005265DE">
              <w:rPr>
                <w:rFonts w:hint="eastAsia"/>
                <w:color w:val="000000"/>
                <w:w w:val="15"/>
                <w:shd w:val="solid" w:color="000000" w:fill="000000"/>
                <w:fitText w:val="62" w:id="-628411125"/>
                <w14:textFill>
                  <w14:solidFill>
                    <w14:srgbClr w14:val="000000">
                      <w14:alpha w14:val="100000"/>
                    </w14:srgbClr>
                  </w14:solidFill>
                </w14:textFill>
              </w:rPr>
              <w:t xml:space="preserve">　</w:t>
            </w:r>
            <w:r w:rsidR="00B62206" w:rsidRPr="00B62206">
              <w:rPr>
                <w:vertAlign w:val="superscript"/>
              </w:rPr>
              <w:t>1</w:t>
            </w:r>
          </w:p>
          <w:p w14:paraId="116CEFC8" w14:textId="77777777" w:rsidR="001A3C89" w:rsidRPr="001A3C89" w:rsidRDefault="001A3C89" w:rsidP="004E36D3">
            <w:pPr>
              <w:pStyle w:val="TableText0"/>
              <w:jc w:val="center"/>
            </w:pPr>
          </w:p>
          <w:p w14:paraId="75958C0C" w14:textId="77777777" w:rsidR="00202695" w:rsidRPr="00F63ACE" w:rsidRDefault="00202695" w:rsidP="004E36D3">
            <w:pPr>
              <w:pStyle w:val="TableText0"/>
              <w:rPr>
                <w:highlight w:val="darkGray"/>
              </w:rPr>
            </w:pPr>
          </w:p>
        </w:tc>
        <w:tc>
          <w:tcPr>
            <w:tcW w:w="544" w:type="pct"/>
            <w:tcMar>
              <w:left w:w="20" w:type="dxa"/>
              <w:right w:w="20" w:type="dxa"/>
            </w:tcMar>
            <w:vAlign w:val="bottom"/>
          </w:tcPr>
          <w:p w14:paraId="2619B2EC" w14:textId="1645BA12" w:rsidR="00202695" w:rsidRPr="00886D8A" w:rsidRDefault="0011024A" w:rsidP="004E36D3">
            <w:pPr>
              <w:pStyle w:val="TableText0"/>
              <w:jc w:val="center"/>
            </w:pPr>
            <w:r>
              <w:noBreakHyphen/>
            </w:r>
            <w:r w:rsidR="00ED4AC4" w:rsidRPr="00896015">
              <w:rPr>
                <w:color w:val="000000"/>
                <w:spacing w:val="89"/>
                <w:shd w:val="solid" w:color="000000" w:fill="000000"/>
                <w:fitText w:val="175" w:id="-628411124"/>
                <w14:textFill>
                  <w14:solidFill>
                    <w14:srgbClr w14:val="000000">
                      <w14:alpha w14:val="100000"/>
                    </w14:srgbClr>
                  </w14:solidFill>
                </w14:textFill>
              </w:rPr>
              <w:t>|</w:t>
            </w:r>
            <w:r w:rsidR="00ED4AC4" w:rsidRPr="00896015">
              <w:rPr>
                <w:color w:val="000000"/>
                <w:shd w:val="solid" w:color="000000" w:fill="000000"/>
                <w:fitText w:val="175" w:id="-628411124"/>
                <w14:textFill>
                  <w14:solidFill>
                    <w14:srgbClr w14:val="000000">
                      <w14:alpha w14:val="100000"/>
                    </w14:srgbClr>
                  </w14:solidFill>
                </w14:textFill>
              </w:rPr>
              <w:t>|</w:t>
            </w:r>
            <w:r w:rsidR="00202695" w:rsidRPr="00886D8A">
              <w:t>%</w:t>
            </w:r>
          </w:p>
          <w:p w14:paraId="275FF35E" w14:textId="77777777" w:rsidR="002128E2" w:rsidRPr="00886D8A" w:rsidRDefault="002128E2" w:rsidP="004E36D3">
            <w:pPr>
              <w:pStyle w:val="TableText0"/>
              <w:jc w:val="center"/>
            </w:pPr>
          </w:p>
          <w:p w14:paraId="052A9F80" w14:textId="77777777" w:rsidR="00202695" w:rsidRPr="00886D8A" w:rsidRDefault="00202695" w:rsidP="004E36D3">
            <w:pPr>
              <w:pStyle w:val="TableText0"/>
              <w:jc w:val="center"/>
            </w:pPr>
          </w:p>
        </w:tc>
      </w:tr>
    </w:tbl>
    <w:p w14:paraId="5DE024CA" w14:textId="4B10BAF2" w:rsidR="00FB4693" w:rsidRPr="00886D8A" w:rsidRDefault="00FB4693" w:rsidP="004E36D3">
      <w:pPr>
        <w:pStyle w:val="FooterTableFigure"/>
      </w:pPr>
      <w:r w:rsidRPr="00886D8A">
        <w:t>Source: Table 3.9</w:t>
      </w:r>
      <w:r w:rsidR="0011024A">
        <w:noBreakHyphen/>
      </w:r>
      <w:r w:rsidR="00901E85" w:rsidRPr="00886D8A">
        <w:t>2</w:t>
      </w:r>
      <w:r w:rsidRPr="00886D8A">
        <w:t>, p190 of the submission.</w:t>
      </w:r>
    </w:p>
    <w:p w14:paraId="7AF03D1C" w14:textId="61EEBE92" w:rsidR="00FB4693" w:rsidRPr="00886D8A" w:rsidRDefault="00202695" w:rsidP="004E36D3">
      <w:pPr>
        <w:pStyle w:val="FooterTableFigure"/>
        <w:rPr>
          <w:rFonts w:eastAsia="Calibri"/>
          <w:szCs w:val="20"/>
        </w:rPr>
      </w:pPr>
      <w:r w:rsidRPr="00886D8A">
        <w:t>BSC = be</w:t>
      </w:r>
      <w:r w:rsidR="00AB1637" w:rsidRPr="00886D8A">
        <w:t>s</w:t>
      </w:r>
      <w:r w:rsidRPr="00886D8A">
        <w:t xml:space="preserve">t supportive care; </w:t>
      </w:r>
      <w:r w:rsidR="00FB4693" w:rsidRPr="00886D8A">
        <w:t>HST = highly specialised technology; ICER = Incremental Cost</w:t>
      </w:r>
      <w:r w:rsidR="0011024A">
        <w:noBreakHyphen/>
      </w:r>
      <w:r w:rsidR="00FB4693" w:rsidRPr="00886D8A">
        <w:t>Effectiveness Ratio; MPS = mucopolysaccharidosis; NICE = National Institute of Care and Excellence; QALYs = Quality</w:t>
      </w:r>
      <w:r w:rsidR="0011024A">
        <w:noBreakHyphen/>
      </w:r>
      <w:r w:rsidR="00FB4693" w:rsidRPr="00886D8A">
        <w:t>Adjusted Life Year; SEEP = Structured Expert Elicitation Panel.</w:t>
      </w:r>
    </w:p>
    <w:p w14:paraId="3778DCF3" w14:textId="77777777" w:rsidR="00B62206" w:rsidRDefault="00BC36D3" w:rsidP="00B62206">
      <w:pPr>
        <w:pStyle w:val="FooterTableFigure"/>
      </w:pPr>
      <w:r w:rsidRPr="00886D8A">
        <w:rPr>
          <w:vertAlign w:val="superscript"/>
        </w:rPr>
        <w:t>a</w:t>
      </w:r>
      <w:r w:rsidR="00A47048" w:rsidRPr="00886D8A">
        <w:rPr>
          <w:vertAlign w:val="superscript"/>
        </w:rPr>
        <w:t xml:space="preserve"> </w:t>
      </w:r>
      <w:r w:rsidR="005175E9" w:rsidRPr="00886D8A">
        <w:t xml:space="preserve">The lower utility value of 0.66 and 0.58 for </w:t>
      </w:r>
      <w:r w:rsidR="00690079" w:rsidRPr="00886D8A">
        <w:t xml:space="preserve">Frequent walking aid/wheelchair health state was based on the Structured Expert Elicitation Panel conducted by the submission as presented in Table </w:t>
      </w:r>
      <w:r w:rsidR="00511FAE" w:rsidRPr="00886D8A">
        <w:t>3.5</w:t>
      </w:r>
      <w:r w:rsidR="0011024A">
        <w:noBreakHyphen/>
      </w:r>
      <w:r w:rsidR="00511FAE" w:rsidRPr="00886D8A">
        <w:t>3, p</w:t>
      </w:r>
      <w:r w:rsidR="004A0AA3" w:rsidRPr="00886D8A">
        <w:t>166 of the submission.</w:t>
      </w:r>
      <w:r w:rsidR="00B62206" w:rsidRPr="00B62206">
        <w:t xml:space="preserve"> </w:t>
      </w:r>
    </w:p>
    <w:p w14:paraId="668BF789" w14:textId="79280963" w:rsidR="00B62206" w:rsidRPr="00406D06" w:rsidRDefault="00B62206" w:rsidP="00B62206">
      <w:pPr>
        <w:pStyle w:val="FooterTableFigure"/>
        <w:rPr>
          <w:i/>
          <w:iCs/>
        </w:rPr>
      </w:pPr>
      <w:r w:rsidRPr="00406D06">
        <w:rPr>
          <w:i/>
          <w:iCs/>
        </w:rPr>
        <w:t>The redacted values correspond to the following ranges:</w:t>
      </w:r>
    </w:p>
    <w:p w14:paraId="52C628C8" w14:textId="77777777" w:rsidR="00A10769" w:rsidRPr="00406D06" w:rsidRDefault="00B62206" w:rsidP="00A10769">
      <w:pPr>
        <w:pStyle w:val="FooterTableFigure"/>
        <w:rPr>
          <w:i/>
          <w:iCs/>
        </w:rPr>
      </w:pPr>
      <w:r w:rsidRPr="00406D06">
        <w:rPr>
          <w:i/>
          <w:iCs/>
          <w:vertAlign w:val="superscript"/>
        </w:rPr>
        <w:t>1</w:t>
      </w:r>
      <w:r w:rsidRPr="00406D06">
        <w:rPr>
          <w:i/>
          <w:iCs/>
        </w:rPr>
        <w:t xml:space="preserve"> &gt; $1,055,000</w:t>
      </w:r>
    </w:p>
    <w:p w14:paraId="15708EA5" w14:textId="537AA2B6" w:rsidR="00A10769" w:rsidRPr="00406D06" w:rsidRDefault="00923D6A" w:rsidP="00A10769">
      <w:pPr>
        <w:pStyle w:val="FooterTableFigure"/>
        <w:rPr>
          <w:i/>
          <w:iCs/>
        </w:rPr>
      </w:pPr>
      <w:r w:rsidRPr="00406D06">
        <w:rPr>
          <w:i/>
          <w:iCs/>
          <w:vertAlign w:val="superscript"/>
        </w:rPr>
        <w:t>2</w:t>
      </w:r>
      <w:r w:rsidRPr="00406D06">
        <w:rPr>
          <w:i/>
          <w:iCs/>
        </w:rPr>
        <w:t xml:space="preserve"> $755,000 to &lt; $855,000</w:t>
      </w:r>
    </w:p>
    <w:p w14:paraId="203CC798" w14:textId="450A1CA9" w:rsidR="00202695" w:rsidRPr="00886D8A" w:rsidRDefault="009A251F" w:rsidP="00A10769">
      <w:pPr>
        <w:pStyle w:val="FooterTableFigure"/>
        <w:rPr>
          <w:rFonts w:eastAsia="Calibri"/>
          <w:szCs w:val="20"/>
        </w:rPr>
      </w:pPr>
      <w:r w:rsidRPr="009A251F">
        <w:rPr>
          <w:vertAlign w:val="superscript"/>
        </w:rPr>
        <w:t>3</w:t>
      </w:r>
      <w:r>
        <w:t xml:space="preserve"> </w:t>
      </w:r>
      <w:r w:rsidR="00A10769">
        <w:t>$955,000 to &lt; $1,055,000</w:t>
      </w:r>
    </w:p>
    <w:p w14:paraId="4603F019" w14:textId="6DB308AF" w:rsidR="00DA5C9A" w:rsidRPr="00886D8A" w:rsidRDefault="00BC36D3" w:rsidP="004E36D3">
      <w:pPr>
        <w:pStyle w:val="4-SubsectionHeading"/>
      </w:pPr>
      <w:bookmarkStart w:id="100" w:name="_Toc22897646"/>
      <w:bookmarkStart w:id="101" w:name="_Toc107927632"/>
      <w:bookmarkStart w:id="102" w:name="_Toc198645887"/>
      <w:r w:rsidRPr="00886D8A">
        <w:t>C</w:t>
      </w:r>
      <w:r w:rsidR="00DA5C9A" w:rsidRPr="00886D8A">
        <w:t>ost/patient/</w:t>
      </w:r>
      <w:r w:rsidR="00475BE1" w:rsidRPr="00886D8A">
        <w:t>year</w:t>
      </w:r>
      <w:bookmarkStart w:id="103" w:name="_Ref104805102"/>
      <w:bookmarkEnd w:id="100"/>
      <w:bookmarkEnd w:id="101"/>
      <w:bookmarkEnd w:id="102"/>
    </w:p>
    <w:p w14:paraId="035301B0" w14:textId="2A46CA34" w:rsidR="00002B60" w:rsidRPr="00886D8A" w:rsidRDefault="00A30ECE" w:rsidP="004E36D3">
      <w:pPr>
        <w:pStyle w:val="3-BodyText"/>
      </w:pPr>
      <w:r w:rsidRPr="00886D8A">
        <w:fldChar w:fldCharType="begin"/>
      </w:r>
      <w:r w:rsidRPr="00886D8A">
        <w:instrText xml:space="preserve"> REF _Ref198554454 \h </w:instrText>
      </w:r>
      <w:r w:rsidR="00110521" w:rsidRPr="00886D8A">
        <w:instrText xml:space="preserve"> \* MERGEFORMAT </w:instrText>
      </w:r>
      <w:r w:rsidRPr="00886D8A">
        <w:fldChar w:fldCharType="separate"/>
      </w:r>
      <w:r w:rsidR="00B73A9E" w:rsidRPr="00886D8A">
        <w:t xml:space="preserve">Table </w:t>
      </w:r>
      <w:r w:rsidR="00B73A9E">
        <w:t>17</w:t>
      </w:r>
      <w:r w:rsidRPr="00886D8A">
        <w:fldChar w:fldCharType="end"/>
      </w:r>
      <w:r w:rsidR="00831C91" w:rsidRPr="00886D8A">
        <w:t xml:space="preserve"> summarises the cost per patient per year</w:t>
      </w:r>
      <w:r w:rsidRPr="00886D8A">
        <w:t xml:space="preserve"> with velmanase alfa.</w:t>
      </w:r>
    </w:p>
    <w:p w14:paraId="529F0C81" w14:textId="38F1DC39" w:rsidR="00002EA8" w:rsidRPr="00886D8A" w:rsidRDefault="16AFF1E4" w:rsidP="004E36D3">
      <w:pPr>
        <w:pStyle w:val="Caption"/>
      </w:pPr>
      <w:bookmarkStart w:id="104" w:name="_Ref198554454"/>
      <w:r w:rsidRPr="00886D8A">
        <w:t xml:space="preserve">Table </w:t>
      </w:r>
      <w:r>
        <w:fldChar w:fldCharType="begin"/>
      </w:r>
      <w:r>
        <w:instrText>SEQ Table \* ARABIC</w:instrText>
      </w:r>
      <w:r>
        <w:fldChar w:fldCharType="separate"/>
      </w:r>
      <w:r w:rsidR="00B73A9E">
        <w:rPr>
          <w:noProof/>
        </w:rPr>
        <w:t>17</w:t>
      </w:r>
      <w:r>
        <w:fldChar w:fldCharType="end"/>
      </w:r>
      <w:bookmarkEnd w:id="104"/>
      <w:r w:rsidRPr="00886D8A">
        <w:t xml:space="preserve">: </w:t>
      </w:r>
      <w:r w:rsidR="00BC36D3" w:rsidRPr="00886D8A">
        <w:t>C</w:t>
      </w:r>
      <w:r w:rsidRPr="00886D8A">
        <w:t>ost per patient per year</w:t>
      </w:r>
    </w:p>
    <w:tbl>
      <w:tblPr>
        <w:tblStyle w:val="TableGrid"/>
        <w:tblW w:w="0" w:type="auto"/>
        <w:tblLook w:val="04A0" w:firstRow="1" w:lastRow="0" w:firstColumn="1" w:lastColumn="0" w:noHBand="0" w:noVBand="1"/>
        <w:tblCaption w:val="Table 17: Cost per patient per year"/>
      </w:tblPr>
      <w:tblGrid>
        <w:gridCol w:w="1630"/>
        <w:gridCol w:w="2193"/>
        <w:gridCol w:w="2731"/>
        <w:gridCol w:w="2462"/>
      </w:tblGrid>
      <w:tr w:rsidR="00790F0F" w:rsidRPr="00886D8A" w14:paraId="577E4B47" w14:textId="77777777" w:rsidTr="00302E99">
        <w:tc>
          <w:tcPr>
            <w:tcW w:w="1630" w:type="dxa"/>
          </w:tcPr>
          <w:p w14:paraId="0B83E19E" w14:textId="77777777" w:rsidR="00790F0F" w:rsidRPr="00886D8A" w:rsidRDefault="00790F0F" w:rsidP="004E36D3">
            <w:pPr>
              <w:keepNext/>
              <w:rPr>
                <w:rFonts w:ascii="Arial Narrow" w:eastAsiaTheme="majorEastAsia" w:hAnsi="Arial Narrow" w:cstheme="majorBidi"/>
                <w:sz w:val="20"/>
              </w:rPr>
            </w:pPr>
          </w:p>
        </w:tc>
        <w:tc>
          <w:tcPr>
            <w:tcW w:w="2193" w:type="dxa"/>
          </w:tcPr>
          <w:p w14:paraId="5D7315DB" w14:textId="77777777" w:rsidR="00790F0F" w:rsidRPr="00886D8A" w:rsidRDefault="00790F0F" w:rsidP="004E36D3">
            <w:pPr>
              <w:keepNext/>
              <w:rPr>
                <w:rFonts w:ascii="Arial Narrow" w:eastAsiaTheme="majorEastAsia" w:hAnsi="Arial Narrow" w:cstheme="majorBidi"/>
                <w:b/>
                <w:sz w:val="20"/>
              </w:rPr>
            </w:pPr>
            <w:r w:rsidRPr="00886D8A">
              <w:rPr>
                <w:rFonts w:ascii="Arial Narrow" w:eastAsiaTheme="majorEastAsia" w:hAnsi="Arial Narrow" w:cstheme="majorBidi"/>
                <w:b/>
                <w:sz w:val="20"/>
              </w:rPr>
              <w:t>Trial dose and duration</w:t>
            </w:r>
          </w:p>
        </w:tc>
        <w:tc>
          <w:tcPr>
            <w:tcW w:w="2731" w:type="dxa"/>
          </w:tcPr>
          <w:p w14:paraId="231A59E3" w14:textId="77777777" w:rsidR="00790F0F" w:rsidRPr="00886D8A" w:rsidRDefault="00790F0F" w:rsidP="004E36D3">
            <w:pPr>
              <w:keepNext/>
              <w:rPr>
                <w:rFonts w:ascii="Arial Narrow" w:eastAsiaTheme="majorEastAsia" w:hAnsi="Arial Narrow" w:cstheme="majorBidi"/>
                <w:b/>
                <w:sz w:val="20"/>
              </w:rPr>
            </w:pPr>
            <w:r w:rsidRPr="00886D8A">
              <w:rPr>
                <w:rFonts w:ascii="Arial Narrow" w:eastAsiaTheme="majorEastAsia" w:hAnsi="Arial Narrow" w:cstheme="majorBidi"/>
                <w:b/>
                <w:sz w:val="20"/>
              </w:rPr>
              <w:t>Model</w:t>
            </w:r>
          </w:p>
        </w:tc>
        <w:tc>
          <w:tcPr>
            <w:tcW w:w="2462" w:type="dxa"/>
          </w:tcPr>
          <w:p w14:paraId="44F71F73" w14:textId="6AED5310" w:rsidR="00790F0F" w:rsidRPr="00886D8A" w:rsidRDefault="00790F0F" w:rsidP="004E36D3">
            <w:pPr>
              <w:keepNext/>
              <w:rPr>
                <w:rFonts w:ascii="Arial Narrow" w:eastAsiaTheme="majorEastAsia" w:hAnsi="Arial Narrow" w:cstheme="majorBidi"/>
                <w:b/>
                <w:sz w:val="20"/>
              </w:rPr>
            </w:pPr>
            <w:r w:rsidRPr="00886D8A">
              <w:rPr>
                <w:rFonts w:ascii="Arial Narrow" w:eastAsiaTheme="majorEastAsia" w:hAnsi="Arial Narrow" w:cstheme="majorBidi"/>
                <w:b/>
                <w:sz w:val="20"/>
              </w:rPr>
              <w:t>Financial estimates</w:t>
            </w:r>
          </w:p>
        </w:tc>
      </w:tr>
      <w:tr w:rsidR="00790F0F" w:rsidRPr="00886D8A" w14:paraId="680AA297" w14:textId="77777777" w:rsidTr="002F3E7A">
        <w:tc>
          <w:tcPr>
            <w:tcW w:w="1630" w:type="dxa"/>
          </w:tcPr>
          <w:p w14:paraId="231ACE18" w14:textId="77777777"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Mean dose</w:t>
            </w:r>
          </w:p>
        </w:tc>
        <w:tc>
          <w:tcPr>
            <w:tcW w:w="7386" w:type="dxa"/>
            <w:gridSpan w:val="3"/>
          </w:tcPr>
          <w:p w14:paraId="56612664" w14:textId="77777777"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Velmanase alfa 1 mg/kg of body weight administered once a week by IV infusion plus BSC</w:t>
            </w:r>
          </w:p>
        </w:tc>
      </w:tr>
      <w:tr w:rsidR="00790F0F" w:rsidRPr="00886D8A" w14:paraId="7BB29A6A" w14:textId="77777777" w:rsidTr="00302E99">
        <w:tc>
          <w:tcPr>
            <w:tcW w:w="1630" w:type="dxa"/>
          </w:tcPr>
          <w:p w14:paraId="7B0C7A01" w14:textId="77777777" w:rsidR="00790F0F" w:rsidRPr="00886D8A" w:rsidRDefault="00790F0F" w:rsidP="004E36D3">
            <w:pPr>
              <w:keepNext/>
              <w:jc w:val="left"/>
              <w:rPr>
                <w:rFonts w:ascii="Arial Narrow" w:eastAsiaTheme="majorEastAsia" w:hAnsi="Arial Narrow" w:cstheme="majorBidi"/>
                <w:sz w:val="20"/>
              </w:rPr>
            </w:pPr>
            <w:r w:rsidRPr="00886D8A">
              <w:rPr>
                <w:rFonts w:ascii="Arial Narrow" w:eastAsiaTheme="majorEastAsia" w:hAnsi="Arial Narrow" w:cstheme="majorBidi"/>
                <w:sz w:val="20"/>
              </w:rPr>
              <w:t>Mean weight at baseline/entry</w:t>
            </w:r>
          </w:p>
        </w:tc>
        <w:tc>
          <w:tcPr>
            <w:tcW w:w="2193" w:type="dxa"/>
          </w:tcPr>
          <w:p w14:paraId="28B181EF" w14:textId="60F50D7F" w:rsidR="00790F0F" w:rsidRPr="00886D8A" w:rsidRDefault="00790F0F" w:rsidP="004E36D3">
            <w:pPr>
              <w:keepNext/>
              <w:rPr>
                <w:rFonts w:ascii="Arial Narrow" w:eastAsiaTheme="majorEastAsia" w:hAnsi="Arial Narrow" w:cstheme="majorBidi"/>
                <w:sz w:val="20"/>
                <w:vertAlign w:val="superscript"/>
              </w:rPr>
            </w:pPr>
            <w:r w:rsidRPr="00886D8A">
              <w:rPr>
                <w:rFonts w:ascii="Arial Narrow" w:eastAsiaTheme="majorEastAsia" w:hAnsi="Arial Narrow" w:cstheme="majorBidi"/>
                <w:sz w:val="20"/>
              </w:rPr>
              <w:t>60.2 kg</w:t>
            </w:r>
            <w:r w:rsidR="005954BD" w:rsidRPr="00886D8A">
              <w:rPr>
                <w:rFonts w:ascii="Arial Narrow" w:eastAsiaTheme="majorEastAsia" w:hAnsi="Arial Narrow" w:cstheme="majorBidi"/>
                <w:sz w:val="20"/>
                <w:vertAlign w:val="superscript"/>
              </w:rPr>
              <w:t>a</w:t>
            </w:r>
          </w:p>
        </w:tc>
        <w:tc>
          <w:tcPr>
            <w:tcW w:w="2731" w:type="dxa"/>
          </w:tcPr>
          <w:p w14:paraId="3CD2742F" w14:textId="6E746879"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 xml:space="preserve">Paediatrics: </w:t>
            </w:r>
            <w:r w:rsidR="001C1D2C" w:rsidRPr="00886D8A">
              <w:rPr>
                <w:rFonts w:ascii="Arial Narrow" w:eastAsiaTheme="majorEastAsia" w:hAnsi="Arial Narrow" w:cstheme="majorBidi"/>
                <w:sz w:val="20"/>
              </w:rPr>
              <w:t>24</w:t>
            </w:r>
            <w:r w:rsidR="00302E99" w:rsidRPr="00886D8A">
              <w:rPr>
                <w:rFonts w:ascii="Arial Narrow" w:eastAsiaTheme="majorEastAsia" w:hAnsi="Arial Narrow" w:cstheme="majorBidi"/>
                <w:sz w:val="20"/>
              </w:rPr>
              <w:t xml:space="preserve"> </w:t>
            </w:r>
            <w:r w:rsidR="0011024A">
              <w:rPr>
                <w:rFonts w:ascii="Arial Narrow" w:eastAsiaTheme="majorEastAsia" w:hAnsi="Arial Narrow" w:cstheme="majorBidi"/>
                <w:sz w:val="20"/>
              </w:rPr>
              <w:noBreakHyphen/>
            </w:r>
            <w:r w:rsidR="00302E99" w:rsidRPr="00886D8A">
              <w:rPr>
                <w:rFonts w:ascii="Arial Narrow" w:eastAsiaTheme="majorEastAsia" w:hAnsi="Arial Narrow" w:cstheme="majorBidi"/>
                <w:sz w:val="20"/>
              </w:rPr>
              <w:t xml:space="preserve"> </w:t>
            </w:r>
            <w:r w:rsidR="001C1D2C" w:rsidRPr="00886D8A">
              <w:rPr>
                <w:rFonts w:ascii="Arial Narrow" w:eastAsiaTheme="majorEastAsia" w:hAnsi="Arial Narrow" w:cstheme="majorBidi"/>
                <w:sz w:val="20"/>
              </w:rPr>
              <w:t>73</w:t>
            </w:r>
            <w:r w:rsidRPr="00886D8A">
              <w:rPr>
                <w:rFonts w:ascii="Arial Narrow" w:eastAsiaTheme="majorEastAsia" w:hAnsi="Arial Narrow" w:cstheme="majorBidi"/>
                <w:sz w:val="20"/>
              </w:rPr>
              <w:t xml:space="preserve"> kg</w:t>
            </w:r>
          </w:p>
          <w:p w14:paraId="70BFF80D" w14:textId="742C8657"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 xml:space="preserve">Adults: </w:t>
            </w:r>
            <w:r w:rsidR="001C1D2C" w:rsidRPr="00886D8A">
              <w:rPr>
                <w:rFonts w:ascii="Arial Narrow" w:eastAsiaTheme="majorEastAsia" w:hAnsi="Arial Narrow" w:cstheme="majorBidi"/>
                <w:sz w:val="20"/>
              </w:rPr>
              <w:t>7</w:t>
            </w:r>
            <w:r w:rsidR="00D36DE6" w:rsidRPr="00886D8A">
              <w:rPr>
                <w:rFonts w:ascii="Arial Narrow" w:eastAsiaTheme="majorEastAsia" w:hAnsi="Arial Narrow" w:cstheme="majorBidi"/>
                <w:sz w:val="20"/>
              </w:rPr>
              <w:t>0.9</w:t>
            </w:r>
            <w:r w:rsidRPr="00886D8A">
              <w:rPr>
                <w:rFonts w:ascii="Arial Narrow" w:eastAsiaTheme="majorEastAsia" w:hAnsi="Arial Narrow" w:cstheme="majorBidi"/>
                <w:sz w:val="20"/>
              </w:rPr>
              <w:t xml:space="preserve"> kg</w:t>
            </w:r>
          </w:p>
        </w:tc>
        <w:tc>
          <w:tcPr>
            <w:tcW w:w="2462" w:type="dxa"/>
          </w:tcPr>
          <w:p w14:paraId="0F9C07C8" w14:textId="5948B58E"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Paediatrics: 47.4 kg</w:t>
            </w:r>
          </w:p>
          <w:p w14:paraId="6FE33D46" w14:textId="6B2AB435" w:rsidR="00790F0F" w:rsidRPr="00886D8A" w:rsidRDefault="00790F0F" w:rsidP="004E36D3">
            <w:pPr>
              <w:keepNext/>
              <w:rPr>
                <w:rFonts w:ascii="Arial Narrow" w:eastAsiaTheme="majorEastAsia" w:hAnsi="Arial Narrow" w:cstheme="majorBidi"/>
                <w:sz w:val="20"/>
              </w:rPr>
            </w:pPr>
            <w:r w:rsidRPr="00886D8A">
              <w:rPr>
                <w:rFonts w:ascii="Arial Narrow" w:eastAsiaTheme="majorEastAsia" w:hAnsi="Arial Narrow" w:cstheme="majorBidi"/>
                <w:sz w:val="20"/>
              </w:rPr>
              <w:t>Adults: 7</w:t>
            </w:r>
            <w:r w:rsidR="00D36DE6" w:rsidRPr="00886D8A">
              <w:rPr>
                <w:rFonts w:ascii="Arial Narrow" w:eastAsiaTheme="majorEastAsia" w:hAnsi="Arial Narrow" w:cstheme="majorBidi"/>
                <w:sz w:val="20"/>
              </w:rPr>
              <w:t>0.9</w:t>
            </w:r>
            <w:r w:rsidRPr="00886D8A">
              <w:rPr>
                <w:rFonts w:ascii="Arial Narrow" w:eastAsiaTheme="majorEastAsia" w:hAnsi="Arial Narrow" w:cstheme="majorBidi"/>
                <w:sz w:val="20"/>
              </w:rPr>
              <w:t xml:space="preserve"> kg</w:t>
            </w:r>
          </w:p>
        </w:tc>
      </w:tr>
      <w:tr w:rsidR="00790F0F" w:rsidRPr="00886D8A" w14:paraId="0DF0A315" w14:textId="77777777" w:rsidTr="00302E99">
        <w:tc>
          <w:tcPr>
            <w:tcW w:w="1630" w:type="dxa"/>
          </w:tcPr>
          <w:p w14:paraId="3A3D6C42" w14:textId="77777777" w:rsidR="00790F0F" w:rsidRPr="00886D8A" w:rsidRDefault="00790F0F" w:rsidP="004E36D3">
            <w:pPr>
              <w:keepNext/>
              <w:jc w:val="left"/>
              <w:rPr>
                <w:rFonts w:ascii="Arial Narrow" w:eastAsiaTheme="majorEastAsia" w:hAnsi="Arial Narrow" w:cstheme="majorBidi"/>
                <w:sz w:val="20"/>
              </w:rPr>
            </w:pPr>
            <w:r w:rsidRPr="00886D8A">
              <w:rPr>
                <w:rFonts w:ascii="Arial Narrow" w:eastAsiaTheme="majorEastAsia" w:hAnsi="Arial Narrow" w:cstheme="majorBidi"/>
                <w:sz w:val="20"/>
              </w:rPr>
              <w:t>Cost/patient/year</w:t>
            </w:r>
          </w:p>
        </w:tc>
        <w:tc>
          <w:tcPr>
            <w:tcW w:w="2193" w:type="dxa"/>
          </w:tcPr>
          <w:p w14:paraId="616EFF22" w14:textId="539498C0" w:rsidR="00790F0F" w:rsidRPr="00886D8A" w:rsidRDefault="00790F0F" w:rsidP="004E36D3">
            <w:pPr>
              <w:keepNext/>
              <w:rPr>
                <w:rFonts w:ascii="Arial Narrow" w:eastAsiaTheme="majorEastAsia" w:hAnsi="Arial Narrow" w:cstheme="majorBidi"/>
                <w:sz w:val="20"/>
                <w:vertAlign w:val="superscript"/>
              </w:rPr>
            </w:pPr>
            <w:r w:rsidRPr="00886D8A">
              <w:rPr>
                <w:rFonts w:ascii="Arial Narrow" w:eastAsiaTheme="majorEastAsia" w:hAnsi="Arial Narrow" w:cstheme="majorBidi"/>
                <w:sz w:val="20"/>
              </w:rPr>
              <w:t>$</w:t>
            </w:r>
            <w:r w:rsidR="00ED4AC4" w:rsidRPr="00896015">
              <w:rPr>
                <w:rFonts w:ascii="Arial Narrow" w:eastAsiaTheme="majorEastAsia" w:hAnsi="Arial Narrow" w:cstheme="majorBidi"/>
                <w:color w:val="000000"/>
                <w:spacing w:val="11"/>
                <w:w w:val="95"/>
                <w:sz w:val="20"/>
                <w:shd w:val="solid" w:color="000000" w:fill="000000"/>
                <w:fitText w:val="305" w:id="-628411123"/>
                <w14:textFill>
                  <w14:solidFill>
                    <w14:srgbClr w14:val="000000">
                      <w14:alpha w14:val="100000"/>
                    </w14:srgbClr>
                  </w14:solidFill>
                </w14:textFill>
              </w:rPr>
              <w:t>||  |</w:t>
            </w:r>
            <w:r w:rsidR="00ED4AC4" w:rsidRPr="00896015">
              <w:rPr>
                <w:rFonts w:ascii="Arial Narrow" w:eastAsiaTheme="majorEastAsia" w:hAnsi="Arial Narrow" w:cstheme="majorBidi"/>
                <w:color w:val="000000"/>
                <w:w w:val="95"/>
                <w:sz w:val="20"/>
                <w:shd w:val="solid" w:color="000000" w:fill="000000"/>
                <w:fitText w:val="305" w:id="-628411123"/>
                <w14:textFill>
                  <w14:solidFill>
                    <w14:srgbClr w14:val="000000">
                      <w14:alpha w14:val="100000"/>
                    </w14:srgbClr>
                  </w14:solidFill>
                </w14:textFill>
              </w:rPr>
              <w:t>|</w:t>
            </w:r>
            <w:r w:rsidR="009D696F" w:rsidRPr="00886D8A">
              <w:rPr>
                <w:rFonts w:ascii="Arial Narrow" w:eastAsiaTheme="majorEastAsia" w:hAnsi="Arial Narrow" w:cstheme="majorBidi"/>
                <w:sz w:val="20"/>
                <w:vertAlign w:val="superscript"/>
              </w:rPr>
              <w:t>b</w:t>
            </w:r>
          </w:p>
        </w:tc>
        <w:tc>
          <w:tcPr>
            <w:tcW w:w="2731" w:type="dxa"/>
          </w:tcPr>
          <w:p w14:paraId="05E290E7" w14:textId="2889DC55" w:rsidR="00442800" w:rsidRPr="00886D8A" w:rsidRDefault="009E2830" w:rsidP="004E36D3">
            <w:pPr>
              <w:keepNext/>
              <w:jc w:val="left"/>
              <w:rPr>
                <w:rFonts w:ascii="Arial Narrow" w:eastAsiaTheme="majorEastAsia" w:hAnsi="Arial Narrow" w:cstheme="majorBidi"/>
                <w:bCs/>
                <w:sz w:val="20"/>
              </w:rPr>
            </w:pPr>
            <w:r w:rsidRPr="00886D8A">
              <w:rPr>
                <w:rFonts w:ascii="Arial Narrow" w:eastAsiaTheme="majorEastAsia" w:hAnsi="Arial Narrow" w:cstheme="majorBidi"/>
                <w:bCs/>
                <w:sz w:val="20"/>
              </w:rPr>
              <w:t xml:space="preserve">Paediatrics: </w:t>
            </w:r>
            <w:r w:rsidR="00442800" w:rsidRPr="00886D8A">
              <w:rPr>
                <w:rFonts w:ascii="Arial Narrow" w:eastAsiaTheme="majorEastAsia" w:hAnsi="Arial Narrow" w:cstheme="majorBidi"/>
                <w:bCs/>
                <w:sz w:val="20"/>
              </w:rPr>
              <w:t>$</w:t>
            </w:r>
            <w:r w:rsidR="00ED4AC4" w:rsidRPr="00896015">
              <w:rPr>
                <w:rFonts w:ascii="Arial Narrow" w:eastAsiaTheme="majorEastAsia" w:hAnsi="Arial Narrow" w:cstheme="majorBidi"/>
                <w:color w:val="000000"/>
                <w:spacing w:val="51"/>
                <w:sz w:val="20"/>
                <w:shd w:val="solid" w:color="000000" w:fill="000000"/>
                <w:fitText w:val="325" w:id="-628411122"/>
                <w14:textFill>
                  <w14:solidFill>
                    <w14:srgbClr w14:val="000000">
                      <w14:alpha w14:val="100000"/>
                    </w14:srgbClr>
                  </w14:solidFill>
                </w14:textFill>
              </w:rPr>
              <w:t>|||</w:t>
            </w:r>
            <w:r w:rsidR="00ED4AC4" w:rsidRPr="00896015">
              <w:rPr>
                <w:rFonts w:ascii="Arial Narrow" w:eastAsiaTheme="majorEastAsia" w:hAnsi="Arial Narrow" w:cstheme="majorBidi"/>
                <w:color w:val="000000"/>
                <w:sz w:val="20"/>
                <w:shd w:val="solid" w:color="000000" w:fill="000000"/>
                <w:fitText w:val="325" w:id="-628411122"/>
                <w14:textFill>
                  <w14:solidFill>
                    <w14:srgbClr w14:val="000000">
                      <w14:alpha w14:val="100000"/>
                    </w14:srgbClr>
                  </w14:solidFill>
                </w14:textFill>
              </w:rPr>
              <w:t>|</w:t>
            </w:r>
            <w:r w:rsidR="00442800" w:rsidRPr="00886D8A">
              <w:rPr>
                <w:rFonts w:ascii="Arial Narrow" w:eastAsiaTheme="majorEastAsia" w:hAnsi="Arial Narrow" w:cstheme="majorBidi"/>
                <w:bCs/>
                <w:sz w:val="20"/>
              </w:rPr>
              <w:t xml:space="preserve"> </w:t>
            </w:r>
            <w:r w:rsidR="0011024A">
              <w:rPr>
                <w:rFonts w:ascii="Arial Narrow" w:eastAsiaTheme="majorEastAsia" w:hAnsi="Arial Narrow" w:cstheme="majorBidi"/>
                <w:bCs/>
                <w:sz w:val="20"/>
              </w:rPr>
              <w:noBreakHyphen/>
            </w:r>
            <w:r w:rsidR="00302E99" w:rsidRPr="00886D8A">
              <w:rPr>
                <w:rFonts w:ascii="Arial Narrow" w:eastAsiaTheme="majorEastAsia" w:hAnsi="Arial Narrow" w:cstheme="majorBidi"/>
                <w:bCs/>
                <w:sz w:val="20"/>
              </w:rPr>
              <w:t xml:space="preserve"> </w:t>
            </w:r>
            <w:r w:rsidR="00442800" w:rsidRPr="00886D8A">
              <w:rPr>
                <w:rFonts w:ascii="Arial Narrow" w:eastAsiaTheme="majorEastAsia" w:hAnsi="Arial Narrow" w:cstheme="majorBidi"/>
                <w:bCs/>
                <w:sz w:val="20"/>
              </w:rPr>
              <w:t>$</w:t>
            </w:r>
            <w:r w:rsidR="00ED4AC4" w:rsidRPr="00896015">
              <w:rPr>
                <w:rFonts w:ascii="Arial Narrow" w:eastAsiaTheme="majorEastAsia" w:hAnsi="Arial Narrow" w:cstheme="majorBidi"/>
                <w:color w:val="000000"/>
                <w:spacing w:val="51"/>
                <w:sz w:val="20"/>
                <w:shd w:val="solid" w:color="000000" w:fill="000000"/>
                <w:fitText w:val="326" w:id="-628411121"/>
                <w14:textFill>
                  <w14:solidFill>
                    <w14:srgbClr w14:val="000000">
                      <w14:alpha w14:val="100000"/>
                    </w14:srgbClr>
                  </w14:solidFill>
                </w14:textFill>
              </w:rPr>
              <w:t>|||</w:t>
            </w:r>
            <w:r w:rsidR="00ED4AC4" w:rsidRPr="00896015">
              <w:rPr>
                <w:rFonts w:ascii="Arial Narrow" w:eastAsiaTheme="majorEastAsia" w:hAnsi="Arial Narrow" w:cstheme="majorBidi"/>
                <w:color w:val="000000"/>
                <w:spacing w:val="1"/>
                <w:sz w:val="20"/>
                <w:shd w:val="solid" w:color="000000" w:fill="000000"/>
                <w:fitText w:val="326" w:id="-628411121"/>
                <w14:textFill>
                  <w14:solidFill>
                    <w14:srgbClr w14:val="000000">
                      <w14:alpha w14:val="100000"/>
                    </w14:srgbClr>
                  </w14:solidFill>
                </w14:textFill>
              </w:rPr>
              <w:t>|</w:t>
            </w:r>
          </w:p>
          <w:p w14:paraId="7A3EAF6A" w14:textId="3981892B" w:rsidR="009E2830" w:rsidRPr="00886D8A" w:rsidRDefault="009E2830" w:rsidP="004E36D3">
            <w:pPr>
              <w:keepNext/>
              <w:jc w:val="left"/>
              <w:rPr>
                <w:rFonts w:ascii="Arial Narrow" w:eastAsiaTheme="majorEastAsia" w:hAnsi="Arial Narrow" w:cstheme="majorBidi"/>
                <w:sz w:val="20"/>
              </w:rPr>
            </w:pPr>
            <w:r w:rsidRPr="00886D8A">
              <w:rPr>
                <w:rFonts w:ascii="Arial Narrow" w:eastAsiaTheme="majorEastAsia" w:hAnsi="Arial Narrow" w:cstheme="majorBidi"/>
                <w:bCs/>
                <w:sz w:val="20"/>
              </w:rPr>
              <w:t xml:space="preserve">Adults: </w:t>
            </w:r>
            <w:r w:rsidR="0083466C" w:rsidRPr="00886D8A">
              <w:rPr>
                <w:rFonts w:ascii="Arial Narrow" w:eastAsiaTheme="majorEastAsia" w:hAnsi="Arial Narrow" w:cstheme="majorBidi"/>
                <w:sz w:val="20"/>
              </w:rPr>
              <w:t>$</w:t>
            </w:r>
            <w:r w:rsidR="00ED4AC4" w:rsidRPr="00896015">
              <w:rPr>
                <w:rFonts w:ascii="Arial Narrow" w:eastAsiaTheme="majorEastAsia" w:hAnsi="Arial Narrow" w:cstheme="majorBidi"/>
                <w:color w:val="000000"/>
                <w:spacing w:val="51"/>
                <w:sz w:val="20"/>
                <w:shd w:val="solid" w:color="000000" w:fill="000000"/>
                <w:fitText w:val="326" w:id="-628411120"/>
                <w14:textFill>
                  <w14:solidFill>
                    <w14:srgbClr w14:val="000000">
                      <w14:alpha w14:val="100000"/>
                    </w14:srgbClr>
                  </w14:solidFill>
                </w14:textFill>
              </w:rPr>
              <w:t>|||</w:t>
            </w:r>
            <w:r w:rsidR="00ED4AC4" w:rsidRPr="00896015">
              <w:rPr>
                <w:rFonts w:ascii="Arial Narrow" w:eastAsiaTheme="majorEastAsia" w:hAnsi="Arial Narrow" w:cstheme="majorBidi"/>
                <w:color w:val="000000"/>
                <w:spacing w:val="1"/>
                <w:sz w:val="20"/>
                <w:shd w:val="solid" w:color="000000" w:fill="000000"/>
                <w:fitText w:val="326" w:id="-628411120"/>
                <w14:textFill>
                  <w14:solidFill>
                    <w14:srgbClr w14:val="000000">
                      <w14:alpha w14:val="100000"/>
                    </w14:srgbClr>
                  </w14:solidFill>
                </w14:textFill>
              </w:rPr>
              <w:t>|</w:t>
            </w:r>
          </w:p>
        </w:tc>
        <w:tc>
          <w:tcPr>
            <w:tcW w:w="2462" w:type="dxa"/>
          </w:tcPr>
          <w:p w14:paraId="51DC5D35" w14:textId="08F6EE6C" w:rsidR="008E0980" w:rsidRPr="00886D8A" w:rsidRDefault="00790F0F" w:rsidP="004E36D3">
            <w:pPr>
              <w:keepNext/>
              <w:rPr>
                <w:rFonts w:ascii="Arial Narrow" w:eastAsiaTheme="majorEastAsia" w:hAnsi="Arial Narrow" w:cstheme="majorBidi"/>
                <w:sz w:val="20"/>
                <w:vertAlign w:val="superscript"/>
              </w:rPr>
            </w:pPr>
            <w:r w:rsidRPr="00886D8A">
              <w:rPr>
                <w:rFonts w:ascii="Arial Narrow" w:eastAsiaTheme="majorEastAsia" w:hAnsi="Arial Narrow" w:cstheme="majorBidi"/>
                <w:sz w:val="20"/>
              </w:rPr>
              <w:t>$</w:t>
            </w:r>
            <w:r w:rsidR="00ED4AC4" w:rsidRPr="00896015">
              <w:rPr>
                <w:rFonts w:ascii="Arial Narrow" w:eastAsiaTheme="majorEastAsia" w:hAnsi="Arial Narrow" w:cstheme="majorBidi"/>
                <w:color w:val="000000"/>
                <w:spacing w:val="11"/>
                <w:w w:val="95"/>
                <w:sz w:val="20"/>
                <w:shd w:val="solid" w:color="000000" w:fill="000000"/>
                <w:fitText w:val="305" w:id="-628411136"/>
                <w14:textFill>
                  <w14:solidFill>
                    <w14:srgbClr w14:val="000000">
                      <w14:alpha w14:val="100000"/>
                    </w14:srgbClr>
                  </w14:solidFill>
                </w14:textFill>
              </w:rPr>
              <w:t>||  |</w:t>
            </w:r>
            <w:r w:rsidR="00ED4AC4" w:rsidRPr="00896015">
              <w:rPr>
                <w:rFonts w:ascii="Arial Narrow" w:eastAsiaTheme="majorEastAsia" w:hAnsi="Arial Narrow" w:cstheme="majorBidi"/>
                <w:color w:val="000000"/>
                <w:w w:val="95"/>
                <w:sz w:val="20"/>
                <w:shd w:val="solid" w:color="000000" w:fill="000000"/>
                <w:fitText w:val="305" w:id="-628411136"/>
                <w14:textFill>
                  <w14:solidFill>
                    <w14:srgbClr w14:val="000000">
                      <w14:alpha w14:val="100000"/>
                    </w14:srgbClr>
                  </w14:solidFill>
                </w14:textFill>
              </w:rPr>
              <w:t>|</w:t>
            </w:r>
            <w:r w:rsidR="00A922C2" w:rsidRPr="00886D8A">
              <w:rPr>
                <w:rFonts w:ascii="Arial Narrow" w:eastAsiaTheme="majorEastAsia" w:hAnsi="Arial Narrow" w:cstheme="majorBidi"/>
                <w:sz w:val="20"/>
                <w:vertAlign w:val="superscript"/>
              </w:rPr>
              <w:t>c</w:t>
            </w:r>
          </w:p>
        </w:tc>
      </w:tr>
    </w:tbl>
    <w:p w14:paraId="027E3462" w14:textId="5F011F87" w:rsidR="009642BD" w:rsidRPr="00886D8A" w:rsidRDefault="009642BD" w:rsidP="004E36D3">
      <w:pPr>
        <w:pStyle w:val="TableFigureFooter"/>
        <w:keepNext/>
        <w:rPr>
          <w:rFonts w:eastAsiaTheme="majorEastAsia"/>
        </w:rPr>
      </w:pPr>
      <w:r w:rsidRPr="00886D8A">
        <w:rPr>
          <w:rFonts w:eastAsiaTheme="majorEastAsia"/>
        </w:rPr>
        <w:t xml:space="preserve">Source: </w:t>
      </w:r>
      <w:r w:rsidR="00D0051B" w:rsidRPr="00886D8A">
        <w:rPr>
          <w:rFonts w:eastAsiaTheme="majorEastAsia"/>
        </w:rPr>
        <w:t>Prepared during evaluation.</w:t>
      </w:r>
    </w:p>
    <w:p w14:paraId="337B6D54" w14:textId="0629BD4F" w:rsidR="005954BD" w:rsidRPr="00886D8A" w:rsidRDefault="004F05D3" w:rsidP="004E36D3">
      <w:pPr>
        <w:pStyle w:val="TableFigureFooter"/>
        <w:rPr>
          <w:rFonts w:eastAsiaTheme="majorEastAsia"/>
        </w:rPr>
      </w:pPr>
      <w:r w:rsidRPr="00886D8A">
        <w:rPr>
          <w:rFonts w:eastAsiaTheme="majorEastAsia"/>
          <w:vertAlign w:val="superscript"/>
        </w:rPr>
        <w:t>a</w:t>
      </w:r>
      <w:r w:rsidR="005954BD" w:rsidRPr="00886D8A">
        <w:rPr>
          <w:rFonts w:eastAsiaTheme="majorEastAsia"/>
        </w:rPr>
        <w:t xml:space="preserve"> Average weight of paediatric and adult patients based on the </w:t>
      </w:r>
      <w:r w:rsidR="002F3E7A" w:rsidRPr="00886D8A">
        <w:rPr>
          <w:rFonts w:eastAsiaTheme="majorEastAsia"/>
        </w:rPr>
        <w:t>rhLAMAN</w:t>
      </w:r>
      <w:r w:rsidR="0011024A">
        <w:rPr>
          <w:rFonts w:eastAsiaTheme="majorEastAsia"/>
        </w:rPr>
        <w:noBreakHyphen/>
      </w:r>
      <w:r w:rsidR="002F3E7A" w:rsidRPr="00886D8A">
        <w:rPr>
          <w:rFonts w:eastAsiaTheme="majorEastAsia"/>
        </w:rPr>
        <w:t xml:space="preserve">05 </w:t>
      </w:r>
      <w:r w:rsidR="005954BD" w:rsidRPr="00886D8A">
        <w:rPr>
          <w:rFonts w:eastAsiaTheme="majorEastAsia"/>
        </w:rPr>
        <w:t>trial.</w:t>
      </w:r>
      <w:r w:rsidRPr="00886D8A">
        <w:rPr>
          <w:rFonts w:eastAsiaTheme="majorEastAsia"/>
        </w:rPr>
        <w:t xml:space="preserve"> </w:t>
      </w:r>
    </w:p>
    <w:p w14:paraId="2E171418" w14:textId="3B4BC025" w:rsidR="004F05D3" w:rsidRPr="00886D8A" w:rsidRDefault="009D696F" w:rsidP="004E36D3">
      <w:pPr>
        <w:pStyle w:val="TableFigureFooter"/>
        <w:rPr>
          <w:rFonts w:eastAsiaTheme="majorEastAsia"/>
        </w:rPr>
      </w:pPr>
      <w:r w:rsidRPr="00886D8A">
        <w:rPr>
          <w:rFonts w:eastAsiaTheme="majorEastAsia"/>
          <w:vertAlign w:val="superscript"/>
        </w:rPr>
        <w:t>b</w:t>
      </w:r>
      <w:r w:rsidRPr="00886D8A">
        <w:rPr>
          <w:rFonts w:eastAsiaTheme="majorEastAsia"/>
        </w:rPr>
        <w:t xml:space="preserve"> </w:t>
      </w:r>
      <w:r w:rsidR="004F05D3" w:rsidRPr="00886D8A">
        <w:rPr>
          <w:rFonts w:eastAsiaTheme="majorEastAsia"/>
        </w:rPr>
        <w:t xml:space="preserve">The cost per patient per year in the trial was calculated using </w:t>
      </w:r>
      <w:r w:rsidR="002159AF" w:rsidRPr="00886D8A">
        <w:rPr>
          <w:rFonts w:eastAsiaTheme="majorEastAsia"/>
        </w:rPr>
        <w:t>cost per vial required based on average weight of 60.2 kg.</w:t>
      </w:r>
    </w:p>
    <w:p w14:paraId="4C18FD7C" w14:textId="1C1DB5CD" w:rsidR="00002B60" w:rsidRPr="00886D8A" w:rsidRDefault="00A922C2" w:rsidP="004E36D3">
      <w:pPr>
        <w:pStyle w:val="TableFigureFooter"/>
        <w:rPr>
          <w:rFonts w:eastAsiaTheme="majorEastAsia"/>
        </w:rPr>
      </w:pPr>
      <w:r w:rsidRPr="00886D8A">
        <w:rPr>
          <w:rFonts w:eastAsiaTheme="majorEastAsia"/>
          <w:vertAlign w:val="superscript"/>
        </w:rPr>
        <w:t>c</w:t>
      </w:r>
      <w:r w:rsidR="00E02F5F" w:rsidRPr="00886D8A">
        <w:rPr>
          <w:rFonts w:eastAsiaTheme="majorEastAsia"/>
          <w:vertAlign w:val="superscript"/>
        </w:rPr>
        <w:t xml:space="preserve"> </w:t>
      </w:r>
      <w:r w:rsidR="00002B60" w:rsidRPr="00886D8A">
        <w:rPr>
          <w:rFonts w:eastAsiaTheme="majorEastAsia"/>
        </w:rPr>
        <w:t xml:space="preserve">The financial estimates </w:t>
      </w:r>
      <w:r w:rsidR="05CD443E" w:rsidRPr="00886D8A">
        <w:rPr>
          <w:rFonts w:eastAsiaTheme="majorEastAsia"/>
        </w:rPr>
        <w:t>include</w:t>
      </w:r>
      <w:r w:rsidR="00002B60" w:rsidRPr="00886D8A">
        <w:rPr>
          <w:rFonts w:eastAsiaTheme="majorEastAsia"/>
        </w:rPr>
        <w:t xml:space="preserve"> 75% adult patients (5) and 25% paediatric patients (2)</w:t>
      </w:r>
      <w:r w:rsidR="002F3E7A" w:rsidRPr="00886D8A">
        <w:rPr>
          <w:rFonts w:eastAsiaTheme="majorEastAsia"/>
        </w:rPr>
        <w:t>. An assumption of 100% compliance based on the Attachment 23 – Lamzede AM Financial Model to the submission</w:t>
      </w:r>
    </w:p>
    <w:p w14:paraId="2C44E36B" w14:textId="27410691" w:rsidR="009D4CEC" w:rsidRPr="00886D8A" w:rsidRDefault="00012872" w:rsidP="004E36D3">
      <w:pPr>
        <w:pStyle w:val="3-BodyText"/>
      </w:pPr>
      <w:r w:rsidRPr="00886D8A">
        <w:t>Treatment with velmanase alfa is expected to be life</w:t>
      </w:r>
      <w:r w:rsidR="0011024A">
        <w:noBreakHyphen/>
      </w:r>
      <w:r w:rsidRPr="00886D8A">
        <w:t xml:space="preserve">long. Based on the trial, the </w:t>
      </w:r>
      <w:r w:rsidR="008517CF" w:rsidRPr="00886D8A">
        <w:t xml:space="preserve">cost per year of treatment </w:t>
      </w:r>
      <w:r w:rsidR="00A47048" w:rsidRPr="00886D8A">
        <w:t xml:space="preserve">for a 60.2 kg patient (average of </w:t>
      </w:r>
      <w:r w:rsidR="00F21E7F" w:rsidRPr="00886D8A">
        <w:t xml:space="preserve">paediatric and adult patients combined) </w:t>
      </w:r>
      <w:r w:rsidR="008517CF" w:rsidRPr="00886D8A">
        <w:t>was $</w:t>
      </w:r>
      <w:r w:rsidR="00ED4AC4" w:rsidRPr="001E6CE7">
        <w:rPr>
          <w:color w:val="000000"/>
          <w:w w:val="15"/>
          <w:shd w:val="solid" w:color="000000" w:fill="000000"/>
          <w:fitText w:val="-20" w:id="-628411135"/>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135"/>
          <w14:textFill>
            <w14:solidFill>
              <w14:srgbClr w14:val="000000">
                <w14:alpha w14:val="100000"/>
              </w14:srgbClr>
            </w14:solidFill>
          </w14:textFill>
        </w:rPr>
        <w:t>|</w:t>
      </w:r>
      <w:r w:rsidR="009D4CEC" w:rsidRPr="00886D8A">
        <w:t>.</w:t>
      </w:r>
    </w:p>
    <w:p w14:paraId="35CC192F" w14:textId="3E22AB96" w:rsidR="00F13ABE" w:rsidRPr="00886D8A" w:rsidRDefault="009D4CEC" w:rsidP="004E36D3">
      <w:pPr>
        <w:pStyle w:val="3-BodyText"/>
      </w:pPr>
      <w:r w:rsidRPr="00886D8A">
        <w:t xml:space="preserve">The </w:t>
      </w:r>
      <w:r w:rsidR="00012872" w:rsidRPr="00886D8A">
        <w:t xml:space="preserve">economic evaluation estimated an average </w:t>
      </w:r>
      <w:r w:rsidRPr="00886D8A">
        <w:t>cost per patient per year of $</w:t>
      </w:r>
      <w:r w:rsidR="00ED4AC4" w:rsidRPr="005265DE">
        <w:rPr>
          <w:color w:val="000000"/>
          <w:w w:val="60"/>
          <w:shd w:val="solid" w:color="000000" w:fill="000000"/>
          <w:fitText w:val="468" w:id="-628411134"/>
          <w14:textFill>
            <w14:solidFill>
              <w14:srgbClr w14:val="000000">
                <w14:alpha w14:val="100000"/>
              </w14:srgbClr>
            </w14:solidFill>
          </w14:textFill>
        </w:rPr>
        <w:t>|||  |||</w:t>
      </w:r>
      <w:r w:rsidRPr="00886D8A">
        <w:t xml:space="preserve"> for a 71 kg adult. </w:t>
      </w:r>
      <w:r w:rsidR="00F630E4" w:rsidRPr="00886D8A">
        <w:t>The average weight of a paediatric patient was not able to be incorporated into the model</w:t>
      </w:r>
      <w:r w:rsidR="00F13ABE" w:rsidRPr="00886D8A">
        <w:t xml:space="preserve">, but </w:t>
      </w:r>
      <w:r w:rsidR="0073361A" w:rsidRPr="00886D8A">
        <w:t>weights</w:t>
      </w:r>
      <w:r w:rsidR="00F13ABE" w:rsidRPr="00886D8A">
        <w:t xml:space="preserve"> </w:t>
      </w:r>
      <w:r w:rsidR="00915FA8" w:rsidRPr="00886D8A">
        <w:t>of</w:t>
      </w:r>
      <w:r w:rsidR="00F13ABE" w:rsidRPr="00886D8A">
        <w:t xml:space="preserve"> 24 kg </w:t>
      </w:r>
      <w:r w:rsidR="00915FA8" w:rsidRPr="00886D8A">
        <w:t>and</w:t>
      </w:r>
      <w:r w:rsidR="00F13ABE" w:rsidRPr="00886D8A">
        <w:t xml:space="preserve"> 73 kg</w:t>
      </w:r>
      <w:r w:rsidR="00915FA8" w:rsidRPr="00886D8A">
        <w:t xml:space="preserve"> </w:t>
      </w:r>
      <w:r w:rsidR="00F13ABE" w:rsidRPr="00886D8A">
        <w:t>result</w:t>
      </w:r>
      <w:r w:rsidR="00915FA8" w:rsidRPr="00886D8A">
        <w:t>ed</w:t>
      </w:r>
      <w:r w:rsidR="00F13ABE" w:rsidRPr="00886D8A">
        <w:t xml:space="preserve"> in a cost per year </w:t>
      </w:r>
      <w:r w:rsidR="00915FA8" w:rsidRPr="00886D8A">
        <w:t>of</w:t>
      </w:r>
      <w:r w:rsidR="00F13ABE" w:rsidRPr="00886D8A">
        <w:t xml:space="preserve"> $</w:t>
      </w:r>
      <w:r w:rsidR="00ED4AC4" w:rsidRPr="001E6CE7">
        <w:rPr>
          <w:color w:val="000000"/>
          <w:w w:val="15"/>
          <w:shd w:val="solid" w:color="000000" w:fill="000000"/>
          <w:fitText w:val="-20" w:id="-628411133"/>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133"/>
          <w14:textFill>
            <w14:solidFill>
              <w14:srgbClr w14:val="000000">
                <w14:alpha w14:val="100000"/>
              </w14:srgbClr>
            </w14:solidFill>
          </w14:textFill>
        </w:rPr>
        <w:t>|</w:t>
      </w:r>
      <w:r w:rsidR="00F13ABE" w:rsidRPr="00886D8A">
        <w:t xml:space="preserve"> to $</w:t>
      </w:r>
      <w:r w:rsidR="00ED4AC4" w:rsidRPr="001E6CE7">
        <w:rPr>
          <w:color w:val="000000"/>
          <w:w w:val="15"/>
          <w:shd w:val="solid" w:color="000000" w:fill="000000"/>
          <w:fitText w:val="-20" w:id="-628411132"/>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132"/>
          <w14:textFill>
            <w14:solidFill>
              <w14:srgbClr w14:val="000000">
                <w14:alpha w14:val="100000"/>
              </w14:srgbClr>
            </w14:solidFill>
          </w14:textFill>
        </w:rPr>
        <w:t>|</w:t>
      </w:r>
      <w:r w:rsidR="00915FA8" w:rsidRPr="00886D8A">
        <w:t xml:space="preserve"> respectively</w:t>
      </w:r>
      <w:r w:rsidR="00F13ABE" w:rsidRPr="00886D8A">
        <w:t>.</w:t>
      </w:r>
    </w:p>
    <w:p w14:paraId="36F51A8F" w14:textId="4B0F239D" w:rsidR="00012872" w:rsidRPr="00886D8A" w:rsidRDefault="00511A5D" w:rsidP="004E36D3">
      <w:pPr>
        <w:pStyle w:val="3-BodyText"/>
        <w:rPr>
          <w:rFonts w:eastAsiaTheme="majorEastAsia"/>
        </w:rPr>
      </w:pPr>
      <w:r w:rsidRPr="00886D8A">
        <w:t xml:space="preserve">The financial estimates applied an average weight </w:t>
      </w:r>
      <w:r w:rsidR="00F21E7F" w:rsidRPr="00886D8A">
        <w:t xml:space="preserve">for </w:t>
      </w:r>
      <w:r w:rsidRPr="00886D8A">
        <w:t xml:space="preserve">paediatric patients of 47.4 kg and </w:t>
      </w:r>
      <w:r w:rsidR="005A23E5" w:rsidRPr="00886D8A">
        <w:t>70.9 kg for adults. The estimates assumed that 75% of patients were adult, resulting in an average cost per patient per year of $</w:t>
      </w:r>
      <w:r w:rsidR="00ED4AC4" w:rsidRPr="001E6CE7">
        <w:rPr>
          <w:color w:val="000000"/>
          <w:w w:val="15"/>
          <w:shd w:val="solid" w:color="000000" w:fill="000000"/>
          <w:fitText w:val="-20" w:id="-628411131"/>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1131"/>
          <w14:textFill>
            <w14:solidFill>
              <w14:srgbClr w14:val="000000">
                <w14:alpha w14:val="100000"/>
              </w14:srgbClr>
            </w14:solidFill>
          </w14:textFill>
        </w:rPr>
        <w:t>|</w:t>
      </w:r>
      <w:r w:rsidR="005A23E5" w:rsidRPr="00886D8A">
        <w:t>.</w:t>
      </w:r>
    </w:p>
    <w:p w14:paraId="3D0994DF" w14:textId="140753D7" w:rsidR="006F4137" w:rsidRPr="00886D8A" w:rsidRDefault="006F4137" w:rsidP="004E36D3">
      <w:pPr>
        <w:pStyle w:val="4-SubsectionHeading"/>
      </w:pPr>
      <w:bookmarkStart w:id="105" w:name="_Toc22897647"/>
      <w:bookmarkStart w:id="106" w:name="_Toc196648501"/>
      <w:bookmarkStart w:id="107" w:name="_Toc198645888"/>
      <w:bookmarkEnd w:id="103"/>
      <w:r w:rsidRPr="00886D8A">
        <w:t>Estimated PBS usage &amp; financial implications</w:t>
      </w:r>
      <w:bookmarkEnd w:id="105"/>
      <w:bookmarkEnd w:id="106"/>
      <w:bookmarkEnd w:id="107"/>
    </w:p>
    <w:p w14:paraId="275782CB" w14:textId="3F22C96D" w:rsidR="00B63644" w:rsidRPr="00886D8A" w:rsidRDefault="00B63644" w:rsidP="004E36D3">
      <w:pPr>
        <w:pStyle w:val="3-BodyText"/>
      </w:pPr>
      <w:r w:rsidRPr="00886D8A">
        <w:t xml:space="preserve">This submission </w:t>
      </w:r>
      <w:r w:rsidR="00C749C4" w:rsidRPr="00886D8A">
        <w:t>was</w:t>
      </w:r>
      <w:r w:rsidRPr="00886D8A">
        <w:t xml:space="preserve"> considered by DUSC</w:t>
      </w:r>
      <w:r w:rsidR="00C749C4" w:rsidRPr="00886D8A">
        <w:t xml:space="preserve"> at a joint meeting of ESC and DUSC</w:t>
      </w:r>
      <w:r w:rsidRPr="00886D8A">
        <w:t>. The submission used an epidemiological approach to estimate the financial impact of listing velmanase alfa for the treatment of patients with AM.</w:t>
      </w:r>
      <w:r w:rsidR="00A961F5">
        <w:t xml:space="preserve"> </w:t>
      </w:r>
    </w:p>
    <w:p w14:paraId="63417EFC" w14:textId="1D78693E" w:rsidR="00B63644" w:rsidRPr="00886D8A" w:rsidRDefault="00976496" w:rsidP="004E36D3">
      <w:pPr>
        <w:pStyle w:val="3-BodyText"/>
      </w:pPr>
      <w:r w:rsidRPr="00886D8A">
        <w:t>Table 18</w:t>
      </w:r>
      <w:r w:rsidR="00B63644" w:rsidRPr="00886D8A">
        <w:t xml:space="preserve"> summarises the key inputs and data sources to estimate the utilisation of velmanase alfa.</w:t>
      </w:r>
    </w:p>
    <w:p w14:paraId="62B17032" w14:textId="3D11423F" w:rsidR="00B63644" w:rsidRPr="00886D8A" w:rsidRDefault="00B63644" w:rsidP="004E36D3">
      <w:pPr>
        <w:pStyle w:val="Caption"/>
        <w:rPr>
          <w:rStyle w:val="CommentReference"/>
          <w:b/>
          <w:szCs w:val="24"/>
        </w:rPr>
      </w:pPr>
      <w:bookmarkStart w:id="108" w:name="_Ref104805262"/>
      <w:r w:rsidRPr="00886D8A">
        <w:t xml:space="preserve">Table </w:t>
      </w:r>
      <w:r>
        <w:fldChar w:fldCharType="begin"/>
      </w:r>
      <w:r>
        <w:instrText>SEQ Table \* ARABIC</w:instrText>
      </w:r>
      <w:r>
        <w:fldChar w:fldCharType="separate"/>
      </w:r>
      <w:r w:rsidR="00B73A9E">
        <w:rPr>
          <w:noProof/>
        </w:rPr>
        <w:t>18</w:t>
      </w:r>
      <w:r>
        <w:fldChar w:fldCharType="end"/>
      </w:r>
      <w:bookmarkEnd w:id="108"/>
      <w:r w:rsidRPr="00886D8A">
        <w:t>:</w:t>
      </w:r>
      <w:r w:rsidRPr="00886D8A">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Key inputs for financial estimates"/>
      </w:tblPr>
      <w:tblGrid>
        <w:gridCol w:w="1271"/>
        <w:gridCol w:w="1883"/>
        <w:gridCol w:w="2932"/>
        <w:gridCol w:w="2931"/>
      </w:tblGrid>
      <w:tr w:rsidR="00BA05E0" w:rsidRPr="00886D8A" w14:paraId="6573239E" w14:textId="39D12B92" w:rsidTr="008A3868">
        <w:trPr>
          <w:cantSplit/>
          <w:tblHeader/>
        </w:trPr>
        <w:tc>
          <w:tcPr>
            <w:tcW w:w="705" w:type="pct"/>
            <w:vAlign w:val="center"/>
          </w:tcPr>
          <w:p w14:paraId="4C2A2886" w14:textId="77777777" w:rsidR="00BA05E0" w:rsidRPr="00886D8A" w:rsidRDefault="00BA05E0" w:rsidP="004E36D3">
            <w:pPr>
              <w:pStyle w:val="In-tableHeading"/>
              <w:keepNext w:val="0"/>
              <w:jc w:val="center"/>
              <w:rPr>
                <w:lang w:val="en-AU"/>
              </w:rPr>
            </w:pPr>
            <w:r w:rsidRPr="00886D8A">
              <w:rPr>
                <w:lang w:val="en-AU"/>
              </w:rPr>
              <w:t>Parameter</w:t>
            </w:r>
          </w:p>
        </w:tc>
        <w:tc>
          <w:tcPr>
            <w:tcW w:w="1044" w:type="pct"/>
            <w:vAlign w:val="center"/>
          </w:tcPr>
          <w:p w14:paraId="086167E9" w14:textId="77777777" w:rsidR="00BA05E0" w:rsidRPr="00886D8A" w:rsidRDefault="00BA05E0" w:rsidP="004E36D3">
            <w:pPr>
              <w:pStyle w:val="In-tableHeading"/>
              <w:keepNext w:val="0"/>
              <w:jc w:val="center"/>
              <w:rPr>
                <w:lang w:val="en-AU"/>
              </w:rPr>
            </w:pPr>
            <w:r w:rsidRPr="00886D8A">
              <w:rPr>
                <w:lang w:val="en-AU"/>
              </w:rPr>
              <w:t>Value applied and source</w:t>
            </w:r>
          </w:p>
        </w:tc>
        <w:tc>
          <w:tcPr>
            <w:tcW w:w="1626" w:type="pct"/>
            <w:vAlign w:val="center"/>
          </w:tcPr>
          <w:p w14:paraId="1BDC1736" w14:textId="3BA4D88E" w:rsidR="00BA05E0" w:rsidRPr="00886D8A" w:rsidRDefault="00BA05E0" w:rsidP="004E36D3">
            <w:pPr>
              <w:pStyle w:val="In-tableHeading"/>
              <w:keepNext w:val="0"/>
              <w:jc w:val="center"/>
              <w:rPr>
                <w:lang w:val="en-AU"/>
              </w:rPr>
            </w:pPr>
            <w:r w:rsidRPr="00886D8A">
              <w:rPr>
                <w:lang w:val="en-AU"/>
              </w:rPr>
              <w:t>Commentary on the submission</w:t>
            </w:r>
          </w:p>
        </w:tc>
        <w:tc>
          <w:tcPr>
            <w:tcW w:w="1625" w:type="pct"/>
            <w:vAlign w:val="center"/>
          </w:tcPr>
          <w:p w14:paraId="288155FC" w14:textId="32B0B12C" w:rsidR="00BA05E0" w:rsidRPr="00886D8A" w:rsidRDefault="00BE7B57" w:rsidP="004E36D3">
            <w:pPr>
              <w:pStyle w:val="In-tableHeading"/>
              <w:keepNext w:val="0"/>
              <w:jc w:val="center"/>
              <w:rPr>
                <w:lang w:val="en-AU"/>
              </w:rPr>
            </w:pPr>
            <w:r w:rsidRPr="00886D8A">
              <w:rPr>
                <w:lang w:val="en-AU"/>
              </w:rPr>
              <w:t>Sub</w:t>
            </w:r>
            <w:r w:rsidR="0011024A">
              <w:rPr>
                <w:lang w:val="en-AU"/>
              </w:rPr>
              <w:noBreakHyphen/>
            </w:r>
            <w:r w:rsidRPr="00886D8A">
              <w:rPr>
                <w:lang w:val="en-AU"/>
              </w:rPr>
              <w:t>Committees</w:t>
            </w:r>
            <w:r w:rsidR="001243C6" w:rsidRPr="00886D8A">
              <w:rPr>
                <w:lang w:val="en-AU"/>
              </w:rPr>
              <w:t>’</w:t>
            </w:r>
            <w:r w:rsidRPr="00886D8A">
              <w:rPr>
                <w:lang w:val="en-AU"/>
              </w:rPr>
              <w:t xml:space="preserve"> </w:t>
            </w:r>
            <w:r w:rsidR="00FE24F6" w:rsidRPr="00886D8A">
              <w:rPr>
                <w:lang w:val="en-AU"/>
              </w:rPr>
              <w:t>comments</w:t>
            </w:r>
          </w:p>
        </w:tc>
      </w:tr>
      <w:tr w:rsidR="00BA05E0" w:rsidRPr="00886D8A" w14:paraId="00113951" w14:textId="23DE7A74" w:rsidTr="008A3868">
        <w:trPr>
          <w:cantSplit/>
        </w:trPr>
        <w:tc>
          <w:tcPr>
            <w:tcW w:w="705" w:type="pct"/>
            <w:vAlign w:val="center"/>
          </w:tcPr>
          <w:p w14:paraId="0D2A5CA9" w14:textId="77777777" w:rsidR="00BA05E0" w:rsidRPr="00886D8A" w:rsidRDefault="00BA05E0" w:rsidP="004E36D3">
            <w:pPr>
              <w:pStyle w:val="TableText0"/>
              <w:keepNext w:val="0"/>
            </w:pPr>
            <w:r w:rsidRPr="00886D8A">
              <w:t>Prevalent patients with AM</w:t>
            </w:r>
          </w:p>
        </w:tc>
        <w:tc>
          <w:tcPr>
            <w:tcW w:w="1044" w:type="pct"/>
            <w:vAlign w:val="center"/>
          </w:tcPr>
          <w:p w14:paraId="2D318754" w14:textId="7E726341" w:rsidR="00BA05E0" w:rsidRPr="00886D8A" w:rsidRDefault="00ED4AC4" w:rsidP="004E36D3">
            <w:pPr>
              <w:pStyle w:val="TableText0"/>
              <w:keepNext w:val="0"/>
            </w:pPr>
            <w:r w:rsidRPr="00896015">
              <w:rPr>
                <w:color w:val="000000"/>
                <w:spacing w:val="51"/>
                <w:shd w:val="solid" w:color="000000" w:fill="000000"/>
                <w:fitText w:val="326" w:id="-628411130"/>
                <w14:textFill>
                  <w14:solidFill>
                    <w14:srgbClr w14:val="000000">
                      <w14:alpha w14:val="100000"/>
                    </w14:srgbClr>
                  </w14:solidFill>
                </w14:textFill>
              </w:rPr>
              <w:t>|||</w:t>
            </w:r>
            <w:r w:rsidRPr="00896015">
              <w:rPr>
                <w:color w:val="000000"/>
                <w:spacing w:val="1"/>
                <w:shd w:val="solid" w:color="000000" w:fill="000000"/>
                <w:fitText w:val="326" w:id="-628411130"/>
                <w14:textFill>
                  <w14:solidFill>
                    <w14:srgbClr w14:val="000000">
                      <w14:alpha w14:val="100000"/>
                    </w14:srgbClr>
                  </w14:solidFill>
                </w14:textFill>
              </w:rPr>
              <w:t>|</w:t>
            </w:r>
            <w:r w:rsidR="005C1890">
              <w:rPr>
                <w:vertAlign w:val="superscript"/>
              </w:rPr>
              <w:t>1</w:t>
            </w:r>
            <w:r w:rsidR="00BA05E0" w:rsidRPr="00886D8A">
              <w:t xml:space="preserve"> patients in Year 1;</w:t>
            </w:r>
          </w:p>
          <w:p w14:paraId="60216360" w14:textId="77777777" w:rsidR="00BA05E0" w:rsidRPr="00886D8A" w:rsidRDefault="00BA05E0" w:rsidP="004E36D3">
            <w:pPr>
              <w:pStyle w:val="TableText0"/>
              <w:keepNext w:val="0"/>
            </w:pPr>
            <w:r w:rsidRPr="00886D8A">
              <w:t>population adjusted prevalence based on UK prevalence reported in NICE HST29</w:t>
            </w:r>
          </w:p>
        </w:tc>
        <w:tc>
          <w:tcPr>
            <w:tcW w:w="1626" w:type="pct"/>
            <w:vAlign w:val="center"/>
          </w:tcPr>
          <w:p w14:paraId="7BEE4D1D" w14:textId="46EBB779" w:rsidR="00BA05E0" w:rsidRPr="00886D8A" w:rsidRDefault="00BA05E0" w:rsidP="004E36D3">
            <w:pPr>
              <w:pStyle w:val="TableText0"/>
              <w:keepNext w:val="0"/>
            </w:pPr>
            <w:r w:rsidRPr="00886D8A">
              <w:t>There is limited data relating to epidemiology of AM in Australia. Chin and Fuller (2022) reported a prevalence of AM of 0.08 per 100,000 in Australia, corresponding to 22 prevalent cases in Year 1; however, this may include patients eligible for HSCT. This higher prevalence was tested in the sensitivity analyses.</w:t>
            </w:r>
          </w:p>
        </w:tc>
        <w:tc>
          <w:tcPr>
            <w:tcW w:w="1625" w:type="pct"/>
            <w:vAlign w:val="center"/>
          </w:tcPr>
          <w:p w14:paraId="290C7734" w14:textId="77F190A6" w:rsidR="00BA05E0" w:rsidRPr="00886D8A" w:rsidRDefault="006C401F" w:rsidP="004E36D3">
            <w:pPr>
              <w:pStyle w:val="TableText0"/>
              <w:keepNext w:val="0"/>
            </w:pPr>
            <w:r w:rsidRPr="00886D8A">
              <w:t>The Sub</w:t>
            </w:r>
            <w:r w:rsidR="0011024A">
              <w:noBreakHyphen/>
            </w:r>
            <w:r w:rsidRPr="00886D8A">
              <w:t xml:space="preserve">Committees noted clinician advice </w:t>
            </w:r>
            <w:r w:rsidR="005D7967" w:rsidRPr="00886D8A">
              <w:t xml:space="preserve">that </w:t>
            </w:r>
            <w:r w:rsidRPr="00886D8A">
              <w:t xml:space="preserve">there </w:t>
            </w:r>
            <w:r w:rsidR="005D7967" w:rsidRPr="00886D8A">
              <w:t>are</w:t>
            </w:r>
            <w:r w:rsidRPr="00886D8A">
              <w:t xml:space="preserve"> currently</w:t>
            </w:r>
            <w:r w:rsidRPr="00B8445B">
              <w:t xml:space="preserve"> </w:t>
            </w:r>
            <w:r w:rsidRPr="00927C48">
              <w:t>7</w:t>
            </w:r>
            <w:r w:rsidR="00C770AF" w:rsidRPr="00C770AF">
              <w:rPr>
                <w:vertAlign w:val="superscript"/>
              </w:rPr>
              <w:t>1</w:t>
            </w:r>
            <w:r w:rsidRPr="00B8445B">
              <w:t xml:space="preserve"> </w:t>
            </w:r>
            <w:r w:rsidRPr="00886D8A">
              <w:t xml:space="preserve">known patients with AM in Australia and </w:t>
            </w:r>
            <w:r w:rsidR="00363443" w:rsidRPr="00886D8A">
              <w:t xml:space="preserve">therefore, </w:t>
            </w:r>
            <w:r w:rsidRPr="00886D8A">
              <w:t>considered this parameter to be overestimated.</w:t>
            </w:r>
          </w:p>
        </w:tc>
      </w:tr>
      <w:tr w:rsidR="00BA05E0" w:rsidRPr="00886D8A" w14:paraId="09004B73" w14:textId="5199DBDC" w:rsidTr="008A3868">
        <w:trPr>
          <w:cantSplit/>
        </w:trPr>
        <w:tc>
          <w:tcPr>
            <w:tcW w:w="705" w:type="pct"/>
            <w:vAlign w:val="center"/>
          </w:tcPr>
          <w:p w14:paraId="2FD07B92" w14:textId="77777777" w:rsidR="00BA05E0" w:rsidRPr="00886D8A" w:rsidRDefault="00BA05E0" w:rsidP="004E36D3">
            <w:pPr>
              <w:pStyle w:val="TableText0"/>
              <w:keepNext w:val="0"/>
            </w:pPr>
            <w:r w:rsidRPr="00886D8A">
              <w:t>Prevalent patients eligible for treatment with VA</w:t>
            </w:r>
          </w:p>
        </w:tc>
        <w:tc>
          <w:tcPr>
            <w:tcW w:w="1044" w:type="pct"/>
            <w:vAlign w:val="center"/>
          </w:tcPr>
          <w:p w14:paraId="6C214AC8" w14:textId="1F52B826" w:rsidR="00BA05E0" w:rsidRPr="00886D8A" w:rsidRDefault="00ED4AC4" w:rsidP="004E36D3">
            <w:pPr>
              <w:pStyle w:val="TableText0"/>
              <w:keepNext w:val="0"/>
            </w:pPr>
            <w:r w:rsidRPr="00896015">
              <w:rPr>
                <w:color w:val="000000"/>
                <w:spacing w:val="51"/>
                <w:shd w:val="solid" w:color="000000" w:fill="000000"/>
                <w:fitText w:val="326" w:id="-628411129"/>
                <w14:textFill>
                  <w14:solidFill>
                    <w14:srgbClr w14:val="000000">
                      <w14:alpha w14:val="100000"/>
                    </w14:srgbClr>
                  </w14:solidFill>
                </w14:textFill>
              </w:rPr>
              <w:t>|||</w:t>
            </w:r>
            <w:r w:rsidRPr="00896015">
              <w:rPr>
                <w:color w:val="000000"/>
                <w:spacing w:val="1"/>
                <w:shd w:val="solid" w:color="000000" w:fill="000000"/>
                <w:fitText w:val="326" w:id="-628411129"/>
                <w14:textFill>
                  <w14:solidFill>
                    <w14:srgbClr w14:val="000000">
                      <w14:alpha w14:val="100000"/>
                    </w14:srgbClr>
                  </w14:solidFill>
                </w14:textFill>
              </w:rPr>
              <w:t>|</w:t>
            </w:r>
            <w:r w:rsidR="005C1890">
              <w:rPr>
                <w:vertAlign w:val="superscript"/>
              </w:rPr>
              <w:t>1</w:t>
            </w:r>
            <w:r w:rsidR="00BA05E0" w:rsidRPr="00886D8A">
              <w:t xml:space="preserve"> patients; based on Australian clinical expert opinion, 57% of patients were considered eligible for treatment with velmanase alfa (</w:t>
            </w:r>
            <w:r w:rsidRPr="00896015">
              <w:rPr>
                <w:color w:val="000000"/>
                <w:spacing w:val="51"/>
                <w:shd w:val="solid" w:color="000000" w:fill="000000"/>
                <w:fitText w:val="326" w:id="-628411128"/>
                <w14:textFill>
                  <w14:solidFill>
                    <w14:srgbClr w14:val="000000">
                      <w14:alpha w14:val="100000"/>
                    </w14:srgbClr>
                  </w14:solidFill>
                </w14:textFill>
              </w:rPr>
              <w:t>|||</w:t>
            </w:r>
            <w:r w:rsidRPr="00896015">
              <w:rPr>
                <w:color w:val="000000"/>
                <w:spacing w:val="1"/>
                <w:shd w:val="solid" w:color="000000" w:fill="000000"/>
                <w:fitText w:val="326" w:id="-628411128"/>
                <w14:textFill>
                  <w14:solidFill>
                    <w14:srgbClr w14:val="000000">
                      <w14:alpha w14:val="100000"/>
                    </w14:srgbClr>
                  </w14:solidFill>
                </w14:textFill>
              </w:rPr>
              <w:t>|</w:t>
            </w:r>
            <w:r w:rsidR="000D23D2" w:rsidRPr="000D23D2">
              <w:rPr>
                <w:vertAlign w:val="superscript"/>
              </w:rPr>
              <w:t>1</w:t>
            </w:r>
            <w:r w:rsidR="00BA05E0" w:rsidRPr="00886D8A">
              <w:t xml:space="preserve"> of the </w:t>
            </w:r>
            <w:r w:rsidRPr="00896015">
              <w:rPr>
                <w:color w:val="000000"/>
                <w:spacing w:val="51"/>
                <w:shd w:val="solid" w:color="000000" w:fill="000000"/>
                <w:fitText w:val="326" w:id="-628411127"/>
                <w14:textFill>
                  <w14:solidFill>
                    <w14:srgbClr w14:val="000000">
                      <w14:alpha w14:val="100000"/>
                    </w14:srgbClr>
                  </w14:solidFill>
                </w14:textFill>
              </w:rPr>
              <w:t>|||</w:t>
            </w:r>
            <w:r w:rsidRPr="00896015">
              <w:rPr>
                <w:color w:val="000000"/>
                <w:spacing w:val="1"/>
                <w:shd w:val="solid" w:color="000000" w:fill="000000"/>
                <w:fitText w:val="326" w:id="-628411127"/>
                <w14:textFill>
                  <w14:solidFill>
                    <w14:srgbClr w14:val="000000">
                      <w14:alpha w14:val="100000"/>
                    </w14:srgbClr>
                  </w14:solidFill>
                </w14:textFill>
              </w:rPr>
              <w:t>|</w:t>
            </w:r>
            <w:r w:rsidR="000D23D2" w:rsidRPr="000D23D2">
              <w:rPr>
                <w:vertAlign w:val="superscript"/>
              </w:rPr>
              <w:t>1</w:t>
            </w:r>
            <w:r w:rsidR="00BA05E0" w:rsidRPr="00886D8A">
              <w:t xml:space="preserve"> had previously undergone HSCT and were therefore ineligible for velmanase alfa treatment).</w:t>
            </w:r>
          </w:p>
        </w:tc>
        <w:tc>
          <w:tcPr>
            <w:tcW w:w="1626" w:type="pct"/>
            <w:vAlign w:val="center"/>
          </w:tcPr>
          <w:p w14:paraId="543ED1B7" w14:textId="7AE110DF" w:rsidR="00BA05E0" w:rsidRPr="00886D8A" w:rsidRDefault="0011024A" w:rsidP="004E36D3">
            <w:pPr>
              <w:pStyle w:val="TableText0"/>
              <w:keepNext w:val="0"/>
            </w:pPr>
            <w:r>
              <w:noBreakHyphen/>
            </w:r>
          </w:p>
        </w:tc>
        <w:tc>
          <w:tcPr>
            <w:tcW w:w="1625" w:type="pct"/>
            <w:vAlign w:val="center"/>
          </w:tcPr>
          <w:p w14:paraId="16947572" w14:textId="0566DB6E" w:rsidR="00BA05E0" w:rsidRPr="00886D8A" w:rsidRDefault="00307AB5" w:rsidP="004E36D3">
            <w:pPr>
              <w:pStyle w:val="TableText0"/>
            </w:pPr>
            <w:r w:rsidRPr="00886D8A">
              <w:t>The Sub</w:t>
            </w:r>
            <w:r w:rsidR="0011024A">
              <w:noBreakHyphen/>
            </w:r>
            <w:r w:rsidR="00C41B0B" w:rsidRPr="00886D8A">
              <w:t>C</w:t>
            </w:r>
            <w:r w:rsidRPr="00886D8A">
              <w:t xml:space="preserve">ommittees </w:t>
            </w:r>
            <w:r w:rsidR="00126241" w:rsidRPr="00886D8A">
              <w:t xml:space="preserve">noted clinician advice and </w:t>
            </w:r>
            <w:r w:rsidRPr="00886D8A">
              <w:t xml:space="preserve">considered there would likely </w:t>
            </w:r>
            <w:r w:rsidRPr="00B8445B">
              <w:t xml:space="preserve">be </w:t>
            </w:r>
            <w:r w:rsidR="00ED4AC4" w:rsidRPr="00896015">
              <w:rPr>
                <w:color w:val="000000"/>
                <w:spacing w:val="51"/>
                <w:shd w:val="solid" w:color="000000" w:fill="000000"/>
                <w:fitText w:val="326" w:id="-628411126"/>
                <w14:textFill>
                  <w14:solidFill>
                    <w14:srgbClr w14:val="000000">
                      <w14:alpha w14:val="100000"/>
                    </w14:srgbClr>
                  </w14:solidFill>
                </w14:textFill>
              </w:rPr>
              <w:t>|||</w:t>
            </w:r>
            <w:r w:rsidR="00ED4AC4" w:rsidRPr="00896015">
              <w:rPr>
                <w:color w:val="000000"/>
                <w:spacing w:val="1"/>
                <w:shd w:val="solid" w:color="000000" w:fill="000000"/>
                <w:fitText w:val="326" w:id="-628411126"/>
                <w14:textFill>
                  <w14:solidFill>
                    <w14:srgbClr w14:val="000000">
                      <w14:alpha w14:val="100000"/>
                    </w14:srgbClr>
                  </w14:solidFill>
                </w14:textFill>
              </w:rPr>
              <w:t>|</w:t>
            </w:r>
            <w:r w:rsidR="000D23D2" w:rsidRPr="000D23D2">
              <w:rPr>
                <w:vertAlign w:val="superscript"/>
              </w:rPr>
              <w:t>1</w:t>
            </w:r>
            <w:r w:rsidR="0011024A" w:rsidRPr="00B8445B">
              <w:noBreakHyphen/>
            </w:r>
            <w:r w:rsidR="00ED4AC4" w:rsidRPr="00896015">
              <w:rPr>
                <w:color w:val="000000"/>
                <w:spacing w:val="51"/>
                <w:shd w:val="solid" w:color="000000" w:fill="000000"/>
                <w:fitText w:val="325" w:id="-628411125"/>
                <w14:textFill>
                  <w14:solidFill>
                    <w14:srgbClr w14:val="000000">
                      <w14:alpha w14:val="100000"/>
                    </w14:srgbClr>
                  </w14:solidFill>
                </w14:textFill>
              </w:rPr>
              <w:t>|||</w:t>
            </w:r>
            <w:r w:rsidR="00ED4AC4" w:rsidRPr="00896015">
              <w:rPr>
                <w:color w:val="000000"/>
                <w:shd w:val="solid" w:color="000000" w:fill="000000"/>
                <w:fitText w:val="325" w:id="-628411125"/>
                <w14:textFill>
                  <w14:solidFill>
                    <w14:srgbClr w14:val="000000">
                      <w14:alpha w14:val="100000"/>
                    </w14:srgbClr>
                  </w14:solidFill>
                </w14:textFill>
              </w:rPr>
              <w:t>|</w:t>
            </w:r>
            <w:r w:rsidR="000D23D2" w:rsidRPr="000D23D2">
              <w:rPr>
                <w:vertAlign w:val="superscript"/>
              </w:rPr>
              <w:t>1</w:t>
            </w:r>
            <w:r w:rsidRPr="00886D8A">
              <w:t xml:space="preserve"> eligible </w:t>
            </w:r>
            <w:r w:rsidR="00E503B2" w:rsidRPr="00886D8A">
              <w:t xml:space="preserve">prevalent </w:t>
            </w:r>
            <w:r w:rsidRPr="00886D8A">
              <w:t xml:space="preserve">patients. </w:t>
            </w:r>
          </w:p>
        </w:tc>
      </w:tr>
      <w:tr w:rsidR="00BA05E0" w:rsidRPr="00886D8A" w14:paraId="0B906CF0" w14:textId="25AAEF60" w:rsidTr="008A3868">
        <w:trPr>
          <w:cantSplit/>
        </w:trPr>
        <w:tc>
          <w:tcPr>
            <w:tcW w:w="705" w:type="pct"/>
            <w:vAlign w:val="center"/>
          </w:tcPr>
          <w:p w14:paraId="6B5B38D1" w14:textId="77777777" w:rsidR="00BA05E0" w:rsidRPr="00886D8A" w:rsidRDefault="00BA05E0" w:rsidP="004E36D3">
            <w:pPr>
              <w:pStyle w:val="TableText0"/>
              <w:keepNext w:val="0"/>
            </w:pPr>
            <w:r w:rsidRPr="00886D8A">
              <w:t>Proportion of prevalent patients (&lt;18 years and (≥18 years)</w:t>
            </w:r>
          </w:p>
        </w:tc>
        <w:tc>
          <w:tcPr>
            <w:tcW w:w="1044" w:type="pct"/>
            <w:vAlign w:val="center"/>
          </w:tcPr>
          <w:p w14:paraId="259F930D" w14:textId="4B2545B7" w:rsidR="00BA05E0" w:rsidRPr="00886D8A" w:rsidRDefault="00BA05E0" w:rsidP="004E36D3">
            <w:pPr>
              <w:pStyle w:val="TableText0"/>
              <w:keepNext w:val="0"/>
            </w:pPr>
            <w:r w:rsidRPr="00886D8A">
              <w:t>&lt;18 years: 25% (</w:t>
            </w:r>
            <w:r w:rsidR="00ED4AC4" w:rsidRPr="00896015">
              <w:rPr>
                <w:color w:val="000000"/>
                <w:spacing w:val="51"/>
                <w:shd w:val="solid" w:color="000000" w:fill="000000"/>
                <w:fitText w:val="325" w:id="-628411124"/>
                <w14:textFill>
                  <w14:solidFill>
                    <w14:srgbClr w14:val="000000">
                      <w14:alpha w14:val="100000"/>
                    </w14:srgbClr>
                  </w14:solidFill>
                </w14:textFill>
              </w:rPr>
              <w:t>|||</w:t>
            </w:r>
            <w:r w:rsidR="00ED4AC4" w:rsidRPr="00896015">
              <w:rPr>
                <w:color w:val="000000"/>
                <w:shd w:val="solid" w:color="000000" w:fill="000000"/>
                <w:fitText w:val="325" w:id="-628411124"/>
                <w14:textFill>
                  <w14:solidFill>
                    <w14:srgbClr w14:val="000000">
                      <w14:alpha w14:val="100000"/>
                    </w14:srgbClr>
                  </w14:solidFill>
                </w14:textFill>
              </w:rPr>
              <w:t>|</w:t>
            </w:r>
            <w:r w:rsidR="005C1890">
              <w:rPr>
                <w:vertAlign w:val="superscript"/>
              </w:rPr>
              <w:t>1</w:t>
            </w:r>
            <w:r w:rsidRPr="00886D8A">
              <w:t xml:space="preserve"> paediatric patients)</w:t>
            </w:r>
          </w:p>
          <w:p w14:paraId="75D92D91" w14:textId="112B8E1A" w:rsidR="00BA05E0" w:rsidRPr="00886D8A" w:rsidRDefault="00BA05E0" w:rsidP="004E36D3">
            <w:pPr>
              <w:pStyle w:val="TableText0"/>
              <w:keepNext w:val="0"/>
            </w:pPr>
            <w:r w:rsidRPr="00886D8A">
              <w:t>≥18 years: 75% (</w:t>
            </w:r>
            <w:r w:rsidR="00ED4AC4" w:rsidRPr="00896015">
              <w:rPr>
                <w:color w:val="000000"/>
                <w:spacing w:val="51"/>
                <w:shd w:val="solid" w:color="000000" w:fill="000000"/>
                <w:fitText w:val="326" w:id="-628411123"/>
                <w14:textFill>
                  <w14:solidFill>
                    <w14:srgbClr w14:val="000000">
                      <w14:alpha w14:val="100000"/>
                    </w14:srgbClr>
                  </w14:solidFill>
                </w14:textFill>
              </w:rPr>
              <w:t>|||</w:t>
            </w:r>
            <w:r w:rsidR="00ED4AC4" w:rsidRPr="00896015">
              <w:rPr>
                <w:color w:val="000000"/>
                <w:spacing w:val="1"/>
                <w:shd w:val="solid" w:color="000000" w:fill="000000"/>
                <w:fitText w:val="326" w:id="-628411123"/>
                <w14:textFill>
                  <w14:solidFill>
                    <w14:srgbClr w14:val="000000">
                      <w14:alpha w14:val="100000"/>
                    </w14:srgbClr>
                  </w14:solidFill>
                </w14:textFill>
              </w:rPr>
              <w:t>|</w:t>
            </w:r>
            <w:r w:rsidR="005C1890">
              <w:rPr>
                <w:vertAlign w:val="superscript"/>
              </w:rPr>
              <w:t>1</w:t>
            </w:r>
            <w:r w:rsidRPr="00886D8A">
              <w:t xml:space="preserve"> adult patients);</w:t>
            </w:r>
          </w:p>
          <w:p w14:paraId="27B5F755" w14:textId="77777777" w:rsidR="00BA05E0" w:rsidRPr="00886D8A" w:rsidRDefault="00BA05E0" w:rsidP="004E36D3">
            <w:pPr>
              <w:pStyle w:val="TableText0"/>
              <w:keepNext w:val="0"/>
            </w:pPr>
            <w:r w:rsidRPr="00886D8A">
              <w:t xml:space="preserve">assumption based on Australian clinical expert opinion. </w:t>
            </w:r>
          </w:p>
        </w:tc>
        <w:tc>
          <w:tcPr>
            <w:tcW w:w="1626" w:type="pct"/>
            <w:vAlign w:val="center"/>
          </w:tcPr>
          <w:p w14:paraId="0ADE41D6" w14:textId="721EC403" w:rsidR="00BA05E0" w:rsidRPr="00886D8A" w:rsidRDefault="00BA05E0" w:rsidP="004E36D3">
            <w:pPr>
              <w:pStyle w:val="TableText0"/>
              <w:keepNext w:val="0"/>
            </w:pPr>
            <w:r w:rsidRPr="00886D8A">
              <w:t>While this was conservative; the higher proportion of adult patients was inconsistent with the median age of diagnosis of 1.3 years reported by Chin and Fuller (2022).</w:t>
            </w:r>
          </w:p>
        </w:tc>
        <w:tc>
          <w:tcPr>
            <w:tcW w:w="1625" w:type="pct"/>
            <w:vAlign w:val="center"/>
          </w:tcPr>
          <w:p w14:paraId="29ADF4BE" w14:textId="1D944C37" w:rsidR="00BA05E0" w:rsidRPr="00886D8A" w:rsidRDefault="00A4595E" w:rsidP="004E36D3">
            <w:pPr>
              <w:jc w:val="left"/>
              <w:rPr>
                <w:rFonts w:ascii="Arial Narrow" w:hAnsi="Arial Narrow"/>
                <w:sz w:val="20"/>
                <w:szCs w:val="20"/>
              </w:rPr>
            </w:pPr>
            <w:r w:rsidRPr="00886D8A">
              <w:rPr>
                <w:rFonts w:ascii="Arial Narrow" w:hAnsi="Arial Narrow"/>
                <w:sz w:val="20"/>
                <w:szCs w:val="20"/>
              </w:rPr>
              <w:t>The Sub</w:t>
            </w:r>
            <w:r w:rsidR="0011024A">
              <w:rPr>
                <w:rFonts w:ascii="Arial Narrow" w:hAnsi="Arial Narrow"/>
                <w:sz w:val="20"/>
                <w:szCs w:val="20"/>
              </w:rPr>
              <w:noBreakHyphen/>
            </w:r>
            <w:r w:rsidRPr="00886D8A">
              <w:rPr>
                <w:rFonts w:ascii="Arial Narrow" w:hAnsi="Arial Narrow"/>
                <w:sz w:val="20"/>
                <w:szCs w:val="20"/>
              </w:rPr>
              <w:t xml:space="preserve">Committees </w:t>
            </w:r>
            <w:r w:rsidR="004206E0" w:rsidRPr="00886D8A">
              <w:rPr>
                <w:rFonts w:ascii="Arial Narrow" w:hAnsi="Arial Narrow"/>
                <w:sz w:val="20"/>
                <w:szCs w:val="20"/>
              </w:rPr>
              <w:t>considered</w:t>
            </w:r>
            <w:r w:rsidRPr="00886D8A">
              <w:rPr>
                <w:rFonts w:ascii="Arial Narrow" w:hAnsi="Arial Narrow"/>
                <w:sz w:val="20"/>
                <w:szCs w:val="20"/>
              </w:rPr>
              <w:t xml:space="preserve"> </w:t>
            </w:r>
            <w:r w:rsidR="00C2509D" w:rsidRPr="00886D8A">
              <w:rPr>
                <w:rFonts w:ascii="Arial Narrow" w:hAnsi="Arial Narrow"/>
                <w:sz w:val="20"/>
                <w:szCs w:val="20"/>
              </w:rPr>
              <w:t>in the later years of listing,</w:t>
            </w:r>
            <w:r w:rsidR="00F36227" w:rsidRPr="00886D8A">
              <w:rPr>
                <w:rFonts w:ascii="Arial Narrow" w:hAnsi="Arial Narrow"/>
                <w:sz w:val="20"/>
                <w:szCs w:val="20"/>
              </w:rPr>
              <w:t xml:space="preserve"> the financial estimates would be overestimated given </w:t>
            </w:r>
            <w:r w:rsidR="00052DFC" w:rsidRPr="00886D8A">
              <w:rPr>
                <w:rFonts w:ascii="Arial Narrow" w:hAnsi="Arial Narrow"/>
                <w:sz w:val="20"/>
                <w:szCs w:val="20"/>
              </w:rPr>
              <w:t>the size</w:t>
            </w:r>
            <w:r w:rsidR="001B544E" w:rsidRPr="00886D8A">
              <w:rPr>
                <w:rFonts w:ascii="Arial Narrow" w:hAnsi="Arial Narrow"/>
                <w:sz w:val="20"/>
                <w:szCs w:val="20"/>
              </w:rPr>
              <w:t xml:space="preserve"> of the paediatric population</w:t>
            </w:r>
            <w:r w:rsidR="00EE0C74" w:rsidRPr="00886D8A">
              <w:rPr>
                <w:rFonts w:ascii="Arial Narrow" w:hAnsi="Arial Narrow"/>
                <w:sz w:val="20"/>
                <w:szCs w:val="20"/>
              </w:rPr>
              <w:t>. The Sub</w:t>
            </w:r>
            <w:r w:rsidR="0011024A">
              <w:rPr>
                <w:rFonts w:ascii="Arial Narrow" w:hAnsi="Arial Narrow"/>
                <w:sz w:val="20"/>
                <w:szCs w:val="20"/>
              </w:rPr>
              <w:noBreakHyphen/>
            </w:r>
            <w:r w:rsidR="00EE0C74" w:rsidRPr="00886D8A">
              <w:rPr>
                <w:rFonts w:ascii="Arial Narrow" w:hAnsi="Arial Narrow"/>
                <w:sz w:val="20"/>
                <w:szCs w:val="20"/>
              </w:rPr>
              <w:t xml:space="preserve">Committees </w:t>
            </w:r>
            <w:r w:rsidR="00CB6DA3" w:rsidRPr="00886D8A">
              <w:rPr>
                <w:rFonts w:ascii="Arial Narrow" w:hAnsi="Arial Narrow"/>
                <w:sz w:val="20"/>
                <w:szCs w:val="20"/>
              </w:rPr>
              <w:t xml:space="preserve">noted the </w:t>
            </w:r>
            <w:r w:rsidRPr="00886D8A">
              <w:rPr>
                <w:rFonts w:ascii="Arial Narrow" w:hAnsi="Arial Narrow"/>
                <w:sz w:val="20"/>
                <w:szCs w:val="20"/>
              </w:rPr>
              <w:t>financial estimates were sensitive to this parameter</w:t>
            </w:r>
            <w:r w:rsidR="006921B8" w:rsidRPr="00886D8A">
              <w:rPr>
                <w:rFonts w:ascii="Arial Narrow" w:hAnsi="Arial Narrow"/>
                <w:sz w:val="20"/>
                <w:szCs w:val="20"/>
              </w:rPr>
              <w:t xml:space="preserve">. </w:t>
            </w:r>
          </w:p>
        </w:tc>
      </w:tr>
      <w:tr w:rsidR="00BA05E0" w:rsidRPr="00886D8A" w14:paraId="055A4258" w14:textId="3C2E2430" w:rsidTr="008A3868">
        <w:trPr>
          <w:cantSplit/>
        </w:trPr>
        <w:tc>
          <w:tcPr>
            <w:tcW w:w="705" w:type="pct"/>
            <w:vAlign w:val="center"/>
          </w:tcPr>
          <w:p w14:paraId="3EAFDD86" w14:textId="77777777" w:rsidR="00BA05E0" w:rsidRPr="00886D8A" w:rsidRDefault="00BA05E0" w:rsidP="004E36D3">
            <w:pPr>
              <w:pStyle w:val="TableText0"/>
              <w:keepNext w:val="0"/>
            </w:pPr>
            <w:r w:rsidRPr="00886D8A">
              <w:t>Incidence patients with AM</w:t>
            </w:r>
          </w:p>
        </w:tc>
        <w:tc>
          <w:tcPr>
            <w:tcW w:w="1044" w:type="pct"/>
            <w:vAlign w:val="center"/>
          </w:tcPr>
          <w:p w14:paraId="7BD22934" w14:textId="77777777" w:rsidR="00BA05E0" w:rsidRPr="00886D8A" w:rsidRDefault="00BA05E0" w:rsidP="004E36D3">
            <w:pPr>
              <w:pStyle w:val="TableText0"/>
              <w:keepNext w:val="0"/>
            </w:pPr>
            <w:r w:rsidRPr="00886D8A">
              <w:t>1 case every two years, based on retrospective data from the National Referral Laboratory for LSDs – Australia (Chin and Fuller, 2022) reporting 1 case every three to four years.</w:t>
            </w:r>
          </w:p>
          <w:p w14:paraId="4883B3B0" w14:textId="77777777" w:rsidR="00BA05E0" w:rsidRPr="00886D8A" w:rsidRDefault="00BA05E0" w:rsidP="004E36D3">
            <w:pPr>
              <w:pStyle w:val="TableText0"/>
              <w:keepNext w:val="0"/>
            </w:pPr>
            <w:r w:rsidRPr="00886D8A">
              <w:t>The submission further assumed that all incident cases would be paediatric, given the median age at diagnosis reported by Chin and Fuller (2022) was 1.3 years.</w:t>
            </w:r>
          </w:p>
        </w:tc>
        <w:tc>
          <w:tcPr>
            <w:tcW w:w="1626" w:type="pct"/>
            <w:vAlign w:val="center"/>
          </w:tcPr>
          <w:p w14:paraId="7F915441" w14:textId="6E178DB5" w:rsidR="00BA05E0" w:rsidRPr="00886D8A" w:rsidRDefault="00BA05E0" w:rsidP="004E36D3">
            <w:pPr>
              <w:pStyle w:val="TableText0"/>
              <w:keepNext w:val="0"/>
            </w:pPr>
            <w:r w:rsidRPr="00886D8A">
              <w:t xml:space="preserve">The submission noted that velmanase alfa is currently underdiagnosed due to rarity of the disease, gradual onset and lack of treatment options. Availability of velmanase alfa may increase diagnosis rate, supporting the assumption of </w:t>
            </w:r>
            <w:r w:rsidR="00ED4AC4" w:rsidRPr="00896015">
              <w:rPr>
                <w:color w:val="000000"/>
                <w:spacing w:val="51"/>
                <w:shd w:val="solid" w:color="000000" w:fill="000000"/>
                <w:fitText w:val="325" w:id="-628411122"/>
                <w14:textFill>
                  <w14:solidFill>
                    <w14:srgbClr w14:val="000000">
                      <w14:alpha w14:val="100000"/>
                    </w14:srgbClr>
                  </w14:solidFill>
                </w14:textFill>
              </w:rPr>
              <w:t>|||</w:t>
            </w:r>
            <w:r w:rsidR="00ED4AC4" w:rsidRPr="00896015">
              <w:rPr>
                <w:color w:val="000000"/>
                <w:shd w:val="solid" w:color="000000" w:fill="000000"/>
                <w:fitText w:val="325" w:id="-628411122"/>
                <w14:textFill>
                  <w14:solidFill>
                    <w14:srgbClr w14:val="000000">
                      <w14:alpha w14:val="100000"/>
                    </w14:srgbClr>
                  </w14:solidFill>
                </w14:textFill>
              </w:rPr>
              <w:t>|</w:t>
            </w:r>
            <w:r w:rsidR="003A1B6F" w:rsidRPr="003A1B6F">
              <w:rPr>
                <w:vertAlign w:val="superscript"/>
              </w:rPr>
              <w:t>1</w:t>
            </w:r>
            <w:r w:rsidRPr="00886D8A">
              <w:t xml:space="preserve"> new case every two years instead of 3 to 4 years. Lower incidence of was tested in the sensitivity analyses.</w:t>
            </w:r>
          </w:p>
        </w:tc>
        <w:tc>
          <w:tcPr>
            <w:tcW w:w="1625" w:type="pct"/>
            <w:vAlign w:val="center"/>
          </w:tcPr>
          <w:p w14:paraId="14A256C6" w14:textId="77777777" w:rsidR="00990530" w:rsidRPr="00886D8A" w:rsidRDefault="00990530" w:rsidP="004E36D3">
            <w:pPr>
              <w:pStyle w:val="TableText0"/>
              <w:keepNext w:val="0"/>
            </w:pPr>
          </w:p>
          <w:p w14:paraId="1232598A" w14:textId="2ABBA50F" w:rsidR="00316327" w:rsidRDefault="00316327" w:rsidP="004E36D3">
            <w:pPr>
              <w:pStyle w:val="TableText0"/>
              <w:keepNext w:val="0"/>
            </w:pPr>
            <w:r w:rsidRPr="00886D8A">
              <w:t>The Sub</w:t>
            </w:r>
            <w:r w:rsidR="0011024A">
              <w:noBreakHyphen/>
            </w:r>
            <w:r w:rsidRPr="00886D8A">
              <w:t xml:space="preserve">Committees </w:t>
            </w:r>
            <w:r w:rsidR="00574CEA" w:rsidRPr="00886D8A">
              <w:t xml:space="preserve">commented although </w:t>
            </w:r>
            <w:r w:rsidR="00022928" w:rsidRPr="00886D8A">
              <w:t>the</w:t>
            </w:r>
            <w:r w:rsidR="00C35DD0" w:rsidRPr="00886D8A">
              <w:t xml:space="preserve"> availability of </w:t>
            </w:r>
            <w:r w:rsidR="00106C33" w:rsidRPr="00886D8A">
              <w:t>VA</w:t>
            </w:r>
            <w:r w:rsidR="00C35DD0" w:rsidRPr="00886D8A">
              <w:t xml:space="preserve"> may increase awareness </w:t>
            </w:r>
            <w:r w:rsidR="00C327C1" w:rsidRPr="00886D8A">
              <w:t xml:space="preserve">of </w:t>
            </w:r>
            <w:r w:rsidR="00DA3FCF" w:rsidRPr="00886D8A">
              <w:t>AM</w:t>
            </w:r>
            <w:r w:rsidR="00022928" w:rsidRPr="00886D8A">
              <w:t>, th</w:t>
            </w:r>
            <w:r w:rsidR="00A00E57" w:rsidRPr="00886D8A">
              <w:t>e Sub</w:t>
            </w:r>
            <w:r w:rsidR="0011024A">
              <w:noBreakHyphen/>
            </w:r>
            <w:r w:rsidR="00A00E57" w:rsidRPr="00886D8A">
              <w:t xml:space="preserve">Committees considered the incidence estimate </w:t>
            </w:r>
            <w:r w:rsidR="00022928" w:rsidRPr="00886D8A">
              <w:t>to be overestimated</w:t>
            </w:r>
            <w:r w:rsidR="007A0B99" w:rsidRPr="00886D8A">
              <w:t xml:space="preserve"> and would likely be </w:t>
            </w:r>
            <w:r w:rsidR="00ED4AC4" w:rsidRPr="00896015">
              <w:rPr>
                <w:color w:val="000000"/>
                <w:spacing w:val="51"/>
                <w:shd w:val="solid" w:color="000000" w:fill="000000"/>
                <w:fitText w:val="326" w:id="-628411121"/>
                <w14:textFill>
                  <w14:solidFill>
                    <w14:srgbClr w14:val="000000">
                      <w14:alpha w14:val="100000"/>
                    </w14:srgbClr>
                  </w14:solidFill>
                </w14:textFill>
              </w:rPr>
              <w:t>|||</w:t>
            </w:r>
            <w:r w:rsidR="00ED4AC4" w:rsidRPr="00896015">
              <w:rPr>
                <w:color w:val="000000"/>
                <w:spacing w:val="1"/>
                <w:shd w:val="solid" w:color="000000" w:fill="000000"/>
                <w:fitText w:val="326" w:id="-628411121"/>
                <w14:textFill>
                  <w14:solidFill>
                    <w14:srgbClr w14:val="000000">
                      <w14:alpha w14:val="100000"/>
                    </w14:srgbClr>
                  </w14:solidFill>
                </w14:textFill>
              </w:rPr>
              <w:t>|</w:t>
            </w:r>
            <w:r w:rsidR="007A644F" w:rsidRPr="007A644F">
              <w:rPr>
                <w:vertAlign w:val="superscript"/>
              </w:rPr>
              <w:t>1</w:t>
            </w:r>
            <w:r w:rsidR="007A0B99" w:rsidRPr="00886D8A">
              <w:t xml:space="preserve"> case every 3</w:t>
            </w:r>
            <w:r w:rsidR="0011024A">
              <w:noBreakHyphen/>
            </w:r>
            <w:r w:rsidR="007A0B99" w:rsidRPr="00886D8A">
              <w:t>4 years</w:t>
            </w:r>
            <w:r w:rsidR="00022928" w:rsidRPr="00886D8A">
              <w:t xml:space="preserve">. </w:t>
            </w:r>
          </w:p>
          <w:p w14:paraId="4D588CD7" w14:textId="77777777" w:rsidR="00701E51" w:rsidRPr="00886D8A" w:rsidRDefault="00701E51" w:rsidP="004E36D3">
            <w:pPr>
              <w:pStyle w:val="TableText0"/>
              <w:keepNext w:val="0"/>
            </w:pPr>
          </w:p>
          <w:p w14:paraId="512F0E31" w14:textId="10EE5C2A" w:rsidR="00BA05E0" w:rsidRPr="00886D8A" w:rsidRDefault="00A00E57" w:rsidP="004E36D3">
            <w:pPr>
              <w:pStyle w:val="TableText0"/>
              <w:keepNext w:val="0"/>
            </w:pPr>
            <w:r w:rsidRPr="00886D8A">
              <w:t>The Sub</w:t>
            </w:r>
            <w:r w:rsidR="0011024A">
              <w:noBreakHyphen/>
            </w:r>
            <w:r w:rsidRPr="00886D8A">
              <w:t>Committees noted t</w:t>
            </w:r>
            <w:r w:rsidR="00022928" w:rsidRPr="00886D8A">
              <w:t xml:space="preserve">he PSCR noted, “the expected incidence of AM is </w:t>
            </w:r>
            <w:r w:rsidR="00ED4AC4" w:rsidRPr="00896015">
              <w:rPr>
                <w:color w:val="000000"/>
                <w:spacing w:val="51"/>
                <w:shd w:val="solid" w:color="000000" w:fill="000000"/>
                <w:fitText w:val="325" w:id="-628411120"/>
                <w14:textFill>
                  <w14:solidFill>
                    <w14:srgbClr w14:val="000000">
                      <w14:alpha w14:val="100000"/>
                    </w14:srgbClr>
                  </w14:solidFill>
                </w14:textFill>
              </w:rPr>
              <w:t>|||</w:t>
            </w:r>
            <w:r w:rsidR="00ED4AC4" w:rsidRPr="00896015">
              <w:rPr>
                <w:color w:val="000000"/>
                <w:shd w:val="solid" w:color="000000" w:fill="000000"/>
                <w:fitText w:val="325" w:id="-628411120"/>
                <w14:textFill>
                  <w14:solidFill>
                    <w14:srgbClr w14:val="000000">
                      <w14:alpha w14:val="100000"/>
                    </w14:srgbClr>
                  </w14:solidFill>
                </w14:textFill>
              </w:rPr>
              <w:t>|</w:t>
            </w:r>
            <w:r w:rsidR="008B3A0F" w:rsidRPr="008B3A0F">
              <w:rPr>
                <w:vertAlign w:val="superscript"/>
              </w:rPr>
              <w:t>1</w:t>
            </w:r>
            <w:r w:rsidR="00022928" w:rsidRPr="00886D8A">
              <w:t xml:space="preserve"> new patient every 3</w:t>
            </w:r>
            <w:r w:rsidR="0011024A">
              <w:noBreakHyphen/>
            </w:r>
            <w:r w:rsidR="00022928" w:rsidRPr="00886D8A">
              <w:t>4 years.”</w:t>
            </w:r>
          </w:p>
        </w:tc>
      </w:tr>
      <w:tr w:rsidR="00BA05E0" w:rsidRPr="00886D8A" w14:paraId="3F23650F" w14:textId="6815E1C1" w:rsidTr="008A3868">
        <w:trPr>
          <w:cantSplit/>
        </w:trPr>
        <w:tc>
          <w:tcPr>
            <w:tcW w:w="705" w:type="pct"/>
            <w:vAlign w:val="center"/>
          </w:tcPr>
          <w:p w14:paraId="72AFDFD7" w14:textId="77777777" w:rsidR="00BA05E0" w:rsidRPr="00886D8A" w:rsidRDefault="00BA05E0" w:rsidP="004E36D3">
            <w:pPr>
              <w:pStyle w:val="TableText0"/>
              <w:keepNext w:val="0"/>
            </w:pPr>
            <w:r w:rsidRPr="00886D8A">
              <w:t>Uptake rate</w:t>
            </w:r>
          </w:p>
        </w:tc>
        <w:tc>
          <w:tcPr>
            <w:tcW w:w="1044" w:type="pct"/>
            <w:vAlign w:val="center"/>
          </w:tcPr>
          <w:p w14:paraId="602B2BF2" w14:textId="0FFAC968" w:rsidR="00BA05E0" w:rsidRPr="00886D8A" w:rsidRDefault="00ED4AC4" w:rsidP="004E36D3">
            <w:pPr>
              <w:pStyle w:val="TableText0"/>
              <w:keepNext w:val="0"/>
            </w:pPr>
            <w:r w:rsidRPr="00896015">
              <w:rPr>
                <w:color w:val="000000"/>
                <w:spacing w:val="51"/>
                <w:shd w:val="solid" w:color="000000" w:fill="000000"/>
                <w:fitText w:val="326" w:id="-628411136"/>
                <w14:textFill>
                  <w14:solidFill>
                    <w14:srgbClr w14:val="000000">
                      <w14:alpha w14:val="100000"/>
                    </w14:srgbClr>
                  </w14:solidFill>
                </w14:textFill>
              </w:rPr>
              <w:t>|||</w:t>
            </w:r>
            <w:r w:rsidRPr="00896015">
              <w:rPr>
                <w:color w:val="000000"/>
                <w:spacing w:val="1"/>
                <w:shd w:val="solid" w:color="000000" w:fill="000000"/>
                <w:fitText w:val="326" w:id="-628411136"/>
                <w14:textFill>
                  <w14:solidFill>
                    <w14:srgbClr w14:val="000000">
                      <w14:alpha w14:val="100000"/>
                    </w14:srgbClr>
                  </w14:solidFill>
                </w14:textFill>
              </w:rPr>
              <w:t>|</w:t>
            </w:r>
            <w:r w:rsidR="00BA05E0" w:rsidRPr="00886D8A">
              <w:t>%; Sponsor’s assumption</w:t>
            </w:r>
          </w:p>
        </w:tc>
        <w:tc>
          <w:tcPr>
            <w:tcW w:w="1626" w:type="pct"/>
            <w:vAlign w:val="center"/>
          </w:tcPr>
          <w:p w14:paraId="7341D208" w14:textId="32411498" w:rsidR="00BA05E0" w:rsidRPr="00886D8A" w:rsidRDefault="0011024A" w:rsidP="004E36D3">
            <w:pPr>
              <w:pStyle w:val="TableText0"/>
              <w:keepNext w:val="0"/>
              <w:spacing w:line="259" w:lineRule="auto"/>
            </w:pPr>
            <w:r>
              <w:noBreakHyphen/>
            </w:r>
          </w:p>
        </w:tc>
        <w:tc>
          <w:tcPr>
            <w:tcW w:w="1625" w:type="pct"/>
            <w:vAlign w:val="center"/>
          </w:tcPr>
          <w:p w14:paraId="0FFC5D3C" w14:textId="2D5BC6C7" w:rsidR="00BA05E0" w:rsidRPr="00886D8A" w:rsidRDefault="00215E1F" w:rsidP="004E36D3">
            <w:pPr>
              <w:pStyle w:val="TableText0"/>
              <w:keepNext w:val="0"/>
            </w:pPr>
            <w:r w:rsidRPr="00886D8A">
              <w:t xml:space="preserve">The </w:t>
            </w:r>
            <w:r w:rsidR="00FA3AB1" w:rsidRPr="00886D8A">
              <w:t>S</w:t>
            </w:r>
            <w:r w:rsidRPr="00886D8A">
              <w:t>ub</w:t>
            </w:r>
            <w:r w:rsidR="0011024A">
              <w:noBreakHyphen/>
            </w:r>
            <w:r w:rsidR="00442905" w:rsidRPr="00886D8A">
              <w:t>C</w:t>
            </w:r>
            <w:r w:rsidRPr="00886D8A">
              <w:t xml:space="preserve">ommittees </w:t>
            </w:r>
            <w:r w:rsidR="00FA3AB1" w:rsidRPr="00886D8A">
              <w:t xml:space="preserve">noted clinician advice and </w:t>
            </w:r>
            <w:r w:rsidRPr="00886D8A">
              <w:t xml:space="preserve">considered treatment uptake rate to be overestimated </w:t>
            </w:r>
            <w:r w:rsidR="00F124A5" w:rsidRPr="00886D8A">
              <w:t xml:space="preserve">given the </w:t>
            </w:r>
            <w:r w:rsidR="00260CE8" w:rsidRPr="00886D8A">
              <w:t>frequency and mode of</w:t>
            </w:r>
            <w:r w:rsidR="00F124A5" w:rsidRPr="00886D8A">
              <w:t xml:space="preserve"> administration</w:t>
            </w:r>
            <w:r w:rsidR="00260CE8" w:rsidRPr="00886D8A">
              <w:t xml:space="preserve">. </w:t>
            </w:r>
          </w:p>
          <w:p w14:paraId="68DA44A5" w14:textId="77777777" w:rsidR="0033041E" w:rsidRPr="00886D8A" w:rsidRDefault="0033041E" w:rsidP="004E36D3">
            <w:pPr>
              <w:pStyle w:val="TableText0"/>
              <w:keepNext w:val="0"/>
            </w:pPr>
          </w:p>
          <w:p w14:paraId="2A829889" w14:textId="5B08CE15" w:rsidR="0033041E" w:rsidRPr="00886D8A" w:rsidRDefault="0033041E" w:rsidP="004E36D3">
            <w:pPr>
              <w:pStyle w:val="TableText0"/>
              <w:keepNext w:val="0"/>
            </w:pPr>
            <w:r w:rsidRPr="00886D8A">
              <w:t>The Pre</w:t>
            </w:r>
            <w:r w:rsidR="0011024A">
              <w:noBreakHyphen/>
            </w:r>
            <w:r w:rsidRPr="00886D8A">
              <w:t xml:space="preserve">PBAC Response </w:t>
            </w:r>
            <w:r w:rsidR="001C3AD6" w:rsidRPr="00886D8A">
              <w:t>stated</w:t>
            </w:r>
            <w:r w:rsidRPr="00886D8A">
              <w:t xml:space="preserve"> that given the rarity of </w:t>
            </w:r>
            <w:r w:rsidR="001C3AD6" w:rsidRPr="00886D8A">
              <w:t>AM</w:t>
            </w:r>
            <w:r w:rsidRPr="00886D8A">
              <w:t xml:space="preserve"> and </w:t>
            </w:r>
            <w:r w:rsidR="001C3AD6" w:rsidRPr="00886D8A">
              <w:t xml:space="preserve">the </w:t>
            </w:r>
            <w:r w:rsidRPr="00886D8A">
              <w:t>lack of alternative options</w:t>
            </w:r>
            <w:r w:rsidR="001C3AD6" w:rsidRPr="00886D8A">
              <w:t>,</w:t>
            </w:r>
            <w:r w:rsidRPr="00886D8A">
              <w:t xml:space="preserve"> </w:t>
            </w:r>
            <w:r w:rsidR="0098523B" w:rsidRPr="00886D8A">
              <w:t xml:space="preserve">all or nearly all eligible patients would be offered and accept velmanase alfa treatment in practice. </w:t>
            </w:r>
          </w:p>
        </w:tc>
      </w:tr>
      <w:tr w:rsidR="00BA05E0" w:rsidRPr="00886D8A" w14:paraId="7C0E4983" w14:textId="35FEA4D7" w:rsidTr="008A3868">
        <w:trPr>
          <w:cantSplit/>
        </w:trPr>
        <w:tc>
          <w:tcPr>
            <w:tcW w:w="705" w:type="pct"/>
            <w:vAlign w:val="center"/>
          </w:tcPr>
          <w:p w14:paraId="4BE8B682" w14:textId="77777777" w:rsidR="00BA05E0" w:rsidRPr="00886D8A" w:rsidRDefault="00BA05E0" w:rsidP="004E36D3">
            <w:pPr>
              <w:pStyle w:val="TableText0"/>
              <w:keepNext w:val="0"/>
            </w:pPr>
            <w:r w:rsidRPr="00886D8A">
              <w:t>Treatment discontinuation per year</w:t>
            </w:r>
          </w:p>
        </w:tc>
        <w:tc>
          <w:tcPr>
            <w:tcW w:w="1044" w:type="pct"/>
            <w:vAlign w:val="center"/>
          </w:tcPr>
          <w:p w14:paraId="39AE6CB3" w14:textId="77777777" w:rsidR="00BA05E0" w:rsidRPr="00886D8A" w:rsidRDefault="00BA05E0" w:rsidP="004E36D3">
            <w:pPr>
              <w:pStyle w:val="TableText0"/>
              <w:keepNext w:val="0"/>
            </w:pPr>
            <w:r w:rsidRPr="00886D8A">
              <w:t xml:space="preserve">10%; based on </w:t>
            </w:r>
            <w:r w:rsidRPr="00886D8A">
              <w:rPr>
                <w:rFonts w:cstheme="minorHAnsi"/>
              </w:rPr>
              <w:t>NICE HST29 and clinical expert opinion</w:t>
            </w:r>
          </w:p>
        </w:tc>
        <w:tc>
          <w:tcPr>
            <w:tcW w:w="1626" w:type="pct"/>
            <w:vAlign w:val="center"/>
          </w:tcPr>
          <w:p w14:paraId="738CCFD6" w14:textId="5E98F066" w:rsidR="00BA05E0" w:rsidRPr="00886D8A" w:rsidRDefault="00BA05E0" w:rsidP="004E36D3">
            <w:pPr>
              <w:pStyle w:val="TableText0"/>
              <w:keepNext w:val="0"/>
            </w:pPr>
            <w:r w:rsidRPr="00886D8A">
              <w:t xml:space="preserve">While the treatment discontinuation of 10% was consistent with that applied from Year 2 onwards in the economic model, the submission did not directly apply the treatment discontinuation rate. Instead, it assumed that each patient would take 90% of the medication annually. Given the small patient population this approach was not precise. </w:t>
            </w:r>
          </w:p>
        </w:tc>
        <w:tc>
          <w:tcPr>
            <w:tcW w:w="1625" w:type="pct"/>
            <w:vAlign w:val="center"/>
          </w:tcPr>
          <w:p w14:paraId="05068E0C" w14:textId="6AA9477A" w:rsidR="0070462F" w:rsidRPr="00886D8A" w:rsidRDefault="00FD47E7" w:rsidP="004E36D3">
            <w:pPr>
              <w:pStyle w:val="TableText0"/>
              <w:keepNext w:val="0"/>
            </w:pPr>
            <w:r w:rsidRPr="00886D8A">
              <w:t>The Sub</w:t>
            </w:r>
            <w:r w:rsidR="0011024A">
              <w:noBreakHyphen/>
            </w:r>
            <w:r w:rsidRPr="00886D8A">
              <w:t xml:space="preserve">Committees </w:t>
            </w:r>
            <w:r w:rsidR="00E1661B" w:rsidRPr="00886D8A">
              <w:t xml:space="preserve">noted </w:t>
            </w:r>
            <w:r w:rsidR="00624A40" w:rsidRPr="00886D8A">
              <w:t xml:space="preserve">based on </w:t>
            </w:r>
            <w:r w:rsidR="00E1661B" w:rsidRPr="00886D8A">
              <w:t xml:space="preserve">the approach </w:t>
            </w:r>
            <w:r w:rsidR="0070462F" w:rsidRPr="00886D8A">
              <w:t>used</w:t>
            </w:r>
            <w:r w:rsidR="00952825" w:rsidRPr="00886D8A">
              <w:t xml:space="preserve">, the submission assumed there was </w:t>
            </w:r>
            <w:r w:rsidR="0070462F" w:rsidRPr="00886D8A">
              <w:t>no discontinuation</w:t>
            </w:r>
            <w:r w:rsidR="00952825" w:rsidRPr="00886D8A">
              <w:t>. The Sub</w:t>
            </w:r>
            <w:r w:rsidR="0011024A">
              <w:noBreakHyphen/>
            </w:r>
            <w:r w:rsidR="00952825" w:rsidRPr="00886D8A">
              <w:t xml:space="preserve">Committees </w:t>
            </w:r>
            <w:r w:rsidR="0070462F" w:rsidRPr="00886D8A">
              <w:t>considered</w:t>
            </w:r>
            <w:r w:rsidR="00E05301" w:rsidRPr="00886D8A">
              <w:t xml:space="preserve"> </w:t>
            </w:r>
            <w:r w:rsidR="00952825" w:rsidRPr="00886D8A">
              <w:t>this assumption</w:t>
            </w:r>
            <w:r w:rsidR="00925FF4" w:rsidRPr="00886D8A">
              <w:t xml:space="preserve"> </w:t>
            </w:r>
            <w:r w:rsidR="000E10EF" w:rsidRPr="00886D8A">
              <w:t xml:space="preserve">to be </w:t>
            </w:r>
            <w:r w:rsidR="00925FF4" w:rsidRPr="00886D8A">
              <w:t xml:space="preserve">reasonable given VA is a lifelong treatment. </w:t>
            </w:r>
          </w:p>
        </w:tc>
      </w:tr>
      <w:tr w:rsidR="00BA05E0" w:rsidRPr="00886D8A" w14:paraId="6F91B1AA" w14:textId="235198A5" w:rsidTr="008A3868">
        <w:trPr>
          <w:cantSplit/>
        </w:trPr>
        <w:tc>
          <w:tcPr>
            <w:tcW w:w="705" w:type="pct"/>
            <w:vAlign w:val="center"/>
          </w:tcPr>
          <w:p w14:paraId="4B2721B2" w14:textId="77777777" w:rsidR="00BA05E0" w:rsidRPr="00886D8A" w:rsidRDefault="00BA05E0" w:rsidP="004E36D3">
            <w:pPr>
              <w:pStyle w:val="TableText0"/>
              <w:keepNext w:val="0"/>
            </w:pPr>
            <w:r w:rsidRPr="00886D8A">
              <w:t>Treatment compliance</w:t>
            </w:r>
          </w:p>
        </w:tc>
        <w:tc>
          <w:tcPr>
            <w:tcW w:w="1044" w:type="pct"/>
            <w:vAlign w:val="center"/>
          </w:tcPr>
          <w:p w14:paraId="3744944A" w14:textId="77777777" w:rsidR="00BA05E0" w:rsidRPr="00886D8A" w:rsidRDefault="00BA05E0" w:rsidP="004E36D3">
            <w:pPr>
              <w:pStyle w:val="TableText0"/>
              <w:keepNext w:val="0"/>
            </w:pPr>
            <w:r w:rsidRPr="00886D8A">
              <w:t>100%; Sponsor’s assumption</w:t>
            </w:r>
          </w:p>
        </w:tc>
        <w:tc>
          <w:tcPr>
            <w:tcW w:w="1626" w:type="pct"/>
            <w:vAlign w:val="center"/>
          </w:tcPr>
          <w:p w14:paraId="5CF9A091" w14:textId="4A14BDC7" w:rsidR="00BA05E0" w:rsidRPr="00886D8A" w:rsidRDefault="00BA05E0" w:rsidP="004E36D3">
            <w:pPr>
              <w:pStyle w:val="TableText0"/>
              <w:keepNext w:val="0"/>
            </w:pPr>
            <w:r w:rsidRPr="00886D8A">
              <w:t>This aligns with the rhLAMAN</w:t>
            </w:r>
            <w:r w:rsidR="0011024A">
              <w:noBreakHyphen/>
            </w:r>
            <w:r w:rsidRPr="00886D8A">
              <w:t>05 trial, where treatment compliance exceeded 90%.</w:t>
            </w:r>
          </w:p>
        </w:tc>
        <w:tc>
          <w:tcPr>
            <w:tcW w:w="1625" w:type="pct"/>
            <w:vAlign w:val="center"/>
          </w:tcPr>
          <w:p w14:paraId="2FE9D082" w14:textId="21A4021D" w:rsidR="00122729" w:rsidRDefault="00306848" w:rsidP="004E36D3">
            <w:pPr>
              <w:pStyle w:val="TableText0"/>
              <w:keepNext w:val="0"/>
            </w:pPr>
            <w:r w:rsidRPr="00886D8A">
              <w:t>The Sub</w:t>
            </w:r>
            <w:r w:rsidR="0011024A">
              <w:noBreakHyphen/>
            </w:r>
            <w:r w:rsidRPr="00886D8A">
              <w:t>Comm</w:t>
            </w:r>
            <w:r w:rsidR="00E56B69" w:rsidRPr="00886D8A">
              <w:t xml:space="preserve">ittees noted </w:t>
            </w:r>
            <w:r w:rsidR="009278AC" w:rsidRPr="00886D8A">
              <w:t xml:space="preserve">based on the approach </w:t>
            </w:r>
            <w:r w:rsidR="00D60C8E" w:rsidRPr="00886D8A">
              <w:t xml:space="preserve">used, the submission assumed 90% compliance. </w:t>
            </w:r>
          </w:p>
          <w:p w14:paraId="2BF1C69D" w14:textId="77777777" w:rsidR="00701E51" w:rsidRPr="00886D8A" w:rsidRDefault="00701E51" w:rsidP="004E36D3">
            <w:pPr>
              <w:pStyle w:val="TableText0"/>
              <w:keepNext w:val="0"/>
            </w:pPr>
          </w:p>
          <w:p w14:paraId="5689B22A" w14:textId="74636EFA" w:rsidR="00586BF8" w:rsidRPr="00886D8A" w:rsidRDefault="00122729" w:rsidP="004E36D3">
            <w:pPr>
              <w:pStyle w:val="TableText0"/>
              <w:keepNext w:val="0"/>
              <w:rPr>
                <w:color w:val="FF0000"/>
              </w:rPr>
            </w:pPr>
            <w:r w:rsidRPr="00886D8A">
              <w:t>The Sub</w:t>
            </w:r>
            <w:r w:rsidR="0011024A">
              <w:noBreakHyphen/>
            </w:r>
            <w:r w:rsidRPr="00886D8A">
              <w:t>Committees commented that trial conditions may not reflect real world practice and considered this parameter may be overestimated given the frequency and mode of administration.</w:t>
            </w:r>
          </w:p>
          <w:p w14:paraId="0C59C890" w14:textId="0D458E48" w:rsidR="00586BF8" w:rsidRPr="00886D8A" w:rsidRDefault="00586BF8" w:rsidP="004E36D3">
            <w:pPr>
              <w:pStyle w:val="TableText0"/>
              <w:keepNext w:val="0"/>
              <w:rPr>
                <w:color w:val="FF0000"/>
              </w:rPr>
            </w:pPr>
          </w:p>
        </w:tc>
      </w:tr>
      <w:tr w:rsidR="00BA05E0" w:rsidRPr="00886D8A" w14:paraId="0C89D272" w14:textId="0328FDF1" w:rsidTr="008A3868">
        <w:trPr>
          <w:cantSplit/>
        </w:trPr>
        <w:tc>
          <w:tcPr>
            <w:tcW w:w="705" w:type="pct"/>
            <w:vAlign w:val="center"/>
          </w:tcPr>
          <w:p w14:paraId="4359C28A" w14:textId="77777777" w:rsidR="00BA05E0" w:rsidRPr="00886D8A" w:rsidRDefault="00BA05E0" w:rsidP="004E36D3">
            <w:pPr>
              <w:pStyle w:val="TableText0"/>
              <w:keepNext w:val="0"/>
            </w:pPr>
            <w:r w:rsidRPr="00886D8A">
              <w:t>Dose (1mg/kg weekly IV infusion)</w:t>
            </w:r>
          </w:p>
        </w:tc>
        <w:tc>
          <w:tcPr>
            <w:tcW w:w="1044" w:type="pct"/>
            <w:vAlign w:val="center"/>
          </w:tcPr>
          <w:p w14:paraId="658904AB" w14:textId="4D9CECFA" w:rsidR="00BA05E0" w:rsidRPr="00886D8A" w:rsidRDefault="00BA05E0" w:rsidP="004E36D3">
            <w:pPr>
              <w:pStyle w:val="TableText0"/>
              <w:keepNext w:val="0"/>
            </w:pPr>
            <w:r w:rsidRPr="00886D8A">
              <w:t>Mean body weight of paediatrics 47.4kg (dosing rounded to 50kg) derived from the average body weight of 6–17</w:t>
            </w:r>
            <w:r w:rsidR="0011024A">
              <w:noBreakHyphen/>
            </w:r>
            <w:r w:rsidRPr="00886D8A">
              <w:t>year</w:t>
            </w:r>
            <w:r w:rsidR="0011024A">
              <w:noBreakHyphen/>
            </w:r>
            <w:r w:rsidRPr="00886D8A">
              <w:t>old children from the Australian Bureau of Statistics. Mean body weight of adults 70.9kg (dosing rounded to 80kg) used based on the mean weight of ≥18 years old patients from the rhLAMAN</w:t>
            </w:r>
            <w:r w:rsidR="0011024A">
              <w:noBreakHyphen/>
            </w:r>
            <w:r w:rsidRPr="00886D8A">
              <w:t xml:space="preserve">10 trial </w:t>
            </w:r>
          </w:p>
        </w:tc>
        <w:tc>
          <w:tcPr>
            <w:tcW w:w="1626" w:type="pct"/>
            <w:vAlign w:val="center"/>
          </w:tcPr>
          <w:p w14:paraId="5484FA79" w14:textId="4291FAB1" w:rsidR="00BA05E0" w:rsidRPr="00886D8A" w:rsidRDefault="00BA05E0" w:rsidP="004E36D3">
            <w:pPr>
              <w:pStyle w:val="TableText0"/>
              <w:keepNext w:val="0"/>
            </w:pPr>
            <w:r w:rsidRPr="00886D8A">
              <w:t>Although this aligns with the economic model, the weight of patients with AM may differ from that of the general population.</w:t>
            </w:r>
          </w:p>
        </w:tc>
        <w:tc>
          <w:tcPr>
            <w:tcW w:w="1625" w:type="pct"/>
            <w:vAlign w:val="center"/>
          </w:tcPr>
          <w:p w14:paraId="56A2B7DA" w14:textId="50A21961" w:rsidR="00BA05E0" w:rsidRPr="00886D8A" w:rsidRDefault="008A3868" w:rsidP="004E36D3">
            <w:pPr>
              <w:pStyle w:val="TableText0"/>
              <w:rPr>
                <w:color w:val="FF0000"/>
              </w:rPr>
            </w:pPr>
            <w:r w:rsidRPr="00886D8A">
              <w:t>The Sub</w:t>
            </w:r>
            <w:r w:rsidR="0011024A">
              <w:noBreakHyphen/>
            </w:r>
            <w:r w:rsidRPr="00886D8A">
              <w:t xml:space="preserve">Committees </w:t>
            </w:r>
            <w:r w:rsidR="00A64DFD" w:rsidRPr="00886D8A">
              <w:t xml:space="preserve">noted the submission did not account for the change in weight distribution in children as they </w:t>
            </w:r>
            <w:r w:rsidR="00240E29" w:rsidRPr="00886D8A">
              <w:t>become older, however c</w:t>
            </w:r>
            <w:r w:rsidR="00AB3EB5" w:rsidRPr="00886D8A">
              <w:t>ommented tha</w:t>
            </w:r>
            <w:r w:rsidR="004348C6" w:rsidRPr="00886D8A">
              <w:t xml:space="preserve">t this estimate </w:t>
            </w:r>
            <w:r w:rsidR="00AB3EB5" w:rsidRPr="00886D8A">
              <w:t xml:space="preserve">may be reasonable </w:t>
            </w:r>
            <w:r w:rsidR="00D16D88" w:rsidRPr="00886D8A">
              <w:t>given</w:t>
            </w:r>
            <w:r w:rsidR="007E37FB" w:rsidRPr="00886D8A">
              <w:t xml:space="preserve"> </w:t>
            </w:r>
            <w:r w:rsidR="002136BE" w:rsidRPr="00886D8A">
              <w:t xml:space="preserve">weight was overestimated in newly diagnosed infants. </w:t>
            </w:r>
          </w:p>
        </w:tc>
      </w:tr>
      <w:tr w:rsidR="00BA05E0" w:rsidRPr="00886D8A" w14:paraId="29168F20" w14:textId="7442B827" w:rsidTr="008A3868">
        <w:trPr>
          <w:cantSplit/>
        </w:trPr>
        <w:tc>
          <w:tcPr>
            <w:tcW w:w="705" w:type="pct"/>
            <w:vAlign w:val="center"/>
          </w:tcPr>
          <w:p w14:paraId="1E5B14C4" w14:textId="754B27B9" w:rsidR="00BA05E0" w:rsidRPr="00886D8A" w:rsidRDefault="00BA05E0" w:rsidP="004E36D3">
            <w:pPr>
              <w:pStyle w:val="TableText0"/>
              <w:keepNext w:val="0"/>
            </w:pPr>
            <w:r w:rsidRPr="00886D8A">
              <w:t>IV administration</w:t>
            </w:r>
          </w:p>
        </w:tc>
        <w:tc>
          <w:tcPr>
            <w:tcW w:w="1044" w:type="pct"/>
            <w:vAlign w:val="center"/>
          </w:tcPr>
          <w:p w14:paraId="6F1F15FD" w14:textId="77777777" w:rsidR="00BA05E0" w:rsidRPr="00886D8A" w:rsidRDefault="00BA05E0" w:rsidP="004E36D3">
            <w:pPr>
              <w:pStyle w:val="TableText0"/>
              <w:keepNext w:val="0"/>
            </w:pPr>
            <w:r w:rsidRPr="00886D8A">
              <w:t>MBS Item code 13950</w:t>
            </w:r>
          </w:p>
          <w:p w14:paraId="27386345" w14:textId="0E29A802" w:rsidR="00BA05E0" w:rsidRPr="00886D8A" w:rsidRDefault="00BA05E0" w:rsidP="004E36D3">
            <w:pPr>
              <w:pStyle w:val="TableText0"/>
              <w:keepNext w:val="0"/>
            </w:pPr>
            <w:r w:rsidRPr="00886D8A">
              <w:t>$123.05</w:t>
            </w:r>
          </w:p>
        </w:tc>
        <w:tc>
          <w:tcPr>
            <w:tcW w:w="1626" w:type="pct"/>
            <w:vAlign w:val="center"/>
          </w:tcPr>
          <w:p w14:paraId="39450D28" w14:textId="287D9CC8" w:rsidR="00BA05E0" w:rsidRPr="00886D8A" w:rsidRDefault="0011024A" w:rsidP="004E36D3">
            <w:pPr>
              <w:pStyle w:val="TableText0"/>
              <w:keepNext w:val="0"/>
            </w:pPr>
            <w:r>
              <w:noBreakHyphen/>
            </w:r>
          </w:p>
        </w:tc>
        <w:tc>
          <w:tcPr>
            <w:tcW w:w="1625" w:type="pct"/>
            <w:vAlign w:val="center"/>
          </w:tcPr>
          <w:p w14:paraId="3E9F964C" w14:textId="3F04A70D" w:rsidR="00BA05E0" w:rsidRPr="00886D8A" w:rsidRDefault="005464A8" w:rsidP="004E36D3">
            <w:pPr>
              <w:pStyle w:val="TableText0"/>
              <w:keepNext w:val="0"/>
            </w:pPr>
            <w:r w:rsidRPr="00886D8A">
              <w:t>The Sub</w:t>
            </w:r>
            <w:r w:rsidR="0011024A">
              <w:noBreakHyphen/>
            </w:r>
            <w:r w:rsidRPr="00886D8A">
              <w:t xml:space="preserve">Committees noted this parameter assumed </w:t>
            </w:r>
            <w:r w:rsidR="000E10EF" w:rsidRPr="00886D8A">
              <w:t xml:space="preserve">that </w:t>
            </w:r>
            <w:r w:rsidRPr="00886D8A">
              <w:t>all administration would occur in the public hospital and considered it reasonable for initiating treatment</w:t>
            </w:r>
            <w:r w:rsidR="00B376BB" w:rsidRPr="00886D8A">
              <w:t xml:space="preserve">, </w:t>
            </w:r>
            <w:r w:rsidRPr="00886D8A">
              <w:t xml:space="preserve">however considered patients may transition to home infusions which </w:t>
            </w:r>
            <w:r w:rsidR="00A61984" w:rsidRPr="00886D8A">
              <w:t>would</w:t>
            </w:r>
            <w:r w:rsidRPr="00886D8A">
              <w:t xml:space="preserve"> incur additional cost</w:t>
            </w:r>
            <w:r w:rsidR="00A61984" w:rsidRPr="00886D8A">
              <w:t xml:space="preserve">s. </w:t>
            </w:r>
          </w:p>
        </w:tc>
      </w:tr>
    </w:tbl>
    <w:p w14:paraId="617D7F10" w14:textId="455B1FE9" w:rsidR="00B63644" w:rsidRPr="00886D8A" w:rsidRDefault="00B63644" w:rsidP="004E36D3">
      <w:pPr>
        <w:pStyle w:val="FooterTableFigure"/>
      </w:pPr>
      <w:r w:rsidRPr="00886D8A">
        <w:t>Source: Table 4.1</w:t>
      </w:r>
      <w:r w:rsidR="0011024A">
        <w:noBreakHyphen/>
      </w:r>
      <w:r w:rsidRPr="00886D8A">
        <w:t>1, p193, Table 4.2</w:t>
      </w:r>
      <w:r w:rsidR="0011024A">
        <w:noBreakHyphen/>
      </w:r>
      <w:r w:rsidRPr="00886D8A">
        <w:t>3, p198, Table 4.5</w:t>
      </w:r>
      <w:r w:rsidR="0011024A">
        <w:noBreakHyphen/>
      </w:r>
      <w:r w:rsidRPr="00886D8A">
        <w:t>1, p203, Table 4.5</w:t>
      </w:r>
      <w:r w:rsidR="0011024A">
        <w:noBreakHyphen/>
      </w:r>
      <w:r w:rsidRPr="00886D8A">
        <w:t>2, p203 of the submission.</w:t>
      </w:r>
    </w:p>
    <w:p w14:paraId="2A87E406" w14:textId="25A5580C" w:rsidR="005C1890" w:rsidRDefault="00B63644" w:rsidP="005C1890">
      <w:pPr>
        <w:pStyle w:val="FooterTableFigure"/>
        <w:spacing w:after="0"/>
      </w:pPr>
      <w:r w:rsidRPr="00886D8A">
        <w:t>AM = Alpha</w:t>
      </w:r>
      <w:r w:rsidR="0011024A">
        <w:noBreakHyphen/>
      </w:r>
      <w:r w:rsidRPr="00886D8A">
        <w:t>mannosidosis</w:t>
      </w:r>
      <w:r w:rsidR="00F0526A" w:rsidRPr="00886D8A">
        <w:t xml:space="preserve">; </w:t>
      </w:r>
      <w:r w:rsidRPr="00886D8A">
        <w:t>DUSC = Drug Utilisation Sub Committee</w:t>
      </w:r>
      <w:r w:rsidR="00F0526A" w:rsidRPr="00886D8A">
        <w:t>;</w:t>
      </w:r>
      <w:r w:rsidRPr="00886D8A">
        <w:t xml:space="preserve"> </w:t>
      </w:r>
      <w:r w:rsidR="00546397" w:rsidRPr="00886D8A">
        <w:t xml:space="preserve">HSCT = haemopoietic stem cell transplant; </w:t>
      </w:r>
      <w:r w:rsidR="00AE63B3" w:rsidRPr="00886D8A">
        <w:t xml:space="preserve">HST = highly specialised technology; </w:t>
      </w:r>
      <w:r w:rsidR="0017631B" w:rsidRPr="00886D8A">
        <w:t>IV = intra venous</w:t>
      </w:r>
      <w:r w:rsidR="00F0526A" w:rsidRPr="00886D8A">
        <w:t>;</w:t>
      </w:r>
      <w:r w:rsidR="0017631B" w:rsidRPr="00886D8A">
        <w:t xml:space="preserve"> </w:t>
      </w:r>
      <w:r w:rsidRPr="00886D8A">
        <w:t>Kg = kilogram</w:t>
      </w:r>
      <w:r w:rsidR="00F0526A" w:rsidRPr="00886D8A">
        <w:t xml:space="preserve">; LSD = lysosomal storage disease; </w:t>
      </w:r>
      <w:r w:rsidR="00460E25" w:rsidRPr="00886D8A">
        <w:t xml:space="preserve">MBS = Medicare Benefits Schedule; </w:t>
      </w:r>
      <w:r w:rsidRPr="00886D8A">
        <w:t xml:space="preserve">mg = milligram, </w:t>
      </w:r>
      <w:r w:rsidR="00AE63B3" w:rsidRPr="00886D8A">
        <w:t>NICE = National Institute of Care and Excellence</w:t>
      </w:r>
      <w:r w:rsidR="00F0526A" w:rsidRPr="00886D8A">
        <w:t>;</w:t>
      </w:r>
      <w:r w:rsidRPr="00886D8A">
        <w:t xml:space="preserve"> PBS = Pharmaceutical Benefits Scheme</w:t>
      </w:r>
      <w:r w:rsidR="00F0526A" w:rsidRPr="00886D8A">
        <w:t xml:space="preserve">; </w:t>
      </w:r>
      <w:r w:rsidR="0017631B" w:rsidRPr="00886D8A">
        <w:t>TGA = Therapeutic Goods Administration</w:t>
      </w:r>
      <w:r w:rsidR="00F0526A" w:rsidRPr="00886D8A">
        <w:t>;</w:t>
      </w:r>
      <w:r w:rsidR="0017631B" w:rsidRPr="00886D8A">
        <w:t xml:space="preserve"> </w:t>
      </w:r>
      <w:r w:rsidR="003D4D61" w:rsidRPr="00886D8A">
        <w:t>VA = velmanase alfa</w:t>
      </w:r>
      <w:r w:rsidR="00AA6BF2" w:rsidRPr="00886D8A">
        <w:t>.</w:t>
      </w:r>
    </w:p>
    <w:p w14:paraId="18B49E53" w14:textId="65C35608" w:rsidR="005C1890" w:rsidRPr="005C1890" w:rsidRDefault="005C1890" w:rsidP="005C1890">
      <w:pPr>
        <w:rPr>
          <w:rFonts w:ascii="Arial Narrow" w:hAnsi="Arial Narrow"/>
          <w:i/>
          <w:sz w:val="18"/>
          <w:szCs w:val="18"/>
        </w:rPr>
      </w:pPr>
      <w:r w:rsidRPr="005C1890">
        <w:rPr>
          <w:rFonts w:ascii="Arial Narrow" w:hAnsi="Arial Narrow"/>
          <w:i/>
          <w:sz w:val="18"/>
          <w:szCs w:val="18"/>
        </w:rPr>
        <w:t xml:space="preserve">The redacted values correspond to the following ranges: </w:t>
      </w:r>
    </w:p>
    <w:p w14:paraId="2CE9432E" w14:textId="77777777" w:rsidR="00AE6CFB" w:rsidRPr="00AE6CFB" w:rsidRDefault="005C1890" w:rsidP="00AE6CFB">
      <w:pPr>
        <w:jc w:val="left"/>
        <w:rPr>
          <w:rFonts w:ascii="Arial Narrow" w:hAnsi="Arial Narrow"/>
          <w:i/>
          <w:sz w:val="18"/>
          <w:szCs w:val="18"/>
        </w:rPr>
      </w:pPr>
      <w:r w:rsidRPr="005C1890">
        <w:rPr>
          <w:rFonts w:ascii="Arial Narrow" w:hAnsi="Arial Narrow"/>
          <w:i/>
          <w:sz w:val="18"/>
          <w:szCs w:val="18"/>
          <w:vertAlign w:val="superscript"/>
        </w:rPr>
        <w:t>1</w:t>
      </w:r>
      <w:r w:rsidRPr="005C1890">
        <w:rPr>
          <w:rFonts w:ascii="Arial Narrow" w:hAnsi="Arial Narrow"/>
          <w:i/>
          <w:sz w:val="18"/>
          <w:szCs w:val="18"/>
        </w:rPr>
        <w:t xml:space="preserve"> </w:t>
      </w:r>
      <w:r w:rsidR="00AE6CFB" w:rsidRPr="00AE6CFB">
        <w:rPr>
          <w:rFonts w:ascii="Arial Narrow" w:hAnsi="Arial Narrow"/>
          <w:i/>
          <w:sz w:val="18"/>
          <w:szCs w:val="18"/>
        </w:rPr>
        <w:t>&lt; 500</w:t>
      </w:r>
    </w:p>
    <w:p w14:paraId="26806ABF" w14:textId="6A33148D" w:rsidR="00B63644" w:rsidRPr="00886D8A" w:rsidRDefault="00B63644" w:rsidP="004E36D3">
      <w:pPr>
        <w:pStyle w:val="FooterTableFigure"/>
      </w:pPr>
    </w:p>
    <w:p w14:paraId="278BE460" w14:textId="0C111CFB" w:rsidR="00B63644" w:rsidRPr="00886D8A" w:rsidRDefault="00976496" w:rsidP="004E36D3">
      <w:pPr>
        <w:pStyle w:val="3-BodyText"/>
        <w:rPr>
          <w:color w:val="3366FF"/>
        </w:rPr>
      </w:pPr>
      <w:r w:rsidRPr="00886D8A">
        <w:t>Table 19</w:t>
      </w:r>
      <w:r w:rsidR="00EE363C">
        <w:t xml:space="preserve"> and Table 20</w:t>
      </w:r>
      <w:r w:rsidR="00B63644" w:rsidRPr="00886D8A">
        <w:t xml:space="preserve"> present the estimated </w:t>
      </w:r>
      <w:r w:rsidR="00EE363C">
        <w:t xml:space="preserve">utilisation and </w:t>
      </w:r>
      <w:r w:rsidR="00B63644" w:rsidRPr="00886D8A">
        <w:t xml:space="preserve">financial implications of listing of velmanase alfa. </w:t>
      </w:r>
    </w:p>
    <w:p w14:paraId="3CC4F930" w14:textId="19CB394E" w:rsidR="00B63644" w:rsidRPr="00886D8A" w:rsidRDefault="00B63644" w:rsidP="004E36D3">
      <w:pPr>
        <w:pStyle w:val="Caption"/>
      </w:pPr>
      <w:bookmarkStart w:id="109" w:name="_Ref104805295"/>
      <w:r w:rsidRPr="00886D8A">
        <w:t xml:space="preserve">Table </w:t>
      </w:r>
      <w:r>
        <w:fldChar w:fldCharType="begin"/>
      </w:r>
      <w:r>
        <w:instrText>SEQ Table \* ARABIC</w:instrText>
      </w:r>
      <w:r>
        <w:fldChar w:fldCharType="separate"/>
      </w:r>
      <w:r w:rsidR="00B73A9E">
        <w:rPr>
          <w:noProof/>
        </w:rPr>
        <w:t>19</w:t>
      </w:r>
      <w:r>
        <w:fldChar w:fldCharType="end"/>
      </w:r>
      <w:bookmarkEnd w:id="109"/>
      <w:r w:rsidRPr="00886D8A">
        <w:t>:</w:t>
      </w:r>
      <w:r w:rsidRPr="00886D8A">
        <w:rPr>
          <w:rStyle w:val="CommentReference"/>
          <w:b/>
          <w:szCs w:val="24"/>
        </w:rPr>
        <w:t xml:space="preserve"> Estimated use and financial implications</w:t>
      </w:r>
      <w:r w:rsidR="00385E75">
        <w:rPr>
          <w:rStyle w:val="CommentReference"/>
          <w:b/>
          <w:szCs w:val="24"/>
        </w:rPr>
        <w:t xml:space="preserve"> </w:t>
      </w:r>
      <w:r w:rsidR="00B72660">
        <w:rPr>
          <w:rStyle w:val="CommentReference"/>
          <w:b/>
          <w:szCs w:val="24"/>
        </w:rPr>
        <w:t>of velmanase alfa</w:t>
      </w:r>
    </w:p>
    <w:tbl>
      <w:tblPr>
        <w:tblStyle w:val="TableGrid"/>
        <w:tblW w:w="5000" w:type="pct"/>
        <w:tblLayout w:type="fixed"/>
        <w:tblLook w:val="04A0" w:firstRow="1" w:lastRow="0" w:firstColumn="1" w:lastColumn="0" w:noHBand="0" w:noVBand="1"/>
        <w:tblCaption w:val="Table 19: Estimated use and financial implications of velmanase alfa"/>
      </w:tblPr>
      <w:tblGrid>
        <w:gridCol w:w="279"/>
        <w:gridCol w:w="2268"/>
        <w:gridCol w:w="991"/>
        <w:gridCol w:w="913"/>
        <w:gridCol w:w="913"/>
        <w:gridCol w:w="913"/>
        <w:gridCol w:w="913"/>
        <w:gridCol w:w="913"/>
        <w:gridCol w:w="914"/>
      </w:tblGrid>
      <w:tr w:rsidR="009C040E" w:rsidRPr="00886D8A" w14:paraId="29223B21" w14:textId="77777777" w:rsidTr="001F497E">
        <w:tc>
          <w:tcPr>
            <w:tcW w:w="155" w:type="pct"/>
          </w:tcPr>
          <w:p w14:paraId="7AD5FD53" w14:textId="77777777" w:rsidR="009C040E" w:rsidRPr="00886D8A" w:rsidRDefault="009C040E" w:rsidP="004E36D3">
            <w:pPr>
              <w:keepNext/>
            </w:pPr>
          </w:p>
        </w:tc>
        <w:tc>
          <w:tcPr>
            <w:tcW w:w="1258" w:type="pct"/>
          </w:tcPr>
          <w:p w14:paraId="7E644053" w14:textId="77777777" w:rsidR="009C040E" w:rsidRPr="00886D8A" w:rsidRDefault="009C040E" w:rsidP="004E36D3">
            <w:pPr>
              <w:keepNext/>
            </w:pPr>
          </w:p>
        </w:tc>
        <w:tc>
          <w:tcPr>
            <w:tcW w:w="550" w:type="pct"/>
          </w:tcPr>
          <w:p w14:paraId="6704B500" w14:textId="77777777" w:rsidR="009C040E" w:rsidRPr="00886D8A" w:rsidRDefault="009C040E" w:rsidP="004E36D3">
            <w:pPr>
              <w:keepNext/>
              <w:rPr>
                <w:b/>
              </w:rPr>
            </w:pPr>
          </w:p>
        </w:tc>
        <w:tc>
          <w:tcPr>
            <w:tcW w:w="506" w:type="pct"/>
            <w:vAlign w:val="center"/>
          </w:tcPr>
          <w:p w14:paraId="3AA09CCA" w14:textId="77777777" w:rsidR="009C040E" w:rsidRPr="00886D8A" w:rsidRDefault="009C040E" w:rsidP="004E36D3">
            <w:pPr>
              <w:pStyle w:val="TableFigureHeading"/>
            </w:pPr>
            <w:r w:rsidRPr="00886D8A">
              <w:t>Year 1</w:t>
            </w:r>
          </w:p>
        </w:tc>
        <w:tc>
          <w:tcPr>
            <w:tcW w:w="506" w:type="pct"/>
            <w:vAlign w:val="center"/>
          </w:tcPr>
          <w:p w14:paraId="3EABB86A" w14:textId="77777777" w:rsidR="009C040E" w:rsidRPr="00886D8A" w:rsidRDefault="009C040E" w:rsidP="004E36D3">
            <w:pPr>
              <w:pStyle w:val="TableFigureHeading"/>
            </w:pPr>
            <w:r w:rsidRPr="00886D8A">
              <w:t>Year 2</w:t>
            </w:r>
          </w:p>
        </w:tc>
        <w:tc>
          <w:tcPr>
            <w:tcW w:w="506" w:type="pct"/>
            <w:vAlign w:val="center"/>
          </w:tcPr>
          <w:p w14:paraId="5CCE9BD7" w14:textId="77777777" w:rsidR="009C040E" w:rsidRPr="00886D8A" w:rsidRDefault="009C040E" w:rsidP="004E36D3">
            <w:pPr>
              <w:pStyle w:val="TableFigureHeading"/>
            </w:pPr>
            <w:r w:rsidRPr="00886D8A">
              <w:t>Year 3</w:t>
            </w:r>
          </w:p>
        </w:tc>
        <w:tc>
          <w:tcPr>
            <w:tcW w:w="506" w:type="pct"/>
            <w:vAlign w:val="center"/>
          </w:tcPr>
          <w:p w14:paraId="7D3D5F11" w14:textId="77777777" w:rsidR="009C040E" w:rsidRPr="00886D8A" w:rsidRDefault="009C040E" w:rsidP="004E36D3">
            <w:pPr>
              <w:pStyle w:val="TableFigureHeading"/>
            </w:pPr>
            <w:r w:rsidRPr="00886D8A">
              <w:t>Year 4</w:t>
            </w:r>
          </w:p>
        </w:tc>
        <w:tc>
          <w:tcPr>
            <w:tcW w:w="506" w:type="pct"/>
            <w:vAlign w:val="center"/>
          </w:tcPr>
          <w:p w14:paraId="367518D2" w14:textId="77777777" w:rsidR="009C040E" w:rsidRPr="00886D8A" w:rsidRDefault="009C040E" w:rsidP="004E36D3">
            <w:pPr>
              <w:pStyle w:val="TableFigureHeading"/>
            </w:pPr>
            <w:r w:rsidRPr="00886D8A">
              <w:t>Year 5</w:t>
            </w:r>
          </w:p>
        </w:tc>
        <w:tc>
          <w:tcPr>
            <w:tcW w:w="507" w:type="pct"/>
            <w:vAlign w:val="center"/>
          </w:tcPr>
          <w:p w14:paraId="4545FDB1" w14:textId="77777777" w:rsidR="009C040E" w:rsidRPr="00886D8A" w:rsidRDefault="009C040E" w:rsidP="004E36D3">
            <w:pPr>
              <w:pStyle w:val="TableFigureHeading"/>
            </w:pPr>
            <w:r w:rsidRPr="00886D8A">
              <w:t>Year 6</w:t>
            </w:r>
          </w:p>
        </w:tc>
      </w:tr>
      <w:tr w:rsidR="009C040E" w:rsidRPr="00886D8A" w14:paraId="4DFE7274" w14:textId="77777777" w:rsidTr="001F497E">
        <w:tc>
          <w:tcPr>
            <w:tcW w:w="155" w:type="pct"/>
          </w:tcPr>
          <w:p w14:paraId="214333F0" w14:textId="77777777" w:rsidR="009C040E" w:rsidRPr="00886D8A" w:rsidRDefault="009C040E" w:rsidP="004E36D3">
            <w:pPr>
              <w:pStyle w:val="TableText0"/>
            </w:pPr>
            <w:r w:rsidRPr="00886D8A">
              <w:t>A</w:t>
            </w:r>
          </w:p>
        </w:tc>
        <w:tc>
          <w:tcPr>
            <w:tcW w:w="1258" w:type="pct"/>
          </w:tcPr>
          <w:p w14:paraId="2A2C3496" w14:textId="77777777" w:rsidR="009C040E" w:rsidRPr="00886D8A" w:rsidRDefault="009C040E" w:rsidP="004E36D3">
            <w:pPr>
              <w:pStyle w:val="TableText0"/>
            </w:pPr>
            <w:r w:rsidRPr="00886D8A">
              <w:t xml:space="preserve">Estimated number of patients with AM </w:t>
            </w:r>
          </w:p>
        </w:tc>
        <w:tc>
          <w:tcPr>
            <w:tcW w:w="550" w:type="pct"/>
            <w:vAlign w:val="center"/>
          </w:tcPr>
          <w:p w14:paraId="7CEA3362" w14:textId="77777777" w:rsidR="009C040E" w:rsidRPr="00886D8A" w:rsidRDefault="009C040E" w:rsidP="004E36D3">
            <w:pPr>
              <w:pStyle w:val="TableText0"/>
            </w:pPr>
          </w:p>
        </w:tc>
        <w:tc>
          <w:tcPr>
            <w:tcW w:w="506" w:type="pct"/>
            <w:vAlign w:val="center"/>
          </w:tcPr>
          <w:p w14:paraId="3FC22F16" w14:textId="455BA898" w:rsidR="009C040E" w:rsidRPr="00A73265" w:rsidRDefault="00ED4AC4" w:rsidP="004E36D3">
            <w:pPr>
              <w:pStyle w:val="TableText0"/>
              <w:rPr>
                <w:highlight w:val="darkGray"/>
              </w:rPr>
            </w:pPr>
            <w:r w:rsidRPr="00896015">
              <w:rPr>
                <w:color w:val="000000"/>
                <w:spacing w:val="51"/>
                <w:shd w:val="solid" w:color="000000" w:fill="000000"/>
                <w:fitText w:val="326" w:id="-628411135"/>
                <w14:textFill>
                  <w14:solidFill>
                    <w14:srgbClr w14:val="000000">
                      <w14:alpha w14:val="100000"/>
                    </w14:srgbClr>
                  </w14:solidFill>
                </w14:textFill>
              </w:rPr>
              <w:t>|||</w:t>
            </w:r>
            <w:r w:rsidRPr="00896015">
              <w:rPr>
                <w:color w:val="000000"/>
                <w:spacing w:val="1"/>
                <w:shd w:val="solid" w:color="000000" w:fill="000000"/>
                <w:fitText w:val="326" w:id="-628411135"/>
                <w14:textFill>
                  <w14:solidFill>
                    <w14:srgbClr w14:val="000000">
                      <w14:alpha w14:val="100000"/>
                    </w14:srgbClr>
                  </w14:solidFill>
                </w14:textFill>
              </w:rPr>
              <w:t>|</w:t>
            </w:r>
            <w:r w:rsidR="006C43DC" w:rsidRPr="006C43DC">
              <w:rPr>
                <w:vertAlign w:val="superscript"/>
              </w:rPr>
              <w:t>1</w:t>
            </w:r>
          </w:p>
        </w:tc>
        <w:tc>
          <w:tcPr>
            <w:tcW w:w="506" w:type="pct"/>
            <w:vAlign w:val="center"/>
          </w:tcPr>
          <w:p w14:paraId="17953BD5" w14:textId="70F890C2" w:rsidR="009C040E" w:rsidRPr="00A73265" w:rsidRDefault="00ED4AC4" w:rsidP="004E36D3">
            <w:pPr>
              <w:pStyle w:val="TableText0"/>
              <w:rPr>
                <w:highlight w:val="darkGray"/>
              </w:rPr>
            </w:pPr>
            <w:r w:rsidRPr="00896015">
              <w:rPr>
                <w:color w:val="000000"/>
                <w:spacing w:val="51"/>
                <w:shd w:val="solid" w:color="000000" w:fill="000000"/>
                <w:fitText w:val="325" w:id="-628411134"/>
                <w14:textFill>
                  <w14:solidFill>
                    <w14:srgbClr w14:val="000000">
                      <w14:alpha w14:val="100000"/>
                    </w14:srgbClr>
                  </w14:solidFill>
                </w14:textFill>
              </w:rPr>
              <w:t>|||</w:t>
            </w:r>
            <w:r w:rsidRPr="00896015">
              <w:rPr>
                <w:color w:val="000000"/>
                <w:shd w:val="solid" w:color="000000" w:fill="000000"/>
                <w:fitText w:val="325" w:id="-628411134"/>
                <w14:textFill>
                  <w14:solidFill>
                    <w14:srgbClr w14:val="000000">
                      <w14:alpha w14:val="100000"/>
                    </w14:srgbClr>
                  </w14:solidFill>
                </w14:textFill>
              </w:rPr>
              <w:t>|</w:t>
            </w:r>
            <w:r w:rsidR="006C43DC" w:rsidRPr="006C43DC">
              <w:rPr>
                <w:vertAlign w:val="superscript"/>
              </w:rPr>
              <w:t>1</w:t>
            </w:r>
          </w:p>
        </w:tc>
        <w:tc>
          <w:tcPr>
            <w:tcW w:w="506" w:type="pct"/>
            <w:vAlign w:val="center"/>
          </w:tcPr>
          <w:p w14:paraId="53250FE0" w14:textId="406F1E32" w:rsidR="009C040E" w:rsidRPr="00A73265" w:rsidRDefault="00ED4AC4" w:rsidP="004E36D3">
            <w:pPr>
              <w:pStyle w:val="TableText0"/>
              <w:rPr>
                <w:highlight w:val="darkGray"/>
              </w:rPr>
            </w:pPr>
            <w:r w:rsidRPr="00896015">
              <w:rPr>
                <w:color w:val="000000"/>
                <w:spacing w:val="51"/>
                <w:shd w:val="solid" w:color="000000" w:fill="000000"/>
                <w:fitText w:val="325" w:id="-628411133"/>
                <w14:textFill>
                  <w14:solidFill>
                    <w14:srgbClr w14:val="000000">
                      <w14:alpha w14:val="100000"/>
                    </w14:srgbClr>
                  </w14:solidFill>
                </w14:textFill>
              </w:rPr>
              <w:t>|||</w:t>
            </w:r>
            <w:r w:rsidRPr="00896015">
              <w:rPr>
                <w:color w:val="000000"/>
                <w:shd w:val="solid" w:color="000000" w:fill="000000"/>
                <w:fitText w:val="325" w:id="-628411133"/>
                <w14:textFill>
                  <w14:solidFill>
                    <w14:srgbClr w14:val="000000">
                      <w14:alpha w14:val="100000"/>
                    </w14:srgbClr>
                  </w14:solidFill>
                </w14:textFill>
              </w:rPr>
              <w:t>|</w:t>
            </w:r>
            <w:r w:rsidR="006C43DC" w:rsidRPr="006C43DC">
              <w:rPr>
                <w:vertAlign w:val="superscript"/>
              </w:rPr>
              <w:t>1</w:t>
            </w:r>
          </w:p>
        </w:tc>
        <w:tc>
          <w:tcPr>
            <w:tcW w:w="506" w:type="pct"/>
            <w:vAlign w:val="center"/>
          </w:tcPr>
          <w:p w14:paraId="4FDEF8BD" w14:textId="3A37E0DC" w:rsidR="009C040E" w:rsidRPr="00A73265" w:rsidRDefault="00ED4AC4" w:rsidP="004E36D3">
            <w:pPr>
              <w:pStyle w:val="TableText0"/>
              <w:rPr>
                <w:highlight w:val="darkGray"/>
              </w:rPr>
            </w:pPr>
            <w:r w:rsidRPr="00896015">
              <w:rPr>
                <w:color w:val="000000"/>
                <w:spacing w:val="51"/>
                <w:shd w:val="solid" w:color="000000" w:fill="000000"/>
                <w:fitText w:val="325" w:id="-628411132"/>
                <w14:textFill>
                  <w14:solidFill>
                    <w14:srgbClr w14:val="000000">
                      <w14:alpha w14:val="100000"/>
                    </w14:srgbClr>
                  </w14:solidFill>
                </w14:textFill>
              </w:rPr>
              <w:t>|||</w:t>
            </w:r>
            <w:r w:rsidRPr="00896015">
              <w:rPr>
                <w:color w:val="000000"/>
                <w:shd w:val="solid" w:color="000000" w:fill="000000"/>
                <w:fitText w:val="325" w:id="-628411132"/>
                <w14:textFill>
                  <w14:solidFill>
                    <w14:srgbClr w14:val="000000">
                      <w14:alpha w14:val="100000"/>
                    </w14:srgbClr>
                  </w14:solidFill>
                </w14:textFill>
              </w:rPr>
              <w:t>|</w:t>
            </w:r>
            <w:r w:rsidR="006C43DC" w:rsidRPr="006C43DC">
              <w:rPr>
                <w:vertAlign w:val="superscript"/>
              </w:rPr>
              <w:t>1</w:t>
            </w:r>
          </w:p>
        </w:tc>
        <w:tc>
          <w:tcPr>
            <w:tcW w:w="506" w:type="pct"/>
            <w:vAlign w:val="center"/>
          </w:tcPr>
          <w:p w14:paraId="37F947DF" w14:textId="63FEFB7B" w:rsidR="009C040E" w:rsidRPr="00A73265" w:rsidRDefault="00ED4AC4" w:rsidP="004E36D3">
            <w:pPr>
              <w:pStyle w:val="TableText0"/>
              <w:rPr>
                <w:highlight w:val="darkGray"/>
              </w:rPr>
            </w:pPr>
            <w:r w:rsidRPr="00896015">
              <w:rPr>
                <w:color w:val="000000"/>
                <w:spacing w:val="51"/>
                <w:shd w:val="solid" w:color="000000" w:fill="000000"/>
                <w:fitText w:val="325" w:id="-628411131"/>
                <w14:textFill>
                  <w14:solidFill>
                    <w14:srgbClr w14:val="000000">
                      <w14:alpha w14:val="100000"/>
                    </w14:srgbClr>
                  </w14:solidFill>
                </w14:textFill>
              </w:rPr>
              <w:t>|||</w:t>
            </w:r>
            <w:r w:rsidRPr="00896015">
              <w:rPr>
                <w:color w:val="000000"/>
                <w:shd w:val="solid" w:color="000000" w:fill="000000"/>
                <w:fitText w:val="325" w:id="-628411131"/>
                <w14:textFill>
                  <w14:solidFill>
                    <w14:srgbClr w14:val="000000">
                      <w14:alpha w14:val="100000"/>
                    </w14:srgbClr>
                  </w14:solidFill>
                </w14:textFill>
              </w:rPr>
              <w:t>|</w:t>
            </w:r>
            <w:r w:rsidR="006C43DC" w:rsidRPr="006C43DC">
              <w:rPr>
                <w:vertAlign w:val="superscript"/>
              </w:rPr>
              <w:t>1</w:t>
            </w:r>
          </w:p>
        </w:tc>
        <w:tc>
          <w:tcPr>
            <w:tcW w:w="507" w:type="pct"/>
            <w:vAlign w:val="center"/>
          </w:tcPr>
          <w:p w14:paraId="71470E59" w14:textId="1606BAFE" w:rsidR="009C040E" w:rsidRPr="00A73265" w:rsidRDefault="00ED4AC4" w:rsidP="004E36D3">
            <w:pPr>
              <w:pStyle w:val="TableText0"/>
              <w:rPr>
                <w:highlight w:val="darkGray"/>
              </w:rPr>
            </w:pPr>
            <w:r w:rsidRPr="00896015">
              <w:rPr>
                <w:color w:val="000000"/>
                <w:spacing w:val="51"/>
                <w:shd w:val="solid" w:color="000000" w:fill="000000"/>
                <w:fitText w:val="326" w:id="-628411130"/>
                <w14:textFill>
                  <w14:solidFill>
                    <w14:srgbClr w14:val="000000">
                      <w14:alpha w14:val="100000"/>
                    </w14:srgbClr>
                  </w14:solidFill>
                </w14:textFill>
              </w:rPr>
              <w:t>|||</w:t>
            </w:r>
            <w:r w:rsidRPr="00896015">
              <w:rPr>
                <w:color w:val="000000"/>
                <w:spacing w:val="1"/>
                <w:shd w:val="solid" w:color="000000" w:fill="000000"/>
                <w:fitText w:val="326" w:id="-628411130"/>
                <w14:textFill>
                  <w14:solidFill>
                    <w14:srgbClr w14:val="000000">
                      <w14:alpha w14:val="100000"/>
                    </w14:srgbClr>
                  </w14:solidFill>
                </w14:textFill>
              </w:rPr>
              <w:t>|</w:t>
            </w:r>
            <w:r w:rsidR="006C43DC" w:rsidRPr="006C43DC">
              <w:rPr>
                <w:vertAlign w:val="superscript"/>
              </w:rPr>
              <w:t>1</w:t>
            </w:r>
          </w:p>
        </w:tc>
      </w:tr>
      <w:tr w:rsidR="009C040E" w:rsidRPr="00886D8A" w14:paraId="1BEBEA77" w14:textId="77777777" w:rsidTr="001F497E">
        <w:tc>
          <w:tcPr>
            <w:tcW w:w="155" w:type="pct"/>
          </w:tcPr>
          <w:p w14:paraId="3579AB60" w14:textId="77777777" w:rsidR="009C040E" w:rsidRPr="00886D8A" w:rsidRDefault="009C040E" w:rsidP="004E36D3">
            <w:pPr>
              <w:pStyle w:val="TableText0"/>
            </w:pPr>
            <w:r w:rsidRPr="00886D8A">
              <w:t>B</w:t>
            </w:r>
          </w:p>
        </w:tc>
        <w:tc>
          <w:tcPr>
            <w:tcW w:w="1258" w:type="pct"/>
          </w:tcPr>
          <w:p w14:paraId="17B0568C" w14:textId="77777777" w:rsidR="009C040E" w:rsidRPr="00886D8A" w:rsidRDefault="009C040E" w:rsidP="004E36D3">
            <w:pPr>
              <w:pStyle w:val="TableText0"/>
            </w:pPr>
            <w:r w:rsidRPr="00886D8A">
              <w:t>Estimated number of patients eligible for the requested restriction</w:t>
            </w:r>
          </w:p>
        </w:tc>
        <w:tc>
          <w:tcPr>
            <w:tcW w:w="550" w:type="pct"/>
            <w:vAlign w:val="center"/>
          </w:tcPr>
          <w:p w14:paraId="62F4F613" w14:textId="77777777" w:rsidR="009C040E" w:rsidRPr="00886D8A" w:rsidRDefault="009C040E" w:rsidP="004E36D3">
            <w:pPr>
              <w:pStyle w:val="TableText0"/>
            </w:pPr>
          </w:p>
        </w:tc>
        <w:tc>
          <w:tcPr>
            <w:tcW w:w="506" w:type="pct"/>
            <w:vAlign w:val="center"/>
          </w:tcPr>
          <w:p w14:paraId="6A912019" w14:textId="2CF12BEE" w:rsidR="009C040E" w:rsidRPr="00A73265" w:rsidRDefault="00ED4AC4" w:rsidP="004E36D3">
            <w:pPr>
              <w:pStyle w:val="TableText0"/>
              <w:rPr>
                <w:highlight w:val="darkGray"/>
              </w:rPr>
            </w:pPr>
            <w:r w:rsidRPr="00896015">
              <w:rPr>
                <w:color w:val="000000"/>
                <w:spacing w:val="51"/>
                <w:shd w:val="solid" w:color="000000" w:fill="000000"/>
                <w:fitText w:val="326" w:id="-628411129"/>
                <w14:textFill>
                  <w14:solidFill>
                    <w14:srgbClr w14:val="000000">
                      <w14:alpha w14:val="100000"/>
                    </w14:srgbClr>
                  </w14:solidFill>
                </w14:textFill>
              </w:rPr>
              <w:t>|||</w:t>
            </w:r>
            <w:r w:rsidRPr="00896015">
              <w:rPr>
                <w:color w:val="000000"/>
                <w:spacing w:val="1"/>
                <w:shd w:val="solid" w:color="000000" w:fill="000000"/>
                <w:fitText w:val="326" w:id="-628411129"/>
                <w14:textFill>
                  <w14:solidFill>
                    <w14:srgbClr w14:val="000000">
                      <w14:alpha w14:val="100000"/>
                    </w14:srgbClr>
                  </w14:solidFill>
                </w14:textFill>
              </w:rPr>
              <w:t>|</w:t>
            </w:r>
            <w:r w:rsidR="006C43DC" w:rsidRPr="006C43DC">
              <w:rPr>
                <w:vertAlign w:val="superscript"/>
              </w:rPr>
              <w:t>1</w:t>
            </w:r>
          </w:p>
        </w:tc>
        <w:tc>
          <w:tcPr>
            <w:tcW w:w="506" w:type="pct"/>
            <w:vAlign w:val="center"/>
          </w:tcPr>
          <w:p w14:paraId="5C89602F" w14:textId="6CA36A59" w:rsidR="009C040E" w:rsidRPr="00A73265" w:rsidRDefault="00ED4AC4" w:rsidP="004E36D3">
            <w:pPr>
              <w:pStyle w:val="TableText0"/>
              <w:rPr>
                <w:highlight w:val="darkGray"/>
              </w:rPr>
            </w:pPr>
            <w:r w:rsidRPr="00896015">
              <w:rPr>
                <w:color w:val="000000"/>
                <w:spacing w:val="51"/>
                <w:shd w:val="solid" w:color="000000" w:fill="000000"/>
                <w:fitText w:val="325" w:id="-628411128"/>
                <w14:textFill>
                  <w14:solidFill>
                    <w14:srgbClr w14:val="000000">
                      <w14:alpha w14:val="100000"/>
                    </w14:srgbClr>
                  </w14:solidFill>
                </w14:textFill>
              </w:rPr>
              <w:t>|||</w:t>
            </w:r>
            <w:r w:rsidRPr="00896015">
              <w:rPr>
                <w:color w:val="000000"/>
                <w:shd w:val="solid" w:color="000000" w:fill="000000"/>
                <w:fitText w:val="325" w:id="-628411128"/>
                <w14:textFill>
                  <w14:solidFill>
                    <w14:srgbClr w14:val="000000">
                      <w14:alpha w14:val="100000"/>
                    </w14:srgbClr>
                  </w14:solidFill>
                </w14:textFill>
              </w:rPr>
              <w:t>|</w:t>
            </w:r>
            <w:r w:rsidR="008E5662" w:rsidRPr="006C43DC">
              <w:rPr>
                <w:vertAlign w:val="superscript"/>
              </w:rPr>
              <w:t>1</w:t>
            </w:r>
          </w:p>
        </w:tc>
        <w:tc>
          <w:tcPr>
            <w:tcW w:w="506" w:type="pct"/>
            <w:vAlign w:val="center"/>
          </w:tcPr>
          <w:p w14:paraId="1D3BC3A4" w14:textId="6B8A1662" w:rsidR="009C040E" w:rsidRPr="00A73265" w:rsidRDefault="00ED4AC4" w:rsidP="004E36D3">
            <w:pPr>
              <w:pStyle w:val="TableText0"/>
              <w:rPr>
                <w:highlight w:val="darkGray"/>
              </w:rPr>
            </w:pPr>
            <w:r w:rsidRPr="00896015">
              <w:rPr>
                <w:color w:val="000000"/>
                <w:spacing w:val="51"/>
                <w:shd w:val="solid" w:color="000000" w:fill="000000"/>
                <w:fitText w:val="325" w:id="-628411127"/>
                <w14:textFill>
                  <w14:solidFill>
                    <w14:srgbClr w14:val="000000">
                      <w14:alpha w14:val="100000"/>
                    </w14:srgbClr>
                  </w14:solidFill>
                </w14:textFill>
              </w:rPr>
              <w:t>|||</w:t>
            </w:r>
            <w:r w:rsidRPr="00896015">
              <w:rPr>
                <w:color w:val="000000"/>
                <w:shd w:val="solid" w:color="000000" w:fill="000000"/>
                <w:fitText w:val="325" w:id="-628411127"/>
                <w14:textFill>
                  <w14:solidFill>
                    <w14:srgbClr w14:val="000000">
                      <w14:alpha w14:val="100000"/>
                    </w14:srgbClr>
                  </w14:solidFill>
                </w14:textFill>
              </w:rPr>
              <w:t>|</w:t>
            </w:r>
            <w:r w:rsidR="008E5662" w:rsidRPr="006C43DC">
              <w:rPr>
                <w:vertAlign w:val="superscript"/>
              </w:rPr>
              <w:t>1</w:t>
            </w:r>
          </w:p>
        </w:tc>
        <w:tc>
          <w:tcPr>
            <w:tcW w:w="506" w:type="pct"/>
            <w:vAlign w:val="center"/>
          </w:tcPr>
          <w:p w14:paraId="18CD38E2" w14:textId="508D84E1" w:rsidR="009C040E" w:rsidRPr="00A73265" w:rsidRDefault="00ED4AC4" w:rsidP="004E36D3">
            <w:pPr>
              <w:pStyle w:val="TableText0"/>
              <w:rPr>
                <w:highlight w:val="darkGray"/>
              </w:rPr>
            </w:pPr>
            <w:r w:rsidRPr="00896015">
              <w:rPr>
                <w:color w:val="000000"/>
                <w:spacing w:val="51"/>
                <w:shd w:val="solid" w:color="000000" w:fill="000000"/>
                <w:fitText w:val="325" w:id="-628411126"/>
                <w14:textFill>
                  <w14:solidFill>
                    <w14:srgbClr w14:val="000000">
                      <w14:alpha w14:val="100000"/>
                    </w14:srgbClr>
                  </w14:solidFill>
                </w14:textFill>
              </w:rPr>
              <w:t>|||</w:t>
            </w:r>
            <w:r w:rsidRPr="00896015">
              <w:rPr>
                <w:color w:val="000000"/>
                <w:shd w:val="solid" w:color="000000" w:fill="000000"/>
                <w:fitText w:val="325" w:id="-628411126"/>
                <w14:textFill>
                  <w14:solidFill>
                    <w14:srgbClr w14:val="000000">
                      <w14:alpha w14:val="100000"/>
                    </w14:srgbClr>
                  </w14:solidFill>
                </w14:textFill>
              </w:rPr>
              <w:t>|</w:t>
            </w:r>
            <w:r w:rsidR="008E5662" w:rsidRPr="006C43DC">
              <w:rPr>
                <w:vertAlign w:val="superscript"/>
              </w:rPr>
              <w:t>1</w:t>
            </w:r>
          </w:p>
        </w:tc>
        <w:tc>
          <w:tcPr>
            <w:tcW w:w="506" w:type="pct"/>
            <w:vAlign w:val="center"/>
          </w:tcPr>
          <w:p w14:paraId="140BE276" w14:textId="6EDD6093" w:rsidR="009C040E" w:rsidRPr="00A73265" w:rsidRDefault="00ED4AC4" w:rsidP="004E36D3">
            <w:pPr>
              <w:pStyle w:val="TableText0"/>
              <w:rPr>
                <w:highlight w:val="darkGray"/>
              </w:rPr>
            </w:pPr>
            <w:r w:rsidRPr="00896015">
              <w:rPr>
                <w:color w:val="000000"/>
                <w:spacing w:val="51"/>
                <w:shd w:val="solid" w:color="000000" w:fill="000000"/>
                <w:fitText w:val="325" w:id="-628411125"/>
                <w14:textFill>
                  <w14:solidFill>
                    <w14:srgbClr w14:val="000000">
                      <w14:alpha w14:val="100000"/>
                    </w14:srgbClr>
                  </w14:solidFill>
                </w14:textFill>
              </w:rPr>
              <w:t>|||</w:t>
            </w:r>
            <w:r w:rsidRPr="00896015">
              <w:rPr>
                <w:color w:val="000000"/>
                <w:shd w:val="solid" w:color="000000" w:fill="000000"/>
                <w:fitText w:val="325" w:id="-628411125"/>
                <w14:textFill>
                  <w14:solidFill>
                    <w14:srgbClr w14:val="000000">
                      <w14:alpha w14:val="100000"/>
                    </w14:srgbClr>
                  </w14:solidFill>
                </w14:textFill>
              </w:rPr>
              <w:t>|</w:t>
            </w:r>
            <w:r w:rsidR="008E5662" w:rsidRPr="006C43DC">
              <w:rPr>
                <w:vertAlign w:val="superscript"/>
              </w:rPr>
              <w:t>1</w:t>
            </w:r>
          </w:p>
        </w:tc>
        <w:tc>
          <w:tcPr>
            <w:tcW w:w="507" w:type="pct"/>
            <w:vAlign w:val="center"/>
          </w:tcPr>
          <w:p w14:paraId="26FB90BA" w14:textId="0B8F230F" w:rsidR="009C040E" w:rsidRPr="00A73265" w:rsidRDefault="00ED4AC4" w:rsidP="004E36D3">
            <w:pPr>
              <w:pStyle w:val="TableText0"/>
              <w:rPr>
                <w:highlight w:val="darkGray"/>
              </w:rPr>
            </w:pPr>
            <w:r w:rsidRPr="00896015">
              <w:rPr>
                <w:color w:val="000000"/>
                <w:spacing w:val="51"/>
                <w:shd w:val="solid" w:color="000000" w:fill="000000"/>
                <w:fitText w:val="326" w:id="-628411124"/>
                <w14:textFill>
                  <w14:solidFill>
                    <w14:srgbClr w14:val="000000">
                      <w14:alpha w14:val="100000"/>
                    </w14:srgbClr>
                  </w14:solidFill>
                </w14:textFill>
              </w:rPr>
              <w:t>|||</w:t>
            </w:r>
            <w:r w:rsidRPr="00896015">
              <w:rPr>
                <w:color w:val="000000"/>
                <w:spacing w:val="1"/>
                <w:shd w:val="solid" w:color="000000" w:fill="000000"/>
                <w:fitText w:val="326" w:id="-628411124"/>
                <w14:textFill>
                  <w14:solidFill>
                    <w14:srgbClr w14:val="000000">
                      <w14:alpha w14:val="100000"/>
                    </w14:srgbClr>
                  </w14:solidFill>
                </w14:textFill>
              </w:rPr>
              <w:t>|</w:t>
            </w:r>
            <w:r w:rsidR="008E5662" w:rsidRPr="006C43DC">
              <w:rPr>
                <w:vertAlign w:val="superscript"/>
              </w:rPr>
              <w:t>1</w:t>
            </w:r>
          </w:p>
        </w:tc>
      </w:tr>
      <w:tr w:rsidR="009C040E" w:rsidRPr="00886D8A" w14:paraId="4B8411BC" w14:textId="77777777" w:rsidTr="001F497E">
        <w:tc>
          <w:tcPr>
            <w:tcW w:w="155" w:type="pct"/>
          </w:tcPr>
          <w:p w14:paraId="448EA83A" w14:textId="77777777" w:rsidR="009C040E" w:rsidRPr="00886D8A" w:rsidRDefault="009C040E" w:rsidP="004E36D3">
            <w:pPr>
              <w:pStyle w:val="TableText0"/>
            </w:pPr>
            <w:r w:rsidRPr="00886D8A">
              <w:t>C</w:t>
            </w:r>
          </w:p>
        </w:tc>
        <w:tc>
          <w:tcPr>
            <w:tcW w:w="1258" w:type="pct"/>
          </w:tcPr>
          <w:p w14:paraId="2FD8A079" w14:textId="77777777" w:rsidR="009C040E" w:rsidRPr="00886D8A" w:rsidRDefault="009C040E" w:rsidP="004E36D3">
            <w:pPr>
              <w:pStyle w:val="TableText0"/>
            </w:pPr>
            <w:r w:rsidRPr="00886D8A">
              <w:t>Number of treated paediatric (&lt;18 years) patients</w:t>
            </w:r>
          </w:p>
        </w:tc>
        <w:tc>
          <w:tcPr>
            <w:tcW w:w="550" w:type="pct"/>
            <w:vAlign w:val="center"/>
          </w:tcPr>
          <w:p w14:paraId="24910EE9" w14:textId="77777777" w:rsidR="009C040E" w:rsidRPr="00886D8A" w:rsidRDefault="009C040E" w:rsidP="004E36D3">
            <w:pPr>
              <w:pStyle w:val="TableText0"/>
            </w:pPr>
          </w:p>
        </w:tc>
        <w:tc>
          <w:tcPr>
            <w:tcW w:w="506" w:type="pct"/>
            <w:vAlign w:val="center"/>
          </w:tcPr>
          <w:p w14:paraId="6BF5C906" w14:textId="0457319F" w:rsidR="009C040E" w:rsidRPr="00A73265" w:rsidRDefault="00ED4AC4" w:rsidP="004E36D3">
            <w:pPr>
              <w:pStyle w:val="TableText0"/>
              <w:rPr>
                <w:highlight w:val="darkGray"/>
              </w:rPr>
            </w:pPr>
            <w:r w:rsidRPr="00896015">
              <w:rPr>
                <w:color w:val="000000"/>
                <w:spacing w:val="51"/>
                <w:shd w:val="solid" w:color="000000" w:fill="000000"/>
                <w:fitText w:val="326" w:id="-628411123"/>
                <w14:textFill>
                  <w14:solidFill>
                    <w14:srgbClr w14:val="000000">
                      <w14:alpha w14:val="100000"/>
                    </w14:srgbClr>
                  </w14:solidFill>
                </w14:textFill>
              </w:rPr>
              <w:t>|||</w:t>
            </w:r>
            <w:r w:rsidRPr="00896015">
              <w:rPr>
                <w:color w:val="000000"/>
                <w:spacing w:val="1"/>
                <w:shd w:val="solid" w:color="000000" w:fill="000000"/>
                <w:fitText w:val="326" w:id="-628411123"/>
                <w14:textFill>
                  <w14:solidFill>
                    <w14:srgbClr w14:val="000000">
                      <w14:alpha w14:val="100000"/>
                    </w14:srgbClr>
                  </w14:solidFill>
                </w14:textFill>
              </w:rPr>
              <w:t>|</w:t>
            </w:r>
            <w:r w:rsidR="008E5662" w:rsidRPr="006C43DC">
              <w:rPr>
                <w:vertAlign w:val="superscript"/>
              </w:rPr>
              <w:t>1</w:t>
            </w:r>
          </w:p>
        </w:tc>
        <w:tc>
          <w:tcPr>
            <w:tcW w:w="506" w:type="pct"/>
            <w:vAlign w:val="center"/>
          </w:tcPr>
          <w:p w14:paraId="4F2DD6DA" w14:textId="51F6742D" w:rsidR="009C040E" w:rsidRPr="00A73265" w:rsidRDefault="00ED4AC4" w:rsidP="004E36D3">
            <w:pPr>
              <w:pStyle w:val="TableText0"/>
              <w:rPr>
                <w:highlight w:val="darkGray"/>
              </w:rPr>
            </w:pPr>
            <w:r w:rsidRPr="00896015">
              <w:rPr>
                <w:color w:val="000000"/>
                <w:spacing w:val="51"/>
                <w:shd w:val="solid" w:color="000000" w:fill="000000"/>
                <w:fitText w:val="325" w:id="-628411122"/>
                <w14:textFill>
                  <w14:solidFill>
                    <w14:srgbClr w14:val="000000">
                      <w14:alpha w14:val="100000"/>
                    </w14:srgbClr>
                  </w14:solidFill>
                </w14:textFill>
              </w:rPr>
              <w:t>|||</w:t>
            </w:r>
            <w:r w:rsidRPr="00896015">
              <w:rPr>
                <w:color w:val="000000"/>
                <w:shd w:val="solid" w:color="000000" w:fill="000000"/>
                <w:fitText w:val="325" w:id="-628411122"/>
                <w14:textFill>
                  <w14:solidFill>
                    <w14:srgbClr w14:val="000000">
                      <w14:alpha w14:val="100000"/>
                    </w14:srgbClr>
                  </w14:solidFill>
                </w14:textFill>
              </w:rPr>
              <w:t>|</w:t>
            </w:r>
            <w:r w:rsidR="008E5662" w:rsidRPr="006C43DC">
              <w:rPr>
                <w:vertAlign w:val="superscript"/>
              </w:rPr>
              <w:t>1</w:t>
            </w:r>
          </w:p>
        </w:tc>
        <w:tc>
          <w:tcPr>
            <w:tcW w:w="506" w:type="pct"/>
            <w:vAlign w:val="center"/>
          </w:tcPr>
          <w:p w14:paraId="2C9843C9" w14:textId="045D354C" w:rsidR="009C040E" w:rsidRPr="00A73265" w:rsidRDefault="00ED4AC4" w:rsidP="004E36D3">
            <w:pPr>
              <w:pStyle w:val="TableText0"/>
              <w:rPr>
                <w:highlight w:val="darkGray"/>
              </w:rPr>
            </w:pPr>
            <w:r w:rsidRPr="00896015">
              <w:rPr>
                <w:color w:val="000000"/>
                <w:spacing w:val="51"/>
                <w:shd w:val="solid" w:color="000000" w:fill="000000"/>
                <w:fitText w:val="325" w:id="-628411121"/>
                <w14:textFill>
                  <w14:solidFill>
                    <w14:srgbClr w14:val="000000">
                      <w14:alpha w14:val="100000"/>
                    </w14:srgbClr>
                  </w14:solidFill>
                </w14:textFill>
              </w:rPr>
              <w:t>|||</w:t>
            </w:r>
            <w:r w:rsidRPr="00896015">
              <w:rPr>
                <w:color w:val="000000"/>
                <w:shd w:val="solid" w:color="000000" w:fill="000000"/>
                <w:fitText w:val="325" w:id="-628411121"/>
                <w14:textFill>
                  <w14:solidFill>
                    <w14:srgbClr w14:val="000000">
                      <w14:alpha w14:val="100000"/>
                    </w14:srgbClr>
                  </w14:solidFill>
                </w14:textFill>
              </w:rPr>
              <w:t>|</w:t>
            </w:r>
            <w:r w:rsidR="008E5662" w:rsidRPr="006C43DC">
              <w:rPr>
                <w:vertAlign w:val="superscript"/>
              </w:rPr>
              <w:t>1</w:t>
            </w:r>
          </w:p>
        </w:tc>
        <w:tc>
          <w:tcPr>
            <w:tcW w:w="506" w:type="pct"/>
            <w:vAlign w:val="center"/>
          </w:tcPr>
          <w:p w14:paraId="686D40A5" w14:textId="0A3340FA" w:rsidR="009C040E" w:rsidRPr="00A73265" w:rsidRDefault="00ED4AC4" w:rsidP="004E36D3">
            <w:pPr>
              <w:pStyle w:val="TableText0"/>
              <w:rPr>
                <w:highlight w:val="darkGray"/>
              </w:rPr>
            </w:pPr>
            <w:r w:rsidRPr="00896015">
              <w:rPr>
                <w:color w:val="000000"/>
                <w:spacing w:val="51"/>
                <w:shd w:val="solid" w:color="000000" w:fill="000000"/>
                <w:fitText w:val="325" w:id="-628411120"/>
                <w14:textFill>
                  <w14:solidFill>
                    <w14:srgbClr w14:val="000000">
                      <w14:alpha w14:val="100000"/>
                    </w14:srgbClr>
                  </w14:solidFill>
                </w14:textFill>
              </w:rPr>
              <w:t>|||</w:t>
            </w:r>
            <w:r w:rsidRPr="00896015">
              <w:rPr>
                <w:color w:val="000000"/>
                <w:shd w:val="solid" w:color="000000" w:fill="000000"/>
                <w:fitText w:val="325" w:id="-628411120"/>
                <w14:textFill>
                  <w14:solidFill>
                    <w14:srgbClr w14:val="000000">
                      <w14:alpha w14:val="100000"/>
                    </w14:srgbClr>
                  </w14:solidFill>
                </w14:textFill>
              </w:rPr>
              <w:t>|</w:t>
            </w:r>
            <w:r w:rsidR="008E5662" w:rsidRPr="006C43DC">
              <w:rPr>
                <w:vertAlign w:val="superscript"/>
              </w:rPr>
              <w:t>1</w:t>
            </w:r>
          </w:p>
        </w:tc>
        <w:tc>
          <w:tcPr>
            <w:tcW w:w="506" w:type="pct"/>
            <w:vAlign w:val="center"/>
          </w:tcPr>
          <w:p w14:paraId="4255F6D9" w14:textId="7AE36D30" w:rsidR="009C040E" w:rsidRPr="00A73265" w:rsidRDefault="00ED4AC4" w:rsidP="004E36D3">
            <w:pPr>
              <w:pStyle w:val="TableText0"/>
              <w:rPr>
                <w:highlight w:val="darkGray"/>
              </w:rPr>
            </w:pPr>
            <w:r w:rsidRPr="00896015">
              <w:rPr>
                <w:color w:val="000000"/>
                <w:spacing w:val="51"/>
                <w:shd w:val="solid" w:color="000000" w:fill="000000"/>
                <w:fitText w:val="325" w:id="-628411136"/>
                <w14:textFill>
                  <w14:solidFill>
                    <w14:srgbClr w14:val="000000">
                      <w14:alpha w14:val="100000"/>
                    </w14:srgbClr>
                  </w14:solidFill>
                </w14:textFill>
              </w:rPr>
              <w:t>|||</w:t>
            </w:r>
            <w:r w:rsidRPr="00896015">
              <w:rPr>
                <w:color w:val="000000"/>
                <w:shd w:val="solid" w:color="000000" w:fill="000000"/>
                <w:fitText w:val="325" w:id="-628411136"/>
                <w14:textFill>
                  <w14:solidFill>
                    <w14:srgbClr w14:val="000000">
                      <w14:alpha w14:val="100000"/>
                    </w14:srgbClr>
                  </w14:solidFill>
                </w14:textFill>
              </w:rPr>
              <w:t>|</w:t>
            </w:r>
            <w:r w:rsidR="008E5662" w:rsidRPr="006C43DC">
              <w:rPr>
                <w:vertAlign w:val="superscript"/>
              </w:rPr>
              <w:t>1</w:t>
            </w:r>
          </w:p>
        </w:tc>
        <w:tc>
          <w:tcPr>
            <w:tcW w:w="507" w:type="pct"/>
            <w:vAlign w:val="center"/>
          </w:tcPr>
          <w:p w14:paraId="76EBB4CD" w14:textId="5A625F13" w:rsidR="009C040E" w:rsidRPr="00A73265" w:rsidRDefault="00ED4AC4" w:rsidP="004E36D3">
            <w:pPr>
              <w:pStyle w:val="TableText0"/>
              <w:rPr>
                <w:highlight w:val="darkGray"/>
              </w:rPr>
            </w:pPr>
            <w:r w:rsidRPr="00896015">
              <w:rPr>
                <w:color w:val="000000"/>
                <w:spacing w:val="51"/>
                <w:shd w:val="solid" w:color="000000" w:fill="000000"/>
                <w:fitText w:val="326" w:id="-628411135"/>
                <w14:textFill>
                  <w14:solidFill>
                    <w14:srgbClr w14:val="000000">
                      <w14:alpha w14:val="100000"/>
                    </w14:srgbClr>
                  </w14:solidFill>
                </w14:textFill>
              </w:rPr>
              <w:t>|||</w:t>
            </w:r>
            <w:r w:rsidRPr="00896015">
              <w:rPr>
                <w:color w:val="000000"/>
                <w:spacing w:val="1"/>
                <w:shd w:val="solid" w:color="000000" w:fill="000000"/>
                <w:fitText w:val="326" w:id="-628411135"/>
                <w14:textFill>
                  <w14:solidFill>
                    <w14:srgbClr w14:val="000000">
                      <w14:alpha w14:val="100000"/>
                    </w14:srgbClr>
                  </w14:solidFill>
                </w14:textFill>
              </w:rPr>
              <w:t>|</w:t>
            </w:r>
            <w:r w:rsidR="008E5662" w:rsidRPr="006C43DC">
              <w:rPr>
                <w:vertAlign w:val="superscript"/>
              </w:rPr>
              <w:t>1</w:t>
            </w:r>
          </w:p>
        </w:tc>
      </w:tr>
      <w:tr w:rsidR="009C040E" w:rsidRPr="00886D8A" w14:paraId="37564E60" w14:textId="77777777" w:rsidTr="001F497E">
        <w:tc>
          <w:tcPr>
            <w:tcW w:w="155" w:type="pct"/>
          </w:tcPr>
          <w:p w14:paraId="24A93D7A" w14:textId="77777777" w:rsidR="009C040E" w:rsidRPr="00886D8A" w:rsidRDefault="009C040E" w:rsidP="004E36D3">
            <w:pPr>
              <w:pStyle w:val="TableText0"/>
            </w:pPr>
            <w:r w:rsidRPr="00886D8A">
              <w:t>D</w:t>
            </w:r>
          </w:p>
        </w:tc>
        <w:tc>
          <w:tcPr>
            <w:tcW w:w="1258" w:type="pct"/>
          </w:tcPr>
          <w:p w14:paraId="0BA8458B" w14:textId="77777777" w:rsidR="009C040E" w:rsidRPr="00886D8A" w:rsidRDefault="009C040E" w:rsidP="004E36D3">
            <w:pPr>
              <w:pStyle w:val="TableText0"/>
            </w:pPr>
            <w:r w:rsidRPr="00886D8A">
              <w:t>Number of treated adult (≥18 years) patients</w:t>
            </w:r>
          </w:p>
        </w:tc>
        <w:tc>
          <w:tcPr>
            <w:tcW w:w="550" w:type="pct"/>
            <w:vAlign w:val="center"/>
          </w:tcPr>
          <w:p w14:paraId="51809F44" w14:textId="77777777" w:rsidR="009C040E" w:rsidRPr="00886D8A" w:rsidRDefault="009C040E" w:rsidP="004E36D3">
            <w:pPr>
              <w:pStyle w:val="TableText0"/>
            </w:pPr>
          </w:p>
        </w:tc>
        <w:tc>
          <w:tcPr>
            <w:tcW w:w="506" w:type="pct"/>
            <w:vAlign w:val="center"/>
          </w:tcPr>
          <w:p w14:paraId="4E6ACF44" w14:textId="3CDE658B" w:rsidR="009C040E" w:rsidRPr="00A73265" w:rsidRDefault="00ED4AC4" w:rsidP="004E36D3">
            <w:pPr>
              <w:pStyle w:val="TableText0"/>
              <w:rPr>
                <w:highlight w:val="darkGray"/>
              </w:rPr>
            </w:pPr>
            <w:r w:rsidRPr="00896015">
              <w:rPr>
                <w:color w:val="000000"/>
                <w:spacing w:val="51"/>
                <w:shd w:val="solid" w:color="000000" w:fill="000000"/>
                <w:fitText w:val="326" w:id="-628411134"/>
                <w14:textFill>
                  <w14:solidFill>
                    <w14:srgbClr w14:val="000000">
                      <w14:alpha w14:val="100000"/>
                    </w14:srgbClr>
                  </w14:solidFill>
                </w14:textFill>
              </w:rPr>
              <w:t>|||</w:t>
            </w:r>
            <w:r w:rsidRPr="00896015">
              <w:rPr>
                <w:color w:val="000000"/>
                <w:spacing w:val="1"/>
                <w:shd w:val="solid" w:color="000000" w:fill="000000"/>
                <w:fitText w:val="326" w:id="-628411134"/>
                <w14:textFill>
                  <w14:solidFill>
                    <w14:srgbClr w14:val="000000">
                      <w14:alpha w14:val="100000"/>
                    </w14:srgbClr>
                  </w14:solidFill>
                </w14:textFill>
              </w:rPr>
              <w:t>|</w:t>
            </w:r>
            <w:r w:rsidR="00BE3D26" w:rsidRPr="006C43DC">
              <w:rPr>
                <w:vertAlign w:val="superscript"/>
              </w:rPr>
              <w:t>1</w:t>
            </w:r>
          </w:p>
        </w:tc>
        <w:tc>
          <w:tcPr>
            <w:tcW w:w="506" w:type="pct"/>
            <w:vAlign w:val="center"/>
          </w:tcPr>
          <w:p w14:paraId="729E3C31" w14:textId="12588DE5" w:rsidR="009C040E" w:rsidRPr="00A73265" w:rsidRDefault="00ED4AC4" w:rsidP="004E36D3">
            <w:pPr>
              <w:pStyle w:val="TableText0"/>
              <w:rPr>
                <w:highlight w:val="darkGray"/>
              </w:rPr>
            </w:pPr>
            <w:r w:rsidRPr="00896015">
              <w:rPr>
                <w:color w:val="000000"/>
                <w:spacing w:val="51"/>
                <w:shd w:val="solid" w:color="000000" w:fill="000000"/>
                <w:fitText w:val="325" w:id="-628411133"/>
                <w14:textFill>
                  <w14:solidFill>
                    <w14:srgbClr w14:val="000000">
                      <w14:alpha w14:val="100000"/>
                    </w14:srgbClr>
                  </w14:solidFill>
                </w14:textFill>
              </w:rPr>
              <w:t>|||</w:t>
            </w:r>
            <w:r w:rsidRPr="00896015">
              <w:rPr>
                <w:color w:val="000000"/>
                <w:shd w:val="solid" w:color="000000" w:fill="000000"/>
                <w:fitText w:val="325" w:id="-628411133"/>
                <w14:textFill>
                  <w14:solidFill>
                    <w14:srgbClr w14:val="000000">
                      <w14:alpha w14:val="100000"/>
                    </w14:srgbClr>
                  </w14:solidFill>
                </w14:textFill>
              </w:rPr>
              <w:t>|</w:t>
            </w:r>
            <w:r w:rsidR="00BE3D26" w:rsidRPr="006C43DC">
              <w:rPr>
                <w:vertAlign w:val="superscript"/>
              </w:rPr>
              <w:t>1</w:t>
            </w:r>
          </w:p>
        </w:tc>
        <w:tc>
          <w:tcPr>
            <w:tcW w:w="506" w:type="pct"/>
            <w:vAlign w:val="center"/>
          </w:tcPr>
          <w:p w14:paraId="3B78117F" w14:textId="788E0FD0" w:rsidR="009C040E" w:rsidRPr="00A73265" w:rsidRDefault="00ED4AC4" w:rsidP="004E36D3">
            <w:pPr>
              <w:pStyle w:val="TableText0"/>
              <w:rPr>
                <w:highlight w:val="darkGray"/>
              </w:rPr>
            </w:pPr>
            <w:r w:rsidRPr="00896015">
              <w:rPr>
                <w:color w:val="000000"/>
                <w:spacing w:val="51"/>
                <w:shd w:val="solid" w:color="000000" w:fill="000000"/>
                <w:fitText w:val="325" w:id="-628411132"/>
                <w14:textFill>
                  <w14:solidFill>
                    <w14:srgbClr w14:val="000000">
                      <w14:alpha w14:val="100000"/>
                    </w14:srgbClr>
                  </w14:solidFill>
                </w14:textFill>
              </w:rPr>
              <w:t>|||</w:t>
            </w:r>
            <w:r w:rsidRPr="00896015">
              <w:rPr>
                <w:color w:val="000000"/>
                <w:shd w:val="solid" w:color="000000" w:fill="000000"/>
                <w:fitText w:val="325" w:id="-628411132"/>
                <w14:textFill>
                  <w14:solidFill>
                    <w14:srgbClr w14:val="000000">
                      <w14:alpha w14:val="100000"/>
                    </w14:srgbClr>
                  </w14:solidFill>
                </w14:textFill>
              </w:rPr>
              <w:t>|</w:t>
            </w:r>
            <w:r w:rsidR="00BE3D26" w:rsidRPr="006C43DC">
              <w:rPr>
                <w:vertAlign w:val="superscript"/>
              </w:rPr>
              <w:t>1</w:t>
            </w:r>
          </w:p>
        </w:tc>
        <w:tc>
          <w:tcPr>
            <w:tcW w:w="506" w:type="pct"/>
            <w:vAlign w:val="center"/>
          </w:tcPr>
          <w:p w14:paraId="08440BFB" w14:textId="621ED374" w:rsidR="009C040E" w:rsidRPr="00A73265" w:rsidRDefault="00ED4AC4" w:rsidP="004E36D3">
            <w:pPr>
              <w:pStyle w:val="TableText0"/>
              <w:rPr>
                <w:highlight w:val="darkGray"/>
              </w:rPr>
            </w:pPr>
            <w:r w:rsidRPr="00896015">
              <w:rPr>
                <w:color w:val="000000"/>
                <w:spacing w:val="51"/>
                <w:shd w:val="solid" w:color="000000" w:fill="000000"/>
                <w:fitText w:val="325" w:id="-628411131"/>
                <w14:textFill>
                  <w14:solidFill>
                    <w14:srgbClr w14:val="000000">
                      <w14:alpha w14:val="100000"/>
                    </w14:srgbClr>
                  </w14:solidFill>
                </w14:textFill>
              </w:rPr>
              <w:t>|||</w:t>
            </w:r>
            <w:r w:rsidRPr="00896015">
              <w:rPr>
                <w:color w:val="000000"/>
                <w:shd w:val="solid" w:color="000000" w:fill="000000"/>
                <w:fitText w:val="325" w:id="-628411131"/>
                <w14:textFill>
                  <w14:solidFill>
                    <w14:srgbClr w14:val="000000">
                      <w14:alpha w14:val="100000"/>
                    </w14:srgbClr>
                  </w14:solidFill>
                </w14:textFill>
              </w:rPr>
              <w:t>|</w:t>
            </w:r>
            <w:r w:rsidR="00BE3D26" w:rsidRPr="006C43DC">
              <w:rPr>
                <w:vertAlign w:val="superscript"/>
              </w:rPr>
              <w:t>1</w:t>
            </w:r>
          </w:p>
        </w:tc>
        <w:tc>
          <w:tcPr>
            <w:tcW w:w="506" w:type="pct"/>
            <w:vAlign w:val="center"/>
          </w:tcPr>
          <w:p w14:paraId="358C63AB" w14:textId="60DDB620" w:rsidR="009C040E" w:rsidRPr="00A73265" w:rsidRDefault="00ED4AC4" w:rsidP="004E36D3">
            <w:pPr>
              <w:pStyle w:val="TableText0"/>
              <w:rPr>
                <w:highlight w:val="darkGray"/>
              </w:rPr>
            </w:pPr>
            <w:r w:rsidRPr="00896015">
              <w:rPr>
                <w:color w:val="000000"/>
                <w:spacing w:val="51"/>
                <w:shd w:val="solid" w:color="000000" w:fill="000000"/>
                <w:fitText w:val="325" w:id="-628411130"/>
                <w14:textFill>
                  <w14:solidFill>
                    <w14:srgbClr w14:val="000000">
                      <w14:alpha w14:val="100000"/>
                    </w14:srgbClr>
                  </w14:solidFill>
                </w14:textFill>
              </w:rPr>
              <w:t>|||</w:t>
            </w:r>
            <w:r w:rsidRPr="00896015">
              <w:rPr>
                <w:color w:val="000000"/>
                <w:shd w:val="solid" w:color="000000" w:fill="000000"/>
                <w:fitText w:val="325" w:id="-628411130"/>
                <w14:textFill>
                  <w14:solidFill>
                    <w14:srgbClr w14:val="000000">
                      <w14:alpha w14:val="100000"/>
                    </w14:srgbClr>
                  </w14:solidFill>
                </w14:textFill>
              </w:rPr>
              <w:t>|</w:t>
            </w:r>
            <w:r w:rsidR="00BE3D26" w:rsidRPr="006C43DC">
              <w:rPr>
                <w:vertAlign w:val="superscript"/>
              </w:rPr>
              <w:t>1</w:t>
            </w:r>
          </w:p>
        </w:tc>
        <w:tc>
          <w:tcPr>
            <w:tcW w:w="507" w:type="pct"/>
            <w:vAlign w:val="center"/>
          </w:tcPr>
          <w:p w14:paraId="65D85589" w14:textId="7C482A98" w:rsidR="009C040E" w:rsidRPr="00A73265" w:rsidRDefault="00ED4AC4" w:rsidP="004E36D3">
            <w:pPr>
              <w:pStyle w:val="TableText0"/>
              <w:rPr>
                <w:highlight w:val="darkGray"/>
              </w:rPr>
            </w:pPr>
            <w:r w:rsidRPr="00896015">
              <w:rPr>
                <w:color w:val="000000"/>
                <w:spacing w:val="51"/>
                <w:shd w:val="solid" w:color="000000" w:fill="000000"/>
                <w:fitText w:val="326" w:id="-628411129"/>
                <w14:textFill>
                  <w14:solidFill>
                    <w14:srgbClr w14:val="000000">
                      <w14:alpha w14:val="100000"/>
                    </w14:srgbClr>
                  </w14:solidFill>
                </w14:textFill>
              </w:rPr>
              <w:t>|||</w:t>
            </w:r>
            <w:r w:rsidRPr="00896015">
              <w:rPr>
                <w:color w:val="000000"/>
                <w:spacing w:val="1"/>
                <w:shd w:val="solid" w:color="000000" w:fill="000000"/>
                <w:fitText w:val="326" w:id="-628411129"/>
                <w14:textFill>
                  <w14:solidFill>
                    <w14:srgbClr w14:val="000000">
                      <w14:alpha w14:val="100000"/>
                    </w14:srgbClr>
                  </w14:solidFill>
                </w14:textFill>
              </w:rPr>
              <w:t>|</w:t>
            </w:r>
            <w:r w:rsidR="00BE3D26" w:rsidRPr="006C43DC">
              <w:rPr>
                <w:vertAlign w:val="superscript"/>
              </w:rPr>
              <w:t>1</w:t>
            </w:r>
          </w:p>
        </w:tc>
      </w:tr>
      <w:tr w:rsidR="009C040E" w:rsidRPr="00886D8A" w14:paraId="0B5C46CA" w14:textId="77777777" w:rsidTr="001F497E">
        <w:tc>
          <w:tcPr>
            <w:tcW w:w="155" w:type="pct"/>
          </w:tcPr>
          <w:p w14:paraId="0509780B" w14:textId="77777777" w:rsidR="009C040E" w:rsidRPr="00886D8A" w:rsidRDefault="009C040E" w:rsidP="004E36D3">
            <w:pPr>
              <w:pStyle w:val="TableText0"/>
            </w:pPr>
            <w:r w:rsidRPr="00886D8A">
              <w:t>E</w:t>
            </w:r>
          </w:p>
        </w:tc>
        <w:tc>
          <w:tcPr>
            <w:tcW w:w="1258" w:type="pct"/>
          </w:tcPr>
          <w:p w14:paraId="574EF631" w14:textId="15561083" w:rsidR="009C040E" w:rsidRPr="00886D8A" w:rsidRDefault="009C040E" w:rsidP="004E36D3">
            <w:pPr>
              <w:pStyle w:val="TableText0"/>
            </w:pPr>
            <w:r w:rsidRPr="00886D8A">
              <w:t>Number of patient</w:t>
            </w:r>
            <w:r w:rsidR="0011024A">
              <w:noBreakHyphen/>
            </w:r>
            <w:r w:rsidRPr="00886D8A">
              <w:t>years of treatment paediatric (&lt;18 years) patients</w:t>
            </w:r>
          </w:p>
        </w:tc>
        <w:tc>
          <w:tcPr>
            <w:tcW w:w="550" w:type="pct"/>
            <w:vAlign w:val="center"/>
          </w:tcPr>
          <w:p w14:paraId="0B47987C" w14:textId="77777777" w:rsidR="009C040E" w:rsidRPr="00886D8A" w:rsidRDefault="009C040E" w:rsidP="004E36D3">
            <w:pPr>
              <w:pStyle w:val="TableText0"/>
            </w:pPr>
            <w:r w:rsidRPr="00886D8A">
              <w:t>C x 0.9</w:t>
            </w:r>
          </w:p>
        </w:tc>
        <w:tc>
          <w:tcPr>
            <w:tcW w:w="506" w:type="pct"/>
            <w:vAlign w:val="center"/>
          </w:tcPr>
          <w:p w14:paraId="54B188FD" w14:textId="320E15F7" w:rsidR="009C040E" w:rsidRPr="00A73265" w:rsidRDefault="00ED4AC4" w:rsidP="004E36D3">
            <w:pPr>
              <w:pStyle w:val="TableText0"/>
              <w:rPr>
                <w:highlight w:val="darkGray"/>
              </w:rPr>
            </w:pPr>
            <w:r w:rsidRPr="00896015">
              <w:rPr>
                <w:color w:val="000000"/>
                <w:spacing w:val="51"/>
                <w:shd w:val="solid" w:color="000000" w:fill="000000"/>
                <w:fitText w:val="326" w:id="-628411128"/>
                <w14:textFill>
                  <w14:solidFill>
                    <w14:srgbClr w14:val="000000">
                      <w14:alpha w14:val="100000"/>
                    </w14:srgbClr>
                  </w14:solidFill>
                </w14:textFill>
              </w:rPr>
              <w:t>|||</w:t>
            </w:r>
            <w:r w:rsidRPr="00896015">
              <w:rPr>
                <w:color w:val="000000"/>
                <w:spacing w:val="1"/>
                <w:shd w:val="solid" w:color="000000" w:fill="000000"/>
                <w:fitText w:val="326" w:id="-628411128"/>
                <w14:textFill>
                  <w14:solidFill>
                    <w14:srgbClr w14:val="000000">
                      <w14:alpha w14:val="100000"/>
                    </w14:srgbClr>
                  </w14:solidFill>
                </w14:textFill>
              </w:rPr>
              <w:t>|</w:t>
            </w:r>
            <w:r w:rsidR="00BE3D26" w:rsidRPr="006C43DC">
              <w:rPr>
                <w:vertAlign w:val="superscript"/>
              </w:rPr>
              <w:t>1</w:t>
            </w:r>
          </w:p>
        </w:tc>
        <w:tc>
          <w:tcPr>
            <w:tcW w:w="506" w:type="pct"/>
            <w:vAlign w:val="center"/>
          </w:tcPr>
          <w:p w14:paraId="39E137BD" w14:textId="7B2CC643" w:rsidR="009C040E" w:rsidRPr="00A73265" w:rsidRDefault="00ED4AC4" w:rsidP="004E36D3">
            <w:pPr>
              <w:pStyle w:val="TableText0"/>
              <w:rPr>
                <w:highlight w:val="darkGray"/>
              </w:rPr>
            </w:pPr>
            <w:r w:rsidRPr="00896015">
              <w:rPr>
                <w:color w:val="000000"/>
                <w:spacing w:val="51"/>
                <w:shd w:val="solid" w:color="000000" w:fill="000000"/>
                <w:fitText w:val="325" w:id="-628411127"/>
                <w14:textFill>
                  <w14:solidFill>
                    <w14:srgbClr w14:val="000000">
                      <w14:alpha w14:val="100000"/>
                    </w14:srgbClr>
                  </w14:solidFill>
                </w14:textFill>
              </w:rPr>
              <w:t>|||</w:t>
            </w:r>
            <w:r w:rsidRPr="00896015">
              <w:rPr>
                <w:color w:val="000000"/>
                <w:shd w:val="solid" w:color="000000" w:fill="000000"/>
                <w:fitText w:val="325" w:id="-628411127"/>
                <w14:textFill>
                  <w14:solidFill>
                    <w14:srgbClr w14:val="000000">
                      <w14:alpha w14:val="100000"/>
                    </w14:srgbClr>
                  </w14:solidFill>
                </w14:textFill>
              </w:rPr>
              <w:t>|</w:t>
            </w:r>
            <w:r w:rsidR="00BE3D26" w:rsidRPr="006C43DC">
              <w:rPr>
                <w:vertAlign w:val="superscript"/>
              </w:rPr>
              <w:t>1</w:t>
            </w:r>
          </w:p>
        </w:tc>
        <w:tc>
          <w:tcPr>
            <w:tcW w:w="506" w:type="pct"/>
            <w:vAlign w:val="center"/>
          </w:tcPr>
          <w:p w14:paraId="102421BC" w14:textId="6187551E" w:rsidR="009C040E" w:rsidRPr="00A73265" w:rsidRDefault="00ED4AC4" w:rsidP="004E36D3">
            <w:pPr>
              <w:pStyle w:val="TableText0"/>
              <w:rPr>
                <w:highlight w:val="darkGray"/>
              </w:rPr>
            </w:pPr>
            <w:r w:rsidRPr="00896015">
              <w:rPr>
                <w:color w:val="000000"/>
                <w:spacing w:val="51"/>
                <w:shd w:val="solid" w:color="000000" w:fill="000000"/>
                <w:fitText w:val="325" w:id="-628411126"/>
                <w14:textFill>
                  <w14:solidFill>
                    <w14:srgbClr w14:val="000000">
                      <w14:alpha w14:val="100000"/>
                    </w14:srgbClr>
                  </w14:solidFill>
                </w14:textFill>
              </w:rPr>
              <w:t>|||</w:t>
            </w:r>
            <w:r w:rsidRPr="00896015">
              <w:rPr>
                <w:color w:val="000000"/>
                <w:shd w:val="solid" w:color="000000" w:fill="000000"/>
                <w:fitText w:val="325" w:id="-628411126"/>
                <w14:textFill>
                  <w14:solidFill>
                    <w14:srgbClr w14:val="000000">
                      <w14:alpha w14:val="100000"/>
                    </w14:srgbClr>
                  </w14:solidFill>
                </w14:textFill>
              </w:rPr>
              <w:t>|</w:t>
            </w:r>
            <w:r w:rsidR="00BE3D26" w:rsidRPr="006C43DC">
              <w:rPr>
                <w:vertAlign w:val="superscript"/>
              </w:rPr>
              <w:t>1</w:t>
            </w:r>
          </w:p>
        </w:tc>
        <w:tc>
          <w:tcPr>
            <w:tcW w:w="506" w:type="pct"/>
            <w:vAlign w:val="center"/>
          </w:tcPr>
          <w:p w14:paraId="552ED521" w14:textId="26492109" w:rsidR="009C040E" w:rsidRPr="00A73265" w:rsidRDefault="00ED4AC4" w:rsidP="004E36D3">
            <w:pPr>
              <w:pStyle w:val="TableText0"/>
              <w:rPr>
                <w:highlight w:val="darkGray"/>
              </w:rPr>
            </w:pPr>
            <w:r w:rsidRPr="00896015">
              <w:rPr>
                <w:color w:val="000000"/>
                <w:spacing w:val="51"/>
                <w:shd w:val="solid" w:color="000000" w:fill="000000"/>
                <w:fitText w:val="325" w:id="-628411125"/>
                <w14:textFill>
                  <w14:solidFill>
                    <w14:srgbClr w14:val="000000">
                      <w14:alpha w14:val="100000"/>
                    </w14:srgbClr>
                  </w14:solidFill>
                </w14:textFill>
              </w:rPr>
              <w:t>|||</w:t>
            </w:r>
            <w:r w:rsidRPr="00896015">
              <w:rPr>
                <w:color w:val="000000"/>
                <w:shd w:val="solid" w:color="000000" w:fill="000000"/>
                <w:fitText w:val="325" w:id="-628411125"/>
                <w14:textFill>
                  <w14:solidFill>
                    <w14:srgbClr w14:val="000000">
                      <w14:alpha w14:val="100000"/>
                    </w14:srgbClr>
                  </w14:solidFill>
                </w14:textFill>
              </w:rPr>
              <w:t>|</w:t>
            </w:r>
            <w:r w:rsidR="00BE3D26" w:rsidRPr="006C43DC">
              <w:rPr>
                <w:vertAlign w:val="superscript"/>
              </w:rPr>
              <w:t>1</w:t>
            </w:r>
          </w:p>
        </w:tc>
        <w:tc>
          <w:tcPr>
            <w:tcW w:w="506" w:type="pct"/>
            <w:vAlign w:val="center"/>
          </w:tcPr>
          <w:p w14:paraId="00B336CC" w14:textId="252FA6FF" w:rsidR="009C040E" w:rsidRPr="00A73265" w:rsidRDefault="00ED4AC4" w:rsidP="004E36D3">
            <w:pPr>
              <w:pStyle w:val="TableText0"/>
              <w:rPr>
                <w:highlight w:val="darkGray"/>
              </w:rPr>
            </w:pPr>
            <w:r w:rsidRPr="00896015">
              <w:rPr>
                <w:color w:val="000000"/>
                <w:spacing w:val="51"/>
                <w:shd w:val="solid" w:color="000000" w:fill="000000"/>
                <w:fitText w:val="325" w:id="-628411124"/>
                <w14:textFill>
                  <w14:solidFill>
                    <w14:srgbClr w14:val="000000">
                      <w14:alpha w14:val="100000"/>
                    </w14:srgbClr>
                  </w14:solidFill>
                </w14:textFill>
              </w:rPr>
              <w:t>|||</w:t>
            </w:r>
            <w:r w:rsidRPr="00896015">
              <w:rPr>
                <w:color w:val="000000"/>
                <w:shd w:val="solid" w:color="000000" w:fill="000000"/>
                <w:fitText w:val="325" w:id="-628411124"/>
                <w14:textFill>
                  <w14:solidFill>
                    <w14:srgbClr w14:val="000000">
                      <w14:alpha w14:val="100000"/>
                    </w14:srgbClr>
                  </w14:solidFill>
                </w14:textFill>
              </w:rPr>
              <w:t>|</w:t>
            </w:r>
            <w:r w:rsidR="00BE3D26" w:rsidRPr="006C43DC">
              <w:rPr>
                <w:vertAlign w:val="superscript"/>
              </w:rPr>
              <w:t>1</w:t>
            </w:r>
          </w:p>
        </w:tc>
        <w:tc>
          <w:tcPr>
            <w:tcW w:w="507" w:type="pct"/>
            <w:vAlign w:val="center"/>
          </w:tcPr>
          <w:p w14:paraId="7649E17C" w14:textId="001CD039" w:rsidR="009C040E" w:rsidRPr="00A73265" w:rsidRDefault="00ED4AC4" w:rsidP="004E36D3">
            <w:pPr>
              <w:pStyle w:val="TableText0"/>
              <w:rPr>
                <w:highlight w:val="darkGray"/>
              </w:rPr>
            </w:pPr>
            <w:r w:rsidRPr="00896015">
              <w:rPr>
                <w:color w:val="000000"/>
                <w:spacing w:val="51"/>
                <w:shd w:val="solid" w:color="000000" w:fill="000000"/>
                <w:fitText w:val="326" w:id="-628411123"/>
                <w14:textFill>
                  <w14:solidFill>
                    <w14:srgbClr w14:val="000000">
                      <w14:alpha w14:val="100000"/>
                    </w14:srgbClr>
                  </w14:solidFill>
                </w14:textFill>
              </w:rPr>
              <w:t>|||</w:t>
            </w:r>
            <w:r w:rsidRPr="00896015">
              <w:rPr>
                <w:color w:val="000000"/>
                <w:spacing w:val="1"/>
                <w:shd w:val="solid" w:color="000000" w:fill="000000"/>
                <w:fitText w:val="326" w:id="-628411123"/>
                <w14:textFill>
                  <w14:solidFill>
                    <w14:srgbClr w14:val="000000">
                      <w14:alpha w14:val="100000"/>
                    </w14:srgbClr>
                  </w14:solidFill>
                </w14:textFill>
              </w:rPr>
              <w:t>|</w:t>
            </w:r>
            <w:r w:rsidR="00BE3D26" w:rsidRPr="006C43DC">
              <w:rPr>
                <w:vertAlign w:val="superscript"/>
              </w:rPr>
              <w:t>1</w:t>
            </w:r>
          </w:p>
        </w:tc>
      </w:tr>
      <w:tr w:rsidR="009C040E" w:rsidRPr="00886D8A" w14:paraId="7EDCC792" w14:textId="77777777" w:rsidTr="001F497E">
        <w:tc>
          <w:tcPr>
            <w:tcW w:w="155" w:type="pct"/>
          </w:tcPr>
          <w:p w14:paraId="6E14723F" w14:textId="77777777" w:rsidR="009C040E" w:rsidRPr="00886D8A" w:rsidRDefault="009C040E" w:rsidP="004E36D3">
            <w:pPr>
              <w:pStyle w:val="TableText0"/>
            </w:pPr>
            <w:r w:rsidRPr="00886D8A">
              <w:t>F</w:t>
            </w:r>
          </w:p>
        </w:tc>
        <w:tc>
          <w:tcPr>
            <w:tcW w:w="1258" w:type="pct"/>
          </w:tcPr>
          <w:p w14:paraId="216FC3F0" w14:textId="7BE03994" w:rsidR="009C040E" w:rsidRPr="00886D8A" w:rsidRDefault="009C040E" w:rsidP="004E36D3">
            <w:pPr>
              <w:pStyle w:val="TableText0"/>
            </w:pPr>
            <w:r w:rsidRPr="00886D8A">
              <w:t>Number of patient</w:t>
            </w:r>
            <w:r w:rsidR="0011024A">
              <w:noBreakHyphen/>
            </w:r>
            <w:r w:rsidRPr="00886D8A">
              <w:t>years of treatment adult (≥18 years) patients</w:t>
            </w:r>
          </w:p>
        </w:tc>
        <w:tc>
          <w:tcPr>
            <w:tcW w:w="550" w:type="pct"/>
            <w:vAlign w:val="center"/>
          </w:tcPr>
          <w:p w14:paraId="57BC9B23" w14:textId="77777777" w:rsidR="009C040E" w:rsidRPr="00886D8A" w:rsidRDefault="009C040E" w:rsidP="004E36D3">
            <w:pPr>
              <w:pStyle w:val="TableText0"/>
            </w:pPr>
            <w:r w:rsidRPr="00886D8A">
              <w:t>D x 0.9</w:t>
            </w:r>
          </w:p>
        </w:tc>
        <w:tc>
          <w:tcPr>
            <w:tcW w:w="506" w:type="pct"/>
            <w:vAlign w:val="center"/>
          </w:tcPr>
          <w:p w14:paraId="79987C75" w14:textId="5834F667" w:rsidR="009C040E" w:rsidRPr="00A73265" w:rsidRDefault="00ED4AC4" w:rsidP="004E36D3">
            <w:pPr>
              <w:pStyle w:val="TableText0"/>
              <w:rPr>
                <w:highlight w:val="darkGray"/>
              </w:rPr>
            </w:pPr>
            <w:r w:rsidRPr="00896015">
              <w:rPr>
                <w:color w:val="000000"/>
                <w:spacing w:val="51"/>
                <w:shd w:val="solid" w:color="000000" w:fill="000000"/>
                <w:fitText w:val="326" w:id="-628411122"/>
                <w14:textFill>
                  <w14:solidFill>
                    <w14:srgbClr w14:val="000000">
                      <w14:alpha w14:val="100000"/>
                    </w14:srgbClr>
                  </w14:solidFill>
                </w14:textFill>
              </w:rPr>
              <w:t>|||</w:t>
            </w:r>
            <w:r w:rsidRPr="00896015">
              <w:rPr>
                <w:color w:val="000000"/>
                <w:spacing w:val="1"/>
                <w:shd w:val="solid" w:color="000000" w:fill="000000"/>
                <w:fitText w:val="326" w:id="-628411122"/>
                <w14:textFill>
                  <w14:solidFill>
                    <w14:srgbClr w14:val="000000">
                      <w14:alpha w14:val="100000"/>
                    </w14:srgbClr>
                  </w14:solidFill>
                </w14:textFill>
              </w:rPr>
              <w:t>|</w:t>
            </w:r>
            <w:r w:rsidR="00895676" w:rsidRPr="006C43DC">
              <w:rPr>
                <w:vertAlign w:val="superscript"/>
              </w:rPr>
              <w:t>1</w:t>
            </w:r>
          </w:p>
        </w:tc>
        <w:tc>
          <w:tcPr>
            <w:tcW w:w="506" w:type="pct"/>
            <w:vAlign w:val="center"/>
          </w:tcPr>
          <w:p w14:paraId="69EB802C" w14:textId="69B85DC9" w:rsidR="009C040E" w:rsidRPr="00A73265" w:rsidRDefault="00ED4AC4" w:rsidP="004E36D3">
            <w:pPr>
              <w:pStyle w:val="TableText0"/>
              <w:rPr>
                <w:highlight w:val="darkGray"/>
              </w:rPr>
            </w:pPr>
            <w:r w:rsidRPr="00896015">
              <w:rPr>
                <w:color w:val="000000"/>
                <w:spacing w:val="51"/>
                <w:shd w:val="solid" w:color="000000" w:fill="000000"/>
                <w:fitText w:val="325" w:id="-628411121"/>
                <w14:textFill>
                  <w14:solidFill>
                    <w14:srgbClr w14:val="000000">
                      <w14:alpha w14:val="100000"/>
                    </w14:srgbClr>
                  </w14:solidFill>
                </w14:textFill>
              </w:rPr>
              <w:t>|||</w:t>
            </w:r>
            <w:r w:rsidRPr="00896015">
              <w:rPr>
                <w:color w:val="000000"/>
                <w:shd w:val="solid" w:color="000000" w:fill="000000"/>
                <w:fitText w:val="325" w:id="-628411121"/>
                <w14:textFill>
                  <w14:solidFill>
                    <w14:srgbClr w14:val="000000">
                      <w14:alpha w14:val="100000"/>
                    </w14:srgbClr>
                  </w14:solidFill>
                </w14:textFill>
              </w:rPr>
              <w:t>|</w:t>
            </w:r>
            <w:r w:rsidR="00895676" w:rsidRPr="006C43DC">
              <w:rPr>
                <w:vertAlign w:val="superscript"/>
              </w:rPr>
              <w:t>1</w:t>
            </w:r>
          </w:p>
        </w:tc>
        <w:tc>
          <w:tcPr>
            <w:tcW w:w="506" w:type="pct"/>
            <w:vAlign w:val="center"/>
          </w:tcPr>
          <w:p w14:paraId="0AA118F1" w14:textId="2D02BC96" w:rsidR="009C040E" w:rsidRPr="00A73265" w:rsidRDefault="00ED4AC4" w:rsidP="004E36D3">
            <w:pPr>
              <w:pStyle w:val="TableText0"/>
              <w:rPr>
                <w:highlight w:val="darkGray"/>
              </w:rPr>
            </w:pPr>
            <w:r w:rsidRPr="00896015">
              <w:rPr>
                <w:color w:val="000000"/>
                <w:spacing w:val="51"/>
                <w:shd w:val="solid" w:color="000000" w:fill="000000"/>
                <w:fitText w:val="325" w:id="-628411120"/>
                <w14:textFill>
                  <w14:solidFill>
                    <w14:srgbClr w14:val="000000">
                      <w14:alpha w14:val="100000"/>
                    </w14:srgbClr>
                  </w14:solidFill>
                </w14:textFill>
              </w:rPr>
              <w:t>|||</w:t>
            </w:r>
            <w:r w:rsidRPr="00896015">
              <w:rPr>
                <w:color w:val="000000"/>
                <w:shd w:val="solid" w:color="000000" w:fill="000000"/>
                <w:fitText w:val="325" w:id="-628411120"/>
                <w14:textFill>
                  <w14:solidFill>
                    <w14:srgbClr w14:val="000000">
                      <w14:alpha w14:val="100000"/>
                    </w14:srgbClr>
                  </w14:solidFill>
                </w14:textFill>
              </w:rPr>
              <w:t>|</w:t>
            </w:r>
            <w:r w:rsidR="00895676" w:rsidRPr="006C43DC">
              <w:rPr>
                <w:vertAlign w:val="superscript"/>
              </w:rPr>
              <w:t>1</w:t>
            </w:r>
          </w:p>
        </w:tc>
        <w:tc>
          <w:tcPr>
            <w:tcW w:w="506" w:type="pct"/>
            <w:vAlign w:val="center"/>
          </w:tcPr>
          <w:p w14:paraId="614679D0" w14:textId="470B2750" w:rsidR="009C040E" w:rsidRPr="00A73265" w:rsidRDefault="00ED4AC4" w:rsidP="004E36D3">
            <w:pPr>
              <w:pStyle w:val="TableText0"/>
              <w:rPr>
                <w:highlight w:val="darkGray"/>
              </w:rPr>
            </w:pPr>
            <w:r w:rsidRPr="00896015">
              <w:rPr>
                <w:color w:val="000000"/>
                <w:spacing w:val="51"/>
                <w:shd w:val="solid" w:color="000000" w:fill="000000"/>
                <w:fitText w:val="325" w:id="-628411136"/>
                <w14:textFill>
                  <w14:solidFill>
                    <w14:srgbClr w14:val="000000">
                      <w14:alpha w14:val="100000"/>
                    </w14:srgbClr>
                  </w14:solidFill>
                </w14:textFill>
              </w:rPr>
              <w:t>|||</w:t>
            </w:r>
            <w:r w:rsidRPr="00896015">
              <w:rPr>
                <w:color w:val="000000"/>
                <w:shd w:val="solid" w:color="000000" w:fill="000000"/>
                <w:fitText w:val="325" w:id="-628411136"/>
                <w14:textFill>
                  <w14:solidFill>
                    <w14:srgbClr w14:val="000000">
                      <w14:alpha w14:val="100000"/>
                    </w14:srgbClr>
                  </w14:solidFill>
                </w14:textFill>
              </w:rPr>
              <w:t>|</w:t>
            </w:r>
            <w:r w:rsidR="00895676" w:rsidRPr="006C43DC">
              <w:rPr>
                <w:vertAlign w:val="superscript"/>
              </w:rPr>
              <w:t>1</w:t>
            </w:r>
          </w:p>
        </w:tc>
        <w:tc>
          <w:tcPr>
            <w:tcW w:w="506" w:type="pct"/>
            <w:vAlign w:val="center"/>
          </w:tcPr>
          <w:p w14:paraId="67BC1D77" w14:textId="2B0D1B56" w:rsidR="009C040E" w:rsidRPr="00A73265" w:rsidRDefault="00ED4AC4" w:rsidP="004E36D3">
            <w:pPr>
              <w:pStyle w:val="TableText0"/>
              <w:rPr>
                <w:highlight w:val="darkGray"/>
              </w:rPr>
            </w:pPr>
            <w:r w:rsidRPr="00896015">
              <w:rPr>
                <w:color w:val="000000"/>
                <w:spacing w:val="51"/>
                <w:shd w:val="solid" w:color="000000" w:fill="000000"/>
                <w:fitText w:val="325" w:id="-628411135"/>
                <w14:textFill>
                  <w14:solidFill>
                    <w14:srgbClr w14:val="000000">
                      <w14:alpha w14:val="100000"/>
                    </w14:srgbClr>
                  </w14:solidFill>
                </w14:textFill>
              </w:rPr>
              <w:t>|||</w:t>
            </w:r>
            <w:r w:rsidRPr="00896015">
              <w:rPr>
                <w:color w:val="000000"/>
                <w:shd w:val="solid" w:color="000000" w:fill="000000"/>
                <w:fitText w:val="325" w:id="-628411135"/>
                <w14:textFill>
                  <w14:solidFill>
                    <w14:srgbClr w14:val="000000">
                      <w14:alpha w14:val="100000"/>
                    </w14:srgbClr>
                  </w14:solidFill>
                </w14:textFill>
              </w:rPr>
              <w:t>|</w:t>
            </w:r>
            <w:r w:rsidR="00895676" w:rsidRPr="006C43DC">
              <w:rPr>
                <w:vertAlign w:val="superscript"/>
              </w:rPr>
              <w:t>1</w:t>
            </w:r>
          </w:p>
        </w:tc>
        <w:tc>
          <w:tcPr>
            <w:tcW w:w="507" w:type="pct"/>
            <w:vAlign w:val="center"/>
          </w:tcPr>
          <w:p w14:paraId="36C35691" w14:textId="172D338F" w:rsidR="009C040E" w:rsidRPr="00A73265" w:rsidRDefault="00ED4AC4" w:rsidP="004E36D3">
            <w:pPr>
              <w:pStyle w:val="TableText0"/>
              <w:rPr>
                <w:highlight w:val="darkGray"/>
              </w:rPr>
            </w:pPr>
            <w:r w:rsidRPr="00896015">
              <w:rPr>
                <w:color w:val="000000"/>
                <w:spacing w:val="51"/>
                <w:shd w:val="solid" w:color="000000" w:fill="000000"/>
                <w:fitText w:val="326" w:id="-628411134"/>
                <w14:textFill>
                  <w14:solidFill>
                    <w14:srgbClr w14:val="000000">
                      <w14:alpha w14:val="100000"/>
                    </w14:srgbClr>
                  </w14:solidFill>
                </w14:textFill>
              </w:rPr>
              <w:t>|||</w:t>
            </w:r>
            <w:r w:rsidRPr="00896015">
              <w:rPr>
                <w:color w:val="000000"/>
                <w:spacing w:val="1"/>
                <w:shd w:val="solid" w:color="000000" w:fill="000000"/>
                <w:fitText w:val="326" w:id="-628411134"/>
                <w14:textFill>
                  <w14:solidFill>
                    <w14:srgbClr w14:val="000000">
                      <w14:alpha w14:val="100000"/>
                    </w14:srgbClr>
                  </w14:solidFill>
                </w14:textFill>
              </w:rPr>
              <w:t>|</w:t>
            </w:r>
            <w:r w:rsidR="00895676" w:rsidRPr="006C43DC">
              <w:rPr>
                <w:vertAlign w:val="superscript"/>
              </w:rPr>
              <w:t>1</w:t>
            </w:r>
          </w:p>
        </w:tc>
      </w:tr>
      <w:tr w:rsidR="009C040E" w:rsidRPr="00886D8A" w14:paraId="4B2FD901" w14:textId="77777777" w:rsidTr="001F497E">
        <w:tc>
          <w:tcPr>
            <w:tcW w:w="155" w:type="pct"/>
          </w:tcPr>
          <w:p w14:paraId="76E13681" w14:textId="77777777" w:rsidR="009C040E" w:rsidRPr="00886D8A" w:rsidRDefault="009C040E" w:rsidP="004E36D3">
            <w:pPr>
              <w:pStyle w:val="TableText0"/>
            </w:pPr>
            <w:r w:rsidRPr="00886D8A">
              <w:t>G</w:t>
            </w:r>
          </w:p>
        </w:tc>
        <w:tc>
          <w:tcPr>
            <w:tcW w:w="1258" w:type="pct"/>
          </w:tcPr>
          <w:p w14:paraId="38F4E67A" w14:textId="77777777" w:rsidR="009C040E" w:rsidRPr="00886D8A" w:rsidRDefault="009C040E" w:rsidP="004E36D3">
            <w:pPr>
              <w:pStyle w:val="TableText0"/>
            </w:pPr>
            <w:r w:rsidRPr="00886D8A">
              <w:t># of 10mg VA vials required per year treatment paediatric (&lt;18 years) patient</w:t>
            </w:r>
          </w:p>
        </w:tc>
        <w:tc>
          <w:tcPr>
            <w:tcW w:w="550" w:type="pct"/>
            <w:vAlign w:val="center"/>
          </w:tcPr>
          <w:p w14:paraId="263ABAA7" w14:textId="77777777" w:rsidR="009C040E" w:rsidRPr="00886D8A" w:rsidRDefault="009C040E" w:rsidP="004E36D3">
            <w:pPr>
              <w:pStyle w:val="TableText0"/>
            </w:pPr>
            <w:r w:rsidRPr="00886D8A">
              <w:t>260</w:t>
            </w:r>
            <w:r w:rsidRPr="00886D8A">
              <w:rPr>
                <w:vertAlign w:val="superscript"/>
              </w:rPr>
              <w:t>b</w:t>
            </w:r>
            <w:r w:rsidRPr="00886D8A">
              <w:t xml:space="preserve"> x E</w:t>
            </w:r>
          </w:p>
        </w:tc>
        <w:tc>
          <w:tcPr>
            <w:tcW w:w="506" w:type="pct"/>
            <w:vAlign w:val="center"/>
          </w:tcPr>
          <w:p w14:paraId="36175476" w14:textId="5E21ED03" w:rsidR="009C040E" w:rsidRPr="00A73265" w:rsidRDefault="00ED4AC4" w:rsidP="004E36D3">
            <w:pPr>
              <w:pStyle w:val="TableText0"/>
              <w:rPr>
                <w:highlight w:val="darkGray"/>
              </w:rPr>
            </w:pPr>
            <w:r w:rsidRPr="00896015">
              <w:rPr>
                <w:color w:val="000000"/>
                <w:spacing w:val="51"/>
                <w:shd w:val="solid" w:color="000000" w:fill="000000"/>
                <w:fitText w:val="326" w:id="-628411133"/>
                <w14:textFill>
                  <w14:solidFill>
                    <w14:srgbClr w14:val="000000">
                      <w14:alpha w14:val="100000"/>
                    </w14:srgbClr>
                  </w14:solidFill>
                </w14:textFill>
              </w:rPr>
              <w:t>|||</w:t>
            </w:r>
            <w:r w:rsidRPr="00896015">
              <w:rPr>
                <w:color w:val="000000"/>
                <w:spacing w:val="1"/>
                <w:shd w:val="solid" w:color="000000" w:fill="000000"/>
                <w:fitText w:val="326" w:id="-628411133"/>
                <w14:textFill>
                  <w14:solidFill>
                    <w14:srgbClr w14:val="000000">
                      <w14:alpha w14:val="100000"/>
                    </w14:srgbClr>
                  </w14:solidFill>
                </w14:textFill>
              </w:rPr>
              <w:t>|</w:t>
            </w:r>
            <w:r w:rsidR="00895676" w:rsidRPr="006C43DC">
              <w:rPr>
                <w:vertAlign w:val="superscript"/>
              </w:rPr>
              <w:t>1</w:t>
            </w:r>
          </w:p>
        </w:tc>
        <w:tc>
          <w:tcPr>
            <w:tcW w:w="506" w:type="pct"/>
            <w:vAlign w:val="center"/>
          </w:tcPr>
          <w:p w14:paraId="38100AC2" w14:textId="78642ABA" w:rsidR="009C040E" w:rsidRPr="00A73265" w:rsidRDefault="00ED4AC4" w:rsidP="004E36D3">
            <w:pPr>
              <w:pStyle w:val="TableText0"/>
              <w:rPr>
                <w:highlight w:val="darkGray"/>
              </w:rPr>
            </w:pPr>
            <w:r w:rsidRPr="00896015">
              <w:rPr>
                <w:color w:val="000000"/>
                <w:spacing w:val="51"/>
                <w:shd w:val="solid" w:color="000000" w:fill="000000"/>
                <w:fitText w:val="325" w:id="-628411132"/>
                <w14:textFill>
                  <w14:solidFill>
                    <w14:srgbClr w14:val="000000">
                      <w14:alpha w14:val="100000"/>
                    </w14:srgbClr>
                  </w14:solidFill>
                </w14:textFill>
              </w:rPr>
              <w:t>|||</w:t>
            </w:r>
            <w:r w:rsidRPr="00896015">
              <w:rPr>
                <w:color w:val="000000"/>
                <w:shd w:val="solid" w:color="000000" w:fill="000000"/>
                <w:fitText w:val="325" w:id="-628411132"/>
                <w14:textFill>
                  <w14:solidFill>
                    <w14:srgbClr w14:val="000000">
                      <w14:alpha w14:val="100000"/>
                    </w14:srgbClr>
                  </w14:solidFill>
                </w14:textFill>
              </w:rPr>
              <w:t>|</w:t>
            </w:r>
            <w:r w:rsidR="00445B18" w:rsidRPr="00445B18">
              <w:rPr>
                <w:vertAlign w:val="superscript"/>
              </w:rPr>
              <w:t>2</w:t>
            </w:r>
          </w:p>
        </w:tc>
        <w:tc>
          <w:tcPr>
            <w:tcW w:w="506" w:type="pct"/>
            <w:vAlign w:val="center"/>
          </w:tcPr>
          <w:p w14:paraId="5A7990C9" w14:textId="278DD093" w:rsidR="009C040E" w:rsidRPr="00A73265" w:rsidRDefault="00ED4AC4" w:rsidP="004E36D3">
            <w:pPr>
              <w:pStyle w:val="TableText0"/>
              <w:rPr>
                <w:highlight w:val="darkGray"/>
              </w:rPr>
            </w:pPr>
            <w:r w:rsidRPr="00896015">
              <w:rPr>
                <w:color w:val="000000"/>
                <w:spacing w:val="51"/>
                <w:shd w:val="solid" w:color="000000" w:fill="000000"/>
                <w:fitText w:val="325" w:id="-628411131"/>
                <w14:textFill>
                  <w14:solidFill>
                    <w14:srgbClr w14:val="000000">
                      <w14:alpha w14:val="100000"/>
                    </w14:srgbClr>
                  </w14:solidFill>
                </w14:textFill>
              </w:rPr>
              <w:t>|||</w:t>
            </w:r>
            <w:r w:rsidRPr="00896015">
              <w:rPr>
                <w:color w:val="000000"/>
                <w:shd w:val="solid" w:color="000000" w:fill="000000"/>
                <w:fitText w:val="325" w:id="-628411131"/>
                <w14:textFill>
                  <w14:solidFill>
                    <w14:srgbClr w14:val="000000">
                      <w14:alpha w14:val="100000"/>
                    </w14:srgbClr>
                  </w14:solidFill>
                </w14:textFill>
              </w:rPr>
              <w:t>|</w:t>
            </w:r>
            <w:r w:rsidR="00445B18" w:rsidRPr="00445B18">
              <w:rPr>
                <w:vertAlign w:val="superscript"/>
              </w:rPr>
              <w:t>2</w:t>
            </w:r>
          </w:p>
        </w:tc>
        <w:tc>
          <w:tcPr>
            <w:tcW w:w="506" w:type="pct"/>
            <w:vAlign w:val="center"/>
          </w:tcPr>
          <w:p w14:paraId="04B466D5" w14:textId="2CF64566" w:rsidR="009C040E" w:rsidRPr="00A73265" w:rsidRDefault="00ED4AC4" w:rsidP="004E36D3">
            <w:pPr>
              <w:pStyle w:val="TableText0"/>
              <w:rPr>
                <w:highlight w:val="darkGray"/>
              </w:rPr>
            </w:pPr>
            <w:r w:rsidRPr="00896015">
              <w:rPr>
                <w:color w:val="000000"/>
                <w:spacing w:val="51"/>
                <w:shd w:val="solid" w:color="000000" w:fill="000000"/>
                <w:fitText w:val="325" w:id="-628411130"/>
                <w14:textFill>
                  <w14:solidFill>
                    <w14:srgbClr w14:val="000000">
                      <w14:alpha w14:val="100000"/>
                    </w14:srgbClr>
                  </w14:solidFill>
                </w14:textFill>
              </w:rPr>
              <w:t>|||</w:t>
            </w:r>
            <w:r w:rsidRPr="00896015">
              <w:rPr>
                <w:color w:val="000000"/>
                <w:shd w:val="solid" w:color="000000" w:fill="000000"/>
                <w:fitText w:val="325" w:id="-628411130"/>
                <w14:textFill>
                  <w14:solidFill>
                    <w14:srgbClr w14:val="000000">
                      <w14:alpha w14:val="100000"/>
                    </w14:srgbClr>
                  </w14:solidFill>
                </w14:textFill>
              </w:rPr>
              <w:t>|</w:t>
            </w:r>
            <w:r w:rsidR="00445B18" w:rsidRPr="00445B18">
              <w:rPr>
                <w:vertAlign w:val="superscript"/>
              </w:rPr>
              <w:t>2</w:t>
            </w:r>
          </w:p>
        </w:tc>
        <w:tc>
          <w:tcPr>
            <w:tcW w:w="506" w:type="pct"/>
            <w:vAlign w:val="center"/>
          </w:tcPr>
          <w:p w14:paraId="17D9BDDE" w14:textId="5818002F" w:rsidR="009C040E" w:rsidRPr="00A73265" w:rsidRDefault="00ED4AC4" w:rsidP="004E36D3">
            <w:pPr>
              <w:pStyle w:val="TableText0"/>
              <w:rPr>
                <w:highlight w:val="darkGray"/>
              </w:rPr>
            </w:pPr>
            <w:r w:rsidRPr="00896015">
              <w:rPr>
                <w:color w:val="000000"/>
                <w:spacing w:val="51"/>
                <w:shd w:val="solid" w:color="000000" w:fill="000000"/>
                <w:fitText w:val="325" w:id="-628411129"/>
                <w14:textFill>
                  <w14:solidFill>
                    <w14:srgbClr w14:val="000000">
                      <w14:alpha w14:val="100000"/>
                    </w14:srgbClr>
                  </w14:solidFill>
                </w14:textFill>
              </w:rPr>
              <w:t>|||</w:t>
            </w:r>
            <w:r w:rsidRPr="00896015">
              <w:rPr>
                <w:color w:val="000000"/>
                <w:shd w:val="solid" w:color="000000" w:fill="000000"/>
                <w:fitText w:val="325" w:id="-628411129"/>
                <w14:textFill>
                  <w14:solidFill>
                    <w14:srgbClr w14:val="000000">
                      <w14:alpha w14:val="100000"/>
                    </w14:srgbClr>
                  </w14:solidFill>
                </w14:textFill>
              </w:rPr>
              <w:t>|</w:t>
            </w:r>
            <w:r w:rsidR="00445B18" w:rsidRPr="00445B18">
              <w:rPr>
                <w:vertAlign w:val="superscript"/>
              </w:rPr>
              <w:t>2</w:t>
            </w:r>
          </w:p>
        </w:tc>
        <w:tc>
          <w:tcPr>
            <w:tcW w:w="507" w:type="pct"/>
            <w:vAlign w:val="center"/>
          </w:tcPr>
          <w:p w14:paraId="1755A1E0" w14:textId="5D90D9C2" w:rsidR="009C040E" w:rsidRPr="00A73265" w:rsidRDefault="00ED4AC4" w:rsidP="004E36D3">
            <w:pPr>
              <w:pStyle w:val="TableText0"/>
              <w:rPr>
                <w:highlight w:val="darkGray"/>
              </w:rPr>
            </w:pPr>
            <w:r w:rsidRPr="00896015">
              <w:rPr>
                <w:color w:val="000000"/>
                <w:spacing w:val="51"/>
                <w:shd w:val="solid" w:color="000000" w:fill="000000"/>
                <w:fitText w:val="326" w:id="-628411128"/>
                <w14:textFill>
                  <w14:solidFill>
                    <w14:srgbClr w14:val="000000">
                      <w14:alpha w14:val="100000"/>
                    </w14:srgbClr>
                  </w14:solidFill>
                </w14:textFill>
              </w:rPr>
              <w:t>|||</w:t>
            </w:r>
            <w:r w:rsidRPr="00896015">
              <w:rPr>
                <w:color w:val="000000"/>
                <w:spacing w:val="1"/>
                <w:shd w:val="solid" w:color="000000" w:fill="000000"/>
                <w:fitText w:val="326" w:id="-628411128"/>
                <w14:textFill>
                  <w14:solidFill>
                    <w14:srgbClr w14:val="000000">
                      <w14:alpha w14:val="100000"/>
                    </w14:srgbClr>
                  </w14:solidFill>
                </w14:textFill>
              </w:rPr>
              <w:t>|</w:t>
            </w:r>
            <w:r w:rsidR="00445B18" w:rsidRPr="00445B18">
              <w:rPr>
                <w:vertAlign w:val="superscript"/>
              </w:rPr>
              <w:t>2</w:t>
            </w:r>
          </w:p>
        </w:tc>
      </w:tr>
      <w:tr w:rsidR="009C040E" w:rsidRPr="00886D8A" w14:paraId="48A62A26" w14:textId="77777777" w:rsidTr="001F497E">
        <w:tc>
          <w:tcPr>
            <w:tcW w:w="155" w:type="pct"/>
          </w:tcPr>
          <w:p w14:paraId="05A4D1E9" w14:textId="77777777" w:rsidR="009C040E" w:rsidRPr="00886D8A" w:rsidRDefault="009C040E" w:rsidP="004E36D3">
            <w:pPr>
              <w:pStyle w:val="TableText0"/>
            </w:pPr>
            <w:r w:rsidRPr="00886D8A">
              <w:t>H</w:t>
            </w:r>
          </w:p>
        </w:tc>
        <w:tc>
          <w:tcPr>
            <w:tcW w:w="1258" w:type="pct"/>
          </w:tcPr>
          <w:p w14:paraId="1F158341" w14:textId="77777777" w:rsidR="009C040E" w:rsidRPr="00886D8A" w:rsidRDefault="009C040E" w:rsidP="004E36D3">
            <w:pPr>
              <w:pStyle w:val="TableText0"/>
            </w:pPr>
            <w:r w:rsidRPr="00886D8A">
              <w:t># of 10mg VA vials required per year treatment adult (≥18 years) patient</w:t>
            </w:r>
          </w:p>
        </w:tc>
        <w:tc>
          <w:tcPr>
            <w:tcW w:w="550" w:type="pct"/>
            <w:vAlign w:val="center"/>
          </w:tcPr>
          <w:p w14:paraId="17592384" w14:textId="77777777" w:rsidR="009C040E" w:rsidRPr="00886D8A" w:rsidRDefault="009C040E" w:rsidP="004E36D3">
            <w:pPr>
              <w:pStyle w:val="TableText0"/>
            </w:pPr>
            <w:r w:rsidRPr="00886D8A">
              <w:t>416</w:t>
            </w:r>
            <w:r w:rsidRPr="00886D8A">
              <w:rPr>
                <w:vertAlign w:val="superscript"/>
              </w:rPr>
              <w:t>c</w:t>
            </w:r>
            <w:r w:rsidRPr="00886D8A">
              <w:t xml:space="preserve"> x F</w:t>
            </w:r>
          </w:p>
        </w:tc>
        <w:tc>
          <w:tcPr>
            <w:tcW w:w="506" w:type="pct"/>
            <w:vAlign w:val="center"/>
          </w:tcPr>
          <w:p w14:paraId="51B43CB1" w14:textId="75E3167A" w:rsidR="009C040E" w:rsidRPr="00A73265" w:rsidRDefault="00ED4AC4" w:rsidP="004E36D3">
            <w:pPr>
              <w:pStyle w:val="TableText0"/>
              <w:rPr>
                <w:highlight w:val="darkGray"/>
              </w:rPr>
            </w:pPr>
            <w:r w:rsidRPr="00896015">
              <w:rPr>
                <w:color w:val="000000"/>
                <w:spacing w:val="51"/>
                <w:shd w:val="solid" w:color="000000" w:fill="000000"/>
                <w:fitText w:val="326" w:id="-628411127"/>
                <w14:textFill>
                  <w14:solidFill>
                    <w14:srgbClr w14:val="000000">
                      <w14:alpha w14:val="100000"/>
                    </w14:srgbClr>
                  </w14:solidFill>
                </w14:textFill>
              </w:rPr>
              <w:t>|||</w:t>
            </w:r>
            <w:r w:rsidRPr="00896015">
              <w:rPr>
                <w:color w:val="000000"/>
                <w:spacing w:val="1"/>
                <w:shd w:val="solid" w:color="000000" w:fill="000000"/>
                <w:fitText w:val="326" w:id="-628411127"/>
                <w14:textFill>
                  <w14:solidFill>
                    <w14:srgbClr w14:val="000000">
                      <w14:alpha w14:val="100000"/>
                    </w14:srgbClr>
                  </w14:solidFill>
                </w14:textFill>
              </w:rPr>
              <w:t>|</w:t>
            </w:r>
            <w:r w:rsidR="00445B18" w:rsidRPr="00445B18">
              <w:rPr>
                <w:vertAlign w:val="superscript"/>
              </w:rPr>
              <w:t>2</w:t>
            </w:r>
          </w:p>
        </w:tc>
        <w:tc>
          <w:tcPr>
            <w:tcW w:w="506" w:type="pct"/>
            <w:vAlign w:val="center"/>
          </w:tcPr>
          <w:p w14:paraId="0A8945EB" w14:textId="73045616" w:rsidR="009C040E" w:rsidRPr="00A73265" w:rsidRDefault="00ED4AC4" w:rsidP="004E36D3">
            <w:pPr>
              <w:pStyle w:val="TableText0"/>
              <w:rPr>
                <w:highlight w:val="darkGray"/>
              </w:rPr>
            </w:pPr>
            <w:r w:rsidRPr="00896015">
              <w:rPr>
                <w:color w:val="000000"/>
                <w:spacing w:val="51"/>
                <w:shd w:val="solid" w:color="000000" w:fill="000000"/>
                <w:fitText w:val="325" w:id="-628411126"/>
                <w14:textFill>
                  <w14:solidFill>
                    <w14:srgbClr w14:val="000000">
                      <w14:alpha w14:val="100000"/>
                    </w14:srgbClr>
                  </w14:solidFill>
                </w14:textFill>
              </w:rPr>
              <w:t>|||</w:t>
            </w:r>
            <w:r w:rsidRPr="00896015">
              <w:rPr>
                <w:color w:val="000000"/>
                <w:shd w:val="solid" w:color="000000" w:fill="000000"/>
                <w:fitText w:val="325" w:id="-628411126"/>
                <w14:textFill>
                  <w14:solidFill>
                    <w14:srgbClr w14:val="000000">
                      <w14:alpha w14:val="100000"/>
                    </w14:srgbClr>
                  </w14:solidFill>
                </w14:textFill>
              </w:rPr>
              <w:t>|</w:t>
            </w:r>
            <w:r w:rsidR="00445B18" w:rsidRPr="00445B18">
              <w:rPr>
                <w:vertAlign w:val="superscript"/>
              </w:rPr>
              <w:t>2</w:t>
            </w:r>
          </w:p>
        </w:tc>
        <w:tc>
          <w:tcPr>
            <w:tcW w:w="506" w:type="pct"/>
            <w:vAlign w:val="center"/>
          </w:tcPr>
          <w:p w14:paraId="4F4C0643" w14:textId="74050F66" w:rsidR="009C040E" w:rsidRPr="00A73265" w:rsidRDefault="00ED4AC4" w:rsidP="004E36D3">
            <w:pPr>
              <w:pStyle w:val="TableText0"/>
              <w:rPr>
                <w:highlight w:val="darkGray"/>
              </w:rPr>
            </w:pPr>
            <w:r w:rsidRPr="00896015">
              <w:rPr>
                <w:color w:val="000000"/>
                <w:spacing w:val="51"/>
                <w:shd w:val="solid" w:color="000000" w:fill="000000"/>
                <w:fitText w:val="325" w:id="-628411125"/>
                <w14:textFill>
                  <w14:solidFill>
                    <w14:srgbClr w14:val="000000">
                      <w14:alpha w14:val="100000"/>
                    </w14:srgbClr>
                  </w14:solidFill>
                </w14:textFill>
              </w:rPr>
              <w:t>|||</w:t>
            </w:r>
            <w:r w:rsidRPr="00896015">
              <w:rPr>
                <w:color w:val="000000"/>
                <w:shd w:val="solid" w:color="000000" w:fill="000000"/>
                <w:fitText w:val="325" w:id="-628411125"/>
                <w14:textFill>
                  <w14:solidFill>
                    <w14:srgbClr w14:val="000000">
                      <w14:alpha w14:val="100000"/>
                    </w14:srgbClr>
                  </w14:solidFill>
                </w14:textFill>
              </w:rPr>
              <w:t>|</w:t>
            </w:r>
            <w:r w:rsidR="00A60BF0" w:rsidRPr="00445B18">
              <w:rPr>
                <w:vertAlign w:val="superscript"/>
              </w:rPr>
              <w:t>2</w:t>
            </w:r>
          </w:p>
        </w:tc>
        <w:tc>
          <w:tcPr>
            <w:tcW w:w="506" w:type="pct"/>
            <w:vAlign w:val="center"/>
          </w:tcPr>
          <w:p w14:paraId="32991387" w14:textId="02875A22" w:rsidR="009C040E" w:rsidRPr="00A73265" w:rsidRDefault="00ED4AC4" w:rsidP="004E36D3">
            <w:pPr>
              <w:pStyle w:val="TableText0"/>
              <w:rPr>
                <w:highlight w:val="darkGray"/>
              </w:rPr>
            </w:pPr>
            <w:r w:rsidRPr="00896015">
              <w:rPr>
                <w:color w:val="000000"/>
                <w:spacing w:val="51"/>
                <w:shd w:val="solid" w:color="000000" w:fill="000000"/>
                <w:fitText w:val="325" w:id="-628411124"/>
                <w14:textFill>
                  <w14:solidFill>
                    <w14:srgbClr w14:val="000000">
                      <w14:alpha w14:val="100000"/>
                    </w14:srgbClr>
                  </w14:solidFill>
                </w14:textFill>
              </w:rPr>
              <w:t>|||</w:t>
            </w:r>
            <w:r w:rsidRPr="00896015">
              <w:rPr>
                <w:color w:val="000000"/>
                <w:shd w:val="solid" w:color="000000" w:fill="000000"/>
                <w:fitText w:val="325" w:id="-628411124"/>
                <w14:textFill>
                  <w14:solidFill>
                    <w14:srgbClr w14:val="000000">
                      <w14:alpha w14:val="100000"/>
                    </w14:srgbClr>
                  </w14:solidFill>
                </w14:textFill>
              </w:rPr>
              <w:t>|</w:t>
            </w:r>
            <w:r w:rsidR="00A60BF0" w:rsidRPr="00445B18">
              <w:rPr>
                <w:vertAlign w:val="superscript"/>
              </w:rPr>
              <w:t>2</w:t>
            </w:r>
          </w:p>
        </w:tc>
        <w:tc>
          <w:tcPr>
            <w:tcW w:w="506" w:type="pct"/>
            <w:vAlign w:val="center"/>
          </w:tcPr>
          <w:p w14:paraId="358EFE0E" w14:textId="5EA5DC07" w:rsidR="009C040E" w:rsidRPr="00A73265" w:rsidRDefault="00ED4AC4" w:rsidP="004E36D3">
            <w:pPr>
              <w:pStyle w:val="TableText0"/>
              <w:rPr>
                <w:highlight w:val="darkGray"/>
              </w:rPr>
            </w:pPr>
            <w:r w:rsidRPr="00896015">
              <w:rPr>
                <w:color w:val="000000"/>
                <w:spacing w:val="51"/>
                <w:shd w:val="solid" w:color="000000" w:fill="000000"/>
                <w:fitText w:val="325" w:id="-628411123"/>
                <w14:textFill>
                  <w14:solidFill>
                    <w14:srgbClr w14:val="000000">
                      <w14:alpha w14:val="100000"/>
                    </w14:srgbClr>
                  </w14:solidFill>
                </w14:textFill>
              </w:rPr>
              <w:t>|||</w:t>
            </w:r>
            <w:r w:rsidRPr="00896015">
              <w:rPr>
                <w:color w:val="000000"/>
                <w:shd w:val="solid" w:color="000000" w:fill="000000"/>
                <w:fitText w:val="325" w:id="-628411123"/>
                <w14:textFill>
                  <w14:solidFill>
                    <w14:srgbClr w14:val="000000">
                      <w14:alpha w14:val="100000"/>
                    </w14:srgbClr>
                  </w14:solidFill>
                </w14:textFill>
              </w:rPr>
              <w:t>|</w:t>
            </w:r>
            <w:r w:rsidR="00A60BF0" w:rsidRPr="00445B18">
              <w:rPr>
                <w:vertAlign w:val="superscript"/>
              </w:rPr>
              <w:t>2</w:t>
            </w:r>
          </w:p>
        </w:tc>
        <w:tc>
          <w:tcPr>
            <w:tcW w:w="507" w:type="pct"/>
            <w:vAlign w:val="center"/>
          </w:tcPr>
          <w:p w14:paraId="49B53B06" w14:textId="72ACF42B" w:rsidR="009C040E" w:rsidRPr="00A73265" w:rsidRDefault="00ED4AC4" w:rsidP="004E36D3">
            <w:pPr>
              <w:pStyle w:val="TableText0"/>
              <w:rPr>
                <w:highlight w:val="darkGray"/>
              </w:rPr>
            </w:pPr>
            <w:r w:rsidRPr="00896015">
              <w:rPr>
                <w:color w:val="000000"/>
                <w:spacing w:val="51"/>
                <w:shd w:val="solid" w:color="000000" w:fill="000000"/>
                <w:fitText w:val="326" w:id="-628411122"/>
                <w14:textFill>
                  <w14:solidFill>
                    <w14:srgbClr w14:val="000000">
                      <w14:alpha w14:val="100000"/>
                    </w14:srgbClr>
                  </w14:solidFill>
                </w14:textFill>
              </w:rPr>
              <w:t>|||</w:t>
            </w:r>
            <w:r w:rsidRPr="00896015">
              <w:rPr>
                <w:color w:val="000000"/>
                <w:spacing w:val="1"/>
                <w:shd w:val="solid" w:color="000000" w:fill="000000"/>
                <w:fitText w:val="326" w:id="-628411122"/>
                <w14:textFill>
                  <w14:solidFill>
                    <w14:srgbClr w14:val="000000">
                      <w14:alpha w14:val="100000"/>
                    </w14:srgbClr>
                  </w14:solidFill>
                </w14:textFill>
              </w:rPr>
              <w:t>|</w:t>
            </w:r>
            <w:r w:rsidR="00A60BF0" w:rsidRPr="00445B18">
              <w:rPr>
                <w:vertAlign w:val="superscript"/>
              </w:rPr>
              <w:t>2</w:t>
            </w:r>
          </w:p>
        </w:tc>
      </w:tr>
      <w:tr w:rsidR="009C040E" w:rsidRPr="00886D8A" w14:paraId="24B4F72F" w14:textId="77777777" w:rsidTr="001F497E">
        <w:tc>
          <w:tcPr>
            <w:tcW w:w="155" w:type="pct"/>
            <w:tcBorders>
              <w:top w:val="nil"/>
              <w:left w:val="single" w:sz="4" w:space="0" w:color="auto"/>
              <w:bottom w:val="single" w:sz="4" w:space="0" w:color="auto"/>
              <w:right w:val="single" w:sz="4" w:space="0" w:color="auto"/>
            </w:tcBorders>
            <w:shd w:val="clear" w:color="auto" w:fill="FFFFFF" w:themeFill="background1"/>
          </w:tcPr>
          <w:p w14:paraId="29ABCCE5" w14:textId="77777777" w:rsidR="009C040E" w:rsidRPr="00886D8A" w:rsidRDefault="009C040E" w:rsidP="004E36D3">
            <w:pPr>
              <w:pStyle w:val="TableText0"/>
            </w:pPr>
            <w:r w:rsidRPr="00886D8A">
              <w:t>J</w:t>
            </w:r>
          </w:p>
        </w:tc>
        <w:tc>
          <w:tcPr>
            <w:tcW w:w="1258" w:type="pct"/>
            <w:tcBorders>
              <w:top w:val="nil"/>
              <w:left w:val="single" w:sz="4" w:space="0" w:color="auto"/>
              <w:bottom w:val="single" w:sz="4" w:space="0" w:color="auto"/>
              <w:right w:val="single" w:sz="4" w:space="0" w:color="auto"/>
            </w:tcBorders>
            <w:vAlign w:val="bottom"/>
          </w:tcPr>
          <w:p w14:paraId="3EE045E8" w14:textId="77777777" w:rsidR="009C040E" w:rsidRPr="00886D8A" w:rsidRDefault="009C040E" w:rsidP="004E36D3">
            <w:pPr>
              <w:pStyle w:val="TableText0"/>
              <w:rPr>
                <w:vertAlign w:val="superscript"/>
              </w:rPr>
            </w:pPr>
            <w:r w:rsidRPr="00886D8A">
              <w:t>Number of 1x10mg pack (max qty =4) VA scripts</w:t>
            </w:r>
          </w:p>
        </w:tc>
        <w:tc>
          <w:tcPr>
            <w:tcW w:w="550" w:type="pct"/>
            <w:tcBorders>
              <w:top w:val="single" w:sz="4" w:space="0" w:color="auto"/>
              <w:left w:val="nil"/>
              <w:bottom w:val="single" w:sz="4" w:space="0" w:color="auto"/>
              <w:right w:val="single" w:sz="4" w:space="0" w:color="auto"/>
            </w:tcBorders>
            <w:shd w:val="clear" w:color="auto" w:fill="FFFFFF" w:themeFill="background1"/>
            <w:vAlign w:val="center"/>
          </w:tcPr>
          <w:p w14:paraId="3CE6B185" w14:textId="77777777" w:rsidR="009C040E" w:rsidRPr="00886D8A" w:rsidRDefault="009C040E" w:rsidP="004E36D3">
            <w:pPr>
              <w:pStyle w:val="TableText0"/>
              <w:rPr>
                <w:vertAlign w:val="superscript"/>
              </w:rPr>
            </w:pPr>
            <w:r w:rsidRPr="00886D8A">
              <w:t>H x 0.4 /4</w:t>
            </w:r>
            <w:r w:rsidRPr="00886D8A">
              <w:rPr>
                <w:vertAlign w:val="superscript"/>
              </w:rPr>
              <w:t>d</w:t>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05CB" w14:textId="0881D99E" w:rsidR="009C040E" w:rsidRPr="00A73265" w:rsidRDefault="00ED4AC4" w:rsidP="004E36D3">
            <w:pPr>
              <w:pStyle w:val="TableText0"/>
              <w:rPr>
                <w:szCs w:val="20"/>
                <w:highlight w:val="darkGray"/>
              </w:rPr>
            </w:pPr>
            <w:r w:rsidRPr="00896015">
              <w:rPr>
                <w:color w:val="000000"/>
                <w:spacing w:val="51"/>
                <w:szCs w:val="20"/>
                <w:shd w:val="solid" w:color="000000" w:fill="000000"/>
                <w:fitText w:val="326" w:id="-628411121"/>
                <w14:textFill>
                  <w14:solidFill>
                    <w14:srgbClr w14:val="000000">
                      <w14:alpha w14:val="100000"/>
                    </w14:srgbClr>
                  </w14:solidFill>
                </w14:textFill>
              </w:rPr>
              <w:t>|||</w:t>
            </w:r>
            <w:r w:rsidRPr="00896015">
              <w:rPr>
                <w:color w:val="000000"/>
                <w:spacing w:val="1"/>
                <w:szCs w:val="20"/>
                <w:shd w:val="solid" w:color="000000" w:fill="000000"/>
                <w:fitText w:val="326" w:id="-628411121"/>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022C2BB8" w14:textId="02E90D82" w:rsidR="009C040E" w:rsidRPr="00A73265" w:rsidRDefault="00ED4AC4" w:rsidP="004E36D3">
            <w:pPr>
              <w:pStyle w:val="TableText0"/>
              <w:rPr>
                <w:szCs w:val="20"/>
                <w:highlight w:val="darkGray"/>
              </w:rPr>
            </w:pPr>
            <w:r w:rsidRPr="00896015">
              <w:rPr>
                <w:color w:val="000000"/>
                <w:spacing w:val="51"/>
                <w:szCs w:val="20"/>
                <w:shd w:val="solid" w:color="000000" w:fill="000000"/>
                <w:fitText w:val="326" w:id="-628411120"/>
                <w14:textFill>
                  <w14:solidFill>
                    <w14:srgbClr w14:val="000000">
                      <w14:alpha w14:val="100000"/>
                    </w14:srgbClr>
                  </w14:solidFill>
                </w14:textFill>
              </w:rPr>
              <w:t>|||</w:t>
            </w:r>
            <w:r w:rsidRPr="00896015">
              <w:rPr>
                <w:color w:val="000000"/>
                <w:spacing w:val="1"/>
                <w:szCs w:val="20"/>
                <w:shd w:val="solid" w:color="000000" w:fill="000000"/>
                <w:fitText w:val="326" w:id="-628411120"/>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7395E5C4" w14:textId="7E16A69F" w:rsidR="009C040E" w:rsidRPr="00A73265" w:rsidRDefault="00ED4AC4" w:rsidP="004E36D3">
            <w:pPr>
              <w:pStyle w:val="TableText0"/>
              <w:rPr>
                <w:szCs w:val="20"/>
                <w:highlight w:val="darkGray"/>
              </w:rPr>
            </w:pPr>
            <w:r w:rsidRPr="00896015">
              <w:rPr>
                <w:color w:val="000000"/>
                <w:spacing w:val="51"/>
                <w:szCs w:val="20"/>
                <w:shd w:val="solid" w:color="000000" w:fill="000000"/>
                <w:fitText w:val="326" w:id="-628411136"/>
                <w14:textFill>
                  <w14:solidFill>
                    <w14:srgbClr w14:val="000000">
                      <w14:alpha w14:val="100000"/>
                    </w14:srgbClr>
                  </w14:solidFill>
                </w14:textFill>
              </w:rPr>
              <w:t>|||</w:t>
            </w:r>
            <w:r w:rsidRPr="00896015">
              <w:rPr>
                <w:color w:val="000000"/>
                <w:spacing w:val="1"/>
                <w:szCs w:val="20"/>
                <w:shd w:val="solid" w:color="000000" w:fill="000000"/>
                <w:fitText w:val="326" w:id="-628411136"/>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589C8BB0" w14:textId="3BC242ED" w:rsidR="009C040E" w:rsidRPr="00A73265" w:rsidRDefault="00ED4AC4" w:rsidP="004E36D3">
            <w:pPr>
              <w:pStyle w:val="TableText0"/>
              <w:rPr>
                <w:szCs w:val="20"/>
                <w:highlight w:val="darkGray"/>
              </w:rPr>
            </w:pPr>
            <w:r w:rsidRPr="00896015">
              <w:rPr>
                <w:color w:val="000000"/>
                <w:spacing w:val="51"/>
                <w:szCs w:val="20"/>
                <w:shd w:val="solid" w:color="000000" w:fill="000000"/>
                <w:fitText w:val="326" w:id="-628411135"/>
                <w14:textFill>
                  <w14:solidFill>
                    <w14:srgbClr w14:val="000000">
                      <w14:alpha w14:val="100000"/>
                    </w14:srgbClr>
                  </w14:solidFill>
                </w14:textFill>
              </w:rPr>
              <w:t>|||</w:t>
            </w:r>
            <w:r w:rsidRPr="00896015">
              <w:rPr>
                <w:color w:val="000000"/>
                <w:spacing w:val="1"/>
                <w:szCs w:val="20"/>
                <w:shd w:val="solid" w:color="000000" w:fill="000000"/>
                <w:fitText w:val="326" w:id="-628411135"/>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08A7B6AF" w14:textId="259C0664" w:rsidR="009C040E" w:rsidRPr="00A73265" w:rsidRDefault="00ED4AC4" w:rsidP="004E36D3">
            <w:pPr>
              <w:pStyle w:val="TableText0"/>
              <w:rPr>
                <w:szCs w:val="20"/>
                <w:highlight w:val="darkGray"/>
              </w:rPr>
            </w:pPr>
            <w:r w:rsidRPr="00896015">
              <w:rPr>
                <w:color w:val="000000"/>
                <w:spacing w:val="51"/>
                <w:szCs w:val="20"/>
                <w:shd w:val="solid" w:color="000000" w:fill="000000"/>
                <w:fitText w:val="326" w:id="-628411134"/>
                <w14:textFill>
                  <w14:solidFill>
                    <w14:srgbClr w14:val="000000">
                      <w14:alpha w14:val="100000"/>
                    </w14:srgbClr>
                  </w14:solidFill>
                </w14:textFill>
              </w:rPr>
              <w:t>|||</w:t>
            </w:r>
            <w:r w:rsidRPr="00896015">
              <w:rPr>
                <w:color w:val="000000"/>
                <w:spacing w:val="1"/>
                <w:szCs w:val="20"/>
                <w:shd w:val="solid" w:color="000000" w:fill="000000"/>
                <w:fitText w:val="326" w:id="-628411134"/>
                <w14:textFill>
                  <w14:solidFill>
                    <w14:srgbClr w14:val="000000">
                      <w14:alpha w14:val="100000"/>
                    </w14:srgbClr>
                  </w14:solidFill>
                </w14:textFill>
              </w:rPr>
              <w:t>|</w:t>
            </w:r>
            <w:r w:rsidR="00895676" w:rsidRPr="006C43DC">
              <w:rPr>
                <w:vertAlign w:val="superscript"/>
              </w:rPr>
              <w:t>1</w:t>
            </w:r>
          </w:p>
        </w:tc>
        <w:tc>
          <w:tcPr>
            <w:tcW w:w="507" w:type="pct"/>
            <w:tcBorders>
              <w:top w:val="nil"/>
              <w:left w:val="nil"/>
              <w:bottom w:val="single" w:sz="4" w:space="0" w:color="auto"/>
              <w:right w:val="single" w:sz="4" w:space="0" w:color="auto"/>
            </w:tcBorders>
            <w:shd w:val="clear" w:color="auto" w:fill="FFFFFF" w:themeFill="background1"/>
            <w:vAlign w:val="center"/>
          </w:tcPr>
          <w:p w14:paraId="2517FF97" w14:textId="2FC1BF77" w:rsidR="009C040E" w:rsidRPr="00A73265" w:rsidRDefault="00ED4AC4" w:rsidP="004E36D3">
            <w:pPr>
              <w:pStyle w:val="TableText0"/>
              <w:rPr>
                <w:szCs w:val="20"/>
                <w:highlight w:val="darkGray"/>
              </w:rPr>
            </w:pPr>
            <w:r w:rsidRPr="00896015">
              <w:rPr>
                <w:color w:val="000000"/>
                <w:spacing w:val="51"/>
                <w:szCs w:val="20"/>
                <w:shd w:val="solid" w:color="000000" w:fill="000000"/>
                <w:fitText w:val="326" w:id="-628411133"/>
                <w14:textFill>
                  <w14:solidFill>
                    <w14:srgbClr w14:val="000000">
                      <w14:alpha w14:val="100000"/>
                    </w14:srgbClr>
                  </w14:solidFill>
                </w14:textFill>
              </w:rPr>
              <w:t>|||</w:t>
            </w:r>
            <w:r w:rsidRPr="00896015">
              <w:rPr>
                <w:color w:val="000000"/>
                <w:spacing w:val="1"/>
                <w:szCs w:val="20"/>
                <w:shd w:val="solid" w:color="000000" w:fill="000000"/>
                <w:fitText w:val="326" w:id="-628411133"/>
                <w14:textFill>
                  <w14:solidFill>
                    <w14:srgbClr w14:val="000000">
                      <w14:alpha w14:val="100000"/>
                    </w14:srgbClr>
                  </w14:solidFill>
                </w14:textFill>
              </w:rPr>
              <w:t>|</w:t>
            </w:r>
            <w:r w:rsidR="00895676" w:rsidRPr="006C43DC">
              <w:rPr>
                <w:vertAlign w:val="superscript"/>
              </w:rPr>
              <w:t>1</w:t>
            </w:r>
          </w:p>
        </w:tc>
      </w:tr>
      <w:tr w:rsidR="009C040E" w:rsidRPr="00886D8A" w14:paraId="00B3B9B1" w14:textId="77777777" w:rsidTr="001F497E">
        <w:tc>
          <w:tcPr>
            <w:tcW w:w="155" w:type="pct"/>
            <w:tcBorders>
              <w:top w:val="nil"/>
              <w:left w:val="single" w:sz="4" w:space="0" w:color="auto"/>
              <w:bottom w:val="single" w:sz="4" w:space="0" w:color="auto"/>
              <w:right w:val="single" w:sz="4" w:space="0" w:color="auto"/>
            </w:tcBorders>
            <w:shd w:val="clear" w:color="auto" w:fill="FFFFFF" w:themeFill="background1"/>
          </w:tcPr>
          <w:p w14:paraId="4D7B89CF" w14:textId="77777777" w:rsidR="009C040E" w:rsidRPr="00886D8A" w:rsidRDefault="009C040E" w:rsidP="004E36D3">
            <w:pPr>
              <w:pStyle w:val="TableText0"/>
            </w:pPr>
            <w:r w:rsidRPr="00886D8A">
              <w:t>K</w:t>
            </w:r>
          </w:p>
        </w:tc>
        <w:tc>
          <w:tcPr>
            <w:tcW w:w="1258" w:type="pct"/>
            <w:tcBorders>
              <w:top w:val="nil"/>
              <w:left w:val="single" w:sz="4" w:space="0" w:color="auto"/>
              <w:bottom w:val="single" w:sz="4" w:space="0" w:color="auto"/>
              <w:right w:val="single" w:sz="4" w:space="0" w:color="auto"/>
            </w:tcBorders>
            <w:vAlign w:val="bottom"/>
          </w:tcPr>
          <w:p w14:paraId="1762ABD5" w14:textId="77777777" w:rsidR="009C040E" w:rsidRPr="00886D8A" w:rsidRDefault="009C040E" w:rsidP="004E36D3">
            <w:pPr>
              <w:pStyle w:val="TableText0"/>
            </w:pPr>
            <w:r w:rsidRPr="00886D8A">
              <w:t>Number of 5x10mg pack (max qty =4) VA scripts</w:t>
            </w:r>
          </w:p>
        </w:tc>
        <w:tc>
          <w:tcPr>
            <w:tcW w:w="550" w:type="pct"/>
            <w:tcBorders>
              <w:top w:val="single" w:sz="4" w:space="0" w:color="auto"/>
              <w:left w:val="nil"/>
              <w:bottom w:val="single" w:sz="4" w:space="0" w:color="auto"/>
              <w:right w:val="single" w:sz="4" w:space="0" w:color="auto"/>
            </w:tcBorders>
            <w:shd w:val="clear" w:color="auto" w:fill="FFFFFF" w:themeFill="background1"/>
            <w:vAlign w:val="center"/>
          </w:tcPr>
          <w:p w14:paraId="3F66D7DB" w14:textId="77777777" w:rsidR="009C040E" w:rsidRPr="00886D8A" w:rsidRDefault="009C040E" w:rsidP="004E36D3">
            <w:pPr>
              <w:pStyle w:val="TableText0"/>
            </w:pPr>
            <w:r w:rsidRPr="00886D8A">
              <w:t>G /20</w:t>
            </w:r>
            <w:r w:rsidRPr="00886D8A">
              <w:rPr>
                <w:vertAlign w:val="superscript"/>
              </w:rPr>
              <w:t>e</w:t>
            </w:r>
            <w:r w:rsidRPr="00886D8A">
              <w:t xml:space="preserve"> </w:t>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3BF5A" w14:textId="7E85E7E6" w:rsidR="009C040E" w:rsidRPr="00A73265" w:rsidRDefault="00ED4AC4" w:rsidP="004E36D3">
            <w:pPr>
              <w:pStyle w:val="TableText0"/>
              <w:rPr>
                <w:bCs w:val="0"/>
                <w:szCs w:val="20"/>
                <w:highlight w:val="darkGray"/>
              </w:rPr>
            </w:pPr>
            <w:r w:rsidRPr="00896015">
              <w:rPr>
                <w:rFonts w:cstheme="minorHAnsi"/>
                <w:color w:val="000000"/>
                <w:spacing w:val="51"/>
                <w:szCs w:val="20"/>
                <w:shd w:val="solid" w:color="000000" w:fill="000000"/>
                <w:fitText w:val="326" w:id="-628411132"/>
                <w14:textFill>
                  <w14:solidFill>
                    <w14:srgbClr w14:val="000000">
                      <w14:alpha w14:val="100000"/>
                    </w14:srgbClr>
                  </w14:solidFill>
                </w14:textFill>
              </w:rPr>
              <w:t>|||</w:t>
            </w:r>
            <w:r w:rsidRPr="00896015">
              <w:rPr>
                <w:rFonts w:cstheme="minorHAnsi"/>
                <w:color w:val="000000"/>
                <w:spacing w:val="1"/>
                <w:szCs w:val="20"/>
                <w:shd w:val="solid" w:color="000000" w:fill="000000"/>
                <w:fitText w:val="326" w:id="-628411132"/>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5E80D4E2" w14:textId="58A1D9AE" w:rsidR="009C040E" w:rsidRPr="00A73265" w:rsidRDefault="00ED4AC4" w:rsidP="004E36D3">
            <w:pPr>
              <w:pStyle w:val="TableText0"/>
              <w:rPr>
                <w:bCs w:val="0"/>
                <w:szCs w:val="20"/>
                <w:highlight w:val="darkGray"/>
              </w:rPr>
            </w:pPr>
            <w:r w:rsidRPr="00896015">
              <w:rPr>
                <w:rFonts w:cstheme="minorHAnsi"/>
                <w:color w:val="000000"/>
                <w:spacing w:val="51"/>
                <w:szCs w:val="20"/>
                <w:shd w:val="solid" w:color="000000" w:fill="000000"/>
                <w:fitText w:val="326" w:id="-628411131"/>
                <w14:textFill>
                  <w14:solidFill>
                    <w14:srgbClr w14:val="000000">
                      <w14:alpha w14:val="100000"/>
                    </w14:srgbClr>
                  </w14:solidFill>
                </w14:textFill>
              </w:rPr>
              <w:t>|||</w:t>
            </w:r>
            <w:r w:rsidRPr="00896015">
              <w:rPr>
                <w:rFonts w:cstheme="minorHAnsi"/>
                <w:color w:val="000000"/>
                <w:spacing w:val="1"/>
                <w:szCs w:val="20"/>
                <w:shd w:val="solid" w:color="000000" w:fill="000000"/>
                <w:fitText w:val="326" w:id="-628411131"/>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0F73BF3E" w14:textId="0BDF3880" w:rsidR="009C040E" w:rsidRPr="00A73265" w:rsidRDefault="00ED4AC4" w:rsidP="004E36D3">
            <w:pPr>
              <w:pStyle w:val="TableText0"/>
              <w:rPr>
                <w:bCs w:val="0"/>
                <w:szCs w:val="20"/>
                <w:highlight w:val="darkGray"/>
              </w:rPr>
            </w:pPr>
            <w:r w:rsidRPr="00896015">
              <w:rPr>
                <w:rFonts w:cstheme="minorHAnsi"/>
                <w:color w:val="000000"/>
                <w:spacing w:val="51"/>
                <w:szCs w:val="20"/>
                <w:shd w:val="solid" w:color="000000" w:fill="000000"/>
                <w:fitText w:val="326" w:id="-628411130"/>
                <w14:textFill>
                  <w14:solidFill>
                    <w14:srgbClr w14:val="000000">
                      <w14:alpha w14:val="100000"/>
                    </w14:srgbClr>
                  </w14:solidFill>
                </w14:textFill>
              </w:rPr>
              <w:t>|||</w:t>
            </w:r>
            <w:r w:rsidRPr="00896015">
              <w:rPr>
                <w:rFonts w:cstheme="minorHAnsi"/>
                <w:color w:val="000000"/>
                <w:spacing w:val="1"/>
                <w:szCs w:val="20"/>
                <w:shd w:val="solid" w:color="000000" w:fill="000000"/>
                <w:fitText w:val="326" w:id="-628411130"/>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667C5888" w14:textId="54227F6C" w:rsidR="009C040E" w:rsidRPr="00A73265" w:rsidRDefault="00ED4AC4" w:rsidP="004E36D3">
            <w:pPr>
              <w:pStyle w:val="TableText0"/>
              <w:rPr>
                <w:bCs w:val="0"/>
                <w:szCs w:val="20"/>
                <w:highlight w:val="darkGray"/>
              </w:rPr>
            </w:pPr>
            <w:r w:rsidRPr="00896015">
              <w:rPr>
                <w:rFonts w:cstheme="minorHAnsi"/>
                <w:color w:val="000000"/>
                <w:spacing w:val="51"/>
                <w:szCs w:val="20"/>
                <w:shd w:val="solid" w:color="000000" w:fill="000000"/>
                <w:fitText w:val="326" w:id="-628411129"/>
                <w14:textFill>
                  <w14:solidFill>
                    <w14:srgbClr w14:val="000000">
                      <w14:alpha w14:val="100000"/>
                    </w14:srgbClr>
                  </w14:solidFill>
                </w14:textFill>
              </w:rPr>
              <w:t>|||</w:t>
            </w:r>
            <w:r w:rsidRPr="00896015">
              <w:rPr>
                <w:rFonts w:cstheme="minorHAnsi"/>
                <w:color w:val="000000"/>
                <w:spacing w:val="1"/>
                <w:szCs w:val="20"/>
                <w:shd w:val="solid" w:color="000000" w:fill="000000"/>
                <w:fitText w:val="326" w:id="-628411129"/>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4B5D3D49" w14:textId="04EFBF25" w:rsidR="009C040E" w:rsidRPr="00A73265" w:rsidRDefault="00ED4AC4" w:rsidP="004E36D3">
            <w:pPr>
              <w:pStyle w:val="TableText0"/>
              <w:rPr>
                <w:bCs w:val="0"/>
                <w:szCs w:val="20"/>
                <w:highlight w:val="darkGray"/>
              </w:rPr>
            </w:pPr>
            <w:r w:rsidRPr="00896015">
              <w:rPr>
                <w:rFonts w:cstheme="minorHAnsi"/>
                <w:color w:val="000000"/>
                <w:spacing w:val="51"/>
                <w:szCs w:val="20"/>
                <w:shd w:val="solid" w:color="000000" w:fill="000000"/>
                <w:fitText w:val="326" w:id="-628411128"/>
                <w14:textFill>
                  <w14:solidFill>
                    <w14:srgbClr w14:val="000000">
                      <w14:alpha w14:val="100000"/>
                    </w14:srgbClr>
                  </w14:solidFill>
                </w14:textFill>
              </w:rPr>
              <w:t>|||</w:t>
            </w:r>
            <w:r w:rsidRPr="00896015">
              <w:rPr>
                <w:rFonts w:cstheme="minorHAnsi"/>
                <w:color w:val="000000"/>
                <w:spacing w:val="1"/>
                <w:szCs w:val="20"/>
                <w:shd w:val="solid" w:color="000000" w:fill="000000"/>
                <w:fitText w:val="326" w:id="-628411128"/>
                <w14:textFill>
                  <w14:solidFill>
                    <w14:srgbClr w14:val="000000">
                      <w14:alpha w14:val="100000"/>
                    </w14:srgbClr>
                  </w14:solidFill>
                </w14:textFill>
              </w:rPr>
              <w:t>|</w:t>
            </w:r>
            <w:r w:rsidR="00895676" w:rsidRPr="006C43DC">
              <w:rPr>
                <w:vertAlign w:val="superscript"/>
              </w:rPr>
              <w:t>1</w:t>
            </w:r>
          </w:p>
        </w:tc>
        <w:tc>
          <w:tcPr>
            <w:tcW w:w="507" w:type="pct"/>
            <w:tcBorders>
              <w:top w:val="nil"/>
              <w:left w:val="nil"/>
              <w:bottom w:val="single" w:sz="4" w:space="0" w:color="auto"/>
              <w:right w:val="single" w:sz="4" w:space="0" w:color="auto"/>
            </w:tcBorders>
            <w:shd w:val="clear" w:color="auto" w:fill="FFFFFF" w:themeFill="background1"/>
            <w:vAlign w:val="center"/>
          </w:tcPr>
          <w:p w14:paraId="5304F83A" w14:textId="039AE632" w:rsidR="009C040E" w:rsidRPr="00A73265" w:rsidRDefault="00ED4AC4" w:rsidP="004E36D3">
            <w:pPr>
              <w:pStyle w:val="TableText0"/>
              <w:rPr>
                <w:bCs w:val="0"/>
                <w:szCs w:val="20"/>
                <w:highlight w:val="darkGray"/>
              </w:rPr>
            </w:pPr>
            <w:r w:rsidRPr="00896015">
              <w:rPr>
                <w:rFonts w:cstheme="minorHAnsi"/>
                <w:color w:val="000000"/>
                <w:spacing w:val="51"/>
                <w:szCs w:val="20"/>
                <w:shd w:val="solid" w:color="000000" w:fill="000000"/>
                <w:fitText w:val="326" w:id="-628411127"/>
                <w14:textFill>
                  <w14:solidFill>
                    <w14:srgbClr w14:val="000000">
                      <w14:alpha w14:val="100000"/>
                    </w14:srgbClr>
                  </w14:solidFill>
                </w14:textFill>
              </w:rPr>
              <w:t>|||</w:t>
            </w:r>
            <w:r w:rsidRPr="00896015">
              <w:rPr>
                <w:rFonts w:cstheme="minorHAnsi"/>
                <w:color w:val="000000"/>
                <w:spacing w:val="1"/>
                <w:szCs w:val="20"/>
                <w:shd w:val="solid" w:color="000000" w:fill="000000"/>
                <w:fitText w:val="326" w:id="-628411127"/>
                <w14:textFill>
                  <w14:solidFill>
                    <w14:srgbClr w14:val="000000">
                      <w14:alpha w14:val="100000"/>
                    </w14:srgbClr>
                  </w14:solidFill>
                </w14:textFill>
              </w:rPr>
              <w:t>|</w:t>
            </w:r>
            <w:r w:rsidR="00895676" w:rsidRPr="006C43DC">
              <w:rPr>
                <w:vertAlign w:val="superscript"/>
              </w:rPr>
              <w:t>1</w:t>
            </w:r>
          </w:p>
        </w:tc>
      </w:tr>
      <w:tr w:rsidR="009C040E" w:rsidRPr="00886D8A" w14:paraId="69B15A5D" w14:textId="77777777" w:rsidTr="001F497E">
        <w:tc>
          <w:tcPr>
            <w:tcW w:w="155" w:type="pct"/>
            <w:tcBorders>
              <w:top w:val="nil"/>
              <w:left w:val="single" w:sz="4" w:space="0" w:color="auto"/>
              <w:bottom w:val="single" w:sz="4" w:space="0" w:color="auto"/>
              <w:right w:val="single" w:sz="4" w:space="0" w:color="auto"/>
            </w:tcBorders>
            <w:shd w:val="clear" w:color="auto" w:fill="FFFFFF" w:themeFill="background1"/>
          </w:tcPr>
          <w:p w14:paraId="09E76F01" w14:textId="77777777" w:rsidR="009C040E" w:rsidRPr="00886D8A" w:rsidRDefault="009C040E" w:rsidP="004E36D3">
            <w:pPr>
              <w:pStyle w:val="TableText0"/>
            </w:pPr>
            <w:r w:rsidRPr="00886D8A">
              <w:t>L</w:t>
            </w:r>
          </w:p>
        </w:tc>
        <w:tc>
          <w:tcPr>
            <w:tcW w:w="1258" w:type="pct"/>
            <w:tcBorders>
              <w:top w:val="nil"/>
              <w:left w:val="single" w:sz="4" w:space="0" w:color="auto"/>
              <w:bottom w:val="single" w:sz="4" w:space="0" w:color="auto"/>
              <w:right w:val="single" w:sz="4" w:space="0" w:color="auto"/>
            </w:tcBorders>
            <w:vAlign w:val="center"/>
          </w:tcPr>
          <w:p w14:paraId="0E9A3995" w14:textId="77777777" w:rsidR="009C040E" w:rsidRPr="00886D8A" w:rsidRDefault="009C040E" w:rsidP="004E36D3">
            <w:pPr>
              <w:pStyle w:val="TableText0"/>
              <w:rPr>
                <w:vertAlign w:val="superscript"/>
              </w:rPr>
            </w:pPr>
            <w:r w:rsidRPr="00886D8A">
              <w:t>Number of 10x10mg pack (max qty =4) VA scripts</w:t>
            </w:r>
          </w:p>
        </w:tc>
        <w:tc>
          <w:tcPr>
            <w:tcW w:w="550" w:type="pct"/>
            <w:tcBorders>
              <w:top w:val="single" w:sz="4" w:space="0" w:color="auto"/>
              <w:left w:val="nil"/>
              <w:bottom w:val="single" w:sz="4" w:space="0" w:color="auto"/>
              <w:right w:val="single" w:sz="4" w:space="0" w:color="auto"/>
            </w:tcBorders>
            <w:shd w:val="clear" w:color="auto" w:fill="FFFFFF" w:themeFill="background1"/>
            <w:vAlign w:val="center"/>
          </w:tcPr>
          <w:p w14:paraId="4D9FBB4B" w14:textId="77777777" w:rsidR="009C040E" w:rsidRPr="00886D8A" w:rsidRDefault="009C040E" w:rsidP="004E36D3">
            <w:pPr>
              <w:pStyle w:val="TableText0"/>
              <w:rPr>
                <w:vertAlign w:val="superscript"/>
              </w:rPr>
            </w:pPr>
            <w:r w:rsidRPr="00886D8A">
              <w:t>H x 0.6/40</w:t>
            </w:r>
            <w:r w:rsidRPr="00886D8A">
              <w:rPr>
                <w:vertAlign w:val="superscript"/>
              </w:rPr>
              <w:t>f</w:t>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0A3F" w14:textId="559ACA23" w:rsidR="009C040E" w:rsidRPr="00A73265" w:rsidRDefault="00ED4AC4" w:rsidP="004E36D3">
            <w:pPr>
              <w:pStyle w:val="TableText0"/>
              <w:rPr>
                <w:highlight w:val="darkGray"/>
              </w:rPr>
            </w:pPr>
            <w:r w:rsidRPr="00896015">
              <w:rPr>
                <w:color w:val="000000"/>
                <w:spacing w:val="51"/>
                <w:shd w:val="solid" w:color="000000" w:fill="000000"/>
                <w:fitText w:val="326" w:id="-628411126"/>
                <w14:textFill>
                  <w14:solidFill>
                    <w14:srgbClr w14:val="000000">
                      <w14:alpha w14:val="100000"/>
                    </w14:srgbClr>
                  </w14:solidFill>
                </w14:textFill>
              </w:rPr>
              <w:t>|||</w:t>
            </w:r>
            <w:r w:rsidRPr="00896015">
              <w:rPr>
                <w:color w:val="000000"/>
                <w:spacing w:val="1"/>
                <w:shd w:val="solid" w:color="000000" w:fill="000000"/>
                <w:fitText w:val="326" w:id="-628411126"/>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6B52D486" w14:textId="7B1E5575" w:rsidR="009C040E" w:rsidRPr="00A73265" w:rsidRDefault="00ED4AC4" w:rsidP="004E36D3">
            <w:pPr>
              <w:pStyle w:val="TableText0"/>
              <w:rPr>
                <w:highlight w:val="darkGray"/>
              </w:rPr>
            </w:pPr>
            <w:r w:rsidRPr="00896015">
              <w:rPr>
                <w:color w:val="000000"/>
                <w:spacing w:val="51"/>
                <w:shd w:val="solid" w:color="000000" w:fill="000000"/>
                <w:fitText w:val="326" w:id="-628411125"/>
                <w14:textFill>
                  <w14:solidFill>
                    <w14:srgbClr w14:val="000000">
                      <w14:alpha w14:val="100000"/>
                    </w14:srgbClr>
                  </w14:solidFill>
                </w14:textFill>
              </w:rPr>
              <w:t>|||</w:t>
            </w:r>
            <w:r w:rsidRPr="00896015">
              <w:rPr>
                <w:color w:val="000000"/>
                <w:spacing w:val="1"/>
                <w:shd w:val="solid" w:color="000000" w:fill="000000"/>
                <w:fitText w:val="326" w:id="-628411125"/>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63AFF703" w14:textId="4233E117" w:rsidR="009C040E" w:rsidRPr="00A73265" w:rsidRDefault="00ED4AC4" w:rsidP="004E36D3">
            <w:pPr>
              <w:pStyle w:val="TableText0"/>
              <w:rPr>
                <w:highlight w:val="darkGray"/>
              </w:rPr>
            </w:pPr>
            <w:r w:rsidRPr="00896015">
              <w:rPr>
                <w:color w:val="000000"/>
                <w:spacing w:val="51"/>
                <w:shd w:val="solid" w:color="000000" w:fill="000000"/>
                <w:fitText w:val="326" w:id="-628411124"/>
                <w14:textFill>
                  <w14:solidFill>
                    <w14:srgbClr w14:val="000000">
                      <w14:alpha w14:val="100000"/>
                    </w14:srgbClr>
                  </w14:solidFill>
                </w14:textFill>
              </w:rPr>
              <w:t>|||</w:t>
            </w:r>
            <w:r w:rsidRPr="00896015">
              <w:rPr>
                <w:color w:val="000000"/>
                <w:spacing w:val="1"/>
                <w:shd w:val="solid" w:color="000000" w:fill="000000"/>
                <w:fitText w:val="326" w:id="-628411124"/>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70A4224D" w14:textId="59AD0E1D" w:rsidR="009C040E" w:rsidRPr="00A73265" w:rsidRDefault="00ED4AC4" w:rsidP="004E36D3">
            <w:pPr>
              <w:pStyle w:val="TableText0"/>
              <w:rPr>
                <w:highlight w:val="darkGray"/>
              </w:rPr>
            </w:pPr>
            <w:r w:rsidRPr="00896015">
              <w:rPr>
                <w:color w:val="000000"/>
                <w:spacing w:val="51"/>
                <w:shd w:val="solid" w:color="000000" w:fill="000000"/>
                <w:fitText w:val="326" w:id="-628411123"/>
                <w14:textFill>
                  <w14:solidFill>
                    <w14:srgbClr w14:val="000000">
                      <w14:alpha w14:val="100000"/>
                    </w14:srgbClr>
                  </w14:solidFill>
                </w14:textFill>
              </w:rPr>
              <w:t>|||</w:t>
            </w:r>
            <w:r w:rsidRPr="00896015">
              <w:rPr>
                <w:color w:val="000000"/>
                <w:spacing w:val="1"/>
                <w:shd w:val="solid" w:color="000000" w:fill="000000"/>
                <w:fitText w:val="326" w:id="-628411123"/>
                <w14:textFill>
                  <w14:solidFill>
                    <w14:srgbClr w14:val="000000">
                      <w14:alpha w14:val="100000"/>
                    </w14:srgbClr>
                  </w14:solidFill>
                </w14:textFill>
              </w:rPr>
              <w:t>|</w:t>
            </w:r>
            <w:r w:rsidR="00895676" w:rsidRPr="006C43DC">
              <w:rPr>
                <w:vertAlign w:val="superscript"/>
              </w:rPr>
              <w:t>1</w:t>
            </w:r>
          </w:p>
        </w:tc>
        <w:tc>
          <w:tcPr>
            <w:tcW w:w="506" w:type="pct"/>
            <w:tcBorders>
              <w:top w:val="nil"/>
              <w:left w:val="nil"/>
              <w:bottom w:val="single" w:sz="4" w:space="0" w:color="auto"/>
              <w:right w:val="single" w:sz="4" w:space="0" w:color="auto"/>
            </w:tcBorders>
            <w:shd w:val="clear" w:color="auto" w:fill="FFFFFF" w:themeFill="background1"/>
            <w:vAlign w:val="center"/>
          </w:tcPr>
          <w:p w14:paraId="63C4D99C" w14:textId="5F9CA09A" w:rsidR="009C040E" w:rsidRPr="00A73265" w:rsidRDefault="00ED4AC4" w:rsidP="004E36D3">
            <w:pPr>
              <w:pStyle w:val="TableText0"/>
              <w:rPr>
                <w:highlight w:val="darkGray"/>
              </w:rPr>
            </w:pPr>
            <w:r w:rsidRPr="00896015">
              <w:rPr>
                <w:color w:val="000000"/>
                <w:spacing w:val="51"/>
                <w:shd w:val="solid" w:color="000000" w:fill="000000"/>
                <w:fitText w:val="326" w:id="-628411122"/>
                <w14:textFill>
                  <w14:solidFill>
                    <w14:srgbClr w14:val="000000">
                      <w14:alpha w14:val="100000"/>
                    </w14:srgbClr>
                  </w14:solidFill>
                </w14:textFill>
              </w:rPr>
              <w:t>|||</w:t>
            </w:r>
            <w:r w:rsidRPr="00896015">
              <w:rPr>
                <w:color w:val="000000"/>
                <w:spacing w:val="1"/>
                <w:shd w:val="solid" w:color="000000" w:fill="000000"/>
                <w:fitText w:val="326" w:id="-628411122"/>
                <w14:textFill>
                  <w14:solidFill>
                    <w14:srgbClr w14:val="000000">
                      <w14:alpha w14:val="100000"/>
                    </w14:srgbClr>
                  </w14:solidFill>
                </w14:textFill>
              </w:rPr>
              <w:t>|</w:t>
            </w:r>
            <w:r w:rsidR="00895676" w:rsidRPr="006C43DC">
              <w:rPr>
                <w:vertAlign w:val="superscript"/>
              </w:rPr>
              <w:t>1</w:t>
            </w:r>
          </w:p>
        </w:tc>
        <w:tc>
          <w:tcPr>
            <w:tcW w:w="507" w:type="pct"/>
            <w:tcBorders>
              <w:top w:val="nil"/>
              <w:left w:val="nil"/>
              <w:bottom w:val="single" w:sz="4" w:space="0" w:color="auto"/>
              <w:right w:val="single" w:sz="4" w:space="0" w:color="auto"/>
            </w:tcBorders>
            <w:shd w:val="clear" w:color="auto" w:fill="FFFFFF" w:themeFill="background1"/>
            <w:vAlign w:val="center"/>
          </w:tcPr>
          <w:p w14:paraId="11DD1668" w14:textId="7E263FAE" w:rsidR="009C040E" w:rsidRPr="00A73265" w:rsidRDefault="00ED4AC4" w:rsidP="004E36D3">
            <w:pPr>
              <w:pStyle w:val="TableText0"/>
              <w:rPr>
                <w:highlight w:val="darkGray"/>
              </w:rPr>
            </w:pPr>
            <w:r w:rsidRPr="00896015">
              <w:rPr>
                <w:color w:val="000000"/>
                <w:spacing w:val="51"/>
                <w:shd w:val="solid" w:color="000000" w:fill="000000"/>
                <w:fitText w:val="326" w:id="-628411121"/>
                <w14:textFill>
                  <w14:solidFill>
                    <w14:srgbClr w14:val="000000">
                      <w14:alpha w14:val="100000"/>
                    </w14:srgbClr>
                  </w14:solidFill>
                </w14:textFill>
              </w:rPr>
              <w:t>|||</w:t>
            </w:r>
            <w:r w:rsidRPr="00896015">
              <w:rPr>
                <w:color w:val="000000"/>
                <w:spacing w:val="1"/>
                <w:shd w:val="solid" w:color="000000" w:fill="000000"/>
                <w:fitText w:val="326" w:id="-628411121"/>
                <w14:textFill>
                  <w14:solidFill>
                    <w14:srgbClr w14:val="000000">
                      <w14:alpha w14:val="100000"/>
                    </w14:srgbClr>
                  </w14:solidFill>
                </w14:textFill>
              </w:rPr>
              <w:t>|</w:t>
            </w:r>
            <w:r w:rsidR="00895676" w:rsidRPr="006C43DC">
              <w:rPr>
                <w:vertAlign w:val="superscript"/>
              </w:rPr>
              <w:t>1</w:t>
            </w:r>
          </w:p>
        </w:tc>
      </w:tr>
      <w:tr w:rsidR="009C040E" w:rsidRPr="00886D8A" w14:paraId="6F20FF6F" w14:textId="77777777" w:rsidTr="001F497E">
        <w:tc>
          <w:tcPr>
            <w:tcW w:w="155" w:type="pct"/>
            <w:tcBorders>
              <w:top w:val="single" w:sz="4" w:space="0" w:color="auto"/>
              <w:left w:val="single" w:sz="4" w:space="0" w:color="auto"/>
              <w:bottom w:val="single" w:sz="4" w:space="0" w:color="auto"/>
              <w:right w:val="single" w:sz="4" w:space="0" w:color="auto"/>
            </w:tcBorders>
          </w:tcPr>
          <w:p w14:paraId="53E47FAB" w14:textId="77777777" w:rsidR="009C040E" w:rsidRPr="00886D8A" w:rsidRDefault="009C040E" w:rsidP="004E36D3">
            <w:pPr>
              <w:pStyle w:val="TableText0"/>
            </w:pPr>
            <w:r w:rsidRPr="00886D8A">
              <w:t>M</w:t>
            </w:r>
          </w:p>
        </w:tc>
        <w:tc>
          <w:tcPr>
            <w:tcW w:w="1258" w:type="pct"/>
            <w:tcBorders>
              <w:top w:val="single" w:sz="4" w:space="0" w:color="auto"/>
              <w:left w:val="single" w:sz="4" w:space="0" w:color="auto"/>
              <w:bottom w:val="single" w:sz="4" w:space="0" w:color="auto"/>
              <w:right w:val="single" w:sz="4" w:space="0" w:color="auto"/>
            </w:tcBorders>
            <w:vAlign w:val="center"/>
          </w:tcPr>
          <w:p w14:paraId="0002B3D1" w14:textId="77777777" w:rsidR="009C040E" w:rsidRPr="00886D8A" w:rsidRDefault="009C040E" w:rsidP="004E36D3">
            <w:pPr>
              <w:pStyle w:val="TableText0"/>
            </w:pPr>
            <w:r w:rsidRPr="00886D8A">
              <w:t xml:space="preserve">Total VA script numbers </w:t>
            </w:r>
          </w:p>
        </w:tc>
        <w:tc>
          <w:tcPr>
            <w:tcW w:w="550" w:type="pct"/>
            <w:tcBorders>
              <w:top w:val="single" w:sz="4" w:space="0" w:color="auto"/>
              <w:left w:val="nil"/>
              <w:bottom w:val="single" w:sz="4" w:space="0" w:color="auto"/>
              <w:right w:val="single" w:sz="4" w:space="0" w:color="auto"/>
            </w:tcBorders>
            <w:vAlign w:val="center"/>
          </w:tcPr>
          <w:p w14:paraId="02B91399" w14:textId="77777777" w:rsidR="009C040E" w:rsidRPr="00886D8A" w:rsidRDefault="009C040E" w:rsidP="004E36D3">
            <w:pPr>
              <w:pStyle w:val="TableText0"/>
            </w:pPr>
            <w:r w:rsidRPr="00886D8A">
              <w:t>J+K+L</w:t>
            </w:r>
          </w:p>
        </w:tc>
        <w:tc>
          <w:tcPr>
            <w:tcW w:w="506" w:type="pct"/>
            <w:tcBorders>
              <w:top w:val="single" w:sz="4" w:space="0" w:color="auto"/>
              <w:left w:val="single" w:sz="4" w:space="0" w:color="auto"/>
              <w:bottom w:val="single" w:sz="4" w:space="0" w:color="auto"/>
              <w:right w:val="single" w:sz="4" w:space="0" w:color="auto"/>
            </w:tcBorders>
          </w:tcPr>
          <w:p w14:paraId="113190AE" w14:textId="4595B029" w:rsidR="009C040E" w:rsidRPr="00A73265" w:rsidRDefault="00ED4AC4" w:rsidP="004E36D3">
            <w:pPr>
              <w:pStyle w:val="TableText0"/>
              <w:rPr>
                <w:highlight w:val="darkGray"/>
              </w:rPr>
            </w:pPr>
            <w:r w:rsidRPr="00896015">
              <w:rPr>
                <w:color w:val="000000"/>
                <w:spacing w:val="51"/>
                <w:shd w:val="solid" w:color="000000" w:fill="000000"/>
                <w:fitText w:val="326" w:id="-628411120"/>
                <w14:textFill>
                  <w14:solidFill>
                    <w14:srgbClr w14:val="000000">
                      <w14:alpha w14:val="100000"/>
                    </w14:srgbClr>
                  </w14:solidFill>
                </w14:textFill>
              </w:rPr>
              <w:t>|||</w:t>
            </w:r>
            <w:r w:rsidRPr="00896015">
              <w:rPr>
                <w:color w:val="000000"/>
                <w:spacing w:val="1"/>
                <w:shd w:val="solid" w:color="000000" w:fill="000000"/>
                <w:fitText w:val="326" w:id="-628411120"/>
                <w14:textFill>
                  <w14:solidFill>
                    <w14:srgbClr w14:val="000000">
                      <w14:alpha w14:val="100000"/>
                    </w14:srgbClr>
                  </w14:solidFill>
                </w14:textFill>
              </w:rPr>
              <w:t>|</w:t>
            </w:r>
            <w:r w:rsidR="00895676" w:rsidRPr="006C43DC">
              <w:rPr>
                <w:vertAlign w:val="superscript"/>
              </w:rPr>
              <w:t>1</w:t>
            </w:r>
          </w:p>
        </w:tc>
        <w:tc>
          <w:tcPr>
            <w:tcW w:w="506" w:type="pct"/>
            <w:tcBorders>
              <w:top w:val="single" w:sz="4" w:space="0" w:color="auto"/>
              <w:left w:val="nil"/>
              <w:bottom w:val="single" w:sz="4" w:space="0" w:color="auto"/>
              <w:right w:val="single" w:sz="4" w:space="0" w:color="auto"/>
            </w:tcBorders>
          </w:tcPr>
          <w:p w14:paraId="35881816" w14:textId="44974607" w:rsidR="009C040E" w:rsidRPr="00A73265" w:rsidRDefault="00ED4AC4" w:rsidP="004E36D3">
            <w:pPr>
              <w:pStyle w:val="TableText0"/>
              <w:rPr>
                <w:highlight w:val="darkGray"/>
              </w:rPr>
            </w:pPr>
            <w:r w:rsidRPr="00896015">
              <w:rPr>
                <w:color w:val="000000"/>
                <w:spacing w:val="51"/>
                <w:shd w:val="solid" w:color="000000" w:fill="000000"/>
                <w:fitText w:val="326" w:id="-628411136"/>
                <w14:textFill>
                  <w14:solidFill>
                    <w14:srgbClr w14:val="000000">
                      <w14:alpha w14:val="100000"/>
                    </w14:srgbClr>
                  </w14:solidFill>
                </w14:textFill>
              </w:rPr>
              <w:t>|||</w:t>
            </w:r>
            <w:r w:rsidRPr="00896015">
              <w:rPr>
                <w:color w:val="000000"/>
                <w:spacing w:val="1"/>
                <w:shd w:val="solid" w:color="000000" w:fill="000000"/>
                <w:fitText w:val="326" w:id="-628411136"/>
                <w14:textFill>
                  <w14:solidFill>
                    <w14:srgbClr w14:val="000000">
                      <w14:alpha w14:val="100000"/>
                    </w14:srgbClr>
                  </w14:solidFill>
                </w14:textFill>
              </w:rPr>
              <w:t>|</w:t>
            </w:r>
            <w:r w:rsidR="00895676" w:rsidRPr="006C43DC">
              <w:rPr>
                <w:vertAlign w:val="superscript"/>
              </w:rPr>
              <w:t>1</w:t>
            </w:r>
          </w:p>
        </w:tc>
        <w:tc>
          <w:tcPr>
            <w:tcW w:w="506" w:type="pct"/>
            <w:tcBorders>
              <w:top w:val="single" w:sz="4" w:space="0" w:color="auto"/>
              <w:left w:val="nil"/>
              <w:bottom w:val="single" w:sz="4" w:space="0" w:color="auto"/>
              <w:right w:val="single" w:sz="4" w:space="0" w:color="auto"/>
            </w:tcBorders>
          </w:tcPr>
          <w:p w14:paraId="4110D032" w14:textId="15E4415F" w:rsidR="009C040E" w:rsidRPr="00A73265" w:rsidRDefault="00ED4AC4" w:rsidP="004E36D3">
            <w:pPr>
              <w:pStyle w:val="TableText0"/>
              <w:rPr>
                <w:highlight w:val="darkGray"/>
              </w:rPr>
            </w:pPr>
            <w:r w:rsidRPr="00896015">
              <w:rPr>
                <w:color w:val="000000"/>
                <w:spacing w:val="51"/>
                <w:shd w:val="solid" w:color="000000" w:fill="000000"/>
                <w:fitText w:val="326" w:id="-628411135"/>
                <w14:textFill>
                  <w14:solidFill>
                    <w14:srgbClr w14:val="000000">
                      <w14:alpha w14:val="100000"/>
                    </w14:srgbClr>
                  </w14:solidFill>
                </w14:textFill>
              </w:rPr>
              <w:t>|||</w:t>
            </w:r>
            <w:r w:rsidRPr="00896015">
              <w:rPr>
                <w:color w:val="000000"/>
                <w:spacing w:val="1"/>
                <w:shd w:val="solid" w:color="000000" w:fill="000000"/>
                <w:fitText w:val="326" w:id="-628411135"/>
                <w14:textFill>
                  <w14:solidFill>
                    <w14:srgbClr w14:val="000000">
                      <w14:alpha w14:val="100000"/>
                    </w14:srgbClr>
                  </w14:solidFill>
                </w14:textFill>
              </w:rPr>
              <w:t>|</w:t>
            </w:r>
            <w:r w:rsidR="00895676" w:rsidRPr="006C43DC">
              <w:rPr>
                <w:vertAlign w:val="superscript"/>
              </w:rPr>
              <w:t>1</w:t>
            </w:r>
          </w:p>
        </w:tc>
        <w:tc>
          <w:tcPr>
            <w:tcW w:w="506" w:type="pct"/>
            <w:tcBorders>
              <w:top w:val="single" w:sz="4" w:space="0" w:color="auto"/>
              <w:left w:val="nil"/>
              <w:bottom w:val="single" w:sz="4" w:space="0" w:color="auto"/>
              <w:right w:val="single" w:sz="4" w:space="0" w:color="auto"/>
            </w:tcBorders>
          </w:tcPr>
          <w:p w14:paraId="3D0FDD97" w14:textId="5F59E766" w:rsidR="009C040E" w:rsidRPr="00A73265" w:rsidRDefault="00ED4AC4" w:rsidP="004E36D3">
            <w:pPr>
              <w:pStyle w:val="TableText0"/>
              <w:rPr>
                <w:highlight w:val="darkGray"/>
              </w:rPr>
            </w:pPr>
            <w:r w:rsidRPr="00896015">
              <w:rPr>
                <w:color w:val="000000"/>
                <w:spacing w:val="51"/>
                <w:shd w:val="solid" w:color="000000" w:fill="000000"/>
                <w:fitText w:val="326" w:id="-628411134"/>
                <w14:textFill>
                  <w14:solidFill>
                    <w14:srgbClr w14:val="000000">
                      <w14:alpha w14:val="100000"/>
                    </w14:srgbClr>
                  </w14:solidFill>
                </w14:textFill>
              </w:rPr>
              <w:t>|||</w:t>
            </w:r>
            <w:r w:rsidRPr="00896015">
              <w:rPr>
                <w:color w:val="000000"/>
                <w:spacing w:val="1"/>
                <w:shd w:val="solid" w:color="000000" w:fill="000000"/>
                <w:fitText w:val="326" w:id="-628411134"/>
                <w14:textFill>
                  <w14:solidFill>
                    <w14:srgbClr w14:val="000000">
                      <w14:alpha w14:val="100000"/>
                    </w14:srgbClr>
                  </w14:solidFill>
                </w14:textFill>
              </w:rPr>
              <w:t>|</w:t>
            </w:r>
            <w:r w:rsidR="00466B55" w:rsidRPr="006C43DC">
              <w:rPr>
                <w:vertAlign w:val="superscript"/>
              </w:rPr>
              <w:t>1</w:t>
            </w:r>
          </w:p>
        </w:tc>
        <w:tc>
          <w:tcPr>
            <w:tcW w:w="506" w:type="pct"/>
            <w:tcBorders>
              <w:top w:val="single" w:sz="4" w:space="0" w:color="auto"/>
              <w:left w:val="nil"/>
              <w:bottom w:val="single" w:sz="4" w:space="0" w:color="auto"/>
              <w:right w:val="single" w:sz="4" w:space="0" w:color="auto"/>
            </w:tcBorders>
          </w:tcPr>
          <w:p w14:paraId="24B4B203" w14:textId="57DDB7C9" w:rsidR="009C040E" w:rsidRPr="00A73265" w:rsidRDefault="00ED4AC4" w:rsidP="004E36D3">
            <w:pPr>
              <w:pStyle w:val="TableText0"/>
              <w:rPr>
                <w:highlight w:val="darkGray"/>
              </w:rPr>
            </w:pPr>
            <w:r w:rsidRPr="00896015">
              <w:rPr>
                <w:color w:val="000000"/>
                <w:spacing w:val="51"/>
                <w:shd w:val="solid" w:color="000000" w:fill="000000"/>
                <w:fitText w:val="326" w:id="-628411133"/>
                <w14:textFill>
                  <w14:solidFill>
                    <w14:srgbClr w14:val="000000">
                      <w14:alpha w14:val="100000"/>
                    </w14:srgbClr>
                  </w14:solidFill>
                </w14:textFill>
              </w:rPr>
              <w:t>|||</w:t>
            </w:r>
            <w:r w:rsidRPr="00896015">
              <w:rPr>
                <w:color w:val="000000"/>
                <w:spacing w:val="1"/>
                <w:shd w:val="solid" w:color="000000" w:fill="000000"/>
                <w:fitText w:val="326" w:id="-628411133"/>
                <w14:textFill>
                  <w14:solidFill>
                    <w14:srgbClr w14:val="000000">
                      <w14:alpha w14:val="100000"/>
                    </w14:srgbClr>
                  </w14:solidFill>
                </w14:textFill>
              </w:rPr>
              <w:t>|</w:t>
            </w:r>
            <w:r w:rsidR="00466B55" w:rsidRPr="006C43DC">
              <w:rPr>
                <w:vertAlign w:val="superscript"/>
              </w:rPr>
              <w:t>1</w:t>
            </w:r>
          </w:p>
        </w:tc>
        <w:tc>
          <w:tcPr>
            <w:tcW w:w="507" w:type="pct"/>
            <w:tcBorders>
              <w:top w:val="single" w:sz="4" w:space="0" w:color="auto"/>
              <w:left w:val="nil"/>
              <w:bottom w:val="single" w:sz="4" w:space="0" w:color="auto"/>
              <w:right w:val="single" w:sz="4" w:space="0" w:color="auto"/>
            </w:tcBorders>
          </w:tcPr>
          <w:p w14:paraId="431DF3DB" w14:textId="0C99CCAD" w:rsidR="009C040E" w:rsidRPr="00A73265" w:rsidRDefault="00ED4AC4" w:rsidP="004E36D3">
            <w:pPr>
              <w:pStyle w:val="TableText0"/>
              <w:rPr>
                <w:highlight w:val="darkGray"/>
              </w:rPr>
            </w:pPr>
            <w:r w:rsidRPr="00896015">
              <w:rPr>
                <w:color w:val="000000"/>
                <w:spacing w:val="51"/>
                <w:shd w:val="solid" w:color="000000" w:fill="000000"/>
                <w:fitText w:val="326" w:id="-628411132"/>
                <w14:textFill>
                  <w14:solidFill>
                    <w14:srgbClr w14:val="000000">
                      <w14:alpha w14:val="100000"/>
                    </w14:srgbClr>
                  </w14:solidFill>
                </w14:textFill>
              </w:rPr>
              <w:t>|||</w:t>
            </w:r>
            <w:r w:rsidRPr="00896015">
              <w:rPr>
                <w:color w:val="000000"/>
                <w:spacing w:val="1"/>
                <w:shd w:val="solid" w:color="000000" w:fill="000000"/>
                <w:fitText w:val="326" w:id="-628411132"/>
                <w14:textFill>
                  <w14:solidFill>
                    <w14:srgbClr w14:val="000000">
                      <w14:alpha w14:val="100000"/>
                    </w14:srgbClr>
                  </w14:solidFill>
                </w14:textFill>
              </w:rPr>
              <w:t>|</w:t>
            </w:r>
            <w:r w:rsidR="007D20C3" w:rsidRPr="006C43DC">
              <w:rPr>
                <w:vertAlign w:val="superscript"/>
              </w:rPr>
              <w:t>1</w:t>
            </w:r>
          </w:p>
        </w:tc>
      </w:tr>
    </w:tbl>
    <w:p w14:paraId="5FF42E39" w14:textId="08FEDC81" w:rsidR="009C040E" w:rsidRPr="00886D8A" w:rsidRDefault="009C040E" w:rsidP="004E36D3">
      <w:pPr>
        <w:pStyle w:val="FooterTableFigure"/>
      </w:pPr>
      <w:r w:rsidRPr="00886D8A">
        <w:t>Source: Table 4.2</w:t>
      </w:r>
      <w:r w:rsidR="0011024A">
        <w:noBreakHyphen/>
      </w:r>
      <w:r w:rsidRPr="00886D8A">
        <w:t>2, p197; Table 4.2</w:t>
      </w:r>
      <w:r w:rsidR="0011024A">
        <w:noBreakHyphen/>
      </w:r>
      <w:r w:rsidRPr="00886D8A">
        <w:t>5, p199; Table 4.2</w:t>
      </w:r>
      <w:r w:rsidR="0011024A">
        <w:noBreakHyphen/>
      </w:r>
      <w:r w:rsidRPr="00886D8A">
        <w:t xml:space="preserve">6, p199 of the submission </w:t>
      </w:r>
    </w:p>
    <w:p w14:paraId="359E25F0" w14:textId="18CBE914" w:rsidR="009C040E" w:rsidRPr="00886D8A" w:rsidRDefault="009C040E" w:rsidP="004E36D3">
      <w:pPr>
        <w:pStyle w:val="FooterTableFigure"/>
      </w:pPr>
      <w:r w:rsidRPr="00886D8A">
        <w:t>AM = Alpha</w:t>
      </w:r>
      <w:r w:rsidR="0011024A">
        <w:noBreakHyphen/>
      </w:r>
      <w:r w:rsidRPr="00886D8A">
        <w:t xml:space="preserve">mannosidosis, VA = Velmanase alfa, Qty = quantity, max = maximum; mg = milligrams </w:t>
      </w:r>
    </w:p>
    <w:p w14:paraId="2CD3A02E" w14:textId="4B5FCA0E" w:rsidR="009C040E" w:rsidRPr="00886D8A" w:rsidRDefault="009C040E" w:rsidP="004E36D3">
      <w:pPr>
        <w:pStyle w:val="FooterTableFigure"/>
        <w:jc w:val="left"/>
      </w:pPr>
      <w:r w:rsidRPr="00886D8A">
        <w:rPr>
          <w:vertAlign w:val="superscript"/>
        </w:rPr>
        <w:t>a</w:t>
      </w:r>
      <w:r w:rsidRPr="00886D8A">
        <w:t xml:space="preserve"> Number of patient</w:t>
      </w:r>
      <w:r w:rsidR="0011024A">
        <w:noBreakHyphen/>
      </w:r>
      <w:r w:rsidRPr="00886D8A">
        <w:t>years calculated by the product of number of patients and (1</w:t>
      </w:r>
      <w:r w:rsidR="0011024A">
        <w:noBreakHyphen/>
      </w:r>
      <w:r w:rsidRPr="00886D8A">
        <w:t xml:space="preserve"> treatment discontinuation rate)</w:t>
      </w:r>
    </w:p>
    <w:p w14:paraId="4DB4BF28" w14:textId="41D0FD08" w:rsidR="009C040E" w:rsidRPr="00886D8A" w:rsidRDefault="009C040E" w:rsidP="004E36D3">
      <w:pPr>
        <w:pStyle w:val="FooterTableFigure"/>
        <w:jc w:val="left"/>
      </w:pPr>
      <w:r w:rsidRPr="00886D8A">
        <w:rPr>
          <w:vertAlign w:val="superscript"/>
        </w:rPr>
        <w:t>b</w:t>
      </w:r>
      <w:r w:rsidRPr="00886D8A">
        <w:t xml:space="preserve"> Based on the weight</w:t>
      </w:r>
      <w:r w:rsidR="0011024A">
        <w:noBreakHyphen/>
      </w:r>
      <w:r w:rsidRPr="00886D8A">
        <w:t>dosing each paediatric patient year of treatment requires 260 vials</w:t>
      </w:r>
    </w:p>
    <w:p w14:paraId="2A162F15" w14:textId="3D4DB031" w:rsidR="009C040E" w:rsidRPr="00886D8A" w:rsidRDefault="009C040E" w:rsidP="004E36D3">
      <w:pPr>
        <w:pStyle w:val="FooterTableFigure"/>
        <w:jc w:val="left"/>
      </w:pPr>
      <w:r w:rsidRPr="00886D8A">
        <w:rPr>
          <w:vertAlign w:val="superscript"/>
        </w:rPr>
        <w:t>c</w:t>
      </w:r>
      <w:r w:rsidRPr="00886D8A">
        <w:t xml:space="preserve"> Based on the weight</w:t>
      </w:r>
      <w:r w:rsidR="0011024A">
        <w:noBreakHyphen/>
      </w:r>
      <w:r w:rsidRPr="00886D8A">
        <w:t>dosing each adult patient year of treatment requires 416 vials</w:t>
      </w:r>
    </w:p>
    <w:p w14:paraId="30191265" w14:textId="77777777" w:rsidR="009C040E" w:rsidRPr="00886D8A" w:rsidRDefault="009C040E" w:rsidP="004E36D3">
      <w:pPr>
        <w:pStyle w:val="FooterTableFigure"/>
        <w:rPr>
          <w:i/>
          <w:iCs/>
        </w:rPr>
      </w:pPr>
      <w:r w:rsidRPr="00886D8A">
        <w:rPr>
          <w:vertAlign w:val="superscript"/>
        </w:rPr>
        <w:t>d</w:t>
      </w:r>
      <w:r w:rsidRPr="00886D8A">
        <w:t xml:space="preserve"> To minimise the number of scripts required, the submission assumed optimal prescribing for adult patients is to prescribe 40% of required units as the 1x10mg pack. Each script provides a maximum of 4 units. </w:t>
      </w:r>
    </w:p>
    <w:p w14:paraId="4CE37765" w14:textId="77777777" w:rsidR="009C040E" w:rsidRPr="00886D8A" w:rsidRDefault="009C040E" w:rsidP="004E36D3">
      <w:pPr>
        <w:pStyle w:val="FooterTableFigure"/>
      </w:pPr>
      <w:r w:rsidRPr="00886D8A">
        <w:rPr>
          <w:vertAlign w:val="superscript"/>
        </w:rPr>
        <w:t>e</w:t>
      </w:r>
      <w:r w:rsidRPr="00886D8A">
        <w:t xml:space="preserve"> To minimise the number of scripts required, the optimal prescribing for paediatric patients is to prescribe the 5x10mg pack. Each script provides a maximum of 20 units</w:t>
      </w:r>
    </w:p>
    <w:p w14:paraId="0A256973" w14:textId="77777777" w:rsidR="00D515C9" w:rsidRDefault="009C040E" w:rsidP="00D515C9">
      <w:pPr>
        <w:pStyle w:val="FooterTableFigure"/>
      </w:pPr>
      <w:r w:rsidRPr="00886D8A">
        <w:rPr>
          <w:vertAlign w:val="superscript"/>
        </w:rPr>
        <w:t>f</w:t>
      </w:r>
      <w:r w:rsidRPr="00886D8A">
        <w:t xml:space="preserve"> To minimise the number of scripts required, the submission assumed optimal prescribing for adult patients is to prescribe 60% of required units as the 10x10mg pack. Each script provides a maximum of 40 units. </w:t>
      </w:r>
    </w:p>
    <w:p w14:paraId="7CC0DA82" w14:textId="21CC2B85" w:rsidR="00D515C9" w:rsidRPr="00455DE0" w:rsidRDefault="00D515C9" w:rsidP="00D515C9">
      <w:pPr>
        <w:pStyle w:val="FooterTableFigure"/>
        <w:rPr>
          <w:i/>
          <w:iCs/>
        </w:rPr>
      </w:pPr>
      <w:r w:rsidRPr="00455DE0">
        <w:rPr>
          <w:i/>
          <w:iCs/>
        </w:rPr>
        <w:t>The redacted values correspond to the following ranges:</w:t>
      </w:r>
    </w:p>
    <w:p w14:paraId="4DEA500C" w14:textId="6D29AE0D" w:rsidR="00D515C9" w:rsidRPr="00455DE0" w:rsidRDefault="00D515C9" w:rsidP="00D515C9">
      <w:pPr>
        <w:pStyle w:val="FooterTableFigure"/>
        <w:rPr>
          <w:i/>
          <w:iCs/>
        </w:rPr>
      </w:pPr>
      <w:r w:rsidRPr="00455DE0">
        <w:rPr>
          <w:i/>
          <w:iCs/>
          <w:vertAlign w:val="superscript"/>
        </w:rPr>
        <w:t>1</w:t>
      </w:r>
      <w:r w:rsidRPr="00455DE0">
        <w:rPr>
          <w:i/>
          <w:iCs/>
        </w:rPr>
        <w:t xml:space="preserve"> &lt; 500</w:t>
      </w:r>
    </w:p>
    <w:p w14:paraId="7964A854" w14:textId="77777777" w:rsidR="00875BEE" w:rsidRPr="00455DE0" w:rsidRDefault="00F50B11" w:rsidP="00D515C9">
      <w:pPr>
        <w:pStyle w:val="FooterTableFigure"/>
        <w:rPr>
          <w:i/>
          <w:iCs/>
        </w:rPr>
      </w:pPr>
      <w:r w:rsidRPr="00455DE0">
        <w:rPr>
          <w:i/>
          <w:iCs/>
          <w:vertAlign w:val="superscript"/>
        </w:rPr>
        <w:t>2</w:t>
      </w:r>
      <w:r w:rsidRPr="00455DE0">
        <w:rPr>
          <w:i/>
          <w:iCs/>
        </w:rPr>
        <w:t xml:space="preserve"> </w:t>
      </w:r>
      <w:r w:rsidR="00D515C9" w:rsidRPr="00455DE0">
        <w:rPr>
          <w:i/>
          <w:iCs/>
        </w:rPr>
        <w:t>500 to &lt; 5,000</w:t>
      </w:r>
      <w:r w:rsidR="00875BEE" w:rsidRPr="00455DE0">
        <w:rPr>
          <w:i/>
          <w:iCs/>
        </w:rPr>
        <w:t xml:space="preserve"> </w:t>
      </w:r>
    </w:p>
    <w:p w14:paraId="6A741652" w14:textId="33404C13" w:rsidR="00875BEE" w:rsidRPr="00455DE0" w:rsidRDefault="00875BEE" w:rsidP="00875BEE">
      <w:pPr>
        <w:pStyle w:val="FooterTableFigure"/>
        <w:rPr>
          <w:i/>
          <w:iCs/>
        </w:rPr>
      </w:pPr>
      <w:r w:rsidRPr="00455DE0">
        <w:rPr>
          <w:i/>
          <w:iCs/>
          <w:vertAlign w:val="superscript"/>
        </w:rPr>
        <w:t>3</w:t>
      </w:r>
      <w:r w:rsidRPr="00455DE0">
        <w:rPr>
          <w:i/>
          <w:iCs/>
        </w:rPr>
        <w:t xml:space="preserve"> </w:t>
      </w:r>
      <w:bookmarkStart w:id="110" w:name="_Hlk113629090"/>
      <w:r w:rsidRPr="00455DE0">
        <w:rPr>
          <w:i/>
          <w:iCs/>
        </w:rPr>
        <w:t>$0 to &lt; $10 million</w:t>
      </w:r>
    </w:p>
    <w:bookmarkEnd w:id="110"/>
    <w:p w14:paraId="53421B82" w14:textId="41252B9C" w:rsidR="00B72660" w:rsidRDefault="00FA63EA" w:rsidP="004E36D3">
      <w:pPr>
        <w:pStyle w:val="FooterTableFigure"/>
        <w:rPr>
          <w:i/>
          <w:iCs/>
        </w:rPr>
      </w:pPr>
      <w:r w:rsidRPr="00FA63EA">
        <w:rPr>
          <w:i/>
          <w:iCs/>
          <w:vertAlign w:val="superscript"/>
        </w:rPr>
        <w:t>4</w:t>
      </w:r>
      <w:r w:rsidR="00B72660" w:rsidRPr="00B72660">
        <w:rPr>
          <w:i/>
          <w:iCs/>
        </w:rPr>
        <w:t xml:space="preserve"> $0 to &lt; $10 million</w:t>
      </w:r>
    </w:p>
    <w:p w14:paraId="3F52A88C" w14:textId="77777777" w:rsidR="008955DA" w:rsidRDefault="008955DA" w:rsidP="004E36D3">
      <w:pPr>
        <w:pStyle w:val="FooterTableFigure"/>
        <w:rPr>
          <w:i/>
          <w:iCs/>
        </w:rPr>
      </w:pPr>
    </w:p>
    <w:p w14:paraId="665220A1" w14:textId="76B348E7" w:rsidR="008955DA" w:rsidRDefault="008955DA" w:rsidP="008955DA">
      <w:pPr>
        <w:pStyle w:val="Caption"/>
      </w:pPr>
      <w:bookmarkStart w:id="111" w:name="_Ref209077435"/>
      <w:r>
        <w:t xml:space="preserve">Table </w:t>
      </w:r>
      <w:r>
        <w:fldChar w:fldCharType="begin"/>
      </w:r>
      <w:r>
        <w:instrText xml:space="preserve"> SEQ Table \* ARABIC </w:instrText>
      </w:r>
      <w:r>
        <w:fldChar w:fldCharType="separate"/>
      </w:r>
      <w:r w:rsidR="00B73A9E">
        <w:rPr>
          <w:noProof/>
        </w:rPr>
        <w:t>20</w:t>
      </w:r>
      <w:r>
        <w:fldChar w:fldCharType="end"/>
      </w:r>
      <w:bookmarkEnd w:id="111"/>
      <w:r>
        <w:t>: Estimated financial impact of listing velmanase alfa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223"/>
        <w:gridCol w:w="981"/>
      </w:tblGrid>
      <w:tr w:rsidR="008955DA" w:rsidRPr="00D94E2D" w14:paraId="32F4C331" w14:textId="77777777" w:rsidTr="00621E2F">
        <w:tc>
          <w:tcPr>
            <w:tcW w:w="1334" w:type="pct"/>
            <w:vAlign w:val="center"/>
          </w:tcPr>
          <w:p w14:paraId="77BAA6EA" w14:textId="77777777" w:rsidR="008955DA" w:rsidRPr="00D94E2D" w:rsidRDefault="008955DA" w:rsidP="00621E2F">
            <w:pPr>
              <w:pStyle w:val="TableText0"/>
              <w:rPr>
                <w:b/>
                <w:bCs w:val="0"/>
                <w:sz w:val="19"/>
                <w:szCs w:val="19"/>
              </w:rPr>
            </w:pPr>
          </w:p>
        </w:tc>
        <w:tc>
          <w:tcPr>
            <w:tcW w:w="611" w:type="pct"/>
            <w:vAlign w:val="center"/>
          </w:tcPr>
          <w:p w14:paraId="4EA24476" w14:textId="77777777" w:rsidR="008955DA" w:rsidRPr="00D94E2D" w:rsidRDefault="008955DA" w:rsidP="00621E2F">
            <w:pPr>
              <w:pStyle w:val="TableText0"/>
              <w:jc w:val="center"/>
              <w:rPr>
                <w:b/>
                <w:bCs w:val="0"/>
              </w:rPr>
            </w:pPr>
            <w:r w:rsidRPr="00D94E2D">
              <w:rPr>
                <w:b/>
                <w:bCs w:val="0"/>
              </w:rPr>
              <w:t>Year 1</w:t>
            </w:r>
          </w:p>
        </w:tc>
        <w:tc>
          <w:tcPr>
            <w:tcW w:w="611" w:type="pct"/>
            <w:vAlign w:val="center"/>
          </w:tcPr>
          <w:p w14:paraId="42293A9C" w14:textId="77777777" w:rsidR="008955DA" w:rsidRPr="00D94E2D" w:rsidRDefault="008955DA" w:rsidP="00621E2F">
            <w:pPr>
              <w:pStyle w:val="TableText0"/>
              <w:jc w:val="center"/>
              <w:rPr>
                <w:b/>
                <w:bCs w:val="0"/>
                <w:szCs w:val="20"/>
              </w:rPr>
            </w:pPr>
            <w:r w:rsidRPr="00D94E2D">
              <w:rPr>
                <w:b/>
                <w:bCs w:val="0"/>
                <w:szCs w:val="20"/>
              </w:rPr>
              <w:t>Year 2</w:t>
            </w:r>
          </w:p>
        </w:tc>
        <w:tc>
          <w:tcPr>
            <w:tcW w:w="611" w:type="pct"/>
            <w:vAlign w:val="center"/>
          </w:tcPr>
          <w:p w14:paraId="42BA410C" w14:textId="77777777" w:rsidR="008955DA" w:rsidRPr="00D94E2D" w:rsidRDefault="008955DA" w:rsidP="00621E2F">
            <w:pPr>
              <w:pStyle w:val="TableText0"/>
              <w:jc w:val="center"/>
              <w:rPr>
                <w:b/>
                <w:bCs w:val="0"/>
                <w:szCs w:val="20"/>
              </w:rPr>
            </w:pPr>
            <w:r w:rsidRPr="00D94E2D">
              <w:rPr>
                <w:b/>
                <w:bCs w:val="0"/>
                <w:szCs w:val="20"/>
              </w:rPr>
              <w:t>Year 3</w:t>
            </w:r>
          </w:p>
        </w:tc>
        <w:tc>
          <w:tcPr>
            <w:tcW w:w="611" w:type="pct"/>
            <w:vAlign w:val="center"/>
          </w:tcPr>
          <w:p w14:paraId="7E5E430C" w14:textId="77777777" w:rsidR="008955DA" w:rsidRPr="00D94E2D" w:rsidRDefault="008955DA" w:rsidP="00621E2F">
            <w:pPr>
              <w:pStyle w:val="TableText0"/>
              <w:jc w:val="center"/>
              <w:rPr>
                <w:b/>
                <w:bCs w:val="0"/>
                <w:szCs w:val="20"/>
              </w:rPr>
            </w:pPr>
            <w:r w:rsidRPr="00D94E2D">
              <w:rPr>
                <w:b/>
                <w:bCs w:val="0"/>
                <w:szCs w:val="20"/>
              </w:rPr>
              <w:t>Year 4</w:t>
            </w:r>
          </w:p>
        </w:tc>
        <w:tc>
          <w:tcPr>
            <w:tcW w:w="678" w:type="pct"/>
            <w:vAlign w:val="center"/>
          </w:tcPr>
          <w:p w14:paraId="013F0D76" w14:textId="77777777" w:rsidR="008955DA" w:rsidRPr="00D94E2D" w:rsidRDefault="008955DA" w:rsidP="00621E2F">
            <w:pPr>
              <w:pStyle w:val="TableText0"/>
              <w:jc w:val="center"/>
              <w:rPr>
                <w:b/>
                <w:bCs w:val="0"/>
                <w:szCs w:val="20"/>
              </w:rPr>
            </w:pPr>
            <w:r w:rsidRPr="00D94E2D">
              <w:rPr>
                <w:b/>
                <w:bCs w:val="0"/>
                <w:szCs w:val="20"/>
              </w:rPr>
              <w:t>Year 5</w:t>
            </w:r>
          </w:p>
        </w:tc>
        <w:tc>
          <w:tcPr>
            <w:tcW w:w="544" w:type="pct"/>
            <w:vAlign w:val="center"/>
          </w:tcPr>
          <w:p w14:paraId="6AF42322" w14:textId="77777777" w:rsidR="008955DA" w:rsidRPr="00D94E2D" w:rsidRDefault="008955DA" w:rsidP="00621E2F">
            <w:pPr>
              <w:pStyle w:val="TableText0"/>
              <w:jc w:val="center"/>
              <w:rPr>
                <w:b/>
                <w:bCs w:val="0"/>
                <w:szCs w:val="20"/>
              </w:rPr>
            </w:pPr>
            <w:r w:rsidRPr="00D94E2D">
              <w:rPr>
                <w:b/>
                <w:bCs w:val="0"/>
                <w:szCs w:val="20"/>
              </w:rPr>
              <w:t>Year 6</w:t>
            </w:r>
          </w:p>
        </w:tc>
      </w:tr>
      <w:tr w:rsidR="008955DA" w:rsidRPr="008373B3" w14:paraId="561FF5F3" w14:textId="77777777" w:rsidTr="00621E2F">
        <w:tc>
          <w:tcPr>
            <w:tcW w:w="1334" w:type="pct"/>
            <w:vAlign w:val="center"/>
          </w:tcPr>
          <w:p w14:paraId="72F10D22" w14:textId="77777777" w:rsidR="008955DA" w:rsidRPr="00707BAA" w:rsidRDefault="008955DA" w:rsidP="00621E2F">
            <w:pPr>
              <w:pStyle w:val="TableText0"/>
              <w:rPr>
                <w:sz w:val="19"/>
                <w:szCs w:val="19"/>
                <w:vertAlign w:val="superscript"/>
              </w:rPr>
            </w:pPr>
            <w:r w:rsidRPr="00707BAA">
              <w:rPr>
                <w:sz w:val="19"/>
                <w:szCs w:val="19"/>
              </w:rPr>
              <w:t>Cost to PBS less copayments</w:t>
            </w:r>
          </w:p>
        </w:tc>
        <w:tc>
          <w:tcPr>
            <w:tcW w:w="611" w:type="pct"/>
            <w:vAlign w:val="center"/>
          </w:tcPr>
          <w:p w14:paraId="2491C57E" w14:textId="19DB4AE3" w:rsidR="008955DA" w:rsidRPr="00B72660" w:rsidRDefault="008955DA" w:rsidP="00621E2F">
            <w:pPr>
              <w:pStyle w:val="TableText0"/>
              <w:jc w:val="center"/>
              <w:rPr>
                <w:vertAlign w:val="superscript"/>
              </w:rPr>
            </w:pPr>
            <w:r>
              <w:t>$</w:t>
            </w:r>
            <w:r w:rsidR="00ED4AC4" w:rsidRPr="005265DE">
              <w:rPr>
                <w:rFonts w:hint="eastAsia"/>
                <w:color w:val="000000"/>
                <w:w w:val="25"/>
                <w:shd w:val="solid" w:color="000000" w:fill="000000"/>
                <w:fitText w:val="113" w:id="-628411131"/>
                <w14:textFill>
                  <w14:solidFill>
                    <w14:srgbClr w14:val="000000">
                      <w14:alpha w14:val="100000"/>
                    </w14:srgbClr>
                  </w14:solidFill>
                </w14:textFill>
              </w:rPr>
              <w:t xml:space="preserve">　</w:t>
            </w:r>
            <w:r w:rsidR="00ED4AC4" w:rsidRPr="005265DE">
              <w:rPr>
                <w:color w:val="000000"/>
                <w:w w:val="25"/>
                <w:shd w:val="solid" w:color="000000" w:fill="000000"/>
                <w:fitText w:val="113" w:id="-628411131"/>
                <w14:textFill>
                  <w14:solidFill>
                    <w14:srgbClr w14:val="000000">
                      <w14:alpha w14:val="100000"/>
                    </w14:srgbClr>
                  </w14:solidFill>
                </w14:textFill>
              </w:rPr>
              <w:t>|</w:t>
            </w:r>
            <w:r w:rsidR="00ED4AC4" w:rsidRPr="005265DE">
              <w:rPr>
                <w:rFonts w:hint="eastAsia"/>
                <w:color w:val="000000"/>
                <w:w w:val="25"/>
                <w:shd w:val="solid" w:color="000000" w:fill="000000"/>
                <w:fitText w:val="113" w:id="-628411131"/>
                <w14:textFill>
                  <w14:solidFill>
                    <w14:srgbClr w14:val="000000">
                      <w14:alpha w14:val="100000"/>
                    </w14:srgbClr>
                  </w14:solidFill>
                </w14:textFill>
              </w:rPr>
              <w:t xml:space="preserve">　</w:t>
            </w:r>
            <w:r>
              <w:rPr>
                <w:vertAlign w:val="superscript"/>
              </w:rPr>
              <w:t>1</w:t>
            </w:r>
          </w:p>
        </w:tc>
        <w:tc>
          <w:tcPr>
            <w:tcW w:w="611" w:type="pct"/>
            <w:vAlign w:val="center"/>
          </w:tcPr>
          <w:p w14:paraId="07523B3C" w14:textId="324381BA" w:rsidR="008955DA" w:rsidRPr="00B72660" w:rsidRDefault="008955DA" w:rsidP="00621E2F">
            <w:pPr>
              <w:pStyle w:val="TableText0"/>
              <w:jc w:val="center"/>
              <w:rPr>
                <w:szCs w:val="20"/>
                <w:vertAlign w:val="superscript"/>
              </w:rPr>
            </w:pPr>
            <w:r w:rsidRPr="005E3959">
              <w:rPr>
                <w:szCs w:val="20"/>
              </w:rPr>
              <w:t>$</w:t>
            </w:r>
            <w:r w:rsidR="00ED4AC4" w:rsidRPr="005265DE">
              <w:rPr>
                <w:rFonts w:hint="eastAsia"/>
                <w:color w:val="000000"/>
                <w:w w:val="25"/>
                <w:szCs w:val="20"/>
                <w:shd w:val="solid" w:color="000000" w:fill="000000"/>
                <w:fitText w:val="113" w:id="-628411130"/>
                <w14:textFill>
                  <w14:solidFill>
                    <w14:srgbClr w14:val="000000">
                      <w14:alpha w14:val="100000"/>
                    </w14:srgbClr>
                  </w14:solidFill>
                </w14:textFill>
              </w:rPr>
              <w:t xml:space="preserve">　</w:t>
            </w:r>
            <w:r w:rsidR="00ED4AC4" w:rsidRPr="005265DE">
              <w:rPr>
                <w:color w:val="000000"/>
                <w:w w:val="25"/>
                <w:szCs w:val="20"/>
                <w:shd w:val="solid" w:color="000000" w:fill="000000"/>
                <w:fitText w:val="113" w:id="-628411130"/>
                <w14:textFill>
                  <w14:solidFill>
                    <w14:srgbClr w14:val="000000">
                      <w14:alpha w14:val="100000"/>
                    </w14:srgbClr>
                  </w14:solidFill>
                </w14:textFill>
              </w:rPr>
              <w:t>|</w:t>
            </w:r>
            <w:r w:rsidR="00ED4AC4" w:rsidRPr="005265DE">
              <w:rPr>
                <w:rFonts w:hint="eastAsia"/>
                <w:color w:val="000000"/>
                <w:w w:val="25"/>
                <w:szCs w:val="20"/>
                <w:shd w:val="solid" w:color="000000" w:fill="000000"/>
                <w:fitText w:val="113" w:id="-628411130"/>
                <w14:textFill>
                  <w14:solidFill>
                    <w14:srgbClr w14:val="000000">
                      <w14:alpha w14:val="100000"/>
                    </w14:srgbClr>
                  </w14:solidFill>
                </w14:textFill>
              </w:rPr>
              <w:t xml:space="preserve">　</w:t>
            </w:r>
            <w:r>
              <w:rPr>
                <w:szCs w:val="20"/>
                <w:vertAlign w:val="superscript"/>
              </w:rPr>
              <w:t>1</w:t>
            </w:r>
          </w:p>
        </w:tc>
        <w:tc>
          <w:tcPr>
            <w:tcW w:w="611" w:type="pct"/>
            <w:vAlign w:val="center"/>
          </w:tcPr>
          <w:p w14:paraId="78B712B5" w14:textId="35D236B5" w:rsidR="008955DA" w:rsidRPr="00B72660" w:rsidRDefault="008955DA" w:rsidP="00621E2F">
            <w:pPr>
              <w:pStyle w:val="TableText0"/>
              <w:jc w:val="center"/>
              <w:rPr>
                <w:szCs w:val="20"/>
                <w:vertAlign w:val="superscript"/>
              </w:rPr>
            </w:pPr>
            <w:r w:rsidRPr="005E3959">
              <w:rPr>
                <w:szCs w:val="20"/>
              </w:rPr>
              <w:t>$</w:t>
            </w:r>
            <w:r w:rsidR="00ED4AC4" w:rsidRPr="005265DE">
              <w:rPr>
                <w:rFonts w:hint="eastAsia"/>
                <w:color w:val="000000"/>
                <w:w w:val="25"/>
                <w:szCs w:val="20"/>
                <w:shd w:val="solid" w:color="000000" w:fill="000000"/>
                <w:fitText w:val="113" w:id="-628411129"/>
                <w14:textFill>
                  <w14:solidFill>
                    <w14:srgbClr w14:val="000000">
                      <w14:alpha w14:val="100000"/>
                    </w14:srgbClr>
                  </w14:solidFill>
                </w14:textFill>
              </w:rPr>
              <w:t xml:space="preserve">　</w:t>
            </w:r>
            <w:r w:rsidR="00ED4AC4" w:rsidRPr="005265DE">
              <w:rPr>
                <w:color w:val="000000"/>
                <w:w w:val="25"/>
                <w:szCs w:val="20"/>
                <w:shd w:val="solid" w:color="000000" w:fill="000000"/>
                <w:fitText w:val="113" w:id="-628411129"/>
                <w14:textFill>
                  <w14:solidFill>
                    <w14:srgbClr w14:val="000000">
                      <w14:alpha w14:val="100000"/>
                    </w14:srgbClr>
                  </w14:solidFill>
                </w14:textFill>
              </w:rPr>
              <w:t>|</w:t>
            </w:r>
            <w:r w:rsidR="00ED4AC4" w:rsidRPr="005265DE">
              <w:rPr>
                <w:rFonts w:hint="eastAsia"/>
                <w:color w:val="000000"/>
                <w:w w:val="25"/>
                <w:szCs w:val="20"/>
                <w:shd w:val="solid" w:color="000000" w:fill="000000"/>
                <w:fitText w:val="113" w:id="-628411129"/>
                <w14:textFill>
                  <w14:solidFill>
                    <w14:srgbClr w14:val="000000">
                      <w14:alpha w14:val="100000"/>
                    </w14:srgbClr>
                  </w14:solidFill>
                </w14:textFill>
              </w:rPr>
              <w:t xml:space="preserve">　</w:t>
            </w:r>
            <w:r>
              <w:rPr>
                <w:szCs w:val="20"/>
                <w:vertAlign w:val="superscript"/>
              </w:rPr>
              <w:t>1</w:t>
            </w:r>
          </w:p>
        </w:tc>
        <w:tc>
          <w:tcPr>
            <w:tcW w:w="611" w:type="pct"/>
            <w:vAlign w:val="center"/>
          </w:tcPr>
          <w:p w14:paraId="2255A683" w14:textId="5E255F53" w:rsidR="008955DA" w:rsidRPr="00B72660" w:rsidRDefault="008955DA" w:rsidP="00621E2F">
            <w:pPr>
              <w:pStyle w:val="TableText0"/>
              <w:jc w:val="center"/>
              <w:rPr>
                <w:szCs w:val="20"/>
                <w:vertAlign w:val="superscript"/>
              </w:rPr>
            </w:pPr>
            <w:r w:rsidRPr="005E3959">
              <w:rPr>
                <w:szCs w:val="20"/>
              </w:rPr>
              <w:t>$</w:t>
            </w:r>
            <w:r w:rsidR="00ED4AC4" w:rsidRPr="005265DE">
              <w:rPr>
                <w:rFonts w:hint="eastAsia"/>
                <w:color w:val="000000"/>
                <w:w w:val="25"/>
                <w:szCs w:val="20"/>
                <w:shd w:val="solid" w:color="000000" w:fill="000000"/>
                <w:fitText w:val="113" w:id="-628411128"/>
                <w14:textFill>
                  <w14:solidFill>
                    <w14:srgbClr w14:val="000000">
                      <w14:alpha w14:val="100000"/>
                    </w14:srgbClr>
                  </w14:solidFill>
                </w14:textFill>
              </w:rPr>
              <w:t xml:space="preserve">　</w:t>
            </w:r>
            <w:r w:rsidR="00ED4AC4" w:rsidRPr="005265DE">
              <w:rPr>
                <w:color w:val="000000"/>
                <w:w w:val="25"/>
                <w:szCs w:val="20"/>
                <w:shd w:val="solid" w:color="000000" w:fill="000000"/>
                <w:fitText w:val="113" w:id="-628411128"/>
                <w14:textFill>
                  <w14:solidFill>
                    <w14:srgbClr w14:val="000000">
                      <w14:alpha w14:val="100000"/>
                    </w14:srgbClr>
                  </w14:solidFill>
                </w14:textFill>
              </w:rPr>
              <w:t>|</w:t>
            </w:r>
            <w:r w:rsidR="00ED4AC4" w:rsidRPr="005265DE">
              <w:rPr>
                <w:rFonts w:hint="eastAsia"/>
                <w:color w:val="000000"/>
                <w:w w:val="25"/>
                <w:szCs w:val="20"/>
                <w:shd w:val="solid" w:color="000000" w:fill="000000"/>
                <w:fitText w:val="113" w:id="-628411128"/>
                <w14:textFill>
                  <w14:solidFill>
                    <w14:srgbClr w14:val="000000">
                      <w14:alpha w14:val="100000"/>
                    </w14:srgbClr>
                  </w14:solidFill>
                </w14:textFill>
              </w:rPr>
              <w:t xml:space="preserve">　</w:t>
            </w:r>
            <w:r>
              <w:rPr>
                <w:szCs w:val="20"/>
                <w:vertAlign w:val="superscript"/>
              </w:rPr>
              <w:t>1</w:t>
            </w:r>
          </w:p>
        </w:tc>
        <w:tc>
          <w:tcPr>
            <w:tcW w:w="678" w:type="pct"/>
            <w:vAlign w:val="center"/>
          </w:tcPr>
          <w:p w14:paraId="4AE1B3B3" w14:textId="78DB487F" w:rsidR="008955DA" w:rsidRPr="00B72660" w:rsidRDefault="008955DA" w:rsidP="00621E2F">
            <w:pPr>
              <w:pStyle w:val="TableText0"/>
              <w:jc w:val="center"/>
              <w:rPr>
                <w:szCs w:val="20"/>
                <w:vertAlign w:val="superscript"/>
              </w:rPr>
            </w:pPr>
            <w:r w:rsidRPr="005E3959">
              <w:rPr>
                <w:szCs w:val="20"/>
              </w:rPr>
              <w:t>$</w:t>
            </w:r>
            <w:r w:rsidR="00ED4AC4" w:rsidRPr="005265DE">
              <w:rPr>
                <w:rFonts w:hint="eastAsia"/>
                <w:color w:val="000000"/>
                <w:w w:val="15"/>
                <w:szCs w:val="20"/>
                <w:shd w:val="solid" w:color="000000" w:fill="000000"/>
                <w:fitText w:val="37" w:id="-628411127"/>
                <w14:textFill>
                  <w14:solidFill>
                    <w14:srgbClr w14:val="000000">
                      <w14:alpha w14:val="100000"/>
                    </w14:srgbClr>
                  </w14:solidFill>
                </w14:textFill>
              </w:rPr>
              <w:t xml:space="preserve">　</w:t>
            </w:r>
            <w:r w:rsidR="00ED4AC4" w:rsidRPr="005265DE">
              <w:rPr>
                <w:color w:val="000000"/>
                <w:w w:val="15"/>
                <w:szCs w:val="20"/>
                <w:shd w:val="solid" w:color="000000" w:fill="000000"/>
                <w:fitText w:val="37" w:id="-628411127"/>
                <w14:textFill>
                  <w14:solidFill>
                    <w14:srgbClr w14:val="000000">
                      <w14:alpha w14:val="100000"/>
                    </w14:srgbClr>
                  </w14:solidFill>
                </w14:textFill>
              </w:rPr>
              <w:t>|</w:t>
            </w:r>
            <w:r w:rsidR="00ED4AC4" w:rsidRPr="005265DE">
              <w:rPr>
                <w:rFonts w:hint="eastAsia"/>
                <w:color w:val="000000"/>
                <w:spacing w:val="-28"/>
                <w:w w:val="15"/>
                <w:szCs w:val="20"/>
                <w:shd w:val="solid" w:color="000000" w:fill="000000"/>
                <w:fitText w:val="37" w:id="-628411127"/>
                <w14:textFill>
                  <w14:solidFill>
                    <w14:srgbClr w14:val="000000">
                      <w14:alpha w14:val="100000"/>
                    </w14:srgbClr>
                  </w14:solidFill>
                </w14:textFill>
              </w:rPr>
              <w:t xml:space="preserve">　</w:t>
            </w:r>
            <w:r>
              <w:rPr>
                <w:szCs w:val="20"/>
                <w:vertAlign w:val="superscript"/>
              </w:rPr>
              <w:t>1</w:t>
            </w:r>
          </w:p>
        </w:tc>
        <w:tc>
          <w:tcPr>
            <w:tcW w:w="544" w:type="pct"/>
            <w:vAlign w:val="center"/>
          </w:tcPr>
          <w:p w14:paraId="4FB7B823" w14:textId="6AC23A64" w:rsidR="008955DA" w:rsidRPr="00B72660" w:rsidRDefault="008955DA" w:rsidP="00621E2F">
            <w:pPr>
              <w:pStyle w:val="TableText0"/>
              <w:jc w:val="center"/>
              <w:rPr>
                <w:szCs w:val="20"/>
                <w:vertAlign w:val="superscript"/>
              </w:rPr>
            </w:pPr>
            <w:r w:rsidRPr="005E3959">
              <w:rPr>
                <w:szCs w:val="20"/>
              </w:rPr>
              <w:t>$</w:t>
            </w:r>
            <w:r w:rsidR="00ED4AC4" w:rsidRPr="00896015">
              <w:rPr>
                <w:color w:val="000000"/>
                <w:spacing w:val="89"/>
                <w:szCs w:val="20"/>
                <w:shd w:val="solid" w:color="000000" w:fill="000000"/>
                <w:fitText w:val="175" w:id="-628411126"/>
                <w14:textFill>
                  <w14:solidFill>
                    <w14:srgbClr w14:val="000000">
                      <w14:alpha w14:val="100000"/>
                    </w14:srgbClr>
                  </w14:solidFill>
                </w14:textFill>
              </w:rPr>
              <w:t>|</w:t>
            </w:r>
            <w:r w:rsidR="00ED4AC4" w:rsidRPr="00896015">
              <w:rPr>
                <w:color w:val="000000"/>
                <w:szCs w:val="20"/>
                <w:shd w:val="solid" w:color="000000" w:fill="000000"/>
                <w:fitText w:val="175" w:id="-628411126"/>
                <w14:textFill>
                  <w14:solidFill>
                    <w14:srgbClr w14:val="000000">
                      <w14:alpha w14:val="100000"/>
                    </w14:srgbClr>
                  </w14:solidFill>
                </w14:textFill>
              </w:rPr>
              <w:t>|</w:t>
            </w:r>
            <w:r>
              <w:rPr>
                <w:szCs w:val="20"/>
                <w:vertAlign w:val="superscript"/>
              </w:rPr>
              <w:t>1</w:t>
            </w:r>
          </w:p>
        </w:tc>
      </w:tr>
      <w:tr w:rsidR="008955DA" w:rsidRPr="008373B3" w14:paraId="4D410A7E" w14:textId="77777777" w:rsidTr="00621E2F">
        <w:tc>
          <w:tcPr>
            <w:tcW w:w="5000" w:type="pct"/>
            <w:gridSpan w:val="7"/>
            <w:vAlign w:val="center"/>
          </w:tcPr>
          <w:p w14:paraId="232B3FF3" w14:textId="77777777" w:rsidR="008955DA" w:rsidRPr="005E3959" w:rsidRDefault="008955DA" w:rsidP="00621E2F">
            <w:pPr>
              <w:pStyle w:val="In-tableHeading"/>
              <w:rPr>
                <w:szCs w:val="20"/>
                <w:lang w:val="en-AU"/>
              </w:rPr>
            </w:pPr>
            <w:r w:rsidRPr="005E3959">
              <w:rPr>
                <w:szCs w:val="20"/>
                <w:lang w:val="en-AU"/>
              </w:rPr>
              <w:t>Net financial implications</w:t>
            </w:r>
          </w:p>
        </w:tc>
      </w:tr>
      <w:tr w:rsidR="008955DA" w:rsidRPr="00523675" w14:paraId="612117B9" w14:textId="77777777" w:rsidTr="00621E2F">
        <w:tc>
          <w:tcPr>
            <w:tcW w:w="1334" w:type="pct"/>
            <w:vAlign w:val="center"/>
          </w:tcPr>
          <w:p w14:paraId="533C6CF9" w14:textId="77777777" w:rsidR="008955DA" w:rsidRPr="00523675" w:rsidRDefault="008955DA" w:rsidP="00621E2F">
            <w:pPr>
              <w:pStyle w:val="TableText0"/>
              <w:rPr>
                <w:b/>
                <w:bCs w:val="0"/>
                <w:sz w:val="19"/>
                <w:szCs w:val="19"/>
                <w:vertAlign w:val="superscript"/>
              </w:rPr>
            </w:pPr>
            <w:r w:rsidRPr="00523675">
              <w:rPr>
                <w:b/>
                <w:bCs w:val="0"/>
                <w:sz w:val="19"/>
                <w:szCs w:val="19"/>
              </w:rPr>
              <w:t>Net cost to PBS</w:t>
            </w:r>
          </w:p>
        </w:tc>
        <w:tc>
          <w:tcPr>
            <w:tcW w:w="611" w:type="pct"/>
            <w:vAlign w:val="center"/>
          </w:tcPr>
          <w:p w14:paraId="502D6732" w14:textId="01F19106" w:rsidR="008955DA" w:rsidRPr="00B72660" w:rsidRDefault="008955DA" w:rsidP="00621E2F">
            <w:pPr>
              <w:pStyle w:val="TableText0"/>
              <w:jc w:val="center"/>
              <w:rPr>
                <w:b/>
                <w:bCs w:val="0"/>
                <w:szCs w:val="20"/>
                <w:vertAlign w:val="superscript"/>
              </w:rPr>
            </w:pPr>
            <w:r w:rsidRPr="00523675">
              <w:rPr>
                <w:b/>
                <w:bCs w:val="0"/>
                <w:szCs w:val="20"/>
              </w:rPr>
              <w:t>$</w:t>
            </w:r>
            <w:r w:rsidR="00ED4AC4" w:rsidRPr="005265DE">
              <w:rPr>
                <w:rFonts w:hint="eastAsia"/>
                <w:b/>
                <w:bCs w:val="0"/>
                <w:color w:val="000000"/>
                <w:w w:val="30"/>
                <w:szCs w:val="20"/>
                <w:shd w:val="solid" w:color="000000" w:fill="000000"/>
                <w:fitText w:val="138" w:id="-628411125"/>
                <w14:textFill>
                  <w14:solidFill>
                    <w14:srgbClr w14:val="000000">
                      <w14:alpha w14:val="100000"/>
                    </w14:srgbClr>
                  </w14:solidFill>
                </w14:textFill>
              </w:rPr>
              <w:t xml:space="preserve">　</w:t>
            </w:r>
            <w:r w:rsidR="00ED4AC4" w:rsidRPr="005265DE">
              <w:rPr>
                <w:b/>
                <w:bCs w:val="0"/>
                <w:color w:val="000000"/>
                <w:w w:val="30"/>
                <w:szCs w:val="20"/>
                <w:shd w:val="solid" w:color="000000" w:fill="000000"/>
                <w:fitText w:val="138" w:id="-628411125"/>
                <w14:textFill>
                  <w14:solidFill>
                    <w14:srgbClr w14:val="000000">
                      <w14:alpha w14:val="100000"/>
                    </w14:srgbClr>
                  </w14:solidFill>
                </w14:textFill>
              </w:rPr>
              <w:t>|</w:t>
            </w:r>
            <w:r w:rsidR="00ED4AC4" w:rsidRPr="005265DE">
              <w:rPr>
                <w:rFonts w:hint="eastAsia"/>
                <w:b/>
                <w:bCs w:val="0"/>
                <w:color w:val="000000"/>
                <w:w w:val="30"/>
                <w:szCs w:val="20"/>
                <w:shd w:val="solid" w:color="000000" w:fill="000000"/>
                <w:fitText w:val="138" w:id="-628411125"/>
                <w14:textFill>
                  <w14:solidFill>
                    <w14:srgbClr w14:val="000000">
                      <w14:alpha w14:val="100000"/>
                    </w14:srgbClr>
                  </w14:solidFill>
                </w14:textFill>
              </w:rPr>
              <w:t xml:space="preserve">　</w:t>
            </w:r>
            <w:r>
              <w:rPr>
                <w:b/>
                <w:bCs w:val="0"/>
                <w:szCs w:val="20"/>
                <w:vertAlign w:val="superscript"/>
              </w:rPr>
              <w:t>1</w:t>
            </w:r>
          </w:p>
        </w:tc>
        <w:tc>
          <w:tcPr>
            <w:tcW w:w="611" w:type="pct"/>
            <w:vAlign w:val="center"/>
          </w:tcPr>
          <w:p w14:paraId="78DCC1BA" w14:textId="1C70746B" w:rsidR="008955DA" w:rsidRPr="00B72660" w:rsidRDefault="008955DA" w:rsidP="00621E2F">
            <w:pPr>
              <w:pStyle w:val="TableText0"/>
              <w:jc w:val="center"/>
              <w:rPr>
                <w:b/>
                <w:bCs w:val="0"/>
                <w:szCs w:val="20"/>
                <w:vertAlign w:val="superscript"/>
              </w:rPr>
            </w:pPr>
            <w:r w:rsidRPr="00523675">
              <w:rPr>
                <w:b/>
                <w:bCs w:val="0"/>
                <w:szCs w:val="20"/>
              </w:rPr>
              <w:t>$</w:t>
            </w:r>
            <w:r w:rsidR="00ED4AC4" w:rsidRPr="005265DE">
              <w:rPr>
                <w:rFonts w:hint="eastAsia"/>
                <w:b/>
                <w:bCs w:val="0"/>
                <w:color w:val="000000"/>
                <w:w w:val="30"/>
                <w:szCs w:val="20"/>
                <w:shd w:val="solid" w:color="000000" w:fill="000000"/>
                <w:fitText w:val="138" w:id="-628411124"/>
                <w14:textFill>
                  <w14:solidFill>
                    <w14:srgbClr w14:val="000000">
                      <w14:alpha w14:val="100000"/>
                    </w14:srgbClr>
                  </w14:solidFill>
                </w14:textFill>
              </w:rPr>
              <w:t xml:space="preserve">　</w:t>
            </w:r>
            <w:r w:rsidR="00ED4AC4" w:rsidRPr="005265DE">
              <w:rPr>
                <w:b/>
                <w:bCs w:val="0"/>
                <w:color w:val="000000"/>
                <w:w w:val="30"/>
                <w:szCs w:val="20"/>
                <w:shd w:val="solid" w:color="000000" w:fill="000000"/>
                <w:fitText w:val="138" w:id="-628411124"/>
                <w14:textFill>
                  <w14:solidFill>
                    <w14:srgbClr w14:val="000000">
                      <w14:alpha w14:val="100000"/>
                    </w14:srgbClr>
                  </w14:solidFill>
                </w14:textFill>
              </w:rPr>
              <w:t>|</w:t>
            </w:r>
            <w:r w:rsidR="00ED4AC4" w:rsidRPr="005265DE">
              <w:rPr>
                <w:rFonts w:hint="eastAsia"/>
                <w:b/>
                <w:bCs w:val="0"/>
                <w:color w:val="000000"/>
                <w:w w:val="30"/>
                <w:szCs w:val="20"/>
                <w:shd w:val="solid" w:color="000000" w:fill="000000"/>
                <w:fitText w:val="138" w:id="-628411124"/>
                <w14:textFill>
                  <w14:solidFill>
                    <w14:srgbClr w14:val="000000">
                      <w14:alpha w14:val="100000"/>
                    </w14:srgbClr>
                  </w14:solidFill>
                </w14:textFill>
              </w:rPr>
              <w:t xml:space="preserve">　</w:t>
            </w:r>
            <w:r>
              <w:rPr>
                <w:b/>
                <w:bCs w:val="0"/>
                <w:szCs w:val="20"/>
                <w:vertAlign w:val="superscript"/>
              </w:rPr>
              <w:t>1</w:t>
            </w:r>
          </w:p>
        </w:tc>
        <w:tc>
          <w:tcPr>
            <w:tcW w:w="611" w:type="pct"/>
            <w:vAlign w:val="center"/>
          </w:tcPr>
          <w:p w14:paraId="4800F13C" w14:textId="4B21F2D7" w:rsidR="008955DA" w:rsidRPr="00B72660" w:rsidRDefault="008955DA" w:rsidP="00621E2F">
            <w:pPr>
              <w:pStyle w:val="TableText0"/>
              <w:jc w:val="center"/>
              <w:rPr>
                <w:b/>
                <w:bCs w:val="0"/>
                <w:szCs w:val="20"/>
                <w:vertAlign w:val="superscript"/>
              </w:rPr>
            </w:pPr>
            <w:r w:rsidRPr="00523675">
              <w:rPr>
                <w:b/>
                <w:bCs w:val="0"/>
                <w:szCs w:val="20"/>
              </w:rPr>
              <w:t>$</w:t>
            </w:r>
            <w:r w:rsidR="00ED4AC4" w:rsidRPr="005265DE">
              <w:rPr>
                <w:rFonts w:hint="eastAsia"/>
                <w:b/>
                <w:bCs w:val="0"/>
                <w:color w:val="000000"/>
                <w:w w:val="30"/>
                <w:szCs w:val="20"/>
                <w:shd w:val="solid" w:color="000000" w:fill="000000"/>
                <w:fitText w:val="138" w:id="-628411123"/>
                <w14:textFill>
                  <w14:solidFill>
                    <w14:srgbClr w14:val="000000">
                      <w14:alpha w14:val="100000"/>
                    </w14:srgbClr>
                  </w14:solidFill>
                </w14:textFill>
              </w:rPr>
              <w:t xml:space="preserve">　</w:t>
            </w:r>
            <w:r w:rsidR="00ED4AC4" w:rsidRPr="005265DE">
              <w:rPr>
                <w:b/>
                <w:bCs w:val="0"/>
                <w:color w:val="000000"/>
                <w:w w:val="30"/>
                <w:szCs w:val="20"/>
                <w:shd w:val="solid" w:color="000000" w:fill="000000"/>
                <w:fitText w:val="138" w:id="-628411123"/>
                <w14:textFill>
                  <w14:solidFill>
                    <w14:srgbClr w14:val="000000">
                      <w14:alpha w14:val="100000"/>
                    </w14:srgbClr>
                  </w14:solidFill>
                </w14:textFill>
              </w:rPr>
              <w:t>|</w:t>
            </w:r>
            <w:r w:rsidR="00ED4AC4" w:rsidRPr="005265DE">
              <w:rPr>
                <w:rFonts w:hint="eastAsia"/>
                <w:b/>
                <w:bCs w:val="0"/>
                <w:color w:val="000000"/>
                <w:w w:val="30"/>
                <w:szCs w:val="20"/>
                <w:shd w:val="solid" w:color="000000" w:fill="000000"/>
                <w:fitText w:val="138" w:id="-628411123"/>
                <w14:textFill>
                  <w14:solidFill>
                    <w14:srgbClr w14:val="000000">
                      <w14:alpha w14:val="100000"/>
                    </w14:srgbClr>
                  </w14:solidFill>
                </w14:textFill>
              </w:rPr>
              <w:t xml:space="preserve">　</w:t>
            </w:r>
            <w:r>
              <w:rPr>
                <w:b/>
                <w:bCs w:val="0"/>
                <w:szCs w:val="20"/>
                <w:vertAlign w:val="superscript"/>
              </w:rPr>
              <w:t>1</w:t>
            </w:r>
          </w:p>
        </w:tc>
        <w:tc>
          <w:tcPr>
            <w:tcW w:w="611" w:type="pct"/>
            <w:vAlign w:val="center"/>
          </w:tcPr>
          <w:p w14:paraId="67335D97" w14:textId="5469F64E" w:rsidR="008955DA" w:rsidRPr="00B72660" w:rsidRDefault="008955DA" w:rsidP="00621E2F">
            <w:pPr>
              <w:pStyle w:val="TableText0"/>
              <w:jc w:val="center"/>
              <w:rPr>
                <w:b/>
                <w:bCs w:val="0"/>
                <w:szCs w:val="20"/>
                <w:vertAlign w:val="superscript"/>
              </w:rPr>
            </w:pPr>
            <w:r w:rsidRPr="00523675">
              <w:rPr>
                <w:b/>
                <w:bCs w:val="0"/>
                <w:szCs w:val="20"/>
              </w:rPr>
              <w:t>$</w:t>
            </w:r>
            <w:r w:rsidR="00ED4AC4" w:rsidRPr="005265DE">
              <w:rPr>
                <w:rFonts w:hint="eastAsia"/>
                <w:b/>
                <w:bCs w:val="0"/>
                <w:color w:val="000000"/>
                <w:w w:val="30"/>
                <w:szCs w:val="20"/>
                <w:shd w:val="solid" w:color="000000" w:fill="000000"/>
                <w:fitText w:val="138" w:id="-628411122"/>
                <w14:textFill>
                  <w14:solidFill>
                    <w14:srgbClr w14:val="000000">
                      <w14:alpha w14:val="100000"/>
                    </w14:srgbClr>
                  </w14:solidFill>
                </w14:textFill>
              </w:rPr>
              <w:t xml:space="preserve">　</w:t>
            </w:r>
            <w:r w:rsidR="00ED4AC4" w:rsidRPr="005265DE">
              <w:rPr>
                <w:b/>
                <w:bCs w:val="0"/>
                <w:color w:val="000000"/>
                <w:w w:val="30"/>
                <w:szCs w:val="20"/>
                <w:shd w:val="solid" w:color="000000" w:fill="000000"/>
                <w:fitText w:val="138" w:id="-628411122"/>
                <w14:textFill>
                  <w14:solidFill>
                    <w14:srgbClr w14:val="000000">
                      <w14:alpha w14:val="100000"/>
                    </w14:srgbClr>
                  </w14:solidFill>
                </w14:textFill>
              </w:rPr>
              <w:t>|</w:t>
            </w:r>
            <w:r w:rsidR="00ED4AC4" w:rsidRPr="005265DE">
              <w:rPr>
                <w:rFonts w:hint="eastAsia"/>
                <w:b/>
                <w:bCs w:val="0"/>
                <w:color w:val="000000"/>
                <w:w w:val="30"/>
                <w:szCs w:val="20"/>
                <w:shd w:val="solid" w:color="000000" w:fill="000000"/>
                <w:fitText w:val="138" w:id="-628411122"/>
                <w14:textFill>
                  <w14:solidFill>
                    <w14:srgbClr w14:val="000000">
                      <w14:alpha w14:val="100000"/>
                    </w14:srgbClr>
                  </w14:solidFill>
                </w14:textFill>
              </w:rPr>
              <w:t xml:space="preserve">　</w:t>
            </w:r>
            <w:r>
              <w:rPr>
                <w:b/>
                <w:bCs w:val="0"/>
                <w:szCs w:val="20"/>
                <w:vertAlign w:val="superscript"/>
              </w:rPr>
              <w:t>1</w:t>
            </w:r>
          </w:p>
        </w:tc>
        <w:tc>
          <w:tcPr>
            <w:tcW w:w="678" w:type="pct"/>
            <w:vAlign w:val="center"/>
          </w:tcPr>
          <w:p w14:paraId="389A5F0B" w14:textId="41B344E2" w:rsidR="008955DA" w:rsidRPr="00B72660" w:rsidRDefault="008955DA" w:rsidP="00621E2F">
            <w:pPr>
              <w:pStyle w:val="TableText0"/>
              <w:jc w:val="center"/>
              <w:rPr>
                <w:b/>
                <w:bCs w:val="0"/>
                <w:szCs w:val="20"/>
                <w:vertAlign w:val="superscript"/>
              </w:rPr>
            </w:pPr>
            <w:r w:rsidRPr="00523675">
              <w:rPr>
                <w:b/>
                <w:bCs w:val="0"/>
                <w:szCs w:val="20"/>
              </w:rPr>
              <w:t>$</w:t>
            </w:r>
            <w:r w:rsidR="00ED4AC4" w:rsidRPr="005265DE">
              <w:rPr>
                <w:rFonts w:hint="eastAsia"/>
                <w:b/>
                <w:bCs w:val="0"/>
                <w:color w:val="000000"/>
                <w:w w:val="19"/>
                <w:szCs w:val="20"/>
                <w:shd w:val="solid" w:color="000000" w:fill="000000"/>
                <w:fitText w:val="88" w:id="-628411121"/>
                <w14:textFill>
                  <w14:solidFill>
                    <w14:srgbClr w14:val="000000">
                      <w14:alpha w14:val="100000"/>
                    </w14:srgbClr>
                  </w14:solidFill>
                </w14:textFill>
              </w:rPr>
              <w:t xml:space="preserve">　</w:t>
            </w:r>
            <w:r w:rsidR="00ED4AC4" w:rsidRPr="005265DE">
              <w:rPr>
                <w:b/>
                <w:bCs w:val="0"/>
                <w:color w:val="000000"/>
                <w:w w:val="19"/>
                <w:szCs w:val="20"/>
                <w:shd w:val="solid" w:color="000000" w:fill="000000"/>
                <w:fitText w:val="88" w:id="-628411121"/>
                <w14:textFill>
                  <w14:solidFill>
                    <w14:srgbClr w14:val="000000">
                      <w14:alpha w14:val="100000"/>
                    </w14:srgbClr>
                  </w14:solidFill>
                </w14:textFill>
              </w:rPr>
              <w:t>|</w:t>
            </w:r>
            <w:r w:rsidR="00ED4AC4" w:rsidRPr="005265DE">
              <w:rPr>
                <w:rFonts w:hint="eastAsia"/>
                <w:b/>
                <w:bCs w:val="0"/>
                <w:color w:val="000000"/>
                <w:w w:val="19"/>
                <w:szCs w:val="20"/>
                <w:shd w:val="solid" w:color="000000" w:fill="000000"/>
                <w:fitText w:val="88" w:id="-628411121"/>
                <w14:textFill>
                  <w14:solidFill>
                    <w14:srgbClr w14:val="000000">
                      <w14:alpha w14:val="100000"/>
                    </w14:srgbClr>
                  </w14:solidFill>
                </w14:textFill>
              </w:rPr>
              <w:t xml:space="preserve">　</w:t>
            </w:r>
            <w:r>
              <w:rPr>
                <w:b/>
                <w:bCs w:val="0"/>
                <w:szCs w:val="20"/>
                <w:vertAlign w:val="superscript"/>
              </w:rPr>
              <w:t>1</w:t>
            </w:r>
          </w:p>
        </w:tc>
        <w:tc>
          <w:tcPr>
            <w:tcW w:w="544" w:type="pct"/>
            <w:vAlign w:val="center"/>
          </w:tcPr>
          <w:p w14:paraId="153D0623" w14:textId="385EDBCE" w:rsidR="008955DA" w:rsidRPr="00B72660" w:rsidRDefault="008955DA" w:rsidP="00621E2F">
            <w:pPr>
              <w:pStyle w:val="TableText0"/>
              <w:jc w:val="center"/>
              <w:rPr>
                <w:b/>
                <w:bCs w:val="0"/>
                <w:szCs w:val="20"/>
                <w:vertAlign w:val="superscript"/>
              </w:rPr>
            </w:pPr>
            <w:r w:rsidRPr="00523675">
              <w:rPr>
                <w:b/>
                <w:bCs w:val="0"/>
                <w:szCs w:val="20"/>
              </w:rPr>
              <w:t>$</w:t>
            </w:r>
            <w:r w:rsidR="00ED4AC4" w:rsidRPr="00896015">
              <w:rPr>
                <w:b/>
                <w:color w:val="000000"/>
                <w:spacing w:val="108"/>
                <w:szCs w:val="20"/>
                <w:shd w:val="solid" w:color="000000" w:fill="000000"/>
                <w:fitText w:val="200" w:id="-628411120"/>
                <w14:textFill>
                  <w14:solidFill>
                    <w14:srgbClr w14:val="000000">
                      <w14:alpha w14:val="100000"/>
                    </w14:srgbClr>
                  </w14:solidFill>
                </w14:textFill>
              </w:rPr>
              <w:t>|</w:t>
            </w:r>
            <w:r w:rsidR="00ED4AC4" w:rsidRPr="00896015">
              <w:rPr>
                <w:b/>
                <w:color w:val="000000"/>
                <w:szCs w:val="20"/>
                <w:shd w:val="solid" w:color="000000" w:fill="000000"/>
                <w:fitText w:val="200" w:id="-628411120"/>
                <w14:textFill>
                  <w14:solidFill>
                    <w14:srgbClr w14:val="000000">
                      <w14:alpha w14:val="100000"/>
                    </w14:srgbClr>
                  </w14:solidFill>
                </w14:textFill>
              </w:rPr>
              <w:t>|</w:t>
            </w:r>
            <w:r>
              <w:rPr>
                <w:b/>
                <w:bCs w:val="0"/>
                <w:szCs w:val="20"/>
                <w:vertAlign w:val="superscript"/>
              </w:rPr>
              <w:t>1</w:t>
            </w:r>
          </w:p>
        </w:tc>
      </w:tr>
      <w:tr w:rsidR="008955DA" w:rsidRPr="008373B3" w14:paraId="5CAF4C3B" w14:textId="77777777" w:rsidTr="00621E2F">
        <w:tc>
          <w:tcPr>
            <w:tcW w:w="1334" w:type="pct"/>
            <w:vAlign w:val="center"/>
          </w:tcPr>
          <w:p w14:paraId="4D97F816" w14:textId="77777777" w:rsidR="008955DA" w:rsidRPr="00707BAA" w:rsidRDefault="008955DA" w:rsidP="00621E2F">
            <w:pPr>
              <w:pStyle w:val="TableText0"/>
              <w:rPr>
                <w:rFonts w:ascii="Times" w:hAnsi="Times"/>
              </w:rPr>
            </w:pPr>
            <w:r w:rsidRPr="00707BAA">
              <w:rPr>
                <w:sz w:val="19"/>
                <w:szCs w:val="19"/>
              </w:rPr>
              <w:t>Net cost to MBS</w:t>
            </w:r>
          </w:p>
        </w:tc>
        <w:tc>
          <w:tcPr>
            <w:tcW w:w="611" w:type="pct"/>
          </w:tcPr>
          <w:p w14:paraId="5A1542B3" w14:textId="5B694199" w:rsidR="008955DA" w:rsidRPr="00B72660" w:rsidRDefault="008955DA" w:rsidP="00621E2F">
            <w:pPr>
              <w:pStyle w:val="TableText0"/>
              <w:jc w:val="center"/>
              <w:rPr>
                <w:szCs w:val="20"/>
                <w:vertAlign w:val="superscript"/>
              </w:rPr>
            </w:pPr>
            <w:r w:rsidRPr="005E3959">
              <w:rPr>
                <w:szCs w:val="20"/>
              </w:rPr>
              <w:t>$</w:t>
            </w:r>
            <w:r w:rsidR="00ED4AC4" w:rsidRPr="005265DE">
              <w:rPr>
                <w:rFonts w:hint="eastAsia"/>
                <w:color w:val="000000"/>
                <w:w w:val="25"/>
                <w:szCs w:val="20"/>
                <w:shd w:val="solid" w:color="000000" w:fill="000000"/>
                <w:fitText w:val="113" w:id="-628411136"/>
                <w14:textFill>
                  <w14:solidFill>
                    <w14:srgbClr w14:val="000000">
                      <w14:alpha w14:val="100000"/>
                    </w14:srgbClr>
                  </w14:solidFill>
                </w14:textFill>
              </w:rPr>
              <w:t xml:space="preserve">　</w:t>
            </w:r>
            <w:r w:rsidR="00ED4AC4" w:rsidRPr="005265DE">
              <w:rPr>
                <w:color w:val="000000"/>
                <w:w w:val="25"/>
                <w:szCs w:val="20"/>
                <w:shd w:val="solid" w:color="000000" w:fill="000000"/>
                <w:fitText w:val="113" w:id="-628411136"/>
                <w14:textFill>
                  <w14:solidFill>
                    <w14:srgbClr w14:val="000000">
                      <w14:alpha w14:val="100000"/>
                    </w14:srgbClr>
                  </w14:solidFill>
                </w14:textFill>
              </w:rPr>
              <w:t>|</w:t>
            </w:r>
            <w:r w:rsidR="00ED4AC4" w:rsidRPr="005265DE">
              <w:rPr>
                <w:rFonts w:hint="eastAsia"/>
                <w:color w:val="000000"/>
                <w:w w:val="25"/>
                <w:szCs w:val="20"/>
                <w:shd w:val="solid" w:color="000000" w:fill="000000"/>
                <w:fitText w:val="113" w:id="-628411136"/>
                <w14:textFill>
                  <w14:solidFill>
                    <w14:srgbClr w14:val="000000">
                      <w14:alpha w14:val="100000"/>
                    </w14:srgbClr>
                  </w14:solidFill>
                </w14:textFill>
              </w:rPr>
              <w:t xml:space="preserve">　</w:t>
            </w:r>
            <w:r>
              <w:rPr>
                <w:szCs w:val="20"/>
                <w:vertAlign w:val="superscript"/>
              </w:rPr>
              <w:t>1</w:t>
            </w:r>
          </w:p>
        </w:tc>
        <w:tc>
          <w:tcPr>
            <w:tcW w:w="611" w:type="pct"/>
          </w:tcPr>
          <w:p w14:paraId="7CACBDA4" w14:textId="79DA4BDB" w:rsidR="008955DA" w:rsidRPr="00B72660" w:rsidRDefault="008955DA" w:rsidP="00621E2F">
            <w:pPr>
              <w:pStyle w:val="TableText0"/>
              <w:jc w:val="center"/>
              <w:rPr>
                <w:szCs w:val="20"/>
                <w:vertAlign w:val="superscript"/>
              </w:rPr>
            </w:pPr>
            <w:r w:rsidRPr="005E3959">
              <w:rPr>
                <w:szCs w:val="20"/>
              </w:rPr>
              <w:t>$</w:t>
            </w:r>
            <w:r w:rsidR="00ED4AC4" w:rsidRPr="005265DE">
              <w:rPr>
                <w:rFonts w:hint="eastAsia"/>
                <w:color w:val="000000"/>
                <w:w w:val="25"/>
                <w:szCs w:val="20"/>
                <w:shd w:val="solid" w:color="000000" w:fill="000000"/>
                <w:fitText w:val="113" w:id="-628411135"/>
                <w14:textFill>
                  <w14:solidFill>
                    <w14:srgbClr w14:val="000000">
                      <w14:alpha w14:val="100000"/>
                    </w14:srgbClr>
                  </w14:solidFill>
                </w14:textFill>
              </w:rPr>
              <w:t xml:space="preserve">　</w:t>
            </w:r>
            <w:r w:rsidR="00ED4AC4" w:rsidRPr="005265DE">
              <w:rPr>
                <w:color w:val="000000"/>
                <w:w w:val="25"/>
                <w:szCs w:val="20"/>
                <w:shd w:val="solid" w:color="000000" w:fill="000000"/>
                <w:fitText w:val="113" w:id="-628411135"/>
                <w14:textFill>
                  <w14:solidFill>
                    <w14:srgbClr w14:val="000000">
                      <w14:alpha w14:val="100000"/>
                    </w14:srgbClr>
                  </w14:solidFill>
                </w14:textFill>
              </w:rPr>
              <w:t>|</w:t>
            </w:r>
            <w:r w:rsidR="00ED4AC4" w:rsidRPr="005265DE">
              <w:rPr>
                <w:rFonts w:hint="eastAsia"/>
                <w:color w:val="000000"/>
                <w:w w:val="25"/>
                <w:szCs w:val="20"/>
                <w:shd w:val="solid" w:color="000000" w:fill="000000"/>
                <w:fitText w:val="113" w:id="-628411135"/>
                <w14:textFill>
                  <w14:solidFill>
                    <w14:srgbClr w14:val="000000">
                      <w14:alpha w14:val="100000"/>
                    </w14:srgbClr>
                  </w14:solidFill>
                </w14:textFill>
              </w:rPr>
              <w:t xml:space="preserve">　</w:t>
            </w:r>
            <w:r>
              <w:rPr>
                <w:szCs w:val="20"/>
                <w:vertAlign w:val="superscript"/>
              </w:rPr>
              <w:t>1</w:t>
            </w:r>
          </w:p>
        </w:tc>
        <w:tc>
          <w:tcPr>
            <w:tcW w:w="611" w:type="pct"/>
          </w:tcPr>
          <w:p w14:paraId="09F43D02" w14:textId="36353A8E" w:rsidR="008955DA" w:rsidRPr="00B72660" w:rsidRDefault="008955DA" w:rsidP="00621E2F">
            <w:pPr>
              <w:pStyle w:val="TableText0"/>
              <w:jc w:val="center"/>
              <w:rPr>
                <w:szCs w:val="20"/>
                <w:vertAlign w:val="superscript"/>
              </w:rPr>
            </w:pPr>
            <w:r w:rsidRPr="005E3959">
              <w:rPr>
                <w:szCs w:val="20"/>
              </w:rPr>
              <w:t>$</w:t>
            </w:r>
            <w:r w:rsidR="00ED4AC4" w:rsidRPr="005265DE">
              <w:rPr>
                <w:rFonts w:hint="eastAsia"/>
                <w:color w:val="000000"/>
                <w:w w:val="25"/>
                <w:szCs w:val="20"/>
                <w:shd w:val="solid" w:color="000000" w:fill="000000"/>
                <w:fitText w:val="113" w:id="-628411134"/>
                <w14:textFill>
                  <w14:solidFill>
                    <w14:srgbClr w14:val="000000">
                      <w14:alpha w14:val="100000"/>
                    </w14:srgbClr>
                  </w14:solidFill>
                </w14:textFill>
              </w:rPr>
              <w:t xml:space="preserve">　</w:t>
            </w:r>
            <w:r w:rsidR="00ED4AC4" w:rsidRPr="005265DE">
              <w:rPr>
                <w:color w:val="000000"/>
                <w:w w:val="25"/>
                <w:szCs w:val="20"/>
                <w:shd w:val="solid" w:color="000000" w:fill="000000"/>
                <w:fitText w:val="113" w:id="-628411134"/>
                <w14:textFill>
                  <w14:solidFill>
                    <w14:srgbClr w14:val="000000">
                      <w14:alpha w14:val="100000"/>
                    </w14:srgbClr>
                  </w14:solidFill>
                </w14:textFill>
              </w:rPr>
              <w:t>|</w:t>
            </w:r>
            <w:r w:rsidR="00ED4AC4" w:rsidRPr="005265DE">
              <w:rPr>
                <w:rFonts w:hint="eastAsia"/>
                <w:color w:val="000000"/>
                <w:w w:val="25"/>
                <w:szCs w:val="20"/>
                <w:shd w:val="solid" w:color="000000" w:fill="000000"/>
                <w:fitText w:val="113" w:id="-628411134"/>
                <w14:textFill>
                  <w14:solidFill>
                    <w14:srgbClr w14:val="000000">
                      <w14:alpha w14:val="100000"/>
                    </w14:srgbClr>
                  </w14:solidFill>
                </w14:textFill>
              </w:rPr>
              <w:t xml:space="preserve">　</w:t>
            </w:r>
            <w:r>
              <w:rPr>
                <w:szCs w:val="20"/>
                <w:vertAlign w:val="superscript"/>
              </w:rPr>
              <w:t>1</w:t>
            </w:r>
          </w:p>
        </w:tc>
        <w:tc>
          <w:tcPr>
            <w:tcW w:w="611" w:type="pct"/>
          </w:tcPr>
          <w:p w14:paraId="79D53616" w14:textId="33C0743D" w:rsidR="008955DA" w:rsidRPr="00B72660" w:rsidRDefault="008955DA" w:rsidP="00621E2F">
            <w:pPr>
              <w:pStyle w:val="TableText0"/>
              <w:jc w:val="center"/>
              <w:rPr>
                <w:szCs w:val="20"/>
                <w:vertAlign w:val="superscript"/>
              </w:rPr>
            </w:pPr>
            <w:r w:rsidRPr="005E3959">
              <w:rPr>
                <w:szCs w:val="20"/>
              </w:rPr>
              <w:t>$</w:t>
            </w:r>
            <w:r w:rsidR="00ED4AC4" w:rsidRPr="005265DE">
              <w:rPr>
                <w:rFonts w:hint="eastAsia"/>
                <w:color w:val="000000"/>
                <w:w w:val="25"/>
                <w:szCs w:val="20"/>
                <w:shd w:val="solid" w:color="000000" w:fill="000000"/>
                <w:fitText w:val="113" w:id="-628411133"/>
                <w14:textFill>
                  <w14:solidFill>
                    <w14:srgbClr w14:val="000000">
                      <w14:alpha w14:val="100000"/>
                    </w14:srgbClr>
                  </w14:solidFill>
                </w14:textFill>
              </w:rPr>
              <w:t xml:space="preserve">　</w:t>
            </w:r>
            <w:r w:rsidR="00ED4AC4" w:rsidRPr="005265DE">
              <w:rPr>
                <w:color w:val="000000"/>
                <w:w w:val="25"/>
                <w:szCs w:val="20"/>
                <w:shd w:val="solid" w:color="000000" w:fill="000000"/>
                <w:fitText w:val="113" w:id="-628411133"/>
                <w14:textFill>
                  <w14:solidFill>
                    <w14:srgbClr w14:val="000000">
                      <w14:alpha w14:val="100000"/>
                    </w14:srgbClr>
                  </w14:solidFill>
                </w14:textFill>
              </w:rPr>
              <w:t>|</w:t>
            </w:r>
            <w:r w:rsidR="00ED4AC4" w:rsidRPr="005265DE">
              <w:rPr>
                <w:rFonts w:hint="eastAsia"/>
                <w:color w:val="000000"/>
                <w:w w:val="25"/>
                <w:szCs w:val="20"/>
                <w:shd w:val="solid" w:color="000000" w:fill="000000"/>
                <w:fitText w:val="113" w:id="-628411133"/>
                <w14:textFill>
                  <w14:solidFill>
                    <w14:srgbClr w14:val="000000">
                      <w14:alpha w14:val="100000"/>
                    </w14:srgbClr>
                  </w14:solidFill>
                </w14:textFill>
              </w:rPr>
              <w:t xml:space="preserve">　</w:t>
            </w:r>
            <w:r>
              <w:rPr>
                <w:szCs w:val="20"/>
                <w:vertAlign w:val="superscript"/>
              </w:rPr>
              <w:t>1</w:t>
            </w:r>
          </w:p>
        </w:tc>
        <w:tc>
          <w:tcPr>
            <w:tcW w:w="678" w:type="pct"/>
          </w:tcPr>
          <w:p w14:paraId="0388EB53" w14:textId="217AE13D" w:rsidR="008955DA" w:rsidRPr="00B72660" w:rsidRDefault="008955DA" w:rsidP="00621E2F">
            <w:pPr>
              <w:pStyle w:val="TableText0"/>
              <w:jc w:val="center"/>
              <w:rPr>
                <w:szCs w:val="20"/>
                <w:vertAlign w:val="superscript"/>
              </w:rPr>
            </w:pPr>
            <w:r w:rsidRPr="005E3959">
              <w:rPr>
                <w:szCs w:val="20"/>
              </w:rPr>
              <w:t>$</w:t>
            </w:r>
            <w:r w:rsidR="00ED4AC4" w:rsidRPr="005265DE">
              <w:rPr>
                <w:rFonts w:hint="eastAsia"/>
                <w:color w:val="000000"/>
                <w:w w:val="15"/>
                <w:szCs w:val="20"/>
                <w:shd w:val="solid" w:color="000000" w:fill="000000"/>
                <w:fitText w:val="37" w:id="-628411132"/>
                <w14:textFill>
                  <w14:solidFill>
                    <w14:srgbClr w14:val="000000">
                      <w14:alpha w14:val="100000"/>
                    </w14:srgbClr>
                  </w14:solidFill>
                </w14:textFill>
              </w:rPr>
              <w:t xml:space="preserve">　</w:t>
            </w:r>
            <w:r w:rsidR="00ED4AC4" w:rsidRPr="005265DE">
              <w:rPr>
                <w:color w:val="000000"/>
                <w:w w:val="15"/>
                <w:szCs w:val="20"/>
                <w:shd w:val="solid" w:color="000000" w:fill="000000"/>
                <w:fitText w:val="37" w:id="-628411132"/>
                <w14:textFill>
                  <w14:solidFill>
                    <w14:srgbClr w14:val="000000">
                      <w14:alpha w14:val="100000"/>
                    </w14:srgbClr>
                  </w14:solidFill>
                </w14:textFill>
              </w:rPr>
              <w:t>|</w:t>
            </w:r>
            <w:r w:rsidR="00ED4AC4" w:rsidRPr="005265DE">
              <w:rPr>
                <w:rFonts w:hint="eastAsia"/>
                <w:color w:val="000000"/>
                <w:spacing w:val="-28"/>
                <w:w w:val="15"/>
                <w:szCs w:val="20"/>
                <w:shd w:val="solid" w:color="000000" w:fill="000000"/>
                <w:fitText w:val="37" w:id="-628411132"/>
                <w14:textFill>
                  <w14:solidFill>
                    <w14:srgbClr w14:val="000000">
                      <w14:alpha w14:val="100000"/>
                    </w14:srgbClr>
                  </w14:solidFill>
                </w14:textFill>
              </w:rPr>
              <w:t xml:space="preserve">　</w:t>
            </w:r>
            <w:r>
              <w:rPr>
                <w:szCs w:val="20"/>
                <w:vertAlign w:val="superscript"/>
              </w:rPr>
              <w:t>1</w:t>
            </w:r>
          </w:p>
        </w:tc>
        <w:tc>
          <w:tcPr>
            <w:tcW w:w="544" w:type="pct"/>
          </w:tcPr>
          <w:p w14:paraId="36B8700C" w14:textId="2D5AC224" w:rsidR="008955DA" w:rsidRPr="00B72660" w:rsidRDefault="008955DA" w:rsidP="00621E2F">
            <w:pPr>
              <w:pStyle w:val="TableText0"/>
              <w:jc w:val="center"/>
              <w:rPr>
                <w:szCs w:val="20"/>
                <w:vertAlign w:val="superscript"/>
              </w:rPr>
            </w:pPr>
            <w:r w:rsidRPr="005E3959">
              <w:rPr>
                <w:szCs w:val="20"/>
              </w:rPr>
              <w:t>$</w:t>
            </w:r>
            <w:r w:rsidR="00ED4AC4" w:rsidRPr="00896015">
              <w:rPr>
                <w:color w:val="000000"/>
                <w:spacing w:val="89"/>
                <w:szCs w:val="20"/>
                <w:shd w:val="solid" w:color="000000" w:fill="000000"/>
                <w:fitText w:val="175" w:id="-628411131"/>
                <w14:textFill>
                  <w14:solidFill>
                    <w14:srgbClr w14:val="000000">
                      <w14:alpha w14:val="100000"/>
                    </w14:srgbClr>
                  </w14:solidFill>
                </w14:textFill>
              </w:rPr>
              <w:t>|</w:t>
            </w:r>
            <w:r w:rsidR="00ED4AC4" w:rsidRPr="00896015">
              <w:rPr>
                <w:color w:val="000000"/>
                <w:szCs w:val="20"/>
                <w:shd w:val="solid" w:color="000000" w:fill="000000"/>
                <w:fitText w:val="175" w:id="-628411131"/>
                <w14:textFill>
                  <w14:solidFill>
                    <w14:srgbClr w14:val="000000">
                      <w14:alpha w14:val="100000"/>
                    </w14:srgbClr>
                  </w14:solidFill>
                </w14:textFill>
              </w:rPr>
              <w:t>|</w:t>
            </w:r>
            <w:r>
              <w:rPr>
                <w:szCs w:val="20"/>
                <w:vertAlign w:val="superscript"/>
              </w:rPr>
              <w:t>1</w:t>
            </w:r>
          </w:p>
        </w:tc>
      </w:tr>
      <w:tr w:rsidR="008955DA" w:rsidRPr="008373B3" w14:paraId="25829F64" w14:textId="77777777" w:rsidTr="00621E2F">
        <w:tc>
          <w:tcPr>
            <w:tcW w:w="1334" w:type="pct"/>
            <w:vAlign w:val="center"/>
          </w:tcPr>
          <w:p w14:paraId="4C0C6566" w14:textId="77777777" w:rsidR="008955DA" w:rsidRPr="00707BAA" w:rsidRDefault="008955DA" w:rsidP="00621E2F">
            <w:pPr>
              <w:pStyle w:val="TableText0"/>
              <w:rPr>
                <w:sz w:val="19"/>
                <w:szCs w:val="19"/>
                <w:vertAlign w:val="superscript"/>
              </w:rPr>
            </w:pPr>
            <w:r w:rsidRPr="00707BAA">
              <w:rPr>
                <w:sz w:val="19"/>
                <w:szCs w:val="19"/>
              </w:rPr>
              <w:t>Net cost to PBS and MBS</w:t>
            </w:r>
          </w:p>
        </w:tc>
        <w:tc>
          <w:tcPr>
            <w:tcW w:w="611" w:type="pct"/>
            <w:vAlign w:val="center"/>
          </w:tcPr>
          <w:p w14:paraId="129ADE76" w14:textId="6B7A6B33"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5265DE">
              <w:rPr>
                <w:rFonts w:cstheme="minorHAnsi" w:hint="eastAsia"/>
                <w:bCs w:val="0"/>
                <w:color w:val="000000"/>
                <w:w w:val="25"/>
                <w:szCs w:val="20"/>
                <w:shd w:val="solid" w:color="000000" w:fill="000000"/>
                <w:fitText w:val="113" w:id="-628411130"/>
                <w14:textFill>
                  <w14:solidFill>
                    <w14:srgbClr w14:val="000000">
                      <w14:alpha w14:val="100000"/>
                    </w14:srgbClr>
                  </w14:solidFill>
                </w14:textFill>
              </w:rPr>
              <w:t xml:space="preserve">　</w:t>
            </w:r>
            <w:r w:rsidR="00ED4AC4" w:rsidRPr="005265DE">
              <w:rPr>
                <w:rFonts w:cstheme="minorHAnsi"/>
                <w:bCs w:val="0"/>
                <w:color w:val="000000"/>
                <w:w w:val="25"/>
                <w:szCs w:val="20"/>
                <w:shd w:val="solid" w:color="000000" w:fill="000000"/>
                <w:fitText w:val="113" w:id="-628411130"/>
                <w14:textFill>
                  <w14:solidFill>
                    <w14:srgbClr w14:val="000000">
                      <w14:alpha w14:val="100000"/>
                    </w14:srgbClr>
                  </w14:solidFill>
                </w14:textFill>
              </w:rPr>
              <w:t>|</w:t>
            </w:r>
            <w:r w:rsidR="00ED4AC4" w:rsidRPr="005265DE">
              <w:rPr>
                <w:rFonts w:cstheme="minorHAnsi" w:hint="eastAsia"/>
                <w:bCs w:val="0"/>
                <w:color w:val="000000"/>
                <w:w w:val="25"/>
                <w:szCs w:val="20"/>
                <w:shd w:val="solid" w:color="000000" w:fill="000000"/>
                <w:fitText w:val="113" w:id="-628411130"/>
                <w14:textFill>
                  <w14:solidFill>
                    <w14:srgbClr w14:val="000000">
                      <w14:alpha w14:val="100000"/>
                    </w14:srgbClr>
                  </w14:solidFill>
                </w14:textFill>
              </w:rPr>
              <w:t xml:space="preserve">　</w:t>
            </w:r>
            <w:r>
              <w:rPr>
                <w:rFonts w:cstheme="minorHAnsi"/>
                <w:bCs w:val="0"/>
                <w:szCs w:val="20"/>
                <w:vertAlign w:val="superscript"/>
              </w:rPr>
              <w:t>1</w:t>
            </w:r>
          </w:p>
        </w:tc>
        <w:tc>
          <w:tcPr>
            <w:tcW w:w="611" w:type="pct"/>
            <w:vAlign w:val="center"/>
          </w:tcPr>
          <w:p w14:paraId="5A5517A1" w14:textId="66639D88"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5265DE">
              <w:rPr>
                <w:rFonts w:cstheme="minorHAnsi" w:hint="eastAsia"/>
                <w:bCs w:val="0"/>
                <w:color w:val="000000"/>
                <w:w w:val="25"/>
                <w:szCs w:val="20"/>
                <w:shd w:val="solid" w:color="000000" w:fill="000000"/>
                <w:fitText w:val="113" w:id="-628411129"/>
                <w14:textFill>
                  <w14:solidFill>
                    <w14:srgbClr w14:val="000000">
                      <w14:alpha w14:val="100000"/>
                    </w14:srgbClr>
                  </w14:solidFill>
                </w14:textFill>
              </w:rPr>
              <w:t xml:space="preserve">　</w:t>
            </w:r>
            <w:r w:rsidR="00ED4AC4" w:rsidRPr="005265DE">
              <w:rPr>
                <w:rFonts w:cstheme="minorHAnsi"/>
                <w:bCs w:val="0"/>
                <w:color w:val="000000"/>
                <w:w w:val="25"/>
                <w:szCs w:val="20"/>
                <w:shd w:val="solid" w:color="000000" w:fill="000000"/>
                <w:fitText w:val="113" w:id="-628411129"/>
                <w14:textFill>
                  <w14:solidFill>
                    <w14:srgbClr w14:val="000000">
                      <w14:alpha w14:val="100000"/>
                    </w14:srgbClr>
                  </w14:solidFill>
                </w14:textFill>
              </w:rPr>
              <w:t>|</w:t>
            </w:r>
            <w:r w:rsidR="00ED4AC4" w:rsidRPr="005265DE">
              <w:rPr>
                <w:rFonts w:cstheme="minorHAnsi" w:hint="eastAsia"/>
                <w:bCs w:val="0"/>
                <w:color w:val="000000"/>
                <w:w w:val="25"/>
                <w:szCs w:val="20"/>
                <w:shd w:val="solid" w:color="000000" w:fill="000000"/>
                <w:fitText w:val="113" w:id="-628411129"/>
                <w14:textFill>
                  <w14:solidFill>
                    <w14:srgbClr w14:val="000000">
                      <w14:alpha w14:val="100000"/>
                    </w14:srgbClr>
                  </w14:solidFill>
                </w14:textFill>
              </w:rPr>
              <w:t xml:space="preserve">　</w:t>
            </w:r>
            <w:r>
              <w:rPr>
                <w:rFonts w:cstheme="minorHAnsi"/>
                <w:bCs w:val="0"/>
                <w:szCs w:val="20"/>
                <w:vertAlign w:val="superscript"/>
              </w:rPr>
              <w:t>1</w:t>
            </w:r>
          </w:p>
        </w:tc>
        <w:tc>
          <w:tcPr>
            <w:tcW w:w="611" w:type="pct"/>
            <w:vAlign w:val="center"/>
          </w:tcPr>
          <w:p w14:paraId="0D784F43" w14:textId="1CD89791"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5265DE">
              <w:rPr>
                <w:rFonts w:cstheme="minorHAnsi" w:hint="eastAsia"/>
                <w:bCs w:val="0"/>
                <w:color w:val="000000"/>
                <w:w w:val="25"/>
                <w:szCs w:val="20"/>
                <w:shd w:val="solid" w:color="000000" w:fill="000000"/>
                <w:fitText w:val="113" w:id="-628411128"/>
                <w14:textFill>
                  <w14:solidFill>
                    <w14:srgbClr w14:val="000000">
                      <w14:alpha w14:val="100000"/>
                    </w14:srgbClr>
                  </w14:solidFill>
                </w14:textFill>
              </w:rPr>
              <w:t xml:space="preserve">　</w:t>
            </w:r>
            <w:r w:rsidR="00ED4AC4" w:rsidRPr="005265DE">
              <w:rPr>
                <w:rFonts w:cstheme="minorHAnsi"/>
                <w:bCs w:val="0"/>
                <w:color w:val="000000"/>
                <w:w w:val="25"/>
                <w:szCs w:val="20"/>
                <w:shd w:val="solid" w:color="000000" w:fill="000000"/>
                <w:fitText w:val="113" w:id="-628411128"/>
                <w14:textFill>
                  <w14:solidFill>
                    <w14:srgbClr w14:val="000000">
                      <w14:alpha w14:val="100000"/>
                    </w14:srgbClr>
                  </w14:solidFill>
                </w14:textFill>
              </w:rPr>
              <w:t>|</w:t>
            </w:r>
            <w:r w:rsidR="00ED4AC4" w:rsidRPr="005265DE">
              <w:rPr>
                <w:rFonts w:cstheme="minorHAnsi" w:hint="eastAsia"/>
                <w:bCs w:val="0"/>
                <w:color w:val="000000"/>
                <w:w w:val="25"/>
                <w:szCs w:val="20"/>
                <w:shd w:val="solid" w:color="000000" w:fill="000000"/>
                <w:fitText w:val="113" w:id="-628411128"/>
                <w14:textFill>
                  <w14:solidFill>
                    <w14:srgbClr w14:val="000000">
                      <w14:alpha w14:val="100000"/>
                    </w14:srgbClr>
                  </w14:solidFill>
                </w14:textFill>
              </w:rPr>
              <w:t xml:space="preserve">　</w:t>
            </w:r>
            <w:r>
              <w:rPr>
                <w:rFonts w:cstheme="minorHAnsi"/>
                <w:bCs w:val="0"/>
                <w:szCs w:val="20"/>
                <w:vertAlign w:val="superscript"/>
              </w:rPr>
              <w:t>1</w:t>
            </w:r>
          </w:p>
        </w:tc>
        <w:tc>
          <w:tcPr>
            <w:tcW w:w="611" w:type="pct"/>
            <w:vAlign w:val="center"/>
          </w:tcPr>
          <w:p w14:paraId="5B8573A9" w14:textId="2C07BAC9"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5265DE">
              <w:rPr>
                <w:rFonts w:cstheme="minorHAnsi" w:hint="eastAsia"/>
                <w:bCs w:val="0"/>
                <w:color w:val="000000"/>
                <w:w w:val="25"/>
                <w:szCs w:val="20"/>
                <w:shd w:val="solid" w:color="000000" w:fill="000000"/>
                <w:fitText w:val="113" w:id="-628411127"/>
                <w14:textFill>
                  <w14:solidFill>
                    <w14:srgbClr w14:val="000000">
                      <w14:alpha w14:val="100000"/>
                    </w14:srgbClr>
                  </w14:solidFill>
                </w14:textFill>
              </w:rPr>
              <w:t xml:space="preserve">　</w:t>
            </w:r>
            <w:r w:rsidR="00ED4AC4" w:rsidRPr="005265DE">
              <w:rPr>
                <w:rFonts w:cstheme="minorHAnsi"/>
                <w:bCs w:val="0"/>
                <w:color w:val="000000"/>
                <w:w w:val="25"/>
                <w:szCs w:val="20"/>
                <w:shd w:val="solid" w:color="000000" w:fill="000000"/>
                <w:fitText w:val="113" w:id="-628411127"/>
                <w14:textFill>
                  <w14:solidFill>
                    <w14:srgbClr w14:val="000000">
                      <w14:alpha w14:val="100000"/>
                    </w14:srgbClr>
                  </w14:solidFill>
                </w14:textFill>
              </w:rPr>
              <w:t>|</w:t>
            </w:r>
            <w:r w:rsidR="00ED4AC4" w:rsidRPr="005265DE">
              <w:rPr>
                <w:rFonts w:cstheme="minorHAnsi" w:hint="eastAsia"/>
                <w:bCs w:val="0"/>
                <w:color w:val="000000"/>
                <w:w w:val="25"/>
                <w:szCs w:val="20"/>
                <w:shd w:val="solid" w:color="000000" w:fill="000000"/>
                <w:fitText w:val="113" w:id="-628411127"/>
                <w14:textFill>
                  <w14:solidFill>
                    <w14:srgbClr w14:val="000000">
                      <w14:alpha w14:val="100000"/>
                    </w14:srgbClr>
                  </w14:solidFill>
                </w14:textFill>
              </w:rPr>
              <w:t xml:space="preserve">　</w:t>
            </w:r>
            <w:r>
              <w:rPr>
                <w:rFonts w:cstheme="minorHAnsi"/>
                <w:bCs w:val="0"/>
                <w:szCs w:val="20"/>
                <w:vertAlign w:val="superscript"/>
              </w:rPr>
              <w:t>1</w:t>
            </w:r>
          </w:p>
        </w:tc>
        <w:tc>
          <w:tcPr>
            <w:tcW w:w="678" w:type="pct"/>
            <w:vAlign w:val="center"/>
          </w:tcPr>
          <w:p w14:paraId="29B30EAF" w14:textId="367181C2"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5265DE">
              <w:rPr>
                <w:rFonts w:cstheme="minorHAnsi" w:hint="eastAsia"/>
                <w:bCs w:val="0"/>
                <w:color w:val="000000"/>
                <w:w w:val="15"/>
                <w:szCs w:val="20"/>
                <w:shd w:val="solid" w:color="000000" w:fill="000000"/>
                <w:fitText w:val="37" w:id="-628411126"/>
                <w14:textFill>
                  <w14:solidFill>
                    <w14:srgbClr w14:val="000000">
                      <w14:alpha w14:val="100000"/>
                    </w14:srgbClr>
                  </w14:solidFill>
                </w14:textFill>
              </w:rPr>
              <w:t xml:space="preserve">　</w:t>
            </w:r>
            <w:r w:rsidR="00ED4AC4" w:rsidRPr="005265DE">
              <w:rPr>
                <w:rFonts w:cstheme="minorHAnsi"/>
                <w:bCs w:val="0"/>
                <w:color w:val="000000"/>
                <w:w w:val="15"/>
                <w:szCs w:val="20"/>
                <w:shd w:val="solid" w:color="000000" w:fill="000000"/>
                <w:fitText w:val="37" w:id="-628411126"/>
                <w14:textFill>
                  <w14:solidFill>
                    <w14:srgbClr w14:val="000000">
                      <w14:alpha w14:val="100000"/>
                    </w14:srgbClr>
                  </w14:solidFill>
                </w14:textFill>
              </w:rPr>
              <w:t>|</w:t>
            </w:r>
            <w:r w:rsidR="00ED4AC4" w:rsidRPr="005265DE">
              <w:rPr>
                <w:rFonts w:cstheme="minorHAnsi" w:hint="eastAsia"/>
                <w:bCs w:val="0"/>
                <w:color w:val="000000"/>
                <w:spacing w:val="-28"/>
                <w:w w:val="15"/>
                <w:szCs w:val="20"/>
                <w:shd w:val="solid" w:color="000000" w:fill="000000"/>
                <w:fitText w:val="37" w:id="-628411126"/>
                <w14:textFill>
                  <w14:solidFill>
                    <w14:srgbClr w14:val="000000">
                      <w14:alpha w14:val="100000"/>
                    </w14:srgbClr>
                  </w14:solidFill>
                </w14:textFill>
              </w:rPr>
              <w:t xml:space="preserve">　</w:t>
            </w:r>
            <w:r>
              <w:rPr>
                <w:rFonts w:cstheme="minorHAnsi"/>
                <w:bCs w:val="0"/>
                <w:szCs w:val="20"/>
                <w:vertAlign w:val="superscript"/>
              </w:rPr>
              <w:t>1</w:t>
            </w:r>
          </w:p>
        </w:tc>
        <w:tc>
          <w:tcPr>
            <w:tcW w:w="544" w:type="pct"/>
            <w:vAlign w:val="center"/>
          </w:tcPr>
          <w:p w14:paraId="554725D1" w14:textId="4B8FD240" w:rsidR="008955DA" w:rsidRPr="00B72660" w:rsidRDefault="008955DA" w:rsidP="00621E2F">
            <w:pPr>
              <w:pStyle w:val="TableText0"/>
              <w:jc w:val="center"/>
              <w:rPr>
                <w:bCs w:val="0"/>
                <w:szCs w:val="20"/>
                <w:vertAlign w:val="superscript"/>
              </w:rPr>
            </w:pPr>
            <w:r w:rsidRPr="005E3959">
              <w:rPr>
                <w:rFonts w:cstheme="minorHAnsi"/>
                <w:bCs w:val="0"/>
                <w:szCs w:val="20"/>
              </w:rPr>
              <w:t>$</w:t>
            </w:r>
            <w:r w:rsidR="00ED4AC4" w:rsidRPr="00896015">
              <w:rPr>
                <w:rFonts w:cstheme="minorHAnsi"/>
                <w:color w:val="000000"/>
                <w:spacing w:val="89"/>
                <w:szCs w:val="20"/>
                <w:shd w:val="solid" w:color="000000" w:fill="000000"/>
                <w:fitText w:val="175" w:id="-628411125"/>
                <w14:textFill>
                  <w14:solidFill>
                    <w14:srgbClr w14:val="000000">
                      <w14:alpha w14:val="100000"/>
                    </w14:srgbClr>
                  </w14:solidFill>
                </w14:textFill>
              </w:rPr>
              <w:t>|</w:t>
            </w:r>
            <w:r w:rsidR="00ED4AC4" w:rsidRPr="00896015">
              <w:rPr>
                <w:rFonts w:cstheme="minorHAnsi"/>
                <w:color w:val="000000"/>
                <w:szCs w:val="20"/>
                <w:shd w:val="solid" w:color="000000" w:fill="000000"/>
                <w:fitText w:val="175" w:id="-628411125"/>
                <w14:textFill>
                  <w14:solidFill>
                    <w14:srgbClr w14:val="000000">
                      <w14:alpha w14:val="100000"/>
                    </w14:srgbClr>
                  </w14:solidFill>
                </w14:textFill>
              </w:rPr>
              <w:t>|</w:t>
            </w:r>
            <w:r>
              <w:rPr>
                <w:rFonts w:cstheme="minorHAnsi"/>
                <w:bCs w:val="0"/>
                <w:szCs w:val="20"/>
                <w:vertAlign w:val="superscript"/>
              </w:rPr>
              <w:t>1</w:t>
            </w:r>
          </w:p>
        </w:tc>
      </w:tr>
    </w:tbl>
    <w:p w14:paraId="1F29785A" w14:textId="77777777" w:rsidR="008955DA" w:rsidRDefault="008955DA" w:rsidP="008955DA">
      <w:pPr>
        <w:pStyle w:val="FooterTableFigure"/>
      </w:pPr>
      <w:r w:rsidRPr="0022089A">
        <w:t xml:space="preserve">Source: Table 4.4-1, p202 </w:t>
      </w:r>
      <w:r>
        <w:t xml:space="preserve">and Table 4.5-3, p204 </w:t>
      </w:r>
      <w:r w:rsidRPr="0022089A">
        <w:t>of the submission</w:t>
      </w:r>
    </w:p>
    <w:p w14:paraId="14FAD0F1" w14:textId="77777777" w:rsidR="008955DA" w:rsidRDefault="008955DA" w:rsidP="008955DA">
      <w:pPr>
        <w:pStyle w:val="FooterTableFigure"/>
      </w:pPr>
      <w:r>
        <w:t>MBS = Medicare Benefits Schedule; PBS = Pharmaceutical Benefits Scheme</w:t>
      </w:r>
    </w:p>
    <w:p w14:paraId="752E6286" w14:textId="77777777" w:rsidR="008955DA" w:rsidRPr="00B72660" w:rsidRDefault="008955DA" w:rsidP="008955DA">
      <w:pPr>
        <w:pStyle w:val="FooterTableFigure"/>
        <w:rPr>
          <w:i/>
          <w:iCs/>
        </w:rPr>
      </w:pPr>
      <w:r w:rsidRPr="00B72660">
        <w:rPr>
          <w:i/>
          <w:iCs/>
        </w:rPr>
        <w:t>The redacted values correspond to the following ranges:</w:t>
      </w:r>
    </w:p>
    <w:p w14:paraId="0F8698A2" w14:textId="77777777" w:rsidR="008955DA" w:rsidRPr="00B72660" w:rsidRDefault="008955DA" w:rsidP="008955DA">
      <w:pPr>
        <w:pStyle w:val="FooterTableFigure"/>
        <w:rPr>
          <w:i/>
          <w:iCs/>
        </w:rPr>
      </w:pPr>
      <w:r w:rsidRPr="00B72660">
        <w:rPr>
          <w:i/>
          <w:iCs/>
        </w:rPr>
        <w:t>1 $0 to &lt; $10 million</w:t>
      </w:r>
    </w:p>
    <w:p w14:paraId="66287920" w14:textId="77777777" w:rsidR="008955DA" w:rsidRPr="00B72660" w:rsidRDefault="008955DA" w:rsidP="004E36D3">
      <w:pPr>
        <w:pStyle w:val="FooterTableFigure"/>
        <w:rPr>
          <w:i/>
          <w:iCs/>
        </w:rPr>
      </w:pPr>
    </w:p>
    <w:p w14:paraId="52157E90" w14:textId="14016BEA" w:rsidR="00B63644" w:rsidRPr="00886D8A" w:rsidRDefault="00B63644" w:rsidP="004E36D3">
      <w:pPr>
        <w:pStyle w:val="3-BodyText"/>
      </w:pPr>
      <w:r w:rsidRPr="00886D8A">
        <w:t xml:space="preserve">The total cost to the PBS of listing </w:t>
      </w:r>
      <w:r w:rsidR="00A11CFB" w:rsidRPr="00886D8A">
        <w:t xml:space="preserve">velmanase alfa </w:t>
      </w:r>
      <w:r w:rsidRPr="00886D8A">
        <w:t xml:space="preserve">was estimated to be </w:t>
      </w:r>
      <w:r w:rsidR="0031743B" w:rsidRPr="0031743B">
        <w:t>$0 to &lt; $10 million</w:t>
      </w:r>
      <w:r w:rsidRPr="00886D8A">
        <w:t xml:space="preserve"> in Year 6, and a total of </w:t>
      </w:r>
      <w:r w:rsidR="004122A2" w:rsidRPr="004122A2">
        <w:t>$30 million to &lt; $40 million</w:t>
      </w:r>
      <w:r w:rsidRPr="00886D8A">
        <w:t xml:space="preserve"> in the first 6 years of listing</w:t>
      </w:r>
      <w:r w:rsidRPr="00886D8A">
        <w:rPr>
          <w:color w:val="3366FF"/>
        </w:rPr>
        <w:t>.</w:t>
      </w:r>
    </w:p>
    <w:p w14:paraId="45C79A97" w14:textId="12793E8A" w:rsidR="00FD55EC" w:rsidRPr="00886D8A" w:rsidRDefault="00FB18CB" w:rsidP="004E36D3">
      <w:pPr>
        <w:pStyle w:val="3-BodyText"/>
      </w:pPr>
      <w:r w:rsidRPr="00886D8A">
        <w:t xml:space="preserve">The main sources of uncertainty relating to the estimated use of </w:t>
      </w:r>
      <w:r w:rsidR="009A2FAC" w:rsidRPr="00886D8A">
        <w:t>velmanase</w:t>
      </w:r>
      <w:r w:rsidRPr="00886D8A">
        <w:t xml:space="preserve"> alfa were:</w:t>
      </w:r>
    </w:p>
    <w:p w14:paraId="53990A2F" w14:textId="17252FD6" w:rsidR="00291B27" w:rsidRPr="00886D8A" w:rsidRDefault="00076327" w:rsidP="004E36D3">
      <w:pPr>
        <w:pStyle w:val="ListParagraph"/>
        <w:ind w:left="1080"/>
      </w:pPr>
      <w:r w:rsidRPr="00886D8A">
        <w:t xml:space="preserve">The number of prevalent patients in Australia was uncertain. </w:t>
      </w:r>
      <w:r w:rsidR="009D7541" w:rsidRPr="00886D8A">
        <w:t xml:space="preserve">Using UK data from NICE HST29, which reported 25 AM cases in England, and assuming similar prevalence while adjusting for population size (England ~57.1M; Australia ~27.6M in 2024), the submission estimated </w:t>
      </w:r>
      <w:r w:rsidR="00A70FCC" w:rsidRPr="00A70FCC">
        <w:t>&lt; 500</w:t>
      </w:r>
      <w:r w:rsidR="009D7541" w:rsidRPr="00886D8A">
        <w:t xml:space="preserve"> prevalent AM patients in Australia for</w:t>
      </w:r>
      <w:r w:rsidR="00A70FCC">
        <w:t xml:space="preserve"> </w:t>
      </w:r>
      <w:r w:rsidR="009D7541" w:rsidRPr="00886D8A">
        <w:t>Year 1.</w:t>
      </w:r>
      <w:r w:rsidR="00250740" w:rsidRPr="00886D8A">
        <w:t xml:space="preserve"> Chin and Fuller (2022) reported a prevalence of AM of 0.08 per 100,000 in Australia, corresponding to 22 prevalent cases in Year 1. </w:t>
      </w:r>
      <w:r w:rsidR="00F8132F" w:rsidRPr="00886D8A">
        <w:t>However, this prevalent population may include patients eligible for HSCT, though the exact number remains uncertain.</w:t>
      </w:r>
      <w:r w:rsidR="006375DF" w:rsidRPr="00886D8A">
        <w:t xml:space="preserve"> The Sub</w:t>
      </w:r>
      <w:r w:rsidR="0011024A">
        <w:noBreakHyphen/>
      </w:r>
      <w:r w:rsidR="006375DF" w:rsidRPr="00886D8A">
        <w:t xml:space="preserve">Committee’s noted that </w:t>
      </w:r>
      <w:r w:rsidR="00EA2081" w:rsidRPr="00886D8A">
        <w:t xml:space="preserve">there are currently </w:t>
      </w:r>
      <w:r w:rsidR="00A961C7" w:rsidRPr="00A961C7">
        <w:t>&lt; 500</w:t>
      </w:r>
      <w:r w:rsidR="00EA2081" w:rsidRPr="00886D8A">
        <w:t xml:space="preserve"> patients in Australia with AM, and considered, based on</w:t>
      </w:r>
      <w:r w:rsidR="00BC22F7" w:rsidRPr="00886D8A">
        <w:t xml:space="preserve"> clinician advice, that </w:t>
      </w:r>
      <w:r w:rsidR="00A7196A" w:rsidRPr="00A7196A">
        <w:t>&lt; 500</w:t>
      </w:r>
      <w:r w:rsidR="003F276F" w:rsidRPr="00886D8A">
        <w:t xml:space="preserve"> to </w:t>
      </w:r>
      <w:r w:rsidR="00A7196A" w:rsidRPr="00A7196A">
        <w:t>&lt; 500</w:t>
      </w:r>
      <w:r w:rsidR="003F276F" w:rsidRPr="00886D8A">
        <w:t xml:space="preserve"> would be eligible for treatment with velmanase alfa.</w:t>
      </w:r>
      <w:r w:rsidR="005749F7" w:rsidRPr="00886D8A">
        <w:t xml:space="preserve"> The Sub</w:t>
      </w:r>
      <w:r w:rsidR="0011024A">
        <w:noBreakHyphen/>
      </w:r>
      <w:r w:rsidR="005749F7" w:rsidRPr="00886D8A">
        <w:t xml:space="preserve">Committee’s considered that the number of incident patients, i.e. </w:t>
      </w:r>
      <w:r w:rsidR="00B82929">
        <w:t>&lt;500</w:t>
      </w:r>
      <w:r w:rsidR="00B82929" w:rsidRPr="00886D8A">
        <w:t xml:space="preserve"> </w:t>
      </w:r>
      <w:r w:rsidR="005749F7" w:rsidRPr="00886D8A">
        <w:t>every 3 to 4 years, was reasonable.</w:t>
      </w:r>
    </w:p>
    <w:p w14:paraId="5289E8B9" w14:textId="6E4F1BEC" w:rsidR="009244A6" w:rsidRPr="00886D8A" w:rsidRDefault="008A68C6" w:rsidP="004E36D3">
      <w:pPr>
        <w:pStyle w:val="ListParagraph"/>
        <w:ind w:left="1080"/>
      </w:pPr>
      <w:r w:rsidRPr="00886D8A">
        <w:t>The drug cost per patient varies significantly with body weight and age. As more patients begin treatment and existing patients grow older, the average cost per patient is expected to increase due to weight gain over time.</w:t>
      </w:r>
      <w:r w:rsidR="00BC537A" w:rsidRPr="00886D8A">
        <w:t xml:space="preserve"> </w:t>
      </w:r>
    </w:p>
    <w:p w14:paraId="787714B9" w14:textId="08A8D812" w:rsidR="00291B27" w:rsidRPr="00886D8A" w:rsidRDefault="00B63644" w:rsidP="004E36D3">
      <w:pPr>
        <w:pStyle w:val="3-BodyText"/>
      </w:pPr>
      <w:r w:rsidRPr="00886D8A">
        <w:t>Sensitivity analyses of the financial estimates were presented in the submission, as summarised in</w:t>
      </w:r>
      <w:r w:rsidR="00050BE6" w:rsidRPr="00886D8A">
        <w:t xml:space="preserve"> Table </w:t>
      </w:r>
      <w:r w:rsidR="00AF6160" w:rsidRPr="00886D8A">
        <w:t>2</w:t>
      </w:r>
      <w:r w:rsidR="009C3C99">
        <w:t>1</w:t>
      </w:r>
      <w:r w:rsidRPr="00886D8A">
        <w:t>.</w:t>
      </w:r>
      <w:r w:rsidR="009B2183" w:rsidRPr="00886D8A">
        <w:t xml:space="preserve"> </w:t>
      </w:r>
    </w:p>
    <w:p w14:paraId="2950EBCE" w14:textId="78BB025C" w:rsidR="00B63644" w:rsidRPr="00886D8A" w:rsidRDefault="00B63644" w:rsidP="004E36D3">
      <w:pPr>
        <w:pStyle w:val="Caption"/>
      </w:pPr>
      <w:bookmarkStart w:id="112" w:name="_Ref196639593"/>
      <w:r w:rsidRPr="00886D8A">
        <w:t xml:space="preserve">Table </w:t>
      </w:r>
      <w:r w:rsidR="007E5D06" w:rsidRPr="00886D8A">
        <w:fldChar w:fldCharType="begin"/>
      </w:r>
      <w:r w:rsidR="007E5D06" w:rsidRPr="00886D8A">
        <w:instrText xml:space="preserve"> SEQ Table \* ARABIC </w:instrText>
      </w:r>
      <w:r w:rsidR="007E5D06" w:rsidRPr="00886D8A">
        <w:fldChar w:fldCharType="separate"/>
      </w:r>
      <w:r w:rsidR="00B73A9E">
        <w:rPr>
          <w:noProof/>
        </w:rPr>
        <w:t>21</w:t>
      </w:r>
      <w:r w:rsidR="007E5D06" w:rsidRPr="00886D8A">
        <w:fldChar w:fldCharType="end"/>
      </w:r>
      <w:bookmarkEnd w:id="112"/>
      <w:r w:rsidRPr="00886D8A">
        <w:t xml:space="preserve">: Sensitivity analysis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Sensitivity analysis "/>
      </w:tblPr>
      <w:tblGrid>
        <w:gridCol w:w="1938"/>
        <w:gridCol w:w="1011"/>
        <w:gridCol w:w="1012"/>
        <w:gridCol w:w="1012"/>
        <w:gridCol w:w="1012"/>
        <w:gridCol w:w="1012"/>
        <w:gridCol w:w="1012"/>
        <w:gridCol w:w="1008"/>
      </w:tblGrid>
      <w:tr w:rsidR="00B63644" w:rsidRPr="00886D8A" w14:paraId="0238640B" w14:textId="7E264F7E" w:rsidTr="00DC0A83">
        <w:trPr>
          <w:tblHeader/>
        </w:trPr>
        <w:tc>
          <w:tcPr>
            <w:tcW w:w="1075" w:type="pct"/>
            <w:vAlign w:val="center"/>
          </w:tcPr>
          <w:p w14:paraId="2073070B" w14:textId="77777777" w:rsidR="00B63644" w:rsidRPr="00886D8A" w:rsidRDefault="00B63644" w:rsidP="004E36D3">
            <w:pPr>
              <w:pStyle w:val="In-tableHeading"/>
              <w:rPr>
                <w:lang w:val="en-AU"/>
              </w:rPr>
            </w:pPr>
            <w:r w:rsidRPr="00886D8A">
              <w:rPr>
                <w:lang w:val="en-AU"/>
              </w:rPr>
              <w:t>Net cost to PBS</w:t>
            </w:r>
          </w:p>
        </w:tc>
        <w:tc>
          <w:tcPr>
            <w:tcW w:w="561" w:type="pct"/>
            <w:vAlign w:val="center"/>
          </w:tcPr>
          <w:p w14:paraId="77E1F63A" w14:textId="77777777" w:rsidR="00B63644" w:rsidRPr="00886D8A" w:rsidRDefault="00B63644" w:rsidP="004E36D3">
            <w:pPr>
              <w:pStyle w:val="In-tableHeading"/>
              <w:jc w:val="center"/>
              <w:rPr>
                <w:lang w:val="en-AU"/>
              </w:rPr>
            </w:pPr>
            <w:r w:rsidRPr="00886D8A">
              <w:rPr>
                <w:lang w:val="en-AU"/>
              </w:rPr>
              <w:t>Year 1</w:t>
            </w:r>
          </w:p>
        </w:tc>
        <w:tc>
          <w:tcPr>
            <w:tcW w:w="561" w:type="pct"/>
            <w:vAlign w:val="center"/>
          </w:tcPr>
          <w:p w14:paraId="32B008FB" w14:textId="77777777" w:rsidR="00B63644" w:rsidRPr="00886D8A" w:rsidRDefault="00B63644" w:rsidP="004E36D3">
            <w:pPr>
              <w:pStyle w:val="In-tableHeading"/>
              <w:jc w:val="center"/>
              <w:rPr>
                <w:lang w:val="en-AU"/>
              </w:rPr>
            </w:pPr>
            <w:r w:rsidRPr="00886D8A">
              <w:rPr>
                <w:lang w:val="en-AU"/>
              </w:rPr>
              <w:t>Year 2</w:t>
            </w:r>
          </w:p>
        </w:tc>
        <w:tc>
          <w:tcPr>
            <w:tcW w:w="561" w:type="pct"/>
            <w:vAlign w:val="center"/>
          </w:tcPr>
          <w:p w14:paraId="26554D0B" w14:textId="77777777" w:rsidR="00B63644" w:rsidRPr="00886D8A" w:rsidRDefault="00B63644" w:rsidP="004E36D3">
            <w:pPr>
              <w:pStyle w:val="In-tableHeading"/>
              <w:jc w:val="center"/>
              <w:rPr>
                <w:lang w:val="en-AU"/>
              </w:rPr>
            </w:pPr>
            <w:r w:rsidRPr="00886D8A">
              <w:rPr>
                <w:lang w:val="en-AU"/>
              </w:rPr>
              <w:t>Year 3</w:t>
            </w:r>
          </w:p>
        </w:tc>
        <w:tc>
          <w:tcPr>
            <w:tcW w:w="561" w:type="pct"/>
            <w:vAlign w:val="center"/>
          </w:tcPr>
          <w:p w14:paraId="317959E4" w14:textId="77777777" w:rsidR="00B63644" w:rsidRPr="00886D8A" w:rsidRDefault="00B63644" w:rsidP="004E36D3">
            <w:pPr>
              <w:pStyle w:val="In-tableHeading"/>
              <w:jc w:val="center"/>
              <w:rPr>
                <w:lang w:val="en-AU"/>
              </w:rPr>
            </w:pPr>
            <w:r w:rsidRPr="00886D8A">
              <w:rPr>
                <w:lang w:val="en-AU"/>
              </w:rPr>
              <w:t>Year 4</w:t>
            </w:r>
          </w:p>
        </w:tc>
        <w:tc>
          <w:tcPr>
            <w:tcW w:w="561" w:type="pct"/>
            <w:vAlign w:val="center"/>
          </w:tcPr>
          <w:p w14:paraId="177A50D4" w14:textId="77777777" w:rsidR="00B63644" w:rsidRPr="00886D8A" w:rsidRDefault="00B63644" w:rsidP="004E36D3">
            <w:pPr>
              <w:pStyle w:val="In-tableHeading"/>
              <w:jc w:val="center"/>
              <w:rPr>
                <w:lang w:val="en-AU"/>
              </w:rPr>
            </w:pPr>
            <w:r w:rsidRPr="00886D8A">
              <w:rPr>
                <w:lang w:val="en-AU"/>
              </w:rPr>
              <w:t>Year 5</w:t>
            </w:r>
          </w:p>
        </w:tc>
        <w:tc>
          <w:tcPr>
            <w:tcW w:w="561" w:type="pct"/>
            <w:vAlign w:val="center"/>
          </w:tcPr>
          <w:p w14:paraId="4A7B960E" w14:textId="4E4A2820" w:rsidR="00B63644" w:rsidRPr="00886D8A" w:rsidRDefault="00B63644" w:rsidP="004E36D3">
            <w:pPr>
              <w:pStyle w:val="In-tableHeading"/>
              <w:jc w:val="center"/>
              <w:rPr>
                <w:lang w:val="en-AU"/>
              </w:rPr>
            </w:pPr>
            <w:r w:rsidRPr="00886D8A">
              <w:rPr>
                <w:lang w:val="en-AU"/>
              </w:rPr>
              <w:t>Year 6</w:t>
            </w:r>
          </w:p>
        </w:tc>
        <w:tc>
          <w:tcPr>
            <w:tcW w:w="561" w:type="pct"/>
          </w:tcPr>
          <w:p w14:paraId="4DC58D5A" w14:textId="044C2107" w:rsidR="00DC0A83" w:rsidRPr="00886D8A" w:rsidRDefault="000D7D23" w:rsidP="004E36D3">
            <w:pPr>
              <w:pStyle w:val="In-tableHeading"/>
              <w:jc w:val="center"/>
              <w:rPr>
                <w:lang w:val="en-AU"/>
              </w:rPr>
            </w:pPr>
            <w:r w:rsidRPr="00886D8A">
              <w:rPr>
                <w:lang w:val="en-AU"/>
              </w:rPr>
              <w:t>% c</w:t>
            </w:r>
            <w:r w:rsidR="00AB5070" w:rsidRPr="00886D8A">
              <w:rPr>
                <w:lang w:val="en-AU"/>
              </w:rPr>
              <w:t xml:space="preserve">hanges </w:t>
            </w:r>
            <w:r w:rsidR="00442800" w:rsidRPr="00886D8A">
              <w:rPr>
                <w:lang w:val="en-AU"/>
              </w:rPr>
              <w:t xml:space="preserve">in total cost </w:t>
            </w:r>
            <w:r w:rsidR="00AB5070" w:rsidRPr="00886D8A">
              <w:rPr>
                <w:lang w:val="en-AU"/>
              </w:rPr>
              <w:t>over 6 years</w:t>
            </w:r>
            <w:r w:rsidR="00442800" w:rsidRPr="00886D8A">
              <w:rPr>
                <w:lang w:val="en-AU"/>
              </w:rPr>
              <w:t xml:space="preserve"> from </w:t>
            </w:r>
            <w:r w:rsidR="00233CCF" w:rsidRPr="00886D8A">
              <w:rPr>
                <w:lang w:val="en-AU"/>
              </w:rPr>
              <w:t>base case</w:t>
            </w:r>
          </w:p>
        </w:tc>
      </w:tr>
      <w:tr w:rsidR="00B63644" w:rsidRPr="00886D8A" w14:paraId="64BF0525" w14:textId="4B4A55E0" w:rsidTr="00DC0A83">
        <w:trPr>
          <w:tblHeader/>
        </w:trPr>
        <w:tc>
          <w:tcPr>
            <w:tcW w:w="1075" w:type="pct"/>
            <w:vAlign w:val="center"/>
          </w:tcPr>
          <w:p w14:paraId="48629C03" w14:textId="77777777" w:rsidR="00B63644" w:rsidRPr="00886D8A" w:rsidRDefault="00B63644" w:rsidP="004E36D3">
            <w:pPr>
              <w:pStyle w:val="In-tableHeading"/>
              <w:rPr>
                <w:lang w:val="en-AU"/>
              </w:rPr>
            </w:pPr>
            <w:r w:rsidRPr="00886D8A">
              <w:rPr>
                <w:lang w:val="en-AU"/>
              </w:rPr>
              <w:t>Base case</w:t>
            </w:r>
            <w:r w:rsidRPr="00886D8A">
              <w:rPr>
                <w:vertAlign w:val="superscript"/>
                <w:lang w:val="en-AU"/>
              </w:rPr>
              <w:t xml:space="preserve"> </w:t>
            </w:r>
          </w:p>
        </w:tc>
        <w:tc>
          <w:tcPr>
            <w:tcW w:w="561" w:type="pct"/>
            <w:vAlign w:val="center"/>
          </w:tcPr>
          <w:p w14:paraId="0A080AC5" w14:textId="3E3E023B" w:rsidR="00B63644" w:rsidRPr="008D4C41" w:rsidRDefault="00ED4AC4" w:rsidP="004E36D3">
            <w:pPr>
              <w:pStyle w:val="In-tableHeading"/>
              <w:jc w:val="center"/>
              <w:rPr>
                <w:highlight w:val="darkGray"/>
                <w:lang w:val="en-AU"/>
              </w:rPr>
            </w:pPr>
            <w:r w:rsidRPr="00896015">
              <w:rPr>
                <w:rFonts w:eastAsia="Times New Roman" w:cstheme="minorHAnsi"/>
                <w:color w:val="000000"/>
                <w:spacing w:val="59"/>
                <w:szCs w:val="20"/>
                <w:shd w:val="solid" w:color="000000" w:fill="000000"/>
                <w:fitText w:val="151" w:id="-628411124"/>
                <w:lang w:val="en-AU"/>
                <w14:textFill>
                  <w14:solidFill>
                    <w14:srgbClr w14:val="000000">
                      <w14:alpha w14:val="100000"/>
                    </w14:srgbClr>
                  </w14:solidFill>
                </w14:textFill>
              </w:rPr>
              <w:t>|</w:t>
            </w:r>
            <w:r w:rsidRPr="00896015">
              <w:rPr>
                <w:rFonts w:eastAsia="Times New Roman" w:cstheme="minorHAnsi"/>
                <w:color w:val="000000"/>
                <w:szCs w:val="20"/>
                <w:shd w:val="solid" w:color="000000" w:fill="000000"/>
                <w:fitText w:val="151" w:id="-628411124"/>
                <w:lang w:val="en-AU"/>
                <w14:textFill>
                  <w14:solidFill>
                    <w14:srgbClr w14:val="000000">
                      <w14:alpha w14:val="100000"/>
                    </w14:srgbClr>
                  </w14:solidFill>
                </w14:textFill>
              </w:rPr>
              <w:t>|</w:t>
            </w:r>
            <w:r w:rsidR="00307591" w:rsidRPr="00307591">
              <w:rPr>
                <w:rFonts w:eastAsia="Times New Roman" w:cstheme="minorHAnsi"/>
                <w:bCs/>
                <w:szCs w:val="20"/>
                <w:vertAlign w:val="superscript"/>
                <w:lang w:val="en-AU"/>
              </w:rPr>
              <w:t>2</w:t>
            </w:r>
          </w:p>
        </w:tc>
        <w:tc>
          <w:tcPr>
            <w:tcW w:w="561" w:type="pct"/>
            <w:vAlign w:val="center"/>
          </w:tcPr>
          <w:p w14:paraId="7191CC5A" w14:textId="339C2FE8" w:rsidR="00B63644" w:rsidRPr="008D4C41" w:rsidRDefault="00ED4AC4" w:rsidP="004E36D3">
            <w:pPr>
              <w:pStyle w:val="In-tableHeading"/>
              <w:jc w:val="center"/>
              <w:rPr>
                <w:highlight w:val="darkGray"/>
                <w:lang w:val="en-AU"/>
              </w:rPr>
            </w:pPr>
            <w:r w:rsidRPr="005265DE">
              <w:rPr>
                <w:rFonts w:eastAsia="Times New Roman" w:cstheme="minorHAnsi" w:hint="eastAsia"/>
                <w:bCs/>
                <w:color w:val="000000"/>
                <w:w w:val="33"/>
                <w:szCs w:val="20"/>
                <w:shd w:val="solid" w:color="000000" w:fill="000000"/>
                <w:fitText w:val="150" w:id="-628411123"/>
                <w:lang w:val="en-AU"/>
                <w14:textFill>
                  <w14:solidFill>
                    <w14:srgbClr w14:val="000000">
                      <w14:alpha w14:val="100000"/>
                    </w14:srgbClr>
                  </w14:solidFill>
                </w14:textFill>
              </w:rPr>
              <w:t xml:space="preserve">　</w:t>
            </w:r>
            <w:r w:rsidRPr="005265DE">
              <w:rPr>
                <w:rFonts w:eastAsia="Times New Roman" w:cstheme="minorHAnsi"/>
                <w:bCs/>
                <w:color w:val="000000"/>
                <w:w w:val="33"/>
                <w:szCs w:val="20"/>
                <w:shd w:val="solid" w:color="000000" w:fill="000000"/>
                <w:fitText w:val="150" w:id="-628411123"/>
                <w:lang w:val="en-AU"/>
                <w14:textFill>
                  <w14:solidFill>
                    <w14:srgbClr w14:val="000000">
                      <w14:alpha w14:val="100000"/>
                    </w14:srgbClr>
                  </w14:solidFill>
                </w14:textFill>
              </w:rPr>
              <w:t>|</w:t>
            </w:r>
            <w:r w:rsidRPr="005265DE">
              <w:rPr>
                <w:rFonts w:eastAsia="Times New Roman" w:cstheme="minorHAnsi" w:hint="eastAsia"/>
                <w:bCs/>
                <w:color w:val="000000"/>
                <w:w w:val="33"/>
                <w:szCs w:val="20"/>
                <w:shd w:val="solid" w:color="000000" w:fill="000000"/>
                <w:fitText w:val="150" w:id="-628411123"/>
                <w:lang w:val="en-AU"/>
                <w14:textFill>
                  <w14:solidFill>
                    <w14:srgbClr w14:val="000000">
                      <w14:alpha w14:val="100000"/>
                    </w14:srgbClr>
                  </w14:solidFill>
                </w14:textFill>
              </w:rPr>
              <w:t xml:space="preserve">　</w:t>
            </w:r>
            <w:r w:rsidR="00307591" w:rsidRPr="00307591">
              <w:rPr>
                <w:rFonts w:eastAsia="Times New Roman" w:cstheme="minorHAnsi"/>
                <w:bCs/>
                <w:szCs w:val="20"/>
                <w:vertAlign w:val="superscript"/>
                <w:lang w:val="en-AU"/>
              </w:rPr>
              <w:t>2</w:t>
            </w:r>
          </w:p>
        </w:tc>
        <w:tc>
          <w:tcPr>
            <w:tcW w:w="561" w:type="pct"/>
            <w:vAlign w:val="center"/>
          </w:tcPr>
          <w:p w14:paraId="0159A005" w14:textId="12DB3DF3" w:rsidR="00B63644" w:rsidRPr="008D4C41" w:rsidRDefault="00ED4AC4" w:rsidP="004E36D3">
            <w:pPr>
              <w:pStyle w:val="In-tableHeading"/>
              <w:jc w:val="center"/>
              <w:rPr>
                <w:highlight w:val="darkGray"/>
                <w:lang w:val="en-AU"/>
              </w:rPr>
            </w:pPr>
            <w:r w:rsidRPr="005265DE">
              <w:rPr>
                <w:rFonts w:eastAsia="Times New Roman" w:cstheme="minorHAnsi" w:hint="eastAsia"/>
                <w:bCs/>
                <w:color w:val="000000"/>
                <w:w w:val="33"/>
                <w:szCs w:val="20"/>
                <w:shd w:val="solid" w:color="000000" w:fill="000000"/>
                <w:fitText w:val="150" w:id="-628411122"/>
                <w:lang w:val="en-AU"/>
                <w14:textFill>
                  <w14:solidFill>
                    <w14:srgbClr w14:val="000000">
                      <w14:alpha w14:val="100000"/>
                    </w14:srgbClr>
                  </w14:solidFill>
                </w14:textFill>
              </w:rPr>
              <w:t xml:space="preserve">　</w:t>
            </w:r>
            <w:r w:rsidRPr="005265DE">
              <w:rPr>
                <w:rFonts w:eastAsia="Times New Roman" w:cstheme="minorHAnsi"/>
                <w:bCs/>
                <w:color w:val="000000"/>
                <w:w w:val="33"/>
                <w:szCs w:val="20"/>
                <w:shd w:val="solid" w:color="000000" w:fill="000000"/>
                <w:fitText w:val="150" w:id="-628411122"/>
                <w:lang w:val="en-AU"/>
                <w14:textFill>
                  <w14:solidFill>
                    <w14:srgbClr w14:val="000000">
                      <w14:alpha w14:val="100000"/>
                    </w14:srgbClr>
                  </w14:solidFill>
                </w14:textFill>
              </w:rPr>
              <w:t>|</w:t>
            </w:r>
            <w:r w:rsidRPr="005265DE">
              <w:rPr>
                <w:rFonts w:eastAsia="Times New Roman" w:cstheme="minorHAnsi" w:hint="eastAsia"/>
                <w:bCs/>
                <w:color w:val="000000"/>
                <w:w w:val="33"/>
                <w:szCs w:val="20"/>
                <w:shd w:val="solid" w:color="000000" w:fill="000000"/>
                <w:fitText w:val="150" w:id="-628411122"/>
                <w:lang w:val="en-AU"/>
                <w14:textFill>
                  <w14:solidFill>
                    <w14:srgbClr w14:val="000000">
                      <w14:alpha w14:val="100000"/>
                    </w14:srgbClr>
                  </w14:solidFill>
                </w14:textFill>
              </w:rPr>
              <w:t xml:space="preserve">　</w:t>
            </w:r>
            <w:r w:rsidR="00307591" w:rsidRPr="00307591">
              <w:rPr>
                <w:rFonts w:eastAsia="Times New Roman" w:cstheme="minorHAnsi"/>
                <w:bCs/>
                <w:szCs w:val="20"/>
                <w:vertAlign w:val="superscript"/>
                <w:lang w:val="en-AU"/>
              </w:rPr>
              <w:t>2</w:t>
            </w:r>
          </w:p>
        </w:tc>
        <w:tc>
          <w:tcPr>
            <w:tcW w:w="561" w:type="pct"/>
            <w:vAlign w:val="center"/>
          </w:tcPr>
          <w:p w14:paraId="665C9517" w14:textId="5DC74000" w:rsidR="00B63644" w:rsidRPr="008D4C41" w:rsidRDefault="00ED4AC4" w:rsidP="004E36D3">
            <w:pPr>
              <w:pStyle w:val="In-tableHeading"/>
              <w:jc w:val="center"/>
              <w:rPr>
                <w:highlight w:val="darkGray"/>
                <w:lang w:val="en-AU"/>
              </w:rPr>
            </w:pPr>
            <w:r w:rsidRPr="00896015">
              <w:rPr>
                <w:rFonts w:eastAsia="Times New Roman" w:cstheme="minorHAnsi"/>
                <w:color w:val="000000"/>
                <w:spacing w:val="59"/>
                <w:szCs w:val="20"/>
                <w:shd w:val="solid" w:color="000000" w:fill="000000"/>
                <w:fitText w:val="151" w:id="-628411121"/>
                <w:lang w:val="en-AU"/>
                <w14:textFill>
                  <w14:solidFill>
                    <w14:srgbClr w14:val="000000">
                      <w14:alpha w14:val="100000"/>
                    </w14:srgbClr>
                  </w14:solidFill>
                </w14:textFill>
              </w:rPr>
              <w:t>|</w:t>
            </w:r>
            <w:r w:rsidRPr="00896015">
              <w:rPr>
                <w:rFonts w:eastAsia="Times New Roman" w:cstheme="minorHAnsi"/>
                <w:color w:val="000000"/>
                <w:szCs w:val="20"/>
                <w:shd w:val="solid" w:color="000000" w:fill="000000"/>
                <w:fitText w:val="151" w:id="-628411121"/>
                <w:lang w:val="en-AU"/>
                <w14:textFill>
                  <w14:solidFill>
                    <w14:srgbClr w14:val="000000">
                      <w14:alpha w14:val="100000"/>
                    </w14:srgbClr>
                  </w14:solidFill>
                </w14:textFill>
              </w:rPr>
              <w:t>|</w:t>
            </w:r>
            <w:r w:rsidR="00307591" w:rsidRPr="00307591">
              <w:rPr>
                <w:rFonts w:eastAsia="Times New Roman" w:cstheme="minorHAnsi"/>
                <w:bCs/>
                <w:szCs w:val="20"/>
                <w:vertAlign w:val="superscript"/>
                <w:lang w:val="en-AU"/>
              </w:rPr>
              <w:t>2</w:t>
            </w:r>
          </w:p>
        </w:tc>
        <w:tc>
          <w:tcPr>
            <w:tcW w:w="561" w:type="pct"/>
            <w:vAlign w:val="center"/>
          </w:tcPr>
          <w:p w14:paraId="08D072D2" w14:textId="5EA3FDAA" w:rsidR="00B63644" w:rsidRPr="008D4C41" w:rsidRDefault="00ED4AC4" w:rsidP="004E36D3">
            <w:pPr>
              <w:pStyle w:val="In-tableHeading"/>
              <w:jc w:val="center"/>
              <w:rPr>
                <w:highlight w:val="darkGray"/>
                <w:lang w:val="en-AU"/>
              </w:rPr>
            </w:pPr>
            <w:r w:rsidRPr="005265DE">
              <w:rPr>
                <w:rFonts w:eastAsia="Times New Roman" w:cstheme="minorHAnsi" w:hint="eastAsia"/>
                <w:bCs/>
                <w:color w:val="000000"/>
                <w:w w:val="33"/>
                <w:szCs w:val="20"/>
                <w:shd w:val="solid" w:color="000000" w:fill="000000"/>
                <w:fitText w:val="150" w:id="-628411120"/>
                <w:lang w:val="en-AU"/>
                <w14:textFill>
                  <w14:solidFill>
                    <w14:srgbClr w14:val="000000">
                      <w14:alpha w14:val="100000"/>
                    </w14:srgbClr>
                  </w14:solidFill>
                </w14:textFill>
              </w:rPr>
              <w:t xml:space="preserve">　</w:t>
            </w:r>
            <w:r w:rsidRPr="005265DE">
              <w:rPr>
                <w:rFonts w:eastAsia="Times New Roman" w:cstheme="minorHAnsi"/>
                <w:bCs/>
                <w:color w:val="000000"/>
                <w:w w:val="33"/>
                <w:szCs w:val="20"/>
                <w:shd w:val="solid" w:color="000000" w:fill="000000"/>
                <w:fitText w:val="150" w:id="-628411120"/>
                <w:lang w:val="en-AU"/>
                <w14:textFill>
                  <w14:solidFill>
                    <w14:srgbClr w14:val="000000">
                      <w14:alpha w14:val="100000"/>
                    </w14:srgbClr>
                  </w14:solidFill>
                </w14:textFill>
              </w:rPr>
              <w:t>|</w:t>
            </w:r>
            <w:r w:rsidRPr="005265DE">
              <w:rPr>
                <w:rFonts w:eastAsia="Times New Roman" w:cstheme="minorHAnsi" w:hint="eastAsia"/>
                <w:bCs/>
                <w:color w:val="000000"/>
                <w:w w:val="33"/>
                <w:szCs w:val="20"/>
                <w:shd w:val="solid" w:color="000000" w:fill="000000"/>
                <w:fitText w:val="150" w:id="-628411120"/>
                <w:lang w:val="en-AU"/>
                <w14:textFill>
                  <w14:solidFill>
                    <w14:srgbClr w14:val="000000">
                      <w14:alpha w14:val="100000"/>
                    </w14:srgbClr>
                  </w14:solidFill>
                </w14:textFill>
              </w:rPr>
              <w:t xml:space="preserve">　</w:t>
            </w:r>
            <w:r w:rsidR="00307591" w:rsidRPr="00307591">
              <w:rPr>
                <w:rFonts w:eastAsia="Times New Roman" w:cstheme="minorHAnsi"/>
                <w:bCs/>
                <w:szCs w:val="20"/>
                <w:vertAlign w:val="superscript"/>
                <w:lang w:val="en-AU"/>
              </w:rPr>
              <w:t>2</w:t>
            </w:r>
          </w:p>
        </w:tc>
        <w:tc>
          <w:tcPr>
            <w:tcW w:w="561" w:type="pct"/>
            <w:vAlign w:val="center"/>
          </w:tcPr>
          <w:p w14:paraId="3FD18A9A" w14:textId="5FDE3B85" w:rsidR="00B63644" w:rsidRPr="008D4C41" w:rsidRDefault="00ED4AC4" w:rsidP="004E36D3">
            <w:pPr>
              <w:pStyle w:val="In-tableHeading"/>
              <w:jc w:val="center"/>
              <w:rPr>
                <w:highlight w:val="darkGray"/>
                <w:lang w:val="en-AU"/>
              </w:rPr>
            </w:pPr>
            <w:r w:rsidRPr="00896015">
              <w:rPr>
                <w:rFonts w:eastAsia="Times New Roman" w:cstheme="minorHAnsi"/>
                <w:color w:val="000000"/>
                <w:spacing w:val="59"/>
                <w:szCs w:val="20"/>
                <w:shd w:val="solid" w:color="000000" w:fill="000000"/>
                <w:fitText w:val="151" w:id="-628411136"/>
                <w:lang w:val="en-AU"/>
                <w14:textFill>
                  <w14:solidFill>
                    <w14:srgbClr w14:val="000000">
                      <w14:alpha w14:val="100000"/>
                    </w14:srgbClr>
                  </w14:solidFill>
                </w14:textFill>
              </w:rPr>
              <w:t>|</w:t>
            </w:r>
            <w:r w:rsidRPr="00896015">
              <w:rPr>
                <w:rFonts w:eastAsia="Times New Roman" w:cstheme="minorHAnsi"/>
                <w:color w:val="000000"/>
                <w:szCs w:val="20"/>
                <w:shd w:val="solid" w:color="000000" w:fill="000000"/>
                <w:fitText w:val="151" w:id="-628411136"/>
                <w:lang w:val="en-AU"/>
                <w14:textFill>
                  <w14:solidFill>
                    <w14:srgbClr w14:val="000000">
                      <w14:alpha w14:val="100000"/>
                    </w14:srgbClr>
                  </w14:solidFill>
                </w14:textFill>
              </w:rPr>
              <w:t>|</w:t>
            </w:r>
            <w:r w:rsidR="00307591" w:rsidRPr="00307591">
              <w:rPr>
                <w:rFonts w:eastAsia="Times New Roman" w:cstheme="minorHAnsi"/>
                <w:bCs/>
                <w:szCs w:val="20"/>
                <w:vertAlign w:val="superscript"/>
                <w:lang w:val="en-AU"/>
              </w:rPr>
              <w:t>2</w:t>
            </w:r>
          </w:p>
        </w:tc>
        <w:tc>
          <w:tcPr>
            <w:tcW w:w="561" w:type="pct"/>
          </w:tcPr>
          <w:p w14:paraId="09590474" w14:textId="3C28E3FE" w:rsidR="00DC0A83" w:rsidRPr="00886D8A" w:rsidRDefault="00E00B0D" w:rsidP="004E36D3">
            <w:pPr>
              <w:pStyle w:val="In-tableHeading"/>
              <w:jc w:val="center"/>
              <w:rPr>
                <w:rFonts w:eastAsia="Times New Roman" w:cstheme="minorHAnsi"/>
                <w:szCs w:val="20"/>
                <w:lang w:val="en-AU"/>
              </w:rPr>
            </w:pPr>
            <w:r w:rsidRPr="00886D8A">
              <w:rPr>
                <w:rFonts w:eastAsia="Times New Roman" w:cstheme="minorHAnsi"/>
                <w:bCs/>
                <w:szCs w:val="20"/>
                <w:lang w:val="en-AU"/>
              </w:rPr>
              <w:t xml:space="preserve"> </w:t>
            </w:r>
            <w:r w:rsidR="0011024A">
              <w:rPr>
                <w:rFonts w:eastAsia="Times New Roman" w:cstheme="minorHAnsi"/>
                <w:bCs/>
                <w:szCs w:val="20"/>
                <w:lang w:val="en-AU"/>
              </w:rPr>
              <w:noBreakHyphen/>
            </w:r>
          </w:p>
        </w:tc>
      </w:tr>
      <w:tr w:rsidR="00B63644" w:rsidRPr="00886D8A" w14:paraId="4FDED28B" w14:textId="7A607BA2" w:rsidTr="00E746A1">
        <w:tc>
          <w:tcPr>
            <w:tcW w:w="1075" w:type="pct"/>
            <w:vAlign w:val="center"/>
          </w:tcPr>
          <w:p w14:paraId="0F35360F" w14:textId="1E85EF57" w:rsidR="00B63644" w:rsidRPr="00886D8A" w:rsidRDefault="00B63644" w:rsidP="004E36D3">
            <w:pPr>
              <w:pStyle w:val="TableText0"/>
              <w:rPr>
                <w:vertAlign w:val="superscript"/>
              </w:rPr>
            </w:pPr>
            <w:r w:rsidRPr="00886D8A">
              <w:t xml:space="preserve">Decreased prevalence of </w:t>
            </w:r>
            <w:r w:rsidR="00ED4AC4" w:rsidRPr="00896015">
              <w:rPr>
                <w:color w:val="000000"/>
                <w:spacing w:val="51"/>
                <w:shd w:val="solid" w:color="000000" w:fill="000000"/>
                <w:fitText w:val="326" w:id="-628411135"/>
                <w14:textFill>
                  <w14:solidFill>
                    <w14:srgbClr w14:val="000000">
                      <w14:alpha w14:val="100000"/>
                    </w14:srgbClr>
                  </w14:solidFill>
                </w14:textFill>
              </w:rPr>
              <w:t>|||</w:t>
            </w:r>
            <w:r w:rsidR="00ED4AC4" w:rsidRPr="00896015">
              <w:rPr>
                <w:color w:val="000000"/>
                <w:spacing w:val="1"/>
                <w:shd w:val="solid" w:color="000000" w:fill="000000"/>
                <w:fitText w:val="326" w:id="-628411135"/>
                <w14:textFill>
                  <w14:solidFill>
                    <w14:srgbClr w14:val="000000">
                      <w14:alpha w14:val="100000"/>
                    </w14:srgbClr>
                  </w14:solidFill>
                </w14:textFill>
              </w:rPr>
              <w:t>|</w:t>
            </w:r>
            <w:r w:rsidR="0061341E">
              <w:rPr>
                <w:vertAlign w:val="superscript"/>
              </w:rPr>
              <w:t>1</w:t>
            </w:r>
            <w:r w:rsidR="00B7396E">
              <w:t xml:space="preserve"> </w:t>
            </w:r>
            <w:r w:rsidRPr="00886D8A">
              <w:t>patients (</w:t>
            </w:r>
            <w:r w:rsidR="00ED4AC4" w:rsidRPr="00896015">
              <w:rPr>
                <w:color w:val="000000"/>
                <w:spacing w:val="51"/>
                <w:shd w:val="solid" w:color="000000" w:fill="000000"/>
                <w:fitText w:val="326" w:id="-628411134"/>
                <w14:textFill>
                  <w14:solidFill>
                    <w14:srgbClr w14:val="000000">
                      <w14:alpha w14:val="100000"/>
                    </w14:srgbClr>
                  </w14:solidFill>
                </w14:textFill>
              </w:rPr>
              <w:t>|||</w:t>
            </w:r>
            <w:r w:rsidR="00ED4AC4" w:rsidRPr="00896015">
              <w:rPr>
                <w:color w:val="000000"/>
                <w:spacing w:val="1"/>
                <w:shd w:val="solid" w:color="000000" w:fill="000000"/>
                <w:fitText w:val="326" w:id="-628411134"/>
                <w14:textFill>
                  <w14:solidFill>
                    <w14:srgbClr w14:val="000000">
                      <w14:alpha w14:val="100000"/>
                    </w14:srgbClr>
                  </w14:solidFill>
                </w14:textFill>
              </w:rPr>
              <w:t>|</w:t>
            </w:r>
            <w:r w:rsidR="0061341E">
              <w:rPr>
                <w:vertAlign w:val="superscript"/>
              </w:rPr>
              <w:t>1</w:t>
            </w:r>
            <w:r w:rsidRPr="00886D8A">
              <w:t xml:space="preserve"> eligible) (BC = </w:t>
            </w:r>
            <w:r w:rsidR="00ED4AC4" w:rsidRPr="00896015">
              <w:rPr>
                <w:color w:val="000000"/>
                <w:spacing w:val="51"/>
                <w:shd w:val="solid" w:color="000000" w:fill="000000"/>
                <w:fitText w:val="326" w:id="-628411133"/>
                <w14:textFill>
                  <w14:solidFill>
                    <w14:srgbClr w14:val="000000">
                      <w14:alpha w14:val="100000"/>
                    </w14:srgbClr>
                  </w14:solidFill>
                </w14:textFill>
              </w:rPr>
              <w:t>|||</w:t>
            </w:r>
            <w:r w:rsidR="00ED4AC4" w:rsidRPr="00896015">
              <w:rPr>
                <w:color w:val="000000"/>
                <w:spacing w:val="1"/>
                <w:shd w:val="solid" w:color="000000" w:fill="000000"/>
                <w:fitText w:val="326" w:id="-628411133"/>
                <w14:textFill>
                  <w14:solidFill>
                    <w14:srgbClr w14:val="000000">
                      <w14:alpha w14:val="100000"/>
                    </w14:srgbClr>
                  </w14:solidFill>
                </w14:textFill>
              </w:rPr>
              <w:t>|</w:t>
            </w:r>
            <w:r w:rsidR="0061341E">
              <w:rPr>
                <w:vertAlign w:val="superscript"/>
              </w:rPr>
              <w:t>1</w:t>
            </w:r>
            <w:r w:rsidR="00B7396E">
              <w:t xml:space="preserve"> </w:t>
            </w:r>
            <w:r w:rsidRPr="00886D8A">
              <w:t xml:space="preserve">patients, </w:t>
            </w:r>
            <w:r w:rsidR="00ED4AC4" w:rsidRPr="00896015">
              <w:rPr>
                <w:color w:val="000000"/>
                <w:spacing w:val="51"/>
                <w:shd w:val="solid" w:color="000000" w:fill="000000"/>
                <w:fitText w:val="325" w:id="-628411132"/>
                <w14:textFill>
                  <w14:solidFill>
                    <w14:srgbClr w14:val="000000">
                      <w14:alpha w14:val="100000"/>
                    </w14:srgbClr>
                  </w14:solidFill>
                </w14:textFill>
              </w:rPr>
              <w:t>|||</w:t>
            </w:r>
            <w:r w:rsidR="00ED4AC4" w:rsidRPr="00896015">
              <w:rPr>
                <w:color w:val="000000"/>
                <w:shd w:val="solid" w:color="000000" w:fill="000000"/>
                <w:fitText w:val="325" w:id="-628411132"/>
                <w14:textFill>
                  <w14:solidFill>
                    <w14:srgbClr w14:val="000000">
                      <w14:alpha w14:val="100000"/>
                    </w14:srgbClr>
                  </w14:solidFill>
                </w14:textFill>
              </w:rPr>
              <w:t>|</w:t>
            </w:r>
            <w:r w:rsidR="0061341E">
              <w:rPr>
                <w:vertAlign w:val="superscript"/>
              </w:rPr>
              <w:t>1</w:t>
            </w:r>
            <w:r w:rsidRPr="00886D8A">
              <w:t xml:space="preserve"> eligible)</w:t>
            </w:r>
            <w:r w:rsidR="003B72FB">
              <w:t xml:space="preserve"> ($)</w:t>
            </w:r>
          </w:p>
        </w:tc>
        <w:tc>
          <w:tcPr>
            <w:tcW w:w="561" w:type="pct"/>
            <w:vAlign w:val="center"/>
          </w:tcPr>
          <w:p w14:paraId="07679A38" w14:textId="271202FA" w:rsidR="00B63644" w:rsidRPr="008D4C41" w:rsidRDefault="00ED4AC4" w:rsidP="004E36D3">
            <w:pPr>
              <w:pStyle w:val="TableText0"/>
              <w:jc w:val="center"/>
              <w:rPr>
                <w:rFonts w:cs="Arial"/>
                <w:color w:val="000000"/>
                <w:highlight w:val="darkGray"/>
              </w:rPr>
            </w:pPr>
            <w:r w:rsidRPr="005265DE">
              <w:rPr>
                <w:rFonts w:hint="eastAsia"/>
                <w:color w:val="000000"/>
                <w:w w:val="22"/>
                <w:szCs w:val="20"/>
                <w:shd w:val="solid" w:color="000000" w:fill="000000"/>
                <w:fitText w:val="100" w:id="-628411131"/>
                <w14:textFill>
                  <w14:solidFill>
                    <w14:srgbClr w14:val="000000">
                      <w14:alpha w14:val="100000"/>
                    </w14:srgbClr>
                  </w14:solidFill>
                </w14:textFill>
              </w:rPr>
              <w:t xml:space="preserve">　</w:t>
            </w:r>
            <w:r w:rsidRPr="005265DE">
              <w:rPr>
                <w:color w:val="000000"/>
                <w:w w:val="22"/>
                <w:szCs w:val="20"/>
                <w:shd w:val="solid" w:color="000000" w:fill="000000"/>
                <w:fitText w:val="100" w:id="-628411131"/>
                <w14:textFill>
                  <w14:solidFill>
                    <w14:srgbClr w14:val="000000">
                      <w14:alpha w14:val="100000"/>
                    </w14:srgbClr>
                  </w14:solidFill>
                </w14:textFill>
              </w:rPr>
              <w:t>|</w:t>
            </w:r>
            <w:r w:rsidRPr="005265DE">
              <w:rPr>
                <w:rFonts w:hint="eastAsia"/>
                <w:color w:val="000000"/>
                <w:w w:val="22"/>
                <w:szCs w:val="20"/>
                <w:shd w:val="solid" w:color="000000" w:fill="000000"/>
                <w:fitText w:val="100" w:id="-628411131"/>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C9415BC" w14:textId="2DB4A1A3" w:rsidR="00B63644" w:rsidRPr="008D4C41" w:rsidRDefault="00ED4AC4" w:rsidP="004E36D3">
            <w:pPr>
              <w:pStyle w:val="TableText0"/>
              <w:jc w:val="center"/>
              <w:rPr>
                <w:rFonts w:cs="Arial"/>
                <w:color w:val="000000"/>
                <w:highlight w:val="darkGray"/>
              </w:rPr>
            </w:pPr>
            <w:r w:rsidRPr="005265DE">
              <w:rPr>
                <w:rFonts w:hint="eastAsia"/>
                <w:color w:val="000000"/>
                <w:w w:val="22"/>
                <w:szCs w:val="20"/>
                <w:shd w:val="solid" w:color="000000" w:fill="000000"/>
                <w:fitText w:val="100" w:id="-628411130"/>
                <w14:textFill>
                  <w14:solidFill>
                    <w14:srgbClr w14:val="000000">
                      <w14:alpha w14:val="100000"/>
                    </w14:srgbClr>
                  </w14:solidFill>
                </w14:textFill>
              </w:rPr>
              <w:t xml:space="preserve">　</w:t>
            </w:r>
            <w:r w:rsidRPr="005265DE">
              <w:rPr>
                <w:color w:val="000000"/>
                <w:w w:val="22"/>
                <w:szCs w:val="20"/>
                <w:shd w:val="solid" w:color="000000" w:fill="000000"/>
                <w:fitText w:val="100" w:id="-628411130"/>
                <w14:textFill>
                  <w14:solidFill>
                    <w14:srgbClr w14:val="000000">
                      <w14:alpha w14:val="100000"/>
                    </w14:srgbClr>
                  </w14:solidFill>
                </w14:textFill>
              </w:rPr>
              <w:t>|</w:t>
            </w:r>
            <w:r w:rsidRPr="005265DE">
              <w:rPr>
                <w:rFonts w:hint="eastAsia"/>
                <w:color w:val="000000"/>
                <w:w w:val="22"/>
                <w:szCs w:val="20"/>
                <w:shd w:val="solid" w:color="000000" w:fill="000000"/>
                <w:fitText w:val="100" w:id="-628411130"/>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48129A66" w14:textId="48688587" w:rsidR="00B63644" w:rsidRPr="008D4C41" w:rsidRDefault="00ED4AC4" w:rsidP="004E36D3">
            <w:pPr>
              <w:pStyle w:val="TableText0"/>
              <w:jc w:val="center"/>
              <w:rPr>
                <w:rFonts w:cs="Arial"/>
                <w:color w:val="000000"/>
                <w:highlight w:val="darkGray"/>
              </w:rPr>
            </w:pPr>
            <w:r w:rsidRPr="005265DE">
              <w:rPr>
                <w:rFonts w:hint="eastAsia"/>
                <w:color w:val="000000"/>
                <w:w w:val="22"/>
                <w:szCs w:val="20"/>
                <w:shd w:val="solid" w:color="000000" w:fill="000000"/>
                <w:fitText w:val="100" w:id="-628411129"/>
                <w14:textFill>
                  <w14:solidFill>
                    <w14:srgbClr w14:val="000000">
                      <w14:alpha w14:val="100000"/>
                    </w14:srgbClr>
                  </w14:solidFill>
                </w14:textFill>
              </w:rPr>
              <w:t xml:space="preserve">　</w:t>
            </w:r>
            <w:r w:rsidRPr="005265DE">
              <w:rPr>
                <w:color w:val="000000"/>
                <w:w w:val="22"/>
                <w:szCs w:val="20"/>
                <w:shd w:val="solid" w:color="000000" w:fill="000000"/>
                <w:fitText w:val="100" w:id="-628411129"/>
                <w14:textFill>
                  <w14:solidFill>
                    <w14:srgbClr w14:val="000000">
                      <w14:alpha w14:val="100000"/>
                    </w14:srgbClr>
                  </w14:solidFill>
                </w14:textFill>
              </w:rPr>
              <w:t>|</w:t>
            </w:r>
            <w:r w:rsidRPr="005265DE">
              <w:rPr>
                <w:rFonts w:hint="eastAsia"/>
                <w:color w:val="000000"/>
                <w:w w:val="22"/>
                <w:szCs w:val="20"/>
                <w:shd w:val="solid" w:color="000000" w:fill="000000"/>
                <w:fitText w:val="100" w:id="-62841112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CBA1160" w14:textId="1B19A07E" w:rsidR="00B63644" w:rsidRPr="008D4C41" w:rsidRDefault="00ED4AC4" w:rsidP="004E36D3">
            <w:pPr>
              <w:pStyle w:val="TableText0"/>
              <w:jc w:val="center"/>
              <w:rPr>
                <w:rFonts w:cs="Arial"/>
                <w:color w:val="000000"/>
                <w:highlight w:val="darkGray"/>
              </w:rPr>
            </w:pPr>
            <w:r w:rsidRPr="005265DE">
              <w:rPr>
                <w:rFonts w:hint="eastAsia"/>
                <w:color w:val="000000"/>
                <w:w w:val="22"/>
                <w:szCs w:val="20"/>
                <w:shd w:val="solid" w:color="000000" w:fill="000000"/>
                <w:fitText w:val="100" w:id="-628411128"/>
                <w14:textFill>
                  <w14:solidFill>
                    <w14:srgbClr w14:val="000000">
                      <w14:alpha w14:val="100000"/>
                    </w14:srgbClr>
                  </w14:solidFill>
                </w14:textFill>
              </w:rPr>
              <w:t xml:space="preserve">　</w:t>
            </w:r>
            <w:r w:rsidRPr="005265DE">
              <w:rPr>
                <w:color w:val="000000"/>
                <w:w w:val="22"/>
                <w:szCs w:val="20"/>
                <w:shd w:val="solid" w:color="000000" w:fill="000000"/>
                <w:fitText w:val="100" w:id="-628411128"/>
                <w14:textFill>
                  <w14:solidFill>
                    <w14:srgbClr w14:val="000000">
                      <w14:alpha w14:val="100000"/>
                    </w14:srgbClr>
                  </w14:solidFill>
                </w14:textFill>
              </w:rPr>
              <w:t>|</w:t>
            </w:r>
            <w:r w:rsidRPr="005265DE">
              <w:rPr>
                <w:rFonts w:hint="eastAsia"/>
                <w:color w:val="000000"/>
                <w:w w:val="22"/>
                <w:szCs w:val="20"/>
                <w:shd w:val="solid" w:color="000000" w:fill="000000"/>
                <w:fitText w:val="100" w:id="-628411128"/>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9394CF1" w14:textId="056E3B41" w:rsidR="00B63644" w:rsidRPr="008D4C41" w:rsidRDefault="00ED4AC4" w:rsidP="004E36D3">
            <w:pPr>
              <w:pStyle w:val="TableText0"/>
              <w:jc w:val="center"/>
              <w:rPr>
                <w:rFonts w:cs="Arial"/>
                <w:color w:val="000000"/>
                <w:highlight w:val="darkGray"/>
              </w:rPr>
            </w:pPr>
            <w:r w:rsidRPr="005265DE">
              <w:rPr>
                <w:rFonts w:hint="eastAsia"/>
                <w:color w:val="000000"/>
                <w:w w:val="22"/>
                <w:szCs w:val="20"/>
                <w:shd w:val="solid" w:color="000000" w:fill="000000"/>
                <w:fitText w:val="100" w:id="-628411127"/>
                <w14:textFill>
                  <w14:solidFill>
                    <w14:srgbClr w14:val="000000">
                      <w14:alpha w14:val="100000"/>
                    </w14:srgbClr>
                  </w14:solidFill>
                </w14:textFill>
              </w:rPr>
              <w:t xml:space="preserve">　</w:t>
            </w:r>
            <w:r w:rsidRPr="005265DE">
              <w:rPr>
                <w:color w:val="000000"/>
                <w:w w:val="22"/>
                <w:szCs w:val="20"/>
                <w:shd w:val="solid" w:color="000000" w:fill="000000"/>
                <w:fitText w:val="100" w:id="-628411127"/>
                <w14:textFill>
                  <w14:solidFill>
                    <w14:srgbClr w14:val="000000">
                      <w14:alpha w14:val="100000"/>
                    </w14:srgbClr>
                  </w14:solidFill>
                </w14:textFill>
              </w:rPr>
              <w:t>|</w:t>
            </w:r>
            <w:r w:rsidRPr="005265DE">
              <w:rPr>
                <w:rFonts w:hint="eastAsia"/>
                <w:color w:val="000000"/>
                <w:w w:val="22"/>
                <w:szCs w:val="20"/>
                <w:shd w:val="solid" w:color="000000" w:fill="000000"/>
                <w:fitText w:val="100" w:id="-628411127"/>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64994D1" w14:textId="7DBFDBB5" w:rsidR="00B63644" w:rsidRPr="008D4C41" w:rsidRDefault="00ED4AC4" w:rsidP="004E36D3">
            <w:pPr>
              <w:pStyle w:val="TableText0"/>
              <w:jc w:val="center"/>
              <w:rPr>
                <w:rFonts w:cs="Arial"/>
                <w:color w:val="000000"/>
                <w:highlight w:val="darkGray"/>
              </w:rPr>
            </w:pPr>
            <w:r w:rsidRPr="005265DE">
              <w:rPr>
                <w:rFonts w:hint="eastAsia"/>
                <w:color w:val="000000"/>
                <w:w w:val="22"/>
                <w:szCs w:val="20"/>
                <w:shd w:val="solid" w:color="000000" w:fill="000000"/>
                <w:fitText w:val="100" w:id="-628411126"/>
                <w14:textFill>
                  <w14:solidFill>
                    <w14:srgbClr w14:val="000000">
                      <w14:alpha w14:val="100000"/>
                    </w14:srgbClr>
                  </w14:solidFill>
                </w14:textFill>
              </w:rPr>
              <w:t xml:space="preserve">　</w:t>
            </w:r>
            <w:r w:rsidRPr="005265DE">
              <w:rPr>
                <w:color w:val="000000"/>
                <w:w w:val="22"/>
                <w:szCs w:val="20"/>
                <w:shd w:val="solid" w:color="000000" w:fill="000000"/>
                <w:fitText w:val="100" w:id="-628411126"/>
                <w14:textFill>
                  <w14:solidFill>
                    <w14:srgbClr w14:val="000000">
                      <w14:alpha w14:val="100000"/>
                    </w14:srgbClr>
                  </w14:solidFill>
                </w14:textFill>
              </w:rPr>
              <w:t>|</w:t>
            </w:r>
            <w:r w:rsidRPr="005265DE">
              <w:rPr>
                <w:rFonts w:hint="eastAsia"/>
                <w:color w:val="000000"/>
                <w:w w:val="22"/>
                <w:szCs w:val="20"/>
                <w:shd w:val="solid" w:color="000000" w:fill="000000"/>
                <w:fitText w:val="100" w:id="-62841112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3DE9AE9" w14:textId="077927E4" w:rsidR="00DC0A83" w:rsidRPr="00886D8A" w:rsidRDefault="0011024A" w:rsidP="004E36D3">
            <w:pPr>
              <w:pStyle w:val="TableText0"/>
              <w:jc w:val="center"/>
              <w:rPr>
                <w:szCs w:val="20"/>
              </w:rPr>
            </w:pPr>
            <w:r>
              <w:rPr>
                <w:szCs w:val="20"/>
              </w:rPr>
              <w:noBreakHyphen/>
            </w:r>
            <w:r w:rsidR="00ED4AC4" w:rsidRPr="00896015">
              <w:rPr>
                <w:color w:val="000000"/>
                <w:spacing w:val="76"/>
                <w:szCs w:val="20"/>
                <w:shd w:val="solid" w:color="000000" w:fill="000000"/>
                <w:fitText w:val="162" w:id="-628411125"/>
                <w14:textFill>
                  <w14:solidFill>
                    <w14:srgbClr w14:val="000000">
                      <w14:alpha w14:val="100000"/>
                    </w14:srgbClr>
                  </w14:solidFill>
                </w14:textFill>
              </w:rPr>
              <w:t>|</w:t>
            </w:r>
            <w:r w:rsidR="00ED4AC4" w:rsidRPr="00896015">
              <w:rPr>
                <w:color w:val="000000"/>
                <w:szCs w:val="20"/>
                <w:shd w:val="solid" w:color="000000" w:fill="000000"/>
                <w:fitText w:val="162" w:id="-628411125"/>
                <w14:textFill>
                  <w14:solidFill>
                    <w14:srgbClr w14:val="000000">
                      <w14:alpha w14:val="100000"/>
                    </w14:srgbClr>
                  </w14:solidFill>
                </w14:textFill>
              </w:rPr>
              <w:t>|</w:t>
            </w:r>
            <w:r w:rsidR="00E00B0D" w:rsidRPr="00886D8A">
              <w:rPr>
                <w:szCs w:val="20"/>
              </w:rPr>
              <w:t>%</w:t>
            </w:r>
          </w:p>
        </w:tc>
      </w:tr>
      <w:tr w:rsidR="00B63644" w:rsidRPr="00886D8A" w14:paraId="3D2DB968" w14:textId="6D9CAF5B" w:rsidTr="00E746A1">
        <w:tc>
          <w:tcPr>
            <w:tcW w:w="1075" w:type="pct"/>
            <w:vAlign w:val="center"/>
          </w:tcPr>
          <w:p w14:paraId="323FF650" w14:textId="082AEB19" w:rsidR="00B63644" w:rsidRPr="00886D8A" w:rsidRDefault="00B63644" w:rsidP="004E36D3">
            <w:pPr>
              <w:pStyle w:val="TableText0"/>
              <w:rPr>
                <w:vertAlign w:val="superscript"/>
              </w:rPr>
            </w:pPr>
            <w:r w:rsidRPr="00886D8A">
              <w:t>Increased incidence of 1 new case per year (BC = 1 new case per 2 years)</w:t>
            </w:r>
            <w:r w:rsidR="003B72FB">
              <w:t xml:space="preserve"> ($)</w:t>
            </w:r>
          </w:p>
        </w:tc>
        <w:tc>
          <w:tcPr>
            <w:tcW w:w="561" w:type="pct"/>
            <w:vAlign w:val="center"/>
          </w:tcPr>
          <w:p w14:paraId="5AD93068" w14:textId="652870F5"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1124"/>
                <w14:textFill>
                  <w14:solidFill>
                    <w14:srgbClr w14:val="000000">
                      <w14:alpha w14:val="100000"/>
                    </w14:srgbClr>
                  </w14:solidFill>
                </w14:textFill>
              </w:rPr>
              <w:t xml:space="preserve">　</w:t>
            </w:r>
            <w:r w:rsidRPr="005265DE">
              <w:rPr>
                <w:color w:val="000000"/>
                <w:w w:val="22"/>
                <w:szCs w:val="20"/>
                <w:shd w:val="solid" w:color="000000" w:fill="000000"/>
                <w:fitText w:val="100" w:id="-628411124"/>
                <w14:textFill>
                  <w14:solidFill>
                    <w14:srgbClr w14:val="000000">
                      <w14:alpha w14:val="100000"/>
                    </w14:srgbClr>
                  </w14:solidFill>
                </w14:textFill>
              </w:rPr>
              <w:t>|</w:t>
            </w:r>
            <w:r w:rsidRPr="005265DE">
              <w:rPr>
                <w:rFonts w:hint="eastAsia"/>
                <w:color w:val="000000"/>
                <w:w w:val="22"/>
                <w:szCs w:val="20"/>
                <w:shd w:val="solid" w:color="000000" w:fill="000000"/>
                <w:fitText w:val="100" w:id="-62841112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922DB59" w14:textId="0D98105D"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80"/>
                <w14:textFill>
                  <w14:solidFill>
                    <w14:srgbClr w14:val="000000">
                      <w14:alpha w14:val="100000"/>
                    </w14:srgbClr>
                  </w14:solidFill>
                </w14:textFill>
              </w:rPr>
              <w:t xml:space="preserve">　</w:t>
            </w:r>
            <w:r w:rsidRPr="005265DE">
              <w:rPr>
                <w:color w:val="000000"/>
                <w:w w:val="22"/>
                <w:szCs w:val="20"/>
                <w:shd w:val="solid" w:color="000000" w:fill="000000"/>
                <w:fitText w:val="100" w:id="-628410880"/>
                <w14:textFill>
                  <w14:solidFill>
                    <w14:srgbClr w14:val="000000">
                      <w14:alpha w14:val="100000"/>
                    </w14:srgbClr>
                  </w14:solidFill>
                </w14:textFill>
              </w:rPr>
              <w:t>|</w:t>
            </w:r>
            <w:r w:rsidRPr="005265DE">
              <w:rPr>
                <w:rFonts w:hint="eastAsia"/>
                <w:color w:val="000000"/>
                <w:w w:val="22"/>
                <w:szCs w:val="20"/>
                <w:shd w:val="solid" w:color="000000" w:fill="000000"/>
                <w:fitText w:val="100" w:id="-628410880"/>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945CFCF" w14:textId="40B5C6E8"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79"/>
                <w14:textFill>
                  <w14:solidFill>
                    <w14:srgbClr w14:val="000000">
                      <w14:alpha w14:val="100000"/>
                    </w14:srgbClr>
                  </w14:solidFill>
                </w14:textFill>
              </w:rPr>
              <w:t xml:space="preserve">　</w:t>
            </w:r>
            <w:r w:rsidRPr="005265DE">
              <w:rPr>
                <w:color w:val="000000"/>
                <w:w w:val="22"/>
                <w:szCs w:val="20"/>
                <w:shd w:val="solid" w:color="000000" w:fill="000000"/>
                <w:fitText w:val="100" w:id="-628410879"/>
                <w14:textFill>
                  <w14:solidFill>
                    <w14:srgbClr w14:val="000000">
                      <w14:alpha w14:val="100000"/>
                    </w14:srgbClr>
                  </w14:solidFill>
                </w14:textFill>
              </w:rPr>
              <w:t>|</w:t>
            </w:r>
            <w:r w:rsidRPr="005265DE">
              <w:rPr>
                <w:rFonts w:hint="eastAsia"/>
                <w:color w:val="000000"/>
                <w:w w:val="22"/>
                <w:szCs w:val="20"/>
                <w:shd w:val="solid" w:color="000000" w:fill="000000"/>
                <w:fitText w:val="100" w:id="-62841087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641EFF1" w14:textId="51170467"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78"/>
                <w14:textFill>
                  <w14:solidFill>
                    <w14:srgbClr w14:val="000000">
                      <w14:alpha w14:val="100000"/>
                    </w14:srgbClr>
                  </w14:solidFill>
                </w14:textFill>
              </w:rPr>
              <w:t xml:space="preserve">　</w:t>
            </w:r>
            <w:r w:rsidRPr="005265DE">
              <w:rPr>
                <w:color w:val="000000"/>
                <w:w w:val="22"/>
                <w:szCs w:val="20"/>
                <w:shd w:val="solid" w:color="000000" w:fill="000000"/>
                <w:fitText w:val="100" w:id="-628410878"/>
                <w14:textFill>
                  <w14:solidFill>
                    <w14:srgbClr w14:val="000000">
                      <w14:alpha w14:val="100000"/>
                    </w14:srgbClr>
                  </w14:solidFill>
                </w14:textFill>
              </w:rPr>
              <w:t>|</w:t>
            </w:r>
            <w:r w:rsidRPr="005265DE">
              <w:rPr>
                <w:rFonts w:hint="eastAsia"/>
                <w:color w:val="000000"/>
                <w:w w:val="22"/>
                <w:szCs w:val="20"/>
                <w:shd w:val="solid" w:color="000000" w:fill="000000"/>
                <w:fitText w:val="100" w:id="-628410878"/>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A9EF626" w14:textId="15C9906B"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77"/>
                <w14:textFill>
                  <w14:solidFill>
                    <w14:srgbClr w14:val="000000">
                      <w14:alpha w14:val="100000"/>
                    </w14:srgbClr>
                  </w14:solidFill>
                </w14:textFill>
              </w:rPr>
              <w:t xml:space="preserve">　</w:t>
            </w:r>
            <w:r w:rsidRPr="005265DE">
              <w:rPr>
                <w:color w:val="000000"/>
                <w:w w:val="22"/>
                <w:szCs w:val="20"/>
                <w:shd w:val="solid" w:color="000000" w:fill="000000"/>
                <w:fitText w:val="100" w:id="-628410877"/>
                <w14:textFill>
                  <w14:solidFill>
                    <w14:srgbClr w14:val="000000">
                      <w14:alpha w14:val="100000"/>
                    </w14:srgbClr>
                  </w14:solidFill>
                </w14:textFill>
              </w:rPr>
              <w:t>|</w:t>
            </w:r>
            <w:r w:rsidRPr="005265DE">
              <w:rPr>
                <w:rFonts w:hint="eastAsia"/>
                <w:color w:val="000000"/>
                <w:w w:val="22"/>
                <w:szCs w:val="20"/>
                <w:shd w:val="solid" w:color="000000" w:fill="000000"/>
                <w:fitText w:val="100" w:id="-628410877"/>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1F55E48D" w14:textId="02B45CB0"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76"/>
                <w14:textFill>
                  <w14:solidFill>
                    <w14:srgbClr w14:val="000000">
                      <w14:alpha w14:val="100000"/>
                    </w14:srgbClr>
                  </w14:solidFill>
                </w14:textFill>
              </w:rPr>
              <w:t xml:space="preserve">　</w:t>
            </w:r>
            <w:r w:rsidRPr="005265DE">
              <w:rPr>
                <w:color w:val="000000"/>
                <w:w w:val="22"/>
                <w:szCs w:val="20"/>
                <w:shd w:val="solid" w:color="000000" w:fill="000000"/>
                <w:fitText w:val="100" w:id="-628410876"/>
                <w14:textFill>
                  <w14:solidFill>
                    <w14:srgbClr w14:val="000000">
                      <w14:alpha w14:val="100000"/>
                    </w14:srgbClr>
                  </w14:solidFill>
                </w14:textFill>
              </w:rPr>
              <w:t>|</w:t>
            </w:r>
            <w:r w:rsidRPr="005265DE">
              <w:rPr>
                <w:rFonts w:hint="eastAsia"/>
                <w:color w:val="000000"/>
                <w:w w:val="22"/>
                <w:szCs w:val="20"/>
                <w:shd w:val="solid" w:color="000000" w:fill="000000"/>
                <w:fitText w:val="100" w:id="-62841087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3CB176FA" w14:textId="056D6832" w:rsidR="00DC0A83" w:rsidRPr="00886D8A" w:rsidRDefault="00FB778B" w:rsidP="004E36D3">
            <w:pPr>
              <w:pStyle w:val="TableText0"/>
              <w:jc w:val="center"/>
              <w:rPr>
                <w:szCs w:val="20"/>
              </w:rPr>
            </w:pPr>
            <w:r w:rsidRPr="00886D8A">
              <w:rPr>
                <w:szCs w:val="20"/>
              </w:rPr>
              <w:t>+</w:t>
            </w:r>
            <w:r w:rsidR="00ED4AC4" w:rsidRPr="00896015">
              <w:rPr>
                <w:color w:val="000000"/>
                <w:spacing w:val="102"/>
                <w:szCs w:val="20"/>
                <w:shd w:val="solid" w:color="000000" w:fill="000000"/>
                <w:fitText w:val="188" w:id="-628410875"/>
                <w14:textFill>
                  <w14:solidFill>
                    <w14:srgbClr w14:val="000000">
                      <w14:alpha w14:val="100000"/>
                    </w14:srgbClr>
                  </w14:solidFill>
                </w14:textFill>
              </w:rPr>
              <w:t>|</w:t>
            </w:r>
            <w:r w:rsidR="00ED4AC4" w:rsidRPr="00896015">
              <w:rPr>
                <w:color w:val="000000"/>
                <w:szCs w:val="20"/>
                <w:shd w:val="solid" w:color="000000" w:fill="000000"/>
                <w:fitText w:val="188" w:id="-628410875"/>
                <w14:textFill>
                  <w14:solidFill>
                    <w14:srgbClr w14:val="000000">
                      <w14:alpha w14:val="100000"/>
                    </w14:srgbClr>
                  </w14:solidFill>
                </w14:textFill>
              </w:rPr>
              <w:t>|</w:t>
            </w:r>
            <w:r w:rsidRPr="00886D8A">
              <w:rPr>
                <w:szCs w:val="20"/>
              </w:rPr>
              <w:t>%</w:t>
            </w:r>
          </w:p>
        </w:tc>
      </w:tr>
      <w:tr w:rsidR="00B63644" w:rsidRPr="00886D8A" w14:paraId="17D41E76" w14:textId="6AA0899F" w:rsidTr="00E746A1">
        <w:tc>
          <w:tcPr>
            <w:tcW w:w="1075" w:type="pct"/>
            <w:vAlign w:val="center"/>
          </w:tcPr>
          <w:p w14:paraId="1E2EAFDD" w14:textId="7DFF99EE" w:rsidR="00B63644" w:rsidRPr="00886D8A" w:rsidRDefault="00B63644" w:rsidP="004E36D3">
            <w:pPr>
              <w:pStyle w:val="TableText0"/>
              <w:rPr>
                <w:vertAlign w:val="superscript"/>
              </w:rPr>
            </w:pPr>
            <w:r w:rsidRPr="00886D8A">
              <w:t>Incident cases – all adult patients (BC = all paediatric patients)</w:t>
            </w:r>
            <w:r w:rsidR="003B72FB">
              <w:t xml:space="preserve"> ($)</w:t>
            </w:r>
          </w:p>
        </w:tc>
        <w:tc>
          <w:tcPr>
            <w:tcW w:w="561" w:type="pct"/>
            <w:vAlign w:val="center"/>
          </w:tcPr>
          <w:p w14:paraId="001D660A" w14:textId="599F865E"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4"/>
                <w14:textFill>
                  <w14:solidFill>
                    <w14:srgbClr w14:val="000000">
                      <w14:alpha w14:val="100000"/>
                    </w14:srgbClr>
                  </w14:solidFill>
                </w14:textFill>
              </w:rPr>
              <w:t xml:space="preserve">　</w:t>
            </w:r>
            <w:r w:rsidRPr="005265DE">
              <w:rPr>
                <w:color w:val="000000"/>
                <w:w w:val="22"/>
                <w:szCs w:val="20"/>
                <w:shd w:val="solid" w:color="000000" w:fill="000000"/>
                <w:fitText w:val="100" w:id="-628410874"/>
                <w14:textFill>
                  <w14:solidFill>
                    <w14:srgbClr w14:val="000000">
                      <w14:alpha w14:val="100000"/>
                    </w14:srgbClr>
                  </w14:solidFill>
                </w14:textFill>
              </w:rPr>
              <w:t>|</w:t>
            </w:r>
            <w:r w:rsidRPr="005265DE">
              <w:rPr>
                <w:rFonts w:hint="eastAsia"/>
                <w:color w:val="000000"/>
                <w:w w:val="22"/>
                <w:szCs w:val="20"/>
                <w:shd w:val="solid" w:color="000000" w:fill="000000"/>
                <w:fitText w:val="100" w:id="-62841087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2E03C51" w14:textId="24D99BB4"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3"/>
                <w14:textFill>
                  <w14:solidFill>
                    <w14:srgbClr w14:val="000000">
                      <w14:alpha w14:val="100000"/>
                    </w14:srgbClr>
                  </w14:solidFill>
                </w14:textFill>
              </w:rPr>
              <w:t xml:space="preserve">　</w:t>
            </w:r>
            <w:r w:rsidRPr="005265DE">
              <w:rPr>
                <w:color w:val="000000"/>
                <w:w w:val="22"/>
                <w:szCs w:val="20"/>
                <w:shd w:val="solid" w:color="000000" w:fill="000000"/>
                <w:fitText w:val="100" w:id="-628410873"/>
                <w14:textFill>
                  <w14:solidFill>
                    <w14:srgbClr w14:val="000000">
                      <w14:alpha w14:val="100000"/>
                    </w14:srgbClr>
                  </w14:solidFill>
                </w14:textFill>
              </w:rPr>
              <w:t>|</w:t>
            </w:r>
            <w:r w:rsidRPr="005265DE">
              <w:rPr>
                <w:rFonts w:hint="eastAsia"/>
                <w:color w:val="000000"/>
                <w:w w:val="22"/>
                <w:szCs w:val="20"/>
                <w:shd w:val="solid" w:color="000000" w:fill="000000"/>
                <w:fitText w:val="100" w:id="-628410873"/>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6F76A91F" w14:textId="227867E0"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2"/>
                <w14:textFill>
                  <w14:solidFill>
                    <w14:srgbClr w14:val="000000">
                      <w14:alpha w14:val="100000"/>
                    </w14:srgbClr>
                  </w14:solidFill>
                </w14:textFill>
              </w:rPr>
              <w:t xml:space="preserve">　</w:t>
            </w:r>
            <w:r w:rsidRPr="005265DE">
              <w:rPr>
                <w:color w:val="000000"/>
                <w:w w:val="22"/>
                <w:szCs w:val="20"/>
                <w:shd w:val="solid" w:color="000000" w:fill="000000"/>
                <w:fitText w:val="100" w:id="-628410872"/>
                <w14:textFill>
                  <w14:solidFill>
                    <w14:srgbClr w14:val="000000">
                      <w14:alpha w14:val="100000"/>
                    </w14:srgbClr>
                  </w14:solidFill>
                </w14:textFill>
              </w:rPr>
              <w:t>|</w:t>
            </w:r>
            <w:r w:rsidRPr="005265DE">
              <w:rPr>
                <w:rFonts w:hint="eastAsia"/>
                <w:color w:val="000000"/>
                <w:w w:val="22"/>
                <w:szCs w:val="20"/>
                <w:shd w:val="solid" w:color="000000" w:fill="000000"/>
                <w:fitText w:val="100" w:id="-628410872"/>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3642ED3B" w14:textId="3BA38FCD"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1"/>
                <w14:textFill>
                  <w14:solidFill>
                    <w14:srgbClr w14:val="000000">
                      <w14:alpha w14:val="100000"/>
                    </w14:srgbClr>
                  </w14:solidFill>
                </w14:textFill>
              </w:rPr>
              <w:t xml:space="preserve">　</w:t>
            </w:r>
            <w:r w:rsidRPr="005265DE">
              <w:rPr>
                <w:color w:val="000000"/>
                <w:w w:val="22"/>
                <w:szCs w:val="20"/>
                <w:shd w:val="solid" w:color="000000" w:fill="000000"/>
                <w:fitText w:val="100" w:id="-628410871"/>
                <w14:textFill>
                  <w14:solidFill>
                    <w14:srgbClr w14:val="000000">
                      <w14:alpha w14:val="100000"/>
                    </w14:srgbClr>
                  </w14:solidFill>
                </w14:textFill>
              </w:rPr>
              <w:t>|</w:t>
            </w:r>
            <w:r w:rsidRPr="005265DE">
              <w:rPr>
                <w:rFonts w:hint="eastAsia"/>
                <w:color w:val="000000"/>
                <w:w w:val="22"/>
                <w:szCs w:val="20"/>
                <w:shd w:val="solid" w:color="000000" w:fill="000000"/>
                <w:fitText w:val="100" w:id="-628410871"/>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4093C87A" w14:textId="4A58A282"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0"/>
                <w14:textFill>
                  <w14:solidFill>
                    <w14:srgbClr w14:val="000000">
                      <w14:alpha w14:val="100000"/>
                    </w14:srgbClr>
                  </w14:solidFill>
                </w14:textFill>
              </w:rPr>
              <w:t xml:space="preserve">　</w:t>
            </w:r>
            <w:r w:rsidRPr="005265DE">
              <w:rPr>
                <w:color w:val="000000"/>
                <w:w w:val="22"/>
                <w:szCs w:val="20"/>
                <w:shd w:val="solid" w:color="000000" w:fill="000000"/>
                <w:fitText w:val="100" w:id="-628410870"/>
                <w14:textFill>
                  <w14:solidFill>
                    <w14:srgbClr w14:val="000000">
                      <w14:alpha w14:val="100000"/>
                    </w14:srgbClr>
                  </w14:solidFill>
                </w14:textFill>
              </w:rPr>
              <w:t>|</w:t>
            </w:r>
            <w:r w:rsidRPr="005265DE">
              <w:rPr>
                <w:rFonts w:hint="eastAsia"/>
                <w:color w:val="000000"/>
                <w:w w:val="22"/>
                <w:szCs w:val="20"/>
                <w:shd w:val="solid" w:color="000000" w:fill="000000"/>
                <w:fitText w:val="100" w:id="-628410870"/>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07EB436" w14:textId="423C318C"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69"/>
                <w14:textFill>
                  <w14:solidFill>
                    <w14:srgbClr w14:val="000000">
                      <w14:alpha w14:val="100000"/>
                    </w14:srgbClr>
                  </w14:solidFill>
                </w14:textFill>
              </w:rPr>
              <w:t xml:space="preserve">　</w:t>
            </w:r>
            <w:r w:rsidRPr="005265DE">
              <w:rPr>
                <w:color w:val="000000"/>
                <w:w w:val="22"/>
                <w:szCs w:val="20"/>
                <w:shd w:val="solid" w:color="000000" w:fill="000000"/>
                <w:fitText w:val="100" w:id="-628410869"/>
                <w14:textFill>
                  <w14:solidFill>
                    <w14:srgbClr w14:val="000000">
                      <w14:alpha w14:val="100000"/>
                    </w14:srgbClr>
                  </w14:solidFill>
                </w14:textFill>
              </w:rPr>
              <w:t>|</w:t>
            </w:r>
            <w:r w:rsidRPr="005265DE">
              <w:rPr>
                <w:rFonts w:hint="eastAsia"/>
                <w:color w:val="000000"/>
                <w:w w:val="22"/>
                <w:szCs w:val="20"/>
                <w:shd w:val="solid" w:color="000000" w:fill="000000"/>
                <w:fitText w:val="100" w:id="-62841086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816E1C5" w14:textId="098ACCB9" w:rsidR="00DC0A83" w:rsidRPr="00886D8A" w:rsidRDefault="00526DD9" w:rsidP="004E36D3">
            <w:pPr>
              <w:pStyle w:val="TableText0"/>
              <w:jc w:val="center"/>
              <w:rPr>
                <w:szCs w:val="20"/>
              </w:rPr>
            </w:pPr>
            <w:r w:rsidRPr="00886D8A">
              <w:rPr>
                <w:szCs w:val="20"/>
              </w:rPr>
              <w:t>+</w:t>
            </w:r>
            <w:r w:rsidR="00ED4AC4" w:rsidRPr="00896015">
              <w:rPr>
                <w:color w:val="000000"/>
                <w:spacing w:val="102"/>
                <w:szCs w:val="20"/>
                <w:shd w:val="solid" w:color="000000" w:fill="000000"/>
                <w:fitText w:val="188" w:id="-628410868"/>
                <w14:textFill>
                  <w14:solidFill>
                    <w14:srgbClr w14:val="000000">
                      <w14:alpha w14:val="100000"/>
                    </w14:srgbClr>
                  </w14:solidFill>
                </w14:textFill>
              </w:rPr>
              <w:t>|</w:t>
            </w:r>
            <w:r w:rsidR="00ED4AC4" w:rsidRPr="00896015">
              <w:rPr>
                <w:color w:val="000000"/>
                <w:szCs w:val="20"/>
                <w:shd w:val="solid" w:color="000000" w:fill="000000"/>
                <w:fitText w:val="188" w:id="-628410868"/>
                <w14:textFill>
                  <w14:solidFill>
                    <w14:srgbClr w14:val="000000">
                      <w14:alpha w14:val="100000"/>
                    </w14:srgbClr>
                  </w14:solidFill>
                </w14:textFill>
              </w:rPr>
              <w:t>|</w:t>
            </w:r>
            <w:r w:rsidRPr="00886D8A">
              <w:rPr>
                <w:szCs w:val="20"/>
              </w:rPr>
              <w:t>%</w:t>
            </w:r>
          </w:p>
        </w:tc>
      </w:tr>
      <w:tr w:rsidR="00B63644" w:rsidRPr="00886D8A" w14:paraId="0D97FEEF" w14:textId="77530983" w:rsidTr="00235F22">
        <w:tc>
          <w:tcPr>
            <w:tcW w:w="1075" w:type="pct"/>
            <w:vAlign w:val="center"/>
          </w:tcPr>
          <w:p w14:paraId="3FA15A1A" w14:textId="5158B4FD" w:rsidR="00B63644" w:rsidRPr="00886D8A" w:rsidRDefault="00B63644" w:rsidP="004E36D3">
            <w:pPr>
              <w:pStyle w:val="TableText0"/>
              <w:rPr>
                <w:vertAlign w:val="superscript"/>
              </w:rPr>
            </w:pPr>
            <w:r w:rsidRPr="00886D8A">
              <w:t>Treatment discontinuation rate of 0% (BC = 10%)</w:t>
            </w:r>
            <w:r w:rsidR="003B72FB">
              <w:t xml:space="preserve"> ($)</w:t>
            </w:r>
          </w:p>
        </w:tc>
        <w:tc>
          <w:tcPr>
            <w:tcW w:w="561" w:type="pct"/>
            <w:vAlign w:val="center"/>
          </w:tcPr>
          <w:p w14:paraId="2C0A767E" w14:textId="006CCCC6"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67"/>
                <w14:textFill>
                  <w14:solidFill>
                    <w14:srgbClr w14:val="000000">
                      <w14:alpha w14:val="100000"/>
                    </w14:srgbClr>
                  </w14:solidFill>
                </w14:textFill>
              </w:rPr>
              <w:t xml:space="preserve">　</w:t>
            </w:r>
            <w:r w:rsidRPr="005265DE">
              <w:rPr>
                <w:color w:val="000000"/>
                <w:w w:val="22"/>
                <w:szCs w:val="20"/>
                <w:shd w:val="solid" w:color="000000" w:fill="000000"/>
                <w:fitText w:val="100" w:id="-628410867"/>
                <w14:textFill>
                  <w14:solidFill>
                    <w14:srgbClr w14:val="000000">
                      <w14:alpha w14:val="100000"/>
                    </w14:srgbClr>
                  </w14:solidFill>
                </w14:textFill>
              </w:rPr>
              <w:t>|</w:t>
            </w:r>
            <w:r w:rsidRPr="005265DE">
              <w:rPr>
                <w:rFonts w:hint="eastAsia"/>
                <w:color w:val="000000"/>
                <w:w w:val="22"/>
                <w:szCs w:val="20"/>
                <w:shd w:val="solid" w:color="000000" w:fill="000000"/>
                <w:fitText w:val="100" w:id="-628410867"/>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870963E" w14:textId="7B50DDEC"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66"/>
                <w14:textFill>
                  <w14:solidFill>
                    <w14:srgbClr w14:val="000000">
                      <w14:alpha w14:val="100000"/>
                    </w14:srgbClr>
                  </w14:solidFill>
                </w14:textFill>
              </w:rPr>
              <w:t xml:space="preserve">　</w:t>
            </w:r>
            <w:r w:rsidRPr="005265DE">
              <w:rPr>
                <w:color w:val="000000"/>
                <w:w w:val="22"/>
                <w:szCs w:val="20"/>
                <w:shd w:val="solid" w:color="000000" w:fill="000000"/>
                <w:fitText w:val="100" w:id="-628410866"/>
                <w14:textFill>
                  <w14:solidFill>
                    <w14:srgbClr w14:val="000000">
                      <w14:alpha w14:val="100000"/>
                    </w14:srgbClr>
                  </w14:solidFill>
                </w14:textFill>
              </w:rPr>
              <w:t>|</w:t>
            </w:r>
            <w:r w:rsidRPr="005265DE">
              <w:rPr>
                <w:rFonts w:hint="eastAsia"/>
                <w:color w:val="000000"/>
                <w:w w:val="22"/>
                <w:szCs w:val="20"/>
                <w:shd w:val="solid" w:color="000000" w:fill="000000"/>
                <w:fitText w:val="100" w:id="-62841086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2409388" w14:textId="3C2AE636"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65"/>
                <w14:textFill>
                  <w14:solidFill>
                    <w14:srgbClr w14:val="000000">
                      <w14:alpha w14:val="100000"/>
                    </w14:srgbClr>
                  </w14:solidFill>
                </w14:textFill>
              </w:rPr>
              <w:t xml:space="preserve">　</w:t>
            </w:r>
            <w:r w:rsidRPr="005265DE">
              <w:rPr>
                <w:color w:val="000000"/>
                <w:w w:val="22"/>
                <w:szCs w:val="20"/>
                <w:shd w:val="solid" w:color="000000" w:fill="000000"/>
                <w:fitText w:val="100" w:id="-628410865"/>
                <w14:textFill>
                  <w14:solidFill>
                    <w14:srgbClr w14:val="000000">
                      <w14:alpha w14:val="100000"/>
                    </w14:srgbClr>
                  </w14:solidFill>
                </w14:textFill>
              </w:rPr>
              <w:t>|</w:t>
            </w:r>
            <w:r w:rsidRPr="005265DE">
              <w:rPr>
                <w:rFonts w:hint="eastAsia"/>
                <w:color w:val="000000"/>
                <w:w w:val="22"/>
                <w:szCs w:val="20"/>
                <w:shd w:val="solid" w:color="000000" w:fill="000000"/>
                <w:fitText w:val="100" w:id="-628410865"/>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2687511" w14:textId="16C7B27C"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64"/>
                <w14:textFill>
                  <w14:solidFill>
                    <w14:srgbClr w14:val="000000">
                      <w14:alpha w14:val="100000"/>
                    </w14:srgbClr>
                  </w14:solidFill>
                </w14:textFill>
              </w:rPr>
              <w:t xml:space="preserve">　</w:t>
            </w:r>
            <w:r w:rsidRPr="005265DE">
              <w:rPr>
                <w:color w:val="000000"/>
                <w:w w:val="22"/>
                <w:szCs w:val="20"/>
                <w:shd w:val="solid" w:color="000000" w:fill="000000"/>
                <w:fitText w:val="100" w:id="-628410864"/>
                <w14:textFill>
                  <w14:solidFill>
                    <w14:srgbClr w14:val="000000">
                      <w14:alpha w14:val="100000"/>
                    </w14:srgbClr>
                  </w14:solidFill>
                </w14:textFill>
              </w:rPr>
              <w:t>|</w:t>
            </w:r>
            <w:r w:rsidRPr="005265DE">
              <w:rPr>
                <w:rFonts w:hint="eastAsia"/>
                <w:color w:val="000000"/>
                <w:w w:val="22"/>
                <w:szCs w:val="20"/>
                <w:shd w:val="solid" w:color="000000" w:fill="000000"/>
                <w:fitText w:val="100" w:id="-62841086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C5FCA8B" w14:textId="2555A817"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80"/>
                <w14:textFill>
                  <w14:solidFill>
                    <w14:srgbClr w14:val="000000">
                      <w14:alpha w14:val="100000"/>
                    </w14:srgbClr>
                  </w14:solidFill>
                </w14:textFill>
              </w:rPr>
              <w:t xml:space="preserve">　</w:t>
            </w:r>
            <w:r w:rsidRPr="005265DE">
              <w:rPr>
                <w:color w:val="000000"/>
                <w:w w:val="22"/>
                <w:szCs w:val="20"/>
                <w:shd w:val="solid" w:color="000000" w:fill="000000"/>
                <w:fitText w:val="100" w:id="-628410880"/>
                <w14:textFill>
                  <w14:solidFill>
                    <w14:srgbClr w14:val="000000">
                      <w14:alpha w14:val="100000"/>
                    </w14:srgbClr>
                  </w14:solidFill>
                </w14:textFill>
              </w:rPr>
              <w:t>|</w:t>
            </w:r>
            <w:r w:rsidRPr="005265DE">
              <w:rPr>
                <w:rFonts w:hint="eastAsia"/>
                <w:color w:val="000000"/>
                <w:w w:val="22"/>
                <w:szCs w:val="20"/>
                <w:shd w:val="solid" w:color="000000" w:fill="000000"/>
                <w:fitText w:val="100" w:id="-628410880"/>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1EA1E45" w14:textId="49C612E3"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9"/>
                <w14:textFill>
                  <w14:solidFill>
                    <w14:srgbClr w14:val="000000">
                      <w14:alpha w14:val="100000"/>
                    </w14:srgbClr>
                  </w14:solidFill>
                </w14:textFill>
              </w:rPr>
              <w:t xml:space="preserve">　</w:t>
            </w:r>
            <w:r w:rsidRPr="005265DE">
              <w:rPr>
                <w:color w:val="000000"/>
                <w:w w:val="22"/>
                <w:szCs w:val="20"/>
                <w:shd w:val="solid" w:color="000000" w:fill="000000"/>
                <w:fitText w:val="100" w:id="-628410879"/>
                <w14:textFill>
                  <w14:solidFill>
                    <w14:srgbClr w14:val="000000">
                      <w14:alpha w14:val="100000"/>
                    </w14:srgbClr>
                  </w14:solidFill>
                </w14:textFill>
              </w:rPr>
              <w:t>|</w:t>
            </w:r>
            <w:r w:rsidRPr="005265DE">
              <w:rPr>
                <w:rFonts w:hint="eastAsia"/>
                <w:color w:val="000000"/>
                <w:w w:val="22"/>
                <w:szCs w:val="20"/>
                <w:shd w:val="solid" w:color="000000" w:fill="000000"/>
                <w:fitText w:val="100" w:id="-62841087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6434DA8D" w14:textId="290F84D9" w:rsidR="00DC0A83" w:rsidRPr="00886D8A" w:rsidRDefault="00235F22" w:rsidP="004E36D3">
            <w:pPr>
              <w:pStyle w:val="TableText0"/>
              <w:jc w:val="center"/>
              <w:rPr>
                <w:szCs w:val="20"/>
              </w:rPr>
            </w:pPr>
            <w:r w:rsidRPr="00886D8A">
              <w:rPr>
                <w:szCs w:val="20"/>
              </w:rPr>
              <w:t>+</w:t>
            </w:r>
            <w:r w:rsidR="00ED4AC4" w:rsidRPr="00896015">
              <w:rPr>
                <w:color w:val="000000"/>
                <w:spacing w:val="102"/>
                <w:szCs w:val="20"/>
                <w:shd w:val="solid" w:color="000000" w:fill="000000"/>
                <w:fitText w:val="188" w:id="-628410878"/>
                <w14:textFill>
                  <w14:solidFill>
                    <w14:srgbClr w14:val="000000">
                      <w14:alpha w14:val="100000"/>
                    </w14:srgbClr>
                  </w14:solidFill>
                </w14:textFill>
              </w:rPr>
              <w:t>|</w:t>
            </w:r>
            <w:r w:rsidR="00ED4AC4" w:rsidRPr="00896015">
              <w:rPr>
                <w:color w:val="000000"/>
                <w:szCs w:val="20"/>
                <w:shd w:val="solid" w:color="000000" w:fill="000000"/>
                <w:fitText w:val="188" w:id="-628410878"/>
                <w14:textFill>
                  <w14:solidFill>
                    <w14:srgbClr w14:val="000000">
                      <w14:alpha w14:val="100000"/>
                    </w14:srgbClr>
                  </w14:solidFill>
                </w14:textFill>
              </w:rPr>
              <w:t>|</w:t>
            </w:r>
            <w:r w:rsidRPr="00886D8A">
              <w:rPr>
                <w:szCs w:val="20"/>
              </w:rPr>
              <w:t>%</w:t>
            </w:r>
          </w:p>
        </w:tc>
      </w:tr>
      <w:tr w:rsidR="00B63644" w:rsidRPr="00886D8A" w14:paraId="70B68655" w14:textId="2F6B31C6" w:rsidTr="00E746A1">
        <w:tc>
          <w:tcPr>
            <w:tcW w:w="1075" w:type="pct"/>
            <w:vAlign w:val="center"/>
          </w:tcPr>
          <w:p w14:paraId="1B1BBD58" w14:textId="3B7871C6" w:rsidR="00B63644" w:rsidRPr="00886D8A" w:rsidRDefault="00B63644" w:rsidP="004E36D3">
            <w:pPr>
              <w:pStyle w:val="TableText0"/>
              <w:rPr>
                <w:vertAlign w:val="superscript"/>
              </w:rPr>
            </w:pPr>
            <w:r w:rsidRPr="00886D8A">
              <w:t xml:space="preserve">Decreased uptake rate of </w:t>
            </w:r>
            <w:r w:rsidR="00ED4AC4" w:rsidRPr="00896015">
              <w:rPr>
                <w:color w:val="000000"/>
                <w:spacing w:val="51"/>
                <w:shd w:val="solid" w:color="000000" w:fill="000000"/>
                <w:fitText w:val="326" w:id="-628410877"/>
                <w14:textFill>
                  <w14:solidFill>
                    <w14:srgbClr w14:val="000000">
                      <w14:alpha w14:val="100000"/>
                    </w14:srgbClr>
                  </w14:solidFill>
                </w14:textFill>
              </w:rPr>
              <w:t>|||</w:t>
            </w:r>
            <w:r w:rsidR="00ED4AC4" w:rsidRPr="00896015">
              <w:rPr>
                <w:color w:val="000000"/>
                <w:spacing w:val="1"/>
                <w:shd w:val="solid" w:color="000000" w:fill="000000"/>
                <w:fitText w:val="326" w:id="-628410877"/>
                <w14:textFill>
                  <w14:solidFill>
                    <w14:srgbClr w14:val="000000">
                      <w14:alpha w14:val="100000"/>
                    </w14:srgbClr>
                  </w14:solidFill>
                </w14:textFill>
              </w:rPr>
              <w:t>|</w:t>
            </w:r>
            <w:r w:rsidRPr="00886D8A">
              <w:t>% (BC = 100%)</w:t>
            </w:r>
            <w:r w:rsidR="003B72FB">
              <w:t xml:space="preserve"> ($)</w:t>
            </w:r>
          </w:p>
        </w:tc>
        <w:tc>
          <w:tcPr>
            <w:tcW w:w="561" w:type="pct"/>
            <w:vAlign w:val="center"/>
          </w:tcPr>
          <w:p w14:paraId="123B8B06" w14:textId="51D94956"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76"/>
                <w14:textFill>
                  <w14:solidFill>
                    <w14:srgbClr w14:val="000000">
                      <w14:alpha w14:val="100000"/>
                    </w14:srgbClr>
                  </w14:solidFill>
                </w14:textFill>
              </w:rPr>
              <w:t xml:space="preserve">　</w:t>
            </w:r>
            <w:r w:rsidRPr="005265DE">
              <w:rPr>
                <w:color w:val="000000"/>
                <w:w w:val="22"/>
                <w:szCs w:val="20"/>
                <w:shd w:val="solid" w:color="000000" w:fill="000000"/>
                <w:fitText w:val="100" w:id="-628410876"/>
                <w14:textFill>
                  <w14:solidFill>
                    <w14:srgbClr w14:val="000000">
                      <w14:alpha w14:val="100000"/>
                    </w14:srgbClr>
                  </w14:solidFill>
                </w14:textFill>
              </w:rPr>
              <w:t>|</w:t>
            </w:r>
            <w:r w:rsidRPr="005265DE">
              <w:rPr>
                <w:rFonts w:hint="eastAsia"/>
                <w:color w:val="000000"/>
                <w:w w:val="22"/>
                <w:szCs w:val="20"/>
                <w:shd w:val="solid" w:color="000000" w:fill="000000"/>
                <w:fitText w:val="100" w:id="-62841087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1151258C" w14:textId="3DFBD5FB"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75"/>
                <w14:textFill>
                  <w14:solidFill>
                    <w14:srgbClr w14:val="000000">
                      <w14:alpha w14:val="100000"/>
                    </w14:srgbClr>
                  </w14:solidFill>
                </w14:textFill>
              </w:rPr>
              <w:t xml:space="preserve">　</w:t>
            </w:r>
            <w:r w:rsidRPr="005265DE">
              <w:rPr>
                <w:color w:val="000000"/>
                <w:w w:val="22"/>
                <w:szCs w:val="20"/>
                <w:shd w:val="solid" w:color="000000" w:fill="000000"/>
                <w:fitText w:val="100" w:id="-628410875"/>
                <w14:textFill>
                  <w14:solidFill>
                    <w14:srgbClr w14:val="000000">
                      <w14:alpha w14:val="100000"/>
                    </w14:srgbClr>
                  </w14:solidFill>
                </w14:textFill>
              </w:rPr>
              <w:t>|</w:t>
            </w:r>
            <w:r w:rsidRPr="005265DE">
              <w:rPr>
                <w:rFonts w:hint="eastAsia"/>
                <w:color w:val="000000"/>
                <w:w w:val="22"/>
                <w:szCs w:val="20"/>
                <w:shd w:val="solid" w:color="000000" w:fill="000000"/>
                <w:fitText w:val="100" w:id="-628410875"/>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11A2075" w14:textId="7968EF8B"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74"/>
                <w14:textFill>
                  <w14:solidFill>
                    <w14:srgbClr w14:val="000000">
                      <w14:alpha w14:val="100000"/>
                    </w14:srgbClr>
                  </w14:solidFill>
                </w14:textFill>
              </w:rPr>
              <w:t xml:space="preserve">　</w:t>
            </w:r>
            <w:r w:rsidRPr="005265DE">
              <w:rPr>
                <w:color w:val="000000"/>
                <w:w w:val="22"/>
                <w:szCs w:val="20"/>
                <w:shd w:val="solid" w:color="000000" w:fill="000000"/>
                <w:fitText w:val="100" w:id="-628410874"/>
                <w14:textFill>
                  <w14:solidFill>
                    <w14:srgbClr w14:val="000000">
                      <w14:alpha w14:val="100000"/>
                    </w14:srgbClr>
                  </w14:solidFill>
                </w14:textFill>
              </w:rPr>
              <w:t>|</w:t>
            </w:r>
            <w:r w:rsidRPr="005265DE">
              <w:rPr>
                <w:rFonts w:hint="eastAsia"/>
                <w:color w:val="000000"/>
                <w:w w:val="22"/>
                <w:szCs w:val="20"/>
                <w:shd w:val="solid" w:color="000000" w:fill="000000"/>
                <w:fitText w:val="100" w:id="-62841087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125C15FA" w14:textId="7E07BEB3"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73"/>
                <w14:textFill>
                  <w14:solidFill>
                    <w14:srgbClr w14:val="000000">
                      <w14:alpha w14:val="100000"/>
                    </w14:srgbClr>
                  </w14:solidFill>
                </w14:textFill>
              </w:rPr>
              <w:t xml:space="preserve">　</w:t>
            </w:r>
            <w:r w:rsidRPr="005265DE">
              <w:rPr>
                <w:color w:val="000000"/>
                <w:w w:val="22"/>
                <w:szCs w:val="20"/>
                <w:shd w:val="solid" w:color="000000" w:fill="000000"/>
                <w:fitText w:val="100" w:id="-628410873"/>
                <w14:textFill>
                  <w14:solidFill>
                    <w14:srgbClr w14:val="000000">
                      <w14:alpha w14:val="100000"/>
                    </w14:srgbClr>
                  </w14:solidFill>
                </w14:textFill>
              </w:rPr>
              <w:t>|</w:t>
            </w:r>
            <w:r w:rsidRPr="005265DE">
              <w:rPr>
                <w:rFonts w:hint="eastAsia"/>
                <w:color w:val="000000"/>
                <w:w w:val="22"/>
                <w:szCs w:val="20"/>
                <w:shd w:val="solid" w:color="000000" w:fill="000000"/>
                <w:fitText w:val="100" w:id="-628410873"/>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1C3D9D4" w14:textId="454E73D0"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72"/>
                <w14:textFill>
                  <w14:solidFill>
                    <w14:srgbClr w14:val="000000">
                      <w14:alpha w14:val="100000"/>
                    </w14:srgbClr>
                  </w14:solidFill>
                </w14:textFill>
              </w:rPr>
              <w:t xml:space="preserve">　</w:t>
            </w:r>
            <w:r w:rsidRPr="005265DE">
              <w:rPr>
                <w:color w:val="000000"/>
                <w:w w:val="22"/>
                <w:szCs w:val="20"/>
                <w:shd w:val="solid" w:color="000000" w:fill="000000"/>
                <w:fitText w:val="100" w:id="-628410872"/>
                <w14:textFill>
                  <w14:solidFill>
                    <w14:srgbClr w14:val="000000">
                      <w14:alpha w14:val="100000"/>
                    </w14:srgbClr>
                  </w14:solidFill>
                </w14:textFill>
              </w:rPr>
              <w:t>|</w:t>
            </w:r>
            <w:r w:rsidRPr="005265DE">
              <w:rPr>
                <w:rFonts w:hint="eastAsia"/>
                <w:color w:val="000000"/>
                <w:w w:val="22"/>
                <w:szCs w:val="20"/>
                <w:shd w:val="solid" w:color="000000" w:fill="000000"/>
                <w:fitText w:val="100" w:id="-628410872"/>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01889B32" w14:textId="08F66103" w:rsidR="00B63644" w:rsidRPr="008D4C41" w:rsidRDefault="00ED4AC4" w:rsidP="004E36D3">
            <w:pPr>
              <w:pStyle w:val="TableText0"/>
              <w:jc w:val="center"/>
              <w:rPr>
                <w:rFonts w:cs="Arial"/>
                <w:highlight w:val="darkGray"/>
              </w:rPr>
            </w:pPr>
            <w:r w:rsidRPr="005265DE">
              <w:rPr>
                <w:rFonts w:hint="eastAsia"/>
                <w:color w:val="000000"/>
                <w:w w:val="22"/>
                <w:szCs w:val="20"/>
                <w:shd w:val="solid" w:color="000000" w:fill="000000"/>
                <w:fitText w:val="100" w:id="-628410871"/>
                <w14:textFill>
                  <w14:solidFill>
                    <w14:srgbClr w14:val="000000">
                      <w14:alpha w14:val="100000"/>
                    </w14:srgbClr>
                  </w14:solidFill>
                </w14:textFill>
              </w:rPr>
              <w:t xml:space="preserve">　</w:t>
            </w:r>
            <w:r w:rsidRPr="005265DE">
              <w:rPr>
                <w:color w:val="000000"/>
                <w:w w:val="22"/>
                <w:szCs w:val="20"/>
                <w:shd w:val="solid" w:color="000000" w:fill="000000"/>
                <w:fitText w:val="100" w:id="-628410871"/>
                <w14:textFill>
                  <w14:solidFill>
                    <w14:srgbClr w14:val="000000">
                      <w14:alpha w14:val="100000"/>
                    </w14:srgbClr>
                  </w14:solidFill>
                </w14:textFill>
              </w:rPr>
              <w:t>|</w:t>
            </w:r>
            <w:r w:rsidRPr="005265DE">
              <w:rPr>
                <w:rFonts w:hint="eastAsia"/>
                <w:color w:val="000000"/>
                <w:w w:val="22"/>
                <w:szCs w:val="20"/>
                <w:shd w:val="solid" w:color="000000" w:fill="000000"/>
                <w:fitText w:val="100" w:id="-628410871"/>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473529ED" w14:textId="71CFA3B4" w:rsidR="00DC0A83" w:rsidRPr="00886D8A" w:rsidRDefault="0011024A" w:rsidP="004E36D3">
            <w:pPr>
              <w:pStyle w:val="TableText0"/>
              <w:jc w:val="center"/>
              <w:rPr>
                <w:szCs w:val="20"/>
              </w:rPr>
            </w:pPr>
            <w:r>
              <w:rPr>
                <w:szCs w:val="20"/>
              </w:rPr>
              <w:noBreakHyphen/>
            </w:r>
            <w:r w:rsidR="00ED4AC4" w:rsidRPr="00896015">
              <w:rPr>
                <w:color w:val="000000"/>
                <w:spacing w:val="76"/>
                <w:szCs w:val="20"/>
                <w:shd w:val="solid" w:color="000000" w:fill="000000"/>
                <w:fitText w:val="162" w:id="-628410870"/>
                <w14:textFill>
                  <w14:solidFill>
                    <w14:srgbClr w14:val="000000">
                      <w14:alpha w14:val="100000"/>
                    </w14:srgbClr>
                  </w14:solidFill>
                </w14:textFill>
              </w:rPr>
              <w:t>|</w:t>
            </w:r>
            <w:r w:rsidR="00ED4AC4" w:rsidRPr="00896015">
              <w:rPr>
                <w:color w:val="000000"/>
                <w:szCs w:val="20"/>
                <w:shd w:val="solid" w:color="000000" w:fill="000000"/>
                <w:fitText w:val="162" w:id="-628410870"/>
                <w14:textFill>
                  <w14:solidFill>
                    <w14:srgbClr w14:val="000000">
                      <w14:alpha w14:val="100000"/>
                    </w14:srgbClr>
                  </w14:solidFill>
                </w14:textFill>
              </w:rPr>
              <w:t>|</w:t>
            </w:r>
            <w:r w:rsidR="00105ACA" w:rsidRPr="00886D8A">
              <w:rPr>
                <w:szCs w:val="20"/>
              </w:rPr>
              <w:t>%</w:t>
            </w:r>
          </w:p>
        </w:tc>
      </w:tr>
      <w:tr w:rsidR="00B63644" w:rsidRPr="00886D8A" w14:paraId="35B18ABA" w14:textId="6691601E" w:rsidTr="00E746A1">
        <w:tc>
          <w:tcPr>
            <w:tcW w:w="1075" w:type="pct"/>
            <w:vAlign w:val="center"/>
          </w:tcPr>
          <w:p w14:paraId="254C5B6D" w14:textId="6A4CB491" w:rsidR="00B63644" w:rsidRPr="003B72FB" w:rsidRDefault="00B63644" w:rsidP="004E36D3">
            <w:pPr>
              <w:pStyle w:val="TableText0"/>
            </w:pPr>
            <w:r w:rsidRPr="00886D8A">
              <w:rPr>
                <w:szCs w:val="20"/>
              </w:rPr>
              <w:t>Alternative split in script dispensing in paediatric (&lt;18 years) patients</w:t>
            </w:r>
            <w:r w:rsidRPr="00886D8A">
              <w:rPr>
                <w:szCs w:val="20"/>
                <w:vertAlign w:val="superscript"/>
              </w:rPr>
              <w:t xml:space="preserve"> a</w:t>
            </w:r>
            <w:r w:rsidR="003B72FB">
              <w:rPr>
                <w:szCs w:val="20"/>
                <w:vertAlign w:val="superscript"/>
              </w:rPr>
              <w:t xml:space="preserve"> </w:t>
            </w:r>
            <w:r w:rsidR="003B72FB">
              <w:rPr>
                <w:szCs w:val="20"/>
              </w:rPr>
              <w:t>($)</w:t>
            </w:r>
          </w:p>
        </w:tc>
        <w:tc>
          <w:tcPr>
            <w:tcW w:w="561" w:type="pct"/>
            <w:vAlign w:val="center"/>
          </w:tcPr>
          <w:p w14:paraId="7D5C1CDE" w14:textId="6CDD40CB" w:rsidR="00B63644" w:rsidRPr="008D4C41" w:rsidRDefault="00ED4AC4" w:rsidP="004E36D3">
            <w:pPr>
              <w:pStyle w:val="TableText0"/>
              <w:jc w:val="center"/>
              <w:rPr>
                <w:highlight w:val="darkGray"/>
              </w:rPr>
            </w:pPr>
            <w:r w:rsidRPr="005265DE">
              <w:rPr>
                <w:rFonts w:cs="Arial" w:hint="eastAsia"/>
                <w:color w:val="000000"/>
                <w:w w:val="22"/>
                <w:szCs w:val="20"/>
                <w:shd w:val="solid" w:color="000000" w:fill="000000"/>
                <w:fitText w:val="100" w:id="-628410869"/>
                <w14:textFill>
                  <w14:solidFill>
                    <w14:srgbClr w14:val="000000">
                      <w14:alpha w14:val="100000"/>
                    </w14:srgbClr>
                  </w14:solidFill>
                </w14:textFill>
              </w:rPr>
              <w:t xml:space="preserve">　</w:t>
            </w:r>
            <w:r w:rsidRPr="005265DE">
              <w:rPr>
                <w:rFonts w:cs="Arial"/>
                <w:color w:val="000000"/>
                <w:w w:val="22"/>
                <w:szCs w:val="20"/>
                <w:shd w:val="solid" w:color="000000" w:fill="000000"/>
                <w:fitText w:val="100" w:id="-628410869"/>
                <w14:textFill>
                  <w14:solidFill>
                    <w14:srgbClr w14:val="000000">
                      <w14:alpha w14:val="100000"/>
                    </w14:srgbClr>
                  </w14:solidFill>
                </w14:textFill>
              </w:rPr>
              <w:t>|</w:t>
            </w:r>
            <w:r w:rsidRPr="005265DE">
              <w:rPr>
                <w:rFonts w:cs="Arial" w:hint="eastAsia"/>
                <w:color w:val="000000"/>
                <w:w w:val="22"/>
                <w:szCs w:val="20"/>
                <w:shd w:val="solid" w:color="000000" w:fill="000000"/>
                <w:fitText w:val="100" w:id="-62841086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1CC5A4C" w14:textId="021320FF" w:rsidR="00B63644" w:rsidRPr="008D4C41" w:rsidRDefault="00ED4AC4" w:rsidP="004E36D3">
            <w:pPr>
              <w:pStyle w:val="TableText0"/>
              <w:jc w:val="center"/>
              <w:rPr>
                <w:highlight w:val="darkGray"/>
              </w:rPr>
            </w:pPr>
            <w:r w:rsidRPr="005265DE">
              <w:rPr>
                <w:rFonts w:cs="Arial" w:hint="eastAsia"/>
                <w:color w:val="000000"/>
                <w:w w:val="22"/>
                <w:szCs w:val="20"/>
                <w:shd w:val="solid" w:color="000000" w:fill="000000"/>
                <w:fitText w:val="100" w:id="-628410868"/>
                <w14:textFill>
                  <w14:solidFill>
                    <w14:srgbClr w14:val="000000">
                      <w14:alpha w14:val="100000"/>
                    </w14:srgbClr>
                  </w14:solidFill>
                </w14:textFill>
              </w:rPr>
              <w:t xml:space="preserve">　</w:t>
            </w:r>
            <w:r w:rsidRPr="005265DE">
              <w:rPr>
                <w:rFonts w:cs="Arial"/>
                <w:color w:val="000000"/>
                <w:w w:val="22"/>
                <w:szCs w:val="20"/>
                <w:shd w:val="solid" w:color="000000" w:fill="000000"/>
                <w:fitText w:val="100" w:id="-628410868"/>
                <w14:textFill>
                  <w14:solidFill>
                    <w14:srgbClr w14:val="000000">
                      <w14:alpha w14:val="100000"/>
                    </w14:srgbClr>
                  </w14:solidFill>
                </w14:textFill>
              </w:rPr>
              <w:t>|</w:t>
            </w:r>
            <w:r w:rsidRPr="005265DE">
              <w:rPr>
                <w:rFonts w:cs="Arial" w:hint="eastAsia"/>
                <w:color w:val="000000"/>
                <w:w w:val="22"/>
                <w:szCs w:val="20"/>
                <w:shd w:val="solid" w:color="000000" w:fill="000000"/>
                <w:fitText w:val="100" w:id="-628410868"/>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7B0F3F2" w14:textId="28D942E9" w:rsidR="00B63644" w:rsidRPr="008D4C41" w:rsidRDefault="00ED4AC4" w:rsidP="004E36D3">
            <w:pPr>
              <w:pStyle w:val="TableText0"/>
              <w:jc w:val="center"/>
              <w:rPr>
                <w:highlight w:val="darkGray"/>
              </w:rPr>
            </w:pPr>
            <w:r w:rsidRPr="005265DE">
              <w:rPr>
                <w:rFonts w:cs="Arial" w:hint="eastAsia"/>
                <w:color w:val="000000"/>
                <w:w w:val="22"/>
                <w:szCs w:val="20"/>
                <w:shd w:val="solid" w:color="000000" w:fill="000000"/>
                <w:fitText w:val="100" w:id="-628410867"/>
                <w14:textFill>
                  <w14:solidFill>
                    <w14:srgbClr w14:val="000000">
                      <w14:alpha w14:val="100000"/>
                    </w14:srgbClr>
                  </w14:solidFill>
                </w14:textFill>
              </w:rPr>
              <w:t xml:space="preserve">　</w:t>
            </w:r>
            <w:r w:rsidRPr="005265DE">
              <w:rPr>
                <w:rFonts w:cs="Arial"/>
                <w:color w:val="000000"/>
                <w:w w:val="22"/>
                <w:szCs w:val="20"/>
                <w:shd w:val="solid" w:color="000000" w:fill="000000"/>
                <w:fitText w:val="100" w:id="-628410867"/>
                <w14:textFill>
                  <w14:solidFill>
                    <w14:srgbClr w14:val="000000">
                      <w14:alpha w14:val="100000"/>
                    </w14:srgbClr>
                  </w14:solidFill>
                </w14:textFill>
              </w:rPr>
              <w:t>|</w:t>
            </w:r>
            <w:r w:rsidRPr="005265DE">
              <w:rPr>
                <w:rFonts w:cs="Arial" w:hint="eastAsia"/>
                <w:color w:val="000000"/>
                <w:w w:val="22"/>
                <w:szCs w:val="20"/>
                <w:shd w:val="solid" w:color="000000" w:fill="000000"/>
                <w:fitText w:val="100" w:id="-628410867"/>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4A8B58B0" w14:textId="14B02058" w:rsidR="00B63644" w:rsidRPr="008D4C41" w:rsidRDefault="00ED4AC4" w:rsidP="004E36D3">
            <w:pPr>
              <w:pStyle w:val="TableText0"/>
              <w:jc w:val="center"/>
              <w:rPr>
                <w:highlight w:val="darkGray"/>
              </w:rPr>
            </w:pPr>
            <w:r w:rsidRPr="005265DE">
              <w:rPr>
                <w:rFonts w:cs="Arial" w:hint="eastAsia"/>
                <w:color w:val="000000"/>
                <w:w w:val="22"/>
                <w:szCs w:val="20"/>
                <w:shd w:val="solid" w:color="000000" w:fill="000000"/>
                <w:fitText w:val="100" w:id="-628410866"/>
                <w14:textFill>
                  <w14:solidFill>
                    <w14:srgbClr w14:val="000000">
                      <w14:alpha w14:val="100000"/>
                    </w14:srgbClr>
                  </w14:solidFill>
                </w14:textFill>
              </w:rPr>
              <w:t xml:space="preserve">　</w:t>
            </w:r>
            <w:r w:rsidRPr="005265DE">
              <w:rPr>
                <w:rFonts w:cs="Arial"/>
                <w:color w:val="000000"/>
                <w:w w:val="22"/>
                <w:szCs w:val="20"/>
                <w:shd w:val="solid" w:color="000000" w:fill="000000"/>
                <w:fitText w:val="100" w:id="-628410866"/>
                <w14:textFill>
                  <w14:solidFill>
                    <w14:srgbClr w14:val="000000">
                      <w14:alpha w14:val="100000"/>
                    </w14:srgbClr>
                  </w14:solidFill>
                </w14:textFill>
              </w:rPr>
              <w:t>|</w:t>
            </w:r>
            <w:r w:rsidRPr="005265DE">
              <w:rPr>
                <w:rFonts w:cs="Arial" w:hint="eastAsia"/>
                <w:color w:val="000000"/>
                <w:w w:val="22"/>
                <w:szCs w:val="20"/>
                <w:shd w:val="solid" w:color="000000" w:fill="000000"/>
                <w:fitText w:val="100" w:id="-62841086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ED6469B" w14:textId="29C42283" w:rsidR="00B63644" w:rsidRPr="008D4C41" w:rsidRDefault="00ED4AC4" w:rsidP="004E36D3">
            <w:pPr>
              <w:pStyle w:val="TableText0"/>
              <w:jc w:val="center"/>
              <w:rPr>
                <w:highlight w:val="darkGray"/>
              </w:rPr>
            </w:pPr>
            <w:r w:rsidRPr="005265DE">
              <w:rPr>
                <w:rFonts w:cs="Arial" w:hint="eastAsia"/>
                <w:color w:val="000000"/>
                <w:w w:val="22"/>
                <w:szCs w:val="20"/>
                <w:shd w:val="solid" w:color="000000" w:fill="000000"/>
                <w:fitText w:val="100" w:id="-628410865"/>
                <w14:textFill>
                  <w14:solidFill>
                    <w14:srgbClr w14:val="000000">
                      <w14:alpha w14:val="100000"/>
                    </w14:srgbClr>
                  </w14:solidFill>
                </w14:textFill>
              </w:rPr>
              <w:t xml:space="preserve">　</w:t>
            </w:r>
            <w:r w:rsidRPr="005265DE">
              <w:rPr>
                <w:rFonts w:cs="Arial"/>
                <w:color w:val="000000"/>
                <w:w w:val="22"/>
                <w:szCs w:val="20"/>
                <w:shd w:val="solid" w:color="000000" w:fill="000000"/>
                <w:fitText w:val="100" w:id="-628410865"/>
                <w14:textFill>
                  <w14:solidFill>
                    <w14:srgbClr w14:val="000000">
                      <w14:alpha w14:val="100000"/>
                    </w14:srgbClr>
                  </w14:solidFill>
                </w14:textFill>
              </w:rPr>
              <w:t>|</w:t>
            </w:r>
            <w:r w:rsidRPr="005265DE">
              <w:rPr>
                <w:rFonts w:cs="Arial" w:hint="eastAsia"/>
                <w:color w:val="000000"/>
                <w:w w:val="22"/>
                <w:szCs w:val="20"/>
                <w:shd w:val="solid" w:color="000000" w:fill="000000"/>
                <w:fitText w:val="100" w:id="-628410865"/>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5D5F8D03" w14:textId="51E1838B" w:rsidR="00B63644" w:rsidRPr="008D4C41" w:rsidRDefault="00ED4AC4" w:rsidP="004E36D3">
            <w:pPr>
              <w:pStyle w:val="TableText0"/>
              <w:jc w:val="center"/>
              <w:rPr>
                <w:highlight w:val="darkGray"/>
              </w:rPr>
            </w:pPr>
            <w:r w:rsidRPr="005265DE">
              <w:rPr>
                <w:rFonts w:cs="Arial" w:hint="eastAsia"/>
                <w:color w:val="000000"/>
                <w:w w:val="22"/>
                <w:szCs w:val="20"/>
                <w:shd w:val="solid" w:color="000000" w:fill="000000"/>
                <w:fitText w:val="100" w:id="-628410864"/>
                <w14:textFill>
                  <w14:solidFill>
                    <w14:srgbClr w14:val="000000">
                      <w14:alpha w14:val="100000"/>
                    </w14:srgbClr>
                  </w14:solidFill>
                </w14:textFill>
              </w:rPr>
              <w:t xml:space="preserve">　</w:t>
            </w:r>
            <w:r w:rsidRPr="005265DE">
              <w:rPr>
                <w:rFonts w:cs="Arial"/>
                <w:color w:val="000000"/>
                <w:w w:val="22"/>
                <w:szCs w:val="20"/>
                <w:shd w:val="solid" w:color="000000" w:fill="000000"/>
                <w:fitText w:val="100" w:id="-628410864"/>
                <w14:textFill>
                  <w14:solidFill>
                    <w14:srgbClr w14:val="000000">
                      <w14:alpha w14:val="100000"/>
                    </w14:srgbClr>
                  </w14:solidFill>
                </w14:textFill>
              </w:rPr>
              <w:t>|</w:t>
            </w:r>
            <w:r w:rsidRPr="005265DE">
              <w:rPr>
                <w:rFonts w:cs="Arial" w:hint="eastAsia"/>
                <w:color w:val="000000"/>
                <w:w w:val="22"/>
                <w:szCs w:val="20"/>
                <w:shd w:val="solid" w:color="000000" w:fill="000000"/>
                <w:fitText w:val="100" w:id="-62841086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6F8C4A6" w14:textId="664B7591" w:rsidR="00DC0A83" w:rsidRPr="00886D8A" w:rsidRDefault="00ED4AC4" w:rsidP="004E36D3">
            <w:pPr>
              <w:pStyle w:val="TableText0"/>
              <w:jc w:val="center"/>
              <w:rPr>
                <w:rFonts w:cs="Arial"/>
                <w:color w:val="000000"/>
                <w:szCs w:val="20"/>
              </w:rPr>
            </w:pPr>
            <w:r w:rsidRPr="005265DE">
              <w:rPr>
                <w:rFonts w:cs="Arial" w:hint="eastAsia"/>
                <w:color w:val="000000"/>
                <w:w w:val="33"/>
                <w:szCs w:val="20"/>
                <w:shd w:val="solid" w:color="000000" w:fill="000000"/>
                <w:fitText w:val="150" w:id="-628410880"/>
                <w14:textFill>
                  <w14:solidFill>
                    <w14:srgbClr w14:val="000000">
                      <w14:alpha w14:val="100000"/>
                    </w14:srgbClr>
                  </w14:solidFill>
                </w14:textFill>
              </w:rPr>
              <w:t xml:space="preserve">　</w:t>
            </w:r>
            <w:r w:rsidRPr="005265DE">
              <w:rPr>
                <w:rFonts w:cs="Arial"/>
                <w:color w:val="000000"/>
                <w:w w:val="33"/>
                <w:szCs w:val="20"/>
                <w:shd w:val="solid" w:color="000000" w:fill="000000"/>
                <w:fitText w:val="150" w:id="-628410880"/>
                <w14:textFill>
                  <w14:solidFill>
                    <w14:srgbClr w14:val="000000">
                      <w14:alpha w14:val="100000"/>
                    </w14:srgbClr>
                  </w14:solidFill>
                </w14:textFill>
              </w:rPr>
              <w:t>|</w:t>
            </w:r>
            <w:r w:rsidRPr="005265DE">
              <w:rPr>
                <w:rFonts w:cs="Arial" w:hint="eastAsia"/>
                <w:color w:val="000000"/>
                <w:w w:val="33"/>
                <w:szCs w:val="20"/>
                <w:shd w:val="solid" w:color="000000" w:fill="000000"/>
                <w:fitText w:val="150" w:id="-628410880"/>
                <w14:textFill>
                  <w14:solidFill>
                    <w14:srgbClr w14:val="000000">
                      <w14:alpha w14:val="100000"/>
                    </w14:srgbClr>
                  </w14:solidFill>
                </w14:textFill>
              </w:rPr>
              <w:t xml:space="preserve">　</w:t>
            </w:r>
            <w:r w:rsidR="00E9213D" w:rsidRPr="00886D8A">
              <w:rPr>
                <w:rFonts w:cs="Arial"/>
                <w:color w:val="000000"/>
                <w:szCs w:val="20"/>
              </w:rPr>
              <w:t>%</w:t>
            </w:r>
          </w:p>
        </w:tc>
      </w:tr>
      <w:tr w:rsidR="00B63644" w:rsidRPr="00886D8A" w14:paraId="3D1444D0" w14:textId="1B7C4252" w:rsidTr="00E746A1">
        <w:tc>
          <w:tcPr>
            <w:tcW w:w="1075" w:type="pct"/>
            <w:vAlign w:val="center"/>
          </w:tcPr>
          <w:p w14:paraId="7723C4DA" w14:textId="1E327B78" w:rsidR="00B63644" w:rsidRPr="003B72FB" w:rsidRDefault="00B63644" w:rsidP="004E36D3">
            <w:pPr>
              <w:pStyle w:val="TableText0"/>
            </w:pPr>
            <w:r w:rsidRPr="00886D8A">
              <w:rPr>
                <w:szCs w:val="20"/>
              </w:rPr>
              <w:t xml:space="preserve">Alternative split in script dispensing in adult (≥18 years) patients </w:t>
            </w:r>
            <w:r w:rsidRPr="00886D8A">
              <w:rPr>
                <w:szCs w:val="20"/>
                <w:vertAlign w:val="superscript"/>
              </w:rPr>
              <w:t>b</w:t>
            </w:r>
            <w:r w:rsidR="003B72FB">
              <w:rPr>
                <w:szCs w:val="20"/>
                <w:vertAlign w:val="superscript"/>
              </w:rPr>
              <w:t xml:space="preserve"> </w:t>
            </w:r>
            <w:r w:rsidR="003B72FB">
              <w:rPr>
                <w:szCs w:val="20"/>
              </w:rPr>
              <w:t>($)</w:t>
            </w:r>
          </w:p>
        </w:tc>
        <w:tc>
          <w:tcPr>
            <w:tcW w:w="561" w:type="pct"/>
            <w:vAlign w:val="center"/>
          </w:tcPr>
          <w:p w14:paraId="3243E3BF" w14:textId="0016ACE5"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9"/>
                <w14:textFill>
                  <w14:solidFill>
                    <w14:srgbClr w14:val="000000">
                      <w14:alpha w14:val="100000"/>
                    </w14:srgbClr>
                  </w14:solidFill>
                </w14:textFill>
              </w:rPr>
              <w:t xml:space="preserve">　</w:t>
            </w:r>
            <w:r w:rsidRPr="005265DE">
              <w:rPr>
                <w:color w:val="000000"/>
                <w:w w:val="22"/>
                <w:szCs w:val="20"/>
                <w:shd w:val="solid" w:color="000000" w:fill="000000"/>
                <w:fitText w:val="100" w:id="-628410879"/>
                <w14:textFill>
                  <w14:solidFill>
                    <w14:srgbClr w14:val="000000">
                      <w14:alpha w14:val="100000"/>
                    </w14:srgbClr>
                  </w14:solidFill>
                </w14:textFill>
              </w:rPr>
              <w:t>|</w:t>
            </w:r>
            <w:r w:rsidRPr="005265DE">
              <w:rPr>
                <w:rFonts w:hint="eastAsia"/>
                <w:color w:val="000000"/>
                <w:w w:val="22"/>
                <w:szCs w:val="20"/>
                <w:shd w:val="solid" w:color="000000" w:fill="000000"/>
                <w:fitText w:val="100" w:id="-628410879"/>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7184D64C" w14:textId="3E7A65C7"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8"/>
                <w14:textFill>
                  <w14:solidFill>
                    <w14:srgbClr w14:val="000000">
                      <w14:alpha w14:val="100000"/>
                    </w14:srgbClr>
                  </w14:solidFill>
                </w14:textFill>
              </w:rPr>
              <w:t xml:space="preserve">　</w:t>
            </w:r>
            <w:r w:rsidRPr="005265DE">
              <w:rPr>
                <w:color w:val="000000"/>
                <w:w w:val="22"/>
                <w:szCs w:val="20"/>
                <w:shd w:val="solid" w:color="000000" w:fill="000000"/>
                <w:fitText w:val="100" w:id="-628410878"/>
                <w14:textFill>
                  <w14:solidFill>
                    <w14:srgbClr w14:val="000000">
                      <w14:alpha w14:val="100000"/>
                    </w14:srgbClr>
                  </w14:solidFill>
                </w14:textFill>
              </w:rPr>
              <w:t>|</w:t>
            </w:r>
            <w:r w:rsidRPr="005265DE">
              <w:rPr>
                <w:rFonts w:hint="eastAsia"/>
                <w:color w:val="000000"/>
                <w:w w:val="22"/>
                <w:szCs w:val="20"/>
                <w:shd w:val="solid" w:color="000000" w:fill="000000"/>
                <w:fitText w:val="100" w:id="-628410878"/>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101E1F7E" w14:textId="31022042"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7"/>
                <w14:textFill>
                  <w14:solidFill>
                    <w14:srgbClr w14:val="000000">
                      <w14:alpha w14:val="100000"/>
                    </w14:srgbClr>
                  </w14:solidFill>
                </w14:textFill>
              </w:rPr>
              <w:t xml:space="preserve">　</w:t>
            </w:r>
            <w:r w:rsidRPr="005265DE">
              <w:rPr>
                <w:color w:val="000000"/>
                <w:w w:val="22"/>
                <w:szCs w:val="20"/>
                <w:shd w:val="solid" w:color="000000" w:fill="000000"/>
                <w:fitText w:val="100" w:id="-628410877"/>
                <w14:textFill>
                  <w14:solidFill>
                    <w14:srgbClr w14:val="000000">
                      <w14:alpha w14:val="100000"/>
                    </w14:srgbClr>
                  </w14:solidFill>
                </w14:textFill>
              </w:rPr>
              <w:t>|</w:t>
            </w:r>
            <w:r w:rsidRPr="005265DE">
              <w:rPr>
                <w:rFonts w:hint="eastAsia"/>
                <w:color w:val="000000"/>
                <w:w w:val="22"/>
                <w:szCs w:val="20"/>
                <w:shd w:val="solid" w:color="000000" w:fill="000000"/>
                <w:fitText w:val="100" w:id="-628410877"/>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6EAADE3E" w14:textId="2E66A823"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6"/>
                <w14:textFill>
                  <w14:solidFill>
                    <w14:srgbClr w14:val="000000">
                      <w14:alpha w14:val="100000"/>
                    </w14:srgbClr>
                  </w14:solidFill>
                </w14:textFill>
              </w:rPr>
              <w:t xml:space="preserve">　</w:t>
            </w:r>
            <w:r w:rsidRPr="005265DE">
              <w:rPr>
                <w:color w:val="000000"/>
                <w:w w:val="22"/>
                <w:szCs w:val="20"/>
                <w:shd w:val="solid" w:color="000000" w:fill="000000"/>
                <w:fitText w:val="100" w:id="-628410876"/>
                <w14:textFill>
                  <w14:solidFill>
                    <w14:srgbClr w14:val="000000">
                      <w14:alpha w14:val="100000"/>
                    </w14:srgbClr>
                  </w14:solidFill>
                </w14:textFill>
              </w:rPr>
              <w:t>|</w:t>
            </w:r>
            <w:r w:rsidRPr="005265DE">
              <w:rPr>
                <w:rFonts w:hint="eastAsia"/>
                <w:color w:val="000000"/>
                <w:w w:val="22"/>
                <w:szCs w:val="20"/>
                <w:shd w:val="solid" w:color="000000" w:fill="000000"/>
                <w:fitText w:val="100" w:id="-628410876"/>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2C1CD694" w14:textId="33E7B412"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5"/>
                <w14:textFill>
                  <w14:solidFill>
                    <w14:srgbClr w14:val="000000">
                      <w14:alpha w14:val="100000"/>
                    </w14:srgbClr>
                  </w14:solidFill>
                </w14:textFill>
              </w:rPr>
              <w:t xml:space="preserve">　</w:t>
            </w:r>
            <w:r w:rsidRPr="005265DE">
              <w:rPr>
                <w:color w:val="000000"/>
                <w:w w:val="22"/>
                <w:szCs w:val="20"/>
                <w:shd w:val="solid" w:color="000000" w:fill="000000"/>
                <w:fitText w:val="100" w:id="-628410875"/>
                <w14:textFill>
                  <w14:solidFill>
                    <w14:srgbClr w14:val="000000">
                      <w14:alpha w14:val="100000"/>
                    </w14:srgbClr>
                  </w14:solidFill>
                </w14:textFill>
              </w:rPr>
              <w:t>|</w:t>
            </w:r>
            <w:r w:rsidRPr="005265DE">
              <w:rPr>
                <w:rFonts w:hint="eastAsia"/>
                <w:color w:val="000000"/>
                <w:w w:val="22"/>
                <w:szCs w:val="20"/>
                <w:shd w:val="solid" w:color="000000" w:fill="000000"/>
                <w:fitText w:val="100" w:id="-628410875"/>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6960AE86" w14:textId="53A28F79" w:rsidR="00B63644" w:rsidRPr="008D4C41" w:rsidRDefault="00ED4AC4" w:rsidP="004E36D3">
            <w:pPr>
              <w:pStyle w:val="TableText0"/>
              <w:jc w:val="center"/>
              <w:rPr>
                <w:highlight w:val="darkGray"/>
              </w:rPr>
            </w:pPr>
            <w:r w:rsidRPr="005265DE">
              <w:rPr>
                <w:rFonts w:hint="eastAsia"/>
                <w:color w:val="000000"/>
                <w:w w:val="22"/>
                <w:szCs w:val="20"/>
                <w:shd w:val="solid" w:color="000000" w:fill="000000"/>
                <w:fitText w:val="100" w:id="-628410874"/>
                <w14:textFill>
                  <w14:solidFill>
                    <w14:srgbClr w14:val="000000">
                      <w14:alpha w14:val="100000"/>
                    </w14:srgbClr>
                  </w14:solidFill>
                </w14:textFill>
              </w:rPr>
              <w:t xml:space="preserve">　</w:t>
            </w:r>
            <w:r w:rsidRPr="005265DE">
              <w:rPr>
                <w:color w:val="000000"/>
                <w:w w:val="22"/>
                <w:szCs w:val="20"/>
                <w:shd w:val="solid" w:color="000000" w:fill="000000"/>
                <w:fitText w:val="100" w:id="-628410874"/>
                <w14:textFill>
                  <w14:solidFill>
                    <w14:srgbClr w14:val="000000">
                      <w14:alpha w14:val="100000"/>
                    </w14:srgbClr>
                  </w14:solidFill>
                </w14:textFill>
              </w:rPr>
              <w:t>|</w:t>
            </w:r>
            <w:r w:rsidRPr="005265DE">
              <w:rPr>
                <w:rFonts w:hint="eastAsia"/>
                <w:color w:val="000000"/>
                <w:w w:val="22"/>
                <w:szCs w:val="20"/>
                <w:shd w:val="solid" w:color="000000" w:fill="000000"/>
                <w:fitText w:val="100" w:id="-628410874"/>
                <w14:textFill>
                  <w14:solidFill>
                    <w14:srgbClr w14:val="000000">
                      <w14:alpha w14:val="100000"/>
                    </w14:srgbClr>
                  </w14:solidFill>
                </w14:textFill>
              </w:rPr>
              <w:t xml:space="preserve">　</w:t>
            </w:r>
            <w:r w:rsidR="00307591" w:rsidRPr="00307591">
              <w:rPr>
                <w:rFonts w:eastAsia="Times New Roman" w:cstheme="minorHAnsi"/>
                <w:bCs w:val="0"/>
                <w:szCs w:val="20"/>
                <w:vertAlign w:val="superscript"/>
              </w:rPr>
              <w:t>2</w:t>
            </w:r>
          </w:p>
        </w:tc>
        <w:tc>
          <w:tcPr>
            <w:tcW w:w="561" w:type="pct"/>
            <w:vAlign w:val="center"/>
          </w:tcPr>
          <w:p w14:paraId="6BE18B18" w14:textId="5FAD6796" w:rsidR="00DC0A83" w:rsidRPr="00886D8A" w:rsidRDefault="00ED4AC4" w:rsidP="004E36D3">
            <w:pPr>
              <w:pStyle w:val="TableText0"/>
              <w:jc w:val="center"/>
              <w:rPr>
                <w:szCs w:val="20"/>
              </w:rPr>
            </w:pPr>
            <w:r w:rsidRPr="005265DE">
              <w:rPr>
                <w:rFonts w:hint="eastAsia"/>
                <w:color w:val="000000"/>
                <w:w w:val="33"/>
                <w:szCs w:val="20"/>
                <w:shd w:val="solid" w:color="000000" w:fill="000000"/>
                <w:fitText w:val="150" w:id="-628410873"/>
                <w14:textFill>
                  <w14:solidFill>
                    <w14:srgbClr w14:val="000000">
                      <w14:alpha w14:val="100000"/>
                    </w14:srgbClr>
                  </w14:solidFill>
                </w14:textFill>
              </w:rPr>
              <w:t xml:space="preserve">　</w:t>
            </w:r>
            <w:r w:rsidRPr="005265DE">
              <w:rPr>
                <w:color w:val="000000"/>
                <w:w w:val="33"/>
                <w:szCs w:val="20"/>
                <w:shd w:val="solid" w:color="000000" w:fill="000000"/>
                <w:fitText w:val="150" w:id="-628410873"/>
                <w14:textFill>
                  <w14:solidFill>
                    <w14:srgbClr w14:val="000000">
                      <w14:alpha w14:val="100000"/>
                    </w14:srgbClr>
                  </w14:solidFill>
                </w14:textFill>
              </w:rPr>
              <w:t>|</w:t>
            </w:r>
            <w:r w:rsidRPr="005265DE">
              <w:rPr>
                <w:rFonts w:hint="eastAsia"/>
                <w:color w:val="000000"/>
                <w:w w:val="33"/>
                <w:szCs w:val="20"/>
                <w:shd w:val="solid" w:color="000000" w:fill="000000"/>
                <w:fitText w:val="150" w:id="-628410873"/>
                <w14:textFill>
                  <w14:solidFill>
                    <w14:srgbClr w14:val="000000">
                      <w14:alpha w14:val="100000"/>
                    </w14:srgbClr>
                  </w14:solidFill>
                </w14:textFill>
              </w:rPr>
              <w:t xml:space="preserve">　</w:t>
            </w:r>
            <w:r w:rsidR="007B3729" w:rsidRPr="00886D8A">
              <w:rPr>
                <w:szCs w:val="20"/>
              </w:rPr>
              <w:t>%</w:t>
            </w:r>
          </w:p>
        </w:tc>
      </w:tr>
    </w:tbl>
    <w:p w14:paraId="4DA0BC40" w14:textId="26DDFAE4" w:rsidR="00B63644" w:rsidRPr="00886D8A" w:rsidRDefault="00B63644" w:rsidP="004E36D3">
      <w:pPr>
        <w:pStyle w:val="FooterTableFigure"/>
      </w:pPr>
      <w:r w:rsidRPr="00886D8A">
        <w:t>Source: Table 4.6</w:t>
      </w:r>
      <w:r w:rsidR="0011024A">
        <w:noBreakHyphen/>
      </w:r>
      <w:r w:rsidRPr="00886D8A">
        <w:t>2, p206 of the submission, and Attachment 23 – Lamzede AM Financial Model – Revised, “Inputs and results”</w:t>
      </w:r>
    </w:p>
    <w:p w14:paraId="2A62B12D" w14:textId="1D64C65B" w:rsidR="00B63644" w:rsidRPr="00886D8A" w:rsidRDefault="007F223C" w:rsidP="004E36D3">
      <w:pPr>
        <w:pStyle w:val="FooterTableFigure"/>
      </w:pPr>
      <w:r w:rsidRPr="00886D8A">
        <w:t>BC = base case;</w:t>
      </w:r>
      <w:r w:rsidRPr="00886D8A">
        <w:rPr>
          <w:vertAlign w:val="superscript"/>
        </w:rPr>
        <w:t xml:space="preserve"> </w:t>
      </w:r>
      <w:r w:rsidR="00B63644" w:rsidRPr="00886D8A">
        <w:t>PBS = Pharmaceutical Benefits Scheme</w:t>
      </w:r>
      <w:r w:rsidRPr="00886D8A">
        <w:t>;</w:t>
      </w:r>
      <w:r w:rsidR="00B63644" w:rsidRPr="00886D8A">
        <w:t xml:space="preserve"> VA = Velmanase alfa</w:t>
      </w:r>
      <w:r w:rsidRPr="00886D8A">
        <w:t>.</w:t>
      </w:r>
      <w:r w:rsidR="00B63644" w:rsidRPr="00886D8A">
        <w:t xml:space="preserve"> </w:t>
      </w:r>
    </w:p>
    <w:p w14:paraId="0C623A52" w14:textId="10F5B9B6" w:rsidR="00B63644" w:rsidRPr="00886D8A" w:rsidRDefault="00B63644" w:rsidP="004E36D3">
      <w:pPr>
        <w:pStyle w:val="FooterTableFigure"/>
      </w:pPr>
      <w:r w:rsidRPr="00886D8A">
        <w:rPr>
          <w:vertAlign w:val="superscript"/>
        </w:rPr>
        <w:t>a</w:t>
      </w:r>
      <w:r w:rsidRPr="00886D8A">
        <w:t xml:space="preserve"> Assuming scripts in the paediatric population are distributed in a 0/0/100 split across the 1x10mg/5x10mg/10x10mg packs instead of a 0/100/0 split as assumed in the submission.</w:t>
      </w:r>
    </w:p>
    <w:p w14:paraId="4CD55522" w14:textId="77777777" w:rsidR="00C549F3" w:rsidRDefault="00B63644" w:rsidP="004E36D3">
      <w:pPr>
        <w:pStyle w:val="FooterTableFigure"/>
      </w:pPr>
      <w:r w:rsidRPr="00886D8A">
        <w:rPr>
          <w:vertAlign w:val="superscript"/>
        </w:rPr>
        <w:t>b</w:t>
      </w:r>
      <w:r w:rsidRPr="00886D8A">
        <w:t xml:space="preserve"> Assuming scripts in the adult population are distributed in a 6/0/94 split across the 1x10mg/5x10mg/10x10mg packs instead of a 40/0/60 split as assumed in the submission.</w:t>
      </w:r>
      <w:r w:rsidR="00C549F3" w:rsidRPr="00C549F3">
        <w:t xml:space="preserve"> </w:t>
      </w:r>
    </w:p>
    <w:p w14:paraId="11A68681" w14:textId="77777777" w:rsidR="00935F8D" w:rsidRPr="00935F8D" w:rsidRDefault="00935F8D" w:rsidP="00935F8D">
      <w:pPr>
        <w:pStyle w:val="FooterTableFigure"/>
        <w:rPr>
          <w:i/>
        </w:rPr>
      </w:pPr>
      <w:r w:rsidRPr="00935F8D">
        <w:rPr>
          <w:i/>
        </w:rPr>
        <w:t xml:space="preserve">The redacted values correspond to the following ranges: </w:t>
      </w:r>
    </w:p>
    <w:p w14:paraId="3C82AC00" w14:textId="3243FAF8" w:rsidR="00935F8D" w:rsidRDefault="00935F8D" w:rsidP="00935F8D">
      <w:pPr>
        <w:pStyle w:val="FooterTableFigure"/>
        <w:rPr>
          <w:i/>
        </w:rPr>
      </w:pPr>
      <w:r w:rsidRPr="00935F8D">
        <w:rPr>
          <w:i/>
          <w:vertAlign w:val="superscript"/>
        </w:rPr>
        <w:t>1</w:t>
      </w:r>
      <w:r w:rsidRPr="00935F8D">
        <w:rPr>
          <w:i/>
        </w:rPr>
        <w:t xml:space="preserve"> </w:t>
      </w:r>
      <w:r w:rsidR="0097110F" w:rsidRPr="0097110F">
        <w:rPr>
          <w:i/>
        </w:rPr>
        <w:t>&lt; 500</w:t>
      </w:r>
    </w:p>
    <w:p w14:paraId="3997AF4E" w14:textId="1DA90C35" w:rsidR="00DC5D95" w:rsidRPr="003371A0" w:rsidRDefault="00307591" w:rsidP="004E36D3">
      <w:pPr>
        <w:pStyle w:val="FooterTableFigure"/>
        <w:rPr>
          <w:i/>
          <w:iCs/>
        </w:rPr>
      </w:pPr>
      <w:r w:rsidRPr="00307591">
        <w:rPr>
          <w:i/>
          <w:iCs/>
          <w:vertAlign w:val="superscript"/>
        </w:rPr>
        <w:t>2</w:t>
      </w:r>
      <w:r>
        <w:rPr>
          <w:i/>
          <w:iCs/>
        </w:rPr>
        <w:t xml:space="preserve"> </w:t>
      </w:r>
      <w:r w:rsidRPr="00B72660">
        <w:rPr>
          <w:i/>
          <w:iCs/>
        </w:rPr>
        <w:t>$0 to &lt; $10 million</w:t>
      </w:r>
    </w:p>
    <w:p w14:paraId="2D7F2BCE" w14:textId="23B32CAC" w:rsidR="00B63644" w:rsidRPr="00886D8A" w:rsidRDefault="00B63644" w:rsidP="004E36D3">
      <w:pPr>
        <w:pStyle w:val="3-BodyText"/>
      </w:pPr>
      <w:r w:rsidRPr="00886D8A">
        <w:t xml:space="preserve">The financial estimates were highly sensitive to </w:t>
      </w:r>
      <w:r w:rsidR="00AB769A" w:rsidRPr="00886D8A">
        <w:t>varying</w:t>
      </w:r>
      <w:r w:rsidRPr="00886D8A">
        <w:t xml:space="preserve"> prevalence and incidence rate</w:t>
      </w:r>
      <w:r w:rsidR="0780A541" w:rsidRPr="00886D8A">
        <w:t>s</w:t>
      </w:r>
      <w:r w:rsidR="00AB769A" w:rsidRPr="00886D8A">
        <w:t xml:space="preserve"> of AM, and assuming no discontinuation</w:t>
      </w:r>
      <w:r w:rsidR="0B79D31E" w:rsidRPr="00886D8A">
        <w:t>.</w:t>
      </w:r>
      <w:r w:rsidR="00694B1B" w:rsidRPr="00886D8A">
        <w:t xml:space="preserve"> The Pre</w:t>
      </w:r>
      <w:r w:rsidR="0011024A">
        <w:noBreakHyphen/>
      </w:r>
      <w:r w:rsidR="00694B1B" w:rsidRPr="00886D8A">
        <w:t xml:space="preserve">PBAC Response </w:t>
      </w:r>
      <w:r w:rsidR="00AD1421" w:rsidRPr="00886D8A">
        <w:t xml:space="preserve">acknowledged the financial estimates </w:t>
      </w:r>
      <w:r w:rsidR="00BA5186" w:rsidRPr="00886D8A">
        <w:t>were</w:t>
      </w:r>
      <w:r w:rsidR="00AD1421" w:rsidRPr="00886D8A">
        <w:t xml:space="preserve"> sensitive to these parameters and noted the inputs preferred by the Sub</w:t>
      </w:r>
      <w:r w:rsidR="0011024A">
        <w:noBreakHyphen/>
      </w:r>
      <w:r w:rsidR="00AD1421" w:rsidRPr="00886D8A">
        <w:t xml:space="preserve">Committees </w:t>
      </w:r>
      <w:r w:rsidR="00BA5186" w:rsidRPr="00886D8A">
        <w:t xml:space="preserve">(see </w:t>
      </w:r>
      <w:r w:rsidR="00BA5186" w:rsidRPr="00886D8A">
        <w:fldChar w:fldCharType="begin"/>
      </w:r>
      <w:r w:rsidR="00BA5186" w:rsidRPr="00886D8A">
        <w:instrText xml:space="preserve"> REF _Ref104805262 \h </w:instrText>
      </w:r>
      <w:r w:rsidR="00BA5186" w:rsidRPr="00886D8A">
        <w:fldChar w:fldCharType="separate"/>
      </w:r>
      <w:r w:rsidR="00B73A9E" w:rsidRPr="00886D8A">
        <w:t xml:space="preserve">Table </w:t>
      </w:r>
      <w:r w:rsidR="00B73A9E">
        <w:rPr>
          <w:noProof/>
        </w:rPr>
        <w:t>18</w:t>
      </w:r>
      <w:r w:rsidR="00BA5186" w:rsidRPr="00886D8A">
        <w:fldChar w:fldCharType="end"/>
      </w:r>
      <w:r w:rsidR="00BA5186" w:rsidRPr="00886D8A">
        <w:t xml:space="preserve">) </w:t>
      </w:r>
      <w:r w:rsidR="00AD1421" w:rsidRPr="00886D8A">
        <w:t xml:space="preserve">would result in a lower </w:t>
      </w:r>
      <w:r w:rsidR="00C220B1" w:rsidRPr="00886D8A">
        <w:t xml:space="preserve">PBS expenditure on velmanase alfa than the submission model. </w:t>
      </w:r>
    </w:p>
    <w:p w14:paraId="24B77AB5" w14:textId="343B81DA" w:rsidR="00C14838" w:rsidRPr="00886D8A" w:rsidRDefault="00C14838" w:rsidP="004E36D3">
      <w:pPr>
        <w:pStyle w:val="4-SubsectionHeading"/>
      </w:pPr>
      <w:bookmarkStart w:id="113" w:name="_Toc22897648"/>
      <w:bookmarkStart w:id="114" w:name="_Toc197460426"/>
      <w:bookmarkStart w:id="115" w:name="_Toc198645889"/>
      <w:r w:rsidRPr="00886D8A">
        <w:t>Quality Use of Medicines</w:t>
      </w:r>
      <w:bookmarkEnd w:id="113"/>
      <w:bookmarkEnd w:id="114"/>
      <w:bookmarkEnd w:id="115"/>
    </w:p>
    <w:p w14:paraId="439908CA" w14:textId="7EABFDC8" w:rsidR="006D5E9A" w:rsidRPr="00886D8A" w:rsidRDefault="00C14838" w:rsidP="004E36D3">
      <w:pPr>
        <w:pStyle w:val="3-BodyText"/>
      </w:pPr>
      <w:r w:rsidRPr="00886D8A">
        <w:t>The submission</w:t>
      </w:r>
      <w:r w:rsidR="008D32AE" w:rsidRPr="00886D8A">
        <w:t xml:space="preserve"> stated</w:t>
      </w:r>
      <w:r w:rsidRPr="00886D8A">
        <w:t xml:space="preserve"> that the Quality Use of Medicines (QUM) was implemented through packaging in accordance with the approved PI and TGA requirements. Additionally, a QR code on the packaging directs patients to the Consumer Medicine Information (CMI). The submission also stated that the presentation of educational material and activities complies with the Medicines Australia Code of Conduct.</w:t>
      </w:r>
      <w:r w:rsidR="00A961F5">
        <w:t xml:space="preserve"> </w:t>
      </w:r>
    </w:p>
    <w:p w14:paraId="2AF52FB8" w14:textId="5FA76CA1" w:rsidR="00214E21" w:rsidRPr="00886D8A" w:rsidRDefault="00214E21" w:rsidP="004E36D3">
      <w:pPr>
        <w:ind w:firstLine="709"/>
      </w:pPr>
      <w:r w:rsidRPr="00886D8A">
        <w:rPr>
          <w:rFonts w:asciiTheme="minorHAnsi" w:hAnsiTheme="minorHAnsi"/>
          <w:i/>
        </w:rPr>
        <w:t>For more detail on PBAC’s view, see section 7 PBAC outcome.</w:t>
      </w:r>
    </w:p>
    <w:p w14:paraId="18558404" w14:textId="77777777" w:rsidR="000F3F10" w:rsidRPr="00886D8A" w:rsidRDefault="000F3F10" w:rsidP="00CD7617">
      <w:pPr>
        <w:pStyle w:val="2-SectionHeading"/>
        <w:numPr>
          <w:ilvl w:val="0"/>
          <w:numId w:val="1"/>
        </w:numPr>
      </w:pPr>
      <w:bookmarkStart w:id="116" w:name="_Hlk76381249"/>
      <w:r w:rsidRPr="00886D8A">
        <w:t>PBAC Outcome</w:t>
      </w:r>
    </w:p>
    <w:p w14:paraId="79C24D5B" w14:textId="57CD0411" w:rsidR="00FC3277" w:rsidRPr="00886D8A" w:rsidRDefault="00537251" w:rsidP="00CD7617">
      <w:pPr>
        <w:numPr>
          <w:ilvl w:val="1"/>
          <w:numId w:val="1"/>
        </w:numPr>
        <w:spacing w:after="120"/>
        <w:rPr>
          <w:rFonts w:asciiTheme="minorHAnsi" w:hAnsiTheme="minorHAnsi"/>
          <w:snapToGrid w:val="0"/>
        </w:rPr>
      </w:pPr>
      <w:bookmarkStart w:id="117" w:name="_Hlk111543188"/>
      <w:r w:rsidRPr="00886D8A">
        <w:rPr>
          <w:rFonts w:asciiTheme="minorHAnsi" w:hAnsiTheme="minorHAnsi"/>
          <w:snapToGrid w:val="0"/>
        </w:rPr>
        <w:t>The PBAC deferred making a recommendation for the listing of velmanase alfa</w:t>
      </w:r>
      <w:r w:rsidR="00EA7036" w:rsidRPr="00886D8A">
        <w:rPr>
          <w:rFonts w:asciiTheme="minorHAnsi" w:hAnsiTheme="minorHAnsi"/>
          <w:snapToGrid w:val="0"/>
        </w:rPr>
        <w:t xml:space="preserve"> for the treatment of non</w:t>
      </w:r>
      <w:r w:rsidR="0011024A">
        <w:rPr>
          <w:rFonts w:asciiTheme="minorHAnsi" w:hAnsiTheme="minorHAnsi"/>
          <w:snapToGrid w:val="0"/>
        </w:rPr>
        <w:noBreakHyphen/>
      </w:r>
      <w:r w:rsidR="00EA7036" w:rsidRPr="00886D8A">
        <w:rPr>
          <w:rFonts w:asciiTheme="minorHAnsi" w:hAnsiTheme="minorHAnsi"/>
          <w:snapToGrid w:val="0"/>
        </w:rPr>
        <w:t>neurological manifestations of alpha</w:t>
      </w:r>
      <w:r w:rsidR="0011024A">
        <w:rPr>
          <w:rFonts w:asciiTheme="minorHAnsi" w:hAnsiTheme="minorHAnsi"/>
          <w:snapToGrid w:val="0"/>
        </w:rPr>
        <w:noBreakHyphen/>
      </w:r>
      <w:r w:rsidR="00EA7036" w:rsidRPr="00886D8A">
        <w:rPr>
          <w:rFonts w:asciiTheme="minorHAnsi" w:hAnsiTheme="minorHAnsi"/>
          <w:snapToGrid w:val="0"/>
        </w:rPr>
        <w:t>mannosidosis</w:t>
      </w:r>
      <w:r w:rsidR="00A771D9" w:rsidRPr="00886D8A">
        <w:rPr>
          <w:rFonts w:asciiTheme="minorHAnsi" w:hAnsiTheme="minorHAnsi"/>
          <w:snapToGrid w:val="0"/>
        </w:rPr>
        <w:t xml:space="preserve"> (AM)</w:t>
      </w:r>
      <w:r w:rsidR="00EA7036" w:rsidRPr="00886D8A">
        <w:rPr>
          <w:rFonts w:asciiTheme="minorHAnsi" w:hAnsiTheme="minorHAnsi"/>
          <w:snapToGrid w:val="0"/>
        </w:rPr>
        <w:t>,</w:t>
      </w:r>
      <w:r w:rsidRPr="00886D8A">
        <w:rPr>
          <w:rFonts w:asciiTheme="minorHAnsi" w:hAnsiTheme="minorHAnsi"/>
          <w:snapToGrid w:val="0"/>
        </w:rPr>
        <w:t xml:space="preserve"> to allow for further discussion to better clarify the benefits of treatment</w:t>
      </w:r>
      <w:r w:rsidR="00B70D54" w:rsidRPr="00886D8A">
        <w:rPr>
          <w:rFonts w:asciiTheme="minorHAnsi" w:hAnsiTheme="minorHAnsi"/>
          <w:snapToGrid w:val="0"/>
        </w:rPr>
        <w:t xml:space="preserve"> and associated cost</w:t>
      </w:r>
      <w:r w:rsidR="0011024A">
        <w:rPr>
          <w:rFonts w:asciiTheme="minorHAnsi" w:hAnsiTheme="minorHAnsi"/>
          <w:snapToGrid w:val="0"/>
        </w:rPr>
        <w:noBreakHyphen/>
      </w:r>
      <w:r w:rsidR="00B70D54" w:rsidRPr="00886D8A">
        <w:rPr>
          <w:rFonts w:asciiTheme="minorHAnsi" w:hAnsiTheme="minorHAnsi"/>
          <w:snapToGrid w:val="0"/>
        </w:rPr>
        <w:t>effectiveness</w:t>
      </w:r>
      <w:r w:rsidRPr="00886D8A">
        <w:rPr>
          <w:rFonts w:asciiTheme="minorHAnsi" w:hAnsiTheme="minorHAnsi"/>
          <w:snapToGrid w:val="0"/>
        </w:rPr>
        <w:t>,</w:t>
      </w:r>
      <w:r w:rsidR="00F149A4" w:rsidRPr="00886D8A">
        <w:rPr>
          <w:rFonts w:asciiTheme="minorHAnsi" w:hAnsiTheme="minorHAnsi"/>
          <w:snapToGrid w:val="0"/>
        </w:rPr>
        <w:t xml:space="preserve"> and to further</w:t>
      </w:r>
      <w:r w:rsidRPr="00886D8A">
        <w:rPr>
          <w:rFonts w:asciiTheme="minorHAnsi" w:hAnsiTheme="minorHAnsi"/>
          <w:snapToGrid w:val="0"/>
        </w:rPr>
        <w:t xml:space="preserve"> develop the restriction. The Committee acknowledged </w:t>
      </w:r>
      <w:r w:rsidR="00A771D9" w:rsidRPr="00886D8A">
        <w:rPr>
          <w:rFonts w:asciiTheme="minorHAnsi" w:hAnsiTheme="minorHAnsi"/>
          <w:snapToGrid w:val="0"/>
        </w:rPr>
        <w:t>AM</w:t>
      </w:r>
      <w:r w:rsidRPr="00886D8A">
        <w:rPr>
          <w:rFonts w:asciiTheme="minorHAnsi" w:hAnsiTheme="minorHAnsi"/>
          <w:snapToGrid w:val="0"/>
        </w:rPr>
        <w:t xml:space="preserve"> is an extremely rare and devastating genetic condition arising from an improperly functioning</w:t>
      </w:r>
      <w:r w:rsidR="001C4575" w:rsidRPr="00886D8A">
        <w:rPr>
          <w:rFonts w:asciiTheme="minorHAnsi" w:hAnsiTheme="minorHAnsi"/>
          <w:snapToGrid w:val="0"/>
        </w:rPr>
        <w:t xml:space="preserve"> </w:t>
      </w:r>
      <w:r w:rsidR="000C56AA" w:rsidRPr="00886D8A">
        <w:rPr>
          <w:rFonts w:asciiTheme="minorHAnsi" w:hAnsiTheme="minorHAnsi"/>
          <w:snapToGrid w:val="0"/>
        </w:rPr>
        <w:t>AM</w:t>
      </w:r>
      <w:r w:rsidRPr="00886D8A">
        <w:rPr>
          <w:rFonts w:asciiTheme="minorHAnsi" w:hAnsiTheme="minorHAnsi"/>
          <w:snapToGrid w:val="0"/>
        </w:rPr>
        <w:t xml:space="preserve"> enzyme,</w:t>
      </w:r>
      <w:r w:rsidR="001C4575" w:rsidRPr="00886D8A">
        <w:rPr>
          <w:rFonts w:asciiTheme="minorHAnsi" w:hAnsiTheme="minorHAnsi"/>
          <w:snapToGrid w:val="0"/>
        </w:rPr>
        <w:t xml:space="preserve"> leading to excess </w:t>
      </w:r>
      <w:r w:rsidR="0061525A" w:rsidRPr="00886D8A">
        <w:rPr>
          <w:rFonts w:asciiTheme="minorHAnsi" w:hAnsiTheme="minorHAnsi"/>
          <w:snapToGrid w:val="0"/>
        </w:rPr>
        <w:t>mannose</w:t>
      </w:r>
      <w:r w:rsidR="0011024A">
        <w:rPr>
          <w:rFonts w:asciiTheme="minorHAnsi" w:hAnsiTheme="minorHAnsi"/>
          <w:snapToGrid w:val="0"/>
        </w:rPr>
        <w:noBreakHyphen/>
      </w:r>
      <w:r w:rsidR="0061525A" w:rsidRPr="00886D8A">
        <w:rPr>
          <w:rFonts w:asciiTheme="minorHAnsi" w:hAnsiTheme="minorHAnsi"/>
          <w:snapToGrid w:val="0"/>
        </w:rPr>
        <w:t>rich oligosaccharides throughout the body</w:t>
      </w:r>
      <w:r w:rsidRPr="00886D8A">
        <w:rPr>
          <w:rFonts w:asciiTheme="minorHAnsi" w:hAnsiTheme="minorHAnsi"/>
          <w:snapToGrid w:val="0"/>
        </w:rPr>
        <w:t xml:space="preserve"> </w:t>
      </w:r>
      <w:r w:rsidR="00B244AB" w:rsidRPr="00886D8A">
        <w:rPr>
          <w:rFonts w:asciiTheme="minorHAnsi" w:hAnsiTheme="minorHAnsi"/>
          <w:snapToGrid w:val="0"/>
        </w:rPr>
        <w:t>with</w:t>
      </w:r>
      <w:r w:rsidRPr="00886D8A">
        <w:rPr>
          <w:rFonts w:asciiTheme="minorHAnsi" w:hAnsiTheme="minorHAnsi"/>
          <w:snapToGrid w:val="0"/>
        </w:rPr>
        <w:t xml:space="preserve"> multi</w:t>
      </w:r>
      <w:r w:rsidR="0011024A">
        <w:rPr>
          <w:rFonts w:asciiTheme="minorHAnsi" w:hAnsiTheme="minorHAnsi"/>
          <w:snapToGrid w:val="0"/>
        </w:rPr>
        <w:noBreakHyphen/>
      </w:r>
      <w:r w:rsidRPr="00886D8A">
        <w:rPr>
          <w:rFonts w:asciiTheme="minorHAnsi" w:hAnsiTheme="minorHAnsi"/>
          <w:snapToGrid w:val="0"/>
        </w:rPr>
        <w:t xml:space="preserve">systemic effects on patients, and that no effective </w:t>
      </w:r>
      <w:r w:rsidR="007A6DEE" w:rsidRPr="00886D8A">
        <w:rPr>
          <w:rFonts w:asciiTheme="minorHAnsi" w:hAnsiTheme="minorHAnsi"/>
          <w:snapToGrid w:val="0"/>
        </w:rPr>
        <w:t xml:space="preserve">pharmacological </w:t>
      </w:r>
      <w:r w:rsidRPr="00886D8A">
        <w:rPr>
          <w:rFonts w:asciiTheme="minorHAnsi" w:hAnsiTheme="minorHAnsi"/>
          <w:snapToGrid w:val="0"/>
        </w:rPr>
        <w:t>therap</w:t>
      </w:r>
      <w:r w:rsidR="007A6DEE" w:rsidRPr="00886D8A">
        <w:rPr>
          <w:rFonts w:asciiTheme="minorHAnsi" w:hAnsiTheme="minorHAnsi"/>
          <w:snapToGrid w:val="0"/>
        </w:rPr>
        <w:t>ies</w:t>
      </w:r>
      <w:r w:rsidRPr="00886D8A">
        <w:rPr>
          <w:rFonts w:asciiTheme="minorHAnsi" w:hAnsiTheme="minorHAnsi"/>
          <w:snapToGrid w:val="0"/>
        </w:rPr>
        <w:t xml:space="preserve"> for this disease </w:t>
      </w:r>
      <w:r w:rsidR="00CB222B" w:rsidRPr="00886D8A">
        <w:rPr>
          <w:rFonts w:asciiTheme="minorHAnsi" w:hAnsiTheme="minorHAnsi"/>
          <w:snapToGrid w:val="0"/>
        </w:rPr>
        <w:t xml:space="preserve">are </w:t>
      </w:r>
      <w:r w:rsidRPr="00886D8A">
        <w:rPr>
          <w:rFonts w:asciiTheme="minorHAnsi" w:hAnsiTheme="minorHAnsi"/>
          <w:snapToGrid w:val="0"/>
        </w:rPr>
        <w:t xml:space="preserve">currently available. However, the PBAC considered that whilst the clinical data demonstrated that velmanase alfa is biochemically effective for reducing serum oligosaccharides, further information from the Sponsor </w:t>
      </w:r>
      <w:r w:rsidR="00CB222B" w:rsidRPr="00886D8A">
        <w:rPr>
          <w:rFonts w:asciiTheme="minorHAnsi" w:hAnsiTheme="minorHAnsi"/>
          <w:snapToGrid w:val="0"/>
        </w:rPr>
        <w:t xml:space="preserve">regarding </w:t>
      </w:r>
      <w:r w:rsidRPr="00886D8A">
        <w:rPr>
          <w:rFonts w:asciiTheme="minorHAnsi" w:hAnsiTheme="minorHAnsi"/>
          <w:snapToGrid w:val="0"/>
        </w:rPr>
        <w:t>the clinical and patient</w:t>
      </w:r>
      <w:r w:rsidR="0011024A">
        <w:rPr>
          <w:rFonts w:asciiTheme="minorHAnsi" w:hAnsiTheme="minorHAnsi"/>
          <w:snapToGrid w:val="0"/>
        </w:rPr>
        <w:noBreakHyphen/>
      </w:r>
      <w:r w:rsidRPr="00886D8A">
        <w:rPr>
          <w:rFonts w:asciiTheme="minorHAnsi" w:hAnsiTheme="minorHAnsi"/>
          <w:snapToGrid w:val="0"/>
        </w:rPr>
        <w:t>relevant benefits of treatment would be informative</w:t>
      </w:r>
      <w:r w:rsidR="002554D6" w:rsidRPr="00886D8A">
        <w:rPr>
          <w:rFonts w:asciiTheme="minorHAnsi" w:hAnsiTheme="minorHAnsi"/>
          <w:snapToGrid w:val="0"/>
        </w:rPr>
        <w:t>.</w:t>
      </w:r>
      <w:r w:rsidR="00095EDF" w:rsidRPr="00886D8A">
        <w:rPr>
          <w:rFonts w:asciiTheme="minorHAnsi" w:hAnsiTheme="minorHAnsi"/>
          <w:snapToGrid w:val="0"/>
        </w:rPr>
        <w:t xml:space="preserve"> </w:t>
      </w:r>
      <w:r w:rsidR="0045353C" w:rsidRPr="00886D8A">
        <w:rPr>
          <w:rFonts w:asciiTheme="minorHAnsi" w:hAnsiTheme="minorHAnsi"/>
          <w:snapToGrid w:val="0"/>
        </w:rPr>
        <w:t>The PBAC</w:t>
      </w:r>
      <w:r w:rsidR="00DB0FB4" w:rsidRPr="00886D8A">
        <w:rPr>
          <w:rFonts w:asciiTheme="minorHAnsi" w:hAnsiTheme="minorHAnsi"/>
          <w:snapToGrid w:val="0"/>
        </w:rPr>
        <w:t xml:space="preserve"> considered that the proposed </w:t>
      </w:r>
      <w:r w:rsidR="008443EA" w:rsidRPr="00886D8A">
        <w:rPr>
          <w:rFonts w:asciiTheme="minorHAnsi" w:hAnsiTheme="minorHAnsi"/>
          <w:snapToGrid w:val="0"/>
        </w:rPr>
        <w:t>cost</w:t>
      </w:r>
      <w:r w:rsidR="00DB0FB4" w:rsidRPr="00886D8A">
        <w:rPr>
          <w:rFonts w:asciiTheme="minorHAnsi" w:hAnsiTheme="minorHAnsi"/>
          <w:snapToGrid w:val="0"/>
        </w:rPr>
        <w:t xml:space="preserve"> of </w:t>
      </w:r>
      <w:r w:rsidR="002F4DE7" w:rsidRPr="00886D8A">
        <w:rPr>
          <w:rFonts w:asciiTheme="minorHAnsi" w:hAnsiTheme="minorHAnsi"/>
          <w:snapToGrid w:val="0"/>
        </w:rPr>
        <w:t>velmanase alfa was very high and uncertain as it was dependent on weight</w:t>
      </w:r>
      <w:r w:rsidR="0011024A">
        <w:rPr>
          <w:rFonts w:asciiTheme="minorHAnsi" w:hAnsiTheme="minorHAnsi"/>
          <w:snapToGrid w:val="0"/>
        </w:rPr>
        <w:noBreakHyphen/>
      </w:r>
      <w:r w:rsidR="002F4DE7" w:rsidRPr="00886D8A">
        <w:rPr>
          <w:rFonts w:asciiTheme="minorHAnsi" w:hAnsiTheme="minorHAnsi"/>
          <w:snapToGrid w:val="0"/>
        </w:rPr>
        <w:t>based dosing</w:t>
      </w:r>
      <w:r w:rsidR="008C2F92" w:rsidRPr="00886D8A">
        <w:rPr>
          <w:rFonts w:asciiTheme="minorHAnsi" w:hAnsiTheme="minorHAnsi"/>
          <w:snapToGrid w:val="0"/>
        </w:rPr>
        <w:t xml:space="preserve"> and the duration of therapy</w:t>
      </w:r>
      <w:r w:rsidR="002D4B99" w:rsidRPr="00886D8A">
        <w:rPr>
          <w:rFonts w:asciiTheme="minorHAnsi" w:hAnsiTheme="minorHAnsi"/>
          <w:snapToGrid w:val="0"/>
        </w:rPr>
        <w:t>.</w:t>
      </w:r>
      <w:r w:rsidR="00884500" w:rsidRPr="00886D8A">
        <w:rPr>
          <w:rFonts w:asciiTheme="minorHAnsi" w:hAnsiTheme="minorHAnsi"/>
          <w:snapToGrid w:val="0"/>
        </w:rPr>
        <w:t xml:space="preserve"> </w:t>
      </w:r>
      <w:r w:rsidR="00F31728" w:rsidRPr="00886D8A">
        <w:rPr>
          <w:rFonts w:asciiTheme="minorHAnsi" w:hAnsiTheme="minorHAnsi"/>
          <w:snapToGrid w:val="0"/>
        </w:rPr>
        <w:t xml:space="preserve">The </w:t>
      </w:r>
      <w:r w:rsidR="003A5041" w:rsidRPr="00886D8A">
        <w:rPr>
          <w:rFonts w:asciiTheme="minorHAnsi" w:hAnsiTheme="minorHAnsi"/>
          <w:snapToGrid w:val="0"/>
        </w:rPr>
        <w:t>PBAC</w:t>
      </w:r>
      <w:r w:rsidR="00F31728" w:rsidRPr="00886D8A">
        <w:rPr>
          <w:rFonts w:asciiTheme="minorHAnsi" w:hAnsiTheme="minorHAnsi"/>
          <w:snapToGrid w:val="0"/>
        </w:rPr>
        <w:t xml:space="preserve"> considered that </w:t>
      </w:r>
      <w:r w:rsidR="00095EDF" w:rsidRPr="00886D8A">
        <w:rPr>
          <w:rFonts w:asciiTheme="minorHAnsi" w:hAnsiTheme="minorHAnsi"/>
          <w:snapToGrid w:val="0"/>
        </w:rPr>
        <w:t>the economic model was not sufficiently r</w:t>
      </w:r>
      <w:r w:rsidR="000B13D2" w:rsidRPr="00886D8A">
        <w:rPr>
          <w:rFonts w:asciiTheme="minorHAnsi" w:hAnsiTheme="minorHAnsi"/>
          <w:snapToGrid w:val="0"/>
        </w:rPr>
        <w:t>eliable</w:t>
      </w:r>
      <w:r w:rsidR="00095EDF" w:rsidRPr="00886D8A">
        <w:rPr>
          <w:rFonts w:asciiTheme="minorHAnsi" w:hAnsiTheme="minorHAnsi"/>
          <w:snapToGrid w:val="0"/>
        </w:rPr>
        <w:t xml:space="preserve"> for decision</w:t>
      </w:r>
      <w:r w:rsidR="0011024A">
        <w:rPr>
          <w:rFonts w:asciiTheme="minorHAnsi" w:hAnsiTheme="minorHAnsi"/>
          <w:snapToGrid w:val="0"/>
        </w:rPr>
        <w:noBreakHyphen/>
      </w:r>
      <w:r w:rsidR="00095EDF" w:rsidRPr="00886D8A">
        <w:rPr>
          <w:rFonts w:asciiTheme="minorHAnsi" w:hAnsiTheme="minorHAnsi"/>
          <w:snapToGrid w:val="0"/>
        </w:rPr>
        <w:t>making</w:t>
      </w:r>
      <w:r w:rsidR="000B13D2" w:rsidRPr="00886D8A">
        <w:rPr>
          <w:rFonts w:asciiTheme="minorHAnsi" w:hAnsiTheme="minorHAnsi"/>
          <w:snapToGrid w:val="0"/>
        </w:rPr>
        <w:t xml:space="preserve"> due to the uncertainty in the clinical data</w:t>
      </w:r>
      <w:r w:rsidR="00E50B5C" w:rsidRPr="00886D8A">
        <w:rPr>
          <w:rFonts w:asciiTheme="minorHAnsi" w:hAnsiTheme="minorHAnsi"/>
          <w:snapToGrid w:val="0"/>
        </w:rPr>
        <w:t xml:space="preserve">. </w:t>
      </w:r>
      <w:r w:rsidR="001100D1" w:rsidRPr="00886D8A">
        <w:rPr>
          <w:rFonts w:asciiTheme="minorHAnsi" w:hAnsiTheme="minorHAnsi"/>
          <w:snapToGrid w:val="0"/>
        </w:rPr>
        <w:t>However, t</w:t>
      </w:r>
      <w:r w:rsidR="00F775AF" w:rsidRPr="00886D8A">
        <w:rPr>
          <w:rFonts w:asciiTheme="minorHAnsi" w:hAnsiTheme="minorHAnsi"/>
          <w:snapToGrid w:val="0"/>
        </w:rPr>
        <w:t xml:space="preserve">he PBAC considered that </w:t>
      </w:r>
      <w:r w:rsidR="008443EA" w:rsidRPr="00886D8A">
        <w:rPr>
          <w:rFonts w:asciiTheme="minorHAnsi" w:hAnsiTheme="minorHAnsi"/>
          <w:snapToGrid w:val="0"/>
        </w:rPr>
        <w:t xml:space="preserve">velmanase alfa </w:t>
      </w:r>
      <w:r w:rsidR="00FB6F2B" w:rsidRPr="00886D8A">
        <w:rPr>
          <w:rFonts w:asciiTheme="minorHAnsi" w:hAnsiTheme="minorHAnsi"/>
          <w:snapToGrid w:val="0"/>
        </w:rPr>
        <w:t>was</w:t>
      </w:r>
      <w:r w:rsidR="008B2C11" w:rsidRPr="00886D8A">
        <w:rPr>
          <w:rFonts w:asciiTheme="minorHAnsi" w:hAnsiTheme="minorHAnsi"/>
          <w:snapToGrid w:val="0"/>
        </w:rPr>
        <w:t xml:space="preserve"> not</w:t>
      </w:r>
      <w:r w:rsidR="008443EA" w:rsidRPr="00886D8A">
        <w:rPr>
          <w:rFonts w:asciiTheme="minorHAnsi" w:hAnsiTheme="minorHAnsi"/>
          <w:snapToGrid w:val="0"/>
        </w:rPr>
        <w:t xml:space="preserve"> cost effective</w:t>
      </w:r>
      <w:r w:rsidR="007B62C4" w:rsidRPr="00886D8A">
        <w:rPr>
          <w:rFonts w:asciiTheme="minorHAnsi" w:hAnsiTheme="minorHAnsi"/>
          <w:snapToGrid w:val="0"/>
        </w:rPr>
        <w:t>, noting the</w:t>
      </w:r>
      <w:r w:rsidR="00463DB7" w:rsidRPr="00886D8A">
        <w:rPr>
          <w:rFonts w:asciiTheme="minorHAnsi" w:hAnsiTheme="minorHAnsi"/>
          <w:snapToGrid w:val="0"/>
        </w:rPr>
        <w:t xml:space="preserve"> </w:t>
      </w:r>
      <w:r w:rsidR="00095EDF" w:rsidRPr="00886D8A">
        <w:rPr>
          <w:rFonts w:asciiTheme="minorHAnsi" w:hAnsiTheme="minorHAnsi"/>
          <w:snapToGrid w:val="0"/>
        </w:rPr>
        <w:t>cost per patient per year</w:t>
      </w:r>
      <w:r w:rsidR="00E44E37" w:rsidRPr="00886D8A">
        <w:rPr>
          <w:rFonts w:asciiTheme="minorHAnsi" w:hAnsiTheme="minorHAnsi"/>
          <w:snapToGrid w:val="0"/>
        </w:rPr>
        <w:t xml:space="preserve"> </w:t>
      </w:r>
      <w:r w:rsidR="007B62C4" w:rsidRPr="00886D8A">
        <w:rPr>
          <w:rFonts w:asciiTheme="minorHAnsi" w:hAnsiTheme="minorHAnsi"/>
          <w:snapToGrid w:val="0"/>
        </w:rPr>
        <w:t>was</w:t>
      </w:r>
      <w:r w:rsidR="003802DB" w:rsidRPr="00886D8A">
        <w:rPr>
          <w:rFonts w:asciiTheme="minorHAnsi" w:hAnsiTheme="minorHAnsi"/>
          <w:snapToGrid w:val="0"/>
        </w:rPr>
        <w:t xml:space="preserve"> substantially higher than</w:t>
      </w:r>
      <w:r w:rsidR="00E44E37" w:rsidRPr="00886D8A">
        <w:rPr>
          <w:rFonts w:asciiTheme="minorHAnsi" w:hAnsiTheme="minorHAnsi"/>
          <w:snapToGrid w:val="0"/>
        </w:rPr>
        <w:t xml:space="preserve"> that </w:t>
      </w:r>
      <w:r w:rsidR="00B605A4" w:rsidRPr="00886D8A">
        <w:rPr>
          <w:rFonts w:asciiTheme="minorHAnsi" w:hAnsiTheme="minorHAnsi"/>
          <w:snapToGrid w:val="0"/>
        </w:rPr>
        <w:t>for previously recommended</w:t>
      </w:r>
      <w:r w:rsidR="00095EDF" w:rsidRPr="00886D8A">
        <w:rPr>
          <w:rFonts w:asciiTheme="minorHAnsi" w:hAnsiTheme="minorHAnsi"/>
          <w:snapToGrid w:val="0"/>
        </w:rPr>
        <w:t xml:space="preserve"> treatments for </w:t>
      </w:r>
      <w:r w:rsidR="00755E71" w:rsidRPr="00886D8A">
        <w:rPr>
          <w:rFonts w:asciiTheme="minorHAnsi" w:hAnsiTheme="minorHAnsi"/>
          <w:snapToGrid w:val="0"/>
        </w:rPr>
        <w:t>ultra</w:t>
      </w:r>
      <w:r w:rsidR="0011024A">
        <w:rPr>
          <w:rFonts w:asciiTheme="minorHAnsi" w:hAnsiTheme="minorHAnsi"/>
          <w:snapToGrid w:val="0"/>
        </w:rPr>
        <w:noBreakHyphen/>
      </w:r>
      <w:r w:rsidR="00095EDF" w:rsidRPr="00886D8A">
        <w:rPr>
          <w:rFonts w:asciiTheme="minorHAnsi" w:hAnsiTheme="minorHAnsi"/>
          <w:snapToGrid w:val="0"/>
        </w:rPr>
        <w:t>rare diseases funded on the PBS</w:t>
      </w:r>
      <w:r w:rsidR="00C5798E" w:rsidRPr="00886D8A">
        <w:rPr>
          <w:rFonts w:asciiTheme="minorHAnsi" w:hAnsiTheme="minorHAnsi"/>
          <w:snapToGrid w:val="0"/>
        </w:rPr>
        <w:t xml:space="preserve"> with </w:t>
      </w:r>
      <w:r w:rsidR="00450EE6" w:rsidRPr="00886D8A">
        <w:rPr>
          <w:rFonts w:asciiTheme="minorHAnsi" w:hAnsiTheme="minorHAnsi"/>
          <w:snapToGrid w:val="0"/>
        </w:rPr>
        <w:t>benefits</w:t>
      </w:r>
      <w:r w:rsidR="00D2223F" w:rsidRPr="00886D8A">
        <w:rPr>
          <w:rFonts w:asciiTheme="minorHAnsi" w:hAnsiTheme="minorHAnsi"/>
          <w:snapToGrid w:val="0"/>
        </w:rPr>
        <w:t xml:space="preserve"> which are likely similar in terms of </w:t>
      </w:r>
      <w:r w:rsidR="00430605" w:rsidRPr="00886D8A">
        <w:rPr>
          <w:rFonts w:asciiTheme="minorHAnsi" w:hAnsiTheme="minorHAnsi"/>
          <w:snapToGrid w:val="0"/>
        </w:rPr>
        <w:t>clinical impact</w:t>
      </w:r>
      <w:r w:rsidR="00095EDF" w:rsidRPr="00886D8A">
        <w:rPr>
          <w:rFonts w:asciiTheme="minorHAnsi" w:hAnsiTheme="minorHAnsi"/>
          <w:snapToGrid w:val="0"/>
        </w:rPr>
        <w:t>.</w:t>
      </w:r>
      <w:r w:rsidR="003D5F3F" w:rsidRPr="00886D8A">
        <w:rPr>
          <w:rFonts w:asciiTheme="minorHAnsi" w:hAnsiTheme="minorHAnsi"/>
          <w:snapToGrid w:val="0"/>
        </w:rPr>
        <w:t xml:space="preserve"> </w:t>
      </w:r>
      <w:r w:rsidR="00881840" w:rsidRPr="00886D8A">
        <w:rPr>
          <w:rFonts w:asciiTheme="minorHAnsi" w:hAnsiTheme="minorHAnsi"/>
          <w:snapToGrid w:val="0"/>
        </w:rPr>
        <w:t>The PBAC noted tha</w:t>
      </w:r>
      <w:r w:rsidR="00A67F40" w:rsidRPr="00886D8A">
        <w:rPr>
          <w:rFonts w:asciiTheme="minorHAnsi" w:hAnsiTheme="minorHAnsi"/>
          <w:snapToGrid w:val="0"/>
        </w:rPr>
        <w:t>t</w:t>
      </w:r>
      <w:r w:rsidR="00881840" w:rsidRPr="00886D8A">
        <w:rPr>
          <w:rFonts w:asciiTheme="minorHAnsi" w:hAnsiTheme="minorHAnsi"/>
          <w:snapToGrid w:val="0"/>
        </w:rPr>
        <w:t xml:space="preserve"> the estimated utilisation of velmanase alfa</w:t>
      </w:r>
      <w:r w:rsidR="00A67F40" w:rsidRPr="00886D8A">
        <w:rPr>
          <w:rFonts w:asciiTheme="minorHAnsi" w:hAnsiTheme="minorHAnsi"/>
          <w:snapToGrid w:val="0"/>
        </w:rPr>
        <w:t xml:space="preserve"> was likely overestimated</w:t>
      </w:r>
      <w:r w:rsidR="002B05D2" w:rsidRPr="00886D8A">
        <w:rPr>
          <w:rFonts w:asciiTheme="minorHAnsi" w:hAnsiTheme="minorHAnsi"/>
          <w:snapToGrid w:val="0"/>
        </w:rPr>
        <w:t xml:space="preserve"> </w:t>
      </w:r>
      <w:r w:rsidR="0042048C" w:rsidRPr="00886D8A">
        <w:rPr>
          <w:rFonts w:asciiTheme="minorHAnsi" w:hAnsiTheme="minorHAnsi"/>
          <w:snapToGrid w:val="0"/>
        </w:rPr>
        <w:t xml:space="preserve">by the submission </w:t>
      </w:r>
      <w:r w:rsidR="002B05D2" w:rsidRPr="00886D8A">
        <w:rPr>
          <w:rFonts w:asciiTheme="minorHAnsi" w:hAnsiTheme="minorHAnsi"/>
          <w:snapToGrid w:val="0"/>
        </w:rPr>
        <w:t xml:space="preserve">and considered that a risk sharing arrangement (RSA) would be an appropriate way to </w:t>
      </w:r>
      <w:r w:rsidR="00BC41E6" w:rsidRPr="00886D8A">
        <w:rPr>
          <w:rFonts w:asciiTheme="minorHAnsi" w:hAnsiTheme="minorHAnsi"/>
          <w:snapToGrid w:val="0"/>
        </w:rPr>
        <w:t>manage potential use outside the restrictions</w:t>
      </w:r>
      <w:r w:rsidR="009342B9" w:rsidRPr="00886D8A">
        <w:rPr>
          <w:rFonts w:asciiTheme="minorHAnsi" w:hAnsiTheme="minorHAnsi"/>
          <w:snapToGrid w:val="0"/>
        </w:rPr>
        <w:t xml:space="preserve"> and higher </w:t>
      </w:r>
      <w:r w:rsidR="00950520" w:rsidRPr="00886D8A">
        <w:rPr>
          <w:rFonts w:asciiTheme="minorHAnsi" w:hAnsiTheme="minorHAnsi"/>
          <w:snapToGrid w:val="0"/>
        </w:rPr>
        <w:t xml:space="preserve">than predicted average </w:t>
      </w:r>
      <w:r w:rsidR="009342B9" w:rsidRPr="00886D8A">
        <w:rPr>
          <w:rFonts w:asciiTheme="minorHAnsi" w:hAnsiTheme="minorHAnsi"/>
          <w:snapToGrid w:val="0"/>
        </w:rPr>
        <w:t>doses</w:t>
      </w:r>
      <w:r w:rsidR="00950520" w:rsidRPr="00886D8A">
        <w:rPr>
          <w:rFonts w:asciiTheme="minorHAnsi" w:hAnsiTheme="minorHAnsi"/>
          <w:snapToGrid w:val="0"/>
        </w:rPr>
        <w:t xml:space="preserve"> (as dosing is weight based)</w:t>
      </w:r>
      <w:r w:rsidR="000427E5" w:rsidRPr="00886D8A">
        <w:rPr>
          <w:rFonts w:asciiTheme="minorHAnsi" w:hAnsiTheme="minorHAnsi"/>
          <w:snapToGrid w:val="0"/>
        </w:rPr>
        <w:t>.</w:t>
      </w:r>
    </w:p>
    <w:bookmarkEnd w:id="117"/>
    <w:p w14:paraId="71373DD6" w14:textId="18DD4A08" w:rsidR="00A5197A" w:rsidRPr="00886D8A" w:rsidRDefault="00A5197A" w:rsidP="00CD7617">
      <w:pPr>
        <w:numPr>
          <w:ilvl w:val="1"/>
          <w:numId w:val="1"/>
        </w:numPr>
        <w:spacing w:after="120"/>
        <w:rPr>
          <w:rFonts w:asciiTheme="minorHAnsi" w:hAnsiTheme="minorHAnsi"/>
          <w:snapToGrid w:val="0"/>
        </w:rPr>
      </w:pPr>
      <w:r w:rsidRPr="00886D8A">
        <w:rPr>
          <w:rFonts w:asciiTheme="minorHAnsi" w:hAnsiTheme="minorHAnsi"/>
          <w:snapToGrid w:val="0"/>
        </w:rPr>
        <w:t xml:space="preserve">The PBAC recognised the high and urgent clinical need for treatments for AM, for which there are currently no available </w:t>
      </w:r>
      <w:r w:rsidR="004E322C" w:rsidRPr="00886D8A">
        <w:rPr>
          <w:rFonts w:asciiTheme="minorHAnsi" w:hAnsiTheme="minorHAnsi"/>
          <w:snapToGrid w:val="0"/>
        </w:rPr>
        <w:t xml:space="preserve">pharmacological </w:t>
      </w:r>
      <w:r w:rsidRPr="00886D8A">
        <w:rPr>
          <w:rFonts w:asciiTheme="minorHAnsi" w:hAnsiTheme="minorHAnsi"/>
          <w:snapToGrid w:val="0"/>
        </w:rPr>
        <w:t>treatments. The PBAC noted that AM is an ultra</w:t>
      </w:r>
      <w:r w:rsidR="0011024A">
        <w:rPr>
          <w:rFonts w:asciiTheme="minorHAnsi" w:hAnsiTheme="minorHAnsi"/>
          <w:snapToGrid w:val="0"/>
        </w:rPr>
        <w:noBreakHyphen/>
      </w:r>
      <w:r w:rsidRPr="00886D8A">
        <w:rPr>
          <w:rFonts w:asciiTheme="minorHAnsi" w:hAnsiTheme="minorHAnsi"/>
          <w:snapToGrid w:val="0"/>
        </w:rPr>
        <w:t>rare disease with very substantial impacts on quality of life</w:t>
      </w:r>
      <w:r w:rsidR="00AE1CBF" w:rsidRPr="00886D8A">
        <w:rPr>
          <w:rFonts w:asciiTheme="minorHAnsi" w:hAnsiTheme="minorHAnsi"/>
          <w:snapToGrid w:val="0"/>
        </w:rPr>
        <w:t xml:space="preserve"> (QoL)</w:t>
      </w:r>
      <w:r w:rsidRPr="00886D8A">
        <w:rPr>
          <w:rFonts w:asciiTheme="minorHAnsi" w:hAnsiTheme="minorHAnsi"/>
          <w:snapToGrid w:val="0"/>
        </w:rPr>
        <w:t xml:space="preserve"> for patients and their carers</w:t>
      </w:r>
      <w:r w:rsidR="00E37584" w:rsidRPr="00886D8A">
        <w:rPr>
          <w:rFonts w:asciiTheme="minorHAnsi" w:hAnsiTheme="minorHAnsi"/>
          <w:snapToGrid w:val="0"/>
        </w:rPr>
        <w:t xml:space="preserve">. </w:t>
      </w:r>
      <w:r w:rsidR="00165372" w:rsidRPr="00886D8A">
        <w:rPr>
          <w:rFonts w:asciiTheme="minorHAnsi" w:hAnsiTheme="minorHAnsi"/>
          <w:snapToGrid w:val="0"/>
        </w:rPr>
        <w:t>The PBAC noted that</w:t>
      </w:r>
      <w:r w:rsidR="008E0D5E" w:rsidRPr="00886D8A">
        <w:rPr>
          <w:rFonts w:asciiTheme="minorHAnsi" w:hAnsiTheme="minorHAnsi"/>
          <w:snapToGrid w:val="0"/>
        </w:rPr>
        <w:t xml:space="preserve"> the age of diagnosis of AM is variable and can range from early infancy </w:t>
      </w:r>
      <w:r w:rsidR="00DE7EB3" w:rsidRPr="00886D8A">
        <w:rPr>
          <w:rFonts w:asciiTheme="minorHAnsi" w:hAnsiTheme="minorHAnsi"/>
          <w:snapToGrid w:val="0"/>
        </w:rPr>
        <w:t xml:space="preserve">in patients with more severe forms </w:t>
      </w:r>
      <w:r w:rsidR="003B0A14" w:rsidRPr="00886D8A">
        <w:rPr>
          <w:rFonts w:asciiTheme="minorHAnsi" w:hAnsiTheme="minorHAnsi"/>
          <w:snapToGrid w:val="0"/>
        </w:rPr>
        <w:t xml:space="preserve">of </w:t>
      </w:r>
      <w:r w:rsidR="00DE7EB3" w:rsidRPr="00886D8A">
        <w:rPr>
          <w:rFonts w:asciiTheme="minorHAnsi" w:hAnsiTheme="minorHAnsi"/>
          <w:snapToGrid w:val="0"/>
        </w:rPr>
        <w:t xml:space="preserve">disease up to early adulthood for less severe forms of disease. </w:t>
      </w:r>
      <w:r w:rsidR="00CD5DC7" w:rsidRPr="00886D8A">
        <w:rPr>
          <w:rFonts w:asciiTheme="minorHAnsi" w:hAnsiTheme="minorHAnsi"/>
          <w:snapToGrid w:val="0"/>
        </w:rPr>
        <w:t xml:space="preserve">The PBAC noted the sponsor hearing and the consumer input descriptions </w:t>
      </w:r>
      <w:r w:rsidR="00750219" w:rsidRPr="00886D8A">
        <w:rPr>
          <w:rFonts w:asciiTheme="minorHAnsi" w:hAnsiTheme="minorHAnsi"/>
          <w:snapToGrid w:val="0"/>
        </w:rPr>
        <w:t xml:space="preserve">of the disease progression in individuals with AM, including </w:t>
      </w:r>
      <w:r w:rsidR="00E56B41" w:rsidRPr="00886D8A">
        <w:rPr>
          <w:rFonts w:asciiTheme="minorHAnsi" w:hAnsiTheme="minorHAnsi"/>
          <w:snapToGrid w:val="0"/>
        </w:rPr>
        <w:t xml:space="preserve">skeletal development issues and </w:t>
      </w:r>
      <w:r w:rsidR="00750219" w:rsidRPr="00886D8A">
        <w:rPr>
          <w:rFonts w:asciiTheme="minorHAnsi" w:hAnsiTheme="minorHAnsi"/>
          <w:snapToGrid w:val="0"/>
        </w:rPr>
        <w:t xml:space="preserve">loss of mobility, </w:t>
      </w:r>
      <w:r w:rsidR="0052047B" w:rsidRPr="00886D8A">
        <w:rPr>
          <w:rFonts w:asciiTheme="minorHAnsi" w:hAnsiTheme="minorHAnsi"/>
          <w:snapToGrid w:val="0"/>
        </w:rPr>
        <w:t xml:space="preserve">increased risk of </w:t>
      </w:r>
      <w:r w:rsidR="002D7379" w:rsidRPr="00886D8A">
        <w:rPr>
          <w:rFonts w:asciiTheme="minorHAnsi" w:hAnsiTheme="minorHAnsi"/>
          <w:snapToGrid w:val="0"/>
        </w:rPr>
        <w:t>infections</w:t>
      </w:r>
      <w:r w:rsidR="0039539A" w:rsidRPr="00886D8A">
        <w:rPr>
          <w:rFonts w:asciiTheme="minorHAnsi" w:hAnsiTheme="minorHAnsi"/>
          <w:snapToGrid w:val="0"/>
        </w:rPr>
        <w:t xml:space="preserve"> and </w:t>
      </w:r>
      <w:r w:rsidR="0052047B" w:rsidRPr="00886D8A">
        <w:rPr>
          <w:rFonts w:asciiTheme="minorHAnsi" w:hAnsiTheme="minorHAnsi"/>
          <w:snapToGrid w:val="0"/>
        </w:rPr>
        <w:t>organ damage as well as developmental delay and psychiatric disturbance</w:t>
      </w:r>
      <w:r w:rsidR="009F7B74" w:rsidRPr="00886D8A">
        <w:rPr>
          <w:rFonts w:asciiTheme="minorHAnsi" w:hAnsiTheme="minorHAnsi"/>
          <w:snapToGrid w:val="0"/>
        </w:rPr>
        <w:t xml:space="preserve">. </w:t>
      </w:r>
      <w:r w:rsidR="0052047B" w:rsidRPr="00886D8A">
        <w:rPr>
          <w:rFonts w:asciiTheme="minorHAnsi" w:hAnsiTheme="minorHAnsi"/>
          <w:snapToGrid w:val="0"/>
        </w:rPr>
        <w:t>Noting that velmanase alfa is indicated as a treatment of non</w:t>
      </w:r>
      <w:r w:rsidR="0011024A">
        <w:rPr>
          <w:rFonts w:asciiTheme="minorHAnsi" w:hAnsiTheme="minorHAnsi"/>
          <w:snapToGrid w:val="0"/>
        </w:rPr>
        <w:noBreakHyphen/>
      </w:r>
      <w:r w:rsidR="0052047B" w:rsidRPr="00886D8A">
        <w:rPr>
          <w:rFonts w:asciiTheme="minorHAnsi" w:hAnsiTheme="minorHAnsi"/>
          <w:snapToGrid w:val="0"/>
        </w:rPr>
        <w:t xml:space="preserve">neurological manifestations of AM, </w:t>
      </w:r>
      <w:r w:rsidR="00445F3B" w:rsidRPr="00886D8A">
        <w:rPr>
          <w:rFonts w:asciiTheme="minorHAnsi" w:hAnsiTheme="minorHAnsi"/>
          <w:snapToGrid w:val="0"/>
        </w:rPr>
        <w:t>the PBAC considered that d</w:t>
      </w:r>
      <w:r w:rsidR="00FE73E7" w:rsidRPr="00886D8A">
        <w:rPr>
          <w:rFonts w:asciiTheme="minorHAnsi" w:hAnsiTheme="minorHAnsi"/>
          <w:snapToGrid w:val="0"/>
        </w:rPr>
        <w:t>elaying the loss of mobility</w:t>
      </w:r>
      <w:r w:rsidR="00A744B7" w:rsidRPr="00886D8A">
        <w:rPr>
          <w:rFonts w:asciiTheme="minorHAnsi" w:hAnsiTheme="minorHAnsi"/>
          <w:snapToGrid w:val="0"/>
        </w:rPr>
        <w:t xml:space="preserve">, by even a small amount, </w:t>
      </w:r>
      <w:r w:rsidR="00445F3B" w:rsidRPr="00886D8A">
        <w:rPr>
          <w:rFonts w:asciiTheme="minorHAnsi" w:hAnsiTheme="minorHAnsi"/>
          <w:snapToGrid w:val="0"/>
        </w:rPr>
        <w:t xml:space="preserve">and improving other clinical symptoms </w:t>
      </w:r>
      <w:r w:rsidR="00A744B7" w:rsidRPr="00886D8A">
        <w:rPr>
          <w:rFonts w:asciiTheme="minorHAnsi" w:hAnsiTheme="minorHAnsi"/>
          <w:snapToGrid w:val="0"/>
        </w:rPr>
        <w:t>is highly valued by patients and their carers. The PBAC acknowledged that there is also a high financial burden for families and carers of people with AM.</w:t>
      </w:r>
    </w:p>
    <w:p w14:paraId="79FF4CC5" w14:textId="1D0E8DDC" w:rsidR="000F3F10" w:rsidRPr="00886D8A" w:rsidRDefault="00095EDF" w:rsidP="00CD7617">
      <w:pPr>
        <w:numPr>
          <w:ilvl w:val="1"/>
          <w:numId w:val="1"/>
        </w:numPr>
        <w:spacing w:after="120"/>
        <w:rPr>
          <w:rFonts w:asciiTheme="minorHAnsi" w:hAnsiTheme="minorHAnsi"/>
          <w:snapToGrid w:val="0"/>
        </w:rPr>
      </w:pPr>
      <w:bookmarkStart w:id="118" w:name="_Ref204938030"/>
      <w:r w:rsidRPr="00886D8A">
        <w:rPr>
          <w:rFonts w:asciiTheme="minorHAnsi" w:hAnsiTheme="minorHAnsi"/>
          <w:snapToGrid w:val="0"/>
        </w:rPr>
        <w:t>The PBAC</w:t>
      </w:r>
      <w:r w:rsidR="00ED23C2" w:rsidRPr="00886D8A">
        <w:rPr>
          <w:rFonts w:asciiTheme="minorHAnsi" w:hAnsiTheme="minorHAnsi"/>
          <w:snapToGrid w:val="0"/>
        </w:rPr>
        <w:t xml:space="preserve"> noted velmanase alfa is a first</w:t>
      </w:r>
      <w:r w:rsidR="0011024A">
        <w:rPr>
          <w:rFonts w:asciiTheme="minorHAnsi" w:hAnsiTheme="minorHAnsi"/>
          <w:snapToGrid w:val="0"/>
        </w:rPr>
        <w:noBreakHyphen/>
      </w:r>
      <w:r w:rsidR="00ED23C2" w:rsidRPr="00886D8A">
        <w:rPr>
          <w:rFonts w:asciiTheme="minorHAnsi" w:hAnsiTheme="minorHAnsi"/>
          <w:snapToGrid w:val="0"/>
        </w:rPr>
        <w:t>generation enzyme replacement therapy</w:t>
      </w:r>
      <w:r w:rsidR="009769E9" w:rsidRPr="00886D8A">
        <w:rPr>
          <w:rFonts w:asciiTheme="minorHAnsi" w:hAnsiTheme="minorHAnsi"/>
          <w:snapToGrid w:val="0"/>
        </w:rPr>
        <w:t xml:space="preserve"> (ERT) for </w:t>
      </w:r>
      <w:r w:rsidR="00A771D9" w:rsidRPr="00886D8A">
        <w:rPr>
          <w:rFonts w:asciiTheme="minorHAnsi" w:hAnsiTheme="minorHAnsi"/>
          <w:snapToGrid w:val="0"/>
        </w:rPr>
        <w:t>AM</w:t>
      </w:r>
      <w:r w:rsidR="0061525A" w:rsidRPr="00886D8A">
        <w:rPr>
          <w:rFonts w:asciiTheme="minorHAnsi" w:hAnsiTheme="minorHAnsi"/>
          <w:snapToGrid w:val="0"/>
        </w:rPr>
        <w:t>, and</w:t>
      </w:r>
      <w:r w:rsidRPr="00886D8A">
        <w:rPr>
          <w:rFonts w:asciiTheme="minorHAnsi" w:hAnsiTheme="minorHAnsi"/>
          <w:snapToGrid w:val="0"/>
        </w:rPr>
        <w:t xml:space="preserve"> accepted </w:t>
      </w:r>
      <w:r w:rsidR="00332341" w:rsidRPr="00886D8A">
        <w:rPr>
          <w:rFonts w:asciiTheme="minorHAnsi" w:hAnsiTheme="minorHAnsi"/>
          <w:snapToGrid w:val="0"/>
        </w:rPr>
        <w:t xml:space="preserve">it is </w:t>
      </w:r>
      <w:r w:rsidRPr="00886D8A">
        <w:rPr>
          <w:rFonts w:asciiTheme="minorHAnsi" w:hAnsiTheme="minorHAnsi"/>
          <w:snapToGrid w:val="0"/>
        </w:rPr>
        <w:t>effective at reducing serum oligosaccharides</w:t>
      </w:r>
      <w:r w:rsidR="003F338A" w:rsidRPr="00886D8A">
        <w:rPr>
          <w:rFonts w:asciiTheme="minorHAnsi" w:hAnsiTheme="minorHAnsi"/>
          <w:snapToGrid w:val="0"/>
        </w:rPr>
        <w:t>.</w:t>
      </w:r>
      <w:r w:rsidRPr="00886D8A">
        <w:rPr>
          <w:rFonts w:asciiTheme="minorHAnsi" w:hAnsiTheme="minorHAnsi"/>
          <w:snapToGrid w:val="0"/>
        </w:rPr>
        <w:t xml:space="preserve"> </w:t>
      </w:r>
      <w:r w:rsidR="003F338A" w:rsidRPr="00886D8A">
        <w:rPr>
          <w:rFonts w:asciiTheme="minorHAnsi" w:hAnsiTheme="minorHAnsi"/>
          <w:snapToGrid w:val="0"/>
        </w:rPr>
        <w:t>H</w:t>
      </w:r>
      <w:r w:rsidRPr="00886D8A">
        <w:rPr>
          <w:rFonts w:asciiTheme="minorHAnsi" w:hAnsiTheme="minorHAnsi"/>
          <w:snapToGrid w:val="0"/>
        </w:rPr>
        <w:t>owever</w:t>
      </w:r>
      <w:r w:rsidR="00A771D9" w:rsidRPr="00886D8A">
        <w:rPr>
          <w:rFonts w:asciiTheme="minorHAnsi" w:hAnsiTheme="minorHAnsi"/>
          <w:snapToGrid w:val="0"/>
        </w:rPr>
        <w:t>,</w:t>
      </w:r>
      <w:r w:rsidRPr="00886D8A">
        <w:rPr>
          <w:rFonts w:asciiTheme="minorHAnsi" w:hAnsiTheme="minorHAnsi"/>
          <w:snapToGrid w:val="0"/>
        </w:rPr>
        <w:t xml:space="preserve"> </w:t>
      </w:r>
      <w:r w:rsidR="003F338A" w:rsidRPr="00886D8A">
        <w:rPr>
          <w:rFonts w:asciiTheme="minorHAnsi" w:hAnsiTheme="minorHAnsi"/>
          <w:snapToGrid w:val="0"/>
        </w:rPr>
        <w:t xml:space="preserve">the PBAC </w:t>
      </w:r>
      <w:r w:rsidRPr="00886D8A">
        <w:rPr>
          <w:rFonts w:asciiTheme="minorHAnsi" w:hAnsiTheme="minorHAnsi"/>
          <w:snapToGrid w:val="0"/>
        </w:rPr>
        <w:t xml:space="preserve">considered </w:t>
      </w:r>
      <w:r w:rsidR="003F338A" w:rsidRPr="00886D8A">
        <w:rPr>
          <w:rFonts w:asciiTheme="minorHAnsi" w:hAnsiTheme="minorHAnsi"/>
          <w:snapToGrid w:val="0"/>
        </w:rPr>
        <w:t xml:space="preserve">that </w:t>
      </w:r>
      <w:r w:rsidR="00CA3FEB" w:rsidRPr="00886D8A">
        <w:rPr>
          <w:rFonts w:asciiTheme="minorHAnsi" w:hAnsiTheme="minorHAnsi"/>
          <w:snapToGrid w:val="0"/>
        </w:rPr>
        <w:t>it was challenging to assess the clinical outcomes</w:t>
      </w:r>
      <w:r w:rsidR="003D2396" w:rsidRPr="00886D8A">
        <w:rPr>
          <w:rFonts w:asciiTheme="minorHAnsi" w:hAnsiTheme="minorHAnsi"/>
          <w:snapToGrid w:val="0"/>
        </w:rPr>
        <w:t xml:space="preserve"> reported in the trials</w:t>
      </w:r>
      <w:r w:rsidR="00CA3FEB" w:rsidRPr="00886D8A">
        <w:rPr>
          <w:rFonts w:asciiTheme="minorHAnsi" w:hAnsiTheme="minorHAnsi"/>
          <w:snapToGrid w:val="0"/>
        </w:rPr>
        <w:t xml:space="preserve"> </w:t>
      </w:r>
      <w:r w:rsidR="00A809D3" w:rsidRPr="00886D8A">
        <w:rPr>
          <w:rFonts w:asciiTheme="minorHAnsi" w:hAnsiTheme="minorHAnsi"/>
          <w:snapToGrid w:val="0"/>
        </w:rPr>
        <w:t>due to the rarity of disease,</w:t>
      </w:r>
      <w:r w:rsidR="00330512" w:rsidRPr="00886D8A">
        <w:rPr>
          <w:rFonts w:asciiTheme="minorHAnsi" w:hAnsiTheme="minorHAnsi"/>
          <w:snapToGrid w:val="0"/>
        </w:rPr>
        <w:t xml:space="preserve"> selection of measured outcomes,</w:t>
      </w:r>
      <w:r w:rsidR="00A809D3" w:rsidRPr="00886D8A">
        <w:rPr>
          <w:rFonts w:asciiTheme="minorHAnsi" w:hAnsiTheme="minorHAnsi"/>
          <w:snapToGrid w:val="0"/>
        </w:rPr>
        <w:t xml:space="preserve"> how the disease manifests</w:t>
      </w:r>
      <w:r w:rsidR="002C0BE5" w:rsidRPr="00886D8A">
        <w:rPr>
          <w:rFonts w:asciiTheme="minorHAnsi" w:hAnsiTheme="minorHAnsi"/>
          <w:snapToGrid w:val="0"/>
        </w:rPr>
        <w:t>,</w:t>
      </w:r>
      <w:r w:rsidR="00531A76" w:rsidRPr="00886D8A">
        <w:rPr>
          <w:rFonts w:asciiTheme="minorHAnsi" w:hAnsiTheme="minorHAnsi"/>
          <w:snapToGrid w:val="0"/>
        </w:rPr>
        <w:t xml:space="preserve"> individual variation in symptoms</w:t>
      </w:r>
      <w:r w:rsidR="002C0BE5" w:rsidRPr="00886D8A">
        <w:rPr>
          <w:rFonts w:asciiTheme="minorHAnsi" w:hAnsiTheme="minorHAnsi"/>
          <w:snapToGrid w:val="0"/>
        </w:rPr>
        <w:t xml:space="preserve"> </w:t>
      </w:r>
      <w:r w:rsidR="006767F1" w:rsidRPr="00886D8A">
        <w:rPr>
          <w:rFonts w:asciiTheme="minorHAnsi" w:hAnsiTheme="minorHAnsi"/>
          <w:snapToGrid w:val="0"/>
        </w:rPr>
        <w:t xml:space="preserve">and </w:t>
      </w:r>
      <w:r w:rsidR="003D2396" w:rsidRPr="00886D8A">
        <w:rPr>
          <w:rFonts w:asciiTheme="minorHAnsi" w:hAnsiTheme="minorHAnsi"/>
          <w:snapToGrid w:val="0"/>
        </w:rPr>
        <w:t xml:space="preserve">given most of the patient population were children. </w:t>
      </w:r>
      <w:bookmarkEnd w:id="118"/>
    </w:p>
    <w:p w14:paraId="52310A51" w14:textId="385B544E" w:rsidR="000F3F10" w:rsidRPr="00886D8A" w:rsidRDefault="00164E26" w:rsidP="00CD7617">
      <w:pPr>
        <w:numPr>
          <w:ilvl w:val="1"/>
          <w:numId w:val="1"/>
        </w:numPr>
        <w:spacing w:after="120"/>
        <w:rPr>
          <w:rFonts w:asciiTheme="minorHAnsi" w:hAnsiTheme="minorHAnsi"/>
          <w:snapToGrid w:val="0"/>
        </w:rPr>
      </w:pPr>
      <w:r w:rsidRPr="00886D8A">
        <w:rPr>
          <w:rFonts w:asciiTheme="minorHAnsi" w:hAnsiTheme="minorHAnsi"/>
          <w:snapToGrid w:val="0"/>
        </w:rPr>
        <w:t xml:space="preserve">The PBAC </w:t>
      </w:r>
      <w:r w:rsidR="00317FF2" w:rsidRPr="00886D8A">
        <w:rPr>
          <w:rFonts w:asciiTheme="minorHAnsi" w:hAnsiTheme="minorHAnsi"/>
          <w:snapToGrid w:val="0"/>
        </w:rPr>
        <w:t xml:space="preserve">considered that </w:t>
      </w:r>
      <w:r w:rsidRPr="00886D8A">
        <w:rPr>
          <w:rFonts w:asciiTheme="minorHAnsi" w:hAnsiTheme="minorHAnsi"/>
          <w:snapToGrid w:val="0"/>
        </w:rPr>
        <w:t>the nominat</w:t>
      </w:r>
      <w:r w:rsidR="00317FF2" w:rsidRPr="00886D8A">
        <w:rPr>
          <w:rFonts w:asciiTheme="minorHAnsi" w:hAnsiTheme="minorHAnsi"/>
          <w:snapToGrid w:val="0"/>
        </w:rPr>
        <w:t>ion of</w:t>
      </w:r>
      <w:r w:rsidR="003F2838" w:rsidRPr="00886D8A">
        <w:rPr>
          <w:rFonts w:asciiTheme="minorHAnsi" w:hAnsiTheme="minorHAnsi"/>
          <w:snapToGrid w:val="0"/>
        </w:rPr>
        <w:t xml:space="preserve"> </w:t>
      </w:r>
      <w:r w:rsidR="000F0889" w:rsidRPr="00886D8A">
        <w:rPr>
          <w:rFonts w:asciiTheme="minorHAnsi" w:hAnsiTheme="minorHAnsi"/>
          <w:snapToGrid w:val="0"/>
        </w:rPr>
        <w:t>best supportive care</w:t>
      </w:r>
      <w:r w:rsidRPr="00886D8A">
        <w:rPr>
          <w:rFonts w:asciiTheme="minorHAnsi" w:hAnsiTheme="minorHAnsi"/>
          <w:snapToGrid w:val="0"/>
        </w:rPr>
        <w:t xml:space="preserve"> </w:t>
      </w:r>
      <w:r w:rsidR="001E3DBC" w:rsidRPr="00886D8A">
        <w:rPr>
          <w:rFonts w:asciiTheme="minorHAnsi" w:hAnsiTheme="minorHAnsi"/>
          <w:snapToGrid w:val="0"/>
        </w:rPr>
        <w:t>(</w:t>
      </w:r>
      <w:r w:rsidR="0021362D" w:rsidRPr="00886D8A">
        <w:rPr>
          <w:rFonts w:asciiTheme="minorHAnsi" w:hAnsiTheme="minorHAnsi"/>
          <w:snapToGrid w:val="0"/>
        </w:rPr>
        <w:t xml:space="preserve">BSC; </w:t>
      </w:r>
      <w:r w:rsidR="001E3DBC" w:rsidRPr="00886D8A">
        <w:rPr>
          <w:rFonts w:asciiTheme="minorHAnsi" w:hAnsiTheme="minorHAnsi"/>
          <w:snapToGrid w:val="0"/>
        </w:rPr>
        <w:t>defined as symptomatic and supportive care)</w:t>
      </w:r>
      <w:r w:rsidR="000F0889" w:rsidRPr="00886D8A">
        <w:rPr>
          <w:rFonts w:asciiTheme="minorHAnsi" w:hAnsiTheme="minorHAnsi"/>
          <w:snapToGrid w:val="0"/>
        </w:rPr>
        <w:t xml:space="preserve"> as the comparator</w:t>
      </w:r>
      <w:r w:rsidR="001E3DBC" w:rsidRPr="00886D8A">
        <w:rPr>
          <w:rFonts w:asciiTheme="minorHAnsi" w:hAnsiTheme="minorHAnsi"/>
          <w:snapToGrid w:val="0"/>
        </w:rPr>
        <w:t xml:space="preserve"> </w:t>
      </w:r>
      <w:r w:rsidR="003F2838" w:rsidRPr="00886D8A">
        <w:rPr>
          <w:rFonts w:asciiTheme="minorHAnsi" w:hAnsiTheme="minorHAnsi"/>
          <w:snapToGrid w:val="0"/>
        </w:rPr>
        <w:t xml:space="preserve">was reasonable. </w:t>
      </w:r>
      <w:r w:rsidR="00A21BDE" w:rsidRPr="00886D8A">
        <w:rPr>
          <w:rFonts w:asciiTheme="minorHAnsi" w:hAnsiTheme="minorHAnsi"/>
          <w:snapToGrid w:val="0"/>
        </w:rPr>
        <w:t xml:space="preserve">The PBAC acknowledged there </w:t>
      </w:r>
      <w:r w:rsidR="007D1F5A" w:rsidRPr="00886D8A">
        <w:rPr>
          <w:rFonts w:asciiTheme="minorHAnsi" w:hAnsiTheme="minorHAnsi"/>
          <w:snapToGrid w:val="0"/>
        </w:rPr>
        <w:t xml:space="preserve">was a high clinical need for effective therapies for </w:t>
      </w:r>
      <w:r w:rsidR="00A14702" w:rsidRPr="00886D8A">
        <w:rPr>
          <w:rFonts w:asciiTheme="minorHAnsi" w:hAnsiTheme="minorHAnsi"/>
          <w:snapToGrid w:val="0"/>
        </w:rPr>
        <w:t>AM</w:t>
      </w:r>
      <w:r w:rsidR="007D1F5A" w:rsidRPr="00886D8A">
        <w:rPr>
          <w:rFonts w:asciiTheme="minorHAnsi" w:hAnsiTheme="minorHAnsi"/>
          <w:snapToGrid w:val="0"/>
        </w:rPr>
        <w:t xml:space="preserve">, as </w:t>
      </w:r>
      <w:r w:rsidR="00BF7ABE" w:rsidRPr="00886D8A">
        <w:rPr>
          <w:rFonts w:asciiTheme="minorHAnsi" w:hAnsiTheme="minorHAnsi"/>
          <w:snapToGrid w:val="0"/>
        </w:rPr>
        <w:t xml:space="preserve">treatment is largely limited to symptomatic management in practice. The Committee </w:t>
      </w:r>
      <w:r w:rsidR="00A34104" w:rsidRPr="00886D8A">
        <w:rPr>
          <w:rFonts w:asciiTheme="minorHAnsi" w:hAnsiTheme="minorHAnsi"/>
          <w:snapToGrid w:val="0"/>
        </w:rPr>
        <w:t>noted</w:t>
      </w:r>
      <w:r w:rsidR="007D1F5A" w:rsidRPr="00886D8A">
        <w:rPr>
          <w:rFonts w:asciiTheme="minorHAnsi" w:hAnsiTheme="minorHAnsi"/>
          <w:snapToGrid w:val="0"/>
        </w:rPr>
        <w:t xml:space="preserve"> </w:t>
      </w:r>
      <w:r w:rsidR="00A34104" w:rsidRPr="00886D8A">
        <w:rPr>
          <w:rFonts w:asciiTheme="minorHAnsi" w:hAnsiTheme="minorHAnsi"/>
          <w:snapToGrid w:val="0"/>
        </w:rPr>
        <w:t>haematopoietic stem cell transplant (HSCT) is a treatment option for this condition</w:t>
      </w:r>
      <w:r w:rsidR="00582BE0" w:rsidRPr="00886D8A">
        <w:rPr>
          <w:rFonts w:asciiTheme="minorHAnsi" w:hAnsiTheme="minorHAnsi"/>
          <w:snapToGrid w:val="0"/>
        </w:rPr>
        <w:t xml:space="preserve"> and may be considered in </w:t>
      </w:r>
      <w:r w:rsidR="00177DBF" w:rsidRPr="00886D8A">
        <w:rPr>
          <w:rFonts w:asciiTheme="minorHAnsi" w:hAnsiTheme="minorHAnsi"/>
          <w:snapToGrid w:val="0"/>
        </w:rPr>
        <w:t>some young patients</w:t>
      </w:r>
      <w:r w:rsidR="00A14702" w:rsidRPr="00886D8A">
        <w:rPr>
          <w:rFonts w:asciiTheme="minorHAnsi" w:hAnsiTheme="minorHAnsi"/>
          <w:snapToGrid w:val="0"/>
        </w:rPr>
        <w:t>;</w:t>
      </w:r>
      <w:r w:rsidR="00A34104" w:rsidRPr="00886D8A">
        <w:rPr>
          <w:rFonts w:asciiTheme="minorHAnsi" w:hAnsiTheme="minorHAnsi"/>
          <w:snapToGrid w:val="0"/>
        </w:rPr>
        <w:t xml:space="preserve"> </w:t>
      </w:r>
      <w:r w:rsidR="00F04CCA" w:rsidRPr="00886D8A">
        <w:rPr>
          <w:rFonts w:asciiTheme="minorHAnsi" w:hAnsiTheme="minorHAnsi"/>
          <w:snapToGrid w:val="0"/>
        </w:rPr>
        <w:t>however</w:t>
      </w:r>
      <w:r w:rsidR="00A14702" w:rsidRPr="00886D8A">
        <w:rPr>
          <w:rFonts w:asciiTheme="minorHAnsi" w:hAnsiTheme="minorHAnsi"/>
          <w:snapToGrid w:val="0"/>
        </w:rPr>
        <w:t>,</w:t>
      </w:r>
      <w:r w:rsidR="00F04CCA" w:rsidRPr="00886D8A">
        <w:rPr>
          <w:rFonts w:asciiTheme="minorHAnsi" w:hAnsiTheme="minorHAnsi"/>
          <w:snapToGrid w:val="0"/>
        </w:rPr>
        <w:t xml:space="preserve"> </w:t>
      </w:r>
      <w:r w:rsidR="00582BE0" w:rsidRPr="00886D8A">
        <w:rPr>
          <w:rFonts w:asciiTheme="minorHAnsi" w:hAnsiTheme="minorHAnsi"/>
          <w:snapToGrid w:val="0"/>
        </w:rPr>
        <w:t xml:space="preserve">this option </w:t>
      </w:r>
      <w:r w:rsidR="006108AD" w:rsidRPr="00886D8A">
        <w:rPr>
          <w:rFonts w:asciiTheme="minorHAnsi" w:hAnsiTheme="minorHAnsi"/>
          <w:snapToGrid w:val="0"/>
        </w:rPr>
        <w:t xml:space="preserve">carries a high mortality risk and in practice is likely reserved for patients </w:t>
      </w:r>
      <w:r w:rsidR="00E93C9C" w:rsidRPr="00886D8A">
        <w:rPr>
          <w:rFonts w:asciiTheme="minorHAnsi" w:hAnsiTheme="minorHAnsi"/>
          <w:snapToGrid w:val="0"/>
        </w:rPr>
        <w:t>where the benefits are expected to outweigh the high risk of mortality</w:t>
      </w:r>
      <w:r w:rsidR="006108AD" w:rsidRPr="00886D8A">
        <w:rPr>
          <w:rFonts w:asciiTheme="minorHAnsi" w:hAnsiTheme="minorHAnsi"/>
          <w:snapToGrid w:val="0"/>
        </w:rPr>
        <w:t xml:space="preserve">. </w:t>
      </w:r>
      <w:r w:rsidR="00A14702" w:rsidRPr="00886D8A">
        <w:rPr>
          <w:rFonts w:asciiTheme="minorHAnsi" w:hAnsiTheme="minorHAnsi"/>
          <w:snapToGrid w:val="0"/>
        </w:rPr>
        <w:t>T</w:t>
      </w:r>
      <w:r w:rsidR="00CE6DE3" w:rsidRPr="00886D8A">
        <w:rPr>
          <w:rFonts w:asciiTheme="minorHAnsi" w:hAnsiTheme="minorHAnsi"/>
          <w:snapToGrid w:val="0"/>
        </w:rPr>
        <w:t xml:space="preserve">he PBAC considered the possibility that velmanase alfa may be used as a ‘bridge’ to HSCT </w:t>
      </w:r>
      <w:r w:rsidRPr="00886D8A">
        <w:rPr>
          <w:rFonts w:asciiTheme="minorHAnsi" w:hAnsiTheme="minorHAnsi"/>
          <w:snapToGrid w:val="0"/>
        </w:rPr>
        <w:t xml:space="preserve">could not be excluded, despite the lack of evidence supporting use for this purpose. </w:t>
      </w:r>
    </w:p>
    <w:p w14:paraId="6E06498C" w14:textId="7B68953C" w:rsidR="00950520" w:rsidRPr="00886D8A" w:rsidRDefault="007C3370" w:rsidP="00CD7617">
      <w:pPr>
        <w:numPr>
          <w:ilvl w:val="1"/>
          <w:numId w:val="1"/>
        </w:numPr>
        <w:spacing w:after="120"/>
        <w:rPr>
          <w:rFonts w:asciiTheme="minorHAnsi" w:hAnsiTheme="minorHAnsi"/>
          <w:snapToGrid w:val="0"/>
        </w:rPr>
      </w:pPr>
      <w:bookmarkStart w:id="119" w:name="_Ref205539107"/>
      <w:r w:rsidRPr="00886D8A">
        <w:rPr>
          <w:rFonts w:asciiTheme="minorHAnsi" w:hAnsiTheme="minorHAnsi"/>
          <w:snapToGrid w:val="0"/>
        </w:rPr>
        <w:t xml:space="preserve">The PBAC </w:t>
      </w:r>
      <w:r w:rsidR="00287DC2" w:rsidRPr="00886D8A">
        <w:rPr>
          <w:rFonts w:asciiTheme="minorHAnsi" w:hAnsiTheme="minorHAnsi"/>
          <w:snapToGrid w:val="0"/>
        </w:rPr>
        <w:t xml:space="preserve">noted that the proposed restriction did not include an </w:t>
      </w:r>
      <w:r w:rsidRPr="00886D8A">
        <w:rPr>
          <w:rFonts w:asciiTheme="minorHAnsi" w:hAnsiTheme="minorHAnsi"/>
          <w:snapToGrid w:val="0"/>
        </w:rPr>
        <w:t>explicit stopping rule</w:t>
      </w:r>
      <w:r w:rsidR="00287DC2" w:rsidRPr="00886D8A">
        <w:rPr>
          <w:rFonts w:asciiTheme="minorHAnsi" w:hAnsiTheme="minorHAnsi"/>
          <w:snapToGrid w:val="0"/>
        </w:rPr>
        <w:t xml:space="preserve"> for </w:t>
      </w:r>
      <w:r w:rsidR="00D62648" w:rsidRPr="00886D8A">
        <w:rPr>
          <w:rFonts w:asciiTheme="minorHAnsi" w:hAnsiTheme="minorHAnsi"/>
          <w:snapToGrid w:val="0"/>
        </w:rPr>
        <w:t xml:space="preserve">patients who were not </w:t>
      </w:r>
      <w:r w:rsidRPr="00886D8A">
        <w:rPr>
          <w:rFonts w:asciiTheme="minorHAnsi" w:hAnsiTheme="minorHAnsi"/>
          <w:snapToGrid w:val="0"/>
        </w:rPr>
        <w:t>receiving a clinical benefit</w:t>
      </w:r>
      <w:r w:rsidR="00D62648" w:rsidRPr="00886D8A">
        <w:rPr>
          <w:rFonts w:asciiTheme="minorHAnsi" w:hAnsiTheme="minorHAnsi"/>
          <w:snapToGrid w:val="0"/>
        </w:rPr>
        <w:t xml:space="preserve"> whilst on treatment</w:t>
      </w:r>
      <w:r w:rsidRPr="00886D8A">
        <w:rPr>
          <w:rFonts w:asciiTheme="minorHAnsi" w:hAnsiTheme="minorHAnsi"/>
          <w:snapToGrid w:val="0"/>
        </w:rPr>
        <w:t xml:space="preserve">. The Committee </w:t>
      </w:r>
      <w:r w:rsidR="003966BB" w:rsidRPr="00886D8A">
        <w:rPr>
          <w:rFonts w:asciiTheme="minorHAnsi" w:hAnsiTheme="minorHAnsi"/>
          <w:snapToGrid w:val="0"/>
        </w:rPr>
        <w:t xml:space="preserve">noted that </w:t>
      </w:r>
      <w:r w:rsidRPr="00886D8A">
        <w:rPr>
          <w:rFonts w:asciiTheme="minorHAnsi" w:hAnsiTheme="minorHAnsi"/>
          <w:snapToGrid w:val="0"/>
        </w:rPr>
        <w:t>the burden of treatment was substantial, with weekly infusions (typically as a</w:t>
      </w:r>
      <w:r w:rsidR="003F4CF2" w:rsidRPr="00886D8A">
        <w:rPr>
          <w:rFonts w:asciiTheme="minorHAnsi" w:hAnsiTheme="minorHAnsi"/>
          <w:snapToGrid w:val="0"/>
        </w:rPr>
        <w:t xml:space="preserve"> hospital</w:t>
      </w:r>
      <w:r w:rsidRPr="00886D8A">
        <w:rPr>
          <w:rFonts w:asciiTheme="minorHAnsi" w:hAnsiTheme="minorHAnsi"/>
          <w:snapToGrid w:val="0"/>
        </w:rPr>
        <w:t xml:space="preserve"> outpatient), and in practice it was possible that patients not receiving a clinical benefit would discontinue treatment without an explicit stopping rule. However, the PBAC also </w:t>
      </w:r>
      <w:r w:rsidR="003966BB" w:rsidRPr="00886D8A">
        <w:rPr>
          <w:rFonts w:asciiTheme="minorHAnsi" w:hAnsiTheme="minorHAnsi"/>
          <w:snapToGrid w:val="0"/>
        </w:rPr>
        <w:t xml:space="preserve">noted that </w:t>
      </w:r>
      <w:r w:rsidRPr="00886D8A">
        <w:rPr>
          <w:rFonts w:asciiTheme="minorHAnsi" w:hAnsiTheme="minorHAnsi"/>
          <w:snapToGrid w:val="0"/>
        </w:rPr>
        <w:t xml:space="preserve">the cost of treatment per patient was very high and therefore </w:t>
      </w:r>
      <w:r w:rsidR="00D62648" w:rsidRPr="00886D8A">
        <w:rPr>
          <w:rFonts w:asciiTheme="minorHAnsi" w:hAnsiTheme="minorHAnsi"/>
          <w:snapToGrid w:val="0"/>
        </w:rPr>
        <w:t xml:space="preserve">considered </w:t>
      </w:r>
      <w:r w:rsidR="00B10C1A" w:rsidRPr="00886D8A">
        <w:rPr>
          <w:rFonts w:asciiTheme="minorHAnsi" w:hAnsiTheme="minorHAnsi"/>
          <w:snapToGrid w:val="0"/>
        </w:rPr>
        <w:t xml:space="preserve">that </w:t>
      </w:r>
      <w:r w:rsidRPr="00886D8A">
        <w:rPr>
          <w:rFonts w:asciiTheme="minorHAnsi" w:hAnsiTheme="minorHAnsi"/>
          <w:snapToGrid w:val="0"/>
        </w:rPr>
        <w:t xml:space="preserve">it </w:t>
      </w:r>
      <w:r w:rsidR="00824BA8" w:rsidRPr="00886D8A">
        <w:rPr>
          <w:rFonts w:asciiTheme="minorHAnsi" w:hAnsiTheme="minorHAnsi"/>
          <w:snapToGrid w:val="0"/>
        </w:rPr>
        <w:t xml:space="preserve">would </w:t>
      </w:r>
      <w:r w:rsidRPr="00886D8A">
        <w:rPr>
          <w:rFonts w:asciiTheme="minorHAnsi" w:hAnsiTheme="minorHAnsi"/>
          <w:snapToGrid w:val="0"/>
        </w:rPr>
        <w:t xml:space="preserve">be reasonable to include a stopping rule in the restriction to reinforce that velmanase alfa treatment would only be considered acceptably cost effective if a patient was receiving a clinical benefit (i.e. not just a biochemical one). </w:t>
      </w:r>
      <w:bookmarkEnd w:id="119"/>
      <w:r w:rsidR="00950520" w:rsidRPr="00886D8A">
        <w:rPr>
          <w:rFonts w:asciiTheme="minorHAnsi" w:hAnsiTheme="minorHAnsi"/>
          <w:snapToGrid w:val="0"/>
        </w:rPr>
        <w:t>Additionally, the PBAC noted that:</w:t>
      </w:r>
    </w:p>
    <w:p w14:paraId="483C73D8" w14:textId="1A4386AA" w:rsidR="007C3370" w:rsidRPr="00886D8A" w:rsidRDefault="6B6D3116" w:rsidP="00CD7617">
      <w:pPr>
        <w:numPr>
          <w:ilvl w:val="1"/>
          <w:numId w:val="15"/>
        </w:numPr>
        <w:spacing w:after="120"/>
        <w:ind w:left="1080"/>
        <w:rPr>
          <w:rFonts w:asciiTheme="minorHAnsi" w:hAnsiTheme="minorHAnsi"/>
          <w:snapToGrid w:val="0"/>
        </w:rPr>
      </w:pPr>
      <w:r w:rsidRPr="00886D8A">
        <w:rPr>
          <w:rFonts w:asciiTheme="minorHAnsi" w:hAnsiTheme="minorHAnsi"/>
          <w:snapToGrid w:val="0"/>
        </w:rPr>
        <w:t>I</w:t>
      </w:r>
      <w:r w:rsidR="00950520" w:rsidRPr="00886D8A">
        <w:rPr>
          <w:rFonts w:asciiTheme="minorHAnsi" w:hAnsiTheme="minorHAnsi"/>
          <w:snapToGrid w:val="0"/>
        </w:rPr>
        <w:t>t is not</w:t>
      </w:r>
      <w:r w:rsidR="7E5F5E21" w:rsidRPr="00886D8A">
        <w:rPr>
          <w:rFonts w:asciiTheme="minorHAnsi" w:hAnsiTheme="minorHAnsi"/>
          <w:snapToGrid w:val="0"/>
        </w:rPr>
        <w:t xml:space="preserve"> appropriate</w:t>
      </w:r>
      <w:r w:rsidR="00950520" w:rsidRPr="00886D8A">
        <w:rPr>
          <w:rFonts w:asciiTheme="minorHAnsi" w:hAnsiTheme="minorHAnsi"/>
          <w:snapToGrid w:val="0"/>
        </w:rPr>
        <w:t xml:space="preserve"> to list the same pharmaceutical item (i.e. the same drug</w:t>
      </w:r>
      <w:r w:rsidR="4B7EC7E6" w:rsidRPr="00886D8A">
        <w:rPr>
          <w:rFonts w:asciiTheme="minorHAnsi" w:hAnsiTheme="minorHAnsi"/>
          <w:snapToGrid w:val="0"/>
        </w:rPr>
        <w:t>,</w:t>
      </w:r>
      <w:r w:rsidR="00950520" w:rsidRPr="00886D8A">
        <w:rPr>
          <w:rFonts w:asciiTheme="minorHAnsi" w:hAnsiTheme="minorHAnsi"/>
          <w:snapToGrid w:val="0"/>
        </w:rPr>
        <w:t xml:space="preserve"> form and strength) with different maximum quantity units</w:t>
      </w:r>
      <w:r w:rsidR="261D0CC7" w:rsidRPr="00886D8A">
        <w:rPr>
          <w:rFonts w:asciiTheme="minorHAnsi" w:hAnsiTheme="minorHAnsi"/>
          <w:snapToGrid w:val="0"/>
        </w:rPr>
        <w:t xml:space="preserve"> for the same circumstances</w:t>
      </w:r>
      <w:r w:rsidR="20A23718" w:rsidRPr="00886D8A">
        <w:rPr>
          <w:rFonts w:asciiTheme="minorHAnsi" w:hAnsiTheme="minorHAnsi"/>
          <w:snapToGrid w:val="0"/>
        </w:rPr>
        <w:t xml:space="preserve"> (restrictions)</w:t>
      </w:r>
      <w:r w:rsidR="00950520" w:rsidRPr="00886D8A">
        <w:rPr>
          <w:rFonts w:asciiTheme="minorHAnsi" w:hAnsiTheme="minorHAnsi"/>
          <w:snapToGrid w:val="0"/>
        </w:rPr>
        <w:t>, therefore, the maximum quantity should be amended to 1 (rather than 1, 5 and 10) with a Prescriber Instruction stating that the appropriate number of vials required for 4 weeks treatment should be requested;</w:t>
      </w:r>
    </w:p>
    <w:p w14:paraId="4EDF4801" w14:textId="4462FB78" w:rsidR="00950520" w:rsidRPr="00886D8A" w:rsidRDefault="00950520" w:rsidP="00CD7617">
      <w:pPr>
        <w:numPr>
          <w:ilvl w:val="1"/>
          <w:numId w:val="15"/>
        </w:numPr>
        <w:spacing w:after="120"/>
        <w:ind w:left="1080"/>
        <w:rPr>
          <w:rFonts w:asciiTheme="minorHAnsi" w:hAnsiTheme="minorHAnsi"/>
          <w:snapToGrid w:val="0"/>
        </w:rPr>
      </w:pPr>
      <w:r w:rsidRPr="00886D8A">
        <w:rPr>
          <w:rFonts w:asciiTheme="minorHAnsi" w:hAnsiTheme="minorHAnsi"/>
          <w:snapToGrid w:val="0"/>
        </w:rPr>
        <w:t>treatment eligibility should be confirmed, with a Prescriber Instruction stating that applicable diagnostic reports must be documented;</w:t>
      </w:r>
    </w:p>
    <w:p w14:paraId="3F0E5B12" w14:textId="3E0A784D" w:rsidR="00950520" w:rsidRPr="00886D8A" w:rsidRDefault="00950520" w:rsidP="00CD7617">
      <w:pPr>
        <w:numPr>
          <w:ilvl w:val="1"/>
          <w:numId w:val="15"/>
        </w:numPr>
        <w:spacing w:after="120"/>
        <w:ind w:left="1080"/>
        <w:rPr>
          <w:rFonts w:asciiTheme="minorHAnsi" w:hAnsiTheme="minorHAnsi"/>
          <w:snapToGrid w:val="0"/>
        </w:rPr>
      </w:pPr>
      <w:r w:rsidRPr="00886D8A">
        <w:rPr>
          <w:rFonts w:asciiTheme="minorHAnsi" w:hAnsiTheme="minorHAnsi"/>
          <w:snapToGrid w:val="0"/>
        </w:rPr>
        <w:t>the proposed restriction should align with the rhLAMAN</w:t>
      </w:r>
      <w:r w:rsidR="0011024A">
        <w:rPr>
          <w:rFonts w:asciiTheme="minorHAnsi" w:hAnsiTheme="minorHAnsi"/>
          <w:snapToGrid w:val="0"/>
        </w:rPr>
        <w:noBreakHyphen/>
      </w:r>
      <w:r w:rsidRPr="00886D8A">
        <w:rPr>
          <w:rFonts w:asciiTheme="minorHAnsi" w:hAnsiTheme="minorHAnsi"/>
          <w:snapToGrid w:val="0"/>
        </w:rPr>
        <w:t>05 trial and require an alpha</w:t>
      </w:r>
      <w:r w:rsidR="0011024A">
        <w:rPr>
          <w:rFonts w:asciiTheme="minorHAnsi" w:hAnsiTheme="minorHAnsi"/>
          <w:snapToGrid w:val="0"/>
        </w:rPr>
        <w:noBreakHyphen/>
      </w:r>
      <w:r w:rsidRPr="00886D8A">
        <w:rPr>
          <w:rFonts w:asciiTheme="minorHAnsi" w:hAnsiTheme="minorHAnsi"/>
          <w:snapToGrid w:val="0"/>
        </w:rPr>
        <w:t>mannosidase activity of &lt; 10% of normal activity in blood leukocytes; and</w:t>
      </w:r>
    </w:p>
    <w:p w14:paraId="76C4C585" w14:textId="04F95EA7" w:rsidR="00950520" w:rsidRPr="00886D8A" w:rsidRDefault="00950520" w:rsidP="00CD7617">
      <w:pPr>
        <w:numPr>
          <w:ilvl w:val="1"/>
          <w:numId w:val="15"/>
        </w:numPr>
        <w:spacing w:after="120"/>
        <w:ind w:left="1080"/>
        <w:rPr>
          <w:rFonts w:asciiTheme="minorHAnsi" w:hAnsiTheme="minorHAnsi"/>
          <w:snapToGrid w:val="0"/>
        </w:rPr>
      </w:pPr>
      <w:r w:rsidRPr="00886D8A">
        <w:rPr>
          <w:rFonts w:asciiTheme="minorHAnsi" w:hAnsiTheme="minorHAnsi"/>
          <w:snapToGrid w:val="0"/>
        </w:rPr>
        <w:t>the restriction should be age agnostic.</w:t>
      </w:r>
    </w:p>
    <w:p w14:paraId="39D5FA07" w14:textId="0C8F94F6" w:rsidR="000F3F10" w:rsidRPr="00886D8A" w:rsidRDefault="007C3370" w:rsidP="00CD7617">
      <w:pPr>
        <w:numPr>
          <w:ilvl w:val="1"/>
          <w:numId w:val="1"/>
        </w:numPr>
        <w:spacing w:after="120"/>
        <w:rPr>
          <w:rFonts w:asciiTheme="minorHAnsi" w:hAnsiTheme="minorHAnsi"/>
          <w:snapToGrid w:val="0"/>
        </w:rPr>
      </w:pPr>
      <w:r w:rsidRPr="00886D8A">
        <w:rPr>
          <w:rFonts w:asciiTheme="minorHAnsi" w:hAnsiTheme="minorHAnsi"/>
          <w:snapToGrid w:val="0"/>
        </w:rPr>
        <w:t>The PBAC considered the</w:t>
      </w:r>
      <w:r w:rsidR="00FF45C1" w:rsidRPr="00886D8A">
        <w:rPr>
          <w:rFonts w:asciiTheme="minorHAnsi" w:hAnsiTheme="minorHAnsi"/>
          <w:snapToGrid w:val="0"/>
        </w:rPr>
        <w:t>re was likely a clinical place for velmanase alfa for the treatment of non</w:t>
      </w:r>
      <w:r w:rsidR="0011024A">
        <w:rPr>
          <w:rFonts w:asciiTheme="minorHAnsi" w:hAnsiTheme="minorHAnsi"/>
          <w:snapToGrid w:val="0"/>
        </w:rPr>
        <w:noBreakHyphen/>
      </w:r>
      <w:r w:rsidR="00FF45C1" w:rsidRPr="00886D8A">
        <w:rPr>
          <w:rFonts w:asciiTheme="minorHAnsi" w:hAnsiTheme="minorHAnsi"/>
          <w:snapToGrid w:val="0"/>
        </w:rPr>
        <w:t xml:space="preserve">neurological manifestations of </w:t>
      </w:r>
      <w:r w:rsidR="000825BD" w:rsidRPr="00886D8A">
        <w:rPr>
          <w:rFonts w:asciiTheme="minorHAnsi" w:hAnsiTheme="minorHAnsi"/>
          <w:snapToGrid w:val="0"/>
        </w:rPr>
        <w:t>AM</w:t>
      </w:r>
      <w:r w:rsidR="00FF45C1" w:rsidRPr="00886D8A">
        <w:rPr>
          <w:rFonts w:asciiTheme="minorHAnsi" w:hAnsiTheme="minorHAnsi"/>
          <w:snapToGrid w:val="0"/>
        </w:rPr>
        <w:t xml:space="preserve">, but the </w:t>
      </w:r>
      <w:r w:rsidR="009C46D0" w:rsidRPr="00886D8A">
        <w:rPr>
          <w:rFonts w:asciiTheme="minorHAnsi" w:hAnsiTheme="minorHAnsi"/>
          <w:snapToGrid w:val="0"/>
        </w:rPr>
        <w:t xml:space="preserve">nature of the </w:t>
      </w:r>
      <w:r w:rsidR="00FF45C1" w:rsidRPr="00886D8A">
        <w:rPr>
          <w:rFonts w:asciiTheme="minorHAnsi" w:hAnsiTheme="minorHAnsi"/>
          <w:snapToGrid w:val="0"/>
        </w:rPr>
        <w:t xml:space="preserve">clinical benefits of treatment </w:t>
      </w:r>
      <w:r w:rsidR="00501BD2" w:rsidRPr="00886D8A">
        <w:rPr>
          <w:rFonts w:asciiTheme="minorHAnsi" w:hAnsiTheme="minorHAnsi"/>
          <w:snapToGrid w:val="0"/>
        </w:rPr>
        <w:t xml:space="preserve">remained uncertain </w:t>
      </w:r>
      <w:r w:rsidR="00286ECC" w:rsidRPr="00886D8A">
        <w:rPr>
          <w:rFonts w:asciiTheme="minorHAnsi" w:hAnsiTheme="minorHAnsi"/>
          <w:snapToGrid w:val="0"/>
        </w:rPr>
        <w:t xml:space="preserve">based on the information presented in the submission. </w:t>
      </w:r>
    </w:p>
    <w:p w14:paraId="3D54041F" w14:textId="309F52CE" w:rsidR="0002733E" w:rsidRPr="00886D8A" w:rsidRDefault="0002733E" w:rsidP="004E36D3">
      <w:pPr>
        <w:pStyle w:val="3-BodyText"/>
      </w:pPr>
      <w:r w:rsidRPr="00886D8A">
        <w:t>The PBAC noted the submission was supported by information from four clinical studies, comprising two primary studies (rhLAMAN</w:t>
      </w:r>
      <w:r w:rsidR="0011024A">
        <w:noBreakHyphen/>
      </w:r>
      <w:r w:rsidRPr="00886D8A">
        <w:t xml:space="preserve">05 (Phase III) and </w:t>
      </w:r>
      <w:r w:rsidR="0062571C" w:rsidRPr="00886D8A">
        <w:t>rhLAMAN</w:t>
      </w:r>
      <w:r w:rsidR="0011024A">
        <w:noBreakHyphen/>
      </w:r>
      <w:r w:rsidRPr="00886D8A">
        <w:t>08 (paediatric Phase II)), pooled data analyses (rhLAMAN</w:t>
      </w:r>
      <w:r w:rsidR="0011024A">
        <w:noBreakHyphen/>
      </w:r>
      <w:r w:rsidRPr="00886D8A">
        <w:t>10) and a longer</w:t>
      </w:r>
      <w:r w:rsidR="0011024A">
        <w:noBreakHyphen/>
      </w:r>
      <w:r w:rsidRPr="00886D8A">
        <w:t>term follow</w:t>
      </w:r>
      <w:r w:rsidR="0011024A">
        <w:noBreakHyphen/>
      </w:r>
      <w:r w:rsidRPr="00886D8A">
        <w:t>up study (rhLAMAN</w:t>
      </w:r>
      <w:r w:rsidR="0011024A">
        <w:noBreakHyphen/>
      </w:r>
      <w:r w:rsidRPr="00886D8A">
        <w:t>11) (</w:t>
      </w:r>
      <w:r w:rsidR="00585B60" w:rsidRPr="00886D8A">
        <w:t xml:space="preserve">see </w:t>
      </w:r>
      <w:r w:rsidR="00BB03DF" w:rsidRPr="00886D8A">
        <w:fldChar w:fldCharType="begin"/>
      </w:r>
      <w:r w:rsidR="00BB03DF" w:rsidRPr="00886D8A">
        <w:instrText xml:space="preserve"> REF _Ref104803956 \h  \* MERGEFORMAT </w:instrText>
      </w:r>
      <w:r w:rsidR="00BB03DF" w:rsidRPr="00886D8A">
        <w:fldChar w:fldCharType="separate"/>
      </w:r>
      <w:r w:rsidR="00B73A9E" w:rsidRPr="00886D8A">
        <w:t xml:space="preserve">Table </w:t>
      </w:r>
      <w:r w:rsidR="00B73A9E">
        <w:t>3</w:t>
      </w:r>
      <w:r w:rsidR="00BB03DF" w:rsidRPr="00886D8A">
        <w:fldChar w:fldCharType="end"/>
      </w:r>
      <w:r w:rsidR="00BB03DF" w:rsidRPr="00886D8A">
        <w:t xml:space="preserve"> and </w:t>
      </w:r>
      <w:r w:rsidR="00BB03DF" w:rsidRPr="00886D8A">
        <w:fldChar w:fldCharType="begin"/>
      </w:r>
      <w:r w:rsidR="00BB03DF" w:rsidRPr="00886D8A">
        <w:instrText xml:space="preserve"> REF _Ref104804098 \h  \* MERGEFORMAT </w:instrText>
      </w:r>
      <w:r w:rsidR="00BB03DF" w:rsidRPr="00886D8A">
        <w:fldChar w:fldCharType="separate"/>
      </w:r>
      <w:r w:rsidR="00B73A9E" w:rsidRPr="00B73A9E">
        <w:t>Table 4</w:t>
      </w:r>
      <w:r w:rsidR="00BB03DF" w:rsidRPr="00886D8A">
        <w:fldChar w:fldCharType="end"/>
      </w:r>
      <w:r w:rsidRPr="00886D8A">
        <w:t xml:space="preserve">). The Committee also noted </w:t>
      </w:r>
      <w:r w:rsidR="00D34DAA" w:rsidRPr="00886D8A">
        <w:t xml:space="preserve">supporting </w:t>
      </w:r>
      <w:r w:rsidRPr="00886D8A">
        <w:t>information from four observational studies (</w:t>
      </w:r>
      <w:r w:rsidR="001452A9" w:rsidRPr="00886D8A">
        <w:t xml:space="preserve">see </w:t>
      </w:r>
      <w:r w:rsidR="00BB03DF" w:rsidRPr="00886D8A">
        <w:fldChar w:fldCharType="begin"/>
      </w:r>
      <w:r w:rsidR="00BB03DF" w:rsidRPr="00886D8A">
        <w:instrText xml:space="preserve"> REF _Ref104803956 \h  \* MERGEFORMAT </w:instrText>
      </w:r>
      <w:r w:rsidR="00BB03DF" w:rsidRPr="00886D8A">
        <w:fldChar w:fldCharType="separate"/>
      </w:r>
      <w:r w:rsidR="00B73A9E" w:rsidRPr="00886D8A">
        <w:t xml:space="preserve">Table </w:t>
      </w:r>
      <w:r w:rsidR="00B73A9E">
        <w:t>3</w:t>
      </w:r>
      <w:r w:rsidR="00BB03DF" w:rsidRPr="00886D8A">
        <w:fldChar w:fldCharType="end"/>
      </w:r>
      <w:r w:rsidRPr="00886D8A">
        <w:t>). The PBAC noted the clinical studies nominated serum oligosaccharide levels as the primary outcome, with clinical outcomes such as 3</w:t>
      </w:r>
      <w:r w:rsidR="0011024A">
        <w:noBreakHyphen/>
      </w:r>
      <w:r w:rsidRPr="00886D8A">
        <w:t>minute stair climb test (3MSCT), 6</w:t>
      </w:r>
      <w:r w:rsidR="0011024A">
        <w:noBreakHyphen/>
      </w:r>
      <w:r w:rsidRPr="00886D8A">
        <w:t xml:space="preserve">minute walk test (6MWT), forced vital capacity (FVC) percentage and </w:t>
      </w:r>
      <w:r w:rsidR="00AE1CBF" w:rsidRPr="00886D8A">
        <w:t>QoL</w:t>
      </w:r>
      <w:r w:rsidRPr="00886D8A">
        <w:t xml:space="preserve"> outcomes as secondary outcomes (</w:t>
      </w:r>
      <w:r w:rsidR="0062571C" w:rsidRPr="00886D8A">
        <w:t xml:space="preserve">see </w:t>
      </w:r>
      <w:r w:rsidRPr="00886D8A">
        <w:t>Table 4). The Committee</w:t>
      </w:r>
      <w:r w:rsidR="006A279B" w:rsidRPr="00886D8A">
        <w:t xml:space="preserve"> also</w:t>
      </w:r>
      <w:r w:rsidRPr="00886D8A">
        <w:t xml:space="preserve"> noted the challenges of undertaking a double</w:t>
      </w:r>
      <w:r w:rsidR="0011024A">
        <w:noBreakHyphen/>
      </w:r>
      <w:r w:rsidRPr="00886D8A">
        <w:t>blinded, randomised controlled trial</w:t>
      </w:r>
      <w:r w:rsidR="00D71DC6" w:rsidRPr="00886D8A">
        <w:t xml:space="preserve"> (rhLAMAN</w:t>
      </w:r>
      <w:r w:rsidR="0011024A">
        <w:noBreakHyphen/>
      </w:r>
      <w:r w:rsidR="00D71DC6" w:rsidRPr="00886D8A">
        <w:t>05)</w:t>
      </w:r>
      <w:r w:rsidRPr="00886D8A">
        <w:t xml:space="preserve"> in such a rare condition in a largely paediatric population and acknowledged the efforts of the Sponsor to undertake such a trial under these conditions. </w:t>
      </w:r>
      <w:r w:rsidR="009738A0" w:rsidRPr="00886D8A">
        <w:t>Further, t</w:t>
      </w:r>
      <w:r w:rsidRPr="00886D8A">
        <w:t xml:space="preserve">he PBAC considered the clinical outcomes collected, which were focused on mobility and lung capacity, were unlikely to capture the full potential range of clinically relevant benefits patients may experience from an effective treatment for </w:t>
      </w:r>
      <w:r w:rsidR="00DC2B0D" w:rsidRPr="00886D8A">
        <w:t>AM</w:t>
      </w:r>
      <w:r w:rsidRPr="00886D8A">
        <w:t xml:space="preserve">, and that it may be difficult to collect robust data for these types of outcomes in a very small and largely paediatric population. </w:t>
      </w:r>
    </w:p>
    <w:p w14:paraId="361C1140" w14:textId="71D0DECE" w:rsidR="00CD1016" w:rsidRPr="00886D8A" w:rsidRDefault="0002733E" w:rsidP="004E36D3">
      <w:pPr>
        <w:pStyle w:val="3-BodyText"/>
      </w:pPr>
      <w:bookmarkStart w:id="120" w:name="_Ref228968655"/>
      <w:bookmarkStart w:id="121" w:name="_Ref204937054"/>
      <w:r w:rsidRPr="00886D8A">
        <w:t>With respect to comparative effectiveness, the PBAC accepted velmanase alfa is biochemically effective at reducing serum oligosaccharide</w:t>
      </w:r>
      <w:r w:rsidR="00601B50" w:rsidRPr="00886D8A">
        <w:t>. The PBAC noted that</w:t>
      </w:r>
      <w:r w:rsidR="00A961F5">
        <w:t xml:space="preserve"> </w:t>
      </w:r>
      <w:r w:rsidRPr="00886D8A">
        <w:t xml:space="preserve">statistically significant reductions </w:t>
      </w:r>
      <w:r w:rsidR="009C40B7" w:rsidRPr="00886D8A">
        <w:t xml:space="preserve">for patients receiving velmanase alfa were </w:t>
      </w:r>
      <w:r w:rsidRPr="00886D8A">
        <w:t>reported at 12 months in rhLAMAN</w:t>
      </w:r>
      <w:r w:rsidR="0011024A">
        <w:noBreakHyphen/>
      </w:r>
      <w:r w:rsidRPr="00886D8A">
        <w:t xml:space="preserve">05 (adjusted mean relative change </w:t>
      </w:r>
      <w:r w:rsidR="0011024A">
        <w:noBreakHyphen/>
      </w:r>
      <w:r w:rsidRPr="00886D8A">
        <w:t>70.47% v</w:t>
      </w:r>
      <w:r w:rsidR="00601B50" w:rsidRPr="00886D8A">
        <w:t>ersu</w:t>
      </w:r>
      <w:r w:rsidRPr="00886D8A">
        <w:t>s BSC,</w:t>
      </w:r>
      <w:r w:rsidR="00DC2B0D" w:rsidRPr="00886D8A">
        <w:t xml:space="preserve"> see</w:t>
      </w:r>
      <w:r w:rsidRPr="00886D8A">
        <w:t xml:space="preserve"> </w:t>
      </w:r>
      <w:r w:rsidR="00BB03DF" w:rsidRPr="00886D8A">
        <w:fldChar w:fldCharType="begin"/>
      </w:r>
      <w:r w:rsidR="00BB03DF" w:rsidRPr="00886D8A">
        <w:instrText xml:space="preserve"> REF _Ref197168537 \h </w:instrText>
      </w:r>
      <w:r w:rsidR="00BB03DF" w:rsidRPr="00886D8A">
        <w:fldChar w:fldCharType="separate"/>
      </w:r>
      <w:r w:rsidR="00B73A9E" w:rsidRPr="00886D8A">
        <w:t xml:space="preserve">Table </w:t>
      </w:r>
      <w:r w:rsidR="00B73A9E">
        <w:rPr>
          <w:noProof/>
        </w:rPr>
        <w:t>6</w:t>
      </w:r>
      <w:r w:rsidR="00BB03DF" w:rsidRPr="00886D8A">
        <w:fldChar w:fldCharType="end"/>
      </w:r>
      <w:r w:rsidRPr="00886D8A">
        <w:t xml:space="preserve">), </w:t>
      </w:r>
      <w:r w:rsidR="009C40B7" w:rsidRPr="00886D8A">
        <w:t xml:space="preserve">with </w:t>
      </w:r>
      <w:r w:rsidRPr="00886D8A">
        <w:t>similar reductions in the paediatric rhLAMAN</w:t>
      </w:r>
      <w:r w:rsidR="0011024A">
        <w:noBreakHyphen/>
      </w:r>
      <w:r w:rsidRPr="00886D8A">
        <w:t>08 study, and that these reductions appeared to be maintained over longer periods (as reported in rhLAMAN</w:t>
      </w:r>
      <w:r w:rsidR="0011024A">
        <w:noBreakHyphen/>
      </w:r>
      <w:r w:rsidRPr="00886D8A">
        <w:t xml:space="preserve">08, </w:t>
      </w:r>
      <w:r w:rsidR="0011024A">
        <w:noBreakHyphen/>
      </w:r>
      <w:r w:rsidRPr="00886D8A">
        <w:t xml:space="preserve">10 and </w:t>
      </w:r>
      <w:r w:rsidR="0011024A">
        <w:noBreakHyphen/>
      </w:r>
      <w:r w:rsidRPr="00886D8A">
        <w:t>11,</w:t>
      </w:r>
      <w:r w:rsidR="00F55720" w:rsidRPr="00886D8A">
        <w:t xml:space="preserve"> see</w:t>
      </w:r>
      <w:r w:rsidRPr="00886D8A">
        <w:t xml:space="preserve"> </w:t>
      </w:r>
      <w:r w:rsidR="00BB03DF" w:rsidRPr="00886D8A">
        <w:fldChar w:fldCharType="begin"/>
      </w:r>
      <w:r w:rsidR="00BB03DF" w:rsidRPr="00886D8A">
        <w:instrText xml:space="preserve"> REF _Ref197184191 \h </w:instrText>
      </w:r>
      <w:r w:rsidR="00BB03DF" w:rsidRPr="00886D8A">
        <w:fldChar w:fldCharType="separate"/>
      </w:r>
      <w:r w:rsidR="00B73A9E" w:rsidRPr="00886D8A">
        <w:t xml:space="preserve">Table </w:t>
      </w:r>
      <w:r w:rsidR="00B73A9E">
        <w:rPr>
          <w:noProof/>
        </w:rPr>
        <w:t>8</w:t>
      </w:r>
      <w:r w:rsidR="00BB03DF" w:rsidRPr="00886D8A">
        <w:fldChar w:fldCharType="end"/>
      </w:r>
      <w:r w:rsidR="00BB03DF" w:rsidRPr="00886D8A">
        <w:t xml:space="preserve"> </w:t>
      </w:r>
      <w:r w:rsidRPr="00886D8A">
        <w:t xml:space="preserve">and paragraph </w:t>
      </w:r>
      <w:r w:rsidR="00D91598" w:rsidRPr="00886D8A">
        <w:fldChar w:fldCharType="begin"/>
      </w:r>
      <w:r w:rsidR="00D91598" w:rsidRPr="00886D8A">
        <w:instrText xml:space="preserve"> REF _Ref204073846 \r \h </w:instrText>
      </w:r>
      <w:r w:rsidR="00D91598" w:rsidRPr="00886D8A">
        <w:fldChar w:fldCharType="separate"/>
      </w:r>
      <w:r w:rsidR="00B73A9E">
        <w:t>6.40</w:t>
      </w:r>
      <w:r w:rsidR="00D91598" w:rsidRPr="00886D8A">
        <w:fldChar w:fldCharType="end"/>
      </w:r>
      <w:r w:rsidRPr="00886D8A">
        <w:t>). However, the PBAC noted the results for the clinical outcomes of 3MSCT, 6MWT and change in FVC, whilst trending towards a numerical benefit for velmanase alfa in rhLAMAN</w:t>
      </w:r>
      <w:r w:rsidR="0011024A">
        <w:noBreakHyphen/>
      </w:r>
      <w:r w:rsidRPr="00886D8A">
        <w:t>05, did not achieve statistical significance</w:t>
      </w:r>
      <w:r w:rsidR="002914A6" w:rsidRPr="00886D8A">
        <w:t xml:space="preserve"> or</w:t>
      </w:r>
      <w:r w:rsidR="00677596" w:rsidRPr="00886D8A">
        <w:t xml:space="preserve"> exceed</w:t>
      </w:r>
      <w:r w:rsidR="002914A6" w:rsidRPr="00886D8A">
        <w:t xml:space="preserve"> the nominated minimum clinically important difference</w:t>
      </w:r>
      <w:r w:rsidR="008B1D1A" w:rsidRPr="00886D8A">
        <w:t>s</w:t>
      </w:r>
      <w:r w:rsidR="002914A6" w:rsidRPr="00886D8A">
        <w:t xml:space="preserve"> (MCID</w:t>
      </w:r>
      <w:r w:rsidR="008B1D1A" w:rsidRPr="00886D8A">
        <w:t>s</w:t>
      </w:r>
      <w:r w:rsidR="00F55720" w:rsidRPr="00886D8A">
        <w:t xml:space="preserve">; see </w:t>
      </w:r>
      <w:r w:rsidR="00BB03DF" w:rsidRPr="00886D8A">
        <w:fldChar w:fldCharType="begin"/>
      </w:r>
      <w:r w:rsidR="00BB03DF" w:rsidRPr="00886D8A">
        <w:instrText xml:space="preserve"> REF _Ref197168537 \h </w:instrText>
      </w:r>
      <w:r w:rsidR="00BB03DF" w:rsidRPr="00886D8A">
        <w:fldChar w:fldCharType="separate"/>
      </w:r>
      <w:r w:rsidR="00B73A9E" w:rsidRPr="00886D8A">
        <w:t xml:space="preserve">Table </w:t>
      </w:r>
      <w:r w:rsidR="00B73A9E">
        <w:rPr>
          <w:noProof/>
        </w:rPr>
        <w:t>6</w:t>
      </w:r>
      <w:r w:rsidR="00BB03DF" w:rsidRPr="00886D8A">
        <w:fldChar w:fldCharType="end"/>
      </w:r>
      <w:r w:rsidRPr="00886D8A">
        <w:t>). The PBAC noted the paediatric rhLAMAN</w:t>
      </w:r>
      <w:r w:rsidR="0011024A">
        <w:noBreakHyphen/>
      </w:r>
      <w:r w:rsidRPr="00886D8A">
        <w:t>08 study observed improvements in 3/6 patients for 6MWT and 2/6 for 3MSCT. In addition, the Committee noted the results for the follow</w:t>
      </w:r>
      <w:r w:rsidR="0011024A">
        <w:noBreakHyphen/>
      </w:r>
      <w:r w:rsidRPr="00886D8A">
        <w:t>up studies rhLAMAN</w:t>
      </w:r>
      <w:r w:rsidR="0011024A">
        <w:noBreakHyphen/>
      </w:r>
      <w:r w:rsidRPr="00886D8A">
        <w:t xml:space="preserve">10 and </w:t>
      </w:r>
      <w:r w:rsidR="0011024A">
        <w:noBreakHyphen/>
      </w:r>
      <w:r w:rsidRPr="00886D8A">
        <w:t>11 found a statistically significant improvement in 3MSCT from baseline to last observation and a modest effect for FVC, but not for 6MWT (</w:t>
      </w:r>
      <w:r w:rsidR="00E57C60" w:rsidRPr="00886D8A">
        <w:t xml:space="preserve">see </w:t>
      </w:r>
      <w:r w:rsidR="00BB03DF" w:rsidRPr="00886D8A">
        <w:fldChar w:fldCharType="begin"/>
      </w:r>
      <w:r w:rsidR="00BB03DF" w:rsidRPr="00886D8A">
        <w:instrText xml:space="preserve"> REF _Ref197184191 \h </w:instrText>
      </w:r>
      <w:r w:rsidR="00BB03DF" w:rsidRPr="00886D8A">
        <w:fldChar w:fldCharType="separate"/>
      </w:r>
      <w:r w:rsidR="00B73A9E" w:rsidRPr="00886D8A">
        <w:t xml:space="preserve">Table </w:t>
      </w:r>
      <w:r w:rsidR="00B73A9E">
        <w:rPr>
          <w:noProof/>
        </w:rPr>
        <w:t>8</w:t>
      </w:r>
      <w:r w:rsidR="00BB03DF" w:rsidRPr="00886D8A">
        <w:fldChar w:fldCharType="end"/>
      </w:r>
      <w:r w:rsidRPr="00886D8A">
        <w:t>)</w:t>
      </w:r>
      <w:r w:rsidR="00FC4D7E" w:rsidRPr="00886D8A">
        <w:t xml:space="preserve"> and</w:t>
      </w:r>
      <w:r w:rsidRPr="00886D8A">
        <w:t xml:space="preserve"> </w:t>
      </w:r>
      <w:r w:rsidR="00FC4D7E" w:rsidRPr="00886D8A">
        <w:t xml:space="preserve">that </w:t>
      </w:r>
      <w:r w:rsidRPr="00886D8A">
        <w:t>some patients became independent of mobility assistance, but the patient numbers in these longer</w:t>
      </w:r>
      <w:r w:rsidR="0011024A">
        <w:noBreakHyphen/>
      </w:r>
      <w:r w:rsidRPr="00886D8A">
        <w:t>term follow</w:t>
      </w:r>
      <w:r w:rsidR="0011024A">
        <w:noBreakHyphen/>
      </w:r>
      <w:r w:rsidRPr="00886D8A">
        <w:t xml:space="preserve">up studies were very small. With respect to </w:t>
      </w:r>
      <w:r w:rsidR="00AE1CBF" w:rsidRPr="00886D8A">
        <w:t>QoL</w:t>
      </w:r>
      <w:r w:rsidRPr="00886D8A">
        <w:t xml:space="preserve"> outcomes, the PBAC noted there were typically small changes in CHAQ domain scores and EQ</w:t>
      </w:r>
      <w:r w:rsidR="0011024A">
        <w:noBreakHyphen/>
      </w:r>
      <w:r w:rsidRPr="00886D8A">
        <w:t>5D</w:t>
      </w:r>
      <w:r w:rsidR="0011024A">
        <w:noBreakHyphen/>
      </w:r>
      <w:r w:rsidRPr="00886D8A">
        <w:t>5L outcomes</w:t>
      </w:r>
      <w:r w:rsidR="0048706B" w:rsidRPr="00886D8A">
        <w:t>;</w:t>
      </w:r>
      <w:r w:rsidRPr="00886D8A">
        <w:t xml:space="preserve"> and caregivers in the paediatric rhLAMAN</w:t>
      </w:r>
      <w:r w:rsidR="0011024A">
        <w:noBreakHyphen/>
      </w:r>
      <w:r w:rsidRPr="00886D8A">
        <w:t>08 study reported improvements in all domains including self</w:t>
      </w:r>
      <w:r w:rsidR="0011024A">
        <w:noBreakHyphen/>
      </w:r>
      <w:r w:rsidRPr="00886D8A">
        <w:t>care, mobility and social function.</w:t>
      </w:r>
      <w:bookmarkEnd w:id="120"/>
    </w:p>
    <w:p w14:paraId="7EAF0077" w14:textId="250DEE3E" w:rsidR="000230A7" w:rsidRPr="00886D8A" w:rsidRDefault="0027130A" w:rsidP="004E36D3">
      <w:pPr>
        <w:pStyle w:val="3-BodyText"/>
      </w:pPr>
      <w:r w:rsidRPr="00886D8A">
        <w:t>Although there was a lack of statistically significant improvements in clinical outcomes in the trial and studies presented, t</w:t>
      </w:r>
      <w:r w:rsidR="000230A7" w:rsidRPr="00886D8A">
        <w:t xml:space="preserve">he PBAC </w:t>
      </w:r>
      <w:r w:rsidR="00FE03B6" w:rsidRPr="00886D8A">
        <w:t>noted the</w:t>
      </w:r>
      <w:r w:rsidR="000230A7" w:rsidRPr="00886D8A">
        <w:t xml:space="preserve"> input from the sponsor hearing and consumers that highlighted a range of benefits were likely to be seen that were not captured in the trials, such as stabilisation of clinical features, improvements in immune system function and preventing further accumulation of organ damage caused by the presence of excess oligosaccharides. </w:t>
      </w:r>
    </w:p>
    <w:p w14:paraId="31A72FD6" w14:textId="0775ADC0" w:rsidR="0002733E" w:rsidRPr="00886D8A" w:rsidRDefault="00FE03B6" w:rsidP="004E36D3">
      <w:pPr>
        <w:pStyle w:val="3-BodyText"/>
      </w:pPr>
      <w:bookmarkStart w:id="122" w:name="_Ref205542552"/>
      <w:r w:rsidRPr="00886D8A">
        <w:t>T</w:t>
      </w:r>
      <w:r w:rsidR="00CD1016" w:rsidRPr="00886D8A">
        <w:t>he PBAC acknowledged some patients appeared to benefit from treatment and considered it would be helpful if the Sponsor could provide more information to further describe the potential benefits of treatment. Noting the complex and heterogenous nature of AM, the PBAC considered that the multi</w:t>
      </w:r>
      <w:r w:rsidR="0011024A">
        <w:noBreakHyphen/>
      </w:r>
      <w:r w:rsidR="00CD1016" w:rsidRPr="00886D8A">
        <w:t xml:space="preserve">domain responder analysis presented by the submission, the Global Treatment Response (GTR) model, was informative. The PBAC noted that single measures in the trial did not indicate significant improvements in clinical outcomes (see paragraph </w:t>
      </w:r>
      <w:r w:rsidR="00CD1016" w:rsidRPr="00886D8A">
        <w:fldChar w:fldCharType="begin"/>
      </w:r>
      <w:r w:rsidR="00CD1016" w:rsidRPr="00886D8A">
        <w:instrText xml:space="preserve"> REF _Ref204937054 \r \h </w:instrText>
      </w:r>
      <w:r w:rsidR="00CD1016" w:rsidRPr="00886D8A">
        <w:fldChar w:fldCharType="separate"/>
      </w:r>
      <w:r w:rsidR="00B73A9E">
        <w:t>7.8</w:t>
      </w:r>
      <w:r w:rsidR="00CD1016" w:rsidRPr="00886D8A">
        <w:fldChar w:fldCharType="end"/>
      </w:r>
      <w:r w:rsidR="00CD1016" w:rsidRPr="00886D8A">
        <w:t>); however, the GTR model appeared to indicate clinically meaningful improvements associated with velmanase alfa based on data from the randomised rhLAMAN</w:t>
      </w:r>
      <w:r w:rsidR="0011024A">
        <w:noBreakHyphen/>
      </w:r>
      <w:r w:rsidR="00CD1016" w:rsidRPr="00886D8A">
        <w:t xml:space="preserve">05 trial. A GTR (defined by response to at least two of the following domains: pharmacodynamic, functional and QoL) was achieved by 87% of patients in the velmanase alfa arm, compared to 30% in the BSC arm after 12 months (see paragraph </w:t>
      </w:r>
      <w:r w:rsidR="00CD1016" w:rsidRPr="00886D8A">
        <w:fldChar w:fldCharType="begin"/>
      </w:r>
      <w:r w:rsidR="00CD1016" w:rsidRPr="00886D8A">
        <w:instrText xml:space="preserve"> REF _Ref204937106 \r \h </w:instrText>
      </w:r>
      <w:r w:rsidR="00CD1016" w:rsidRPr="00886D8A">
        <w:fldChar w:fldCharType="separate"/>
      </w:r>
      <w:r w:rsidR="00B73A9E">
        <w:t>6.36</w:t>
      </w:r>
      <w:r w:rsidR="00CD1016" w:rsidRPr="00886D8A">
        <w:fldChar w:fldCharType="end"/>
      </w:r>
      <w:r w:rsidR="00CD1016" w:rsidRPr="00886D8A">
        <w:t>). The PBAC considered it would be informative for the Sponsor to provide further discussion regarding the patient relevant impacts of achieving a treatment response as defined by the GTR.</w:t>
      </w:r>
      <w:bookmarkEnd w:id="122"/>
      <w:r w:rsidR="00A961F5">
        <w:t xml:space="preserve"> </w:t>
      </w:r>
      <w:bookmarkEnd w:id="121"/>
    </w:p>
    <w:p w14:paraId="1E9B5F55" w14:textId="645A1C1A" w:rsidR="0002733E" w:rsidRPr="00886D8A" w:rsidRDefault="0002733E" w:rsidP="004E36D3">
      <w:pPr>
        <w:pStyle w:val="3-BodyText"/>
      </w:pPr>
      <w:r w:rsidRPr="00886D8A">
        <w:t>Overall, the PBAC found the clinical effectiveness data difficult to interpret</w:t>
      </w:r>
      <w:r w:rsidR="00EE2F9C" w:rsidRPr="00886D8A">
        <w:t>. The PBAC</w:t>
      </w:r>
      <w:r w:rsidRPr="00886D8A">
        <w:t xml:space="preserve"> considered </w:t>
      </w:r>
      <w:r w:rsidR="004B3A34" w:rsidRPr="00886D8A">
        <w:t xml:space="preserve">that velmanase alfa was superior compared to placebo in terms of </w:t>
      </w:r>
      <w:r w:rsidRPr="00886D8A">
        <w:t>biochemical effectiveness</w:t>
      </w:r>
      <w:r w:rsidR="004B3A34" w:rsidRPr="00886D8A">
        <w:t xml:space="preserve">, i.e. reduction in </w:t>
      </w:r>
      <w:r w:rsidR="00763214" w:rsidRPr="00886D8A">
        <w:t xml:space="preserve">serum </w:t>
      </w:r>
      <w:r w:rsidR="004B3A34" w:rsidRPr="00886D8A">
        <w:t>oligosaccharide</w:t>
      </w:r>
      <w:r w:rsidR="00763214" w:rsidRPr="00886D8A">
        <w:t xml:space="preserve">. However, </w:t>
      </w:r>
      <w:r w:rsidRPr="00886D8A">
        <w:t>the impact on the clinical outcomes</w:t>
      </w:r>
      <w:r w:rsidR="00021922" w:rsidRPr="00886D8A">
        <w:t>, i.e. 3MSC, 6MWT, FEV,</w:t>
      </w:r>
      <w:r w:rsidRPr="00886D8A">
        <w:t xml:space="preserve"> </w:t>
      </w:r>
      <w:r w:rsidR="004A7EE9" w:rsidRPr="00886D8A">
        <w:t>was uncertain</w:t>
      </w:r>
      <w:r w:rsidR="006723C5" w:rsidRPr="00886D8A">
        <w:t xml:space="preserve">, </w:t>
      </w:r>
      <w:r w:rsidR="0017634B" w:rsidRPr="00886D8A">
        <w:t xml:space="preserve">with substantial individual variation in </w:t>
      </w:r>
      <w:r w:rsidR="006F676F" w:rsidRPr="00886D8A">
        <w:t>clinical manifestations of disease and observed clinical responses to treatment</w:t>
      </w:r>
      <w:r w:rsidR="004977DD" w:rsidRPr="00886D8A">
        <w:t xml:space="preserve"> over the </w:t>
      </w:r>
      <w:r w:rsidR="00B95DF4" w:rsidRPr="00886D8A">
        <w:t>considerably long durations of follow up in the extension studies</w:t>
      </w:r>
      <w:r w:rsidRPr="00886D8A">
        <w:t xml:space="preserve">. </w:t>
      </w:r>
      <w:r w:rsidR="00D16CDC" w:rsidRPr="00886D8A">
        <w:t xml:space="preserve">Noting </w:t>
      </w:r>
      <w:r w:rsidR="00A77E62" w:rsidRPr="00886D8A">
        <w:t>the challenges of obtaining robust data and the</w:t>
      </w:r>
      <w:r w:rsidRPr="00886D8A">
        <w:t xml:space="preserve"> clinically important improvements </w:t>
      </w:r>
      <w:r w:rsidR="00AB363C" w:rsidRPr="00886D8A">
        <w:t xml:space="preserve">achieved by some patients </w:t>
      </w:r>
      <w:r w:rsidRPr="00886D8A">
        <w:t xml:space="preserve">whilst on treatment (such as becoming independent of mobility assistance), </w:t>
      </w:r>
      <w:r w:rsidR="00AB363C" w:rsidRPr="00886D8A">
        <w:t xml:space="preserve">the PBAC </w:t>
      </w:r>
      <w:r w:rsidRPr="00886D8A">
        <w:t xml:space="preserve">considered it was reasonable to conclude that velmanase alfa </w:t>
      </w:r>
      <w:r w:rsidR="00D24835" w:rsidRPr="00886D8A">
        <w:t xml:space="preserve">likely provides </w:t>
      </w:r>
      <w:r w:rsidR="001B596C" w:rsidRPr="00886D8A">
        <w:t xml:space="preserve">some </w:t>
      </w:r>
      <w:r w:rsidR="00D24835" w:rsidRPr="00886D8A">
        <w:t>clinical benefit</w:t>
      </w:r>
      <w:r w:rsidR="001B596C" w:rsidRPr="00886D8A">
        <w:t xml:space="preserve">. </w:t>
      </w:r>
    </w:p>
    <w:p w14:paraId="6757A573" w14:textId="1991E524" w:rsidR="00693393" w:rsidRPr="00886D8A" w:rsidRDefault="0002733E" w:rsidP="004E36D3">
      <w:pPr>
        <w:pStyle w:val="3-BodyText"/>
      </w:pPr>
      <w:r w:rsidRPr="00886D8A">
        <w:t xml:space="preserve">With respect to comparative safety, the PBAC noted </w:t>
      </w:r>
      <w:r w:rsidR="001B596C" w:rsidRPr="00886D8A">
        <w:t>that</w:t>
      </w:r>
      <w:r w:rsidRPr="00886D8A">
        <w:t xml:space="preserve"> velmanase alfa was associated with higher rates of treatment emergent adverse events (TEAEs) and serious adverse events (SAEs), with almost all patients in rhLAMAN</w:t>
      </w:r>
      <w:r w:rsidR="0011024A">
        <w:noBreakHyphen/>
      </w:r>
      <w:r w:rsidRPr="00886D8A">
        <w:t xml:space="preserve">05 and </w:t>
      </w:r>
      <w:r w:rsidR="0011024A">
        <w:noBreakHyphen/>
      </w:r>
      <w:r w:rsidRPr="00886D8A">
        <w:t>10 treated with velmanase alfa reporting TEAEs (</w:t>
      </w:r>
      <w:r w:rsidR="001C49E3" w:rsidRPr="00886D8A">
        <w:t xml:space="preserve">see </w:t>
      </w:r>
      <w:r w:rsidR="00DC68F4" w:rsidRPr="00886D8A">
        <w:fldChar w:fldCharType="begin"/>
      </w:r>
      <w:r w:rsidR="00DC68F4" w:rsidRPr="00886D8A">
        <w:instrText xml:space="preserve"> REF _Ref197162224 \h </w:instrText>
      </w:r>
      <w:r w:rsidR="00DC68F4" w:rsidRPr="00886D8A">
        <w:fldChar w:fldCharType="separate"/>
      </w:r>
      <w:r w:rsidR="00B73A9E" w:rsidRPr="00886D8A">
        <w:t xml:space="preserve">Table </w:t>
      </w:r>
      <w:r w:rsidR="00B73A9E">
        <w:rPr>
          <w:noProof/>
        </w:rPr>
        <w:t>11</w:t>
      </w:r>
      <w:r w:rsidR="00DC68F4" w:rsidRPr="00886D8A">
        <w:fldChar w:fldCharType="end"/>
      </w:r>
      <w:r w:rsidRPr="00886D8A">
        <w:t xml:space="preserve">). Overall, the PBAC considered the claim of inferior comparative safety to BSC was </w:t>
      </w:r>
      <w:r w:rsidR="0008517D" w:rsidRPr="00886D8A">
        <w:t>appropriate</w:t>
      </w:r>
      <w:r w:rsidRPr="00886D8A">
        <w:t>.</w:t>
      </w:r>
    </w:p>
    <w:p w14:paraId="3C9E9804" w14:textId="182ACB7F" w:rsidR="00313D6C" w:rsidRPr="00886D8A" w:rsidRDefault="00DE279E" w:rsidP="004E36D3">
      <w:pPr>
        <w:pStyle w:val="3-BodyText"/>
      </w:pPr>
      <w:r w:rsidRPr="00886D8A">
        <w:t xml:space="preserve">The PBAC considered that while the structure of the economic model was generally acceptable, the inputs to the model, especially given the paucity of clinical data and uncertainty in the clinical outcomes, meant the economic evaluation presented was </w:t>
      </w:r>
      <w:r w:rsidR="00F3404D" w:rsidRPr="00886D8A">
        <w:t xml:space="preserve">not sufficiently robust </w:t>
      </w:r>
      <w:r w:rsidRPr="00886D8A">
        <w:t>for decision</w:t>
      </w:r>
      <w:r w:rsidR="0011024A">
        <w:noBreakHyphen/>
      </w:r>
      <w:r w:rsidRPr="00886D8A">
        <w:t>making</w:t>
      </w:r>
      <w:r w:rsidR="006D1056" w:rsidRPr="00886D8A">
        <w:t>.</w:t>
      </w:r>
      <w:r w:rsidRPr="00886D8A">
        <w:t xml:space="preserve"> The Committee agreed with the </w:t>
      </w:r>
      <w:r w:rsidR="00950520" w:rsidRPr="00886D8A">
        <w:t>Sub</w:t>
      </w:r>
      <w:r w:rsidR="0011024A">
        <w:noBreakHyphen/>
      </w:r>
      <w:r w:rsidR="00950520" w:rsidRPr="00886D8A">
        <w:t>Committee’s</w:t>
      </w:r>
      <w:r w:rsidRPr="00886D8A">
        <w:t xml:space="preserve"> that the health states defined in the model</w:t>
      </w:r>
      <w:r w:rsidR="008A0614" w:rsidRPr="00886D8A">
        <w:t>,</w:t>
      </w:r>
      <w:r w:rsidRPr="00886D8A">
        <w:t xml:space="preserve"> while based on mobility, were likely adequately representative of progression and severity of disease</w:t>
      </w:r>
      <w:r w:rsidR="00950520" w:rsidRPr="00886D8A">
        <w:t>. However, the PBAC noted that</w:t>
      </w:r>
      <w:r w:rsidR="00A961F5">
        <w:t xml:space="preserve"> </w:t>
      </w:r>
      <w:r w:rsidRPr="00886D8A">
        <w:t>inputs to the model</w:t>
      </w:r>
      <w:r w:rsidR="00950520" w:rsidRPr="00886D8A">
        <w:t xml:space="preserve"> were uncertain (</w:t>
      </w:r>
      <w:r w:rsidRPr="00886D8A">
        <w:t xml:space="preserve">some transition probabilities </w:t>
      </w:r>
      <w:r w:rsidR="00950520" w:rsidRPr="00886D8A">
        <w:t xml:space="preserve">were </w:t>
      </w:r>
      <w:r w:rsidRPr="00886D8A">
        <w:t>based on a structured expert elicitation panel</w:t>
      </w:r>
      <w:r w:rsidR="00950520" w:rsidRPr="00886D8A">
        <w:t xml:space="preserve"> and</w:t>
      </w:r>
      <w:r w:rsidRPr="00886D8A">
        <w:t xml:space="preserve"> </w:t>
      </w:r>
      <w:r w:rsidR="00950520" w:rsidRPr="00886D8A">
        <w:t xml:space="preserve">there were </w:t>
      </w:r>
      <w:r w:rsidRPr="00886D8A">
        <w:t>very limited data to inform other probabilities</w:t>
      </w:r>
      <w:r w:rsidR="00950520" w:rsidRPr="00886D8A">
        <w:t>,</w:t>
      </w:r>
      <w:r w:rsidR="00A961F5">
        <w:t xml:space="preserve"> </w:t>
      </w:r>
      <w:r w:rsidRPr="00886D8A">
        <w:t>uncertainties in utilities</w:t>
      </w:r>
      <w:r w:rsidR="00950520" w:rsidRPr="00886D8A">
        <w:t>,</w:t>
      </w:r>
      <w:r w:rsidRPr="00886D8A">
        <w:t xml:space="preserve"> and a lack of longer term data</w:t>
      </w:r>
      <w:r w:rsidR="00950520" w:rsidRPr="00886D8A">
        <w:t xml:space="preserve">; </w:t>
      </w:r>
      <w:r w:rsidR="00B7108A" w:rsidRPr="00886D8A">
        <w:t xml:space="preserve">see </w:t>
      </w:r>
      <w:r w:rsidRPr="00886D8A">
        <w:t>paragraphs</w:t>
      </w:r>
      <w:r w:rsidR="001924E6" w:rsidRPr="00886D8A">
        <w:t xml:space="preserve"> </w:t>
      </w:r>
      <w:r w:rsidR="001924E6" w:rsidRPr="00886D8A">
        <w:fldChar w:fldCharType="begin"/>
      </w:r>
      <w:r w:rsidR="001924E6" w:rsidRPr="00886D8A">
        <w:instrText xml:space="preserve"> REF _Ref204073872 \r \h </w:instrText>
      </w:r>
      <w:r w:rsidR="001924E6" w:rsidRPr="00886D8A">
        <w:fldChar w:fldCharType="separate"/>
      </w:r>
      <w:r w:rsidR="00B73A9E">
        <w:t>6.57</w:t>
      </w:r>
      <w:r w:rsidR="001924E6" w:rsidRPr="00886D8A">
        <w:fldChar w:fldCharType="end"/>
      </w:r>
      <w:r w:rsidR="001924E6" w:rsidRPr="00886D8A">
        <w:t xml:space="preserve">, </w:t>
      </w:r>
      <w:r w:rsidR="001924E6" w:rsidRPr="00886D8A">
        <w:fldChar w:fldCharType="begin"/>
      </w:r>
      <w:r w:rsidR="001924E6" w:rsidRPr="00886D8A">
        <w:instrText xml:space="preserve"> REF _Ref204073876 \r \h </w:instrText>
      </w:r>
      <w:r w:rsidR="001924E6" w:rsidRPr="00886D8A">
        <w:fldChar w:fldCharType="separate"/>
      </w:r>
      <w:r w:rsidR="00B73A9E">
        <w:t>6.58</w:t>
      </w:r>
      <w:r w:rsidR="001924E6" w:rsidRPr="00886D8A">
        <w:fldChar w:fldCharType="end"/>
      </w:r>
      <w:r w:rsidR="001924E6" w:rsidRPr="00886D8A">
        <w:t xml:space="preserve">, </w:t>
      </w:r>
      <w:r w:rsidR="001924E6" w:rsidRPr="00886D8A">
        <w:fldChar w:fldCharType="begin"/>
      </w:r>
      <w:r w:rsidR="001924E6" w:rsidRPr="00886D8A">
        <w:instrText xml:space="preserve"> REF _Ref204073878 \r \h </w:instrText>
      </w:r>
      <w:r w:rsidR="001924E6" w:rsidRPr="00886D8A">
        <w:fldChar w:fldCharType="separate"/>
      </w:r>
      <w:r w:rsidR="00B73A9E">
        <w:t>6.59</w:t>
      </w:r>
      <w:r w:rsidR="001924E6" w:rsidRPr="00886D8A">
        <w:fldChar w:fldCharType="end"/>
      </w:r>
      <w:r w:rsidR="001924E6" w:rsidRPr="00886D8A">
        <w:t xml:space="preserve">, </w:t>
      </w:r>
      <w:r w:rsidR="001924E6" w:rsidRPr="00886D8A">
        <w:fldChar w:fldCharType="begin"/>
      </w:r>
      <w:r w:rsidR="001924E6" w:rsidRPr="00886D8A">
        <w:instrText xml:space="preserve"> REF _Ref204073881 \r \h </w:instrText>
      </w:r>
      <w:r w:rsidR="001924E6" w:rsidRPr="00886D8A">
        <w:fldChar w:fldCharType="separate"/>
      </w:r>
      <w:r w:rsidR="00B73A9E">
        <w:t>6.64</w:t>
      </w:r>
      <w:r w:rsidR="001924E6" w:rsidRPr="00886D8A">
        <w:fldChar w:fldCharType="end"/>
      </w:r>
      <w:r w:rsidR="001924E6" w:rsidRPr="00886D8A">
        <w:t xml:space="preserve">, </w:t>
      </w:r>
      <w:r w:rsidR="001924E6" w:rsidRPr="00886D8A">
        <w:fldChar w:fldCharType="begin"/>
      </w:r>
      <w:r w:rsidR="001924E6" w:rsidRPr="00886D8A">
        <w:instrText xml:space="preserve"> REF _Ref204073885 \r \h </w:instrText>
      </w:r>
      <w:r w:rsidR="001924E6" w:rsidRPr="00886D8A">
        <w:fldChar w:fldCharType="separate"/>
      </w:r>
      <w:r w:rsidR="00B73A9E">
        <w:t>6.66</w:t>
      </w:r>
      <w:r w:rsidR="001924E6" w:rsidRPr="00886D8A">
        <w:fldChar w:fldCharType="end"/>
      </w:r>
      <w:r w:rsidR="001924E6" w:rsidRPr="00886D8A">
        <w:t xml:space="preserve"> and </w:t>
      </w:r>
      <w:r w:rsidR="001924E6" w:rsidRPr="00886D8A">
        <w:fldChar w:fldCharType="begin"/>
      </w:r>
      <w:r w:rsidR="001924E6" w:rsidRPr="00886D8A">
        <w:instrText xml:space="preserve"> REF _Ref204073887 \r \h </w:instrText>
      </w:r>
      <w:r w:rsidR="001924E6" w:rsidRPr="00886D8A">
        <w:fldChar w:fldCharType="separate"/>
      </w:r>
      <w:r w:rsidR="00B73A9E">
        <w:t>6.67</w:t>
      </w:r>
      <w:r w:rsidR="001924E6" w:rsidRPr="00886D8A">
        <w:fldChar w:fldCharType="end"/>
      </w:r>
      <w:r w:rsidRPr="00886D8A">
        <w:t>)</w:t>
      </w:r>
      <w:r w:rsidR="00950520" w:rsidRPr="00886D8A">
        <w:t xml:space="preserve">. The PBAC considered that the uncertain inputs </w:t>
      </w:r>
      <w:r w:rsidRPr="00886D8A">
        <w:t xml:space="preserve">combined with the impact of the very high treatment cost </w:t>
      </w:r>
      <w:r w:rsidR="00F455FC" w:rsidRPr="00886D8A">
        <w:t>culminated</w:t>
      </w:r>
      <w:r w:rsidRPr="00886D8A">
        <w:t xml:space="preserve"> in the resultant ICER </w:t>
      </w:r>
      <w:r w:rsidR="00BB1DB7" w:rsidRPr="00886D8A">
        <w:t xml:space="preserve">(base case </w:t>
      </w:r>
      <w:r w:rsidR="00D774B4" w:rsidRPr="00D774B4">
        <w:t>&gt; $1,055,000</w:t>
      </w:r>
      <w:r w:rsidR="00BB1DB7" w:rsidRPr="00886D8A">
        <w:t xml:space="preserve"> per QALY)</w:t>
      </w:r>
      <w:r w:rsidRPr="00886D8A">
        <w:t xml:space="preserve"> likely not being reliable. </w:t>
      </w:r>
      <w:r w:rsidR="00CF2075" w:rsidRPr="00886D8A">
        <w:t xml:space="preserve">The PBAC considered that the value proposition was difficult to assess with a traditional </w:t>
      </w:r>
      <w:r w:rsidR="00F23519" w:rsidRPr="00886D8A">
        <w:t>ICER due to the limited clinical data and lack of patient</w:t>
      </w:r>
      <w:r w:rsidR="0011024A">
        <w:noBreakHyphen/>
      </w:r>
      <w:r w:rsidR="00F23519" w:rsidRPr="00886D8A">
        <w:t xml:space="preserve">relevant </w:t>
      </w:r>
      <w:r w:rsidR="002378DD" w:rsidRPr="00886D8A">
        <w:t xml:space="preserve">outcomes to inform the model, the small number of patients included in the studies, and the </w:t>
      </w:r>
      <w:r w:rsidR="00E32A7B" w:rsidRPr="00886D8A">
        <w:t>individualised</w:t>
      </w:r>
      <w:r w:rsidR="00497904" w:rsidRPr="00886D8A">
        <w:t xml:space="preserve"> nature of AM progression. The PBAC considered that the uncertainty in the ICER is unlikely to be adequately resolved with further revision to the model structure.</w:t>
      </w:r>
    </w:p>
    <w:p w14:paraId="2DB0FB6C" w14:textId="7E6D6F6C" w:rsidR="00DE279E" w:rsidRPr="00886D8A" w:rsidRDefault="00313D6C" w:rsidP="004E36D3">
      <w:pPr>
        <w:pStyle w:val="3-BodyText"/>
      </w:pPr>
      <w:bookmarkStart w:id="123" w:name="_Ref204591378"/>
      <w:r w:rsidRPr="00886D8A">
        <w:t xml:space="preserve">Noting the high and urgent clinical need for effective </w:t>
      </w:r>
      <w:r w:rsidR="004E322C" w:rsidRPr="00886D8A">
        <w:t xml:space="preserve">pharmacological </w:t>
      </w:r>
      <w:r w:rsidRPr="00886D8A">
        <w:t>treatments for AM</w:t>
      </w:r>
      <w:r w:rsidR="002A4037" w:rsidRPr="00886D8A">
        <w:t xml:space="preserve"> and the imp</w:t>
      </w:r>
      <w:r w:rsidR="006C3729" w:rsidRPr="00886D8A">
        <w:t>o</w:t>
      </w:r>
      <w:r w:rsidR="002A4037" w:rsidRPr="00886D8A">
        <w:t>rtance of even small clinical gains in mobility and other clinical</w:t>
      </w:r>
      <w:r w:rsidR="006C3729" w:rsidRPr="00886D8A">
        <w:t xml:space="preserve"> symptoms, the </w:t>
      </w:r>
      <w:r w:rsidR="00340111" w:rsidRPr="00886D8A">
        <w:t xml:space="preserve">PBAC compared the </w:t>
      </w:r>
      <w:r w:rsidR="00FE21C3" w:rsidRPr="00886D8A">
        <w:t xml:space="preserve">range </w:t>
      </w:r>
      <w:r w:rsidR="00340111" w:rsidRPr="00886D8A">
        <w:t>of the benefits, number of patients expected to be treated</w:t>
      </w:r>
      <w:r w:rsidR="00B614A4" w:rsidRPr="00886D8A">
        <w:t xml:space="preserve">, and the </w:t>
      </w:r>
      <w:r w:rsidR="002D24BE" w:rsidRPr="00886D8A">
        <w:t xml:space="preserve">treatment </w:t>
      </w:r>
      <w:r w:rsidR="00B614A4" w:rsidRPr="00886D8A">
        <w:t>cost per patient per year for velmanase alfa at the proposed price, with other high</w:t>
      </w:r>
      <w:r w:rsidR="0011024A">
        <w:noBreakHyphen/>
      </w:r>
      <w:r w:rsidR="00B614A4" w:rsidRPr="00886D8A">
        <w:t>cost treatments for rare diseases</w:t>
      </w:r>
      <w:r w:rsidR="00FE610E" w:rsidRPr="00886D8A">
        <w:t xml:space="preserve"> funded on the PBS. The PBAC </w:t>
      </w:r>
      <w:r w:rsidR="008F480F" w:rsidRPr="00886D8A">
        <w:t xml:space="preserve">noted that the </w:t>
      </w:r>
      <w:r w:rsidR="00D9600E" w:rsidRPr="00886D8A">
        <w:t xml:space="preserve">cost </w:t>
      </w:r>
      <w:r w:rsidR="00075D4B" w:rsidRPr="00886D8A">
        <w:t>of treatment per year, for an average patient in the rhLAMAN</w:t>
      </w:r>
      <w:r w:rsidR="0011024A">
        <w:noBreakHyphen/>
      </w:r>
      <w:r w:rsidR="00075D4B" w:rsidRPr="00886D8A">
        <w:t>05 trial, exceeded $</w:t>
      </w:r>
      <w:r w:rsidR="00ED4AC4" w:rsidRPr="001E6CE7">
        <w:rPr>
          <w:color w:val="000000"/>
          <w:w w:val="15"/>
          <w:shd w:val="solid" w:color="000000" w:fill="000000"/>
          <w:fitText w:val="-20" w:id="-628410872"/>
          <w14:textFill>
            <w14:solidFill>
              <w14:srgbClr w14:val="000000">
                <w14:alpha w14:val="100000"/>
              </w14:srgbClr>
            </w14:solidFill>
          </w14:textFill>
        </w:rPr>
        <w:t xml:space="preserve">|  </w:t>
      </w:r>
      <w:r w:rsidR="00ED4AC4" w:rsidRPr="001E6CE7">
        <w:rPr>
          <w:color w:val="000000"/>
          <w:spacing w:val="-69"/>
          <w:w w:val="15"/>
          <w:shd w:val="solid" w:color="000000" w:fill="000000"/>
          <w:fitText w:val="-20" w:id="-628410872"/>
          <w14:textFill>
            <w14:solidFill>
              <w14:srgbClr w14:val="000000">
                <w14:alpha w14:val="100000"/>
              </w14:srgbClr>
            </w14:solidFill>
          </w14:textFill>
        </w:rPr>
        <w:t>|</w:t>
      </w:r>
      <w:r w:rsidR="00075D4B" w:rsidRPr="00886D8A">
        <w:t xml:space="preserve"> per year (see </w:t>
      </w:r>
      <w:r w:rsidR="00075D4B" w:rsidRPr="00886D8A">
        <w:fldChar w:fldCharType="begin"/>
      </w:r>
      <w:r w:rsidR="00075D4B" w:rsidRPr="00886D8A">
        <w:instrText xml:space="preserve"> REF _Ref198554454 \h </w:instrText>
      </w:r>
      <w:r w:rsidR="00075D4B" w:rsidRPr="00886D8A">
        <w:fldChar w:fldCharType="separate"/>
      </w:r>
      <w:r w:rsidR="00B73A9E" w:rsidRPr="00886D8A">
        <w:t xml:space="preserve">Table </w:t>
      </w:r>
      <w:r w:rsidR="00B73A9E">
        <w:rPr>
          <w:noProof/>
        </w:rPr>
        <w:t>17</w:t>
      </w:r>
      <w:r w:rsidR="00075D4B" w:rsidRPr="00886D8A">
        <w:fldChar w:fldCharType="end"/>
      </w:r>
      <w:r w:rsidR="00075D4B" w:rsidRPr="00886D8A">
        <w:t xml:space="preserve">) </w:t>
      </w:r>
      <w:r w:rsidR="00F34BB2" w:rsidRPr="00886D8A">
        <w:t>and</w:t>
      </w:r>
      <w:r w:rsidR="00D9600E" w:rsidRPr="00886D8A">
        <w:t xml:space="preserve"> </w:t>
      </w:r>
      <w:r w:rsidR="00FE610E" w:rsidRPr="00886D8A">
        <w:t xml:space="preserve">considered that </w:t>
      </w:r>
      <w:r w:rsidR="00F15367" w:rsidRPr="00886D8A">
        <w:t xml:space="preserve">a substantial reduction </w:t>
      </w:r>
      <w:r w:rsidR="00B50569" w:rsidRPr="00886D8A">
        <w:t xml:space="preserve">in the cost of </w:t>
      </w:r>
      <w:r w:rsidR="00FE610E" w:rsidRPr="00886D8A">
        <w:t xml:space="preserve">velmanase alfa would be </w:t>
      </w:r>
      <w:r w:rsidR="00B50569" w:rsidRPr="00886D8A">
        <w:t>required for it to be cons</w:t>
      </w:r>
      <w:r w:rsidR="00D7121A" w:rsidRPr="00886D8A">
        <w:t>idered</w:t>
      </w:r>
      <w:r w:rsidR="00B50569" w:rsidRPr="00886D8A">
        <w:t xml:space="preserve"> </w:t>
      </w:r>
      <w:r w:rsidR="00FE610E" w:rsidRPr="00886D8A">
        <w:t>cost</w:t>
      </w:r>
      <w:r w:rsidR="00E415E6">
        <w:t>-</w:t>
      </w:r>
      <w:r w:rsidR="00FE610E" w:rsidRPr="00886D8A">
        <w:t>effective</w:t>
      </w:r>
      <w:r w:rsidR="00945CE5" w:rsidRPr="00886D8A">
        <w:t xml:space="preserve">. </w:t>
      </w:r>
      <w:bookmarkEnd w:id="123"/>
    </w:p>
    <w:p w14:paraId="114A4D2F" w14:textId="5265DA3A" w:rsidR="00DE279E" w:rsidRPr="00886D8A" w:rsidRDefault="00DE279E" w:rsidP="004E36D3">
      <w:pPr>
        <w:pStyle w:val="3-BodyText"/>
      </w:pPr>
      <w:bookmarkStart w:id="124" w:name="_Ref228968538"/>
      <w:bookmarkStart w:id="125" w:name="_Ref204867685"/>
      <w:r w:rsidRPr="00886D8A">
        <w:t xml:space="preserve">The PBAC noted </w:t>
      </w:r>
      <w:r w:rsidR="00901AFC" w:rsidRPr="00886D8A">
        <w:t xml:space="preserve">that </w:t>
      </w:r>
      <w:r w:rsidRPr="00886D8A">
        <w:t xml:space="preserve">the </w:t>
      </w:r>
      <w:r w:rsidR="00901AFC" w:rsidRPr="00886D8A">
        <w:t xml:space="preserve">AM </w:t>
      </w:r>
      <w:r w:rsidRPr="00886D8A">
        <w:t>patient population was uncertain but generally accepted to be very low</w:t>
      </w:r>
      <w:r w:rsidR="00527D11" w:rsidRPr="00886D8A">
        <w:t xml:space="preserve">. Further, the PBAC </w:t>
      </w:r>
      <w:r w:rsidR="00950520" w:rsidRPr="00886D8A">
        <w:t xml:space="preserve">noted </w:t>
      </w:r>
      <w:r w:rsidR="00527D11" w:rsidRPr="00886D8A">
        <w:t>that the use of velmanase alfa in practice would likely be affected by individual variation in symptoms</w:t>
      </w:r>
      <w:r w:rsidR="00950520" w:rsidRPr="00886D8A">
        <w:t xml:space="preserve"> </w:t>
      </w:r>
      <w:r w:rsidR="00527D11" w:rsidRPr="00886D8A">
        <w:t>and variable response to treatment</w:t>
      </w:r>
      <w:r w:rsidR="00950520" w:rsidRPr="00886D8A">
        <w:t>. Thus, the PBAC considered that</w:t>
      </w:r>
      <w:r w:rsidR="00527D11" w:rsidRPr="00886D8A">
        <w:t xml:space="preserve"> some patients will not elect to receive treatment or may elect to discontinue treatment if not receiving an adequate benefit. The PBAC considered </w:t>
      </w:r>
      <w:r w:rsidRPr="00886D8A">
        <w:t>that the incidence of disease meant a new case would likely emerge only every 3</w:t>
      </w:r>
      <w:r w:rsidR="002003A3" w:rsidRPr="00886D8A">
        <w:t xml:space="preserve"> to</w:t>
      </w:r>
      <w:r w:rsidR="00C46171">
        <w:t xml:space="preserve"> </w:t>
      </w:r>
      <w:r w:rsidRPr="00886D8A">
        <w:t>4 years in the Australian population (</w:t>
      </w:r>
      <w:r w:rsidR="00901AFC" w:rsidRPr="00886D8A">
        <w:t xml:space="preserve">see </w:t>
      </w:r>
      <w:r w:rsidR="00DC68F4" w:rsidRPr="00886D8A">
        <w:fldChar w:fldCharType="begin"/>
      </w:r>
      <w:r w:rsidR="00DC68F4" w:rsidRPr="00886D8A">
        <w:instrText xml:space="preserve"> REF _Ref104805262 \h </w:instrText>
      </w:r>
      <w:r w:rsidR="00DC68F4" w:rsidRPr="00886D8A">
        <w:fldChar w:fldCharType="separate"/>
      </w:r>
      <w:r w:rsidR="00B73A9E" w:rsidRPr="00886D8A">
        <w:t xml:space="preserve">Table </w:t>
      </w:r>
      <w:r w:rsidR="00B73A9E">
        <w:rPr>
          <w:noProof/>
        </w:rPr>
        <w:t>18</w:t>
      </w:r>
      <w:r w:rsidR="00DC68F4" w:rsidRPr="00886D8A">
        <w:fldChar w:fldCharType="end"/>
      </w:r>
      <w:r w:rsidRPr="00886D8A">
        <w:t xml:space="preserve">). The </w:t>
      </w:r>
      <w:r w:rsidR="00F1654C" w:rsidRPr="00886D8A">
        <w:t xml:space="preserve">PBAC </w:t>
      </w:r>
      <w:r w:rsidRPr="00886D8A">
        <w:t>agreed with the Sub</w:t>
      </w:r>
      <w:r w:rsidR="0011024A">
        <w:noBreakHyphen/>
      </w:r>
      <w:r w:rsidR="00F1654C" w:rsidRPr="00886D8A">
        <w:t>C</w:t>
      </w:r>
      <w:r w:rsidRPr="00886D8A">
        <w:t xml:space="preserve">ommittees that the likely number of eligible </w:t>
      </w:r>
      <w:r w:rsidR="00F268F8" w:rsidRPr="00886D8A">
        <w:t xml:space="preserve">prevalent </w:t>
      </w:r>
      <w:r w:rsidRPr="00886D8A">
        <w:t>patients electing treatment with velmanase alfa was overestimated</w:t>
      </w:r>
      <w:r w:rsidR="0066461D" w:rsidRPr="00886D8A">
        <w:t xml:space="preserve">. </w:t>
      </w:r>
      <w:r w:rsidR="00F268F8" w:rsidRPr="00886D8A">
        <w:t xml:space="preserve">Overall, the PBAC considered </w:t>
      </w:r>
      <w:r w:rsidR="00577D5A" w:rsidRPr="00886D8A">
        <w:t>th</w:t>
      </w:r>
      <w:r w:rsidR="0066461D" w:rsidRPr="00886D8A">
        <w:t>at there</w:t>
      </w:r>
      <w:r w:rsidR="00577D5A" w:rsidRPr="00886D8A">
        <w:t xml:space="preserve"> would be a maximum of 5 patients eligible for treatment</w:t>
      </w:r>
      <w:r w:rsidR="00F268F8" w:rsidRPr="00886D8A">
        <w:t xml:space="preserve"> over the </w:t>
      </w:r>
      <w:r w:rsidR="00E13345" w:rsidRPr="00886D8A">
        <w:t>6 years of financial impact estimates</w:t>
      </w:r>
      <w:r w:rsidR="00AD2738" w:rsidRPr="00886D8A">
        <w:t>.</w:t>
      </w:r>
      <w:bookmarkEnd w:id="124"/>
      <w:r w:rsidR="00AD2738" w:rsidRPr="00886D8A">
        <w:t xml:space="preserve"> </w:t>
      </w:r>
      <w:bookmarkEnd w:id="125"/>
    </w:p>
    <w:p w14:paraId="29DC921A" w14:textId="57E32111" w:rsidR="006911F6" w:rsidRPr="00886D8A" w:rsidRDefault="00DE279E" w:rsidP="004E36D3">
      <w:pPr>
        <w:pStyle w:val="3-BodyText"/>
      </w:pPr>
      <w:bookmarkStart w:id="126" w:name="_Ref204867715"/>
      <w:r w:rsidRPr="00886D8A">
        <w:t>The PBAC considered a</w:t>
      </w:r>
      <w:r w:rsidR="00FA0026">
        <w:t>n</w:t>
      </w:r>
      <w:r w:rsidRPr="00886D8A">
        <w:t xml:space="preserve"> RSA </w:t>
      </w:r>
      <w:r w:rsidR="006127E5" w:rsidRPr="00886D8A">
        <w:t xml:space="preserve">would be </w:t>
      </w:r>
      <w:r w:rsidR="00E13345" w:rsidRPr="00886D8A">
        <w:t xml:space="preserve">required </w:t>
      </w:r>
      <w:r w:rsidRPr="00886D8A">
        <w:t xml:space="preserve">for velmanase alfa, </w:t>
      </w:r>
      <w:r w:rsidR="00A875A3" w:rsidRPr="00886D8A">
        <w:t xml:space="preserve">to manage potential use outcomes of the restriction, such as in patients </w:t>
      </w:r>
      <w:r w:rsidR="00516C81" w:rsidRPr="00886D8A">
        <w:t>who have had an unsuccessful HSCT</w:t>
      </w:r>
      <w:r w:rsidR="00950520" w:rsidRPr="00886D8A">
        <w:t>, and higher than predicted average doses (as dosing is weight based</w:t>
      </w:r>
      <w:bookmarkEnd w:id="126"/>
      <w:r w:rsidR="00950520" w:rsidRPr="00886D8A">
        <w:t>).</w:t>
      </w:r>
    </w:p>
    <w:p w14:paraId="6814EC2C" w14:textId="3DD5C453" w:rsidR="000F3F10" w:rsidRPr="00886D8A" w:rsidRDefault="006911F6" w:rsidP="004E36D3">
      <w:pPr>
        <w:pStyle w:val="3-BodyText"/>
      </w:pPr>
      <w:r w:rsidRPr="00886D8A">
        <w:t>The PBAC</w:t>
      </w:r>
      <w:r w:rsidR="000F3F10" w:rsidRPr="00886D8A">
        <w:t xml:space="preserve"> </w:t>
      </w:r>
      <w:r w:rsidRPr="00886D8A">
        <w:t xml:space="preserve">considered that </w:t>
      </w:r>
      <w:r w:rsidR="00660537" w:rsidRPr="00886D8A">
        <w:t>the Sponsor should provide the following to assist with its deliberations following the deferral of this item:</w:t>
      </w:r>
    </w:p>
    <w:p w14:paraId="4EF148E0" w14:textId="31DE607C" w:rsidR="00660537" w:rsidRPr="00886D8A" w:rsidRDefault="00660537" w:rsidP="00CD7617">
      <w:pPr>
        <w:pStyle w:val="3-BodyText"/>
        <w:numPr>
          <w:ilvl w:val="0"/>
          <w:numId w:val="13"/>
        </w:numPr>
        <w:ind w:left="1080"/>
      </w:pPr>
      <w:r w:rsidRPr="00886D8A">
        <w:t xml:space="preserve">Additional information </w:t>
      </w:r>
      <w:r w:rsidR="009864E8" w:rsidRPr="00886D8A">
        <w:t xml:space="preserve">clarifying the </w:t>
      </w:r>
      <w:r w:rsidR="004E4071" w:rsidRPr="00886D8A">
        <w:t>clinical and patient</w:t>
      </w:r>
      <w:r w:rsidR="0011024A">
        <w:noBreakHyphen/>
      </w:r>
      <w:r w:rsidR="00D80DB5" w:rsidRPr="00886D8A">
        <w:t xml:space="preserve">relevant </w:t>
      </w:r>
      <w:r w:rsidR="00230678" w:rsidRPr="00886D8A">
        <w:t xml:space="preserve">impact of velmanase alfa treatment </w:t>
      </w:r>
      <w:r w:rsidRPr="00886D8A">
        <w:t>on patients treated</w:t>
      </w:r>
      <w:r w:rsidR="00A73D14" w:rsidRPr="00886D8A">
        <w:t xml:space="preserve">. Acknowledging the rarity of disease and paucity of available data, the </w:t>
      </w:r>
      <w:r w:rsidR="00EF2151" w:rsidRPr="00886D8A">
        <w:t xml:space="preserve">PBAC advised </w:t>
      </w:r>
      <w:r w:rsidR="00544035" w:rsidRPr="00886D8A">
        <w:t>that the sponsor should present all available clinical data for velmanase alfa</w:t>
      </w:r>
      <w:r w:rsidR="00CD2700" w:rsidRPr="00886D8A">
        <w:t xml:space="preserve">, including any </w:t>
      </w:r>
      <w:r w:rsidR="0011024A" w:rsidRPr="00886D8A">
        <w:t>real-world</w:t>
      </w:r>
      <w:r w:rsidR="00CD2700" w:rsidRPr="00886D8A">
        <w:t xml:space="preserve"> data</w:t>
      </w:r>
      <w:r w:rsidR="00C37A79" w:rsidRPr="00886D8A">
        <w:t xml:space="preserve"> and any further information relating to the GTR </w:t>
      </w:r>
      <w:r w:rsidR="00E74917" w:rsidRPr="00886D8A">
        <w:t>(see paragraph</w:t>
      </w:r>
      <w:r w:rsidR="00950520" w:rsidRPr="00886D8A">
        <w:t xml:space="preserve"> </w:t>
      </w:r>
      <w:r w:rsidR="00950520" w:rsidRPr="00886D8A">
        <w:fldChar w:fldCharType="begin"/>
      </w:r>
      <w:r w:rsidR="00950520" w:rsidRPr="00886D8A">
        <w:instrText xml:space="preserve"> REF _Ref205542552 \r \h </w:instrText>
      </w:r>
      <w:r w:rsidR="00FA7487" w:rsidRPr="00886D8A">
        <w:instrText xml:space="preserve"> \* MERGEFORMAT </w:instrText>
      </w:r>
      <w:r w:rsidR="00950520" w:rsidRPr="00886D8A">
        <w:fldChar w:fldCharType="separate"/>
      </w:r>
      <w:r w:rsidR="00B73A9E">
        <w:t>7.10</w:t>
      </w:r>
      <w:r w:rsidR="00950520" w:rsidRPr="00886D8A">
        <w:fldChar w:fldCharType="end"/>
      </w:r>
      <w:r w:rsidR="00E74917" w:rsidRPr="00886D8A">
        <w:t>)</w:t>
      </w:r>
      <w:r w:rsidR="00C37A79" w:rsidRPr="00886D8A">
        <w:t xml:space="preserve"> or </w:t>
      </w:r>
      <w:r w:rsidR="00C60428" w:rsidRPr="00886D8A">
        <w:t>other similar outcomes</w:t>
      </w:r>
      <w:r w:rsidR="00FC7EF1" w:rsidRPr="00886D8A">
        <w:t>;</w:t>
      </w:r>
    </w:p>
    <w:p w14:paraId="4FD96DC5" w14:textId="13D7729B" w:rsidR="00FC7EF1" w:rsidRPr="00886D8A" w:rsidRDefault="00FC7EF1" w:rsidP="00CD7617">
      <w:pPr>
        <w:pStyle w:val="3-BodyText"/>
        <w:numPr>
          <w:ilvl w:val="0"/>
          <w:numId w:val="13"/>
        </w:numPr>
        <w:ind w:left="1080"/>
      </w:pPr>
      <w:r w:rsidRPr="00886D8A">
        <w:t xml:space="preserve">A pricing proposal </w:t>
      </w:r>
      <w:r w:rsidR="004F4390" w:rsidRPr="00886D8A">
        <w:t xml:space="preserve">which </w:t>
      </w:r>
      <w:r w:rsidR="00400DBC" w:rsidRPr="00886D8A">
        <w:t>result</w:t>
      </w:r>
      <w:r w:rsidR="002349FA" w:rsidRPr="00886D8A">
        <w:t>s</w:t>
      </w:r>
      <w:r w:rsidR="00400DBC" w:rsidRPr="00886D8A">
        <w:t xml:space="preserve"> in</w:t>
      </w:r>
      <w:r w:rsidR="004A75C4" w:rsidRPr="00886D8A">
        <w:t xml:space="preserve"> a </w:t>
      </w:r>
      <w:r w:rsidR="00383B81" w:rsidRPr="00886D8A">
        <w:t>substantial</w:t>
      </w:r>
      <w:r w:rsidR="00400DBC" w:rsidRPr="00886D8A">
        <w:t xml:space="preserve"> reduction to the cost of treatment</w:t>
      </w:r>
      <w:r w:rsidR="005F6B89" w:rsidRPr="00886D8A">
        <w:t xml:space="preserve"> per year</w:t>
      </w:r>
      <w:r w:rsidR="00F6513C" w:rsidRPr="00886D8A">
        <w:t xml:space="preserve"> (see paragraph </w:t>
      </w:r>
      <w:r w:rsidR="00F6513C" w:rsidRPr="00886D8A">
        <w:fldChar w:fldCharType="begin"/>
      </w:r>
      <w:r w:rsidR="00F6513C" w:rsidRPr="00886D8A">
        <w:instrText xml:space="preserve"> REF _Ref204591378 \r \h </w:instrText>
      </w:r>
      <w:r w:rsidR="00F6513C" w:rsidRPr="00886D8A">
        <w:fldChar w:fldCharType="separate"/>
      </w:r>
      <w:r w:rsidR="00B73A9E">
        <w:t>7.14</w:t>
      </w:r>
      <w:r w:rsidR="00F6513C" w:rsidRPr="00886D8A">
        <w:fldChar w:fldCharType="end"/>
      </w:r>
      <w:r w:rsidR="00F6513C" w:rsidRPr="00886D8A">
        <w:t>)</w:t>
      </w:r>
      <w:r w:rsidR="00CC1BEB" w:rsidRPr="00886D8A">
        <w:t>;</w:t>
      </w:r>
    </w:p>
    <w:p w14:paraId="080394BE" w14:textId="7FC973E4" w:rsidR="00EC0FF6" w:rsidRPr="00886D8A" w:rsidRDefault="00EC0FF6" w:rsidP="00CD7617">
      <w:pPr>
        <w:pStyle w:val="3-BodyText"/>
        <w:numPr>
          <w:ilvl w:val="0"/>
          <w:numId w:val="13"/>
        </w:numPr>
        <w:ind w:left="1080"/>
      </w:pPr>
      <w:r w:rsidRPr="00886D8A">
        <w:t>Revised financial estimates</w:t>
      </w:r>
      <w:r w:rsidR="00E43282" w:rsidRPr="00886D8A">
        <w:t xml:space="preserve">, which include </w:t>
      </w:r>
      <w:r w:rsidR="00473A9E" w:rsidRPr="00886D8A">
        <w:t>reduced</w:t>
      </w:r>
      <w:r w:rsidR="0046670A" w:rsidRPr="00886D8A">
        <w:t xml:space="preserve"> patient estimates </w:t>
      </w:r>
      <w:r w:rsidR="00E43282" w:rsidRPr="00886D8A">
        <w:t xml:space="preserve">and the </w:t>
      </w:r>
      <w:r w:rsidR="002349FA" w:rsidRPr="00886D8A">
        <w:t xml:space="preserve">reduced </w:t>
      </w:r>
      <w:r w:rsidR="00E43282" w:rsidRPr="00886D8A">
        <w:t xml:space="preserve">pricing </w:t>
      </w:r>
      <w:r w:rsidR="00134D53" w:rsidRPr="00886D8A">
        <w:t>(</w:t>
      </w:r>
      <w:r w:rsidR="0046670A" w:rsidRPr="00886D8A">
        <w:t xml:space="preserve">see paragraph </w:t>
      </w:r>
      <w:r w:rsidR="0046670A" w:rsidRPr="00886D8A">
        <w:fldChar w:fldCharType="begin"/>
      </w:r>
      <w:r w:rsidR="0046670A" w:rsidRPr="00886D8A">
        <w:instrText xml:space="preserve"> REF _Ref204867685 \r \h </w:instrText>
      </w:r>
      <w:r w:rsidR="0046670A" w:rsidRPr="00886D8A">
        <w:fldChar w:fldCharType="separate"/>
      </w:r>
      <w:r w:rsidR="00B73A9E">
        <w:t>7.15</w:t>
      </w:r>
      <w:r w:rsidR="0046670A" w:rsidRPr="00886D8A">
        <w:fldChar w:fldCharType="end"/>
      </w:r>
      <w:r w:rsidR="00134D53" w:rsidRPr="00886D8A">
        <w:t>)</w:t>
      </w:r>
      <w:r w:rsidR="0046670A" w:rsidRPr="00886D8A">
        <w:t>;</w:t>
      </w:r>
      <w:r w:rsidR="00CC1BEB" w:rsidRPr="00886D8A">
        <w:t xml:space="preserve"> </w:t>
      </w:r>
    </w:p>
    <w:p w14:paraId="7C07EB29" w14:textId="58EC9FE9" w:rsidR="00950520" w:rsidRPr="00886D8A" w:rsidRDefault="00CC1BEB" w:rsidP="00CD7617">
      <w:pPr>
        <w:pStyle w:val="3-BodyText"/>
        <w:numPr>
          <w:ilvl w:val="0"/>
          <w:numId w:val="13"/>
        </w:numPr>
        <w:ind w:left="1080"/>
      </w:pPr>
      <w:r w:rsidRPr="00886D8A">
        <w:t xml:space="preserve">A proposed RSA (see paragraph </w:t>
      </w:r>
      <w:r w:rsidRPr="00886D8A">
        <w:fldChar w:fldCharType="begin"/>
      </w:r>
      <w:r w:rsidRPr="00886D8A">
        <w:instrText xml:space="preserve"> REF _Ref204867715 \r \h </w:instrText>
      </w:r>
      <w:r w:rsidRPr="00886D8A">
        <w:fldChar w:fldCharType="separate"/>
      </w:r>
      <w:r w:rsidR="00B73A9E">
        <w:t>7.16</w:t>
      </w:r>
      <w:r w:rsidRPr="00886D8A">
        <w:fldChar w:fldCharType="end"/>
      </w:r>
      <w:r w:rsidRPr="00886D8A">
        <w:t>)</w:t>
      </w:r>
      <w:r w:rsidR="00950520" w:rsidRPr="00886D8A">
        <w:t>; and</w:t>
      </w:r>
    </w:p>
    <w:p w14:paraId="7F80468B" w14:textId="365036A2" w:rsidR="000F3F10" w:rsidRPr="007D2968" w:rsidRDefault="00950520" w:rsidP="00CD7617">
      <w:pPr>
        <w:pStyle w:val="3-BodyText"/>
        <w:numPr>
          <w:ilvl w:val="0"/>
          <w:numId w:val="13"/>
        </w:numPr>
        <w:ind w:left="1080"/>
      </w:pPr>
      <w:r w:rsidRPr="00886D8A">
        <w:t xml:space="preserve">A revised restriction that includes a stopping rule for patients who are not receiving benefit from treatment and the other suggested changes (see paragraph </w:t>
      </w:r>
      <w:r w:rsidRPr="00886D8A">
        <w:fldChar w:fldCharType="begin"/>
      </w:r>
      <w:r w:rsidRPr="00886D8A">
        <w:instrText xml:space="preserve"> REF _Ref205539107 \r \h </w:instrText>
      </w:r>
      <w:r w:rsidRPr="00886D8A">
        <w:fldChar w:fldCharType="separate"/>
      </w:r>
      <w:r w:rsidR="00B73A9E">
        <w:t>7.5</w:t>
      </w:r>
      <w:r w:rsidRPr="00886D8A">
        <w:fldChar w:fldCharType="end"/>
      </w:r>
      <w:r w:rsidRPr="00886D8A">
        <w:t>)</w:t>
      </w:r>
      <w:r w:rsidR="00CC1BEB" w:rsidRPr="00886D8A">
        <w:t>.</w:t>
      </w:r>
    </w:p>
    <w:p w14:paraId="771F49AA" w14:textId="77777777" w:rsidR="000F3F10" w:rsidRPr="00886D8A" w:rsidRDefault="000F3F10" w:rsidP="004E36D3">
      <w:pPr>
        <w:spacing w:before="240"/>
        <w:rPr>
          <w:rFonts w:asciiTheme="minorHAnsi" w:hAnsiTheme="minorHAnsi"/>
          <w:b/>
          <w:bCs/>
          <w:snapToGrid w:val="0"/>
        </w:rPr>
      </w:pPr>
      <w:r w:rsidRPr="00886D8A">
        <w:rPr>
          <w:rFonts w:asciiTheme="minorHAnsi" w:hAnsiTheme="minorHAnsi"/>
          <w:b/>
          <w:bCs/>
          <w:snapToGrid w:val="0"/>
        </w:rPr>
        <w:t>Outcome:</w:t>
      </w:r>
    </w:p>
    <w:p w14:paraId="0659F2AD" w14:textId="2F73538C" w:rsidR="000F3F10" w:rsidRPr="00886D8A" w:rsidRDefault="000F3F10" w:rsidP="004E36D3">
      <w:pPr>
        <w:rPr>
          <w:rFonts w:asciiTheme="minorHAnsi" w:hAnsiTheme="minorHAnsi"/>
          <w:bCs/>
          <w:snapToGrid w:val="0"/>
        </w:rPr>
      </w:pPr>
      <w:r w:rsidRPr="00886D8A">
        <w:rPr>
          <w:rFonts w:asciiTheme="minorHAnsi" w:hAnsiTheme="minorHAnsi"/>
          <w:bCs/>
          <w:snapToGrid w:val="0"/>
        </w:rPr>
        <w:t>Deferred</w:t>
      </w:r>
    </w:p>
    <w:p w14:paraId="0E4FE441" w14:textId="77777777" w:rsidR="00CD43DB" w:rsidRPr="00CD43DB" w:rsidRDefault="00CD43DB" w:rsidP="00CD7617">
      <w:pPr>
        <w:keepNext/>
        <w:numPr>
          <w:ilvl w:val="0"/>
          <w:numId w:val="1"/>
        </w:numPr>
        <w:spacing w:before="240" w:after="120"/>
        <w:jc w:val="left"/>
        <w:outlineLvl w:val="0"/>
        <w:rPr>
          <w:b/>
          <w:snapToGrid w:val="0"/>
          <w:sz w:val="32"/>
          <w:szCs w:val="32"/>
        </w:rPr>
      </w:pPr>
      <w:r w:rsidRPr="00CD43DB">
        <w:rPr>
          <w:b/>
          <w:snapToGrid w:val="0"/>
          <w:sz w:val="32"/>
          <w:szCs w:val="32"/>
        </w:rPr>
        <w:t>Context for Decision</w:t>
      </w:r>
    </w:p>
    <w:p w14:paraId="29F4477D" w14:textId="78F5A1C2" w:rsidR="00CD43DB" w:rsidRPr="00CD43DB" w:rsidRDefault="00CD43DB" w:rsidP="00CD43DB">
      <w:pPr>
        <w:spacing w:after="120"/>
        <w:ind w:left="720"/>
        <w:rPr>
          <w:bCs/>
          <w:lang w:val="en-GB"/>
        </w:rPr>
      </w:pPr>
      <w:r w:rsidRPr="00CD43DB">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B6750E4" w14:textId="77777777" w:rsidR="00CD43DB" w:rsidRPr="00CD43DB" w:rsidRDefault="00CD43DB" w:rsidP="00CD7617">
      <w:pPr>
        <w:keepNext/>
        <w:numPr>
          <w:ilvl w:val="0"/>
          <w:numId w:val="1"/>
        </w:numPr>
        <w:spacing w:before="240" w:after="120"/>
        <w:jc w:val="left"/>
        <w:outlineLvl w:val="0"/>
        <w:rPr>
          <w:b/>
          <w:snapToGrid w:val="0"/>
          <w:sz w:val="32"/>
          <w:szCs w:val="32"/>
        </w:rPr>
      </w:pPr>
      <w:r w:rsidRPr="00CD43DB">
        <w:rPr>
          <w:b/>
          <w:snapToGrid w:val="0"/>
          <w:sz w:val="32"/>
          <w:szCs w:val="32"/>
        </w:rPr>
        <w:t>Sponsor’s Comment</w:t>
      </w:r>
    </w:p>
    <w:p w14:paraId="08584075" w14:textId="77777777" w:rsidR="00FA521B" w:rsidRDefault="00FA521B" w:rsidP="00FA521B">
      <w:pPr>
        <w:spacing w:after="120"/>
        <w:ind w:left="720"/>
        <w:rPr>
          <w:rFonts w:asciiTheme="minorHAnsi" w:hAnsiTheme="minorHAnsi"/>
          <w:bCs/>
          <w:lang w:val="en-GB"/>
        </w:rPr>
      </w:pPr>
      <w:r w:rsidRPr="007E0298">
        <w:rPr>
          <w:rFonts w:asciiTheme="minorHAnsi" w:hAnsiTheme="minorHAnsi"/>
          <w:bCs/>
          <w:lang w:val="en-GB"/>
        </w:rPr>
        <w:t xml:space="preserve">The Sponsor welcomes the Committee’s recognition of the high and urgent clinical need for treatments for Alpha-Mannosidosis, for which there are currently no available pharmacological treatments available in Australia. The Sponsor remains committed to ensuring timely and equitable access to </w:t>
      </w:r>
      <w:r w:rsidRPr="007E0298">
        <w:rPr>
          <w:rFonts w:asciiTheme="minorHAnsi" w:hAnsiTheme="minorHAnsi"/>
          <w:snapToGrid w:val="0"/>
        </w:rPr>
        <w:t>velmanase alf for this underserved and vulnerable group of Australians.</w:t>
      </w:r>
      <w:r>
        <w:rPr>
          <w:rFonts w:asciiTheme="minorHAnsi" w:hAnsiTheme="minorHAnsi"/>
          <w:bCs/>
          <w:lang w:val="en-GB"/>
        </w:rPr>
        <w:t xml:space="preserve"> </w:t>
      </w:r>
    </w:p>
    <w:p w14:paraId="31D2DD77" w14:textId="1A30918E" w:rsidR="00E963DB" w:rsidRPr="00E963DB" w:rsidRDefault="00E963DB" w:rsidP="00CD7617">
      <w:pPr>
        <w:keepNext/>
        <w:numPr>
          <w:ilvl w:val="0"/>
          <w:numId w:val="1"/>
        </w:numPr>
        <w:spacing w:before="240" w:after="120"/>
        <w:jc w:val="left"/>
        <w:outlineLvl w:val="0"/>
        <w:rPr>
          <w:b/>
          <w:snapToGrid w:val="0"/>
          <w:sz w:val="32"/>
          <w:szCs w:val="32"/>
        </w:rPr>
      </w:pPr>
      <w:r w:rsidRPr="00E963DB">
        <w:rPr>
          <w:b/>
          <w:snapToGrid w:val="0"/>
          <w:sz w:val="32"/>
          <w:szCs w:val="32"/>
        </w:rPr>
        <w:t xml:space="preserve">Corrigendum </w:t>
      </w:r>
      <w:r w:rsidR="00A92B5A" w:rsidRPr="00E963DB">
        <w:rPr>
          <w:b/>
          <w:snapToGrid w:val="0"/>
          <w:sz w:val="32"/>
          <w:szCs w:val="32"/>
        </w:rPr>
        <w:t xml:space="preserve">to the July 2025 PBAC </w:t>
      </w:r>
      <w:r w:rsidR="00A92B5A" w:rsidRPr="00A92B5A">
        <w:rPr>
          <w:b/>
          <w:snapToGrid w:val="0"/>
          <w:sz w:val="32"/>
          <w:szCs w:val="32"/>
        </w:rPr>
        <w:t>Public Summary Document</w:t>
      </w:r>
    </w:p>
    <w:p w14:paraId="0186E0EC" w14:textId="77777777" w:rsidR="00E963DB" w:rsidRPr="00E963DB" w:rsidRDefault="00E963DB" w:rsidP="00E963DB">
      <w:r w:rsidRPr="00E963DB">
        <w:t xml:space="preserve">The following changes were made: </w:t>
      </w:r>
    </w:p>
    <w:tbl>
      <w:tblPr>
        <w:tblStyle w:val="Section3-footnotes1"/>
        <w:tblW w:w="5000" w:type="pct"/>
        <w:tblLook w:val="04A0" w:firstRow="1" w:lastRow="0" w:firstColumn="1" w:lastColumn="0" w:noHBand="0" w:noVBand="1"/>
      </w:tblPr>
      <w:tblGrid>
        <w:gridCol w:w="5592"/>
        <w:gridCol w:w="1701"/>
        <w:gridCol w:w="1724"/>
      </w:tblGrid>
      <w:tr w:rsidR="00E963DB" w:rsidRPr="00E963DB" w14:paraId="4F82A8CC" w14:textId="77777777" w:rsidTr="0088523E">
        <w:trPr>
          <w:cnfStyle w:val="100000000000" w:firstRow="1" w:lastRow="0" w:firstColumn="0" w:lastColumn="0" w:oddVBand="0" w:evenVBand="0" w:oddHBand="0" w:evenHBand="0" w:firstRowFirstColumn="0" w:firstRowLastColumn="0" w:lastRowFirstColumn="0" w:lastRowLastColumn="0"/>
          <w:trHeight w:val="1207"/>
        </w:trPr>
        <w:tc>
          <w:tcPr>
            <w:tcW w:w="3101" w:type="pct"/>
          </w:tcPr>
          <w:p w14:paraId="2E6F642D" w14:textId="77777777" w:rsidR="00E963DB" w:rsidRPr="00E963DB" w:rsidRDefault="00E963DB" w:rsidP="00E963DB">
            <w:pPr>
              <w:rPr>
                <w:b w:val="0"/>
              </w:rPr>
            </w:pPr>
            <w:r w:rsidRPr="00E963DB">
              <w:t>Change made</w:t>
            </w:r>
          </w:p>
        </w:tc>
        <w:tc>
          <w:tcPr>
            <w:tcW w:w="943" w:type="pct"/>
          </w:tcPr>
          <w:p w14:paraId="0262CCCC" w14:textId="77777777" w:rsidR="00E963DB" w:rsidRPr="00E963DB" w:rsidRDefault="00E963DB" w:rsidP="00E963DB">
            <w:pPr>
              <w:rPr>
                <w:b w:val="0"/>
              </w:rPr>
            </w:pPr>
            <w:r w:rsidRPr="00E963DB">
              <w:t>Date of revision</w:t>
            </w:r>
          </w:p>
        </w:tc>
        <w:tc>
          <w:tcPr>
            <w:tcW w:w="956" w:type="pct"/>
            <w:shd w:val="clear" w:color="auto" w:fill="EEECE1"/>
          </w:tcPr>
          <w:p w14:paraId="235760CD" w14:textId="77777777" w:rsidR="00E963DB" w:rsidRPr="00E963DB" w:rsidRDefault="00E963DB" w:rsidP="00E963DB">
            <w:pPr>
              <w:rPr>
                <w:b w:val="0"/>
              </w:rPr>
            </w:pPr>
            <w:r w:rsidRPr="00E963DB">
              <w:t>Corrigendum table published in PSD?</w:t>
            </w:r>
          </w:p>
          <w:p w14:paraId="6A295A86" w14:textId="4054461E" w:rsidR="00E963DB" w:rsidRPr="00E963DB" w:rsidRDefault="00E963DB" w:rsidP="00E963DB">
            <w:pPr>
              <w:rPr>
                <w:b w:val="0"/>
              </w:rPr>
            </w:pPr>
            <w:r w:rsidRPr="00E963DB">
              <w:t>(N)</w:t>
            </w:r>
          </w:p>
        </w:tc>
      </w:tr>
      <w:tr w:rsidR="00E963DB" w:rsidRPr="00E963DB" w14:paraId="2ED0E491" w14:textId="77777777" w:rsidTr="0088523E">
        <w:trPr>
          <w:trHeight w:val="362"/>
        </w:trPr>
        <w:tc>
          <w:tcPr>
            <w:tcW w:w="3101" w:type="pct"/>
          </w:tcPr>
          <w:p w14:paraId="629281A9" w14:textId="77777777" w:rsidR="00E963DB" w:rsidRPr="00E963DB" w:rsidRDefault="00E963DB" w:rsidP="00E963DB">
            <w:r w:rsidRPr="00E963DB">
              <w:t>Change to heading of Table 19:</w:t>
            </w:r>
          </w:p>
          <w:p w14:paraId="29850B49" w14:textId="77777777" w:rsidR="00E963DB" w:rsidRPr="00E963DB" w:rsidRDefault="00E963DB" w:rsidP="00E963DB">
            <w:pPr>
              <w:rPr>
                <w:rFonts w:cs="Calibri"/>
                <w:i/>
                <w:iCs/>
                <w:snapToGrid w:val="0"/>
              </w:rPr>
            </w:pPr>
            <w:r w:rsidRPr="00E963DB">
              <w:t>Table 19:</w:t>
            </w:r>
            <w:r w:rsidRPr="00E963DB">
              <w:rPr>
                <w:rFonts w:cs="Calibri"/>
                <w:snapToGrid w:val="0"/>
              </w:rPr>
              <w:t xml:space="preserve"> Estimated use </w:t>
            </w:r>
            <w:r w:rsidRPr="00E963DB">
              <w:rPr>
                <w:rFonts w:cs="Calibri"/>
                <w:strike/>
                <w:snapToGrid w:val="0"/>
              </w:rPr>
              <w:t>and financial implications</w:t>
            </w:r>
            <w:r w:rsidRPr="00E963DB">
              <w:rPr>
                <w:rFonts w:cs="Calibri"/>
                <w:snapToGrid w:val="0"/>
              </w:rPr>
              <w:t xml:space="preserve"> </w:t>
            </w:r>
            <w:r w:rsidRPr="00E963DB">
              <w:rPr>
                <w:rFonts w:cs="Calibri"/>
                <w:i/>
                <w:iCs/>
                <w:snapToGrid w:val="0"/>
              </w:rPr>
              <w:t>of velmanase alfa</w:t>
            </w:r>
          </w:p>
          <w:p w14:paraId="700EAFA8" w14:textId="77777777" w:rsidR="00E963DB" w:rsidRPr="00E963DB" w:rsidRDefault="00E963DB" w:rsidP="00E963DB">
            <w:pPr>
              <w:rPr>
                <w:rFonts w:cs="Calibri"/>
                <w:snapToGrid w:val="0"/>
              </w:rPr>
            </w:pPr>
            <w:r w:rsidRPr="00E963DB">
              <w:rPr>
                <w:rFonts w:cs="Calibri"/>
                <w:snapToGrid w:val="0"/>
              </w:rPr>
              <w:t>[Deletions in strikethrough, additions in italics]</w:t>
            </w:r>
          </w:p>
          <w:p w14:paraId="7E75AC73" w14:textId="77777777" w:rsidR="00E963DB" w:rsidRPr="00E963DB" w:rsidRDefault="00E963DB" w:rsidP="00E963DB">
            <w:pPr>
              <w:rPr>
                <w:rFonts w:cs="Calibri"/>
                <w:snapToGrid w:val="0"/>
              </w:rPr>
            </w:pPr>
          </w:p>
          <w:p w14:paraId="0365B1B1" w14:textId="77777777" w:rsidR="00E963DB" w:rsidRPr="00E963DB" w:rsidRDefault="00E963DB" w:rsidP="00E963DB">
            <w:pPr>
              <w:rPr>
                <w:rFonts w:cs="Calibri"/>
                <w:snapToGrid w:val="0"/>
              </w:rPr>
            </w:pPr>
            <w:r w:rsidRPr="00E963DB">
              <w:rPr>
                <w:rFonts w:cs="Calibri"/>
                <w:snapToGrid w:val="0"/>
              </w:rPr>
              <w:t>Addition of Table 20</w:t>
            </w:r>
          </w:p>
          <w:p w14:paraId="6F5E74CB" w14:textId="77777777" w:rsidR="00E963DB" w:rsidRPr="00E963DB" w:rsidRDefault="00E963DB" w:rsidP="00E963DB"/>
        </w:tc>
        <w:tc>
          <w:tcPr>
            <w:tcW w:w="943" w:type="pct"/>
          </w:tcPr>
          <w:p w14:paraId="15B37102" w14:textId="77777777" w:rsidR="00E963DB" w:rsidRPr="00E963DB" w:rsidRDefault="00E963DB" w:rsidP="00E963DB">
            <w:r w:rsidRPr="00E963DB">
              <w:t>September 18 2025</w:t>
            </w:r>
          </w:p>
        </w:tc>
        <w:tc>
          <w:tcPr>
            <w:tcW w:w="956" w:type="pct"/>
            <w:shd w:val="clear" w:color="auto" w:fill="EEECE1"/>
          </w:tcPr>
          <w:p w14:paraId="20030483" w14:textId="77777777" w:rsidR="00E963DB" w:rsidRPr="00E963DB" w:rsidRDefault="00E963DB" w:rsidP="00E963DB">
            <w:r w:rsidRPr="00E963DB">
              <w:t>N</w:t>
            </w:r>
          </w:p>
        </w:tc>
      </w:tr>
    </w:tbl>
    <w:p w14:paraId="1EDD5363" w14:textId="77777777" w:rsidR="00E963DB" w:rsidRPr="00E963DB" w:rsidRDefault="00E963DB" w:rsidP="00E963DB">
      <w:pPr>
        <w:rPr>
          <w:sz w:val="20"/>
          <w:szCs w:val="20"/>
        </w:rPr>
      </w:pPr>
      <w:r w:rsidRPr="00E963DB">
        <w:rPr>
          <w:sz w:val="20"/>
          <w:szCs w:val="20"/>
        </w:rPr>
        <w:t>*The initial PSD will contain all ratified corrections that were identified during the Public Summary Document (PSD) process. Therefore, a corrigendum table will only be published in the PSD on the PBS website if corrections are made after the initial PSD is published.</w:t>
      </w:r>
    </w:p>
    <w:p w14:paraId="2BD4C619" w14:textId="77777777" w:rsidR="00E963DB" w:rsidRPr="00E963DB" w:rsidRDefault="00E963DB" w:rsidP="00E963DB">
      <w:pPr>
        <w:rPr>
          <w:snapToGrid w:val="0"/>
        </w:rPr>
      </w:pPr>
    </w:p>
    <w:p w14:paraId="1CC06B5A" w14:textId="77777777" w:rsidR="00E963DB" w:rsidRPr="00E963DB" w:rsidRDefault="00E963DB" w:rsidP="00E963DB">
      <w:pPr>
        <w:jc w:val="left"/>
        <w:rPr>
          <w:rFonts w:eastAsia="Calibri"/>
          <w:b/>
          <w:color w:val="FF0000"/>
          <w:sz w:val="32"/>
          <w:szCs w:val="28"/>
        </w:rPr>
      </w:pPr>
      <w:r w:rsidRPr="00E963DB">
        <w:rPr>
          <w:rFonts w:eastAsia="Calibri"/>
          <w:b/>
          <w:color w:val="FF0000"/>
          <w:sz w:val="32"/>
          <w:szCs w:val="28"/>
        </w:rPr>
        <w:br w:type="page"/>
      </w:r>
    </w:p>
    <w:p w14:paraId="4D768068" w14:textId="2B1418D0" w:rsidR="00E963DB" w:rsidRPr="00E963DB" w:rsidRDefault="00E963DB" w:rsidP="00BC1D3C">
      <w:pPr>
        <w:keepNext/>
        <w:keepLines/>
        <w:outlineLvl w:val="0"/>
        <w:rPr>
          <w:snapToGrid w:val="0"/>
        </w:rPr>
      </w:pPr>
      <w:r w:rsidRPr="00E963DB">
        <w:rPr>
          <w:rFonts w:eastAsia="Calibri"/>
          <w:b/>
          <w:color w:val="FF0000"/>
          <w:sz w:val="32"/>
          <w:szCs w:val="28"/>
        </w:rPr>
        <w:t xml:space="preserve">December Addendum to the July 2025 PBAC </w:t>
      </w:r>
      <w:r w:rsidR="00C23EFF" w:rsidRPr="00A92B5A">
        <w:rPr>
          <w:rFonts w:eastAsia="Calibri"/>
          <w:b/>
          <w:iCs/>
          <w:color w:val="FF0000"/>
          <w:sz w:val="32"/>
          <w:szCs w:val="28"/>
        </w:rPr>
        <w:t>Public Summary Document</w:t>
      </w:r>
      <w:r w:rsidRPr="00E963DB">
        <w:rPr>
          <w:rFonts w:eastAsia="Calibri"/>
          <w:b/>
          <w:iCs/>
          <w:color w:val="FF0000"/>
          <w:sz w:val="32"/>
          <w:szCs w:val="28"/>
        </w:rPr>
        <w:t>:</w:t>
      </w:r>
    </w:p>
    <w:p w14:paraId="48081CE6" w14:textId="77777777" w:rsidR="00E963DB" w:rsidRPr="00E963DB" w:rsidRDefault="00E963DB" w:rsidP="00E963DB">
      <w:pPr>
        <w:keepNext/>
        <w:keepLines/>
        <w:rPr>
          <w:snapToGrid w:val="0"/>
        </w:rPr>
      </w:pPr>
    </w:p>
    <w:p w14:paraId="7A497167" w14:textId="77777777" w:rsidR="00E963DB" w:rsidRPr="00E963DB" w:rsidRDefault="00E963DB" w:rsidP="00E963DB">
      <w:pPr>
        <w:keepNext/>
        <w:ind w:left="720" w:hanging="720"/>
        <w:jc w:val="left"/>
        <w:outlineLvl w:val="0"/>
        <w:rPr>
          <w:rFonts w:asciiTheme="minorHAnsi" w:eastAsiaTheme="majorEastAsia" w:hAnsiTheme="minorHAnsi" w:cstheme="majorBidi"/>
          <w:b/>
          <w:spacing w:val="5"/>
          <w:kern w:val="28"/>
          <w:sz w:val="36"/>
          <w:szCs w:val="36"/>
        </w:rPr>
      </w:pPr>
      <w:r w:rsidRPr="00E963DB">
        <w:rPr>
          <w:rFonts w:asciiTheme="minorHAnsi" w:eastAsiaTheme="majorEastAsia" w:hAnsiTheme="minorHAnsi" w:cstheme="majorBidi"/>
          <w:b/>
          <w:spacing w:val="5"/>
          <w:kern w:val="28"/>
          <w:sz w:val="36"/>
          <w:szCs w:val="36"/>
        </w:rPr>
        <w:t>4.02</w:t>
      </w:r>
      <w:r w:rsidRPr="00E963DB">
        <w:rPr>
          <w:rFonts w:asciiTheme="minorHAnsi" w:eastAsiaTheme="majorEastAsia" w:hAnsiTheme="minorHAnsi" w:cstheme="majorBidi"/>
          <w:b/>
          <w:spacing w:val="5"/>
          <w:kern w:val="28"/>
          <w:sz w:val="36"/>
          <w:szCs w:val="36"/>
        </w:rPr>
        <w:tab/>
        <w:t>VELMANASE ALFA</w:t>
      </w:r>
      <w:r w:rsidRPr="00E963DB">
        <w:rPr>
          <w:rFonts w:asciiTheme="minorHAnsi" w:eastAsiaTheme="majorEastAsia" w:hAnsiTheme="minorHAnsi" w:cstheme="majorBidi"/>
          <w:b/>
          <w:spacing w:val="5"/>
          <w:kern w:val="28"/>
          <w:sz w:val="36"/>
          <w:szCs w:val="36"/>
        </w:rPr>
        <w:br/>
        <w:t>Powder for I.V. infusion 10 mg,</w:t>
      </w:r>
      <w:r w:rsidRPr="00E963DB">
        <w:rPr>
          <w:rFonts w:asciiTheme="minorHAnsi" w:eastAsiaTheme="majorEastAsia" w:hAnsiTheme="minorHAnsi" w:cstheme="majorBidi"/>
          <w:b/>
          <w:spacing w:val="5"/>
          <w:kern w:val="28"/>
          <w:sz w:val="36"/>
          <w:szCs w:val="36"/>
        </w:rPr>
        <w:br/>
        <w:t>Lamzede</w:t>
      </w:r>
      <w:r w:rsidRPr="00E963DB">
        <w:rPr>
          <w:rFonts w:asciiTheme="minorHAnsi" w:eastAsiaTheme="majorEastAsia" w:hAnsiTheme="minorHAnsi" w:cstheme="minorHAnsi"/>
          <w:b/>
          <w:spacing w:val="5"/>
          <w:kern w:val="28"/>
          <w:sz w:val="36"/>
          <w:szCs w:val="36"/>
        </w:rPr>
        <w:t>®</w:t>
      </w:r>
      <w:r w:rsidRPr="00E963DB">
        <w:rPr>
          <w:rFonts w:asciiTheme="minorHAnsi" w:eastAsiaTheme="majorEastAsia" w:hAnsiTheme="minorHAnsi" w:cstheme="majorBidi"/>
          <w:b/>
          <w:spacing w:val="5"/>
          <w:kern w:val="28"/>
          <w:sz w:val="36"/>
          <w:szCs w:val="36"/>
        </w:rPr>
        <w:t>,</w:t>
      </w:r>
      <w:r w:rsidRPr="00E963DB">
        <w:rPr>
          <w:rFonts w:asciiTheme="minorHAnsi" w:eastAsiaTheme="majorEastAsia" w:hAnsiTheme="minorHAnsi" w:cstheme="majorBidi"/>
          <w:b/>
          <w:spacing w:val="5"/>
          <w:kern w:val="28"/>
          <w:sz w:val="36"/>
          <w:szCs w:val="36"/>
        </w:rPr>
        <w:br/>
        <w:t>CHIESI AUSTRALIA PTY LTD</w:t>
      </w:r>
    </w:p>
    <w:p w14:paraId="6E90720E" w14:textId="77777777" w:rsidR="00E963DB" w:rsidRPr="00E963DB" w:rsidRDefault="00E963DB" w:rsidP="00CD7617">
      <w:pPr>
        <w:keepNext/>
        <w:numPr>
          <w:ilvl w:val="0"/>
          <w:numId w:val="1"/>
        </w:numPr>
        <w:spacing w:before="240" w:after="120"/>
        <w:jc w:val="left"/>
        <w:outlineLvl w:val="0"/>
        <w:rPr>
          <w:rFonts w:asciiTheme="minorHAnsi" w:hAnsiTheme="minorHAnsi" w:cstheme="minorHAnsi"/>
          <w:b/>
          <w:snapToGrid w:val="0"/>
          <w:color w:val="FF0000"/>
          <w:sz w:val="32"/>
          <w:szCs w:val="32"/>
        </w:rPr>
      </w:pPr>
      <w:r w:rsidRPr="00E963DB">
        <w:rPr>
          <w:rFonts w:asciiTheme="minorHAnsi" w:hAnsiTheme="minorHAnsi"/>
          <w:b/>
          <w:snapToGrid w:val="0"/>
          <w:sz w:val="32"/>
          <w:szCs w:val="32"/>
        </w:rPr>
        <w:t xml:space="preserve">Purpose of Submission </w:t>
      </w:r>
    </w:p>
    <w:p w14:paraId="367463D2" w14:textId="77777777" w:rsidR="00E963DB" w:rsidRPr="00E963DB" w:rsidRDefault="00E963DB" w:rsidP="000A64EF">
      <w:pPr>
        <w:pStyle w:val="3-BodyText"/>
      </w:pPr>
      <w:r w:rsidRPr="00E963DB">
        <w:t>This response follows the deferral at the July 2025 PBAC meeting of velmanase alfa for the treatment of non-neurological manifestations of alpha-mannosidosis (AM) to allow better clarification of the benefits of treatment and associated cost-effectiveness, and to further develop the restriction.</w:t>
      </w:r>
    </w:p>
    <w:p w14:paraId="2A2635F3" w14:textId="5BB52196" w:rsidR="00E963DB" w:rsidRPr="00E963DB" w:rsidRDefault="00E963DB" w:rsidP="000A64EF">
      <w:pPr>
        <w:pStyle w:val="3-BodyText"/>
      </w:pPr>
      <w:r w:rsidRPr="00E963DB">
        <w:t xml:space="preserve">This deferral response addressed the issues raised by PBAC; see </w:t>
      </w:r>
      <w:r w:rsidRPr="00E963DB">
        <w:fldChar w:fldCharType="begin"/>
      </w:r>
      <w:r w:rsidRPr="00E963DB">
        <w:instrText xml:space="preserve"> REF _Ref214543856 \h </w:instrText>
      </w:r>
      <w:r w:rsidR="00B14A03">
        <w:instrText xml:space="preserve"> \* MERGEFORMAT </w:instrText>
      </w:r>
      <w:r w:rsidRPr="00E963DB">
        <w:fldChar w:fldCharType="separate"/>
      </w:r>
      <w:r w:rsidR="00B73A9E" w:rsidRPr="00B73A9E">
        <w:t>Table 22</w:t>
      </w:r>
      <w:r w:rsidRPr="00E963DB">
        <w:fldChar w:fldCharType="end"/>
      </w:r>
      <w:r w:rsidRPr="00E963DB">
        <w:t>.</w:t>
      </w:r>
    </w:p>
    <w:p w14:paraId="16F069C5" w14:textId="7145845B" w:rsidR="00E963DB" w:rsidRPr="00E963DB" w:rsidRDefault="00E963DB" w:rsidP="00B14A03">
      <w:pPr>
        <w:keepNext/>
        <w:keepLines/>
        <w:jc w:val="left"/>
        <w:rPr>
          <w:rFonts w:ascii="Arial Narrow" w:hAnsi="Arial Narrow"/>
          <w:b/>
          <w:bCs/>
          <w:sz w:val="20"/>
          <w:szCs w:val="18"/>
        </w:rPr>
      </w:pPr>
      <w:bookmarkStart w:id="127" w:name="_Ref214543856"/>
      <w:r w:rsidRPr="00E963DB">
        <w:rPr>
          <w:rFonts w:ascii="Arial Narrow" w:hAnsi="Arial Narrow"/>
          <w:b/>
          <w:bCs/>
          <w:sz w:val="20"/>
          <w:szCs w:val="18"/>
        </w:rPr>
        <w:t xml:space="preserve">Table </w:t>
      </w:r>
      <w:r w:rsidRPr="00E963DB">
        <w:rPr>
          <w:rFonts w:ascii="Arial Narrow" w:hAnsi="Arial Narrow"/>
          <w:b/>
          <w:bCs/>
          <w:sz w:val="20"/>
          <w:szCs w:val="18"/>
        </w:rPr>
        <w:fldChar w:fldCharType="begin"/>
      </w:r>
      <w:r w:rsidRPr="00E963DB">
        <w:rPr>
          <w:rFonts w:ascii="Arial Narrow" w:hAnsi="Arial Narrow"/>
          <w:b/>
          <w:bCs/>
          <w:sz w:val="20"/>
          <w:szCs w:val="18"/>
        </w:rPr>
        <w:instrText xml:space="preserve"> SEQ Table \* ARABIC </w:instrText>
      </w:r>
      <w:r w:rsidRPr="00E963DB">
        <w:rPr>
          <w:rFonts w:ascii="Arial Narrow" w:hAnsi="Arial Narrow"/>
          <w:b/>
          <w:bCs/>
          <w:sz w:val="20"/>
          <w:szCs w:val="18"/>
        </w:rPr>
        <w:fldChar w:fldCharType="separate"/>
      </w:r>
      <w:r w:rsidR="00B73A9E">
        <w:rPr>
          <w:rFonts w:ascii="Arial Narrow" w:hAnsi="Arial Narrow"/>
          <w:b/>
          <w:bCs/>
          <w:noProof/>
          <w:sz w:val="20"/>
          <w:szCs w:val="18"/>
        </w:rPr>
        <w:t>22</w:t>
      </w:r>
      <w:r w:rsidRPr="00E963DB">
        <w:rPr>
          <w:rFonts w:ascii="Arial Narrow" w:hAnsi="Arial Narrow"/>
          <w:b/>
          <w:bCs/>
          <w:sz w:val="20"/>
          <w:szCs w:val="18"/>
        </w:rPr>
        <w:fldChar w:fldCharType="end"/>
      </w:r>
      <w:bookmarkEnd w:id="127"/>
      <w:r w:rsidRPr="00E963DB">
        <w:rPr>
          <w:rFonts w:ascii="Arial Narrow" w:hAnsi="Arial Narrow"/>
          <w:b/>
          <w:bCs/>
          <w:sz w:val="20"/>
          <w:szCs w:val="18"/>
        </w:rPr>
        <w:t>: Summary of key matters identified by the PBAC in July 2025</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3402"/>
        <w:gridCol w:w="1061"/>
      </w:tblGrid>
      <w:tr w:rsidR="00E963DB" w:rsidRPr="00E963DB" w14:paraId="2FACFC82" w14:textId="77777777" w:rsidTr="0088523E">
        <w:trPr>
          <w:cantSplit/>
          <w:tblHeader/>
        </w:trPr>
        <w:tc>
          <w:tcPr>
            <w:tcW w:w="2519" w:type="pct"/>
            <w:tcMar>
              <w:left w:w="28" w:type="dxa"/>
              <w:right w:w="28" w:type="dxa"/>
            </w:tcMar>
            <w:vAlign w:val="center"/>
          </w:tcPr>
          <w:p w14:paraId="201670C7" w14:textId="77777777" w:rsidR="00E963DB" w:rsidRPr="00E963DB" w:rsidRDefault="00E963DB" w:rsidP="00B14A03">
            <w:pPr>
              <w:keepNext/>
              <w:jc w:val="left"/>
              <w:rPr>
                <w:rFonts w:ascii="Arial Narrow" w:eastAsiaTheme="majorEastAsia" w:hAnsi="Arial Narrow" w:cs="Times New Roman"/>
                <w:b/>
                <w:sz w:val="20"/>
                <w:lang w:val="en-US"/>
              </w:rPr>
            </w:pPr>
            <w:r w:rsidRPr="00E963DB">
              <w:rPr>
                <w:rFonts w:ascii="Arial Narrow" w:eastAsiaTheme="majorEastAsia" w:hAnsi="Arial Narrow" w:cs="Times New Roman"/>
                <w:b/>
                <w:sz w:val="20"/>
                <w:lang w:val="en-US"/>
              </w:rPr>
              <w:t>Matter of concern</w:t>
            </w:r>
          </w:p>
        </w:tc>
        <w:tc>
          <w:tcPr>
            <w:tcW w:w="1891" w:type="pct"/>
            <w:tcMar>
              <w:left w:w="28" w:type="dxa"/>
              <w:right w:w="28" w:type="dxa"/>
            </w:tcMar>
            <w:vAlign w:val="center"/>
          </w:tcPr>
          <w:p w14:paraId="17F13D57" w14:textId="77777777" w:rsidR="00E963DB" w:rsidRPr="00E963DB" w:rsidRDefault="00E963DB" w:rsidP="00B14A03">
            <w:pPr>
              <w:keepNext/>
              <w:jc w:val="left"/>
              <w:rPr>
                <w:rFonts w:ascii="Arial Narrow" w:eastAsiaTheme="majorEastAsia" w:hAnsi="Arial Narrow" w:cs="Times New Roman"/>
                <w:b/>
                <w:sz w:val="20"/>
                <w:lang w:val="en-US"/>
              </w:rPr>
            </w:pPr>
            <w:r w:rsidRPr="00E963DB">
              <w:rPr>
                <w:rFonts w:ascii="Arial Narrow" w:eastAsiaTheme="majorEastAsia" w:hAnsi="Arial Narrow" w:cs="Times New Roman"/>
                <w:b/>
                <w:sz w:val="20"/>
                <w:lang w:val="en-US"/>
              </w:rPr>
              <w:t>Response</w:t>
            </w:r>
          </w:p>
        </w:tc>
        <w:tc>
          <w:tcPr>
            <w:tcW w:w="590" w:type="pct"/>
            <w:tcMar>
              <w:left w:w="28" w:type="dxa"/>
              <w:right w:w="28" w:type="dxa"/>
            </w:tcMar>
          </w:tcPr>
          <w:p w14:paraId="1CCAEB2E" w14:textId="77777777" w:rsidR="00E963DB" w:rsidRPr="00E963DB" w:rsidRDefault="00E963DB" w:rsidP="00B14A03">
            <w:pPr>
              <w:keepNext/>
              <w:jc w:val="left"/>
              <w:rPr>
                <w:rFonts w:ascii="Arial Narrow" w:eastAsiaTheme="majorEastAsia" w:hAnsi="Arial Narrow" w:cs="Times New Roman"/>
                <w:b/>
                <w:sz w:val="20"/>
                <w:lang w:val="en-US"/>
              </w:rPr>
            </w:pPr>
            <w:r w:rsidRPr="00E963DB">
              <w:rPr>
                <w:rFonts w:ascii="Arial Narrow" w:eastAsiaTheme="majorEastAsia" w:hAnsi="Arial Narrow" w:cs="Times New Roman"/>
                <w:b/>
                <w:sz w:val="20"/>
                <w:lang w:val="en-US"/>
              </w:rPr>
              <w:t>Addressed?</w:t>
            </w:r>
          </w:p>
        </w:tc>
      </w:tr>
      <w:tr w:rsidR="00E963DB" w:rsidRPr="00E963DB" w14:paraId="1395C455" w14:textId="77777777" w:rsidTr="0088523E">
        <w:trPr>
          <w:cantSplit/>
        </w:trPr>
        <w:tc>
          <w:tcPr>
            <w:tcW w:w="2519" w:type="pct"/>
            <w:tcMar>
              <w:left w:w="28" w:type="dxa"/>
              <w:right w:w="28" w:type="dxa"/>
            </w:tcMar>
          </w:tcPr>
          <w:p w14:paraId="1A5FD4EE" w14:textId="77777777" w:rsidR="00E963DB" w:rsidRPr="00E963DB" w:rsidRDefault="00E963DB" w:rsidP="00B14A03">
            <w:pPr>
              <w:keepNext/>
              <w:jc w:val="left"/>
              <w:rPr>
                <w:rFonts w:ascii="Arial Narrow" w:hAnsi="Arial Narrow" w:cs="Calibri"/>
                <w:sz w:val="20"/>
                <w:szCs w:val="20"/>
                <w:lang w:val="en-US"/>
              </w:rPr>
            </w:pPr>
            <w:r w:rsidRPr="00E963DB">
              <w:rPr>
                <w:rFonts w:ascii="Arial Narrow" w:hAnsi="Arial Narrow" w:cs="Calibri"/>
                <w:sz w:val="20"/>
                <w:szCs w:val="20"/>
                <w:lang w:val="en-US"/>
              </w:rPr>
              <w:t>The PBAC noted that the proposed restriction did not include an explicit stopping rule for patients who were not receiving clinical benefit whilst on treatment.</w:t>
            </w:r>
            <w:r w:rsidRPr="00E963DB">
              <w:rPr>
                <w:rFonts w:ascii="Arial Narrow" w:hAnsi="Arial Narrow" w:cs="Calibri"/>
                <w:sz w:val="20"/>
                <w:szCs w:val="20"/>
              </w:rPr>
              <w:t xml:space="preserve"> </w:t>
            </w:r>
            <w:r w:rsidRPr="00E963DB">
              <w:rPr>
                <w:rFonts w:ascii="Arial Narrow" w:hAnsi="Arial Narrow" w:cs="Calibri"/>
                <w:sz w:val="20"/>
                <w:szCs w:val="20"/>
                <w:lang w:val="en-US"/>
              </w:rPr>
              <w:t>Additionally, the PBAC noted that:</w:t>
            </w:r>
          </w:p>
          <w:p w14:paraId="69786FCC" w14:textId="77777777" w:rsidR="00E963DB" w:rsidRPr="00E963DB" w:rsidRDefault="00E963DB" w:rsidP="00B14A03">
            <w:pPr>
              <w:keepNext/>
              <w:numPr>
                <w:ilvl w:val="0"/>
                <w:numId w:val="16"/>
              </w:numPr>
              <w:ind w:left="198" w:hanging="198"/>
              <w:jc w:val="left"/>
              <w:rPr>
                <w:rFonts w:ascii="Arial Narrow" w:hAnsi="Arial Narrow" w:cs="Calibri"/>
                <w:snapToGrid w:val="0"/>
                <w:sz w:val="20"/>
                <w:szCs w:val="20"/>
                <w:lang w:val="en-US"/>
              </w:rPr>
            </w:pPr>
            <w:r w:rsidRPr="00E963DB">
              <w:rPr>
                <w:rFonts w:ascii="Arial Narrow" w:hAnsi="Arial Narrow" w:cs="Calibri"/>
                <w:snapToGrid w:val="0"/>
                <w:sz w:val="20"/>
                <w:szCs w:val="20"/>
                <w:lang w:val="en-US"/>
              </w:rPr>
              <w:t>it was not appropriate to list the same pharmaceutical item (i.e. the same drug, form and strength) with different maximum quantity units for the same circumstances (restrictions), therefore, the maximum quantity should be amended to 1 (rather than 1, 5 and 10) with a Prescriber Instruction stating that the appropriate number of vials required for 4 weeks treatment should be requested</w:t>
            </w:r>
          </w:p>
          <w:p w14:paraId="4C65CDEF" w14:textId="77777777" w:rsidR="00E963DB" w:rsidRPr="00E963DB" w:rsidRDefault="00E963DB" w:rsidP="00B14A03">
            <w:pPr>
              <w:keepNext/>
              <w:numPr>
                <w:ilvl w:val="0"/>
                <w:numId w:val="16"/>
              </w:numPr>
              <w:ind w:left="198" w:hanging="198"/>
              <w:jc w:val="left"/>
              <w:rPr>
                <w:rFonts w:ascii="Arial Narrow" w:hAnsi="Arial Narrow" w:cs="Calibri"/>
                <w:snapToGrid w:val="0"/>
                <w:sz w:val="20"/>
                <w:szCs w:val="20"/>
                <w:lang w:val="en-US"/>
              </w:rPr>
            </w:pPr>
            <w:r w:rsidRPr="00E963DB">
              <w:rPr>
                <w:rFonts w:ascii="Arial Narrow" w:hAnsi="Arial Narrow" w:cs="Calibri"/>
                <w:snapToGrid w:val="0"/>
                <w:sz w:val="20"/>
                <w:szCs w:val="20"/>
                <w:lang w:val="en-US"/>
              </w:rPr>
              <w:t>treatment eligibility should be confirmed, with a Prescriber Instruction stating that applicable diagnostic reports must be documented</w:t>
            </w:r>
          </w:p>
          <w:p w14:paraId="789A2815" w14:textId="77777777" w:rsidR="00E963DB" w:rsidRPr="00E963DB" w:rsidRDefault="00E963DB" w:rsidP="00B14A03">
            <w:pPr>
              <w:keepNext/>
              <w:numPr>
                <w:ilvl w:val="0"/>
                <w:numId w:val="16"/>
              </w:numPr>
              <w:ind w:left="198" w:hanging="198"/>
              <w:jc w:val="left"/>
              <w:rPr>
                <w:rFonts w:ascii="Arial Narrow" w:hAnsi="Arial Narrow" w:cs="Calibri"/>
                <w:snapToGrid w:val="0"/>
                <w:sz w:val="20"/>
                <w:szCs w:val="20"/>
                <w:lang w:val="en-US"/>
              </w:rPr>
            </w:pPr>
            <w:r w:rsidRPr="00E963DB">
              <w:rPr>
                <w:rFonts w:ascii="Arial Narrow" w:hAnsi="Arial Narrow" w:cs="Calibri"/>
                <w:snapToGrid w:val="0"/>
                <w:sz w:val="20"/>
                <w:szCs w:val="20"/>
                <w:lang w:val="en-US"/>
              </w:rPr>
              <w:t>proposed restriction should align with the rhLAMAN 05 trial and require an alpha mannosidase activity of &lt; 10% of normal activity in blood leukocytes; and</w:t>
            </w:r>
          </w:p>
          <w:p w14:paraId="4D009ACD" w14:textId="77777777" w:rsidR="00E963DB" w:rsidRPr="00E963DB" w:rsidRDefault="00E963DB" w:rsidP="00B14A03">
            <w:pPr>
              <w:keepNext/>
              <w:numPr>
                <w:ilvl w:val="0"/>
                <w:numId w:val="16"/>
              </w:numPr>
              <w:ind w:left="198" w:hanging="198"/>
              <w:jc w:val="left"/>
              <w:rPr>
                <w:rFonts w:ascii="Arial Narrow" w:eastAsiaTheme="majorEastAsia" w:hAnsi="Arial Narrow" w:cstheme="majorBidi"/>
                <w:bCs/>
                <w:sz w:val="20"/>
                <w:lang w:val="en-US"/>
              </w:rPr>
            </w:pPr>
            <w:r w:rsidRPr="00E963DB">
              <w:rPr>
                <w:rFonts w:ascii="Arial Narrow" w:eastAsiaTheme="majorEastAsia" w:hAnsi="Arial Narrow" w:cstheme="majorBidi"/>
                <w:bCs/>
                <w:sz w:val="20"/>
                <w:lang w:val="en-US"/>
              </w:rPr>
              <w:t>the restriction should be age agnostic</w:t>
            </w:r>
          </w:p>
          <w:p w14:paraId="2B3F76FA" w14:textId="77777777" w:rsidR="00E963DB" w:rsidRPr="00E963DB" w:rsidRDefault="00E963DB" w:rsidP="00B14A03">
            <w:pPr>
              <w:keepNext/>
              <w:jc w:val="left"/>
              <w:rPr>
                <w:rFonts w:ascii="Arial Narrow" w:eastAsiaTheme="majorEastAsia" w:hAnsi="Arial Narrow" w:cstheme="majorBidi"/>
                <w:bCs/>
                <w:sz w:val="20"/>
                <w:lang w:val="en-US"/>
              </w:rPr>
            </w:pPr>
            <w:r w:rsidRPr="00E963DB">
              <w:rPr>
                <w:rFonts w:ascii="Arial Narrow" w:eastAsiaTheme="majorEastAsia" w:hAnsi="Arial Narrow" w:cstheme="majorBidi"/>
                <w:bCs/>
                <w:sz w:val="20"/>
                <w:lang w:val="en-US"/>
              </w:rPr>
              <w:t>(paragraph 7.5, July 2025 minutes).</w:t>
            </w:r>
          </w:p>
        </w:tc>
        <w:tc>
          <w:tcPr>
            <w:tcW w:w="1891" w:type="pct"/>
            <w:tcMar>
              <w:left w:w="28" w:type="dxa"/>
              <w:right w:w="28" w:type="dxa"/>
            </w:tcMar>
          </w:tcPr>
          <w:p w14:paraId="3CC419C1" w14:textId="77777777" w:rsidR="00E963DB" w:rsidRPr="00E963DB" w:rsidRDefault="00E963DB" w:rsidP="00B14A03">
            <w:pPr>
              <w:keepNext/>
              <w:jc w:val="left"/>
              <w:rPr>
                <w:rFonts w:ascii="Arial Narrow" w:hAnsi="Arial Narrow" w:cs="Calibri"/>
                <w:sz w:val="20"/>
                <w:szCs w:val="20"/>
                <w:lang w:val="en-US"/>
              </w:rPr>
            </w:pPr>
            <w:r w:rsidRPr="00E963DB">
              <w:rPr>
                <w:rFonts w:ascii="Arial Narrow" w:hAnsi="Arial Narrow" w:cs="Calibri"/>
                <w:sz w:val="20"/>
                <w:szCs w:val="20"/>
                <w:lang w:val="en-US"/>
              </w:rPr>
              <w:t xml:space="preserve">The deferral response agreed with all the proposed changes to the PBS restriction. </w:t>
            </w:r>
          </w:p>
          <w:p w14:paraId="4A1CDF26" w14:textId="77777777" w:rsidR="00E963DB" w:rsidRPr="00E963DB" w:rsidRDefault="00E963DB" w:rsidP="00B14A03">
            <w:pPr>
              <w:keepNext/>
              <w:jc w:val="left"/>
              <w:rPr>
                <w:rFonts w:ascii="Arial Narrow" w:eastAsiaTheme="majorEastAsia" w:hAnsi="Arial Narrow" w:cstheme="majorBidi"/>
                <w:bCs/>
                <w:sz w:val="20"/>
                <w:szCs w:val="20"/>
              </w:rPr>
            </w:pPr>
          </w:p>
        </w:tc>
        <w:tc>
          <w:tcPr>
            <w:tcW w:w="590" w:type="pct"/>
            <w:tcMar>
              <w:left w:w="28" w:type="dxa"/>
              <w:right w:w="28" w:type="dxa"/>
            </w:tcMar>
          </w:tcPr>
          <w:p w14:paraId="50A98D12" w14:textId="77777777" w:rsidR="00E963DB" w:rsidRPr="00E963DB" w:rsidRDefault="00E963DB" w:rsidP="00B14A03">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Yes</w:t>
            </w:r>
          </w:p>
        </w:tc>
      </w:tr>
      <w:tr w:rsidR="00E963DB" w:rsidRPr="00E963DB" w14:paraId="50B82EBD" w14:textId="77777777" w:rsidTr="0088523E">
        <w:trPr>
          <w:cantSplit/>
        </w:trPr>
        <w:tc>
          <w:tcPr>
            <w:tcW w:w="2519" w:type="pct"/>
            <w:tcMar>
              <w:left w:w="28" w:type="dxa"/>
              <w:right w:w="28" w:type="dxa"/>
            </w:tcMar>
          </w:tcPr>
          <w:p w14:paraId="7399ADB8" w14:textId="77777777" w:rsidR="00E963DB" w:rsidRPr="00E963DB" w:rsidRDefault="00E963DB" w:rsidP="00E963DB">
            <w:pPr>
              <w:jc w:val="left"/>
              <w:rPr>
                <w:rFonts w:ascii="Arial Narrow" w:hAnsi="Arial Narrow" w:cs="Calibri"/>
                <w:sz w:val="20"/>
                <w:szCs w:val="20"/>
                <w:lang w:val="en-US"/>
              </w:rPr>
            </w:pPr>
            <w:r w:rsidRPr="00E963DB">
              <w:rPr>
                <w:rFonts w:ascii="Arial Narrow" w:hAnsi="Arial Narrow" w:cs="Calibri"/>
                <w:sz w:val="20"/>
                <w:szCs w:val="20"/>
                <w:lang w:val="en-US"/>
              </w:rPr>
              <w:t xml:space="preserve">The PBAC considered that the multi domain responder analysis presented by the submission, the Global Treatment Response (GTR) model, was informative. The PBAC noted that single measures in the trial did not indicate significant improvements in clinical outcomes; however, the GTR model appeared to indicate clinically meaningful improvements associated with velmanase alfa based on data from the randomised rhLAMAN 05 trial. </w:t>
            </w:r>
          </w:p>
          <w:p w14:paraId="69AA5890" w14:textId="77777777" w:rsidR="00E963DB" w:rsidRPr="00E963DB" w:rsidRDefault="00E963DB" w:rsidP="00E963DB">
            <w:pPr>
              <w:keepNext/>
              <w:jc w:val="left"/>
              <w:rPr>
                <w:rFonts w:ascii="Arial Narrow" w:eastAsiaTheme="majorEastAsia" w:hAnsi="Arial Narrow" w:cstheme="majorBidi"/>
                <w:bCs/>
                <w:sz w:val="20"/>
                <w:szCs w:val="20"/>
              </w:rPr>
            </w:pPr>
            <w:r w:rsidRPr="00E963DB">
              <w:rPr>
                <w:rFonts w:ascii="Arial Narrow" w:eastAsiaTheme="majorEastAsia" w:hAnsi="Arial Narrow" w:cs="Calibri"/>
                <w:bCs/>
                <w:sz w:val="20"/>
                <w:szCs w:val="20"/>
                <w:lang w:val="en-US"/>
              </w:rPr>
              <w:t>The PBAC considered it would be informative for the Sponsor to provide further discussion regarding the patient relevant impacts of achieving a treatment response as defined by the GTR (paragraph 7.10, July 2025 minutes).</w:t>
            </w:r>
          </w:p>
        </w:tc>
        <w:tc>
          <w:tcPr>
            <w:tcW w:w="1891" w:type="pct"/>
            <w:tcMar>
              <w:left w:w="28" w:type="dxa"/>
              <w:right w:w="28" w:type="dxa"/>
            </w:tcMar>
          </w:tcPr>
          <w:p w14:paraId="47147BBB" w14:textId="77777777" w:rsidR="00E963DB" w:rsidRPr="00E963DB" w:rsidRDefault="00E963DB" w:rsidP="00E963DB">
            <w:pPr>
              <w:jc w:val="left"/>
              <w:rPr>
                <w:rFonts w:ascii="Arial Narrow" w:hAnsi="Arial Narrow" w:cs="Calibri"/>
                <w:sz w:val="20"/>
                <w:szCs w:val="20"/>
                <w:lang w:val="en-US"/>
              </w:rPr>
            </w:pPr>
            <w:r w:rsidRPr="00E963DB">
              <w:rPr>
                <w:rFonts w:ascii="Arial Narrow" w:hAnsi="Arial Narrow" w:cs="Calibri"/>
                <w:sz w:val="20"/>
                <w:szCs w:val="20"/>
                <w:lang w:val="en-US"/>
              </w:rPr>
              <w:t>The deferral response presented updated clinical data, including:</w:t>
            </w:r>
          </w:p>
          <w:p w14:paraId="77DB9297" w14:textId="77777777" w:rsidR="00E963DB" w:rsidRPr="00E963DB" w:rsidRDefault="00E963DB" w:rsidP="00CD7617">
            <w:pPr>
              <w:numPr>
                <w:ilvl w:val="0"/>
                <w:numId w:val="18"/>
              </w:numPr>
              <w:ind w:left="198" w:hanging="198"/>
              <w:jc w:val="left"/>
              <w:rPr>
                <w:rFonts w:ascii="Arial Narrow" w:hAnsi="Arial Narrow" w:cs="Calibri"/>
                <w:snapToGrid w:val="0"/>
                <w:sz w:val="20"/>
                <w:szCs w:val="20"/>
                <w:lang w:val="en-US"/>
              </w:rPr>
            </w:pPr>
            <w:r w:rsidRPr="00E963DB">
              <w:rPr>
                <w:rFonts w:ascii="Arial Narrow" w:hAnsi="Arial Narrow" w:cs="Calibri"/>
                <w:snapToGrid w:val="0"/>
                <w:sz w:val="20"/>
                <w:szCs w:val="20"/>
                <w:lang w:val="en-US"/>
              </w:rPr>
              <w:t>GTR Model – updated outcome presentations;</w:t>
            </w:r>
          </w:p>
          <w:p w14:paraId="3D93AD02" w14:textId="77777777" w:rsidR="00E963DB" w:rsidRPr="00E963DB" w:rsidRDefault="00E963DB" w:rsidP="00CD7617">
            <w:pPr>
              <w:numPr>
                <w:ilvl w:val="0"/>
                <w:numId w:val="17"/>
              </w:numPr>
              <w:ind w:left="198" w:hanging="198"/>
              <w:contextualSpacing/>
              <w:jc w:val="left"/>
              <w:rPr>
                <w:rFonts w:ascii="Arial Narrow" w:hAnsi="Arial Narrow" w:cs="Calibri"/>
                <w:snapToGrid w:val="0"/>
                <w:sz w:val="20"/>
                <w:szCs w:val="20"/>
                <w:lang w:val="en-US"/>
              </w:rPr>
            </w:pPr>
            <w:r w:rsidRPr="00E963DB">
              <w:rPr>
                <w:rFonts w:ascii="Arial Narrow" w:hAnsi="Arial Narrow" w:cs="Calibri"/>
                <w:snapToGrid w:val="0"/>
                <w:sz w:val="20"/>
                <w:szCs w:val="20"/>
                <w:lang w:val="en-US"/>
              </w:rPr>
              <w:t>Étoile Alpha Registry (N=16): Study results and physicians’ narratives;</w:t>
            </w:r>
          </w:p>
          <w:p w14:paraId="6560ECD5" w14:textId="77777777" w:rsidR="00E963DB" w:rsidRPr="00E963DB" w:rsidRDefault="00E963DB" w:rsidP="00CD7617">
            <w:pPr>
              <w:numPr>
                <w:ilvl w:val="0"/>
                <w:numId w:val="17"/>
              </w:numPr>
              <w:ind w:left="198" w:hanging="198"/>
              <w:contextualSpacing/>
              <w:jc w:val="left"/>
              <w:rPr>
                <w:rFonts w:ascii="Arial Narrow" w:hAnsi="Arial Narrow" w:cs="Calibri"/>
                <w:snapToGrid w:val="0"/>
                <w:sz w:val="20"/>
                <w:szCs w:val="20"/>
                <w:lang w:val="en-US"/>
              </w:rPr>
            </w:pPr>
            <w:r w:rsidRPr="00E963DB">
              <w:rPr>
                <w:rFonts w:ascii="Arial Narrow" w:hAnsi="Arial Narrow" w:cs="Calibri"/>
                <w:snapToGrid w:val="0"/>
                <w:sz w:val="20"/>
                <w:szCs w:val="20"/>
                <w:lang w:val="en-US"/>
              </w:rPr>
              <w:t>International caregiver and patient survey (N=51).</w:t>
            </w:r>
          </w:p>
          <w:p w14:paraId="526A8FAE" w14:textId="77777777" w:rsidR="00E963DB" w:rsidRPr="00E963DB" w:rsidRDefault="00E963DB" w:rsidP="00E963DB">
            <w:pPr>
              <w:jc w:val="left"/>
              <w:rPr>
                <w:rFonts w:ascii="Arial Narrow" w:hAnsi="Arial Narrow"/>
                <w:sz w:val="20"/>
                <w:szCs w:val="20"/>
              </w:rPr>
            </w:pPr>
            <w:r w:rsidRPr="00E963DB">
              <w:rPr>
                <w:rFonts w:ascii="Arial Narrow" w:hAnsi="Arial Narrow" w:cs="Calibri"/>
                <w:sz w:val="20"/>
                <w:szCs w:val="20"/>
                <w:lang w:val="en-US"/>
              </w:rPr>
              <w:t>The deferral response stated that velmanase alfa provides clinically meaningful, patient-relevant benefits for individuals with AM. It further stated that consistent findings across multiple sources support the</w:t>
            </w:r>
            <w:r w:rsidRPr="00E963DB">
              <w:rPr>
                <w:rFonts w:ascii="Arial Narrow" w:eastAsiaTheme="majorEastAsia" w:hAnsi="Arial Narrow" w:cstheme="majorBidi"/>
                <w:bCs/>
              </w:rPr>
              <w:t xml:space="preserve"> </w:t>
            </w:r>
            <w:r w:rsidRPr="00E963DB">
              <w:rPr>
                <w:rFonts w:ascii="Arial Narrow" w:hAnsi="Arial Narrow" w:cs="Calibri"/>
                <w:sz w:val="20"/>
                <w:szCs w:val="20"/>
                <w:lang w:val="en-US"/>
              </w:rPr>
              <w:t>potential of velmanase alfa to improve or stabilise daily functioning and quality of life, addressing major unmet needs in this population.</w:t>
            </w:r>
          </w:p>
        </w:tc>
        <w:tc>
          <w:tcPr>
            <w:tcW w:w="590" w:type="pct"/>
            <w:tcMar>
              <w:left w:w="28" w:type="dxa"/>
              <w:right w:w="28" w:type="dxa"/>
            </w:tcMar>
          </w:tcPr>
          <w:p w14:paraId="5D16DA0E" w14:textId="77777777" w:rsidR="00E963DB" w:rsidRPr="00E963DB" w:rsidRDefault="00E963DB" w:rsidP="00E963DB">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Yes</w:t>
            </w:r>
          </w:p>
        </w:tc>
      </w:tr>
      <w:tr w:rsidR="00E963DB" w:rsidRPr="00E963DB" w14:paraId="4DF40486" w14:textId="77777777" w:rsidTr="0088523E">
        <w:trPr>
          <w:cantSplit/>
        </w:trPr>
        <w:tc>
          <w:tcPr>
            <w:tcW w:w="2519" w:type="pct"/>
            <w:tcMar>
              <w:left w:w="28" w:type="dxa"/>
              <w:right w:w="28" w:type="dxa"/>
            </w:tcMar>
          </w:tcPr>
          <w:p w14:paraId="44E5F8D4" w14:textId="796C19E3" w:rsidR="00E963DB" w:rsidRPr="00E963DB" w:rsidRDefault="00E963DB" w:rsidP="00E963DB">
            <w:pPr>
              <w:keepNext/>
              <w:jc w:val="left"/>
              <w:rPr>
                <w:rFonts w:ascii="Arial Narrow" w:eastAsiaTheme="majorEastAsia" w:hAnsi="Arial Narrow" w:cstheme="majorBidi"/>
                <w:bCs/>
                <w:sz w:val="20"/>
                <w:szCs w:val="20"/>
              </w:rPr>
            </w:pPr>
            <w:r w:rsidRPr="00E963DB">
              <w:rPr>
                <w:rFonts w:ascii="Arial Narrow" w:eastAsiaTheme="majorEastAsia" w:hAnsi="Arial Narrow" w:cs="Calibri"/>
                <w:bCs/>
                <w:sz w:val="20"/>
                <w:szCs w:val="20"/>
                <w:lang w:val="en-US"/>
              </w:rPr>
              <w:t>The PBAC noted that the cost of treatment per year, for an average patient in the rhLAMAN 05 trial, exceeded $</w:t>
            </w:r>
            <w:r w:rsidR="00127C1A" w:rsidRPr="00127C1A">
              <w:rPr>
                <w:rFonts w:ascii="Arial Narrow" w:eastAsiaTheme="majorEastAsia" w:hAnsi="Arial Narrow" w:cs="Calibri"/>
                <w:bCs/>
                <w:sz w:val="4"/>
                <w:szCs w:val="20"/>
                <w:highlight w:val="black"/>
                <w:lang w:val="en-US"/>
              </w:rPr>
              <w:t>Redacted content</w:t>
            </w:r>
            <w:r w:rsidRPr="00C23C87">
              <w:rPr>
                <w:rFonts w:ascii="Arial Narrow" w:eastAsiaTheme="majorEastAsia" w:hAnsi="Arial Narrow" w:cs="Calibri"/>
                <w:bCs/>
                <w:sz w:val="20"/>
                <w:szCs w:val="20"/>
                <w:lang w:val="en-US"/>
              </w:rPr>
              <w:t xml:space="preserve"> </w:t>
            </w:r>
            <w:r w:rsidRPr="00E963DB">
              <w:rPr>
                <w:rFonts w:ascii="Arial Narrow" w:eastAsiaTheme="majorEastAsia" w:hAnsi="Arial Narrow" w:cs="Calibri"/>
                <w:bCs/>
                <w:sz w:val="20"/>
                <w:szCs w:val="20"/>
                <w:lang w:val="en-US"/>
              </w:rPr>
              <w:t>per year and considered that a substantial reduction in the cost of velmanase alfa would be required for it to be considered cost effective (paragraph 7.14, July 2025 minutes).</w:t>
            </w:r>
          </w:p>
        </w:tc>
        <w:tc>
          <w:tcPr>
            <w:tcW w:w="1891" w:type="pct"/>
            <w:tcMar>
              <w:left w:w="28" w:type="dxa"/>
              <w:right w:w="28" w:type="dxa"/>
            </w:tcMar>
          </w:tcPr>
          <w:p w14:paraId="4587B3A2" w14:textId="4DF1E72C" w:rsidR="00E963DB" w:rsidRPr="00E963DB" w:rsidRDefault="00E963DB" w:rsidP="00E963DB">
            <w:pPr>
              <w:snapToGrid w:val="0"/>
              <w:jc w:val="left"/>
            </w:pPr>
            <w:r w:rsidRPr="00E963DB">
              <w:rPr>
                <w:rFonts w:ascii="Arial Narrow" w:hAnsi="Arial Narrow" w:cs="Calibri"/>
                <w:sz w:val="20"/>
                <w:szCs w:val="20"/>
                <w:lang w:val="en-US"/>
              </w:rPr>
              <w:t xml:space="preserve">The deferral response decreased the requested ex-manufacturer price (EMP) by </w:t>
            </w:r>
            <w:r w:rsidR="00127C1A" w:rsidRPr="00127C1A">
              <w:rPr>
                <w:rFonts w:ascii="Arial Narrow" w:hAnsi="Arial Narrow" w:cs="Calibri"/>
                <w:sz w:val="4"/>
                <w:szCs w:val="20"/>
                <w:highlight w:val="black"/>
                <w:lang w:val="en-US"/>
              </w:rPr>
              <w:t>Redacted content</w:t>
            </w:r>
            <w:r w:rsidRPr="00E963DB">
              <w:rPr>
                <w:rFonts w:ascii="Arial Narrow" w:hAnsi="Arial Narrow" w:cs="Calibri"/>
                <w:sz w:val="20"/>
                <w:szCs w:val="20"/>
                <w:lang w:val="en-US"/>
              </w:rPr>
              <w:t>% from $</w:t>
            </w:r>
            <w:r w:rsidR="00127C1A" w:rsidRPr="00127C1A">
              <w:rPr>
                <w:rFonts w:ascii="Arial Narrow" w:hAnsi="Arial Narrow" w:cs="Calibri"/>
                <w:sz w:val="4"/>
                <w:szCs w:val="20"/>
                <w:highlight w:val="black"/>
                <w:lang w:val="en-US"/>
              </w:rPr>
              <w:t>Redacted content</w:t>
            </w:r>
            <w:r w:rsidRPr="00E963DB">
              <w:rPr>
                <w:rFonts w:ascii="Arial Narrow" w:hAnsi="Arial Narrow" w:cs="Calibri"/>
                <w:sz w:val="20"/>
                <w:szCs w:val="20"/>
                <w:lang w:val="en-US"/>
              </w:rPr>
              <w:t xml:space="preserve"> per 10 mg vial to $</w:t>
            </w:r>
            <w:r w:rsidR="00127C1A" w:rsidRPr="00127C1A">
              <w:rPr>
                <w:rFonts w:ascii="Arial Narrow" w:hAnsi="Arial Narrow" w:cs="Calibri"/>
                <w:sz w:val="4"/>
                <w:szCs w:val="20"/>
                <w:highlight w:val="black"/>
                <w:lang w:val="en-US"/>
              </w:rPr>
              <w:t>Redacted content</w:t>
            </w:r>
            <w:r w:rsidRPr="00E963DB">
              <w:rPr>
                <w:rFonts w:ascii="Arial Narrow" w:hAnsi="Arial Narrow" w:cs="Calibri"/>
                <w:sz w:val="20"/>
                <w:szCs w:val="20"/>
                <w:lang w:val="en-US"/>
              </w:rPr>
              <w:t>. The cost of treatment per year for an average patient in the rhLAMAN 05 trial was $</w:t>
            </w:r>
            <w:r w:rsidR="00127C1A" w:rsidRPr="00127C1A">
              <w:rPr>
                <w:rFonts w:ascii="Arial Narrow" w:hAnsi="Arial Narrow" w:cs="Calibri"/>
                <w:sz w:val="4"/>
                <w:szCs w:val="20"/>
                <w:highlight w:val="black"/>
                <w:lang w:val="en-US"/>
              </w:rPr>
              <w:t>Redacted content</w:t>
            </w:r>
            <w:r w:rsidRPr="00E963DB">
              <w:rPr>
                <w:rFonts w:ascii="Arial Narrow" w:hAnsi="Arial Narrow" w:cs="Calibri"/>
                <w:sz w:val="20"/>
                <w:szCs w:val="20"/>
                <w:lang w:val="en-US"/>
              </w:rPr>
              <w:t>.</w:t>
            </w:r>
          </w:p>
        </w:tc>
        <w:tc>
          <w:tcPr>
            <w:tcW w:w="590" w:type="pct"/>
            <w:tcMar>
              <w:left w:w="28" w:type="dxa"/>
              <w:right w:w="28" w:type="dxa"/>
            </w:tcMar>
          </w:tcPr>
          <w:p w14:paraId="020326CC" w14:textId="77777777" w:rsidR="00E963DB" w:rsidRPr="00E963DB" w:rsidRDefault="00E963DB" w:rsidP="00E963DB">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Partially</w:t>
            </w:r>
          </w:p>
        </w:tc>
      </w:tr>
      <w:tr w:rsidR="00E963DB" w:rsidRPr="00E963DB" w14:paraId="45548972" w14:textId="77777777" w:rsidTr="0088523E">
        <w:trPr>
          <w:cantSplit/>
        </w:trPr>
        <w:tc>
          <w:tcPr>
            <w:tcW w:w="2519" w:type="pct"/>
            <w:tcMar>
              <w:left w:w="28" w:type="dxa"/>
              <w:right w:w="28" w:type="dxa"/>
            </w:tcMar>
          </w:tcPr>
          <w:p w14:paraId="255E6D2A" w14:textId="77777777" w:rsidR="00E963DB" w:rsidRPr="00E963DB" w:rsidRDefault="00E963DB" w:rsidP="00E963DB">
            <w:pPr>
              <w:jc w:val="left"/>
              <w:rPr>
                <w:rFonts w:ascii="Arial Narrow" w:hAnsi="Arial Narrow" w:cs="Calibri"/>
                <w:sz w:val="20"/>
                <w:szCs w:val="20"/>
                <w:lang w:val="en-US"/>
              </w:rPr>
            </w:pPr>
            <w:r w:rsidRPr="00E963DB">
              <w:rPr>
                <w:rFonts w:ascii="Arial Narrow" w:hAnsi="Arial Narrow" w:cs="Calibri"/>
                <w:sz w:val="20"/>
                <w:szCs w:val="20"/>
                <w:lang w:val="en-US"/>
              </w:rPr>
              <w:t>The PBAC considered that the incidence of disease meant a new case would likely emerge only every 3 to 4 years in the Australian population. The PBAC agreed with the Sub Committees that the likely number of eligible prevalent patients electing treatment with velmanase alfa was overestimated.</w:t>
            </w:r>
          </w:p>
          <w:p w14:paraId="328E9EA1" w14:textId="77777777" w:rsidR="00E963DB" w:rsidRPr="00E963DB" w:rsidRDefault="00E963DB" w:rsidP="00E963DB">
            <w:pPr>
              <w:jc w:val="left"/>
              <w:rPr>
                <w:rFonts w:ascii="Arial Narrow" w:hAnsi="Arial Narrow" w:cs="Calibri"/>
                <w:sz w:val="20"/>
                <w:szCs w:val="20"/>
                <w:lang w:val="en-US"/>
              </w:rPr>
            </w:pPr>
            <w:r w:rsidRPr="00E963DB">
              <w:rPr>
                <w:rFonts w:ascii="Arial Narrow" w:hAnsi="Arial Narrow" w:cs="Calibri"/>
                <w:sz w:val="20"/>
                <w:szCs w:val="20"/>
                <w:lang w:val="en-US"/>
              </w:rPr>
              <w:t>Overall, the PBAC considered that there would be a maximum of 5 patients eligible for treatment over the 6 years of financial impact estimates (paragraph 7.15, July 2025 minutes).</w:t>
            </w:r>
          </w:p>
          <w:p w14:paraId="24684D13" w14:textId="77777777" w:rsidR="00E963DB" w:rsidRPr="00E963DB" w:rsidRDefault="00E963DB" w:rsidP="00E963DB">
            <w:pPr>
              <w:keepNext/>
              <w:jc w:val="left"/>
              <w:rPr>
                <w:rFonts w:ascii="Arial Narrow" w:eastAsiaTheme="majorEastAsia" w:hAnsi="Arial Narrow" w:cstheme="majorBidi"/>
                <w:bCs/>
                <w:sz w:val="20"/>
                <w:szCs w:val="20"/>
              </w:rPr>
            </w:pPr>
            <w:r w:rsidRPr="00E963DB">
              <w:rPr>
                <w:rFonts w:ascii="Arial Narrow" w:eastAsiaTheme="majorEastAsia" w:hAnsi="Arial Narrow" w:cs="Calibri"/>
                <w:bCs/>
                <w:sz w:val="20"/>
                <w:szCs w:val="20"/>
                <w:lang w:val="en-US"/>
              </w:rPr>
              <w:t>The PBAC considered a risk sharing arrangement (RSA) would be required for velmanase alfa, to manage potential use outside of the restriction, such as in patients who have had an unsuccessful HSCT, and higher than predicted average doses (as dosing is weight based) (paragraph 7.16, July 2025 minutes).</w:t>
            </w:r>
          </w:p>
        </w:tc>
        <w:tc>
          <w:tcPr>
            <w:tcW w:w="1891" w:type="pct"/>
            <w:tcMar>
              <w:left w:w="28" w:type="dxa"/>
              <w:right w:w="28" w:type="dxa"/>
            </w:tcMar>
          </w:tcPr>
          <w:p w14:paraId="5061896C" w14:textId="77777777" w:rsidR="00E963DB" w:rsidRPr="00E963DB" w:rsidRDefault="00E963DB" w:rsidP="00E963DB">
            <w:pPr>
              <w:jc w:val="left"/>
              <w:rPr>
                <w:rFonts w:ascii="Arial Narrow" w:hAnsi="Arial Narrow" w:cs="Calibri"/>
                <w:sz w:val="20"/>
                <w:szCs w:val="20"/>
                <w:lang w:val="en-US"/>
              </w:rPr>
            </w:pPr>
            <w:r w:rsidRPr="00E963DB">
              <w:rPr>
                <w:rFonts w:ascii="Arial Narrow" w:hAnsi="Arial Narrow" w:cs="Calibri"/>
                <w:sz w:val="20"/>
                <w:szCs w:val="20"/>
                <w:lang w:val="en-US"/>
              </w:rPr>
              <w:t>The deferral response provided updated financial estimates. The response has identified four prevalent patients currently in Australia eligible for velmanase alfa and projected that one incident patient would enter treatment every three years. An additional five undiagnosed prevalent patients are included in the estimates.</w:t>
            </w:r>
          </w:p>
          <w:p w14:paraId="48E1E4ED" w14:textId="75CCAFB8" w:rsidR="00E963DB" w:rsidRPr="00E963DB" w:rsidRDefault="00E963DB" w:rsidP="00E963DB">
            <w:pPr>
              <w:jc w:val="left"/>
              <w:rPr>
                <w:rFonts w:ascii="Arial Narrow" w:hAnsi="Arial Narrow"/>
                <w:sz w:val="20"/>
                <w:szCs w:val="20"/>
              </w:rPr>
            </w:pPr>
            <w:r w:rsidRPr="00E963DB">
              <w:rPr>
                <w:rFonts w:ascii="Arial Narrow" w:hAnsi="Arial Narrow" w:cs="Calibri"/>
                <w:sz w:val="20"/>
                <w:szCs w:val="20"/>
                <w:lang w:val="en-US"/>
              </w:rPr>
              <w:t xml:space="preserve">As part of the proposed RSA, a patient-level costing model was incorporated to estimate the actual cost per patient based on individual weight. A rebate of </w:t>
            </w:r>
            <w:r w:rsidR="00127C1A" w:rsidRPr="00127C1A">
              <w:rPr>
                <w:rFonts w:ascii="Arial Narrow" w:hAnsi="Arial Narrow" w:cs="Calibri"/>
                <w:sz w:val="4"/>
                <w:szCs w:val="20"/>
                <w:highlight w:val="black"/>
                <w:lang w:val="en-US"/>
              </w:rPr>
              <w:t>Redacted content</w:t>
            </w:r>
            <w:r w:rsidRPr="00E963DB">
              <w:rPr>
                <w:rFonts w:ascii="Arial Narrow" w:hAnsi="Arial Narrow" w:cs="Calibri"/>
                <w:sz w:val="20"/>
                <w:szCs w:val="20"/>
                <w:lang w:val="en-US"/>
              </w:rPr>
              <w:t>% was proposed for any additional amount to Commonwealth PBS/RPBS expenditure</w:t>
            </w:r>
            <w:r w:rsidRPr="00E963DB">
              <w:rPr>
                <w:rFonts w:ascii="Arial Narrow" w:hAnsi="Arial Narrow" w:cs="Calibri"/>
                <w:sz w:val="20"/>
                <w:szCs w:val="20"/>
              </w:rPr>
              <w:t xml:space="preserve"> </w:t>
            </w:r>
            <w:r w:rsidRPr="00E963DB">
              <w:rPr>
                <w:rFonts w:ascii="Arial Narrow" w:hAnsi="Arial Narrow" w:cs="Calibri"/>
                <w:sz w:val="20"/>
                <w:szCs w:val="20"/>
                <w:lang w:val="en-US"/>
              </w:rPr>
              <w:t>exceeding the agreed cap.</w:t>
            </w:r>
          </w:p>
        </w:tc>
        <w:tc>
          <w:tcPr>
            <w:tcW w:w="590" w:type="pct"/>
            <w:tcMar>
              <w:left w:w="28" w:type="dxa"/>
              <w:right w:w="28" w:type="dxa"/>
            </w:tcMar>
          </w:tcPr>
          <w:p w14:paraId="1D183922" w14:textId="77777777" w:rsidR="00E963DB" w:rsidRPr="00E963DB" w:rsidRDefault="00E963DB" w:rsidP="00E963DB">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No</w:t>
            </w:r>
          </w:p>
        </w:tc>
      </w:tr>
    </w:tbl>
    <w:p w14:paraId="5729A7D0" w14:textId="77777777" w:rsidR="00E963DB" w:rsidRPr="00E963DB" w:rsidRDefault="00E963DB" w:rsidP="00E963DB">
      <w:pPr>
        <w:spacing w:after="120"/>
        <w:contextualSpacing/>
        <w:rPr>
          <w:rFonts w:ascii="Arial Narrow" w:hAnsi="Arial Narrow"/>
          <w:snapToGrid w:val="0"/>
          <w:sz w:val="18"/>
          <w:szCs w:val="22"/>
        </w:rPr>
      </w:pPr>
      <w:r w:rsidRPr="00E963DB">
        <w:rPr>
          <w:rFonts w:ascii="Arial Narrow" w:hAnsi="Arial Narrow"/>
          <w:snapToGrid w:val="0"/>
          <w:sz w:val="18"/>
          <w:szCs w:val="22"/>
        </w:rPr>
        <w:t>Source: Table 1, pp4-5 of the deferral response</w:t>
      </w:r>
    </w:p>
    <w:p w14:paraId="7417C8C0" w14:textId="77777777" w:rsidR="00E963DB" w:rsidRPr="00E963DB" w:rsidRDefault="00E963DB" w:rsidP="00CD7617">
      <w:pPr>
        <w:keepNext/>
        <w:numPr>
          <w:ilvl w:val="0"/>
          <w:numId w:val="1"/>
        </w:numPr>
        <w:spacing w:before="240" w:after="120"/>
        <w:jc w:val="left"/>
        <w:outlineLvl w:val="0"/>
        <w:rPr>
          <w:rFonts w:asciiTheme="minorHAnsi" w:hAnsiTheme="minorHAnsi"/>
          <w:b/>
          <w:snapToGrid w:val="0"/>
          <w:sz w:val="32"/>
          <w:szCs w:val="32"/>
        </w:rPr>
      </w:pPr>
      <w:r w:rsidRPr="00E963DB">
        <w:rPr>
          <w:rFonts w:asciiTheme="minorHAnsi" w:hAnsiTheme="minorHAnsi"/>
          <w:b/>
          <w:snapToGrid w:val="0"/>
          <w:sz w:val="32"/>
          <w:szCs w:val="32"/>
        </w:rPr>
        <w:t xml:space="preserve">Requested listing </w:t>
      </w:r>
    </w:p>
    <w:p w14:paraId="4F7D670F" w14:textId="77777777" w:rsidR="00E963DB" w:rsidRPr="00E963DB" w:rsidRDefault="00E963DB" w:rsidP="00C401E5">
      <w:pPr>
        <w:pStyle w:val="3-BodyText"/>
        <w:rPr>
          <w:color w:val="FF0000"/>
        </w:rPr>
      </w:pPr>
      <w:bookmarkStart w:id="128" w:name="_Ref216337913"/>
      <w:r w:rsidRPr="00E963DB">
        <w:t>The deferral response accepted all of the previously proposed amendments to the restriction, including:</w:t>
      </w:r>
      <w:bookmarkEnd w:id="128"/>
    </w:p>
    <w:p w14:paraId="18E7874A" w14:textId="77777777" w:rsidR="00E963DB" w:rsidRPr="00E963DB" w:rsidRDefault="00E963DB" w:rsidP="00CD7617">
      <w:pPr>
        <w:numPr>
          <w:ilvl w:val="1"/>
          <w:numId w:val="19"/>
        </w:numPr>
        <w:spacing w:before="120" w:after="120"/>
        <w:ind w:left="1077" w:hanging="357"/>
        <w:rPr>
          <w:rFonts w:asciiTheme="minorHAnsi" w:hAnsiTheme="minorHAnsi"/>
          <w:snapToGrid w:val="0"/>
        </w:rPr>
      </w:pPr>
      <w:r w:rsidRPr="00E963DB">
        <w:rPr>
          <w:rFonts w:asciiTheme="minorHAnsi" w:hAnsiTheme="minorHAnsi"/>
          <w:snapToGrid w:val="0"/>
        </w:rPr>
        <w:t>Amending the maximum quantity to 1 vial, with a Prescriber Instruction stating that the appropriate number of vials required for 4-weeks treatment should be requested;</w:t>
      </w:r>
    </w:p>
    <w:p w14:paraId="053DD763" w14:textId="77777777" w:rsidR="00E963DB" w:rsidRPr="00E963DB" w:rsidRDefault="00E963DB" w:rsidP="00CD7617">
      <w:pPr>
        <w:numPr>
          <w:ilvl w:val="1"/>
          <w:numId w:val="19"/>
        </w:numPr>
        <w:spacing w:before="120" w:after="120"/>
        <w:ind w:left="1077" w:hanging="357"/>
        <w:rPr>
          <w:rFonts w:asciiTheme="minorHAnsi" w:hAnsiTheme="minorHAnsi"/>
          <w:snapToGrid w:val="0"/>
        </w:rPr>
      </w:pPr>
      <w:r w:rsidRPr="00E963DB">
        <w:rPr>
          <w:rFonts w:asciiTheme="minorHAnsi" w:hAnsiTheme="minorHAnsi"/>
          <w:snapToGrid w:val="0"/>
        </w:rPr>
        <w:t>A Prescriber Instruction stating that applicable diagnostic reports must be documented;</w:t>
      </w:r>
    </w:p>
    <w:p w14:paraId="307C989A" w14:textId="77777777" w:rsidR="00E963DB" w:rsidRPr="00E963DB" w:rsidRDefault="00E963DB" w:rsidP="00CD7617">
      <w:pPr>
        <w:numPr>
          <w:ilvl w:val="1"/>
          <w:numId w:val="19"/>
        </w:numPr>
        <w:spacing w:before="120" w:after="120"/>
        <w:ind w:left="1077" w:hanging="357"/>
        <w:rPr>
          <w:rFonts w:asciiTheme="minorHAnsi" w:hAnsiTheme="minorHAnsi"/>
          <w:snapToGrid w:val="0"/>
        </w:rPr>
      </w:pPr>
      <w:r w:rsidRPr="00E963DB">
        <w:rPr>
          <w:rFonts w:asciiTheme="minorHAnsi" w:hAnsiTheme="minorHAnsi"/>
          <w:snapToGrid w:val="0"/>
        </w:rPr>
        <w:t xml:space="preserve">A clinical criterion requiring an alpha-mannosidase activity of &lt; 10% of normal activity in blood leukocytes, to align with the rhLAMAN-05 trial; </w:t>
      </w:r>
    </w:p>
    <w:p w14:paraId="36F72928" w14:textId="77777777" w:rsidR="00E963DB" w:rsidRPr="00E963DB" w:rsidRDefault="00E963DB" w:rsidP="00CD7617">
      <w:pPr>
        <w:numPr>
          <w:ilvl w:val="1"/>
          <w:numId w:val="19"/>
        </w:numPr>
        <w:spacing w:before="120" w:after="120"/>
        <w:ind w:left="1077" w:hanging="357"/>
        <w:rPr>
          <w:rFonts w:asciiTheme="minorHAnsi" w:hAnsiTheme="minorHAnsi"/>
          <w:snapToGrid w:val="0"/>
        </w:rPr>
      </w:pPr>
      <w:r w:rsidRPr="00E963DB">
        <w:rPr>
          <w:rFonts w:asciiTheme="minorHAnsi" w:hAnsiTheme="minorHAnsi"/>
          <w:snapToGrid w:val="0"/>
        </w:rPr>
        <w:t>A stopping rule; and</w:t>
      </w:r>
    </w:p>
    <w:p w14:paraId="42F2BBDF" w14:textId="77777777" w:rsidR="00E963DB" w:rsidRPr="00E963DB" w:rsidRDefault="00E963DB" w:rsidP="00CD7617">
      <w:pPr>
        <w:numPr>
          <w:ilvl w:val="1"/>
          <w:numId w:val="19"/>
        </w:numPr>
        <w:spacing w:before="120" w:after="120"/>
        <w:ind w:left="1077" w:hanging="357"/>
        <w:rPr>
          <w:rFonts w:asciiTheme="minorHAnsi" w:hAnsiTheme="minorHAnsi"/>
          <w:snapToGrid w:val="0"/>
        </w:rPr>
      </w:pPr>
      <w:r w:rsidRPr="00E963DB">
        <w:rPr>
          <w:rFonts w:asciiTheme="minorHAnsi" w:hAnsiTheme="minorHAnsi"/>
          <w:snapToGrid w:val="0"/>
        </w:rPr>
        <w:t>Removal of age requirements (i.e. an age agnostic restriction).</w:t>
      </w:r>
    </w:p>
    <w:p w14:paraId="751E39C4" w14:textId="77777777" w:rsidR="00E963DB" w:rsidRPr="00E963DB" w:rsidRDefault="00E963DB" w:rsidP="0096486D">
      <w:pPr>
        <w:pStyle w:val="3-BodyText"/>
      </w:pPr>
      <w:bookmarkStart w:id="129" w:name="_Ref216338045"/>
      <w:r w:rsidRPr="00E963DB">
        <w:t>The Secretariat proposed removing the criterion ‘The treatment must be the sole PBS subsidised therapy for this condition’ as it may contradict the criterion that states ‘The treatment must be given concomitantly with best supportive care for this condition’.</w:t>
      </w:r>
      <w:bookmarkEnd w:id="129"/>
    </w:p>
    <w:p w14:paraId="239B19A7" w14:textId="77777777" w:rsidR="00E963DB" w:rsidRPr="00E963DB" w:rsidRDefault="00E963DB" w:rsidP="0094444F">
      <w:pPr>
        <w:pStyle w:val="3-BodyText"/>
      </w:pPr>
      <w:bookmarkStart w:id="130" w:name="_Ref216338137"/>
      <w:r w:rsidRPr="00E963DB">
        <w:t xml:space="preserve">The Secretariat also proposed a separate continuing treatment phase which included the stopping rule: ‘Patient must continue to demonstrate clinical benefit’. </w:t>
      </w:r>
      <w:bookmarkEnd w:id="130"/>
    </w:p>
    <w:p w14:paraId="1033E27A" w14:textId="77777777" w:rsidR="00E963DB" w:rsidRPr="00E963DB" w:rsidRDefault="00E963DB" w:rsidP="0044531D">
      <w:pPr>
        <w:pStyle w:val="3-BodyText"/>
      </w:pPr>
      <w:r w:rsidRPr="00E963DB">
        <w:t>Secretariat suggested additions are in italics and deletions are in strikethrough.</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8"/>
        <w:gridCol w:w="494"/>
        <w:gridCol w:w="1702"/>
        <w:gridCol w:w="1275"/>
        <w:gridCol w:w="993"/>
        <w:gridCol w:w="849"/>
        <w:gridCol w:w="707"/>
        <w:gridCol w:w="1562"/>
      </w:tblGrid>
      <w:tr w:rsidR="00E963DB" w:rsidRPr="00E963DB" w14:paraId="58E7C065" w14:textId="77777777" w:rsidTr="0088523E">
        <w:trPr>
          <w:cantSplit/>
          <w:trHeight w:val="471"/>
        </w:trPr>
        <w:tc>
          <w:tcPr>
            <w:tcW w:w="1152" w:type="pct"/>
            <w:gridSpan w:val="2"/>
          </w:tcPr>
          <w:p w14:paraId="31842EC0" w14:textId="77777777" w:rsidR="00E963DB" w:rsidRPr="00E963DB" w:rsidRDefault="00E963DB" w:rsidP="00E963DB">
            <w:pPr>
              <w:keepNext/>
              <w:ind w:left="-57"/>
              <w:rPr>
                <w:rFonts w:ascii="Arial Narrow" w:hAnsi="Arial Narrow"/>
                <w:b/>
                <w:color w:val="000000" w:themeColor="text1"/>
                <w:sz w:val="20"/>
                <w:szCs w:val="20"/>
              </w:rPr>
            </w:pPr>
            <w:bookmarkStart w:id="131" w:name="_Hlk168843778"/>
            <w:r w:rsidRPr="00E963DB">
              <w:rPr>
                <w:rFonts w:ascii="Arial Narrow" w:hAnsi="Arial Narrow"/>
                <w:b/>
                <w:color w:val="000000" w:themeColor="text1"/>
                <w:sz w:val="20"/>
                <w:szCs w:val="20"/>
              </w:rPr>
              <w:t>MEDICINAL PRODUCT</w:t>
            </w:r>
          </w:p>
          <w:p w14:paraId="370239B7" w14:textId="77777777" w:rsidR="00E963DB" w:rsidRPr="00E963DB" w:rsidRDefault="00E963DB" w:rsidP="00E963DB">
            <w:pPr>
              <w:keepNext/>
              <w:ind w:left="-57"/>
              <w:rPr>
                <w:rFonts w:ascii="Arial Narrow" w:hAnsi="Arial Narrow"/>
                <w:b/>
                <w:color w:val="000000" w:themeColor="text1"/>
                <w:sz w:val="20"/>
                <w:szCs w:val="20"/>
              </w:rPr>
            </w:pPr>
            <w:r w:rsidRPr="00E963DB">
              <w:rPr>
                <w:rFonts w:ascii="Arial Narrow" w:hAnsi="Arial Narrow"/>
                <w:b/>
                <w:color w:val="000000" w:themeColor="text1"/>
                <w:sz w:val="20"/>
                <w:szCs w:val="20"/>
              </w:rPr>
              <w:t>medicinal product pack</w:t>
            </w:r>
          </w:p>
        </w:tc>
        <w:tc>
          <w:tcPr>
            <w:tcW w:w="924" w:type="pct"/>
          </w:tcPr>
          <w:p w14:paraId="6B6D03A2" w14:textId="77777777" w:rsidR="00E963DB" w:rsidRPr="00E963DB" w:rsidRDefault="00E963DB" w:rsidP="00E963DB">
            <w:pPr>
              <w:keepNext/>
              <w:ind w:left="-57"/>
              <w:jc w:val="center"/>
              <w:rPr>
                <w:rFonts w:ascii="Arial Narrow" w:hAnsi="Arial Narrow"/>
                <w:b/>
                <w:color w:val="000000" w:themeColor="text1"/>
                <w:sz w:val="20"/>
                <w:szCs w:val="20"/>
              </w:rPr>
            </w:pPr>
            <w:r w:rsidRPr="00E963DB">
              <w:rPr>
                <w:rFonts w:ascii="Arial Narrow" w:hAnsi="Arial Narrow"/>
                <w:b/>
                <w:color w:val="000000" w:themeColor="text1"/>
                <w:sz w:val="20"/>
                <w:szCs w:val="20"/>
              </w:rPr>
              <w:t>DPMQ</w:t>
            </w:r>
          </w:p>
        </w:tc>
        <w:tc>
          <w:tcPr>
            <w:tcW w:w="692" w:type="pct"/>
          </w:tcPr>
          <w:p w14:paraId="50315C1B" w14:textId="77777777" w:rsidR="00E963DB" w:rsidRPr="00E963DB" w:rsidRDefault="00E963DB" w:rsidP="00E963DB">
            <w:pPr>
              <w:keepNext/>
              <w:ind w:left="-57"/>
              <w:jc w:val="center"/>
              <w:rPr>
                <w:rFonts w:ascii="Arial Narrow" w:hAnsi="Arial Narrow"/>
                <w:b/>
                <w:color w:val="000000" w:themeColor="text1"/>
                <w:sz w:val="20"/>
                <w:szCs w:val="20"/>
              </w:rPr>
            </w:pPr>
            <w:r w:rsidRPr="00E963DB">
              <w:rPr>
                <w:rFonts w:ascii="Arial Narrow" w:hAnsi="Arial Narrow"/>
                <w:b/>
                <w:color w:val="000000" w:themeColor="text1"/>
                <w:sz w:val="20"/>
                <w:szCs w:val="20"/>
              </w:rPr>
              <w:t>PBS item code</w:t>
            </w:r>
          </w:p>
        </w:tc>
        <w:tc>
          <w:tcPr>
            <w:tcW w:w="539" w:type="pct"/>
          </w:tcPr>
          <w:p w14:paraId="10A75433" w14:textId="77777777" w:rsidR="00E963DB" w:rsidRPr="00E963DB" w:rsidRDefault="00E963DB" w:rsidP="00E963DB">
            <w:pPr>
              <w:keepNext/>
              <w:ind w:left="-57"/>
              <w:jc w:val="center"/>
              <w:rPr>
                <w:rFonts w:ascii="Arial Narrow" w:hAnsi="Arial Narrow"/>
                <w:b/>
                <w:color w:val="000000" w:themeColor="text1"/>
                <w:sz w:val="20"/>
                <w:szCs w:val="20"/>
              </w:rPr>
            </w:pPr>
            <w:r w:rsidRPr="00E963DB">
              <w:rPr>
                <w:rFonts w:ascii="Arial Narrow" w:hAnsi="Arial Narrow"/>
                <w:b/>
                <w:color w:val="000000" w:themeColor="text1"/>
                <w:sz w:val="20"/>
                <w:szCs w:val="20"/>
              </w:rPr>
              <w:t>Max. qty packs</w:t>
            </w:r>
          </w:p>
        </w:tc>
        <w:tc>
          <w:tcPr>
            <w:tcW w:w="461" w:type="pct"/>
          </w:tcPr>
          <w:p w14:paraId="7E55DA93" w14:textId="77777777" w:rsidR="00E963DB" w:rsidRPr="00E963DB" w:rsidRDefault="00E963DB" w:rsidP="00E963DB">
            <w:pPr>
              <w:keepNext/>
              <w:ind w:left="-57"/>
              <w:jc w:val="center"/>
              <w:rPr>
                <w:rFonts w:ascii="Arial Narrow" w:hAnsi="Arial Narrow"/>
                <w:b/>
                <w:color w:val="000000" w:themeColor="text1"/>
                <w:sz w:val="20"/>
                <w:szCs w:val="20"/>
              </w:rPr>
            </w:pPr>
            <w:r w:rsidRPr="00E963DB">
              <w:rPr>
                <w:rFonts w:ascii="Arial Narrow" w:hAnsi="Arial Narrow"/>
                <w:b/>
                <w:color w:val="000000" w:themeColor="text1"/>
                <w:sz w:val="20"/>
                <w:szCs w:val="20"/>
              </w:rPr>
              <w:t>Max. qty units</w:t>
            </w:r>
          </w:p>
        </w:tc>
        <w:tc>
          <w:tcPr>
            <w:tcW w:w="384" w:type="pct"/>
          </w:tcPr>
          <w:p w14:paraId="3EAF467E" w14:textId="77777777" w:rsidR="00E963DB" w:rsidRPr="00E963DB" w:rsidRDefault="00E963DB" w:rsidP="00E963DB">
            <w:pPr>
              <w:keepNext/>
              <w:ind w:left="-57"/>
              <w:jc w:val="center"/>
              <w:rPr>
                <w:rFonts w:ascii="Arial Narrow" w:hAnsi="Arial Narrow"/>
                <w:b/>
                <w:color w:val="000000" w:themeColor="text1"/>
                <w:sz w:val="20"/>
                <w:szCs w:val="20"/>
              </w:rPr>
            </w:pPr>
            <w:r w:rsidRPr="00E963DB">
              <w:rPr>
                <w:rFonts w:ascii="Arial Narrow" w:hAnsi="Arial Narrow"/>
                <w:b/>
                <w:color w:val="000000" w:themeColor="text1"/>
                <w:sz w:val="20"/>
                <w:szCs w:val="20"/>
              </w:rPr>
              <w:t>№. of</w:t>
            </w:r>
          </w:p>
          <w:p w14:paraId="65302ACF" w14:textId="77777777" w:rsidR="00E963DB" w:rsidRPr="00E963DB" w:rsidRDefault="00E963DB" w:rsidP="00E963DB">
            <w:pPr>
              <w:keepNext/>
              <w:ind w:left="-57"/>
              <w:jc w:val="center"/>
              <w:rPr>
                <w:rFonts w:ascii="Arial Narrow" w:hAnsi="Arial Narrow"/>
                <w:b/>
                <w:color w:val="000000" w:themeColor="text1"/>
                <w:sz w:val="20"/>
                <w:szCs w:val="20"/>
              </w:rPr>
            </w:pPr>
            <w:r w:rsidRPr="00E963DB">
              <w:rPr>
                <w:rFonts w:ascii="Arial Narrow" w:hAnsi="Arial Narrow"/>
                <w:b/>
                <w:color w:val="000000" w:themeColor="text1"/>
                <w:sz w:val="20"/>
                <w:szCs w:val="20"/>
              </w:rPr>
              <w:t>Rpts</w:t>
            </w:r>
          </w:p>
        </w:tc>
        <w:tc>
          <w:tcPr>
            <w:tcW w:w="848" w:type="pct"/>
          </w:tcPr>
          <w:p w14:paraId="03E73BA4" w14:textId="77777777" w:rsidR="00E963DB" w:rsidRPr="00E963DB" w:rsidRDefault="00E963DB" w:rsidP="00E963DB">
            <w:pPr>
              <w:keepNext/>
              <w:ind w:left="-57"/>
              <w:jc w:val="center"/>
              <w:rPr>
                <w:rFonts w:ascii="Arial Narrow" w:hAnsi="Arial Narrow"/>
                <w:b/>
                <w:color w:val="000000" w:themeColor="text1"/>
                <w:sz w:val="20"/>
                <w:szCs w:val="20"/>
                <w:lang w:val="fr-FR"/>
              </w:rPr>
            </w:pPr>
            <w:r w:rsidRPr="00E963DB">
              <w:rPr>
                <w:rFonts w:ascii="Arial Narrow" w:hAnsi="Arial Narrow"/>
                <w:b/>
                <w:color w:val="000000" w:themeColor="text1"/>
                <w:sz w:val="20"/>
                <w:szCs w:val="20"/>
              </w:rPr>
              <w:t>Available brands and manufacturer</w:t>
            </w:r>
          </w:p>
        </w:tc>
      </w:tr>
      <w:tr w:rsidR="00E963DB" w:rsidRPr="00E963DB" w14:paraId="4191E8C7" w14:textId="77777777" w:rsidTr="0088523E">
        <w:trPr>
          <w:cantSplit/>
          <w:trHeight w:val="302"/>
        </w:trPr>
        <w:tc>
          <w:tcPr>
            <w:tcW w:w="5000" w:type="pct"/>
            <w:gridSpan w:val="8"/>
          </w:tcPr>
          <w:p w14:paraId="4DCCB6E9" w14:textId="77777777" w:rsidR="00E963DB" w:rsidRPr="00E963DB" w:rsidRDefault="00E963DB" w:rsidP="00E963DB">
            <w:pPr>
              <w:keepNext/>
              <w:ind w:left="-57"/>
              <w:rPr>
                <w:rFonts w:ascii="Arial Narrow" w:hAnsi="Arial Narrow"/>
                <w:bCs/>
                <w:color w:val="000000" w:themeColor="text1"/>
                <w:sz w:val="20"/>
                <w:szCs w:val="20"/>
              </w:rPr>
            </w:pPr>
            <w:r w:rsidRPr="00E963DB">
              <w:rPr>
                <w:rFonts w:ascii="Arial Narrow" w:hAnsi="Arial Narrow"/>
                <w:bCs/>
                <w:color w:val="000000" w:themeColor="text1"/>
                <w:sz w:val="20"/>
                <w:szCs w:val="20"/>
              </w:rPr>
              <w:t>VELMANASE ALFA</w:t>
            </w:r>
          </w:p>
        </w:tc>
      </w:tr>
      <w:tr w:rsidR="00E963DB" w:rsidRPr="00E963DB" w14:paraId="5BF5448F" w14:textId="77777777" w:rsidTr="0088523E">
        <w:trPr>
          <w:cantSplit/>
          <w:trHeight w:val="419"/>
        </w:trPr>
        <w:tc>
          <w:tcPr>
            <w:tcW w:w="1152" w:type="pct"/>
            <w:gridSpan w:val="2"/>
          </w:tcPr>
          <w:p w14:paraId="159BF5DC" w14:textId="77777777" w:rsidR="00E963DB" w:rsidRPr="00E963DB" w:rsidRDefault="00E963DB" w:rsidP="00E963DB">
            <w:pPr>
              <w:keepNext/>
              <w:ind w:left="-57"/>
              <w:jc w:val="left"/>
              <w:rPr>
                <w:rFonts w:ascii="Arial Narrow" w:hAnsi="Arial Narrow"/>
                <w:bCs/>
                <w:sz w:val="20"/>
                <w:szCs w:val="20"/>
              </w:rPr>
            </w:pPr>
            <w:r w:rsidRPr="00E963DB">
              <w:rPr>
                <w:rFonts w:ascii="Arial Narrow" w:hAnsi="Arial Narrow"/>
                <w:bCs/>
                <w:sz w:val="20"/>
                <w:szCs w:val="20"/>
              </w:rPr>
              <w:t>velmanase alfa 10 mg injection, 1 vial</w:t>
            </w:r>
          </w:p>
          <w:p w14:paraId="1B33AB0D" w14:textId="77777777" w:rsidR="00E963DB" w:rsidRPr="00E963DB" w:rsidRDefault="00E963DB" w:rsidP="00E963DB">
            <w:pPr>
              <w:keepNext/>
              <w:ind w:left="-57"/>
              <w:rPr>
                <w:rFonts w:ascii="Arial Narrow" w:hAnsi="Arial Narrow"/>
                <w:bCs/>
                <w:sz w:val="20"/>
                <w:szCs w:val="20"/>
              </w:rPr>
            </w:pPr>
          </w:p>
        </w:tc>
        <w:tc>
          <w:tcPr>
            <w:tcW w:w="924" w:type="pct"/>
          </w:tcPr>
          <w:p w14:paraId="2835D90E" w14:textId="77777777" w:rsidR="00E963DB" w:rsidRPr="00E963DB" w:rsidRDefault="00E963DB" w:rsidP="00E963DB">
            <w:pPr>
              <w:keepNext/>
              <w:jc w:val="center"/>
              <w:rPr>
                <w:rFonts w:ascii="Arial Narrow" w:hAnsi="Arial Narrow"/>
                <w:bCs/>
                <w:sz w:val="20"/>
                <w:szCs w:val="20"/>
                <w:u w:val="single"/>
              </w:rPr>
            </w:pPr>
            <w:r w:rsidRPr="00E963DB">
              <w:rPr>
                <w:rFonts w:ascii="Arial Narrow" w:hAnsi="Arial Narrow"/>
                <w:bCs/>
                <w:sz w:val="20"/>
                <w:szCs w:val="20"/>
                <w:u w:val="single"/>
              </w:rPr>
              <w:t>Published</w:t>
            </w:r>
          </w:p>
          <w:p w14:paraId="34D4C4EE" w14:textId="2B1BE562"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Public: $</w:t>
            </w:r>
            <w:r w:rsidR="00127C1A" w:rsidRPr="00127C1A">
              <w:rPr>
                <w:rFonts w:ascii="Arial Narrow" w:hAnsi="Arial Narrow"/>
                <w:bCs/>
                <w:sz w:val="4"/>
                <w:szCs w:val="20"/>
                <w:highlight w:val="black"/>
              </w:rPr>
              <w:t>Redacted content</w:t>
            </w:r>
          </w:p>
          <w:p w14:paraId="6193A5F1" w14:textId="54080E45"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Private: $</w:t>
            </w:r>
            <w:r w:rsidR="00127C1A" w:rsidRPr="00127C1A">
              <w:rPr>
                <w:rFonts w:ascii="Arial Narrow" w:hAnsi="Arial Narrow"/>
                <w:bCs/>
                <w:sz w:val="4"/>
                <w:szCs w:val="20"/>
                <w:highlight w:val="black"/>
              </w:rPr>
              <w:t>Redacted content</w:t>
            </w:r>
          </w:p>
          <w:p w14:paraId="7851F354" w14:textId="77777777" w:rsidR="00E963DB" w:rsidRPr="00E963DB" w:rsidRDefault="00E963DB" w:rsidP="00E963DB">
            <w:pPr>
              <w:keepNext/>
              <w:jc w:val="center"/>
              <w:rPr>
                <w:rFonts w:ascii="Arial Narrow" w:hAnsi="Arial Narrow"/>
                <w:bCs/>
                <w:sz w:val="20"/>
                <w:szCs w:val="20"/>
                <w:u w:val="single"/>
              </w:rPr>
            </w:pPr>
            <w:r w:rsidRPr="00E963DB">
              <w:rPr>
                <w:rFonts w:ascii="Arial Narrow" w:hAnsi="Arial Narrow"/>
                <w:bCs/>
                <w:sz w:val="20"/>
                <w:szCs w:val="20"/>
                <w:u w:val="single"/>
              </w:rPr>
              <w:t>Effective</w:t>
            </w:r>
          </w:p>
          <w:p w14:paraId="7AF0C31D" w14:textId="41A46C9E"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Public: $</w:t>
            </w:r>
            <w:r w:rsidR="00127C1A" w:rsidRPr="00127C1A">
              <w:rPr>
                <w:rFonts w:ascii="Arial Narrow" w:hAnsi="Arial Narrow"/>
                <w:bCs/>
                <w:sz w:val="4"/>
                <w:szCs w:val="20"/>
                <w:highlight w:val="black"/>
              </w:rPr>
              <w:t>Redacted content</w:t>
            </w:r>
          </w:p>
          <w:p w14:paraId="017A3B6E" w14:textId="664AE08B"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Private: $</w:t>
            </w:r>
            <w:r w:rsidR="00127C1A" w:rsidRPr="00127C1A">
              <w:rPr>
                <w:rFonts w:ascii="Arial Narrow" w:hAnsi="Arial Narrow"/>
                <w:bCs/>
                <w:sz w:val="4"/>
                <w:szCs w:val="20"/>
                <w:highlight w:val="black"/>
              </w:rPr>
              <w:t>Redacted content</w:t>
            </w:r>
          </w:p>
        </w:tc>
        <w:tc>
          <w:tcPr>
            <w:tcW w:w="692" w:type="pct"/>
          </w:tcPr>
          <w:p w14:paraId="4946A33B" w14:textId="77777777"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 xml:space="preserve">New </w:t>
            </w:r>
            <w:r w:rsidRPr="00E963DB">
              <w:rPr>
                <w:rFonts w:ascii="Arial Narrow" w:hAnsi="Arial Narrow"/>
                <w:bCs/>
                <w:sz w:val="20"/>
                <w:szCs w:val="20"/>
              </w:rPr>
              <w:br/>
              <w:t>(HSD Public)</w:t>
            </w:r>
          </w:p>
          <w:p w14:paraId="35F0F816" w14:textId="77777777"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 xml:space="preserve">New </w:t>
            </w:r>
            <w:r w:rsidRPr="00E963DB">
              <w:rPr>
                <w:rFonts w:ascii="Arial Narrow" w:hAnsi="Arial Narrow"/>
                <w:bCs/>
                <w:sz w:val="20"/>
                <w:szCs w:val="20"/>
              </w:rPr>
              <w:br/>
              <w:t>(HSD Private)</w:t>
            </w:r>
          </w:p>
        </w:tc>
        <w:tc>
          <w:tcPr>
            <w:tcW w:w="539" w:type="pct"/>
          </w:tcPr>
          <w:p w14:paraId="786A2746" w14:textId="77777777" w:rsidR="00E963DB" w:rsidRPr="00E963DB" w:rsidRDefault="00E963DB" w:rsidP="00E963DB">
            <w:pPr>
              <w:keepNext/>
              <w:ind w:left="-57"/>
              <w:jc w:val="center"/>
              <w:rPr>
                <w:rFonts w:ascii="Arial Narrow" w:hAnsi="Arial Narrow"/>
                <w:bCs/>
                <w:sz w:val="20"/>
                <w:szCs w:val="20"/>
              </w:rPr>
            </w:pPr>
            <w:r w:rsidRPr="00E963DB">
              <w:rPr>
                <w:rFonts w:ascii="Arial Narrow" w:hAnsi="Arial Narrow"/>
                <w:bCs/>
                <w:sz w:val="20"/>
                <w:szCs w:val="20"/>
              </w:rPr>
              <w:t>1</w:t>
            </w:r>
          </w:p>
        </w:tc>
        <w:tc>
          <w:tcPr>
            <w:tcW w:w="461" w:type="pct"/>
          </w:tcPr>
          <w:p w14:paraId="1B71ACFB" w14:textId="77777777"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1</w:t>
            </w:r>
          </w:p>
        </w:tc>
        <w:tc>
          <w:tcPr>
            <w:tcW w:w="384" w:type="pct"/>
          </w:tcPr>
          <w:p w14:paraId="7305D918" w14:textId="77777777"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5</w:t>
            </w:r>
          </w:p>
        </w:tc>
        <w:tc>
          <w:tcPr>
            <w:tcW w:w="848" w:type="pct"/>
          </w:tcPr>
          <w:p w14:paraId="42666B99" w14:textId="77777777" w:rsidR="00E963DB" w:rsidRPr="00E963DB" w:rsidRDefault="00E963DB" w:rsidP="00E963DB">
            <w:pPr>
              <w:keepNext/>
              <w:ind w:left="-57"/>
              <w:jc w:val="center"/>
              <w:rPr>
                <w:rFonts w:ascii="Arial Narrow" w:hAnsi="Arial Narrow"/>
                <w:bCs/>
                <w:sz w:val="20"/>
                <w:szCs w:val="20"/>
              </w:rPr>
            </w:pPr>
            <w:r w:rsidRPr="00E963DB">
              <w:rPr>
                <w:rFonts w:ascii="Arial Narrow" w:hAnsi="Arial Narrow"/>
                <w:bCs/>
                <w:sz w:val="20"/>
                <w:szCs w:val="20"/>
              </w:rPr>
              <w:t>Lamzede;</w:t>
            </w:r>
          </w:p>
          <w:p w14:paraId="6E3AAC6A" w14:textId="77777777" w:rsidR="00E963DB" w:rsidRPr="00E963DB" w:rsidRDefault="00E963DB" w:rsidP="00E963DB">
            <w:pPr>
              <w:keepNext/>
              <w:ind w:left="-57"/>
              <w:jc w:val="center"/>
              <w:rPr>
                <w:rFonts w:ascii="Arial Narrow" w:hAnsi="Arial Narrow"/>
                <w:bCs/>
                <w:sz w:val="20"/>
                <w:szCs w:val="20"/>
              </w:rPr>
            </w:pPr>
            <w:r w:rsidRPr="00E963DB">
              <w:rPr>
                <w:rFonts w:ascii="Arial Narrow" w:hAnsi="Arial Narrow"/>
                <w:bCs/>
                <w:sz w:val="20"/>
                <w:szCs w:val="20"/>
              </w:rPr>
              <w:t>Chiesi Australia Pty Ltd</w:t>
            </w:r>
          </w:p>
        </w:tc>
      </w:tr>
      <w:tr w:rsidR="00E963DB" w:rsidRPr="00E963DB" w14:paraId="497BC252" w14:textId="77777777" w:rsidTr="0088523E">
        <w:tblPrEx>
          <w:tblCellMar>
            <w:top w:w="15" w:type="dxa"/>
            <w:left w:w="15" w:type="dxa"/>
            <w:bottom w:w="15" w:type="dxa"/>
            <w:right w:w="15" w:type="dxa"/>
          </w:tblCellMar>
          <w:tblLook w:val="04A0" w:firstRow="1" w:lastRow="0" w:firstColumn="1" w:lastColumn="0" w:noHBand="0" w:noVBand="1"/>
        </w:tblPrEx>
        <w:tc>
          <w:tcPr>
            <w:tcW w:w="884" w:type="pct"/>
            <w:vMerge w:val="restart"/>
            <w:vAlign w:val="center"/>
          </w:tcPr>
          <w:p w14:paraId="6B540B12" w14:textId="77777777" w:rsidR="00E963DB" w:rsidRPr="00E963DB" w:rsidRDefault="00E963DB" w:rsidP="00E963DB">
            <w:pPr>
              <w:jc w:val="left"/>
              <w:rPr>
                <w:rFonts w:ascii="Arial Narrow" w:hAnsi="Arial Narrow"/>
                <w:color w:val="000000" w:themeColor="text1"/>
                <w:sz w:val="20"/>
                <w:szCs w:val="20"/>
                <w:highlight w:val="yellow"/>
              </w:rPr>
            </w:pPr>
            <w:r w:rsidRPr="00E963DB">
              <w:rPr>
                <w:rFonts w:ascii="Arial Narrow" w:hAnsi="Arial Narrow"/>
                <w:color w:val="000000" w:themeColor="text1"/>
                <w:sz w:val="20"/>
                <w:szCs w:val="20"/>
              </w:rPr>
              <w:t>Concept ID</w:t>
            </w:r>
          </w:p>
        </w:tc>
        <w:tc>
          <w:tcPr>
            <w:tcW w:w="4116" w:type="pct"/>
            <w:gridSpan w:val="7"/>
            <w:vAlign w:val="center"/>
          </w:tcPr>
          <w:p w14:paraId="1239ABAD" w14:textId="77777777" w:rsidR="00E963DB" w:rsidRPr="00E963DB" w:rsidRDefault="00E963DB" w:rsidP="00E963DB">
            <w:pPr>
              <w:rPr>
                <w:rFonts w:ascii="Arial Narrow" w:hAnsi="Arial Narrow"/>
                <w:b/>
                <w:bCs/>
                <w:sz w:val="20"/>
                <w:szCs w:val="20"/>
                <w:highlight w:val="yellow"/>
              </w:rPr>
            </w:pPr>
            <w:r w:rsidRPr="00E963DB">
              <w:rPr>
                <w:rFonts w:ascii="Arial Narrow" w:hAnsi="Arial Narrow"/>
                <w:b/>
                <w:bCs/>
                <w:sz w:val="20"/>
                <w:szCs w:val="20"/>
              </w:rPr>
              <w:t>Category / Program:</w:t>
            </w:r>
            <w:r w:rsidRPr="00E963DB">
              <w:rPr>
                <w:rFonts w:ascii="Arial Narrow" w:hAnsi="Arial Narrow"/>
                <w:sz w:val="20"/>
                <w:szCs w:val="20"/>
              </w:rPr>
              <w:t xml:space="preserve"> </w:t>
            </w:r>
            <w:r w:rsidRPr="00E963DB">
              <w:rPr>
                <w:rFonts w:ascii="Arial Narrow" w:hAnsi="Arial Narrow"/>
                <w:sz w:val="20"/>
                <w:szCs w:val="20"/>
              </w:rPr>
              <w:fldChar w:fldCharType="begin">
                <w:ffData>
                  <w:name w:val=""/>
                  <w:enabled/>
                  <w:calcOnExit w:val="0"/>
                  <w:checkBox>
                    <w:sizeAuto/>
                    <w:default w:val="1"/>
                  </w:checkBox>
                </w:ffData>
              </w:fldChar>
            </w:r>
            <w:r w:rsidRPr="00E963DB">
              <w:rPr>
                <w:rFonts w:ascii="Arial Narrow" w:hAnsi="Arial Narrow"/>
                <w:sz w:val="20"/>
                <w:szCs w:val="20"/>
              </w:rPr>
              <w:instrText xml:space="preserve"> FORMCHECKBOX </w:instrText>
            </w:r>
            <w:r w:rsidRPr="00E963DB">
              <w:rPr>
                <w:rFonts w:ascii="Arial Narrow" w:hAnsi="Arial Narrow"/>
                <w:sz w:val="20"/>
                <w:szCs w:val="20"/>
              </w:rPr>
            </w:r>
            <w:r w:rsidRPr="00E963DB">
              <w:rPr>
                <w:rFonts w:ascii="Arial Narrow" w:hAnsi="Arial Narrow"/>
                <w:sz w:val="20"/>
                <w:szCs w:val="20"/>
              </w:rPr>
              <w:fldChar w:fldCharType="separate"/>
            </w:r>
            <w:r w:rsidRPr="00E963DB">
              <w:rPr>
                <w:rFonts w:ascii="Arial Narrow" w:hAnsi="Arial Narrow"/>
                <w:sz w:val="20"/>
                <w:szCs w:val="20"/>
              </w:rPr>
              <w:fldChar w:fldCharType="end"/>
            </w:r>
            <w:r w:rsidRPr="00E963DB">
              <w:rPr>
                <w:rFonts w:ascii="Arial Narrow" w:hAnsi="Arial Narrow"/>
                <w:sz w:val="20"/>
                <w:szCs w:val="20"/>
              </w:rPr>
              <w:t xml:space="preserve"> </w:t>
            </w:r>
            <w:r w:rsidRPr="00E963DB">
              <w:rPr>
                <w:rFonts w:ascii="Arial Narrow" w:eastAsia="Calibri" w:hAnsi="Arial Narrow"/>
                <w:sz w:val="20"/>
                <w:szCs w:val="20"/>
              </w:rPr>
              <w:t>Section 100 – Highly Specialised Drugs Program – Public (Code HB) / Private (Code HS)</w:t>
            </w:r>
          </w:p>
        </w:tc>
      </w:tr>
      <w:tr w:rsidR="00E963DB" w:rsidRPr="00E963DB" w14:paraId="0C665856" w14:textId="77777777" w:rsidTr="0088523E">
        <w:tblPrEx>
          <w:tblCellMar>
            <w:top w:w="15" w:type="dxa"/>
            <w:left w:w="15" w:type="dxa"/>
            <w:bottom w:w="15" w:type="dxa"/>
            <w:right w:w="15" w:type="dxa"/>
          </w:tblCellMar>
          <w:tblLook w:val="04A0" w:firstRow="1" w:lastRow="0" w:firstColumn="1" w:lastColumn="0" w:noHBand="0" w:noVBand="1"/>
        </w:tblPrEx>
        <w:tc>
          <w:tcPr>
            <w:tcW w:w="884" w:type="pct"/>
            <w:vMerge/>
            <w:vAlign w:val="center"/>
          </w:tcPr>
          <w:p w14:paraId="2BDA9FA7" w14:textId="77777777" w:rsidR="00E963DB" w:rsidRPr="00E963DB" w:rsidRDefault="00E963DB" w:rsidP="00E963DB">
            <w:pPr>
              <w:rPr>
                <w:rFonts w:ascii="Arial Narrow" w:hAnsi="Arial Narrow"/>
                <w:b/>
                <w:bCs/>
                <w:color w:val="000000" w:themeColor="text1"/>
                <w:sz w:val="20"/>
                <w:szCs w:val="20"/>
                <w:highlight w:val="yellow"/>
              </w:rPr>
            </w:pPr>
          </w:p>
        </w:tc>
        <w:tc>
          <w:tcPr>
            <w:tcW w:w="4116" w:type="pct"/>
            <w:gridSpan w:val="7"/>
            <w:vAlign w:val="center"/>
          </w:tcPr>
          <w:p w14:paraId="7D2B97AA" w14:textId="77777777" w:rsidR="00E963DB" w:rsidRPr="00E963DB" w:rsidRDefault="00E963DB" w:rsidP="00E963DB">
            <w:pPr>
              <w:rPr>
                <w:rFonts w:ascii="Arial Narrow" w:hAnsi="Arial Narrow"/>
                <w:b/>
                <w:bCs/>
                <w:sz w:val="20"/>
                <w:szCs w:val="20"/>
                <w:highlight w:val="yellow"/>
              </w:rPr>
            </w:pPr>
            <w:r w:rsidRPr="00E963DB">
              <w:rPr>
                <w:rFonts w:ascii="Arial Narrow" w:hAnsi="Arial Narrow"/>
                <w:b/>
                <w:bCs/>
                <w:sz w:val="20"/>
                <w:szCs w:val="20"/>
              </w:rPr>
              <w:t>Prescriber type:</w:t>
            </w:r>
            <w:r w:rsidRPr="00E963DB">
              <w:rPr>
                <w:rFonts w:ascii="Arial Narrow" w:hAnsi="Arial Narrow"/>
                <w:sz w:val="20"/>
                <w:szCs w:val="20"/>
              </w:rPr>
              <w:t xml:space="preserve"> </w:t>
            </w:r>
            <w:r w:rsidRPr="00E963DB">
              <w:rPr>
                <w:rFonts w:ascii="Arial Narrow" w:hAnsi="Arial Narrow"/>
                <w:sz w:val="20"/>
                <w:szCs w:val="20"/>
              </w:rPr>
              <w:fldChar w:fldCharType="begin">
                <w:ffData>
                  <w:name w:val=""/>
                  <w:enabled/>
                  <w:calcOnExit w:val="0"/>
                  <w:checkBox>
                    <w:sizeAuto/>
                    <w:default w:val="1"/>
                  </w:checkBox>
                </w:ffData>
              </w:fldChar>
            </w:r>
            <w:r w:rsidRPr="00E963DB">
              <w:rPr>
                <w:rFonts w:ascii="Arial Narrow" w:hAnsi="Arial Narrow"/>
                <w:sz w:val="20"/>
                <w:szCs w:val="20"/>
              </w:rPr>
              <w:instrText xml:space="preserve"> FORMCHECKBOX </w:instrText>
            </w:r>
            <w:r w:rsidRPr="00E963DB">
              <w:rPr>
                <w:rFonts w:ascii="Arial Narrow" w:hAnsi="Arial Narrow"/>
                <w:sz w:val="20"/>
                <w:szCs w:val="20"/>
              </w:rPr>
            </w:r>
            <w:r w:rsidRPr="00E963DB">
              <w:rPr>
                <w:rFonts w:ascii="Arial Narrow" w:hAnsi="Arial Narrow"/>
                <w:sz w:val="20"/>
                <w:szCs w:val="20"/>
              </w:rPr>
              <w:fldChar w:fldCharType="separate"/>
            </w:r>
            <w:r w:rsidRPr="00E963DB">
              <w:rPr>
                <w:rFonts w:ascii="Arial Narrow" w:hAnsi="Arial Narrow"/>
                <w:sz w:val="20"/>
                <w:szCs w:val="20"/>
              </w:rPr>
              <w:fldChar w:fldCharType="end"/>
            </w:r>
            <w:r w:rsidRPr="00E963DB">
              <w:rPr>
                <w:rFonts w:ascii="Arial Narrow" w:hAnsi="Arial Narrow"/>
                <w:sz w:val="20"/>
                <w:szCs w:val="20"/>
              </w:rPr>
              <w:t xml:space="preserve"> Medical Practitioners</w:t>
            </w:r>
          </w:p>
        </w:tc>
      </w:tr>
      <w:tr w:rsidR="00E963DB" w:rsidRPr="00E963DB" w14:paraId="29B92D88" w14:textId="77777777" w:rsidTr="0088523E">
        <w:tblPrEx>
          <w:tblCellMar>
            <w:top w:w="15" w:type="dxa"/>
            <w:left w:w="15" w:type="dxa"/>
            <w:bottom w:w="15" w:type="dxa"/>
            <w:right w:w="15" w:type="dxa"/>
          </w:tblCellMar>
          <w:tblLook w:val="04A0" w:firstRow="1" w:lastRow="0" w:firstColumn="1" w:lastColumn="0" w:noHBand="0" w:noVBand="1"/>
        </w:tblPrEx>
        <w:tc>
          <w:tcPr>
            <w:tcW w:w="884" w:type="pct"/>
            <w:vMerge/>
            <w:vAlign w:val="center"/>
          </w:tcPr>
          <w:p w14:paraId="4D578D38" w14:textId="77777777" w:rsidR="00E963DB" w:rsidRPr="00E963DB" w:rsidRDefault="00E963DB" w:rsidP="00E963DB">
            <w:pPr>
              <w:rPr>
                <w:rFonts w:ascii="Arial Narrow" w:hAnsi="Arial Narrow"/>
                <w:b/>
                <w:bCs/>
                <w:color w:val="000000" w:themeColor="text1"/>
                <w:sz w:val="20"/>
                <w:szCs w:val="20"/>
                <w:highlight w:val="yellow"/>
              </w:rPr>
            </w:pPr>
          </w:p>
        </w:tc>
        <w:tc>
          <w:tcPr>
            <w:tcW w:w="4116" w:type="pct"/>
            <w:gridSpan w:val="7"/>
          </w:tcPr>
          <w:p w14:paraId="32D17D1A" w14:textId="77777777" w:rsidR="00E963DB" w:rsidRPr="00E963DB" w:rsidRDefault="00E963DB" w:rsidP="00E963DB">
            <w:pPr>
              <w:keepNext/>
              <w:snapToGrid w:val="0"/>
              <w:rPr>
                <w:rFonts w:ascii="Arial Narrow" w:eastAsia="Calibri" w:hAnsi="Arial Narrow"/>
                <w:sz w:val="20"/>
                <w:szCs w:val="20"/>
              </w:rPr>
            </w:pPr>
            <w:r w:rsidRPr="00E963DB">
              <w:rPr>
                <w:rFonts w:ascii="Arial Narrow" w:hAnsi="Arial Narrow"/>
                <w:b/>
                <w:bCs/>
                <w:sz w:val="20"/>
                <w:szCs w:val="20"/>
              </w:rPr>
              <w:t>Benefit type:</w:t>
            </w:r>
            <w:r w:rsidRPr="00E963DB">
              <w:rPr>
                <w:rFonts w:ascii="Arial Narrow" w:hAnsi="Arial Narrow"/>
                <w:sz w:val="20"/>
                <w:szCs w:val="20"/>
              </w:rPr>
              <w:t xml:space="preserve"> </w:t>
            </w:r>
            <w:r w:rsidRPr="00E963DB">
              <w:rPr>
                <w:rFonts w:ascii="Arial Narrow" w:hAnsi="Arial Narrow"/>
                <w:sz w:val="20"/>
                <w:szCs w:val="20"/>
              </w:rPr>
              <w:fldChar w:fldCharType="begin">
                <w:ffData>
                  <w:name w:val=""/>
                  <w:enabled/>
                  <w:calcOnExit w:val="0"/>
                  <w:checkBox>
                    <w:sizeAuto/>
                    <w:default w:val="1"/>
                  </w:checkBox>
                </w:ffData>
              </w:fldChar>
            </w:r>
            <w:r w:rsidRPr="00E963DB">
              <w:rPr>
                <w:rFonts w:ascii="Arial Narrow" w:hAnsi="Arial Narrow"/>
                <w:sz w:val="20"/>
                <w:szCs w:val="20"/>
              </w:rPr>
              <w:instrText xml:space="preserve"> FORMCHECKBOX </w:instrText>
            </w:r>
            <w:r w:rsidRPr="00E963DB">
              <w:rPr>
                <w:rFonts w:ascii="Arial Narrow" w:hAnsi="Arial Narrow"/>
                <w:sz w:val="20"/>
                <w:szCs w:val="20"/>
              </w:rPr>
            </w:r>
            <w:r w:rsidRPr="00E963DB">
              <w:rPr>
                <w:rFonts w:ascii="Arial Narrow" w:hAnsi="Arial Narrow"/>
                <w:sz w:val="20"/>
                <w:szCs w:val="20"/>
              </w:rPr>
              <w:fldChar w:fldCharType="separate"/>
            </w:r>
            <w:r w:rsidRPr="00E963DB">
              <w:rPr>
                <w:rFonts w:ascii="Arial Narrow" w:hAnsi="Arial Narrow"/>
                <w:sz w:val="20"/>
                <w:szCs w:val="20"/>
              </w:rPr>
              <w:fldChar w:fldCharType="end"/>
            </w:r>
            <w:r w:rsidRPr="00E963DB">
              <w:rPr>
                <w:rFonts w:ascii="Arial Narrow" w:hAnsi="Arial Narrow"/>
                <w:sz w:val="20"/>
                <w:szCs w:val="20"/>
              </w:rPr>
              <w:t xml:space="preserve"> </w:t>
            </w:r>
            <w:r w:rsidRPr="00E963DB">
              <w:rPr>
                <w:rFonts w:ascii="Arial Narrow" w:eastAsia="Calibri" w:hAnsi="Arial Narrow"/>
                <w:sz w:val="20"/>
                <w:szCs w:val="20"/>
              </w:rPr>
              <w:t>Authority Required (FULL assessment) in writing only via</w:t>
            </w:r>
            <w:r w:rsidRPr="00E963DB">
              <w:rPr>
                <w:rFonts w:ascii="Arial Narrow" w:eastAsia="Calibri" w:hAnsi="Arial Narrow"/>
                <w:i/>
                <w:iCs/>
                <w:sz w:val="20"/>
                <w:szCs w:val="20"/>
              </w:rPr>
              <w:t xml:space="preserve"> OPA</w:t>
            </w:r>
            <w:r w:rsidRPr="00E963DB">
              <w:rPr>
                <w:rFonts w:ascii="Arial Narrow" w:eastAsia="Calibri" w:hAnsi="Arial Narrow"/>
                <w:sz w:val="20"/>
                <w:szCs w:val="20"/>
              </w:rPr>
              <w:t xml:space="preserve">/post/HPOS upload) </w:t>
            </w:r>
          </w:p>
        </w:tc>
      </w:tr>
      <w:tr w:rsidR="00E963DB" w:rsidRPr="00E963DB" w14:paraId="554CFB38" w14:textId="77777777" w:rsidTr="0088523E">
        <w:tblPrEx>
          <w:tblCellMar>
            <w:top w:w="15" w:type="dxa"/>
            <w:left w:w="15" w:type="dxa"/>
            <w:bottom w:w="15" w:type="dxa"/>
            <w:right w:w="15" w:type="dxa"/>
          </w:tblCellMar>
          <w:tblLook w:val="04A0" w:firstRow="1" w:lastRow="0" w:firstColumn="1" w:lastColumn="0" w:noHBand="0" w:noVBand="1"/>
        </w:tblPrEx>
        <w:tc>
          <w:tcPr>
            <w:tcW w:w="884" w:type="pct"/>
            <w:vMerge/>
            <w:vAlign w:val="center"/>
          </w:tcPr>
          <w:p w14:paraId="40148124" w14:textId="77777777" w:rsidR="00E963DB" w:rsidRPr="00E963DB" w:rsidRDefault="00E963DB" w:rsidP="00E963DB">
            <w:pPr>
              <w:rPr>
                <w:rFonts w:ascii="Arial Narrow" w:hAnsi="Arial Narrow"/>
                <w:b/>
                <w:bCs/>
                <w:color w:val="000000" w:themeColor="text1"/>
                <w:sz w:val="20"/>
                <w:szCs w:val="20"/>
                <w:highlight w:val="yellow"/>
              </w:rPr>
            </w:pPr>
          </w:p>
        </w:tc>
        <w:tc>
          <w:tcPr>
            <w:tcW w:w="4116" w:type="pct"/>
            <w:gridSpan w:val="7"/>
            <w:vAlign w:val="center"/>
          </w:tcPr>
          <w:p w14:paraId="6DAB0789" w14:textId="77777777" w:rsidR="00E963DB" w:rsidRPr="00E963DB" w:rsidRDefault="00E963DB" w:rsidP="00E963DB">
            <w:pPr>
              <w:rPr>
                <w:rFonts w:ascii="Arial Narrow" w:hAnsi="Arial Narrow"/>
                <w:b/>
                <w:bCs/>
                <w:sz w:val="20"/>
                <w:szCs w:val="20"/>
                <w:highlight w:val="yellow"/>
              </w:rPr>
            </w:pPr>
            <w:r w:rsidRPr="00E963DB">
              <w:rPr>
                <w:rFonts w:ascii="Arial Narrow" w:hAnsi="Arial Narrow"/>
                <w:b/>
                <w:bCs/>
                <w:sz w:val="20"/>
                <w:szCs w:val="20"/>
              </w:rPr>
              <w:t>Authority type:</w:t>
            </w:r>
            <w:r w:rsidRPr="00E963DB">
              <w:rPr>
                <w:rFonts w:ascii="Arial Narrow" w:hAnsi="Arial Narrow"/>
                <w:sz w:val="20"/>
                <w:szCs w:val="20"/>
              </w:rPr>
              <w:t xml:space="preserve"> </w:t>
            </w:r>
            <w:r w:rsidRPr="00E963DB">
              <w:rPr>
                <w:rFonts w:ascii="Arial Narrow" w:hAnsi="Arial Narrow"/>
                <w:sz w:val="20"/>
                <w:szCs w:val="20"/>
              </w:rPr>
              <w:fldChar w:fldCharType="begin">
                <w:ffData>
                  <w:name w:val=""/>
                  <w:enabled/>
                  <w:calcOnExit w:val="0"/>
                  <w:checkBox>
                    <w:sizeAuto/>
                    <w:default w:val="1"/>
                  </w:checkBox>
                </w:ffData>
              </w:fldChar>
            </w:r>
            <w:r w:rsidRPr="00E963DB">
              <w:rPr>
                <w:rFonts w:ascii="Arial Narrow" w:hAnsi="Arial Narrow"/>
                <w:sz w:val="20"/>
                <w:szCs w:val="20"/>
              </w:rPr>
              <w:instrText xml:space="preserve"> FORMCHECKBOX </w:instrText>
            </w:r>
            <w:r w:rsidRPr="00E963DB">
              <w:rPr>
                <w:rFonts w:ascii="Arial Narrow" w:hAnsi="Arial Narrow"/>
                <w:sz w:val="20"/>
                <w:szCs w:val="20"/>
              </w:rPr>
            </w:r>
            <w:r w:rsidRPr="00E963DB">
              <w:rPr>
                <w:rFonts w:ascii="Arial Narrow" w:hAnsi="Arial Narrow"/>
                <w:sz w:val="20"/>
                <w:szCs w:val="20"/>
              </w:rPr>
              <w:fldChar w:fldCharType="separate"/>
            </w:r>
            <w:r w:rsidRPr="00E963DB">
              <w:rPr>
                <w:rFonts w:ascii="Arial Narrow" w:hAnsi="Arial Narrow"/>
                <w:sz w:val="20"/>
                <w:szCs w:val="20"/>
              </w:rPr>
              <w:fldChar w:fldCharType="end"/>
            </w:r>
            <w:r w:rsidRPr="00E963DB">
              <w:rPr>
                <w:rFonts w:ascii="Arial Narrow" w:hAnsi="Arial Narrow"/>
                <w:sz w:val="20"/>
                <w:szCs w:val="20"/>
              </w:rPr>
              <w:t xml:space="preserve"> </w:t>
            </w:r>
            <w:r w:rsidRPr="00E963DB">
              <w:rPr>
                <w:rFonts w:ascii="Arial Narrow" w:eastAsia="Calibri" w:hAnsi="Arial Narrow"/>
                <w:sz w:val="20"/>
                <w:szCs w:val="20"/>
              </w:rPr>
              <w:t>Complex Authority Required (CAR)</w:t>
            </w:r>
          </w:p>
        </w:tc>
      </w:tr>
      <w:tr w:rsidR="00E963DB" w:rsidRPr="00E963DB" w14:paraId="4DC9A5F8" w14:textId="77777777" w:rsidTr="0088523E">
        <w:tblPrEx>
          <w:tblCellMar>
            <w:top w:w="15" w:type="dxa"/>
            <w:left w:w="15" w:type="dxa"/>
            <w:bottom w:w="15" w:type="dxa"/>
            <w:right w:w="15" w:type="dxa"/>
          </w:tblCellMar>
          <w:tblLook w:val="04A0" w:firstRow="1" w:lastRow="0" w:firstColumn="1" w:lastColumn="0" w:noHBand="0" w:noVBand="1"/>
        </w:tblPrEx>
        <w:trPr>
          <w:trHeight w:val="80"/>
        </w:trPr>
        <w:tc>
          <w:tcPr>
            <w:tcW w:w="884" w:type="pct"/>
            <w:vAlign w:val="center"/>
          </w:tcPr>
          <w:p w14:paraId="054E7547" w14:textId="77777777" w:rsidR="00E963DB" w:rsidRPr="00E963DB" w:rsidRDefault="00E963DB" w:rsidP="00E963DB">
            <w:pPr>
              <w:jc w:val="center"/>
              <w:rPr>
                <w:rFonts w:ascii="Arial Narrow" w:hAnsi="Arial Narrow"/>
                <w:color w:val="000000" w:themeColor="text1"/>
                <w:sz w:val="20"/>
                <w:szCs w:val="20"/>
                <w:highlight w:val="yellow"/>
              </w:rPr>
            </w:pPr>
            <w:r w:rsidRPr="00E963DB">
              <w:rPr>
                <w:rFonts w:ascii="Arial Narrow" w:hAnsi="Arial Narrow"/>
                <w:color w:val="000000" w:themeColor="text1"/>
                <w:sz w:val="20"/>
                <w:szCs w:val="20"/>
              </w:rPr>
              <w:t>7607</w:t>
            </w:r>
          </w:p>
        </w:tc>
        <w:tc>
          <w:tcPr>
            <w:tcW w:w="4116" w:type="pct"/>
            <w:gridSpan w:val="7"/>
            <w:vAlign w:val="center"/>
          </w:tcPr>
          <w:p w14:paraId="2DF5E7C8" w14:textId="77777777" w:rsidR="00E963DB" w:rsidRPr="00E963DB" w:rsidRDefault="00E963DB" w:rsidP="00E963DB">
            <w:pPr>
              <w:rPr>
                <w:rFonts w:ascii="Arial Narrow" w:hAnsi="Arial Narrow"/>
                <w:b/>
                <w:bCs/>
                <w:i/>
                <w:iCs/>
                <w:sz w:val="20"/>
                <w:szCs w:val="20"/>
              </w:rPr>
            </w:pPr>
            <w:r w:rsidRPr="00E963DB">
              <w:rPr>
                <w:rFonts w:ascii="Arial Narrow" w:hAnsi="Arial Narrow"/>
                <w:b/>
                <w:bCs/>
                <w:i/>
                <w:iCs/>
                <w:sz w:val="20"/>
                <w:szCs w:val="20"/>
              </w:rPr>
              <w:t xml:space="preserve">Administrative Advice: </w:t>
            </w:r>
            <w:r w:rsidRPr="00E963DB">
              <w:rPr>
                <w:rFonts w:ascii="Arial Narrow" w:hAnsi="Arial Narrow"/>
                <w:i/>
                <w:iCs/>
                <w:sz w:val="20"/>
                <w:szCs w:val="20"/>
              </w:rPr>
              <w:t>No increase in the maximum number of repeats may be authorised.</w:t>
            </w:r>
          </w:p>
        </w:tc>
      </w:tr>
      <w:tr w:rsidR="00E963DB" w:rsidRPr="00E963DB" w14:paraId="0F3BC76A"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4BF0EB6B" w14:textId="77777777" w:rsidR="00E963DB" w:rsidRPr="00E963DB" w:rsidRDefault="00E963DB" w:rsidP="00E963DB">
            <w:pPr>
              <w:jc w:val="center"/>
              <w:rPr>
                <w:rFonts w:ascii="Arial Narrow" w:hAnsi="Arial Narrow"/>
                <w:color w:val="000000" w:themeColor="text1"/>
                <w:sz w:val="20"/>
                <w:szCs w:val="20"/>
                <w:highlight w:val="yellow"/>
              </w:rPr>
            </w:pPr>
            <w:r w:rsidRPr="00E963DB">
              <w:rPr>
                <w:rFonts w:ascii="Arial Narrow" w:hAnsi="Arial Narrow"/>
                <w:color w:val="000000" w:themeColor="text1"/>
                <w:sz w:val="20"/>
                <w:szCs w:val="20"/>
              </w:rPr>
              <w:t>7608</w:t>
            </w:r>
          </w:p>
        </w:tc>
        <w:tc>
          <w:tcPr>
            <w:tcW w:w="4116" w:type="pct"/>
            <w:gridSpan w:val="7"/>
            <w:vAlign w:val="center"/>
          </w:tcPr>
          <w:p w14:paraId="748436EB"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 xml:space="preserve">Administrative Advice: </w:t>
            </w:r>
            <w:r w:rsidRPr="00E963DB">
              <w:rPr>
                <w:rFonts w:ascii="Arial Narrow" w:hAnsi="Arial Narrow"/>
                <w:sz w:val="20"/>
                <w:szCs w:val="20"/>
              </w:rPr>
              <w:t>Special Pricing Arrangements apply.</w:t>
            </w:r>
          </w:p>
        </w:tc>
      </w:tr>
      <w:tr w:rsidR="00E963DB" w:rsidRPr="00E963DB" w14:paraId="0CB42EF3" w14:textId="77777777" w:rsidTr="0088523E">
        <w:tblPrEx>
          <w:tblCellMar>
            <w:top w:w="15" w:type="dxa"/>
            <w:left w:w="15" w:type="dxa"/>
            <w:bottom w:w="15" w:type="dxa"/>
            <w:right w:w="15" w:type="dxa"/>
          </w:tblCellMar>
          <w:tblLook w:val="04A0" w:firstRow="1" w:lastRow="0" w:firstColumn="1" w:lastColumn="0" w:noHBand="0" w:noVBand="1"/>
        </w:tblPrEx>
        <w:tc>
          <w:tcPr>
            <w:tcW w:w="884" w:type="pct"/>
          </w:tcPr>
          <w:p w14:paraId="035DF2AC" w14:textId="77777777" w:rsidR="00E963DB" w:rsidRPr="00E963DB" w:rsidRDefault="00E963DB" w:rsidP="00E963DB">
            <w:pPr>
              <w:jc w:val="center"/>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33720</w:t>
            </w:r>
          </w:p>
          <w:p w14:paraId="463356B3" w14:textId="77777777" w:rsidR="00E963DB" w:rsidRPr="00E963DB" w:rsidRDefault="00E963DB" w:rsidP="00E963DB">
            <w:pPr>
              <w:jc w:val="center"/>
              <w:rPr>
                <w:rFonts w:ascii="Arial Narrow" w:hAnsi="Arial Narrow"/>
                <w:sz w:val="20"/>
                <w:szCs w:val="20"/>
              </w:rPr>
            </w:pPr>
            <w:r w:rsidRPr="00E963DB">
              <w:rPr>
                <w:rFonts w:ascii="Arial Narrow" w:eastAsia="Calibri" w:hAnsi="Arial Narrow" w:cs="Calibri"/>
                <w:noProof/>
                <w:color w:val="000000" w:themeColor="text1"/>
                <w:sz w:val="20"/>
                <w:szCs w:val="20"/>
                <w:lang w:eastAsia="en-US"/>
              </w:rPr>
              <w:drawing>
                <wp:inline distT="0" distB="0" distL="0" distR="0" wp14:anchorId="699374E3" wp14:editId="58F814F6">
                  <wp:extent cx="371475" cy="180975"/>
                  <wp:effectExtent l="0" t="0" r="9525" b="9525"/>
                  <wp:docPr id="200247522" name="Picture 1" descr="DHS Complex Assessmen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Complex Assessment Requi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c>
        <w:tc>
          <w:tcPr>
            <w:tcW w:w="4116" w:type="pct"/>
            <w:gridSpan w:val="7"/>
            <w:vAlign w:val="center"/>
          </w:tcPr>
          <w:p w14:paraId="3A91DCEE" w14:textId="77777777" w:rsidR="00E963DB" w:rsidRPr="00E963DB" w:rsidRDefault="00E963DB" w:rsidP="00E963DB">
            <w:pPr>
              <w:keepLines/>
              <w:jc w:val="left"/>
              <w:rPr>
                <w:rFonts w:ascii="Arial Narrow" w:hAnsi="Arial Narrow"/>
                <w:b/>
                <w:bCs/>
                <w:color w:val="000000" w:themeColor="text1"/>
                <w:sz w:val="20"/>
                <w:szCs w:val="20"/>
              </w:rPr>
            </w:pPr>
            <w:r w:rsidRPr="00E963DB">
              <w:rPr>
                <w:rFonts w:ascii="Arial Narrow" w:hAnsi="Arial Narrow"/>
                <w:b/>
                <w:bCs/>
                <w:color w:val="000000" w:themeColor="text1"/>
                <w:sz w:val="20"/>
                <w:szCs w:val="20"/>
              </w:rPr>
              <w:t>Administrative Advice:</w:t>
            </w:r>
          </w:p>
          <w:p w14:paraId="08D57061"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Any queries concerning the arrangements to prescribe may be directed to Services Australia on 1800 700 270 (hours of operation 8 a.m. to 5 p.m. Monday to Friday).</w:t>
            </w:r>
          </w:p>
          <w:p w14:paraId="7F44EB83" w14:textId="77777777" w:rsidR="00E963DB" w:rsidRPr="00E963DB" w:rsidRDefault="00E963DB" w:rsidP="00E963DB">
            <w:pPr>
              <w:keepLines/>
              <w:jc w:val="left"/>
              <w:rPr>
                <w:rFonts w:ascii="Arial Narrow" w:eastAsia="Calibri" w:hAnsi="Arial Narrow"/>
                <w:color w:val="000000" w:themeColor="text1"/>
                <w:sz w:val="20"/>
                <w:szCs w:val="20"/>
                <w:lang w:eastAsia="en-US"/>
              </w:rPr>
            </w:pPr>
          </w:p>
          <w:p w14:paraId="120BFC3A"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 xml:space="preserve">Prescribing information (including Authority Application forms and other relevant documentation as applicable) is available on the Services Australia website at </w:t>
            </w:r>
            <w:hyperlink r:id="rId14" w:tgtFrame="_blank" w:tooltip="https://www.servicesaustralia.gov.au/" w:history="1">
              <w:r w:rsidRPr="00E963DB">
                <w:rPr>
                  <w:rFonts w:ascii="Arial Narrow" w:eastAsia="Calibri" w:hAnsi="Arial Narrow"/>
                  <w:color w:val="000000" w:themeColor="text1"/>
                  <w:sz w:val="20"/>
                  <w:szCs w:val="20"/>
                  <w:u w:val="single"/>
                  <w:lang w:eastAsia="en-US"/>
                </w:rPr>
                <w:t>www.servicesaustralia.gov.au</w:t>
              </w:r>
            </w:hyperlink>
          </w:p>
          <w:p w14:paraId="70D7E574" w14:textId="77777777" w:rsidR="00E963DB" w:rsidRPr="00E963DB" w:rsidRDefault="00E963DB" w:rsidP="00E963DB">
            <w:pPr>
              <w:keepLines/>
              <w:jc w:val="left"/>
              <w:rPr>
                <w:rFonts w:ascii="Arial Narrow" w:eastAsia="Calibri" w:hAnsi="Arial Narrow"/>
                <w:color w:val="000000" w:themeColor="text1"/>
                <w:sz w:val="20"/>
                <w:szCs w:val="20"/>
                <w:lang w:eastAsia="en-US"/>
              </w:rPr>
            </w:pPr>
          </w:p>
          <w:p w14:paraId="258A8FAC"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 xml:space="preserve">Applications for authorisation under this restriction should be made using the Online PBS Authorities system (see </w:t>
            </w:r>
            <w:hyperlink r:id="rId15" w:tgtFrame="_blank" w:tooltip="https://www.servicesaustralia.gov.au/hpos)" w:history="1">
              <w:r w:rsidRPr="00E963DB">
                <w:rPr>
                  <w:rFonts w:ascii="Arial Narrow" w:eastAsia="Calibri" w:hAnsi="Arial Narrow"/>
                  <w:color w:val="000000" w:themeColor="text1"/>
                  <w:sz w:val="20"/>
                  <w:szCs w:val="20"/>
                  <w:u w:val="single"/>
                  <w:lang w:eastAsia="en-US"/>
                </w:rPr>
                <w:t>www.servicesaustralia.gov.au/hpos)</w:t>
              </w:r>
            </w:hyperlink>
          </w:p>
          <w:p w14:paraId="4FB68F20" w14:textId="77777777" w:rsidR="00E963DB" w:rsidRPr="00E963DB" w:rsidRDefault="00E963DB" w:rsidP="00E963DB">
            <w:pPr>
              <w:keepLines/>
              <w:jc w:val="left"/>
              <w:rPr>
                <w:rFonts w:ascii="Arial Narrow" w:eastAsia="Calibri" w:hAnsi="Arial Narrow"/>
                <w:color w:val="000000" w:themeColor="text1"/>
                <w:sz w:val="20"/>
                <w:szCs w:val="20"/>
                <w:lang w:eastAsia="en-US"/>
              </w:rPr>
            </w:pPr>
          </w:p>
          <w:p w14:paraId="299DB011"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 xml:space="preserve">Alternatively applications for authority to prescribe can be submitted online using the form upload facility in Health Professional Online Services (HPOS) at </w:t>
            </w:r>
            <w:hyperlink r:id="rId16" w:tgtFrame="_blank" w:tooltip="https://www.servicesaustralia.gov.au/hpos" w:history="1">
              <w:r w:rsidRPr="00E963DB">
                <w:rPr>
                  <w:rFonts w:ascii="Arial Narrow" w:eastAsia="Calibri" w:hAnsi="Arial Narrow"/>
                  <w:color w:val="000000" w:themeColor="text1"/>
                  <w:sz w:val="20"/>
                  <w:szCs w:val="20"/>
                  <w:u w:val="single"/>
                  <w:lang w:eastAsia="en-US"/>
                </w:rPr>
                <w:t>www.servicesaustralia.gov.au/hpos</w:t>
              </w:r>
            </w:hyperlink>
          </w:p>
          <w:p w14:paraId="2178562B" w14:textId="77777777" w:rsidR="00E963DB" w:rsidRPr="00E963DB" w:rsidRDefault="00E963DB" w:rsidP="00E963DB">
            <w:pPr>
              <w:keepLines/>
              <w:jc w:val="left"/>
              <w:rPr>
                <w:rFonts w:ascii="Arial Narrow" w:eastAsia="Calibri" w:hAnsi="Arial Narrow"/>
                <w:color w:val="000000" w:themeColor="text1"/>
                <w:sz w:val="20"/>
                <w:szCs w:val="20"/>
                <w:lang w:eastAsia="en-US"/>
              </w:rPr>
            </w:pPr>
          </w:p>
          <w:p w14:paraId="208E68DE"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Or mailed to:</w:t>
            </w:r>
          </w:p>
          <w:p w14:paraId="1259DDCD"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Services Australia</w:t>
            </w:r>
          </w:p>
          <w:p w14:paraId="1C9EAA16"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Complex Drugs</w:t>
            </w:r>
          </w:p>
          <w:p w14:paraId="0DEFD2B4" w14:textId="77777777" w:rsidR="00E963DB" w:rsidRPr="00E963DB" w:rsidRDefault="00E963DB" w:rsidP="00E963DB">
            <w:pPr>
              <w:jc w:val="left"/>
              <w:rPr>
                <w:rFonts w:ascii="Arial Narrow" w:eastAsia="Calibri" w:hAnsi="Arial Narrow"/>
                <w:sz w:val="20"/>
                <w:szCs w:val="20"/>
                <w:lang w:eastAsia="en-US"/>
              </w:rPr>
            </w:pPr>
            <w:r w:rsidRPr="00E963DB">
              <w:rPr>
                <w:rFonts w:ascii="Arial Narrow" w:eastAsia="Calibri" w:hAnsi="Arial Narrow"/>
                <w:sz w:val="20"/>
                <w:szCs w:val="20"/>
                <w:lang w:eastAsia="en-US"/>
              </w:rPr>
              <w:t>Reply Paid 9826</w:t>
            </w:r>
          </w:p>
          <w:p w14:paraId="44730C85" w14:textId="77777777" w:rsidR="00E963DB" w:rsidRPr="00E963DB" w:rsidRDefault="00E963DB" w:rsidP="00E963DB">
            <w:pPr>
              <w:rPr>
                <w:rFonts w:ascii="Arial Narrow" w:hAnsi="Arial Narrow"/>
                <w:b/>
                <w:bCs/>
                <w:sz w:val="20"/>
                <w:szCs w:val="20"/>
              </w:rPr>
            </w:pPr>
            <w:r w:rsidRPr="00E963DB">
              <w:rPr>
                <w:rFonts w:ascii="Arial Narrow" w:hAnsi="Arial Narrow"/>
                <w:sz w:val="20"/>
                <w:szCs w:val="20"/>
              </w:rPr>
              <w:t>HOBART TAS 7001</w:t>
            </w:r>
          </w:p>
        </w:tc>
      </w:tr>
      <w:tr w:rsidR="00E963DB" w:rsidRPr="00E963DB" w14:paraId="176A088A" w14:textId="77777777" w:rsidTr="0088523E">
        <w:tblPrEx>
          <w:tblCellMar>
            <w:top w:w="15" w:type="dxa"/>
            <w:left w:w="15" w:type="dxa"/>
            <w:bottom w:w="15" w:type="dxa"/>
            <w:right w:w="15" w:type="dxa"/>
          </w:tblCellMar>
          <w:tblLook w:val="04A0" w:firstRow="1" w:lastRow="0" w:firstColumn="1" w:lastColumn="0" w:noHBand="0" w:noVBand="1"/>
        </w:tblPrEx>
        <w:tc>
          <w:tcPr>
            <w:tcW w:w="5000" w:type="pct"/>
            <w:gridSpan w:val="8"/>
          </w:tcPr>
          <w:p w14:paraId="7779D194" w14:textId="77777777" w:rsidR="00E963DB" w:rsidRPr="00E963DB" w:rsidRDefault="00E963DB" w:rsidP="00E963DB">
            <w:pPr>
              <w:rPr>
                <w:rFonts w:ascii="Arial Narrow" w:hAnsi="Arial Narrow"/>
                <w:b/>
                <w:bCs/>
                <w:sz w:val="20"/>
                <w:szCs w:val="20"/>
              </w:rPr>
            </w:pPr>
            <w:r w:rsidRPr="00E963DB">
              <w:rPr>
                <w:rFonts w:ascii="Arial Narrow" w:hAnsi="Arial Narrow"/>
                <w:b/>
                <w:sz w:val="20"/>
                <w:szCs w:val="20"/>
              </w:rPr>
              <w:t>Restriction Summary [new1] / Treatment of Concept: [new1A]</w:t>
            </w:r>
          </w:p>
        </w:tc>
      </w:tr>
      <w:tr w:rsidR="00E963DB" w:rsidRPr="00E963DB" w14:paraId="4DAADA74"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59D64DA7" w14:textId="77777777" w:rsidR="00E963DB" w:rsidRPr="00E963DB" w:rsidRDefault="00E963DB" w:rsidP="00E963DB">
            <w:pPr>
              <w:jc w:val="center"/>
              <w:rPr>
                <w:rFonts w:ascii="Arial Narrow" w:hAnsi="Arial Narrow"/>
                <w:color w:val="000000" w:themeColor="text1"/>
                <w:sz w:val="20"/>
                <w:szCs w:val="20"/>
              </w:rPr>
            </w:pPr>
          </w:p>
        </w:tc>
        <w:tc>
          <w:tcPr>
            <w:tcW w:w="4116" w:type="pct"/>
            <w:gridSpan w:val="7"/>
            <w:vAlign w:val="center"/>
          </w:tcPr>
          <w:p w14:paraId="0D6DF05D"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 xml:space="preserve">Episodicity: </w:t>
            </w:r>
            <w:r w:rsidRPr="00E963DB">
              <w:rPr>
                <w:rFonts w:ascii="Arial Narrow" w:hAnsi="Arial Narrow"/>
                <w:sz w:val="20"/>
                <w:szCs w:val="20"/>
              </w:rPr>
              <w:t xml:space="preserve">[blank] </w:t>
            </w:r>
          </w:p>
        </w:tc>
      </w:tr>
      <w:tr w:rsidR="00E963DB" w:rsidRPr="00E963DB" w14:paraId="5066C760"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2E8B7699" w14:textId="77777777" w:rsidR="00E963DB" w:rsidRPr="00E963DB" w:rsidRDefault="00E963DB" w:rsidP="00E963DB">
            <w:pPr>
              <w:jc w:val="center"/>
              <w:rPr>
                <w:rFonts w:ascii="Arial Narrow" w:hAnsi="Arial Narrow"/>
                <w:color w:val="000000" w:themeColor="text1"/>
                <w:sz w:val="20"/>
                <w:szCs w:val="20"/>
              </w:rPr>
            </w:pPr>
          </w:p>
        </w:tc>
        <w:tc>
          <w:tcPr>
            <w:tcW w:w="4116" w:type="pct"/>
            <w:gridSpan w:val="7"/>
            <w:vAlign w:val="center"/>
          </w:tcPr>
          <w:p w14:paraId="375198FC"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 xml:space="preserve">Severity: </w:t>
            </w:r>
            <w:r w:rsidRPr="00E963DB">
              <w:rPr>
                <w:rFonts w:ascii="Arial Narrow" w:hAnsi="Arial Narrow"/>
                <w:sz w:val="20"/>
                <w:szCs w:val="20"/>
              </w:rPr>
              <w:t>[blank]</w:t>
            </w:r>
            <w:r w:rsidRPr="00E963DB">
              <w:rPr>
                <w:rFonts w:ascii="Arial Narrow" w:hAnsi="Arial Narrow"/>
                <w:b/>
                <w:bCs/>
                <w:sz w:val="20"/>
                <w:szCs w:val="20"/>
              </w:rPr>
              <w:t xml:space="preserve"> </w:t>
            </w:r>
          </w:p>
        </w:tc>
      </w:tr>
      <w:tr w:rsidR="00E963DB" w:rsidRPr="00E963DB" w14:paraId="5ABF289D"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11FB80D3" w14:textId="77777777" w:rsidR="00E963DB" w:rsidRPr="00E963DB" w:rsidRDefault="00E963DB" w:rsidP="00E963DB">
            <w:pPr>
              <w:jc w:val="center"/>
              <w:rPr>
                <w:rFonts w:ascii="Arial Narrow" w:hAnsi="Arial Narrow"/>
                <w:color w:val="000000" w:themeColor="text1"/>
                <w:sz w:val="20"/>
                <w:szCs w:val="20"/>
              </w:rPr>
            </w:pPr>
          </w:p>
        </w:tc>
        <w:tc>
          <w:tcPr>
            <w:tcW w:w="4116" w:type="pct"/>
            <w:gridSpan w:val="7"/>
            <w:vAlign w:val="center"/>
          </w:tcPr>
          <w:p w14:paraId="7889D50C"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 xml:space="preserve">Condition: </w:t>
            </w:r>
            <w:r w:rsidRPr="00E963DB">
              <w:rPr>
                <w:rFonts w:ascii="Arial Narrow" w:hAnsi="Arial Narrow"/>
                <w:sz w:val="20"/>
                <w:szCs w:val="20"/>
              </w:rPr>
              <w:t>Alpha</w:t>
            </w:r>
            <w:r w:rsidRPr="00E963DB">
              <w:rPr>
                <w:rFonts w:ascii="Arial Narrow" w:hAnsi="Arial Narrow"/>
                <w:sz w:val="20"/>
                <w:szCs w:val="20"/>
              </w:rPr>
              <w:noBreakHyphen/>
              <w:t xml:space="preserve"> mannosidosis (AM)</w:t>
            </w:r>
          </w:p>
        </w:tc>
      </w:tr>
      <w:tr w:rsidR="00E963DB" w:rsidRPr="00E963DB" w14:paraId="59CB5BEB"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hideMark/>
          </w:tcPr>
          <w:p w14:paraId="72860798"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I</w:t>
            </w:r>
          </w:p>
        </w:tc>
        <w:tc>
          <w:tcPr>
            <w:tcW w:w="4116" w:type="pct"/>
            <w:gridSpan w:val="7"/>
            <w:vAlign w:val="center"/>
            <w:hideMark/>
          </w:tcPr>
          <w:p w14:paraId="1ADE3607" w14:textId="77777777" w:rsidR="00E963DB" w:rsidRPr="00E963DB" w:rsidRDefault="00E963DB" w:rsidP="00E963DB">
            <w:pPr>
              <w:rPr>
                <w:rFonts w:ascii="Arial Narrow" w:hAnsi="Arial Narrow"/>
                <w:sz w:val="20"/>
                <w:szCs w:val="20"/>
              </w:rPr>
            </w:pPr>
            <w:r w:rsidRPr="00E963DB">
              <w:rPr>
                <w:rFonts w:ascii="Arial Narrow" w:hAnsi="Arial Narrow"/>
                <w:b/>
                <w:bCs/>
                <w:sz w:val="20"/>
                <w:szCs w:val="20"/>
              </w:rPr>
              <w:t>Indication:</w:t>
            </w:r>
            <w:r w:rsidRPr="00E963DB">
              <w:rPr>
                <w:rFonts w:ascii="Arial Narrow" w:hAnsi="Arial Narrow"/>
                <w:sz w:val="20"/>
                <w:szCs w:val="20"/>
              </w:rPr>
              <w:t xml:space="preserve"> </w:t>
            </w:r>
            <w:r w:rsidRPr="00E963DB">
              <w:rPr>
                <w:rFonts w:ascii="Arial Narrow" w:eastAsia="Calibri" w:hAnsi="Arial Narrow"/>
                <w:sz w:val="20"/>
                <w:szCs w:val="20"/>
              </w:rPr>
              <w:t>Alpha-mannosidosis (AM)</w:t>
            </w:r>
          </w:p>
        </w:tc>
      </w:tr>
      <w:tr w:rsidR="00E963DB" w:rsidRPr="00E963DB" w14:paraId="56603405"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69923B1B" w14:textId="77777777" w:rsidR="00E963DB" w:rsidRPr="00E963DB" w:rsidRDefault="00E963DB" w:rsidP="00E963DB">
            <w:pPr>
              <w:jc w:val="center"/>
              <w:rPr>
                <w:rFonts w:ascii="Arial Narrow" w:hAnsi="Arial Narrow"/>
                <w:color w:val="000000" w:themeColor="text1"/>
                <w:sz w:val="20"/>
                <w:szCs w:val="20"/>
              </w:rPr>
            </w:pPr>
          </w:p>
        </w:tc>
        <w:tc>
          <w:tcPr>
            <w:tcW w:w="4116" w:type="pct"/>
            <w:gridSpan w:val="7"/>
            <w:vAlign w:val="center"/>
          </w:tcPr>
          <w:p w14:paraId="29F27ADD" w14:textId="77777777" w:rsidR="00E963DB" w:rsidRPr="00E963DB" w:rsidRDefault="00E963DB" w:rsidP="00E963DB">
            <w:pPr>
              <w:rPr>
                <w:rFonts w:ascii="Arial Narrow" w:hAnsi="Arial Narrow"/>
                <w:b/>
                <w:bCs/>
                <w:i/>
                <w:iCs/>
                <w:sz w:val="20"/>
                <w:szCs w:val="20"/>
              </w:rPr>
            </w:pPr>
            <w:r w:rsidRPr="00E963DB">
              <w:rPr>
                <w:rFonts w:ascii="Arial Narrow" w:hAnsi="Arial Narrow"/>
                <w:b/>
                <w:bCs/>
                <w:i/>
                <w:iCs/>
                <w:sz w:val="20"/>
                <w:szCs w:val="20"/>
              </w:rPr>
              <w:t xml:space="preserve">Treatment Phase: </w:t>
            </w:r>
            <w:r w:rsidRPr="00E963DB">
              <w:rPr>
                <w:rFonts w:ascii="Arial Narrow" w:hAnsi="Arial Narrow"/>
                <w:i/>
                <w:iCs/>
                <w:sz w:val="20"/>
                <w:szCs w:val="20"/>
              </w:rPr>
              <w:t>Initial treatment</w:t>
            </w:r>
          </w:p>
        </w:tc>
      </w:tr>
      <w:tr w:rsidR="00E963DB" w:rsidRPr="00E963DB" w14:paraId="0B67426A"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43B88573"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CC</w:t>
            </w:r>
          </w:p>
        </w:tc>
        <w:tc>
          <w:tcPr>
            <w:tcW w:w="4116" w:type="pct"/>
            <w:gridSpan w:val="7"/>
            <w:vAlign w:val="center"/>
          </w:tcPr>
          <w:p w14:paraId="18E45A42"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Clinical criteria:</w:t>
            </w:r>
          </w:p>
        </w:tc>
      </w:tr>
      <w:tr w:rsidR="00E963DB" w:rsidRPr="00E963DB" w14:paraId="052AD7CF"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136B84F9"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CC</w:t>
            </w:r>
          </w:p>
        </w:tc>
        <w:tc>
          <w:tcPr>
            <w:tcW w:w="4116" w:type="pct"/>
            <w:gridSpan w:val="7"/>
            <w:vAlign w:val="center"/>
          </w:tcPr>
          <w:p w14:paraId="1ED8FB3B" w14:textId="77777777" w:rsidR="00E963DB" w:rsidRPr="00E963DB" w:rsidRDefault="00E963DB" w:rsidP="00E963DB">
            <w:pPr>
              <w:rPr>
                <w:rFonts w:ascii="Arial Narrow" w:hAnsi="Arial Narrow"/>
                <w:b/>
                <w:bCs/>
                <w:sz w:val="20"/>
                <w:szCs w:val="20"/>
              </w:rPr>
            </w:pPr>
            <w:r w:rsidRPr="00E963DB">
              <w:rPr>
                <w:rFonts w:ascii="Arial Narrow" w:eastAsia="Calibri" w:hAnsi="Arial Narrow"/>
                <w:strike/>
                <w:sz w:val="20"/>
                <w:szCs w:val="20"/>
              </w:rPr>
              <w:t>Patient must have a confirmed diagnosis of alpha-mannosidosis</w:t>
            </w:r>
            <w:r w:rsidRPr="00E963DB">
              <w:rPr>
                <w:rFonts w:ascii="Arial Narrow" w:eastAsia="Calibri" w:hAnsi="Arial Narrow"/>
                <w:sz w:val="20"/>
                <w:szCs w:val="20"/>
              </w:rPr>
              <w:t xml:space="preserve"> </w:t>
            </w:r>
            <w:r w:rsidRPr="00E963DB">
              <w:rPr>
                <w:rFonts w:ascii="Arial Narrow" w:eastAsia="Calibri" w:hAnsi="Arial Narrow"/>
                <w:i/>
                <w:iCs/>
                <w:sz w:val="20"/>
                <w:szCs w:val="20"/>
              </w:rPr>
              <w:t>The condition must have been</w:t>
            </w:r>
            <w:r w:rsidRPr="00E963DB">
              <w:rPr>
                <w:rFonts w:ascii="Arial Narrow" w:eastAsia="Calibri" w:hAnsi="Arial Narrow"/>
                <w:sz w:val="20"/>
                <w:szCs w:val="20"/>
              </w:rPr>
              <w:t xml:space="preserve"> diagnosed by leukocyte-based assay.</w:t>
            </w:r>
            <w:r w:rsidRPr="00E963DB">
              <w:rPr>
                <w:rFonts w:ascii="Arial Narrow" w:hAnsi="Arial Narrow"/>
                <w:bCs/>
                <w:sz w:val="20"/>
                <w:szCs w:val="20"/>
              </w:rPr>
              <w:t xml:space="preserve"> </w:t>
            </w:r>
          </w:p>
        </w:tc>
      </w:tr>
      <w:tr w:rsidR="00E963DB" w:rsidRPr="00E963DB" w14:paraId="1C3CE60F"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57A5DDB7" w14:textId="77777777" w:rsidR="00E963DB" w:rsidRPr="00E963DB" w:rsidRDefault="00E963DB" w:rsidP="00E963DB">
            <w:pPr>
              <w:jc w:val="center"/>
              <w:rPr>
                <w:rFonts w:ascii="Arial Narrow" w:hAnsi="Arial Narrow"/>
                <w:color w:val="000000" w:themeColor="text1"/>
                <w:sz w:val="20"/>
                <w:szCs w:val="20"/>
              </w:rPr>
            </w:pPr>
          </w:p>
        </w:tc>
        <w:tc>
          <w:tcPr>
            <w:tcW w:w="4116" w:type="pct"/>
            <w:gridSpan w:val="7"/>
            <w:vAlign w:val="center"/>
          </w:tcPr>
          <w:p w14:paraId="11379431"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AND</w:t>
            </w:r>
          </w:p>
        </w:tc>
      </w:tr>
      <w:tr w:rsidR="00E963DB" w:rsidRPr="00E963DB" w14:paraId="7B70FDA0"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67528126"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CC</w:t>
            </w:r>
          </w:p>
        </w:tc>
        <w:tc>
          <w:tcPr>
            <w:tcW w:w="4116" w:type="pct"/>
            <w:gridSpan w:val="7"/>
            <w:vAlign w:val="center"/>
          </w:tcPr>
          <w:p w14:paraId="63317561"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Clinical criteria:</w:t>
            </w:r>
          </w:p>
        </w:tc>
      </w:tr>
      <w:tr w:rsidR="00E963DB" w:rsidRPr="00E963DB" w14:paraId="42B70501"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38BED8D7"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CC</w:t>
            </w:r>
          </w:p>
        </w:tc>
        <w:tc>
          <w:tcPr>
            <w:tcW w:w="4116" w:type="pct"/>
            <w:gridSpan w:val="7"/>
            <w:vAlign w:val="center"/>
            <w:hideMark/>
          </w:tcPr>
          <w:p w14:paraId="0C91715F"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 xml:space="preserve">The condition must </w:t>
            </w:r>
            <w:r w:rsidRPr="00E963DB">
              <w:rPr>
                <w:rFonts w:ascii="Arial Narrow" w:eastAsia="Calibri" w:hAnsi="Arial Narrow"/>
                <w:strike/>
                <w:sz w:val="20"/>
                <w:szCs w:val="20"/>
              </w:rPr>
              <w:t>be confirmed by</w:t>
            </w:r>
            <w:r w:rsidRPr="00E963DB">
              <w:rPr>
                <w:rFonts w:ascii="Arial Narrow" w:eastAsia="Calibri" w:hAnsi="Arial Narrow"/>
                <w:sz w:val="20"/>
                <w:szCs w:val="20"/>
              </w:rPr>
              <w:t xml:space="preserve"> </w:t>
            </w:r>
            <w:r w:rsidRPr="00E963DB">
              <w:rPr>
                <w:rFonts w:ascii="Arial Narrow" w:eastAsia="Calibri" w:hAnsi="Arial Narrow"/>
                <w:i/>
                <w:iCs/>
                <w:sz w:val="20"/>
                <w:szCs w:val="20"/>
              </w:rPr>
              <w:t>have been confirmed by the presence of</w:t>
            </w:r>
            <w:r w:rsidRPr="00E963DB">
              <w:rPr>
                <w:rFonts w:ascii="Arial Narrow" w:eastAsia="Calibri" w:hAnsi="Arial Narrow"/>
                <w:sz w:val="20"/>
                <w:szCs w:val="20"/>
              </w:rPr>
              <w:t xml:space="preserve"> alpha-mannosidase activity </w:t>
            </w:r>
            <w:r w:rsidRPr="00E963DB">
              <w:rPr>
                <w:rFonts w:ascii="Arial Narrow" w:eastAsia="Calibri" w:hAnsi="Arial Narrow"/>
                <w:i/>
                <w:iCs/>
                <w:sz w:val="20"/>
                <w:szCs w:val="20"/>
              </w:rPr>
              <w:t>of less than</w:t>
            </w:r>
            <w:r w:rsidRPr="00E963DB">
              <w:rPr>
                <w:rFonts w:ascii="Arial Narrow" w:eastAsia="Calibri" w:hAnsi="Arial Narrow"/>
                <w:sz w:val="20"/>
                <w:szCs w:val="20"/>
              </w:rPr>
              <w:t xml:space="preserve"> </w:t>
            </w:r>
            <w:r w:rsidRPr="00E963DB">
              <w:rPr>
                <w:rFonts w:ascii="Arial Narrow" w:eastAsia="Calibri" w:hAnsi="Arial Narrow"/>
                <w:strike/>
                <w:sz w:val="20"/>
                <w:szCs w:val="20"/>
              </w:rPr>
              <w:t xml:space="preserve">&lt; </w:t>
            </w:r>
            <w:r w:rsidRPr="00E963DB">
              <w:rPr>
                <w:rFonts w:ascii="Arial Narrow" w:eastAsia="Calibri" w:hAnsi="Arial Narrow"/>
                <w:sz w:val="20"/>
                <w:szCs w:val="20"/>
              </w:rPr>
              <w:t>10% of normal activity in blood leukocytes.</w:t>
            </w:r>
          </w:p>
        </w:tc>
      </w:tr>
      <w:tr w:rsidR="00E963DB" w:rsidRPr="00E963DB" w14:paraId="5AD25A3D"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0247D9C0" w14:textId="77777777" w:rsidR="00E963DB" w:rsidRPr="00E963DB" w:rsidRDefault="00E963DB" w:rsidP="00E963DB">
            <w:pPr>
              <w:jc w:val="center"/>
              <w:rPr>
                <w:rFonts w:ascii="Arial Narrow" w:hAnsi="Arial Narrow"/>
                <w:color w:val="000000" w:themeColor="text1"/>
                <w:sz w:val="20"/>
                <w:szCs w:val="20"/>
              </w:rPr>
            </w:pPr>
          </w:p>
        </w:tc>
        <w:tc>
          <w:tcPr>
            <w:tcW w:w="4116" w:type="pct"/>
            <w:gridSpan w:val="7"/>
            <w:vAlign w:val="center"/>
          </w:tcPr>
          <w:p w14:paraId="19793AD2" w14:textId="77777777" w:rsidR="00E963DB" w:rsidRPr="00E963DB" w:rsidRDefault="00E963DB" w:rsidP="00E963DB">
            <w:pPr>
              <w:rPr>
                <w:rFonts w:ascii="Arial Narrow" w:hAnsi="Arial Narrow"/>
                <w:sz w:val="20"/>
                <w:szCs w:val="20"/>
              </w:rPr>
            </w:pPr>
            <w:r w:rsidRPr="00E963DB">
              <w:rPr>
                <w:rFonts w:ascii="Arial Narrow" w:hAnsi="Arial Narrow"/>
                <w:b/>
                <w:bCs/>
                <w:sz w:val="20"/>
                <w:szCs w:val="20"/>
              </w:rPr>
              <w:t>AND</w:t>
            </w:r>
          </w:p>
        </w:tc>
      </w:tr>
      <w:tr w:rsidR="00E963DB" w:rsidRPr="00E963DB" w14:paraId="18CD99EA"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52DCBFBC"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CC</w:t>
            </w:r>
          </w:p>
        </w:tc>
        <w:tc>
          <w:tcPr>
            <w:tcW w:w="4116" w:type="pct"/>
            <w:gridSpan w:val="7"/>
            <w:vAlign w:val="center"/>
          </w:tcPr>
          <w:p w14:paraId="79B46683"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Clinical criteria:</w:t>
            </w:r>
          </w:p>
        </w:tc>
      </w:tr>
      <w:tr w:rsidR="00E963DB" w:rsidRPr="00E963DB" w14:paraId="17143140"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22967642"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CC</w:t>
            </w:r>
          </w:p>
        </w:tc>
        <w:tc>
          <w:tcPr>
            <w:tcW w:w="4116" w:type="pct"/>
            <w:gridSpan w:val="7"/>
            <w:vAlign w:val="center"/>
          </w:tcPr>
          <w:p w14:paraId="01438A10" w14:textId="77777777" w:rsidR="00E963DB" w:rsidRPr="00E963DB" w:rsidRDefault="00E963DB" w:rsidP="00E963DB">
            <w:pPr>
              <w:rPr>
                <w:rFonts w:ascii="Arial Narrow" w:hAnsi="Arial Narrow"/>
                <w:sz w:val="20"/>
                <w:szCs w:val="20"/>
              </w:rPr>
            </w:pPr>
            <w:r w:rsidRPr="00E963DB">
              <w:rPr>
                <w:rFonts w:ascii="Arial Narrow" w:eastAsia="Calibri" w:hAnsi="Arial Narrow"/>
                <w:sz w:val="20"/>
                <w:szCs w:val="20"/>
              </w:rPr>
              <w:t>Patient must have non-neurological manifestations of alpha mannosidosis.</w:t>
            </w:r>
          </w:p>
        </w:tc>
      </w:tr>
      <w:tr w:rsidR="00E963DB" w:rsidRPr="00E963DB" w14:paraId="35A97523"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7CB228E2" w14:textId="77777777" w:rsidR="00E963DB" w:rsidRPr="00E963DB" w:rsidRDefault="00E963DB" w:rsidP="00E963DB">
            <w:pPr>
              <w:jc w:val="center"/>
              <w:rPr>
                <w:rFonts w:ascii="Arial Narrow" w:hAnsi="Arial Narrow"/>
                <w:color w:val="000000" w:themeColor="text1"/>
                <w:sz w:val="20"/>
                <w:szCs w:val="20"/>
              </w:rPr>
            </w:pPr>
          </w:p>
        </w:tc>
        <w:tc>
          <w:tcPr>
            <w:tcW w:w="4116" w:type="pct"/>
            <w:gridSpan w:val="7"/>
            <w:vAlign w:val="center"/>
          </w:tcPr>
          <w:p w14:paraId="59D75A20"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AND</w:t>
            </w:r>
          </w:p>
        </w:tc>
      </w:tr>
      <w:tr w:rsidR="00E963DB" w:rsidRPr="00E963DB" w14:paraId="73F1F938"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40FF8EB1"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27604</w:t>
            </w:r>
          </w:p>
        </w:tc>
        <w:tc>
          <w:tcPr>
            <w:tcW w:w="4116" w:type="pct"/>
            <w:gridSpan w:val="7"/>
            <w:vAlign w:val="center"/>
          </w:tcPr>
          <w:p w14:paraId="2711E103"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Clinical criteria:</w:t>
            </w:r>
          </w:p>
        </w:tc>
      </w:tr>
      <w:tr w:rsidR="00E963DB" w:rsidRPr="00E963DB" w14:paraId="295C5FE7"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24F2BDF9"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27603</w:t>
            </w:r>
          </w:p>
        </w:tc>
        <w:tc>
          <w:tcPr>
            <w:tcW w:w="4116" w:type="pct"/>
            <w:gridSpan w:val="7"/>
            <w:vAlign w:val="center"/>
          </w:tcPr>
          <w:p w14:paraId="0F6ED134"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The treatment must be given concomitantly with best supportive care for this condition.</w:t>
            </w:r>
          </w:p>
        </w:tc>
      </w:tr>
      <w:tr w:rsidR="00E963DB" w:rsidRPr="00E963DB" w14:paraId="46BAD56A"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57D7FA9B" w14:textId="77777777" w:rsidR="00E963DB" w:rsidRPr="00E963DB" w:rsidRDefault="00E963DB" w:rsidP="00E963DB">
            <w:pPr>
              <w:jc w:val="center"/>
              <w:rPr>
                <w:rFonts w:ascii="Arial Narrow" w:hAnsi="Arial Narrow"/>
                <w:strike/>
                <w:color w:val="000000" w:themeColor="text1"/>
                <w:sz w:val="20"/>
                <w:szCs w:val="20"/>
              </w:rPr>
            </w:pPr>
          </w:p>
        </w:tc>
        <w:tc>
          <w:tcPr>
            <w:tcW w:w="4116" w:type="pct"/>
            <w:gridSpan w:val="7"/>
            <w:vAlign w:val="center"/>
            <w:hideMark/>
          </w:tcPr>
          <w:p w14:paraId="13B5F669" w14:textId="77777777" w:rsidR="00E963DB" w:rsidRPr="00E963DB" w:rsidRDefault="00E963DB" w:rsidP="00E963DB">
            <w:pPr>
              <w:rPr>
                <w:rFonts w:ascii="Arial Narrow" w:hAnsi="Arial Narrow"/>
                <w:b/>
                <w:bCs/>
                <w:strike/>
                <w:sz w:val="20"/>
                <w:szCs w:val="20"/>
              </w:rPr>
            </w:pPr>
            <w:r w:rsidRPr="00E963DB">
              <w:rPr>
                <w:rFonts w:ascii="Arial Narrow" w:hAnsi="Arial Narrow"/>
                <w:b/>
                <w:bCs/>
                <w:strike/>
                <w:sz w:val="20"/>
                <w:szCs w:val="20"/>
              </w:rPr>
              <w:t>AND</w:t>
            </w:r>
          </w:p>
        </w:tc>
      </w:tr>
      <w:tr w:rsidR="00E963DB" w:rsidRPr="00E963DB" w14:paraId="6D850CCA"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089A10FD" w14:textId="77777777" w:rsidR="00E963DB" w:rsidRPr="00E963DB" w:rsidRDefault="00E963DB" w:rsidP="00E963DB">
            <w:pPr>
              <w:jc w:val="center"/>
              <w:rPr>
                <w:rFonts w:ascii="Arial Narrow" w:hAnsi="Arial Narrow"/>
                <w:strike/>
                <w:color w:val="000000" w:themeColor="text1"/>
                <w:sz w:val="20"/>
                <w:szCs w:val="20"/>
              </w:rPr>
            </w:pPr>
            <w:r w:rsidRPr="00E963DB">
              <w:rPr>
                <w:rFonts w:ascii="Arial Narrow" w:hAnsi="Arial Narrow"/>
                <w:strike/>
                <w:color w:val="000000" w:themeColor="text1"/>
                <w:sz w:val="20"/>
                <w:szCs w:val="20"/>
              </w:rPr>
              <w:t>7890</w:t>
            </w:r>
          </w:p>
        </w:tc>
        <w:tc>
          <w:tcPr>
            <w:tcW w:w="4116" w:type="pct"/>
            <w:gridSpan w:val="7"/>
            <w:vAlign w:val="center"/>
          </w:tcPr>
          <w:p w14:paraId="198A6658" w14:textId="77777777" w:rsidR="00E963DB" w:rsidRPr="00E963DB" w:rsidRDefault="00E963DB" w:rsidP="00E963DB">
            <w:pPr>
              <w:rPr>
                <w:rFonts w:ascii="Arial Narrow" w:hAnsi="Arial Narrow"/>
                <w:b/>
                <w:bCs/>
                <w:strike/>
                <w:sz w:val="20"/>
                <w:szCs w:val="20"/>
              </w:rPr>
            </w:pPr>
            <w:r w:rsidRPr="00E963DB">
              <w:rPr>
                <w:rFonts w:ascii="Arial Narrow" w:hAnsi="Arial Narrow"/>
                <w:b/>
                <w:bCs/>
                <w:strike/>
                <w:sz w:val="20"/>
                <w:szCs w:val="20"/>
              </w:rPr>
              <w:t>Clinical criteria:</w:t>
            </w:r>
          </w:p>
        </w:tc>
      </w:tr>
      <w:tr w:rsidR="00E963DB" w:rsidRPr="00E963DB" w14:paraId="632E3CB5"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2448A4E2" w14:textId="77777777" w:rsidR="00E963DB" w:rsidRPr="00E963DB" w:rsidRDefault="00E963DB" w:rsidP="00E963DB">
            <w:pPr>
              <w:jc w:val="center"/>
              <w:rPr>
                <w:rFonts w:ascii="Arial Narrow" w:hAnsi="Arial Narrow"/>
                <w:strike/>
                <w:color w:val="000000" w:themeColor="text1"/>
                <w:sz w:val="20"/>
                <w:szCs w:val="20"/>
              </w:rPr>
            </w:pPr>
            <w:r w:rsidRPr="00E963DB">
              <w:rPr>
                <w:rFonts w:ascii="Arial Narrow" w:hAnsi="Arial Narrow"/>
                <w:strike/>
                <w:color w:val="000000" w:themeColor="text1"/>
                <w:sz w:val="20"/>
                <w:szCs w:val="20"/>
              </w:rPr>
              <w:t>7889</w:t>
            </w:r>
          </w:p>
        </w:tc>
        <w:tc>
          <w:tcPr>
            <w:tcW w:w="4116" w:type="pct"/>
            <w:gridSpan w:val="7"/>
            <w:vAlign w:val="center"/>
            <w:hideMark/>
          </w:tcPr>
          <w:p w14:paraId="11EA438D" w14:textId="77777777" w:rsidR="00E963DB" w:rsidRPr="00E963DB" w:rsidRDefault="00E963DB" w:rsidP="00E963DB">
            <w:pPr>
              <w:rPr>
                <w:rFonts w:ascii="Arial Narrow" w:eastAsia="Calibri" w:hAnsi="Arial Narrow"/>
                <w:strike/>
                <w:sz w:val="20"/>
                <w:szCs w:val="20"/>
              </w:rPr>
            </w:pPr>
            <w:r w:rsidRPr="00E963DB">
              <w:rPr>
                <w:rFonts w:ascii="Arial Narrow" w:eastAsia="Calibri" w:hAnsi="Arial Narrow"/>
                <w:strike/>
                <w:sz w:val="20"/>
                <w:szCs w:val="20"/>
              </w:rPr>
              <w:t>The treatment must be the sole PBS-subsidised therapy for this condition.</w:t>
            </w:r>
          </w:p>
        </w:tc>
      </w:tr>
      <w:tr w:rsidR="00E963DB" w:rsidRPr="00E963DB" w14:paraId="2D6C0C20"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7FDBC657" w14:textId="77777777" w:rsidR="00E963DB" w:rsidRPr="00E963DB" w:rsidRDefault="00E963DB" w:rsidP="00E963DB">
            <w:pPr>
              <w:jc w:val="center"/>
              <w:rPr>
                <w:rFonts w:ascii="Arial Narrow" w:hAnsi="Arial Narrow"/>
                <w:strike/>
                <w:color w:val="000000" w:themeColor="text1"/>
                <w:sz w:val="20"/>
                <w:szCs w:val="20"/>
              </w:rPr>
            </w:pPr>
          </w:p>
        </w:tc>
        <w:tc>
          <w:tcPr>
            <w:tcW w:w="4116" w:type="pct"/>
            <w:gridSpan w:val="7"/>
            <w:vAlign w:val="center"/>
          </w:tcPr>
          <w:p w14:paraId="2D54E899" w14:textId="77777777" w:rsidR="00E963DB" w:rsidRPr="00E963DB" w:rsidRDefault="00E963DB" w:rsidP="00E963DB">
            <w:pPr>
              <w:rPr>
                <w:rFonts w:ascii="Arial Narrow" w:hAnsi="Arial Narrow"/>
                <w:strike/>
                <w:sz w:val="20"/>
                <w:szCs w:val="20"/>
              </w:rPr>
            </w:pPr>
            <w:r w:rsidRPr="00E963DB">
              <w:rPr>
                <w:rFonts w:ascii="Arial Narrow" w:hAnsi="Arial Narrow"/>
                <w:b/>
                <w:bCs/>
                <w:strike/>
                <w:sz w:val="20"/>
                <w:szCs w:val="20"/>
              </w:rPr>
              <w:t>AND</w:t>
            </w:r>
          </w:p>
        </w:tc>
      </w:tr>
      <w:tr w:rsidR="00E963DB" w:rsidRPr="00E963DB" w14:paraId="5A3C1FC9"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2519F999" w14:textId="77777777" w:rsidR="00E963DB" w:rsidRPr="00E963DB" w:rsidRDefault="00E963DB" w:rsidP="00E963DB">
            <w:pPr>
              <w:jc w:val="center"/>
              <w:rPr>
                <w:rFonts w:ascii="Arial Narrow" w:hAnsi="Arial Narrow"/>
                <w:i/>
                <w:iCs/>
                <w:strike/>
                <w:color w:val="000000" w:themeColor="text1"/>
                <w:sz w:val="20"/>
                <w:szCs w:val="20"/>
              </w:rPr>
            </w:pPr>
            <w:r w:rsidRPr="00E963DB">
              <w:rPr>
                <w:rFonts w:ascii="Arial Narrow" w:hAnsi="Arial Narrow"/>
                <w:i/>
                <w:iCs/>
                <w:strike/>
                <w:color w:val="000000" w:themeColor="text1"/>
                <w:sz w:val="20"/>
                <w:szCs w:val="20"/>
              </w:rPr>
              <w:t>New CC</w:t>
            </w:r>
          </w:p>
        </w:tc>
        <w:tc>
          <w:tcPr>
            <w:tcW w:w="4116" w:type="pct"/>
            <w:gridSpan w:val="7"/>
            <w:vAlign w:val="center"/>
          </w:tcPr>
          <w:p w14:paraId="7089317B" w14:textId="77777777" w:rsidR="00E963DB" w:rsidRPr="00E963DB" w:rsidRDefault="00E963DB" w:rsidP="00E963DB">
            <w:pPr>
              <w:rPr>
                <w:rFonts w:ascii="Arial Narrow" w:eastAsia="Calibri" w:hAnsi="Arial Narrow"/>
                <w:b/>
                <w:bCs/>
                <w:i/>
                <w:iCs/>
                <w:strike/>
                <w:sz w:val="20"/>
                <w:szCs w:val="20"/>
              </w:rPr>
            </w:pPr>
            <w:r w:rsidRPr="00E963DB">
              <w:rPr>
                <w:rFonts w:ascii="Arial Narrow" w:eastAsia="Calibri" w:hAnsi="Arial Narrow"/>
                <w:b/>
                <w:bCs/>
                <w:i/>
                <w:iCs/>
                <w:strike/>
                <w:sz w:val="20"/>
                <w:szCs w:val="20"/>
              </w:rPr>
              <w:t>Clinical criteria:</w:t>
            </w:r>
          </w:p>
        </w:tc>
      </w:tr>
      <w:tr w:rsidR="00E963DB" w:rsidRPr="00E963DB" w14:paraId="537342FF"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4F9C55A2" w14:textId="77777777" w:rsidR="00E963DB" w:rsidRPr="00E963DB" w:rsidRDefault="00E963DB" w:rsidP="00E963DB">
            <w:pPr>
              <w:jc w:val="center"/>
              <w:rPr>
                <w:rFonts w:ascii="Arial Narrow" w:hAnsi="Arial Narrow"/>
                <w:i/>
                <w:iCs/>
                <w:strike/>
                <w:color w:val="000000" w:themeColor="text1"/>
                <w:sz w:val="20"/>
                <w:szCs w:val="20"/>
              </w:rPr>
            </w:pPr>
            <w:r w:rsidRPr="00E963DB">
              <w:rPr>
                <w:rFonts w:ascii="Arial Narrow" w:hAnsi="Arial Narrow"/>
                <w:i/>
                <w:iCs/>
                <w:strike/>
                <w:color w:val="000000" w:themeColor="text1"/>
                <w:sz w:val="20"/>
                <w:szCs w:val="20"/>
              </w:rPr>
              <w:t>New CC</w:t>
            </w:r>
          </w:p>
        </w:tc>
        <w:tc>
          <w:tcPr>
            <w:tcW w:w="4116" w:type="pct"/>
            <w:gridSpan w:val="7"/>
            <w:vAlign w:val="center"/>
          </w:tcPr>
          <w:p w14:paraId="3B8E0C1B" w14:textId="77777777" w:rsidR="00E963DB" w:rsidRPr="00E963DB" w:rsidRDefault="00E963DB" w:rsidP="00E963DB">
            <w:pPr>
              <w:rPr>
                <w:rFonts w:ascii="Arial Narrow" w:eastAsia="Calibri" w:hAnsi="Arial Narrow"/>
                <w:i/>
                <w:iCs/>
                <w:strike/>
                <w:sz w:val="20"/>
                <w:szCs w:val="20"/>
              </w:rPr>
            </w:pPr>
            <w:r w:rsidRPr="00E963DB">
              <w:rPr>
                <w:rFonts w:ascii="Arial Narrow" w:eastAsia="Calibri" w:hAnsi="Arial Narrow"/>
                <w:i/>
                <w:iCs/>
                <w:strike/>
                <w:sz w:val="20"/>
                <w:szCs w:val="20"/>
              </w:rPr>
              <w:t>Treatment must be discontinued in patients who fail to demonstrate an adequate clinical response.</w:t>
            </w:r>
          </w:p>
        </w:tc>
      </w:tr>
      <w:tr w:rsidR="00E963DB" w:rsidRPr="00E963DB" w14:paraId="21E6D77F"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07DE0CA7" w14:textId="77777777" w:rsidR="00E963DB" w:rsidRPr="00E963DB" w:rsidRDefault="00E963DB" w:rsidP="00E963DB">
            <w:pPr>
              <w:jc w:val="center"/>
              <w:rPr>
                <w:rFonts w:ascii="Arial Narrow" w:hAnsi="Arial Narrow"/>
                <w:color w:val="000000" w:themeColor="text1"/>
                <w:sz w:val="20"/>
                <w:szCs w:val="20"/>
              </w:rPr>
            </w:pPr>
          </w:p>
        </w:tc>
        <w:tc>
          <w:tcPr>
            <w:tcW w:w="4116" w:type="pct"/>
            <w:gridSpan w:val="7"/>
            <w:vAlign w:val="center"/>
          </w:tcPr>
          <w:p w14:paraId="6C98183D" w14:textId="77777777" w:rsidR="00E963DB" w:rsidRPr="00E963DB" w:rsidRDefault="00E963DB" w:rsidP="00E963DB">
            <w:pPr>
              <w:rPr>
                <w:rFonts w:ascii="Arial Narrow" w:eastAsia="Calibri" w:hAnsi="Arial Narrow"/>
                <w:b/>
                <w:bCs/>
                <w:strike/>
                <w:sz w:val="20"/>
                <w:szCs w:val="20"/>
              </w:rPr>
            </w:pPr>
            <w:r w:rsidRPr="00E963DB">
              <w:rPr>
                <w:rFonts w:ascii="Arial Narrow" w:eastAsia="Calibri" w:hAnsi="Arial Narrow"/>
                <w:b/>
                <w:bCs/>
                <w:strike/>
                <w:sz w:val="20"/>
                <w:szCs w:val="20"/>
              </w:rPr>
              <w:t>AND</w:t>
            </w:r>
          </w:p>
        </w:tc>
      </w:tr>
      <w:tr w:rsidR="00E963DB" w:rsidRPr="00E963DB" w14:paraId="5EABA804"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2FE5D604"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TC</w:t>
            </w:r>
          </w:p>
        </w:tc>
        <w:tc>
          <w:tcPr>
            <w:tcW w:w="4116" w:type="pct"/>
            <w:gridSpan w:val="7"/>
            <w:vAlign w:val="center"/>
            <w:hideMark/>
          </w:tcPr>
          <w:p w14:paraId="1F5017BE"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Treatment criteria:</w:t>
            </w:r>
          </w:p>
        </w:tc>
      </w:tr>
      <w:tr w:rsidR="00E963DB" w:rsidRPr="00E963DB" w14:paraId="7742D92C"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7A59930B"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TC</w:t>
            </w:r>
          </w:p>
        </w:tc>
        <w:tc>
          <w:tcPr>
            <w:tcW w:w="4116" w:type="pct"/>
            <w:gridSpan w:val="7"/>
            <w:vAlign w:val="center"/>
          </w:tcPr>
          <w:p w14:paraId="596AF4EC" w14:textId="77777777" w:rsidR="00E963DB" w:rsidRPr="00E963DB" w:rsidRDefault="00E963DB" w:rsidP="00E963DB">
            <w:pPr>
              <w:autoSpaceDE w:val="0"/>
              <w:autoSpaceDN w:val="0"/>
              <w:adjustRightInd w:val="0"/>
              <w:rPr>
                <w:rFonts w:ascii="Arial Narrow" w:hAnsi="Arial Narrow" w:cs="Arial Narrow"/>
                <w:sz w:val="20"/>
                <w:szCs w:val="20"/>
              </w:rPr>
            </w:pPr>
            <w:r w:rsidRPr="00E963DB">
              <w:rPr>
                <w:rFonts w:ascii="Arial Narrow" w:eastAsia="Calibri" w:hAnsi="Arial Narrow"/>
                <w:sz w:val="20"/>
                <w:szCs w:val="20"/>
              </w:rPr>
              <w:t>Must be treated by a physician with expertise in the diagnosis and management of alpha-mannosidase, OR</w:t>
            </w:r>
          </w:p>
        </w:tc>
      </w:tr>
      <w:tr w:rsidR="00E963DB" w:rsidRPr="00E963DB" w14:paraId="5AAB16B9"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5A926C36"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TC</w:t>
            </w:r>
          </w:p>
        </w:tc>
        <w:tc>
          <w:tcPr>
            <w:tcW w:w="4116" w:type="pct"/>
            <w:gridSpan w:val="7"/>
            <w:vAlign w:val="center"/>
          </w:tcPr>
          <w:p w14:paraId="3E4E3DF1" w14:textId="77777777" w:rsidR="00E963DB" w:rsidRPr="00E963DB" w:rsidRDefault="00E963DB" w:rsidP="00E963DB">
            <w:pPr>
              <w:autoSpaceDE w:val="0"/>
              <w:autoSpaceDN w:val="0"/>
              <w:adjustRightInd w:val="0"/>
              <w:rPr>
                <w:rFonts w:ascii="Arial Narrow" w:eastAsia="Calibri" w:hAnsi="Arial Narrow"/>
                <w:sz w:val="20"/>
                <w:szCs w:val="20"/>
              </w:rPr>
            </w:pPr>
            <w:r w:rsidRPr="00E963DB">
              <w:rPr>
                <w:rFonts w:ascii="Arial Narrow" w:eastAsia="Calibri" w:hAnsi="Arial Narrow"/>
                <w:sz w:val="20"/>
                <w:szCs w:val="20"/>
              </w:rPr>
              <w:t>Must be treated by a physician affiliated with a metabolic clinic or a hospital recognised in the management of alpha-mannosidosis.</w:t>
            </w:r>
          </w:p>
        </w:tc>
      </w:tr>
      <w:tr w:rsidR="00E963DB" w:rsidRPr="00E963DB" w14:paraId="6602AAA6"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70939EAE"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PI</w:t>
            </w:r>
          </w:p>
          <w:p w14:paraId="6A3B737E" w14:textId="77777777" w:rsidR="00E963DB" w:rsidRPr="00E963DB" w:rsidRDefault="00E963DB" w:rsidP="00E963DB">
            <w:pPr>
              <w:jc w:val="center"/>
              <w:rPr>
                <w:rFonts w:ascii="Arial Narrow" w:hAnsi="Arial Narrow"/>
                <w:color w:val="000000" w:themeColor="text1"/>
                <w:sz w:val="20"/>
                <w:szCs w:val="20"/>
              </w:rPr>
            </w:pPr>
          </w:p>
        </w:tc>
        <w:tc>
          <w:tcPr>
            <w:tcW w:w="4116" w:type="pct"/>
            <w:gridSpan w:val="7"/>
            <w:vAlign w:val="center"/>
            <w:hideMark/>
          </w:tcPr>
          <w:p w14:paraId="05CA9366" w14:textId="77777777" w:rsidR="00E963DB" w:rsidRPr="00E963DB" w:rsidRDefault="00E963DB" w:rsidP="00E963DB">
            <w:pPr>
              <w:rPr>
                <w:rFonts w:ascii="Arial Narrow" w:eastAsia="Calibri" w:hAnsi="Arial Narrow"/>
                <w:b/>
                <w:bCs/>
                <w:sz w:val="20"/>
                <w:szCs w:val="20"/>
              </w:rPr>
            </w:pPr>
            <w:r w:rsidRPr="00E963DB">
              <w:rPr>
                <w:rFonts w:ascii="Arial Narrow" w:hAnsi="Arial Narrow"/>
                <w:b/>
                <w:bCs/>
                <w:sz w:val="20"/>
                <w:szCs w:val="20"/>
              </w:rPr>
              <w:t>Prescribing Instruction:</w:t>
            </w:r>
            <w:r w:rsidRPr="00E963DB">
              <w:rPr>
                <w:rFonts w:ascii="Arial Narrow" w:eastAsia="Calibri" w:hAnsi="Arial Narrow"/>
                <w:b/>
                <w:bCs/>
                <w:sz w:val="20"/>
                <w:szCs w:val="20"/>
              </w:rPr>
              <w:t xml:space="preserve"> </w:t>
            </w:r>
          </w:p>
          <w:p w14:paraId="478575BD"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At the time of authority application, prescribers must request the appropriate number of vials, based on the body weight of the patient, to provide sufficient drug for 4 weeks of treatment, according to the specified dosage in the Therapeutic Goods Administration (TGA) approved Product Information.</w:t>
            </w:r>
          </w:p>
        </w:tc>
      </w:tr>
      <w:tr w:rsidR="00E963DB" w:rsidRPr="00E963DB" w14:paraId="70727C53"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0F599E17"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olor w:val="000000" w:themeColor="text1"/>
                <w:sz w:val="20"/>
                <w:szCs w:val="20"/>
              </w:rPr>
              <w:t>New PI</w:t>
            </w:r>
          </w:p>
        </w:tc>
        <w:tc>
          <w:tcPr>
            <w:tcW w:w="4116" w:type="pct"/>
            <w:gridSpan w:val="7"/>
            <w:vAlign w:val="center"/>
          </w:tcPr>
          <w:p w14:paraId="7C128E86" w14:textId="77777777" w:rsidR="00E963DB" w:rsidRPr="00E963DB" w:rsidRDefault="00E963DB" w:rsidP="00E963DB">
            <w:pPr>
              <w:rPr>
                <w:rFonts w:ascii="Arial Narrow" w:eastAsia="Calibri" w:hAnsi="Arial Narrow"/>
                <w:b/>
                <w:bCs/>
                <w:sz w:val="20"/>
                <w:szCs w:val="20"/>
              </w:rPr>
            </w:pPr>
            <w:r w:rsidRPr="00E963DB">
              <w:rPr>
                <w:rFonts w:ascii="Arial Narrow" w:hAnsi="Arial Narrow"/>
                <w:b/>
                <w:bCs/>
                <w:sz w:val="20"/>
                <w:szCs w:val="20"/>
              </w:rPr>
              <w:t>Prescribing Instruction:</w:t>
            </w:r>
            <w:r w:rsidRPr="00E963DB">
              <w:rPr>
                <w:rFonts w:ascii="Arial Narrow" w:eastAsia="Calibri" w:hAnsi="Arial Narrow"/>
                <w:b/>
                <w:bCs/>
                <w:sz w:val="20"/>
                <w:szCs w:val="20"/>
              </w:rPr>
              <w:t xml:space="preserve"> </w:t>
            </w:r>
          </w:p>
          <w:p w14:paraId="6EF2B764"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Confirmation of eligibility for treatment with diagnostic reports including leukocyte</w:t>
            </w:r>
            <w:r w:rsidRPr="00E963DB">
              <w:rPr>
                <w:rFonts w:ascii="Arial Narrow" w:eastAsia="Calibri" w:hAnsi="Arial Narrow"/>
                <w:sz w:val="20"/>
                <w:szCs w:val="20"/>
              </w:rPr>
              <w:noBreakHyphen/>
              <w:t>based assay, echocardiogram and genetic testing (if applicable) must be documented in the patient’s medical records.</w:t>
            </w:r>
          </w:p>
        </w:tc>
      </w:tr>
      <w:tr w:rsidR="00E963DB" w:rsidRPr="00E963DB" w14:paraId="0AAB0E50"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731865E0"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cs="Segoe UI"/>
                <w:sz w:val="20"/>
                <w:szCs w:val="20"/>
              </w:rPr>
              <w:t> 34031</w:t>
            </w:r>
          </w:p>
        </w:tc>
        <w:tc>
          <w:tcPr>
            <w:tcW w:w="4116" w:type="pct"/>
            <w:gridSpan w:val="7"/>
            <w:vAlign w:val="center"/>
          </w:tcPr>
          <w:p w14:paraId="0A09279B" w14:textId="77777777" w:rsidR="00E963DB" w:rsidRPr="00E963DB" w:rsidRDefault="00E963DB" w:rsidP="00E963DB">
            <w:pPr>
              <w:textAlignment w:val="baseline"/>
              <w:rPr>
                <w:rFonts w:ascii="Arial Narrow" w:hAnsi="Arial Narrow" w:cs="Segoe UI"/>
                <w:sz w:val="20"/>
                <w:szCs w:val="20"/>
              </w:rPr>
            </w:pPr>
            <w:r w:rsidRPr="00E963DB">
              <w:rPr>
                <w:rFonts w:ascii="Arial Narrow" w:hAnsi="Arial Narrow" w:cs="Segoe UI"/>
                <w:b/>
                <w:bCs/>
                <w:sz w:val="20"/>
                <w:szCs w:val="20"/>
              </w:rPr>
              <w:t>Prescribing Instructions:</w:t>
            </w:r>
            <w:r w:rsidRPr="00E963DB">
              <w:rPr>
                <w:rFonts w:ascii="Arial Narrow" w:hAnsi="Arial Narrow" w:cs="Segoe UI"/>
                <w:sz w:val="20"/>
                <w:szCs w:val="20"/>
              </w:rPr>
              <w:t> </w:t>
            </w:r>
          </w:p>
          <w:p w14:paraId="1C412812" w14:textId="77777777" w:rsidR="00E963DB" w:rsidRPr="00E963DB" w:rsidRDefault="00E963DB" w:rsidP="00E963DB">
            <w:pPr>
              <w:rPr>
                <w:rFonts w:ascii="Arial Narrow" w:hAnsi="Arial Narrow"/>
                <w:b/>
                <w:bCs/>
                <w:sz w:val="20"/>
                <w:szCs w:val="20"/>
              </w:rPr>
            </w:pPr>
            <w:r w:rsidRPr="00E963DB">
              <w:rPr>
                <w:rFonts w:ascii="Arial Narrow" w:hAnsi="Arial Narrow" w:cs="Segoe UI"/>
                <w:sz w:val="20"/>
                <w:szCs w:val="20"/>
              </w:rPr>
              <w:t>The authority application must be made via the Online PBS Authorities System, or in writing via HPOS form upload or mail. </w:t>
            </w:r>
          </w:p>
        </w:tc>
      </w:tr>
      <w:tr w:rsidR="00E963DB" w:rsidRPr="00E963DB" w14:paraId="27EB1798"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5F50C962" w14:textId="77777777" w:rsidR="00E963DB" w:rsidRPr="00E963DB" w:rsidRDefault="00E963DB" w:rsidP="00E963DB">
            <w:pPr>
              <w:jc w:val="center"/>
              <w:rPr>
                <w:rFonts w:ascii="Arial Narrow" w:hAnsi="Arial Narrow"/>
                <w:color w:val="000000" w:themeColor="text1"/>
                <w:sz w:val="20"/>
                <w:szCs w:val="20"/>
              </w:rPr>
            </w:pPr>
            <w:r w:rsidRPr="00E963DB">
              <w:rPr>
                <w:rFonts w:ascii="Arial Narrow" w:hAnsi="Arial Narrow"/>
                <w:sz w:val="20"/>
                <w:szCs w:val="20"/>
              </w:rPr>
              <w:t>32529</w:t>
            </w:r>
          </w:p>
        </w:tc>
        <w:tc>
          <w:tcPr>
            <w:tcW w:w="4116" w:type="pct"/>
            <w:gridSpan w:val="7"/>
            <w:vAlign w:val="center"/>
          </w:tcPr>
          <w:p w14:paraId="394AA8E4"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Prescribing Instructions:</w:t>
            </w:r>
          </w:p>
          <w:p w14:paraId="003E0913" w14:textId="77777777" w:rsidR="00E963DB" w:rsidRPr="00E963DB" w:rsidRDefault="00E963DB" w:rsidP="00E963DB">
            <w:pPr>
              <w:rPr>
                <w:rFonts w:ascii="Arial Narrow" w:hAnsi="Arial Narrow"/>
                <w:sz w:val="20"/>
                <w:szCs w:val="20"/>
              </w:rPr>
            </w:pPr>
            <w:r w:rsidRPr="00E963DB">
              <w:rPr>
                <w:rFonts w:ascii="Arial Narrow" w:hAnsi="Arial Narrow"/>
                <w:sz w:val="20"/>
                <w:szCs w:val="20"/>
              </w:rPr>
              <w:t>If the application is submitted through HPOS form upload or mail, it must include:</w:t>
            </w:r>
          </w:p>
          <w:p w14:paraId="66EED400" w14:textId="77777777" w:rsidR="00E963DB" w:rsidRPr="00E963DB" w:rsidRDefault="00E963DB" w:rsidP="00E963DB">
            <w:pPr>
              <w:rPr>
                <w:rFonts w:ascii="Arial Narrow" w:hAnsi="Arial Narrow"/>
                <w:sz w:val="20"/>
                <w:szCs w:val="20"/>
              </w:rPr>
            </w:pPr>
            <w:r w:rsidRPr="00E963DB">
              <w:rPr>
                <w:rFonts w:ascii="Arial Narrow" w:hAnsi="Arial Narrow"/>
                <w:sz w:val="20"/>
                <w:szCs w:val="20"/>
              </w:rPr>
              <w:t>(i) details of the proposed prescription; and</w:t>
            </w:r>
          </w:p>
          <w:p w14:paraId="7347E362" w14:textId="77777777" w:rsidR="00E963DB" w:rsidRPr="00E963DB" w:rsidRDefault="00E963DB" w:rsidP="00E963DB">
            <w:pPr>
              <w:rPr>
                <w:rFonts w:ascii="Arial Narrow" w:hAnsi="Arial Narrow"/>
                <w:sz w:val="20"/>
                <w:szCs w:val="20"/>
              </w:rPr>
            </w:pPr>
            <w:r w:rsidRPr="00E963DB">
              <w:rPr>
                <w:rFonts w:ascii="Arial Narrow" w:hAnsi="Arial Narrow"/>
                <w:sz w:val="20"/>
                <w:szCs w:val="20"/>
              </w:rPr>
              <w:t>(ii) a completed authority application form relevant to the indication and treatment phase (the latest version is located on the website specified in the Administrative Advice).</w:t>
            </w:r>
          </w:p>
        </w:tc>
      </w:tr>
      <w:tr w:rsidR="00E963DB" w:rsidRPr="00E963DB" w14:paraId="23212270"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00F4F8C4" w14:textId="77777777" w:rsidR="00E963DB" w:rsidRPr="00E963DB" w:rsidRDefault="00E963DB" w:rsidP="00E963DB">
            <w:pPr>
              <w:jc w:val="center"/>
              <w:rPr>
                <w:rFonts w:ascii="Arial Narrow" w:hAnsi="Arial Narrow"/>
                <w:strike/>
                <w:color w:val="000000" w:themeColor="text1"/>
                <w:sz w:val="20"/>
                <w:szCs w:val="20"/>
              </w:rPr>
            </w:pPr>
            <w:r w:rsidRPr="00E963DB">
              <w:rPr>
                <w:rFonts w:ascii="Arial Narrow" w:hAnsi="Arial Narrow"/>
                <w:strike/>
                <w:color w:val="000000" w:themeColor="text1"/>
                <w:sz w:val="20"/>
                <w:szCs w:val="20"/>
              </w:rPr>
              <w:t xml:space="preserve">                                                </w:t>
            </w:r>
          </w:p>
        </w:tc>
        <w:tc>
          <w:tcPr>
            <w:tcW w:w="4116" w:type="pct"/>
            <w:gridSpan w:val="7"/>
            <w:vAlign w:val="center"/>
          </w:tcPr>
          <w:p w14:paraId="50F822D0" w14:textId="77777777" w:rsidR="00E963DB" w:rsidRPr="00E963DB" w:rsidRDefault="00E963DB" w:rsidP="00E963DB">
            <w:pPr>
              <w:rPr>
                <w:rFonts w:ascii="Arial Narrow" w:hAnsi="Arial Narrow"/>
                <w:b/>
                <w:bCs/>
                <w:strike/>
                <w:sz w:val="20"/>
                <w:szCs w:val="20"/>
              </w:rPr>
            </w:pPr>
            <w:r w:rsidRPr="00E963DB">
              <w:rPr>
                <w:rFonts w:ascii="Arial Narrow" w:hAnsi="Arial Narrow"/>
                <w:b/>
                <w:bCs/>
                <w:strike/>
                <w:sz w:val="20"/>
                <w:szCs w:val="20"/>
              </w:rPr>
              <w:t>Notes:</w:t>
            </w:r>
          </w:p>
          <w:p w14:paraId="5A5C5476" w14:textId="77777777" w:rsidR="00E963DB" w:rsidRPr="00E963DB" w:rsidRDefault="00E963DB" w:rsidP="00E963DB">
            <w:pPr>
              <w:rPr>
                <w:rFonts w:ascii="Arial Narrow" w:hAnsi="Arial Narrow"/>
                <w:strike/>
                <w:sz w:val="20"/>
                <w:szCs w:val="20"/>
              </w:rPr>
            </w:pPr>
            <w:r w:rsidRPr="00E963DB">
              <w:rPr>
                <w:rFonts w:ascii="Arial Narrow" w:hAnsi="Arial Narrow"/>
                <w:strike/>
                <w:sz w:val="20"/>
                <w:szCs w:val="20"/>
              </w:rPr>
              <w:t>Special Pricing Arrangements Apply</w:t>
            </w:r>
          </w:p>
        </w:tc>
      </w:tr>
      <w:tr w:rsidR="00E963DB" w:rsidRPr="00E963DB" w14:paraId="0961BDF1"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4932E7EC" w14:textId="77777777" w:rsidR="00E963DB" w:rsidRPr="00E963DB" w:rsidRDefault="00E963DB" w:rsidP="00E963DB">
            <w:pPr>
              <w:jc w:val="center"/>
              <w:rPr>
                <w:rFonts w:ascii="Arial Narrow" w:hAnsi="Arial Narrow"/>
                <w:strike/>
                <w:color w:val="000000" w:themeColor="text1"/>
                <w:sz w:val="20"/>
                <w:szCs w:val="20"/>
              </w:rPr>
            </w:pPr>
          </w:p>
        </w:tc>
        <w:tc>
          <w:tcPr>
            <w:tcW w:w="4116" w:type="pct"/>
            <w:gridSpan w:val="7"/>
            <w:vAlign w:val="center"/>
          </w:tcPr>
          <w:p w14:paraId="40F81C48" w14:textId="77777777" w:rsidR="00E963DB" w:rsidRPr="00E963DB" w:rsidRDefault="00E963DB" w:rsidP="00E963DB">
            <w:pPr>
              <w:rPr>
                <w:rFonts w:ascii="Arial Narrow" w:hAnsi="Arial Narrow"/>
                <w:strike/>
                <w:sz w:val="20"/>
                <w:szCs w:val="20"/>
              </w:rPr>
            </w:pPr>
            <w:r w:rsidRPr="00E963DB">
              <w:rPr>
                <w:rFonts w:ascii="Arial Narrow" w:hAnsi="Arial Narrow"/>
                <w:strike/>
                <w:sz w:val="20"/>
                <w:szCs w:val="20"/>
              </w:rPr>
              <w:t>Caution: None</w:t>
            </w:r>
          </w:p>
        </w:tc>
      </w:tr>
      <w:tr w:rsidR="00E963DB" w:rsidRPr="00E963DB" w:rsidDel="004717FD" w14:paraId="44276F70" w14:textId="77777777" w:rsidTr="0088523E">
        <w:tblPrEx>
          <w:tblCellMar>
            <w:top w:w="15" w:type="dxa"/>
            <w:left w:w="15" w:type="dxa"/>
            <w:bottom w:w="15" w:type="dxa"/>
            <w:right w:w="15" w:type="dxa"/>
          </w:tblCellMar>
          <w:tblLook w:val="04A0" w:firstRow="1" w:lastRow="0" w:firstColumn="1" w:lastColumn="0" w:noHBand="0" w:noVBand="1"/>
        </w:tblPrEx>
        <w:trPr>
          <w:trHeight w:val="453"/>
        </w:trPr>
        <w:tc>
          <w:tcPr>
            <w:tcW w:w="5000" w:type="pct"/>
            <w:gridSpan w:val="8"/>
            <w:vAlign w:val="center"/>
          </w:tcPr>
          <w:p w14:paraId="05C07A7B" w14:textId="77777777" w:rsidR="00E963DB" w:rsidRPr="00E963DB" w:rsidDel="004717FD" w:rsidRDefault="00E963DB" w:rsidP="00E963DB">
            <w:pPr>
              <w:rPr>
                <w:rFonts w:ascii="Arial Narrow" w:hAnsi="Arial Narrow"/>
                <w:sz w:val="20"/>
                <w:szCs w:val="20"/>
              </w:rPr>
            </w:pPr>
          </w:p>
        </w:tc>
      </w:tr>
      <w:tr w:rsidR="00E963DB" w:rsidRPr="00E963DB" w:rsidDel="004717FD" w14:paraId="4DD3F6F4" w14:textId="77777777" w:rsidTr="0088523E">
        <w:tblPrEx>
          <w:tblCellMar>
            <w:top w:w="15" w:type="dxa"/>
            <w:left w:w="15" w:type="dxa"/>
            <w:bottom w:w="15" w:type="dxa"/>
            <w:right w:w="15" w:type="dxa"/>
          </w:tblCellMar>
          <w:tblLook w:val="04A0" w:firstRow="1" w:lastRow="0" w:firstColumn="1" w:lastColumn="0" w:noHBand="0" w:noVBand="1"/>
        </w:tblPrEx>
        <w:tc>
          <w:tcPr>
            <w:tcW w:w="5000" w:type="pct"/>
            <w:gridSpan w:val="8"/>
            <w:vAlign w:val="center"/>
          </w:tcPr>
          <w:p w14:paraId="37EB02B7" w14:textId="77777777" w:rsidR="00E963DB" w:rsidRPr="00E963DB" w:rsidDel="004717FD" w:rsidRDefault="00E963DB" w:rsidP="00E963DB">
            <w:pPr>
              <w:rPr>
                <w:rFonts w:ascii="Arial Narrow" w:hAnsi="Arial Narrow"/>
                <w:i/>
                <w:iCs/>
                <w:sz w:val="20"/>
                <w:szCs w:val="20"/>
              </w:rPr>
            </w:pPr>
            <w:r w:rsidRPr="00E963DB">
              <w:rPr>
                <w:rFonts w:ascii="Arial Narrow" w:hAnsi="Arial Narrow"/>
                <w:b/>
                <w:i/>
                <w:iCs/>
                <w:sz w:val="20"/>
                <w:szCs w:val="20"/>
              </w:rPr>
              <w:t>Restriction Summary [new2] / Treatment of Concept: [new2A]</w:t>
            </w:r>
          </w:p>
        </w:tc>
      </w:tr>
      <w:tr w:rsidR="00E963DB" w:rsidRPr="00E963DB" w:rsidDel="004717FD" w14:paraId="7AE423DA"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57B5CBA0" w14:textId="77777777" w:rsidR="00E963DB" w:rsidRPr="00E963DB" w:rsidDel="004717FD"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New I</w:t>
            </w:r>
          </w:p>
        </w:tc>
        <w:tc>
          <w:tcPr>
            <w:tcW w:w="4116" w:type="pct"/>
            <w:gridSpan w:val="7"/>
            <w:vAlign w:val="center"/>
          </w:tcPr>
          <w:p w14:paraId="7451A2EC" w14:textId="77777777" w:rsidR="00E963DB" w:rsidRPr="00E963DB" w:rsidDel="004717FD" w:rsidRDefault="00E963DB" w:rsidP="00E963DB">
            <w:pPr>
              <w:rPr>
                <w:rFonts w:ascii="Arial Narrow" w:hAnsi="Arial Narrow"/>
                <w:i/>
                <w:iCs/>
                <w:sz w:val="20"/>
                <w:szCs w:val="20"/>
              </w:rPr>
            </w:pPr>
            <w:r w:rsidRPr="00E963DB">
              <w:rPr>
                <w:rFonts w:ascii="Arial Narrow" w:hAnsi="Arial Narrow"/>
                <w:b/>
                <w:bCs/>
                <w:i/>
                <w:iCs/>
                <w:sz w:val="20"/>
                <w:szCs w:val="20"/>
              </w:rPr>
              <w:t>Indication:</w:t>
            </w:r>
            <w:r w:rsidRPr="00E963DB">
              <w:rPr>
                <w:rFonts w:ascii="Arial Narrow" w:hAnsi="Arial Narrow"/>
                <w:i/>
                <w:iCs/>
                <w:sz w:val="20"/>
                <w:szCs w:val="20"/>
              </w:rPr>
              <w:t xml:space="preserve"> </w:t>
            </w:r>
            <w:r w:rsidRPr="00E963DB">
              <w:rPr>
                <w:rFonts w:ascii="Arial Narrow" w:eastAsia="Calibri" w:hAnsi="Arial Narrow"/>
                <w:i/>
                <w:iCs/>
                <w:sz w:val="20"/>
                <w:szCs w:val="20"/>
              </w:rPr>
              <w:t>Alpha-mannosidosis (AM)</w:t>
            </w:r>
          </w:p>
        </w:tc>
      </w:tr>
      <w:tr w:rsidR="00E963DB" w:rsidRPr="00E963DB" w:rsidDel="004717FD" w14:paraId="5D8B26B5"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1D406699" w14:textId="77777777" w:rsidR="00E963DB" w:rsidRPr="00E963DB" w:rsidDel="004717FD" w:rsidRDefault="00E963DB" w:rsidP="00E963DB">
            <w:pPr>
              <w:jc w:val="center"/>
              <w:rPr>
                <w:rFonts w:ascii="Arial Narrow" w:hAnsi="Arial Narrow"/>
                <w:i/>
                <w:iCs/>
                <w:color w:val="000000" w:themeColor="text1"/>
                <w:sz w:val="20"/>
                <w:szCs w:val="20"/>
              </w:rPr>
            </w:pPr>
          </w:p>
        </w:tc>
        <w:tc>
          <w:tcPr>
            <w:tcW w:w="4116" w:type="pct"/>
            <w:gridSpan w:val="7"/>
            <w:vAlign w:val="center"/>
          </w:tcPr>
          <w:p w14:paraId="4AACAD8F" w14:textId="77777777" w:rsidR="00E963DB" w:rsidRPr="00E963DB" w:rsidDel="004717FD" w:rsidRDefault="00E963DB" w:rsidP="00E963DB">
            <w:pPr>
              <w:rPr>
                <w:rFonts w:ascii="Arial Narrow" w:hAnsi="Arial Narrow"/>
                <w:i/>
                <w:iCs/>
                <w:sz w:val="20"/>
                <w:szCs w:val="20"/>
              </w:rPr>
            </w:pPr>
            <w:r w:rsidRPr="00E963DB">
              <w:rPr>
                <w:rFonts w:ascii="Arial Narrow" w:hAnsi="Arial Narrow"/>
                <w:b/>
                <w:bCs/>
                <w:i/>
                <w:iCs/>
                <w:sz w:val="20"/>
                <w:szCs w:val="20"/>
              </w:rPr>
              <w:t xml:space="preserve">Treatment Phase: </w:t>
            </w:r>
            <w:r w:rsidRPr="00E963DB">
              <w:rPr>
                <w:rFonts w:ascii="Arial Narrow" w:hAnsi="Arial Narrow"/>
                <w:i/>
                <w:iCs/>
                <w:sz w:val="20"/>
                <w:szCs w:val="20"/>
              </w:rPr>
              <w:t>Continuing treatment</w:t>
            </w:r>
          </w:p>
        </w:tc>
      </w:tr>
      <w:tr w:rsidR="00E963DB" w:rsidRPr="00E963DB" w:rsidDel="004717FD" w14:paraId="5E8D6F90"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3E58CCD7" w14:textId="77777777" w:rsidR="00E963DB" w:rsidRPr="00E963DB" w:rsidDel="004717FD" w:rsidRDefault="00E963DB" w:rsidP="00E963DB">
            <w:pPr>
              <w:jc w:val="center"/>
              <w:rPr>
                <w:rFonts w:ascii="Arial Narrow" w:hAnsi="Arial Narrow"/>
                <w:i/>
                <w:iCs/>
                <w:color w:val="000000" w:themeColor="text1"/>
                <w:sz w:val="20"/>
                <w:szCs w:val="20"/>
              </w:rPr>
            </w:pPr>
          </w:p>
        </w:tc>
        <w:tc>
          <w:tcPr>
            <w:tcW w:w="4116" w:type="pct"/>
            <w:gridSpan w:val="7"/>
            <w:vAlign w:val="center"/>
          </w:tcPr>
          <w:p w14:paraId="6FB71AD6" w14:textId="77777777" w:rsidR="00E963DB" w:rsidRPr="00E963DB" w:rsidDel="004717FD" w:rsidRDefault="00E963DB" w:rsidP="00E963DB">
            <w:pPr>
              <w:rPr>
                <w:rFonts w:ascii="Arial Narrow" w:hAnsi="Arial Narrow"/>
                <w:i/>
                <w:iCs/>
                <w:sz w:val="20"/>
                <w:szCs w:val="20"/>
              </w:rPr>
            </w:pPr>
            <w:r w:rsidRPr="00E963DB">
              <w:rPr>
                <w:rFonts w:ascii="Arial Narrow" w:hAnsi="Arial Narrow"/>
                <w:b/>
                <w:bCs/>
                <w:i/>
                <w:iCs/>
                <w:sz w:val="20"/>
                <w:szCs w:val="20"/>
              </w:rPr>
              <w:t>Clinical criteria:</w:t>
            </w:r>
          </w:p>
        </w:tc>
      </w:tr>
      <w:tr w:rsidR="00E963DB" w:rsidRPr="00E963DB" w:rsidDel="004717FD" w14:paraId="43AD1237"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72FDCFD6" w14:textId="77777777" w:rsidR="00E963DB" w:rsidRPr="00E963DB" w:rsidDel="004717FD"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24809</w:t>
            </w:r>
          </w:p>
        </w:tc>
        <w:tc>
          <w:tcPr>
            <w:tcW w:w="4116" w:type="pct"/>
            <w:gridSpan w:val="7"/>
            <w:vAlign w:val="center"/>
          </w:tcPr>
          <w:p w14:paraId="0E1B2D7F" w14:textId="77777777" w:rsidR="00E963DB" w:rsidRPr="00E963DB" w:rsidDel="004717FD" w:rsidRDefault="00E963DB" w:rsidP="00E963DB">
            <w:pPr>
              <w:rPr>
                <w:rFonts w:ascii="Arial Narrow" w:hAnsi="Arial Narrow"/>
                <w:i/>
                <w:iCs/>
                <w:sz w:val="20"/>
                <w:szCs w:val="20"/>
              </w:rPr>
            </w:pPr>
            <w:r w:rsidRPr="00E963DB">
              <w:rPr>
                <w:rFonts w:ascii="Arial Narrow" w:hAnsi="Arial Narrow"/>
                <w:i/>
                <w:iCs/>
                <w:sz w:val="20"/>
                <w:szCs w:val="20"/>
              </w:rPr>
              <w:t>Patient must have previously received PBS-subsidised treatment with this drug for this condition.</w:t>
            </w:r>
          </w:p>
        </w:tc>
      </w:tr>
      <w:tr w:rsidR="00E963DB" w:rsidRPr="00E963DB" w:rsidDel="004717FD" w14:paraId="5086442D"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61A0A0D8" w14:textId="77777777" w:rsidR="00E963DB" w:rsidRPr="00E963DB" w:rsidDel="004717FD" w:rsidRDefault="00E963DB" w:rsidP="00E963DB">
            <w:pPr>
              <w:jc w:val="center"/>
              <w:rPr>
                <w:rFonts w:ascii="Arial Narrow" w:hAnsi="Arial Narrow"/>
                <w:i/>
                <w:iCs/>
                <w:color w:val="000000" w:themeColor="text1"/>
                <w:sz w:val="20"/>
                <w:szCs w:val="20"/>
              </w:rPr>
            </w:pPr>
          </w:p>
        </w:tc>
        <w:tc>
          <w:tcPr>
            <w:tcW w:w="4116" w:type="pct"/>
            <w:gridSpan w:val="7"/>
            <w:vAlign w:val="center"/>
          </w:tcPr>
          <w:p w14:paraId="6A4768A4" w14:textId="77777777" w:rsidR="00E963DB" w:rsidRPr="00E963DB" w:rsidDel="004717FD" w:rsidRDefault="00E963DB" w:rsidP="00E963DB">
            <w:pPr>
              <w:rPr>
                <w:rFonts w:ascii="Arial Narrow" w:hAnsi="Arial Narrow"/>
                <w:i/>
                <w:iCs/>
                <w:sz w:val="20"/>
                <w:szCs w:val="20"/>
              </w:rPr>
            </w:pPr>
            <w:r w:rsidRPr="00E963DB">
              <w:rPr>
                <w:rFonts w:ascii="Arial Narrow" w:hAnsi="Arial Narrow"/>
                <w:b/>
                <w:bCs/>
                <w:i/>
                <w:iCs/>
                <w:sz w:val="20"/>
                <w:szCs w:val="20"/>
              </w:rPr>
              <w:t>AND</w:t>
            </w:r>
          </w:p>
        </w:tc>
      </w:tr>
      <w:tr w:rsidR="00E963DB" w:rsidRPr="00E963DB" w:rsidDel="004717FD" w14:paraId="577296A2"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49F26211" w14:textId="77777777" w:rsidR="00E963DB" w:rsidRPr="00E963DB" w:rsidDel="004717FD"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32445</w:t>
            </w:r>
          </w:p>
        </w:tc>
        <w:tc>
          <w:tcPr>
            <w:tcW w:w="4116" w:type="pct"/>
            <w:gridSpan w:val="7"/>
            <w:vAlign w:val="center"/>
          </w:tcPr>
          <w:p w14:paraId="72A8F958" w14:textId="77777777" w:rsidR="00E963DB" w:rsidRPr="00E963DB" w:rsidDel="004717FD" w:rsidRDefault="00E963DB" w:rsidP="00E963DB">
            <w:pPr>
              <w:rPr>
                <w:rFonts w:ascii="Arial Narrow" w:hAnsi="Arial Narrow"/>
                <w:i/>
                <w:iCs/>
                <w:sz w:val="20"/>
                <w:szCs w:val="20"/>
              </w:rPr>
            </w:pPr>
            <w:r w:rsidRPr="00E963DB">
              <w:rPr>
                <w:rFonts w:ascii="Arial Narrow" w:hAnsi="Arial Narrow"/>
                <w:b/>
                <w:bCs/>
                <w:i/>
                <w:iCs/>
                <w:sz w:val="20"/>
                <w:szCs w:val="20"/>
              </w:rPr>
              <w:t>Clinical criteria:</w:t>
            </w:r>
          </w:p>
        </w:tc>
      </w:tr>
      <w:tr w:rsidR="00E963DB" w:rsidRPr="00E963DB" w:rsidDel="004717FD" w14:paraId="3E2A7804"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6209B3D2" w14:textId="77777777" w:rsidR="00E963DB" w:rsidRPr="00E963DB" w:rsidDel="004717FD"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32444</w:t>
            </w:r>
          </w:p>
        </w:tc>
        <w:tc>
          <w:tcPr>
            <w:tcW w:w="4116" w:type="pct"/>
            <w:gridSpan w:val="7"/>
            <w:vAlign w:val="center"/>
          </w:tcPr>
          <w:p w14:paraId="29445981" w14:textId="77777777" w:rsidR="00E963DB" w:rsidRPr="00E963DB" w:rsidDel="004717FD" w:rsidRDefault="00E963DB" w:rsidP="00E963DB">
            <w:pPr>
              <w:rPr>
                <w:rFonts w:ascii="Arial Narrow" w:hAnsi="Arial Narrow"/>
                <w:i/>
                <w:iCs/>
                <w:sz w:val="20"/>
                <w:szCs w:val="20"/>
              </w:rPr>
            </w:pPr>
            <w:r w:rsidRPr="00E963DB">
              <w:rPr>
                <w:rFonts w:ascii="Arial Narrow" w:hAnsi="Arial Narrow"/>
                <w:i/>
                <w:iCs/>
                <w:sz w:val="20"/>
                <w:szCs w:val="20"/>
              </w:rPr>
              <w:t>Patient must continue to demonstrate clinical benefit.</w:t>
            </w:r>
          </w:p>
        </w:tc>
      </w:tr>
      <w:tr w:rsidR="00E963DB" w:rsidRPr="00E963DB" w:rsidDel="004717FD" w14:paraId="3EC18E8F"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7E4AF63C" w14:textId="77777777" w:rsidR="00E963DB" w:rsidRPr="00E963DB" w:rsidRDefault="00E963DB" w:rsidP="00E963DB">
            <w:pPr>
              <w:jc w:val="center"/>
              <w:rPr>
                <w:rFonts w:ascii="Arial Narrow" w:hAnsi="Arial Narrow"/>
                <w:i/>
                <w:iCs/>
                <w:color w:val="000000" w:themeColor="text1"/>
                <w:sz w:val="20"/>
                <w:szCs w:val="20"/>
              </w:rPr>
            </w:pPr>
          </w:p>
        </w:tc>
        <w:tc>
          <w:tcPr>
            <w:tcW w:w="4116" w:type="pct"/>
            <w:gridSpan w:val="7"/>
            <w:vAlign w:val="center"/>
          </w:tcPr>
          <w:p w14:paraId="1CD55243" w14:textId="77777777" w:rsidR="00E963DB" w:rsidRPr="00E963DB" w:rsidRDefault="00E963DB" w:rsidP="00E963DB">
            <w:pPr>
              <w:rPr>
                <w:rFonts w:ascii="Arial Narrow" w:hAnsi="Arial Narrow"/>
                <w:i/>
                <w:iCs/>
                <w:sz w:val="20"/>
                <w:szCs w:val="20"/>
              </w:rPr>
            </w:pPr>
            <w:r w:rsidRPr="00E963DB">
              <w:rPr>
                <w:rFonts w:ascii="Arial Narrow" w:hAnsi="Arial Narrow"/>
                <w:b/>
                <w:bCs/>
                <w:i/>
                <w:iCs/>
                <w:sz w:val="20"/>
                <w:szCs w:val="20"/>
              </w:rPr>
              <w:t>AND</w:t>
            </w:r>
          </w:p>
        </w:tc>
      </w:tr>
      <w:tr w:rsidR="00E963DB" w:rsidRPr="00E963DB" w:rsidDel="004717FD" w14:paraId="28275CEF"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2286E2F6" w14:textId="77777777" w:rsidR="00E963DB" w:rsidRPr="00E963DB"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New CC</w:t>
            </w:r>
          </w:p>
        </w:tc>
        <w:tc>
          <w:tcPr>
            <w:tcW w:w="4116" w:type="pct"/>
            <w:gridSpan w:val="7"/>
            <w:vAlign w:val="center"/>
          </w:tcPr>
          <w:p w14:paraId="2BBDB722" w14:textId="77777777" w:rsidR="00E963DB" w:rsidRPr="00E963DB" w:rsidRDefault="00E963DB" w:rsidP="00E963DB">
            <w:pPr>
              <w:rPr>
                <w:rFonts w:ascii="Arial Narrow" w:hAnsi="Arial Narrow"/>
                <w:i/>
                <w:iCs/>
                <w:sz w:val="20"/>
                <w:szCs w:val="20"/>
              </w:rPr>
            </w:pPr>
            <w:r w:rsidRPr="00E963DB">
              <w:rPr>
                <w:rFonts w:ascii="Arial Narrow" w:hAnsi="Arial Narrow"/>
                <w:b/>
                <w:bCs/>
                <w:i/>
                <w:iCs/>
                <w:sz w:val="20"/>
                <w:szCs w:val="20"/>
              </w:rPr>
              <w:t>Clinical criteria:</w:t>
            </w:r>
          </w:p>
        </w:tc>
      </w:tr>
      <w:tr w:rsidR="00E963DB" w:rsidRPr="00E963DB" w:rsidDel="004717FD" w14:paraId="6BF3A98E"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0924FE8A" w14:textId="77777777" w:rsidR="00E963DB" w:rsidRPr="00E963DB"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New CC</w:t>
            </w:r>
          </w:p>
        </w:tc>
        <w:tc>
          <w:tcPr>
            <w:tcW w:w="4116" w:type="pct"/>
            <w:gridSpan w:val="7"/>
            <w:vAlign w:val="center"/>
          </w:tcPr>
          <w:p w14:paraId="6B45B312" w14:textId="77777777" w:rsidR="00E963DB" w:rsidRPr="00E963DB" w:rsidRDefault="00E963DB" w:rsidP="00E963DB">
            <w:pPr>
              <w:rPr>
                <w:rFonts w:ascii="Arial Narrow" w:hAnsi="Arial Narrow"/>
                <w:i/>
                <w:iCs/>
                <w:sz w:val="20"/>
                <w:szCs w:val="20"/>
              </w:rPr>
            </w:pPr>
            <w:r w:rsidRPr="00E963DB">
              <w:rPr>
                <w:rFonts w:ascii="Arial Narrow" w:eastAsia="Calibri" w:hAnsi="Arial Narrow"/>
                <w:i/>
                <w:iCs/>
                <w:sz w:val="20"/>
                <w:szCs w:val="20"/>
              </w:rPr>
              <w:t>Patient must have non-neurological manifestations of alpha mannosidosis.</w:t>
            </w:r>
          </w:p>
        </w:tc>
      </w:tr>
      <w:tr w:rsidR="00E963DB" w:rsidRPr="00E963DB" w:rsidDel="004717FD" w14:paraId="008BEA5B"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7DBC9BB3" w14:textId="77777777" w:rsidR="00E963DB" w:rsidRPr="00E963DB" w:rsidDel="004717FD" w:rsidRDefault="00E963DB" w:rsidP="00E963DB">
            <w:pPr>
              <w:jc w:val="center"/>
              <w:rPr>
                <w:rFonts w:ascii="Arial Narrow" w:hAnsi="Arial Narrow"/>
                <w:i/>
                <w:iCs/>
                <w:color w:val="000000" w:themeColor="text1"/>
                <w:sz w:val="20"/>
                <w:szCs w:val="20"/>
              </w:rPr>
            </w:pPr>
          </w:p>
        </w:tc>
        <w:tc>
          <w:tcPr>
            <w:tcW w:w="4116" w:type="pct"/>
            <w:gridSpan w:val="7"/>
            <w:vAlign w:val="center"/>
          </w:tcPr>
          <w:p w14:paraId="47AE309E" w14:textId="77777777" w:rsidR="00E963DB" w:rsidRPr="00E963DB" w:rsidDel="004717FD" w:rsidRDefault="00E963DB" w:rsidP="00E963DB">
            <w:pPr>
              <w:rPr>
                <w:rFonts w:ascii="Arial Narrow" w:hAnsi="Arial Narrow"/>
                <w:i/>
                <w:iCs/>
                <w:sz w:val="20"/>
                <w:szCs w:val="20"/>
              </w:rPr>
            </w:pPr>
            <w:r w:rsidRPr="00E963DB">
              <w:rPr>
                <w:rFonts w:ascii="Arial Narrow" w:hAnsi="Arial Narrow"/>
                <w:b/>
                <w:bCs/>
                <w:i/>
                <w:iCs/>
                <w:sz w:val="20"/>
                <w:szCs w:val="20"/>
              </w:rPr>
              <w:t>AND</w:t>
            </w:r>
          </w:p>
        </w:tc>
      </w:tr>
      <w:tr w:rsidR="00E963DB" w:rsidRPr="00E963DB" w:rsidDel="004717FD" w14:paraId="1E11E06B"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12AA4714" w14:textId="77777777" w:rsidR="00E963DB" w:rsidRPr="00E963DB" w:rsidDel="004717FD"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27604</w:t>
            </w:r>
          </w:p>
        </w:tc>
        <w:tc>
          <w:tcPr>
            <w:tcW w:w="4116" w:type="pct"/>
            <w:gridSpan w:val="7"/>
            <w:vAlign w:val="center"/>
          </w:tcPr>
          <w:p w14:paraId="29758F94" w14:textId="77777777" w:rsidR="00E963DB" w:rsidRPr="00E963DB" w:rsidRDefault="00E963DB" w:rsidP="00E963DB">
            <w:pPr>
              <w:rPr>
                <w:rFonts w:ascii="Arial Narrow" w:hAnsi="Arial Narrow"/>
                <w:b/>
                <w:bCs/>
                <w:i/>
                <w:iCs/>
                <w:sz w:val="20"/>
                <w:szCs w:val="20"/>
              </w:rPr>
            </w:pPr>
            <w:r w:rsidRPr="00E963DB">
              <w:rPr>
                <w:rFonts w:ascii="Arial Narrow" w:hAnsi="Arial Narrow"/>
                <w:b/>
                <w:bCs/>
                <w:i/>
                <w:iCs/>
                <w:sz w:val="20"/>
                <w:szCs w:val="20"/>
              </w:rPr>
              <w:t>Clinical criteria:</w:t>
            </w:r>
          </w:p>
        </w:tc>
      </w:tr>
      <w:tr w:rsidR="00E963DB" w:rsidRPr="00E963DB" w:rsidDel="004717FD" w14:paraId="0961B9C4"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2EDB3B2E" w14:textId="77777777" w:rsidR="00E963DB" w:rsidRPr="00E963DB" w:rsidDel="004717FD"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27603</w:t>
            </w:r>
          </w:p>
        </w:tc>
        <w:tc>
          <w:tcPr>
            <w:tcW w:w="4116" w:type="pct"/>
            <w:gridSpan w:val="7"/>
            <w:vAlign w:val="center"/>
          </w:tcPr>
          <w:p w14:paraId="2B7A2ECA" w14:textId="77777777" w:rsidR="00E963DB" w:rsidRPr="00E963DB" w:rsidRDefault="00E963DB" w:rsidP="00E963DB">
            <w:pPr>
              <w:rPr>
                <w:rFonts w:ascii="Arial Narrow" w:hAnsi="Arial Narrow"/>
                <w:b/>
                <w:bCs/>
                <w:i/>
                <w:iCs/>
                <w:sz w:val="20"/>
                <w:szCs w:val="20"/>
              </w:rPr>
            </w:pPr>
            <w:r w:rsidRPr="00E963DB">
              <w:rPr>
                <w:rFonts w:ascii="Arial Narrow" w:eastAsia="Calibri" w:hAnsi="Arial Narrow"/>
                <w:i/>
                <w:iCs/>
                <w:sz w:val="20"/>
                <w:szCs w:val="20"/>
              </w:rPr>
              <w:t>The treatment must be given concomitantly with best supportive care for this condition.</w:t>
            </w:r>
          </w:p>
        </w:tc>
      </w:tr>
      <w:tr w:rsidR="00E963DB" w:rsidRPr="00E963DB" w:rsidDel="004717FD" w14:paraId="64E51B66"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05203CC8" w14:textId="77777777" w:rsidR="00E963DB" w:rsidRPr="00E963DB"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New TC</w:t>
            </w:r>
          </w:p>
        </w:tc>
        <w:tc>
          <w:tcPr>
            <w:tcW w:w="4116" w:type="pct"/>
            <w:gridSpan w:val="7"/>
            <w:vAlign w:val="center"/>
          </w:tcPr>
          <w:p w14:paraId="40C872B3" w14:textId="77777777" w:rsidR="00E963DB" w:rsidRPr="00E963DB" w:rsidRDefault="00E963DB" w:rsidP="00E963DB">
            <w:pPr>
              <w:rPr>
                <w:rFonts w:ascii="Arial Narrow" w:eastAsia="Calibri" w:hAnsi="Arial Narrow"/>
                <w:i/>
                <w:iCs/>
                <w:sz w:val="20"/>
                <w:szCs w:val="20"/>
              </w:rPr>
            </w:pPr>
            <w:r w:rsidRPr="00E963DB">
              <w:rPr>
                <w:rFonts w:ascii="Arial Narrow" w:hAnsi="Arial Narrow"/>
                <w:b/>
                <w:bCs/>
                <w:i/>
                <w:iCs/>
                <w:sz w:val="20"/>
                <w:szCs w:val="20"/>
              </w:rPr>
              <w:t>Treatment criteria:</w:t>
            </w:r>
          </w:p>
        </w:tc>
      </w:tr>
      <w:tr w:rsidR="00E963DB" w:rsidRPr="00E963DB" w:rsidDel="004717FD" w14:paraId="59E3DD42"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4458FC75" w14:textId="77777777" w:rsidR="00E963DB" w:rsidRPr="00E963DB"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New TC</w:t>
            </w:r>
          </w:p>
        </w:tc>
        <w:tc>
          <w:tcPr>
            <w:tcW w:w="4116" w:type="pct"/>
            <w:gridSpan w:val="7"/>
            <w:vAlign w:val="center"/>
          </w:tcPr>
          <w:p w14:paraId="24D9FDA1" w14:textId="77777777" w:rsidR="00E963DB" w:rsidRPr="00E963DB" w:rsidRDefault="00E963DB" w:rsidP="00E963DB">
            <w:pPr>
              <w:rPr>
                <w:rFonts w:ascii="Arial Narrow" w:eastAsia="Calibri" w:hAnsi="Arial Narrow"/>
                <w:i/>
                <w:iCs/>
                <w:sz w:val="20"/>
                <w:szCs w:val="20"/>
              </w:rPr>
            </w:pPr>
            <w:r w:rsidRPr="00E963DB">
              <w:rPr>
                <w:rFonts w:ascii="Arial Narrow" w:eastAsia="Calibri" w:hAnsi="Arial Narrow"/>
                <w:i/>
                <w:iCs/>
                <w:sz w:val="20"/>
                <w:szCs w:val="20"/>
              </w:rPr>
              <w:t>Must be treated by a physician with expertise in the diagnosis and management of alpha-mannosidase, OR</w:t>
            </w:r>
          </w:p>
        </w:tc>
      </w:tr>
      <w:tr w:rsidR="00E963DB" w:rsidRPr="00E963DB" w:rsidDel="004717FD" w14:paraId="6450EBD1"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15AC09AA" w14:textId="77777777" w:rsidR="00E963DB" w:rsidRPr="00E963DB"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New TC</w:t>
            </w:r>
          </w:p>
        </w:tc>
        <w:tc>
          <w:tcPr>
            <w:tcW w:w="4116" w:type="pct"/>
            <w:gridSpan w:val="7"/>
            <w:vAlign w:val="center"/>
          </w:tcPr>
          <w:p w14:paraId="03FB8CB0" w14:textId="77777777" w:rsidR="00E963DB" w:rsidRPr="00E963DB" w:rsidRDefault="00E963DB" w:rsidP="00E963DB">
            <w:pPr>
              <w:rPr>
                <w:rFonts w:ascii="Arial Narrow" w:eastAsia="Calibri" w:hAnsi="Arial Narrow"/>
                <w:i/>
                <w:iCs/>
                <w:sz w:val="20"/>
                <w:szCs w:val="20"/>
              </w:rPr>
            </w:pPr>
            <w:r w:rsidRPr="00E963DB">
              <w:rPr>
                <w:rFonts w:ascii="Arial Narrow" w:eastAsia="Calibri" w:hAnsi="Arial Narrow"/>
                <w:i/>
                <w:iCs/>
                <w:sz w:val="20"/>
                <w:szCs w:val="20"/>
              </w:rPr>
              <w:t>Must be treated by a physician affiliated with a metabolic clinic or a hospital recognised in the management of alpha-mannosidosis.</w:t>
            </w:r>
          </w:p>
        </w:tc>
      </w:tr>
      <w:tr w:rsidR="00E963DB" w:rsidRPr="00E963DB" w:rsidDel="004717FD" w14:paraId="3CFAE6A1"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0F738D64" w14:textId="77777777" w:rsidR="00E963DB" w:rsidRPr="00E963DB" w:rsidRDefault="00E963DB" w:rsidP="00E963DB">
            <w:pPr>
              <w:jc w:val="center"/>
              <w:rPr>
                <w:rFonts w:ascii="Arial Narrow" w:hAnsi="Arial Narrow"/>
                <w:i/>
                <w:iCs/>
                <w:color w:val="000000" w:themeColor="text1"/>
                <w:sz w:val="20"/>
                <w:szCs w:val="20"/>
              </w:rPr>
            </w:pPr>
            <w:r w:rsidRPr="00E963DB">
              <w:rPr>
                <w:rFonts w:ascii="Arial Narrow" w:hAnsi="Arial Narrow"/>
                <w:i/>
                <w:iCs/>
                <w:color w:val="000000" w:themeColor="text1"/>
                <w:sz w:val="20"/>
                <w:szCs w:val="20"/>
              </w:rPr>
              <w:t>New PI</w:t>
            </w:r>
          </w:p>
          <w:p w14:paraId="5F03EE59" w14:textId="77777777" w:rsidR="00E963DB" w:rsidRPr="00E963DB" w:rsidDel="004717FD" w:rsidRDefault="00E963DB" w:rsidP="00E963DB">
            <w:pPr>
              <w:jc w:val="center"/>
              <w:rPr>
                <w:rFonts w:ascii="Arial Narrow" w:hAnsi="Arial Narrow"/>
                <w:i/>
                <w:iCs/>
                <w:color w:val="000000" w:themeColor="text1"/>
                <w:sz w:val="20"/>
                <w:szCs w:val="20"/>
              </w:rPr>
            </w:pPr>
          </w:p>
        </w:tc>
        <w:tc>
          <w:tcPr>
            <w:tcW w:w="4116" w:type="pct"/>
            <w:gridSpan w:val="7"/>
            <w:vAlign w:val="center"/>
          </w:tcPr>
          <w:p w14:paraId="34DBAEF0" w14:textId="77777777" w:rsidR="00E963DB" w:rsidRPr="00E963DB" w:rsidRDefault="00E963DB" w:rsidP="00E963DB">
            <w:pPr>
              <w:rPr>
                <w:rFonts w:ascii="Arial Narrow" w:eastAsia="Calibri" w:hAnsi="Arial Narrow"/>
                <w:b/>
                <w:bCs/>
                <w:i/>
                <w:iCs/>
                <w:sz w:val="20"/>
                <w:szCs w:val="20"/>
              </w:rPr>
            </w:pPr>
            <w:r w:rsidRPr="00E963DB">
              <w:rPr>
                <w:rFonts w:ascii="Arial Narrow" w:hAnsi="Arial Narrow"/>
                <w:b/>
                <w:bCs/>
                <w:i/>
                <w:iCs/>
                <w:sz w:val="20"/>
                <w:szCs w:val="20"/>
              </w:rPr>
              <w:t>Prescribing Instruction:</w:t>
            </w:r>
            <w:r w:rsidRPr="00E963DB">
              <w:rPr>
                <w:rFonts w:ascii="Arial Narrow" w:eastAsia="Calibri" w:hAnsi="Arial Narrow"/>
                <w:b/>
                <w:bCs/>
                <w:i/>
                <w:iCs/>
                <w:sz w:val="20"/>
                <w:szCs w:val="20"/>
              </w:rPr>
              <w:t xml:space="preserve"> </w:t>
            </w:r>
          </w:p>
          <w:p w14:paraId="6AD30886" w14:textId="77777777" w:rsidR="00E963DB" w:rsidRPr="00E963DB" w:rsidDel="004717FD" w:rsidRDefault="00E963DB" w:rsidP="00E963DB">
            <w:pPr>
              <w:rPr>
                <w:rFonts w:ascii="Arial Narrow" w:hAnsi="Arial Narrow"/>
                <w:i/>
                <w:iCs/>
                <w:sz w:val="20"/>
                <w:szCs w:val="20"/>
              </w:rPr>
            </w:pPr>
            <w:r w:rsidRPr="00E963DB">
              <w:rPr>
                <w:rFonts w:ascii="Arial Narrow" w:eastAsia="Calibri" w:hAnsi="Arial Narrow"/>
                <w:i/>
                <w:iCs/>
                <w:sz w:val="20"/>
                <w:szCs w:val="20"/>
              </w:rPr>
              <w:t>At the time of authority application, prescribers must request the appropriate number of vials, based on the body weight of the patient, to provide sufficient drug for 4 weeks of treatment, according to the specified dosage in the Therapeutic Goods Administration (TGA) approved Product Information.</w:t>
            </w:r>
          </w:p>
        </w:tc>
      </w:tr>
      <w:tr w:rsidR="00E963DB" w:rsidRPr="00E963DB" w:rsidDel="004717FD" w14:paraId="776155E7"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006E8256" w14:textId="77777777" w:rsidR="00E963DB" w:rsidRPr="00E963DB" w:rsidRDefault="00E963DB" w:rsidP="00E963DB">
            <w:pPr>
              <w:jc w:val="center"/>
              <w:textAlignment w:val="baseline"/>
              <w:rPr>
                <w:rFonts w:ascii="Arial Narrow" w:hAnsi="Arial Narrow" w:cs="Segoe UI"/>
                <w:i/>
                <w:iCs/>
                <w:sz w:val="20"/>
                <w:szCs w:val="20"/>
              </w:rPr>
            </w:pPr>
            <w:r w:rsidRPr="00E963DB">
              <w:rPr>
                <w:rFonts w:ascii="Arial Narrow" w:hAnsi="Arial Narrow" w:cs="Segoe UI"/>
                <w:i/>
                <w:iCs/>
                <w:sz w:val="20"/>
                <w:szCs w:val="20"/>
              </w:rPr>
              <w:t> </w:t>
            </w:r>
          </w:p>
          <w:p w14:paraId="2A8ADA89" w14:textId="77777777" w:rsidR="00E963DB" w:rsidRPr="00E963DB" w:rsidDel="004717FD" w:rsidRDefault="00E963DB" w:rsidP="00E963DB">
            <w:pPr>
              <w:jc w:val="center"/>
              <w:rPr>
                <w:rFonts w:ascii="Arial Narrow" w:hAnsi="Arial Narrow"/>
                <w:i/>
                <w:iCs/>
                <w:color w:val="000000" w:themeColor="text1"/>
                <w:sz w:val="20"/>
                <w:szCs w:val="20"/>
              </w:rPr>
            </w:pPr>
            <w:r w:rsidRPr="00E963DB">
              <w:rPr>
                <w:rFonts w:ascii="Arial Narrow" w:hAnsi="Arial Narrow" w:cs="Segoe UI"/>
                <w:i/>
                <w:iCs/>
                <w:sz w:val="20"/>
                <w:szCs w:val="20"/>
              </w:rPr>
              <w:t>34031 </w:t>
            </w:r>
          </w:p>
        </w:tc>
        <w:tc>
          <w:tcPr>
            <w:tcW w:w="4116" w:type="pct"/>
            <w:gridSpan w:val="7"/>
            <w:vAlign w:val="center"/>
          </w:tcPr>
          <w:p w14:paraId="2BEE8394" w14:textId="77777777" w:rsidR="00E963DB" w:rsidRPr="00E963DB" w:rsidRDefault="00E963DB" w:rsidP="00E963DB">
            <w:pPr>
              <w:textAlignment w:val="baseline"/>
              <w:rPr>
                <w:rFonts w:ascii="Arial Narrow" w:hAnsi="Arial Narrow" w:cs="Segoe UI"/>
                <w:i/>
                <w:iCs/>
                <w:sz w:val="20"/>
                <w:szCs w:val="20"/>
              </w:rPr>
            </w:pPr>
            <w:r w:rsidRPr="00E963DB">
              <w:rPr>
                <w:rFonts w:ascii="Arial Narrow" w:hAnsi="Arial Narrow" w:cs="Segoe UI"/>
                <w:b/>
                <w:bCs/>
                <w:i/>
                <w:iCs/>
                <w:sz w:val="20"/>
                <w:szCs w:val="20"/>
              </w:rPr>
              <w:t>Prescribing Instructions:</w:t>
            </w:r>
            <w:r w:rsidRPr="00E963DB">
              <w:rPr>
                <w:rFonts w:ascii="Arial Narrow" w:hAnsi="Arial Narrow" w:cs="Segoe UI"/>
                <w:i/>
                <w:iCs/>
                <w:sz w:val="20"/>
                <w:szCs w:val="20"/>
              </w:rPr>
              <w:t> </w:t>
            </w:r>
          </w:p>
          <w:p w14:paraId="783A8085" w14:textId="77777777" w:rsidR="00E963DB" w:rsidRPr="00E963DB" w:rsidDel="004717FD" w:rsidRDefault="00E963DB" w:rsidP="00E963DB">
            <w:pPr>
              <w:rPr>
                <w:rFonts w:ascii="Arial Narrow" w:hAnsi="Arial Narrow"/>
                <w:i/>
                <w:iCs/>
                <w:sz w:val="20"/>
                <w:szCs w:val="20"/>
              </w:rPr>
            </w:pPr>
            <w:r w:rsidRPr="00E963DB">
              <w:rPr>
                <w:rFonts w:ascii="Arial Narrow" w:hAnsi="Arial Narrow" w:cs="Segoe UI"/>
                <w:i/>
                <w:iCs/>
                <w:sz w:val="20"/>
                <w:szCs w:val="20"/>
              </w:rPr>
              <w:t>The authority application must be made via the Online PBS Authorities System, or in writing via HPOS form upload or mail. </w:t>
            </w:r>
          </w:p>
        </w:tc>
      </w:tr>
      <w:tr w:rsidR="00E963DB" w:rsidRPr="00E963DB" w:rsidDel="004717FD" w14:paraId="6BA1DC6C" w14:textId="77777777" w:rsidTr="0088523E">
        <w:tblPrEx>
          <w:tblCellMar>
            <w:top w:w="15" w:type="dxa"/>
            <w:left w:w="15" w:type="dxa"/>
            <w:bottom w:w="15" w:type="dxa"/>
            <w:right w:w="15" w:type="dxa"/>
          </w:tblCellMar>
          <w:tblLook w:val="04A0" w:firstRow="1" w:lastRow="0" w:firstColumn="1" w:lastColumn="0" w:noHBand="0" w:noVBand="1"/>
        </w:tblPrEx>
        <w:tc>
          <w:tcPr>
            <w:tcW w:w="884" w:type="pct"/>
            <w:vAlign w:val="center"/>
          </w:tcPr>
          <w:p w14:paraId="6C297095" w14:textId="77777777" w:rsidR="00E963DB" w:rsidRPr="00E963DB" w:rsidDel="004717FD" w:rsidRDefault="00E963DB" w:rsidP="00E963DB">
            <w:pPr>
              <w:jc w:val="center"/>
              <w:rPr>
                <w:rFonts w:ascii="Arial Narrow" w:hAnsi="Arial Narrow"/>
                <w:i/>
                <w:iCs/>
                <w:color w:val="000000" w:themeColor="text1"/>
                <w:sz w:val="20"/>
                <w:szCs w:val="20"/>
              </w:rPr>
            </w:pPr>
            <w:r w:rsidRPr="00E963DB">
              <w:rPr>
                <w:rFonts w:ascii="Arial Narrow" w:hAnsi="Arial Narrow" w:cs="Segoe UI"/>
                <w:i/>
                <w:iCs/>
                <w:sz w:val="20"/>
                <w:szCs w:val="20"/>
              </w:rPr>
              <w:t>32529 </w:t>
            </w:r>
          </w:p>
        </w:tc>
        <w:tc>
          <w:tcPr>
            <w:tcW w:w="4116" w:type="pct"/>
            <w:gridSpan w:val="7"/>
            <w:vAlign w:val="center"/>
          </w:tcPr>
          <w:p w14:paraId="0CD0F31A" w14:textId="77777777" w:rsidR="00E963DB" w:rsidRPr="00E963DB" w:rsidRDefault="00E963DB" w:rsidP="00E963DB">
            <w:pPr>
              <w:textAlignment w:val="baseline"/>
              <w:rPr>
                <w:rFonts w:ascii="Arial Narrow" w:hAnsi="Arial Narrow" w:cs="Segoe UI"/>
                <w:i/>
                <w:iCs/>
                <w:sz w:val="20"/>
                <w:szCs w:val="20"/>
              </w:rPr>
            </w:pPr>
            <w:r w:rsidRPr="00E963DB">
              <w:rPr>
                <w:rFonts w:ascii="Arial Narrow" w:hAnsi="Arial Narrow" w:cs="Segoe UI"/>
                <w:b/>
                <w:bCs/>
                <w:i/>
                <w:iCs/>
                <w:sz w:val="20"/>
                <w:szCs w:val="20"/>
              </w:rPr>
              <w:t>Prescribing Instructions:</w:t>
            </w:r>
            <w:r w:rsidRPr="00E963DB">
              <w:rPr>
                <w:rFonts w:ascii="Arial Narrow" w:hAnsi="Arial Narrow" w:cs="Segoe UI"/>
                <w:i/>
                <w:iCs/>
                <w:sz w:val="20"/>
                <w:szCs w:val="20"/>
              </w:rPr>
              <w:t> </w:t>
            </w:r>
          </w:p>
          <w:p w14:paraId="470AE05F" w14:textId="77777777" w:rsidR="00E963DB" w:rsidRPr="00E963DB" w:rsidRDefault="00E963DB" w:rsidP="00E963DB">
            <w:pPr>
              <w:textAlignment w:val="baseline"/>
              <w:rPr>
                <w:rFonts w:ascii="Arial Narrow" w:hAnsi="Arial Narrow" w:cs="Segoe UI"/>
                <w:i/>
                <w:iCs/>
                <w:sz w:val="20"/>
                <w:szCs w:val="20"/>
              </w:rPr>
            </w:pPr>
            <w:r w:rsidRPr="00E963DB">
              <w:rPr>
                <w:rFonts w:ascii="Arial Narrow" w:hAnsi="Arial Narrow" w:cs="Segoe UI"/>
                <w:i/>
                <w:iCs/>
                <w:sz w:val="20"/>
                <w:szCs w:val="20"/>
              </w:rPr>
              <w:t>If the application is submitted through HPOS form upload or mail, it must include: </w:t>
            </w:r>
          </w:p>
          <w:p w14:paraId="074E71A2" w14:textId="77777777" w:rsidR="00E963DB" w:rsidRPr="00E963DB" w:rsidRDefault="00E963DB" w:rsidP="00E963DB">
            <w:pPr>
              <w:textAlignment w:val="baseline"/>
              <w:rPr>
                <w:rFonts w:ascii="Arial Narrow" w:hAnsi="Arial Narrow" w:cs="Segoe UI"/>
                <w:i/>
                <w:iCs/>
                <w:sz w:val="20"/>
                <w:szCs w:val="20"/>
              </w:rPr>
            </w:pPr>
            <w:r w:rsidRPr="00E963DB">
              <w:rPr>
                <w:rFonts w:ascii="Arial Narrow" w:hAnsi="Arial Narrow" w:cs="Segoe UI"/>
                <w:i/>
                <w:iCs/>
                <w:sz w:val="20"/>
                <w:szCs w:val="20"/>
              </w:rPr>
              <w:t>(i) details of the proposed prescription; and </w:t>
            </w:r>
          </w:p>
          <w:p w14:paraId="676A1483" w14:textId="77777777" w:rsidR="00E963DB" w:rsidRPr="00E963DB" w:rsidDel="004717FD" w:rsidRDefault="00E963DB" w:rsidP="00E963DB">
            <w:pPr>
              <w:rPr>
                <w:rFonts w:ascii="Arial Narrow" w:hAnsi="Arial Narrow"/>
                <w:i/>
                <w:iCs/>
                <w:sz w:val="20"/>
                <w:szCs w:val="20"/>
              </w:rPr>
            </w:pPr>
            <w:r w:rsidRPr="00E963DB">
              <w:rPr>
                <w:rFonts w:ascii="Arial Narrow" w:hAnsi="Arial Narrow" w:cs="Segoe UI"/>
                <w:i/>
                <w:iCs/>
                <w:sz w:val="20"/>
                <w:szCs w:val="20"/>
              </w:rPr>
              <w:t>(ii) a completed authority application form relevant to the indication and treatment phase (the latest version is located on the website specified in the Administrative Advice). </w:t>
            </w:r>
          </w:p>
        </w:tc>
      </w:tr>
    </w:tbl>
    <w:bookmarkEnd w:id="131"/>
    <w:p w14:paraId="6FAC2400" w14:textId="77777777" w:rsidR="00E963DB" w:rsidRPr="00E963DB" w:rsidRDefault="00E963DB" w:rsidP="00BC1D3C">
      <w:pPr>
        <w:pStyle w:val="3-BodyText"/>
        <w:numPr>
          <w:ilvl w:val="0"/>
          <w:numId w:val="0"/>
        </w:numPr>
        <w:ind w:left="720"/>
        <w:rPr>
          <w:i/>
          <w:iCs/>
        </w:rPr>
      </w:pPr>
      <w:r w:rsidRPr="00BC1D3C">
        <w:rPr>
          <w:i/>
        </w:rPr>
        <w:t>For more detail on PBAC’s view, see section 12 PBAC outcome.</w:t>
      </w:r>
    </w:p>
    <w:p w14:paraId="39EE0717" w14:textId="77777777" w:rsidR="00E963DB" w:rsidRPr="00E963DB" w:rsidRDefault="00E963DB" w:rsidP="00CD7617">
      <w:pPr>
        <w:keepLines/>
        <w:numPr>
          <w:ilvl w:val="0"/>
          <w:numId w:val="1"/>
        </w:numPr>
        <w:spacing w:before="240"/>
        <w:ind w:left="709" w:hanging="709"/>
        <w:outlineLvl w:val="0"/>
        <w:rPr>
          <w:b/>
          <w:sz w:val="32"/>
          <w:szCs w:val="32"/>
        </w:rPr>
      </w:pPr>
      <w:r w:rsidRPr="00E963DB">
        <w:rPr>
          <w:b/>
          <w:sz w:val="32"/>
          <w:szCs w:val="32"/>
        </w:rPr>
        <w:t>Consideration of the evidence</w:t>
      </w:r>
    </w:p>
    <w:p w14:paraId="7B92D731" w14:textId="77777777" w:rsidR="00E963DB" w:rsidRPr="00E963DB" w:rsidRDefault="00E963DB" w:rsidP="00E963DB">
      <w:pPr>
        <w:keepNext/>
        <w:spacing w:before="120" w:after="120"/>
        <w:outlineLvl w:val="1"/>
        <w:rPr>
          <w:rFonts w:asciiTheme="minorHAnsi" w:eastAsiaTheme="majorEastAsia" w:hAnsiTheme="minorHAnsi" w:cstheme="majorBidi"/>
          <w:b/>
          <w:i/>
          <w:spacing w:val="5"/>
          <w:kern w:val="28"/>
          <w:sz w:val="28"/>
          <w:szCs w:val="36"/>
          <w:lang w:eastAsia="en-US"/>
        </w:rPr>
      </w:pPr>
      <w:r w:rsidRPr="00E963DB">
        <w:rPr>
          <w:rFonts w:asciiTheme="minorHAnsi" w:eastAsiaTheme="majorEastAsia" w:hAnsiTheme="minorHAnsi" w:cstheme="majorBidi"/>
          <w:b/>
          <w:i/>
          <w:spacing w:val="5"/>
          <w:kern w:val="28"/>
          <w:sz w:val="28"/>
          <w:szCs w:val="36"/>
          <w:lang w:eastAsia="en-US"/>
        </w:rPr>
        <w:t>Clinical evidence</w:t>
      </w:r>
    </w:p>
    <w:p w14:paraId="4B566AD6" w14:textId="77777777" w:rsidR="00E963DB" w:rsidRPr="00E963DB" w:rsidRDefault="00E963DB" w:rsidP="006B2BAE">
      <w:pPr>
        <w:pStyle w:val="3-BodyText"/>
      </w:pPr>
      <w:r w:rsidRPr="00E963DB">
        <w:t>In July 2025, the PBAC, noting the rarity of the disease and paucity of available data, requested that all available clinical data, including any real world data and any further information related to the global treatment response (GTR) be provided.</w:t>
      </w:r>
    </w:p>
    <w:p w14:paraId="4D4D6D48" w14:textId="77777777" w:rsidR="00E963DB" w:rsidRPr="00E963DB" w:rsidRDefault="00E963DB" w:rsidP="007003EB">
      <w:pPr>
        <w:pStyle w:val="3-BodyText"/>
      </w:pPr>
      <w:r w:rsidRPr="00E963DB">
        <w:t>The deferral response provided:</w:t>
      </w:r>
    </w:p>
    <w:p w14:paraId="2E663F52" w14:textId="77777777" w:rsidR="00E963DB" w:rsidRPr="00E963DB" w:rsidRDefault="00E963DB" w:rsidP="00BC1D3C">
      <w:pPr>
        <w:pStyle w:val="ListParagraph"/>
        <w:ind w:left="1276"/>
      </w:pPr>
      <w:r w:rsidRPr="00E963DB">
        <w:t>Updated outcome presentations from the GTR model;</w:t>
      </w:r>
    </w:p>
    <w:p w14:paraId="2397F04D" w14:textId="77777777" w:rsidR="00E963DB" w:rsidRPr="00E963DB" w:rsidRDefault="00E963DB" w:rsidP="00BC1D3C">
      <w:pPr>
        <w:pStyle w:val="ListParagraph"/>
        <w:ind w:left="1276"/>
      </w:pPr>
      <w:r w:rsidRPr="00E963DB">
        <w:t xml:space="preserve">Physicians’ narratives from the </w:t>
      </w:r>
      <w:r w:rsidRPr="00E963DB">
        <w:rPr>
          <w:rFonts w:cstheme="minorHAnsi"/>
        </w:rPr>
        <w:t>É</w:t>
      </w:r>
      <w:r w:rsidRPr="00E963DB">
        <w:t>toile Alpha Registry; and</w:t>
      </w:r>
    </w:p>
    <w:p w14:paraId="16EA86B4" w14:textId="77777777" w:rsidR="00E963DB" w:rsidRPr="00E963DB" w:rsidRDefault="00E963DB" w:rsidP="00BC1D3C">
      <w:pPr>
        <w:pStyle w:val="ListParagraph"/>
        <w:ind w:left="1276"/>
      </w:pPr>
      <w:r w:rsidRPr="00E963DB">
        <w:t>Data from an international caregiver and patient survey.</w:t>
      </w:r>
    </w:p>
    <w:p w14:paraId="3E3E5ADE" w14:textId="77777777" w:rsidR="00E963DB" w:rsidRPr="00E963DB" w:rsidRDefault="00E963DB" w:rsidP="00E963DB">
      <w:pPr>
        <w:spacing w:after="120"/>
        <w:rPr>
          <w:rFonts w:asciiTheme="minorHAnsi" w:hAnsiTheme="minorHAnsi"/>
          <w:snapToGrid w:val="0"/>
          <w:u w:val="single"/>
        </w:rPr>
      </w:pPr>
      <w:r w:rsidRPr="00E963DB">
        <w:rPr>
          <w:rFonts w:asciiTheme="minorHAnsi" w:hAnsiTheme="minorHAnsi"/>
          <w:snapToGrid w:val="0"/>
          <w:u w:val="single"/>
        </w:rPr>
        <w:t>Global Treatment Response model</w:t>
      </w:r>
    </w:p>
    <w:p w14:paraId="7930C851" w14:textId="77777777" w:rsidR="00E963DB" w:rsidRPr="00E963DB" w:rsidRDefault="00E963DB" w:rsidP="00587CD0">
      <w:pPr>
        <w:pStyle w:val="3-BodyText"/>
      </w:pPr>
      <w:r w:rsidRPr="00E963DB">
        <w:t>The large variation in severity, disease stage, irreversibility and age of consent led to substantial variability at baseline for many measures in the key trial rhLAMAN-05 and the longer term, open-label trial, rhLAMAN-10. This heterogeneity reduced the value of descriptive statistics (mean or median values) or single outcome measures for demonstrating whether treatment was clinically meaningful.</w:t>
      </w:r>
    </w:p>
    <w:p w14:paraId="5F81CB2D" w14:textId="77777777" w:rsidR="00E963DB" w:rsidRPr="00E963DB" w:rsidRDefault="00E963DB" w:rsidP="009F2A8F">
      <w:pPr>
        <w:pStyle w:val="3-BodyText"/>
      </w:pPr>
      <w:r w:rsidRPr="00E963DB">
        <w:t xml:space="preserve">As no single sensitive outcome exists, a GTR model was applied </w:t>
      </w:r>
      <w:r w:rsidRPr="00E963DB">
        <w:rPr>
          <w:i/>
          <w:iCs/>
        </w:rPr>
        <w:t>post hoc</w:t>
      </w:r>
      <w:r w:rsidRPr="00E963DB">
        <w:t xml:space="preserve"> to capture treatment effects across multiple clinically relevant domains after 52 weeks in rhLAMAN-05 and at last observation in rhLAMAN-10</w:t>
      </w:r>
      <w:r w:rsidRPr="00E963DB">
        <w:rPr>
          <w:vertAlign w:val="superscript"/>
        </w:rPr>
        <w:footnoteReference w:id="5"/>
      </w:r>
      <w:r w:rsidRPr="00E963DB">
        <w:t>.</w:t>
      </w:r>
    </w:p>
    <w:p w14:paraId="115C7204" w14:textId="77777777" w:rsidR="00E963DB" w:rsidRPr="00E963DB" w:rsidRDefault="00E963DB" w:rsidP="009F2A8F">
      <w:pPr>
        <w:pStyle w:val="3-BodyText"/>
      </w:pPr>
      <w:r w:rsidRPr="00E963DB">
        <w:t>The GTR combines three domains:</w:t>
      </w:r>
    </w:p>
    <w:p w14:paraId="228EAFD0" w14:textId="77777777" w:rsidR="00E963DB" w:rsidRPr="00E963DB" w:rsidRDefault="00E963DB" w:rsidP="00BC1D3C">
      <w:pPr>
        <w:numPr>
          <w:ilvl w:val="1"/>
          <w:numId w:val="21"/>
        </w:numPr>
        <w:spacing w:before="120" w:after="120"/>
        <w:ind w:left="1418" w:hanging="357"/>
        <w:rPr>
          <w:rFonts w:asciiTheme="minorHAnsi" w:hAnsiTheme="minorHAnsi"/>
          <w:snapToGrid w:val="0"/>
        </w:rPr>
      </w:pPr>
      <w:r w:rsidRPr="00E963DB">
        <w:rPr>
          <w:rFonts w:asciiTheme="minorHAnsi" w:hAnsiTheme="minorHAnsi"/>
          <w:snapToGrid w:val="0"/>
        </w:rPr>
        <w:t>Pharmacodynamic: reduction in serum oligosaccharides;</w:t>
      </w:r>
    </w:p>
    <w:p w14:paraId="56FB866B" w14:textId="77777777" w:rsidR="00E963DB" w:rsidRPr="00E963DB" w:rsidRDefault="00E963DB" w:rsidP="00BC1D3C">
      <w:pPr>
        <w:numPr>
          <w:ilvl w:val="1"/>
          <w:numId w:val="21"/>
        </w:numPr>
        <w:spacing w:before="120" w:after="120"/>
        <w:ind w:left="1418" w:hanging="357"/>
        <w:rPr>
          <w:rFonts w:asciiTheme="minorHAnsi" w:hAnsiTheme="minorHAnsi"/>
          <w:snapToGrid w:val="0"/>
        </w:rPr>
      </w:pPr>
      <w:r w:rsidRPr="00E963DB">
        <w:rPr>
          <w:rFonts w:asciiTheme="minorHAnsi" w:hAnsiTheme="minorHAnsi"/>
          <w:snapToGrid w:val="0"/>
        </w:rPr>
        <w:t>Functional: stair climbing (3MSCT), walking endurance (6MWT), fine and gross motor proficiency, and lung function (FVC%);</w:t>
      </w:r>
    </w:p>
    <w:p w14:paraId="0A609822" w14:textId="77777777" w:rsidR="00E963DB" w:rsidRPr="00E963DB" w:rsidRDefault="00E963DB" w:rsidP="00BC1D3C">
      <w:pPr>
        <w:numPr>
          <w:ilvl w:val="1"/>
          <w:numId w:val="21"/>
        </w:numPr>
        <w:spacing w:before="120" w:after="120"/>
        <w:ind w:left="1418" w:hanging="357"/>
        <w:rPr>
          <w:rFonts w:asciiTheme="minorHAnsi" w:hAnsiTheme="minorHAnsi"/>
          <w:snapToGrid w:val="0"/>
        </w:rPr>
      </w:pPr>
      <w:r w:rsidRPr="00E963DB">
        <w:rPr>
          <w:rFonts w:asciiTheme="minorHAnsi" w:hAnsiTheme="minorHAnsi"/>
          <w:snapToGrid w:val="0"/>
        </w:rPr>
        <w:t>Quality of life: disease burden, disability scores and pain levels (CHAQ-DI, CHAQ-VAS).</w:t>
      </w:r>
    </w:p>
    <w:p w14:paraId="36B8FAFD" w14:textId="77777777" w:rsidR="00E963DB" w:rsidRPr="00E963DB" w:rsidRDefault="00E963DB" w:rsidP="005318F0">
      <w:pPr>
        <w:pStyle w:val="3-BodyText"/>
      </w:pPr>
      <w:r w:rsidRPr="00E963DB">
        <w:t>The deferral response stated that the results from rhLAMAN-05 and rhLAMAN-10 suggest that treatment with velmanase alfa can improve mobility, activities of daily living and quality of life outcomes, despite direct patient experience data not being provided.</w:t>
      </w:r>
    </w:p>
    <w:p w14:paraId="71817CF2" w14:textId="0F5BE272" w:rsidR="00E963DB" w:rsidRPr="00E963DB" w:rsidRDefault="00E963DB" w:rsidP="00CA3CEF">
      <w:pPr>
        <w:pStyle w:val="3-BodyText"/>
      </w:pPr>
      <w:r w:rsidRPr="00E963DB">
        <w:t xml:space="preserve">The GTR results for rhLAMAN-05 are presented in </w:t>
      </w:r>
      <w:r w:rsidRPr="00B14A03">
        <w:fldChar w:fldCharType="begin"/>
      </w:r>
      <w:r w:rsidRPr="00B14A03">
        <w:instrText xml:space="preserve"> REF _Ref214544015 \h </w:instrText>
      </w:r>
      <w:r w:rsidR="00B14A03">
        <w:instrText xml:space="preserve"> \* MERGEFORMAT </w:instrText>
      </w:r>
      <w:r w:rsidRPr="00B14A03">
        <w:fldChar w:fldCharType="separate"/>
      </w:r>
      <w:r w:rsidR="00B73A9E" w:rsidRPr="00B73A9E">
        <w:t>Figure 1</w:t>
      </w:r>
      <w:r w:rsidRPr="00B14A03">
        <w:fldChar w:fldCharType="end"/>
      </w:r>
      <w:r w:rsidRPr="00B14A03">
        <w:t xml:space="preserve">. </w:t>
      </w:r>
      <w:r w:rsidRPr="00E963DB">
        <w:t>A patient was considered a responder if they achieved clinically significant improvements in at least 2 of 3 domains. This resulted in 87% of velmanase alfa patients achieving a GTR at 12 months compared to 30% receiving placebo.</w:t>
      </w:r>
    </w:p>
    <w:p w14:paraId="0FA3433B" w14:textId="57021AA5" w:rsidR="00E963DB" w:rsidRPr="00E963DB" w:rsidRDefault="00E963DB" w:rsidP="00E963DB">
      <w:pPr>
        <w:keepNext/>
        <w:keepLines/>
        <w:jc w:val="left"/>
        <w:rPr>
          <w:rFonts w:ascii="Arial Narrow" w:hAnsi="Arial Narrow"/>
          <w:b/>
          <w:sz w:val="20"/>
          <w:szCs w:val="18"/>
        </w:rPr>
      </w:pPr>
      <w:bookmarkStart w:id="132" w:name="_Ref214544015"/>
      <w:bookmarkStart w:id="133" w:name="_Toc213678567"/>
      <w:r w:rsidRPr="00E963DB">
        <w:rPr>
          <w:rFonts w:ascii="Arial Narrow" w:hAnsi="Arial Narrow"/>
          <w:b/>
          <w:bCs/>
          <w:sz w:val="20"/>
          <w:szCs w:val="18"/>
        </w:rPr>
        <w:t xml:space="preserve">Figure </w:t>
      </w:r>
      <w:r w:rsidRPr="00E963DB">
        <w:rPr>
          <w:rFonts w:ascii="Arial Narrow" w:hAnsi="Arial Narrow"/>
          <w:b/>
          <w:bCs/>
          <w:sz w:val="20"/>
          <w:szCs w:val="18"/>
        </w:rPr>
        <w:fldChar w:fldCharType="begin"/>
      </w:r>
      <w:r w:rsidRPr="00E963DB">
        <w:rPr>
          <w:rFonts w:ascii="Arial Narrow" w:hAnsi="Arial Narrow"/>
          <w:b/>
          <w:bCs/>
          <w:sz w:val="20"/>
          <w:szCs w:val="18"/>
        </w:rPr>
        <w:instrText xml:space="preserve"> SEQ Figure \* ARABIC </w:instrText>
      </w:r>
      <w:r w:rsidRPr="00E963DB">
        <w:rPr>
          <w:rFonts w:ascii="Arial Narrow" w:hAnsi="Arial Narrow"/>
          <w:b/>
          <w:bCs/>
          <w:sz w:val="20"/>
          <w:szCs w:val="18"/>
        </w:rPr>
        <w:fldChar w:fldCharType="separate"/>
      </w:r>
      <w:r w:rsidR="00B73A9E">
        <w:rPr>
          <w:rFonts w:ascii="Arial Narrow" w:hAnsi="Arial Narrow"/>
          <w:b/>
          <w:bCs/>
          <w:noProof/>
          <w:sz w:val="20"/>
          <w:szCs w:val="18"/>
        </w:rPr>
        <w:t>1</w:t>
      </w:r>
      <w:r w:rsidRPr="00E963DB">
        <w:rPr>
          <w:rFonts w:ascii="Arial Narrow" w:hAnsi="Arial Narrow"/>
          <w:b/>
          <w:bCs/>
          <w:sz w:val="20"/>
          <w:szCs w:val="18"/>
        </w:rPr>
        <w:fldChar w:fldCharType="end"/>
      </w:r>
      <w:bookmarkEnd w:id="132"/>
      <w:r w:rsidRPr="00E963DB">
        <w:rPr>
          <w:rFonts w:ascii="Arial Narrow" w:hAnsi="Arial Narrow"/>
          <w:b/>
          <w:bCs/>
          <w:sz w:val="20"/>
          <w:szCs w:val="18"/>
        </w:rPr>
        <w:t>: (A) Multidomain responder analysis at month 12 – rhLAMAN-05 study; (B) Global treatment responders in rhLAMAN-05 study</w:t>
      </w:r>
      <w:bookmarkEnd w:id="133"/>
    </w:p>
    <w:p w14:paraId="0556F6E5" w14:textId="77777777" w:rsidR="00E963DB" w:rsidRPr="00E963DB" w:rsidRDefault="00E963DB" w:rsidP="00E963DB">
      <w:pPr>
        <w:rPr>
          <w:rFonts w:asciiTheme="minorHAnsi" w:hAnsiTheme="minorHAnsi"/>
          <w:snapToGrid w:val="0"/>
        </w:rPr>
      </w:pPr>
      <w:r w:rsidRPr="00E963DB">
        <w:rPr>
          <w:rFonts w:asciiTheme="minorHAnsi" w:hAnsiTheme="minorHAnsi"/>
          <w:noProof/>
          <w:snapToGrid w:val="0"/>
        </w:rPr>
        <w:drawing>
          <wp:inline distT="0" distB="0" distL="0" distR="0" wp14:anchorId="4048FBCE" wp14:editId="4AF0F0E4">
            <wp:extent cx="5563374" cy="4620272"/>
            <wp:effectExtent l="19050" t="19050" r="18415" b="27940"/>
            <wp:docPr id="468450706" name="Picture 468450706" descr="A graph of different types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50706" name="Picture 468450706" descr="A graph of different types of numbers&#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5563374" cy="4620272"/>
                    </a:xfrm>
                    <a:prstGeom prst="rect">
                      <a:avLst/>
                    </a:prstGeom>
                    <a:ln w="12700">
                      <a:solidFill>
                        <a:sysClr val="windowText" lastClr="000000"/>
                      </a:solidFill>
                    </a:ln>
                  </pic:spPr>
                </pic:pic>
              </a:graphicData>
            </a:graphic>
          </wp:inline>
        </w:drawing>
      </w:r>
    </w:p>
    <w:p w14:paraId="744A551A" w14:textId="77777777" w:rsidR="00E963DB" w:rsidRPr="00E963DB" w:rsidRDefault="00E963DB" w:rsidP="00E963DB">
      <w:pPr>
        <w:spacing w:after="120"/>
        <w:contextualSpacing/>
        <w:rPr>
          <w:rFonts w:ascii="Arial Narrow" w:hAnsi="Arial Narrow"/>
          <w:snapToGrid w:val="0"/>
          <w:sz w:val="18"/>
          <w:szCs w:val="22"/>
        </w:rPr>
      </w:pPr>
      <w:r w:rsidRPr="00E963DB">
        <w:rPr>
          <w:rFonts w:ascii="Arial Narrow" w:hAnsi="Arial Narrow"/>
          <w:snapToGrid w:val="0"/>
          <w:sz w:val="18"/>
          <w:szCs w:val="22"/>
        </w:rPr>
        <w:t>Source: Figure 2, p8 of the deferral response</w:t>
      </w:r>
    </w:p>
    <w:p w14:paraId="62AFC333" w14:textId="7CC334A0" w:rsidR="00E963DB" w:rsidRPr="00E963DB" w:rsidRDefault="00E963DB" w:rsidP="00F53D67">
      <w:pPr>
        <w:pStyle w:val="3-BodyText"/>
      </w:pPr>
      <w:r w:rsidRPr="00E963DB">
        <w:t xml:space="preserve">Following 48 months of treatment with velmanase alfa in rhLAMAN-10, 88% of patients achieved a GTR at last observation (see </w:t>
      </w:r>
      <w:r w:rsidRPr="00E963DB">
        <w:fldChar w:fldCharType="begin"/>
      </w:r>
      <w:r w:rsidRPr="00E963DB">
        <w:instrText xml:space="preserve"> REF _Ref214544093 \h </w:instrText>
      </w:r>
      <w:r w:rsidR="00B84DE7">
        <w:instrText xml:space="preserve"> \* MERGEFORMAT </w:instrText>
      </w:r>
      <w:r w:rsidRPr="00E963DB">
        <w:fldChar w:fldCharType="separate"/>
      </w:r>
      <w:r w:rsidR="00B73A9E" w:rsidRPr="00B73A9E">
        <w:t>Figure 2</w:t>
      </w:r>
      <w:r w:rsidRPr="00E963DB">
        <w:fldChar w:fldCharType="end"/>
      </w:r>
      <w:r w:rsidRPr="00E963DB">
        <w:t>).</w:t>
      </w:r>
    </w:p>
    <w:p w14:paraId="0BE06601" w14:textId="26FAE8EA" w:rsidR="00E963DB" w:rsidRPr="00E963DB" w:rsidRDefault="00E963DB" w:rsidP="00E963DB">
      <w:pPr>
        <w:keepNext/>
        <w:keepLines/>
        <w:jc w:val="left"/>
        <w:rPr>
          <w:rFonts w:ascii="Arial Narrow" w:hAnsi="Arial Narrow"/>
          <w:b/>
          <w:bCs/>
          <w:sz w:val="20"/>
          <w:szCs w:val="18"/>
        </w:rPr>
      </w:pPr>
      <w:bookmarkStart w:id="134" w:name="_Ref214544093"/>
      <w:bookmarkStart w:id="135" w:name="_Toc213678568"/>
      <w:r w:rsidRPr="00E963DB">
        <w:rPr>
          <w:rFonts w:ascii="Arial Narrow" w:hAnsi="Arial Narrow"/>
          <w:b/>
          <w:bCs/>
          <w:sz w:val="20"/>
          <w:szCs w:val="18"/>
        </w:rPr>
        <w:t xml:space="preserve">Figure </w:t>
      </w:r>
      <w:r w:rsidRPr="00E963DB">
        <w:rPr>
          <w:rFonts w:ascii="Arial Narrow" w:hAnsi="Arial Narrow"/>
          <w:b/>
          <w:bCs/>
          <w:sz w:val="20"/>
          <w:szCs w:val="18"/>
        </w:rPr>
        <w:fldChar w:fldCharType="begin"/>
      </w:r>
      <w:r w:rsidRPr="00E963DB">
        <w:rPr>
          <w:rFonts w:ascii="Arial Narrow" w:hAnsi="Arial Narrow"/>
          <w:b/>
          <w:bCs/>
          <w:sz w:val="20"/>
          <w:szCs w:val="18"/>
        </w:rPr>
        <w:instrText xml:space="preserve"> SEQ Figure \* ARABIC </w:instrText>
      </w:r>
      <w:r w:rsidRPr="00E963DB">
        <w:rPr>
          <w:rFonts w:ascii="Arial Narrow" w:hAnsi="Arial Narrow"/>
          <w:b/>
          <w:bCs/>
          <w:sz w:val="20"/>
          <w:szCs w:val="18"/>
        </w:rPr>
        <w:fldChar w:fldCharType="separate"/>
      </w:r>
      <w:r w:rsidR="00B73A9E">
        <w:rPr>
          <w:rFonts w:ascii="Arial Narrow" w:hAnsi="Arial Narrow"/>
          <w:b/>
          <w:bCs/>
          <w:noProof/>
          <w:sz w:val="20"/>
          <w:szCs w:val="18"/>
        </w:rPr>
        <w:t>2</w:t>
      </w:r>
      <w:r w:rsidRPr="00E963DB">
        <w:rPr>
          <w:rFonts w:ascii="Arial Narrow" w:hAnsi="Arial Narrow"/>
          <w:b/>
          <w:bCs/>
          <w:sz w:val="20"/>
          <w:szCs w:val="18"/>
        </w:rPr>
        <w:fldChar w:fldCharType="end"/>
      </w:r>
      <w:bookmarkEnd w:id="134"/>
      <w:r w:rsidRPr="00E963DB">
        <w:rPr>
          <w:rFonts w:ascii="Arial Narrow" w:hAnsi="Arial Narrow"/>
          <w:b/>
          <w:bCs/>
          <w:sz w:val="20"/>
          <w:szCs w:val="18"/>
        </w:rPr>
        <w:t>: (A) Multidomain responder analysis at month 12 – rhLAMAN-10 study; (B) Multidomain responder analysis at last observation: rhLAMAN-10 study; (C) Global treatment responders in rhLAMAN-10 study</w:t>
      </w:r>
      <w:bookmarkEnd w:id="135"/>
      <w:r w:rsidRPr="00E963DB">
        <w:rPr>
          <w:rFonts w:ascii="Arial Narrow" w:hAnsi="Arial Narrow"/>
          <w:b/>
          <w:bCs/>
          <w:noProof/>
          <w:sz w:val="20"/>
          <w:szCs w:val="18"/>
        </w:rPr>
        <w:drawing>
          <wp:inline distT="0" distB="0" distL="0" distR="0" wp14:anchorId="1856399D" wp14:editId="45248DA7">
            <wp:extent cx="5658269" cy="7138630"/>
            <wp:effectExtent l="12700" t="12700" r="6350" b="12065"/>
            <wp:docPr id="113045323" name="Picture 113045323" descr="A graph of different siz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45323" name="Picture 113045323" descr="A graph of different sizes and number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673752" cy="7158164"/>
                    </a:xfrm>
                    <a:prstGeom prst="rect">
                      <a:avLst/>
                    </a:prstGeom>
                    <a:ln w="12700">
                      <a:solidFill>
                        <a:sysClr val="windowText" lastClr="000000"/>
                      </a:solidFill>
                    </a:ln>
                  </pic:spPr>
                </pic:pic>
              </a:graphicData>
            </a:graphic>
          </wp:inline>
        </w:drawing>
      </w:r>
    </w:p>
    <w:p w14:paraId="3AB5EC1C" w14:textId="77777777" w:rsidR="00E963DB" w:rsidRPr="00E963DB" w:rsidRDefault="00E963DB" w:rsidP="00E963DB">
      <w:pPr>
        <w:spacing w:after="120"/>
        <w:contextualSpacing/>
        <w:rPr>
          <w:rFonts w:ascii="Arial Narrow" w:hAnsi="Arial Narrow"/>
          <w:snapToGrid w:val="0"/>
          <w:sz w:val="18"/>
          <w:szCs w:val="22"/>
        </w:rPr>
      </w:pPr>
      <w:r w:rsidRPr="00E963DB">
        <w:rPr>
          <w:rFonts w:ascii="Arial Narrow" w:hAnsi="Arial Narrow"/>
          <w:snapToGrid w:val="0"/>
          <w:sz w:val="18"/>
          <w:szCs w:val="22"/>
        </w:rPr>
        <w:t>Source: Figure 3, p9 of the deferral response</w:t>
      </w:r>
    </w:p>
    <w:p w14:paraId="702FCD67" w14:textId="47958ED5" w:rsidR="00E963DB" w:rsidRPr="00E963DB" w:rsidRDefault="00E963DB" w:rsidP="005E3745">
      <w:pPr>
        <w:pStyle w:val="3-BodyText"/>
      </w:pPr>
      <w:r w:rsidRPr="00E963DB">
        <w:t xml:space="preserve">Additionally, 100% of paediatric patients and 71% of adults achieved a GTR, and 52.6% of paediatric patients achieved a response in all 3 domains, suggesting that a larger magnitude of improvement is likely to be achieved with early treatment (see </w:t>
      </w:r>
      <w:r w:rsidRPr="00E963DB">
        <w:fldChar w:fldCharType="begin"/>
      </w:r>
      <w:r w:rsidRPr="00E963DB">
        <w:instrText xml:space="preserve"> REF _Ref214544131 \h </w:instrText>
      </w:r>
      <w:r w:rsidR="00B84DE7">
        <w:instrText xml:space="preserve"> \* MERGEFORMAT </w:instrText>
      </w:r>
      <w:r w:rsidRPr="00E963DB">
        <w:fldChar w:fldCharType="separate"/>
      </w:r>
      <w:r w:rsidR="00B73A9E" w:rsidRPr="00B73A9E">
        <w:t>Figure 3</w:t>
      </w:r>
      <w:r w:rsidRPr="00E963DB">
        <w:fldChar w:fldCharType="end"/>
      </w:r>
      <w:r w:rsidRPr="00E963DB">
        <w:t xml:space="preserve"> and </w:t>
      </w:r>
      <w:r w:rsidRPr="00E963DB">
        <w:fldChar w:fldCharType="begin"/>
      </w:r>
      <w:r w:rsidRPr="00E963DB">
        <w:instrText xml:space="preserve"> REF _Ref214544170 \h </w:instrText>
      </w:r>
      <w:r w:rsidR="00B84DE7">
        <w:instrText xml:space="preserve"> \* MERGEFORMAT </w:instrText>
      </w:r>
      <w:r w:rsidRPr="00E963DB">
        <w:fldChar w:fldCharType="separate"/>
      </w:r>
      <w:r w:rsidR="00B73A9E" w:rsidRPr="00E963DB">
        <w:t xml:space="preserve">Figure </w:t>
      </w:r>
      <w:r w:rsidR="00B73A9E">
        <w:t>4</w:t>
      </w:r>
      <w:r w:rsidRPr="00E963DB">
        <w:fldChar w:fldCharType="end"/>
      </w:r>
      <w:r w:rsidRPr="00E963DB">
        <w:t>).</w:t>
      </w:r>
    </w:p>
    <w:p w14:paraId="74E7E373" w14:textId="69BC4219" w:rsidR="00E963DB" w:rsidRPr="00E963DB" w:rsidRDefault="00E963DB" w:rsidP="00E963DB">
      <w:pPr>
        <w:keepNext/>
        <w:keepLines/>
        <w:jc w:val="left"/>
        <w:rPr>
          <w:rFonts w:ascii="Arial Narrow" w:hAnsi="Arial Narrow"/>
          <w:b/>
          <w:bCs/>
          <w:sz w:val="20"/>
          <w:szCs w:val="18"/>
        </w:rPr>
      </w:pPr>
      <w:bookmarkStart w:id="136" w:name="_Ref214544131"/>
      <w:bookmarkStart w:id="137" w:name="_Toc213678569"/>
      <w:r w:rsidRPr="00E963DB">
        <w:rPr>
          <w:rFonts w:ascii="Arial Narrow" w:hAnsi="Arial Narrow"/>
          <w:b/>
          <w:bCs/>
          <w:sz w:val="20"/>
          <w:szCs w:val="18"/>
        </w:rPr>
        <w:t xml:space="preserve">Figure </w:t>
      </w:r>
      <w:r w:rsidRPr="00E963DB">
        <w:rPr>
          <w:rFonts w:ascii="Arial Narrow" w:hAnsi="Arial Narrow"/>
          <w:b/>
          <w:bCs/>
          <w:sz w:val="20"/>
          <w:szCs w:val="18"/>
        </w:rPr>
        <w:fldChar w:fldCharType="begin"/>
      </w:r>
      <w:r w:rsidRPr="00E963DB">
        <w:rPr>
          <w:rFonts w:ascii="Arial Narrow" w:hAnsi="Arial Narrow"/>
          <w:b/>
          <w:bCs/>
          <w:sz w:val="20"/>
          <w:szCs w:val="18"/>
        </w:rPr>
        <w:instrText xml:space="preserve"> SEQ Figure \* ARABIC </w:instrText>
      </w:r>
      <w:r w:rsidRPr="00E963DB">
        <w:rPr>
          <w:rFonts w:ascii="Arial Narrow" w:hAnsi="Arial Narrow"/>
          <w:b/>
          <w:bCs/>
          <w:sz w:val="20"/>
          <w:szCs w:val="18"/>
        </w:rPr>
        <w:fldChar w:fldCharType="separate"/>
      </w:r>
      <w:r w:rsidR="00B73A9E">
        <w:rPr>
          <w:rFonts w:ascii="Arial Narrow" w:hAnsi="Arial Narrow"/>
          <w:b/>
          <w:bCs/>
          <w:noProof/>
          <w:sz w:val="20"/>
          <w:szCs w:val="18"/>
        </w:rPr>
        <w:t>3</w:t>
      </w:r>
      <w:r w:rsidRPr="00E963DB">
        <w:rPr>
          <w:rFonts w:ascii="Arial Narrow" w:hAnsi="Arial Narrow"/>
          <w:b/>
          <w:bCs/>
          <w:sz w:val="20"/>
          <w:szCs w:val="18"/>
        </w:rPr>
        <w:fldChar w:fldCharType="end"/>
      </w:r>
      <w:bookmarkEnd w:id="136"/>
      <w:r w:rsidRPr="00E963DB">
        <w:rPr>
          <w:rFonts w:ascii="Arial Narrow" w:hAnsi="Arial Narrow"/>
          <w:b/>
          <w:bCs/>
          <w:sz w:val="20"/>
          <w:szCs w:val="18"/>
        </w:rPr>
        <w:t>: Percentage of Global treatment responders versus non-responders (age subgroups) at last observation: rhLAMAN-10 study</w:t>
      </w:r>
      <w:bookmarkEnd w:id="137"/>
      <w:r w:rsidRPr="00E963DB">
        <w:rPr>
          <w:rFonts w:ascii="Arial Narrow" w:hAnsi="Arial Narrow"/>
          <w:b/>
          <w:bCs/>
          <w:noProof/>
          <w:sz w:val="20"/>
          <w:szCs w:val="18"/>
        </w:rPr>
        <w:drawing>
          <wp:inline distT="0" distB="0" distL="0" distR="0" wp14:anchorId="272272EC" wp14:editId="6F9F8852">
            <wp:extent cx="5707786" cy="2511425"/>
            <wp:effectExtent l="19050" t="19050" r="26670" b="22225"/>
            <wp:docPr id="1739169847" name="Picture 1739169847" descr="A graph of a number of peop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69847" name="Picture 1739169847" descr="A graph of a number of people with black tex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5735114" cy="2523449"/>
                    </a:xfrm>
                    <a:prstGeom prst="rect">
                      <a:avLst/>
                    </a:prstGeom>
                    <a:ln w="12700">
                      <a:solidFill>
                        <a:sysClr val="windowText" lastClr="000000"/>
                      </a:solidFill>
                    </a:ln>
                  </pic:spPr>
                </pic:pic>
              </a:graphicData>
            </a:graphic>
          </wp:inline>
        </w:drawing>
      </w:r>
    </w:p>
    <w:p w14:paraId="7F0D9681" w14:textId="77777777" w:rsidR="00E963DB" w:rsidRPr="00E963DB" w:rsidRDefault="00E963DB" w:rsidP="00E963DB">
      <w:pPr>
        <w:spacing w:after="120"/>
        <w:contextualSpacing/>
        <w:rPr>
          <w:rFonts w:ascii="Arial Narrow" w:hAnsi="Arial Narrow"/>
          <w:snapToGrid w:val="0"/>
          <w:sz w:val="18"/>
          <w:szCs w:val="22"/>
        </w:rPr>
      </w:pPr>
      <w:bookmarkStart w:id="138" w:name="_Hlk208478072"/>
      <w:r w:rsidRPr="00E963DB">
        <w:rPr>
          <w:rFonts w:ascii="Arial Narrow" w:hAnsi="Arial Narrow"/>
          <w:snapToGrid w:val="0"/>
          <w:sz w:val="18"/>
          <w:szCs w:val="22"/>
        </w:rPr>
        <w:t>Source: Figure 4, p10 of the deferral response</w:t>
      </w:r>
      <w:bookmarkEnd w:id="138"/>
    </w:p>
    <w:p w14:paraId="4753CA13" w14:textId="72D2DFA2" w:rsidR="00E963DB" w:rsidRPr="00E963DB" w:rsidRDefault="00E963DB" w:rsidP="00EC1229">
      <w:pPr>
        <w:pStyle w:val="TableFigureHeading"/>
        <w:rPr>
          <w:b w:val="0"/>
          <w:bCs w:val="0"/>
          <w:szCs w:val="18"/>
        </w:rPr>
      </w:pPr>
      <w:bookmarkStart w:id="139" w:name="_Ref214544170"/>
      <w:bookmarkStart w:id="140" w:name="_Toc213678570"/>
      <w:r w:rsidRPr="00E963DB">
        <w:t xml:space="preserve">Figure </w:t>
      </w:r>
      <w:r w:rsidRPr="00E963DB">
        <w:rPr>
          <w:b w:val="0"/>
          <w:bCs w:val="0"/>
          <w:szCs w:val="18"/>
        </w:rPr>
        <w:fldChar w:fldCharType="begin"/>
      </w:r>
      <w:r w:rsidRPr="00E963DB">
        <w:instrText xml:space="preserve"> SEQ Figure \* ARABIC </w:instrText>
      </w:r>
      <w:r w:rsidRPr="00E963DB">
        <w:rPr>
          <w:b w:val="0"/>
          <w:bCs w:val="0"/>
          <w:szCs w:val="18"/>
        </w:rPr>
        <w:fldChar w:fldCharType="separate"/>
      </w:r>
      <w:r w:rsidR="00B73A9E">
        <w:rPr>
          <w:noProof/>
        </w:rPr>
        <w:t>4</w:t>
      </w:r>
      <w:r w:rsidRPr="00E963DB">
        <w:rPr>
          <w:b w:val="0"/>
          <w:bCs w:val="0"/>
          <w:szCs w:val="18"/>
        </w:rPr>
        <w:fldChar w:fldCharType="end"/>
      </w:r>
      <w:bookmarkEnd w:id="139"/>
      <w:r w:rsidRPr="00E963DB">
        <w:t>: Number of domains with improvement by age at last observation: rhLAMAN-10 study</w:t>
      </w:r>
      <w:bookmarkEnd w:id="140"/>
      <w:r w:rsidRPr="00E963DB">
        <w:rPr>
          <w:b w:val="0"/>
          <w:bCs w:val="0"/>
          <w:noProof/>
          <w:szCs w:val="18"/>
        </w:rPr>
        <w:drawing>
          <wp:inline distT="0" distB="0" distL="0" distR="0" wp14:anchorId="563DA1A8" wp14:editId="156F8B37">
            <wp:extent cx="5730697" cy="3673827"/>
            <wp:effectExtent l="19050" t="19050" r="22860" b="22225"/>
            <wp:docPr id="1641156281" name="Picture 1641156281" descr="A graph of numbers and a number of domain n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56281" name="Picture 1641156281" descr="A graph of numbers and a number of domain name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5783142" cy="3707448"/>
                    </a:xfrm>
                    <a:prstGeom prst="rect">
                      <a:avLst/>
                    </a:prstGeom>
                    <a:ln w="12700">
                      <a:solidFill>
                        <a:sysClr val="windowText" lastClr="000000"/>
                      </a:solidFill>
                    </a:ln>
                  </pic:spPr>
                </pic:pic>
              </a:graphicData>
            </a:graphic>
          </wp:inline>
        </w:drawing>
      </w:r>
    </w:p>
    <w:p w14:paraId="747C1470" w14:textId="77777777" w:rsidR="00E963DB" w:rsidRPr="00E963DB" w:rsidRDefault="00E963DB" w:rsidP="00E963DB">
      <w:pPr>
        <w:spacing w:after="120"/>
        <w:contextualSpacing/>
        <w:rPr>
          <w:rFonts w:ascii="Arial Narrow" w:hAnsi="Arial Narrow"/>
          <w:snapToGrid w:val="0"/>
          <w:sz w:val="18"/>
          <w:szCs w:val="22"/>
        </w:rPr>
      </w:pPr>
      <w:r w:rsidRPr="00E963DB">
        <w:rPr>
          <w:rFonts w:ascii="Arial Narrow" w:hAnsi="Arial Narrow"/>
          <w:snapToGrid w:val="0"/>
          <w:sz w:val="18"/>
          <w:szCs w:val="22"/>
        </w:rPr>
        <w:t>Source: Figure 5, p10 of the deferral response</w:t>
      </w:r>
    </w:p>
    <w:p w14:paraId="57290F36" w14:textId="77777777" w:rsidR="00E963DB" w:rsidRPr="00E963DB" w:rsidRDefault="00E963DB" w:rsidP="00E963DB">
      <w:pPr>
        <w:spacing w:after="120"/>
        <w:rPr>
          <w:rFonts w:asciiTheme="minorHAnsi" w:hAnsiTheme="minorHAnsi"/>
          <w:snapToGrid w:val="0"/>
          <w:u w:val="single"/>
        </w:rPr>
      </w:pPr>
      <w:r w:rsidRPr="00E963DB">
        <w:rPr>
          <w:rFonts w:asciiTheme="minorHAnsi" w:hAnsiTheme="minorHAnsi" w:cstheme="minorHAnsi"/>
          <w:snapToGrid w:val="0"/>
          <w:u w:val="single"/>
        </w:rPr>
        <w:t>É</w:t>
      </w:r>
      <w:r w:rsidRPr="00E963DB">
        <w:rPr>
          <w:rFonts w:asciiTheme="minorHAnsi" w:hAnsiTheme="minorHAnsi"/>
          <w:snapToGrid w:val="0"/>
          <w:u w:val="single"/>
        </w:rPr>
        <w:t>toile Alpha Registry</w:t>
      </w:r>
    </w:p>
    <w:p w14:paraId="5D3974A4" w14:textId="77777777" w:rsidR="00E963DB" w:rsidRPr="00E963DB" w:rsidRDefault="00E963DB" w:rsidP="00116618">
      <w:pPr>
        <w:pStyle w:val="3-BodyText"/>
      </w:pPr>
      <w:r w:rsidRPr="00E963DB">
        <w:t xml:space="preserve">The </w:t>
      </w:r>
      <w:r w:rsidRPr="00E963DB">
        <w:rPr>
          <w:rFonts w:cstheme="minorHAnsi"/>
        </w:rPr>
        <w:t>É</w:t>
      </w:r>
      <w:r w:rsidRPr="00E963DB">
        <w:t xml:space="preserve">toile Alpha Registry reported non-comparative observations, including long-term effectiveness and safety, from 16 French patients (7 female/9 male; mean age = 26 years) who had received velmanase alfa. The mean duration of treatment was 55 months, and a </w:t>
      </w:r>
      <w:r w:rsidRPr="00E963DB">
        <w:rPr>
          <w:i/>
          <w:iCs/>
        </w:rPr>
        <w:t>post hoc</w:t>
      </w:r>
      <w:r w:rsidRPr="00E963DB">
        <w:t xml:space="preserve"> analysis summarised the changes in clinical manifestations of AM.</w:t>
      </w:r>
    </w:p>
    <w:p w14:paraId="003C923F" w14:textId="6DBA6887" w:rsidR="00E963DB" w:rsidRPr="00E963DB" w:rsidRDefault="00E963DB" w:rsidP="003115F9">
      <w:pPr>
        <w:pStyle w:val="3-BodyText"/>
      </w:pPr>
      <w:r w:rsidRPr="00E963DB">
        <w:t xml:space="preserve">Health assessment scores encompassing motor (3MSCT and 6MWT), quality of life (Childhood Health Assessment Questionnaire and EQ-5D-5L) and psychological evaluation (LEITER-R [total score and score per area] or Wechsler Intelligence Scale) domains and individual patient-level clinical manifestations were evaluated after treatment with velmanase alfa relative to pre-treatment baseline (see </w:t>
      </w:r>
      <w:r w:rsidRPr="00E963DB">
        <w:fldChar w:fldCharType="begin"/>
      </w:r>
      <w:r w:rsidRPr="00E963DB">
        <w:instrText xml:space="preserve"> REF _Ref214544203 \h  \* MERGEFORMAT </w:instrText>
      </w:r>
      <w:r w:rsidRPr="00E963DB">
        <w:fldChar w:fldCharType="separate"/>
      </w:r>
      <w:r w:rsidR="00B73A9E" w:rsidRPr="00B73A9E">
        <w:t xml:space="preserve">Figure </w:t>
      </w:r>
      <w:r w:rsidR="00B73A9E" w:rsidRPr="00B73A9E">
        <w:rPr>
          <w:noProof/>
        </w:rPr>
        <w:t>5</w:t>
      </w:r>
      <w:r w:rsidRPr="00E963DB">
        <w:fldChar w:fldCharType="end"/>
      </w:r>
      <w:r w:rsidRPr="00E963DB">
        <w:t>).</w:t>
      </w:r>
    </w:p>
    <w:p w14:paraId="2EC3261F" w14:textId="21F9281F" w:rsidR="00E963DB" w:rsidRPr="00E963DB" w:rsidRDefault="00E963DB" w:rsidP="00E963DB">
      <w:pPr>
        <w:keepNext/>
        <w:keepLines/>
        <w:jc w:val="left"/>
        <w:rPr>
          <w:rFonts w:ascii="Arial Narrow" w:hAnsi="Arial Narrow"/>
          <w:b/>
          <w:bCs/>
          <w:sz w:val="20"/>
          <w:szCs w:val="18"/>
        </w:rPr>
      </w:pPr>
      <w:bookmarkStart w:id="141" w:name="_Ref214544203"/>
      <w:bookmarkStart w:id="142" w:name="_Toc213678571"/>
      <w:r w:rsidRPr="00E963DB">
        <w:rPr>
          <w:rFonts w:ascii="Arial Narrow" w:hAnsi="Arial Narrow"/>
          <w:b/>
          <w:bCs/>
          <w:sz w:val="20"/>
          <w:szCs w:val="18"/>
        </w:rPr>
        <w:t xml:space="preserve">Figure </w:t>
      </w:r>
      <w:r w:rsidRPr="00E963DB">
        <w:rPr>
          <w:rFonts w:ascii="Arial Narrow" w:hAnsi="Arial Narrow"/>
          <w:b/>
          <w:bCs/>
          <w:sz w:val="20"/>
          <w:szCs w:val="18"/>
        </w:rPr>
        <w:fldChar w:fldCharType="begin"/>
      </w:r>
      <w:r w:rsidRPr="00E963DB">
        <w:rPr>
          <w:rFonts w:ascii="Arial Narrow" w:hAnsi="Arial Narrow"/>
          <w:b/>
          <w:bCs/>
          <w:sz w:val="20"/>
          <w:szCs w:val="18"/>
        </w:rPr>
        <w:instrText xml:space="preserve"> SEQ Figure \* ARABIC </w:instrText>
      </w:r>
      <w:r w:rsidRPr="00E963DB">
        <w:rPr>
          <w:rFonts w:ascii="Arial Narrow" w:hAnsi="Arial Narrow"/>
          <w:b/>
          <w:bCs/>
          <w:sz w:val="20"/>
          <w:szCs w:val="18"/>
        </w:rPr>
        <w:fldChar w:fldCharType="separate"/>
      </w:r>
      <w:r w:rsidR="00B73A9E">
        <w:rPr>
          <w:rFonts w:ascii="Arial Narrow" w:hAnsi="Arial Narrow"/>
          <w:b/>
          <w:bCs/>
          <w:noProof/>
          <w:sz w:val="20"/>
          <w:szCs w:val="18"/>
        </w:rPr>
        <w:t>5</w:t>
      </w:r>
      <w:r w:rsidRPr="00E963DB">
        <w:rPr>
          <w:rFonts w:ascii="Arial Narrow" w:hAnsi="Arial Narrow"/>
          <w:b/>
          <w:bCs/>
          <w:sz w:val="20"/>
          <w:szCs w:val="18"/>
        </w:rPr>
        <w:fldChar w:fldCharType="end"/>
      </w:r>
      <w:bookmarkEnd w:id="141"/>
      <w:r w:rsidRPr="00E963DB">
        <w:rPr>
          <w:rFonts w:ascii="Arial Narrow" w:hAnsi="Arial Narrow"/>
          <w:b/>
          <w:bCs/>
          <w:sz w:val="20"/>
          <w:szCs w:val="18"/>
        </w:rPr>
        <w:t>: Changes in health assessment scores before and after treatment for: (A) motor, (B) quality of life and (C) psychological evaluations in Étoile Alpha</w:t>
      </w:r>
      <w:bookmarkEnd w:id="142"/>
      <w:r w:rsidRPr="00E963DB">
        <w:rPr>
          <w:rFonts w:ascii="Arial Narrow" w:hAnsi="Arial Narrow"/>
          <w:b/>
          <w:bCs/>
          <w:noProof/>
          <w:sz w:val="20"/>
          <w:szCs w:val="18"/>
        </w:rPr>
        <w:drawing>
          <wp:inline distT="0" distB="0" distL="0" distR="0" wp14:anchorId="733C8702" wp14:editId="265B28B8">
            <wp:extent cx="5743575" cy="6051439"/>
            <wp:effectExtent l="19050" t="19050" r="9525" b="26035"/>
            <wp:docPr id="2145056954" name="Picture 2145056954" descr="A group of graphs showing different differ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56954" name="Picture 2145056954" descr="A group of graphs showing different difference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753858" cy="6062273"/>
                    </a:xfrm>
                    <a:prstGeom prst="rect">
                      <a:avLst/>
                    </a:prstGeom>
                    <a:ln w="12700">
                      <a:solidFill>
                        <a:sysClr val="windowText" lastClr="000000"/>
                      </a:solidFill>
                    </a:ln>
                  </pic:spPr>
                </pic:pic>
              </a:graphicData>
            </a:graphic>
          </wp:inline>
        </w:drawing>
      </w:r>
    </w:p>
    <w:p w14:paraId="0F9A45B0" w14:textId="77777777" w:rsidR="00E963DB" w:rsidRPr="00E963DB" w:rsidRDefault="00E963DB" w:rsidP="00E963DB">
      <w:pPr>
        <w:spacing w:after="120"/>
        <w:contextualSpacing/>
        <w:rPr>
          <w:rFonts w:ascii="Arial Narrow" w:hAnsi="Arial Narrow"/>
          <w:snapToGrid w:val="0"/>
          <w:sz w:val="18"/>
          <w:szCs w:val="22"/>
        </w:rPr>
      </w:pPr>
      <w:r w:rsidRPr="00E963DB">
        <w:rPr>
          <w:rFonts w:ascii="Arial Narrow" w:hAnsi="Arial Narrow"/>
          <w:snapToGrid w:val="0"/>
          <w:sz w:val="18"/>
          <w:szCs w:val="22"/>
        </w:rPr>
        <w:t>*** p&lt;0.0001, paired T-test</w:t>
      </w:r>
    </w:p>
    <w:p w14:paraId="2C702B4F" w14:textId="77777777" w:rsidR="00E963DB" w:rsidRPr="00E963DB" w:rsidRDefault="00E963DB" w:rsidP="00E963DB">
      <w:pPr>
        <w:spacing w:after="120"/>
        <w:contextualSpacing/>
        <w:rPr>
          <w:rFonts w:ascii="Arial Narrow" w:hAnsi="Arial Narrow"/>
          <w:snapToGrid w:val="0"/>
          <w:sz w:val="18"/>
          <w:szCs w:val="22"/>
        </w:rPr>
      </w:pPr>
      <w:r w:rsidRPr="00E963DB">
        <w:rPr>
          <w:rFonts w:ascii="Arial Narrow" w:hAnsi="Arial Narrow"/>
          <w:snapToGrid w:val="0"/>
          <w:sz w:val="18"/>
          <w:szCs w:val="22"/>
        </w:rPr>
        <w:t>Source: Figure 6, p12 of the deferral response</w:t>
      </w:r>
    </w:p>
    <w:p w14:paraId="663A3C48" w14:textId="692D8759" w:rsidR="00E963DB" w:rsidRPr="00E963DB" w:rsidRDefault="00E963DB" w:rsidP="0069287A">
      <w:pPr>
        <w:pStyle w:val="3-BodyText"/>
      </w:pPr>
      <w:r w:rsidRPr="00E963DB">
        <w:t xml:space="preserve">As AM is a heterogenous condition with varied presentations between patients, clinical manifestations at presentation were grouped into 10 categories: cardiac, gastrointestinal, neuromuscular, ophthalmic, pain, psychiatric, recurrent infections, respiratory, skeletal/osteoarticular, and other. A heatmap of the frequencies of the categories, split by improvement and stability, is shown in </w:t>
      </w:r>
      <w:r w:rsidRPr="00B84DE7">
        <w:fldChar w:fldCharType="begin"/>
      </w:r>
      <w:r w:rsidRPr="00E963DB">
        <w:instrText xml:space="preserve"> REF _Ref214544246 \h </w:instrText>
      </w:r>
      <w:r w:rsidR="00B84DE7">
        <w:instrText xml:space="preserve"> \* MERGEFORMAT </w:instrText>
      </w:r>
      <w:r w:rsidRPr="00B84DE7">
        <w:fldChar w:fldCharType="separate"/>
      </w:r>
      <w:r w:rsidR="00B73A9E" w:rsidRPr="00B73A9E">
        <w:t>Figure 6</w:t>
      </w:r>
      <w:r w:rsidRPr="00B84DE7">
        <w:fldChar w:fldCharType="end"/>
      </w:r>
      <w:r w:rsidRPr="00E963DB">
        <w:t>.</w:t>
      </w:r>
    </w:p>
    <w:p w14:paraId="6327740A" w14:textId="77777777" w:rsidR="00E963DB" w:rsidRPr="00E963DB" w:rsidRDefault="00E963DB" w:rsidP="00D02AEA">
      <w:pPr>
        <w:pStyle w:val="3-BodyText"/>
      </w:pPr>
      <w:r w:rsidRPr="00E963DB">
        <w:t>Overall, neuromuscular manifestations were the most numerous, accounting for 47.8% of all clinical manifestations. Of these, 51.3% were associated with improvement and 48.7% remained stable following treatment with velmanase alfa, indicating that velmanase alfa may slow the progression of neuromuscular involvement in AM.</w:t>
      </w:r>
    </w:p>
    <w:p w14:paraId="7B9B9452" w14:textId="77777777" w:rsidR="00E963DB" w:rsidRPr="00E963DB" w:rsidRDefault="00E963DB" w:rsidP="00EF4241">
      <w:pPr>
        <w:pStyle w:val="3-BodyText"/>
      </w:pPr>
      <w:r w:rsidRPr="00E963DB">
        <w:t>Skeletal/osteoarticular manifestations were the second most frequent category, with 24.1% remaining stable following treatment. The deferral response stated that given the limited potential for reversal of skeletal deformities, stability may be considered a clinically meaningful outcome.</w:t>
      </w:r>
    </w:p>
    <w:p w14:paraId="1A961530" w14:textId="04B3FC4A" w:rsidR="00E963DB" w:rsidRPr="00E963DB" w:rsidRDefault="00E963DB" w:rsidP="00E963DB">
      <w:pPr>
        <w:keepNext/>
        <w:keepLines/>
        <w:jc w:val="left"/>
        <w:rPr>
          <w:rFonts w:ascii="Arial Narrow" w:hAnsi="Arial Narrow"/>
          <w:b/>
          <w:bCs/>
          <w:sz w:val="20"/>
          <w:szCs w:val="18"/>
        </w:rPr>
      </w:pPr>
      <w:bookmarkStart w:id="143" w:name="_Ref214544246"/>
      <w:bookmarkStart w:id="144" w:name="_Toc213678572"/>
      <w:r w:rsidRPr="00E963DB">
        <w:rPr>
          <w:rFonts w:ascii="Arial Narrow" w:hAnsi="Arial Narrow"/>
          <w:b/>
          <w:bCs/>
          <w:sz w:val="20"/>
          <w:szCs w:val="18"/>
        </w:rPr>
        <w:t xml:space="preserve">Figure </w:t>
      </w:r>
      <w:r w:rsidRPr="00E963DB">
        <w:rPr>
          <w:rFonts w:ascii="Arial Narrow" w:hAnsi="Arial Narrow"/>
          <w:b/>
          <w:bCs/>
          <w:sz w:val="20"/>
          <w:szCs w:val="18"/>
        </w:rPr>
        <w:fldChar w:fldCharType="begin"/>
      </w:r>
      <w:r w:rsidRPr="00E963DB">
        <w:rPr>
          <w:rFonts w:ascii="Arial Narrow" w:hAnsi="Arial Narrow"/>
          <w:b/>
          <w:bCs/>
          <w:sz w:val="20"/>
          <w:szCs w:val="18"/>
        </w:rPr>
        <w:instrText xml:space="preserve"> SEQ Figure \* ARABIC </w:instrText>
      </w:r>
      <w:r w:rsidRPr="00E963DB">
        <w:rPr>
          <w:rFonts w:ascii="Arial Narrow" w:hAnsi="Arial Narrow"/>
          <w:b/>
          <w:bCs/>
          <w:sz w:val="20"/>
          <w:szCs w:val="18"/>
        </w:rPr>
        <w:fldChar w:fldCharType="separate"/>
      </w:r>
      <w:r w:rsidR="00B73A9E">
        <w:rPr>
          <w:rFonts w:ascii="Arial Narrow" w:hAnsi="Arial Narrow"/>
          <w:b/>
          <w:bCs/>
          <w:noProof/>
          <w:sz w:val="20"/>
          <w:szCs w:val="18"/>
        </w:rPr>
        <w:t>6</w:t>
      </w:r>
      <w:r w:rsidRPr="00E963DB">
        <w:rPr>
          <w:rFonts w:ascii="Arial Narrow" w:hAnsi="Arial Narrow"/>
          <w:b/>
          <w:bCs/>
          <w:sz w:val="20"/>
          <w:szCs w:val="18"/>
        </w:rPr>
        <w:fldChar w:fldCharType="end"/>
      </w:r>
      <w:bookmarkEnd w:id="143"/>
      <w:r w:rsidRPr="00E963DB">
        <w:rPr>
          <w:rFonts w:ascii="Arial Narrow" w:hAnsi="Arial Narrow"/>
          <w:b/>
          <w:bCs/>
          <w:sz w:val="20"/>
          <w:szCs w:val="18"/>
        </w:rPr>
        <w:t xml:space="preserve">: </w:t>
      </w:r>
      <w:r w:rsidRPr="00E963DB">
        <w:rPr>
          <w:rFonts w:ascii="Arial Narrow" w:eastAsia="Calibri" w:hAnsi="Arial Narrow"/>
          <w:b/>
          <w:bCs/>
          <w:sz w:val="20"/>
          <w:szCs w:val="18"/>
        </w:rPr>
        <w:t>A heatmap of clinical manifestation categories by outcome following velmanase alfa treatment as a percentage of (A) all clinical manifestations and (B) within each category</w:t>
      </w:r>
      <w:bookmarkEnd w:id="144"/>
      <w:r w:rsidRPr="00E963DB">
        <w:rPr>
          <w:rFonts w:ascii="Arial Narrow" w:hAnsi="Arial Narrow"/>
          <w:b/>
          <w:bCs/>
          <w:noProof/>
          <w:sz w:val="20"/>
          <w:szCs w:val="18"/>
        </w:rPr>
        <w:drawing>
          <wp:inline distT="0" distB="0" distL="0" distR="0" wp14:anchorId="4864BAE7" wp14:editId="5B6302DD">
            <wp:extent cx="4830928" cy="7271780"/>
            <wp:effectExtent l="19050" t="19050" r="27305" b="24765"/>
            <wp:docPr id="1322125988" name="Picture 1322125988"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25988" name="Picture 1322125988" descr="A screenshot of a graph&#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4884965" cy="7353120"/>
                    </a:xfrm>
                    <a:prstGeom prst="rect">
                      <a:avLst/>
                    </a:prstGeom>
                    <a:ln w="12700">
                      <a:solidFill>
                        <a:sysClr val="windowText" lastClr="000000"/>
                      </a:solidFill>
                    </a:ln>
                  </pic:spPr>
                </pic:pic>
              </a:graphicData>
            </a:graphic>
          </wp:inline>
        </w:drawing>
      </w:r>
    </w:p>
    <w:p w14:paraId="0AB78E9C" w14:textId="77777777" w:rsidR="00E963DB" w:rsidRPr="00E963DB" w:rsidRDefault="00E963DB" w:rsidP="00E963DB">
      <w:pPr>
        <w:spacing w:after="120"/>
        <w:contextualSpacing/>
        <w:rPr>
          <w:rFonts w:ascii="Arial Narrow" w:hAnsi="Arial Narrow"/>
          <w:snapToGrid w:val="0"/>
          <w:sz w:val="18"/>
          <w:szCs w:val="22"/>
        </w:rPr>
      </w:pPr>
      <w:r w:rsidRPr="00E963DB">
        <w:rPr>
          <w:rFonts w:ascii="Arial Narrow" w:hAnsi="Arial Narrow"/>
          <w:snapToGrid w:val="0"/>
          <w:sz w:val="18"/>
          <w:szCs w:val="22"/>
        </w:rPr>
        <w:t>Source: Figure 7, p14 of the deferral response</w:t>
      </w:r>
    </w:p>
    <w:p w14:paraId="3EE6A4AE" w14:textId="77777777" w:rsidR="00E963DB" w:rsidRPr="00E963DB" w:rsidRDefault="00E963DB" w:rsidP="00BA502E">
      <w:pPr>
        <w:pStyle w:val="3-BodyText"/>
      </w:pPr>
      <w:r w:rsidRPr="00E963DB">
        <w:t xml:space="preserve">Physician narratives of patients enrolled in the </w:t>
      </w:r>
      <w:r w:rsidRPr="00E963DB">
        <w:rPr>
          <w:rFonts w:cstheme="minorHAnsi"/>
        </w:rPr>
        <w:t>É</w:t>
      </w:r>
      <w:r w:rsidRPr="00E963DB">
        <w:t>toile Alpha Registry suggest that velmanase alfa provides meaningful, patient-relevant benefits including better motor coordination and joint function, reduced muscular weakness and greater independence in daily activities. QoL benefits included improved psychiatric well-being, fewer respiratory infections and hospitalisations, stabilisation of disease progression (reduced anxiety and providing hope), and improved endurance on clinical measures enabling fuller participation in daily life.</w:t>
      </w:r>
    </w:p>
    <w:p w14:paraId="31486EEB" w14:textId="77777777" w:rsidR="00E963DB" w:rsidRPr="00E963DB" w:rsidRDefault="00E963DB" w:rsidP="00E963DB">
      <w:pPr>
        <w:spacing w:after="120"/>
        <w:rPr>
          <w:rFonts w:asciiTheme="minorHAnsi" w:hAnsiTheme="minorHAnsi"/>
          <w:snapToGrid w:val="0"/>
          <w:u w:val="single"/>
        </w:rPr>
      </w:pPr>
      <w:r w:rsidRPr="00E963DB">
        <w:rPr>
          <w:rFonts w:asciiTheme="minorHAnsi" w:hAnsiTheme="minorHAnsi"/>
          <w:snapToGrid w:val="0"/>
          <w:u w:val="single"/>
        </w:rPr>
        <w:t>International caregiver and patient survey</w:t>
      </w:r>
    </w:p>
    <w:p w14:paraId="42D400B1" w14:textId="77777777" w:rsidR="00E963DB" w:rsidRPr="00E963DB" w:rsidRDefault="00E963DB" w:rsidP="00236BB1">
      <w:pPr>
        <w:pStyle w:val="3-BodyText"/>
      </w:pPr>
      <w:r w:rsidRPr="00E963DB">
        <w:t>Stepien, 2025</w:t>
      </w:r>
      <w:r w:rsidRPr="00E963DB">
        <w:rPr>
          <w:vertAlign w:val="superscript"/>
        </w:rPr>
        <w:footnoteReference w:id="6"/>
      </w:r>
      <w:r w:rsidRPr="00E963DB">
        <w:t xml:space="preserve"> was an international, descriptive, online survey of adult patients and/or caregivers of patients aged </w:t>
      </w:r>
      <w:r w:rsidRPr="00E963DB">
        <w:rPr>
          <w:rFonts w:cstheme="minorHAnsi"/>
        </w:rPr>
        <w:t>≥</w:t>
      </w:r>
      <w:r w:rsidRPr="00E963DB">
        <w:t xml:space="preserve"> 10 years from 18 countries (Europe, UK, US and Australia). The study comprised of 51 patients (1 Australian), 26 who were receiving velmanase alfa at the time of the survey, 7 who had received HSCT and 18 who were untreated.</w:t>
      </w:r>
    </w:p>
    <w:p w14:paraId="5A2B5F8A" w14:textId="77777777" w:rsidR="00E963DB" w:rsidRPr="00E963DB" w:rsidRDefault="00E963DB" w:rsidP="00EA7E9A">
      <w:pPr>
        <w:pStyle w:val="3-BodyText"/>
      </w:pPr>
      <w:r w:rsidRPr="00E963DB">
        <w:t xml:space="preserve">For patients receiving velmanase alfa, walking ability improved for 1 patient (3.8%), remained the same for 12 (46.2%) and worsened for 13 (50%). </w:t>
      </w:r>
    </w:p>
    <w:p w14:paraId="4CFD17C9" w14:textId="77777777" w:rsidR="00E963DB" w:rsidRPr="00E963DB" w:rsidRDefault="00E963DB" w:rsidP="00CA2632">
      <w:pPr>
        <w:pStyle w:val="3-BodyText"/>
      </w:pPr>
      <w:r w:rsidRPr="00E963DB">
        <w:t>Patients receiving velmanase alfa reported a slight trend towards improvement in pain and self-care compared to 5 years ago, but no change in mental health.</w:t>
      </w:r>
    </w:p>
    <w:p w14:paraId="24864E04" w14:textId="77777777" w:rsidR="00E963DB" w:rsidRPr="00E963DB" w:rsidRDefault="00E963DB" w:rsidP="00E963DB">
      <w:pPr>
        <w:keepNext/>
        <w:spacing w:before="120" w:after="120"/>
        <w:outlineLvl w:val="1"/>
        <w:rPr>
          <w:rFonts w:asciiTheme="minorHAnsi" w:eastAsiaTheme="majorEastAsia" w:hAnsiTheme="minorHAnsi" w:cstheme="majorBidi"/>
          <w:b/>
          <w:i/>
          <w:spacing w:val="5"/>
          <w:kern w:val="28"/>
          <w:sz w:val="28"/>
          <w:szCs w:val="36"/>
          <w:lang w:eastAsia="en-US"/>
        </w:rPr>
      </w:pPr>
      <w:r w:rsidRPr="00E963DB">
        <w:rPr>
          <w:rFonts w:asciiTheme="minorHAnsi" w:eastAsiaTheme="majorEastAsia" w:hAnsiTheme="minorHAnsi" w:cstheme="majorBidi"/>
          <w:b/>
          <w:i/>
          <w:spacing w:val="5"/>
          <w:kern w:val="28"/>
          <w:sz w:val="28"/>
          <w:szCs w:val="36"/>
          <w:lang w:eastAsia="en-US"/>
        </w:rPr>
        <w:t xml:space="preserve">Cost/patient/year </w:t>
      </w:r>
    </w:p>
    <w:p w14:paraId="4F6BBAAE" w14:textId="185A9CDF" w:rsidR="00E963DB" w:rsidRPr="00E963DB" w:rsidRDefault="00E963DB" w:rsidP="004676EC">
      <w:pPr>
        <w:pStyle w:val="3-BodyText"/>
        <w:rPr>
          <w:lang w:eastAsia="en-US"/>
        </w:rPr>
      </w:pPr>
      <w:r w:rsidRPr="00E963DB">
        <w:rPr>
          <w:lang w:eastAsia="en-US"/>
        </w:rPr>
        <w:t xml:space="preserve">The average cost per patient per year of listing velmanase alfa on the PBS is presented in </w:t>
      </w:r>
      <w:r w:rsidRPr="00B84DE7">
        <w:rPr>
          <w:lang w:eastAsia="en-US"/>
        </w:rPr>
        <w:fldChar w:fldCharType="begin"/>
      </w:r>
      <w:r w:rsidRPr="00E963DB">
        <w:rPr>
          <w:lang w:eastAsia="en-US"/>
        </w:rPr>
        <w:instrText xml:space="preserve"> REF _Ref214544291 \h </w:instrText>
      </w:r>
      <w:r w:rsidR="00B84DE7">
        <w:rPr>
          <w:lang w:eastAsia="en-US"/>
        </w:rPr>
        <w:instrText xml:space="preserve"> \* MERGEFORMAT </w:instrText>
      </w:r>
      <w:r w:rsidRPr="00B84DE7">
        <w:rPr>
          <w:lang w:eastAsia="en-US"/>
        </w:rPr>
      </w:r>
      <w:r w:rsidRPr="00B84DE7">
        <w:rPr>
          <w:lang w:eastAsia="en-US"/>
        </w:rPr>
        <w:fldChar w:fldCharType="separate"/>
      </w:r>
      <w:r w:rsidR="00B73A9E" w:rsidRPr="00B73A9E">
        <w:rPr>
          <w:lang w:eastAsia="en-US"/>
        </w:rPr>
        <w:t>Table 23</w:t>
      </w:r>
      <w:r w:rsidRPr="00B84DE7">
        <w:rPr>
          <w:lang w:eastAsia="en-US"/>
        </w:rPr>
        <w:fldChar w:fldCharType="end"/>
      </w:r>
      <w:r w:rsidRPr="00E963DB">
        <w:rPr>
          <w:lang w:eastAsia="en-US"/>
        </w:rPr>
        <w:t>.</w:t>
      </w:r>
    </w:p>
    <w:p w14:paraId="72E58D22" w14:textId="2F60D2ED" w:rsidR="00E963DB" w:rsidRPr="00E963DB" w:rsidRDefault="00E963DB" w:rsidP="00E963DB">
      <w:pPr>
        <w:keepNext/>
        <w:keepLines/>
        <w:rPr>
          <w:rFonts w:ascii="Arial Narrow" w:hAnsi="Arial Narrow"/>
          <w:b/>
          <w:bCs/>
          <w:sz w:val="20"/>
          <w:szCs w:val="18"/>
        </w:rPr>
      </w:pPr>
      <w:bookmarkStart w:id="145" w:name="_Ref214544291"/>
      <w:r w:rsidRPr="00E963DB">
        <w:rPr>
          <w:rFonts w:ascii="Arial Narrow" w:hAnsi="Arial Narrow"/>
          <w:b/>
          <w:bCs/>
          <w:sz w:val="20"/>
          <w:szCs w:val="18"/>
        </w:rPr>
        <w:t xml:space="preserve">Table </w:t>
      </w:r>
      <w:r w:rsidRPr="00E963DB">
        <w:rPr>
          <w:rFonts w:ascii="Arial Narrow" w:hAnsi="Arial Narrow"/>
          <w:b/>
          <w:bCs/>
          <w:sz w:val="20"/>
          <w:szCs w:val="18"/>
        </w:rPr>
        <w:fldChar w:fldCharType="begin"/>
      </w:r>
      <w:r w:rsidRPr="00E963DB">
        <w:rPr>
          <w:rFonts w:ascii="Arial Narrow" w:hAnsi="Arial Narrow"/>
          <w:b/>
          <w:bCs/>
          <w:sz w:val="20"/>
          <w:szCs w:val="18"/>
        </w:rPr>
        <w:instrText xml:space="preserve"> SEQ Table \* ARABIC </w:instrText>
      </w:r>
      <w:r w:rsidRPr="00E963DB">
        <w:rPr>
          <w:rFonts w:ascii="Arial Narrow" w:hAnsi="Arial Narrow"/>
          <w:b/>
          <w:bCs/>
          <w:sz w:val="20"/>
          <w:szCs w:val="18"/>
        </w:rPr>
        <w:fldChar w:fldCharType="separate"/>
      </w:r>
      <w:r w:rsidR="00B73A9E">
        <w:rPr>
          <w:rFonts w:ascii="Arial Narrow" w:hAnsi="Arial Narrow"/>
          <w:b/>
          <w:bCs/>
          <w:noProof/>
          <w:sz w:val="20"/>
          <w:szCs w:val="18"/>
        </w:rPr>
        <w:t>23</w:t>
      </w:r>
      <w:r w:rsidRPr="00E963DB">
        <w:rPr>
          <w:rFonts w:ascii="Arial Narrow" w:hAnsi="Arial Narrow"/>
          <w:b/>
          <w:bCs/>
          <w:sz w:val="20"/>
          <w:szCs w:val="18"/>
        </w:rPr>
        <w:fldChar w:fldCharType="end"/>
      </w:r>
      <w:bookmarkEnd w:id="145"/>
      <w:r w:rsidRPr="00E963DB">
        <w:rPr>
          <w:rFonts w:ascii="Arial Narrow" w:hAnsi="Arial Narrow"/>
          <w:b/>
          <w:bCs/>
          <w:sz w:val="20"/>
          <w:szCs w:val="18"/>
        </w:rPr>
        <w:t>: Cost per patient per year</w:t>
      </w:r>
    </w:p>
    <w:tbl>
      <w:tblPr>
        <w:tblStyle w:val="TableGrid"/>
        <w:tblW w:w="0" w:type="auto"/>
        <w:tblLook w:val="04A0" w:firstRow="1" w:lastRow="0" w:firstColumn="1" w:lastColumn="0" w:noHBand="0" w:noVBand="1"/>
      </w:tblPr>
      <w:tblGrid>
        <w:gridCol w:w="1630"/>
        <w:gridCol w:w="2334"/>
        <w:gridCol w:w="2526"/>
        <w:gridCol w:w="2526"/>
      </w:tblGrid>
      <w:tr w:rsidR="00E963DB" w:rsidRPr="00E963DB" w14:paraId="1E9D2057" w14:textId="77777777" w:rsidTr="0088523E">
        <w:tc>
          <w:tcPr>
            <w:tcW w:w="1630" w:type="dxa"/>
          </w:tcPr>
          <w:p w14:paraId="6B644F14" w14:textId="77777777" w:rsidR="00E963DB" w:rsidRPr="00E963DB" w:rsidRDefault="00E963DB" w:rsidP="00E963DB">
            <w:pPr>
              <w:keepNext/>
              <w:rPr>
                <w:rFonts w:ascii="Arial Narrow" w:eastAsiaTheme="majorEastAsia" w:hAnsi="Arial Narrow" w:cstheme="majorBidi"/>
                <w:sz w:val="20"/>
              </w:rPr>
            </w:pPr>
          </w:p>
        </w:tc>
        <w:tc>
          <w:tcPr>
            <w:tcW w:w="2334" w:type="dxa"/>
          </w:tcPr>
          <w:p w14:paraId="023AAAAE"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Trial dose and duration</w:t>
            </w:r>
          </w:p>
        </w:tc>
        <w:tc>
          <w:tcPr>
            <w:tcW w:w="5052" w:type="dxa"/>
            <w:gridSpan w:val="2"/>
          </w:tcPr>
          <w:p w14:paraId="1FB284CB"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Financial estimates</w:t>
            </w:r>
          </w:p>
        </w:tc>
      </w:tr>
      <w:tr w:rsidR="00E963DB" w:rsidRPr="00E963DB" w14:paraId="29D9F3A2" w14:textId="77777777" w:rsidTr="0088523E">
        <w:tc>
          <w:tcPr>
            <w:tcW w:w="1630" w:type="dxa"/>
          </w:tcPr>
          <w:p w14:paraId="0CEE63C1" w14:textId="77777777" w:rsidR="00E963DB" w:rsidRPr="00E963DB" w:rsidRDefault="00E963DB" w:rsidP="00E963DB">
            <w:pPr>
              <w:keepNext/>
              <w:rPr>
                <w:rFonts w:ascii="Arial Narrow" w:eastAsiaTheme="majorEastAsia" w:hAnsi="Arial Narrow" w:cstheme="majorBidi"/>
                <w:sz w:val="20"/>
              </w:rPr>
            </w:pPr>
            <w:r w:rsidRPr="00E963DB">
              <w:rPr>
                <w:rFonts w:ascii="Arial Narrow" w:eastAsiaTheme="majorEastAsia" w:hAnsi="Arial Narrow" w:cstheme="majorBidi"/>
                <w:sz w:val="20"/>
              </w:rPr>
              <w:t>Mean dose</w:t>
            </w:r>
          </w:p>
        </w:tc>
        <w:tc>
          <w:tcPr>
            <w:tcW w:w="7386" w:type="dxa"/>
            <w:gridSpan w:val="3"/>
          </w:tcPr>
          <w:p w14:paraId="307594CB" w14:textId="77777777" w:rsidR="00E963DB" w:rsidRPr="00E963DB" w:rsidRDefault="00E963DB" w:rsidP="00E963DB">
            <w:pPr>
              <w:keepNext/>
              <w:jc w:val="center"/>
              <w:rPr>
                <w:rFonts w:ascii="Arial Narrow" w:eastAsiaTheme="majorEastAsia" w:hAnsi="Arial Narrow" w:cstheme="majorBidi"/>
                <w:sz w:val="20"/>
              </w:rPr>
            </w:pPr>
            <w:r w:rsidRPr="00E963DB">
              <w:rPr>
                <w:rFonts w:ascii="Arial Narrow" w:eastAsiaTheme="majorEastAsia" w:hAnsi="Arial Narrow" w:cstheme="majorBidi"/>
                <w:sz w:val="20"/>
              </w:rPr>
              <w:t>Velmanase alfa 1 mg/kg of body weight administered once a week by IV infusion plus BSC</w:t>
            </w:r>
          </w:p>
        </w:tc>
      </w:tr>
      <w:tr w:rsidR="00E963DB" w:rsidRPr="00E963DB" w14:paraId="782A6948" w14:textId="77777777" w:rsidTr="0088523E">
        <w:trPr>
          <w:trHeight w:val="56"/>
        </w:trPr>
        <w:tc>
          <w:tcPr>
            <w:tcW w:w="1630" w:type="dxa"/>
            <w:vMerge w:val="restart"/>
          </w:tcPr>
          <w:p w14:paraId="2964570F" w14:textId="77777777" w:rsidR="00E963DB" w:rsidRPr="00E963DB" w:rsidRDefault="00E963DB" w:rsidP="00E963DB">
            <w:pPr>
              <w:keepNext/>
              <w:jc w:val="left"/>
              <w:rPr>
                <w:rFonts w:ascii="Arial Narrow" w:eastAsiaTheme="majorEastAsia" w:hAnsi="Arial Narrow" w:cstheme="majorBidi"/>
                <w:sz w:val="20"/>
              </w:rPr>
            </w:pPr>
            <w:r w:rsidRPr="00E963DB">
              <w:rPr>
                <w:rFonts w:ascii="Arial Narrow" w:eastAsiaTheme="majorEastAsia" w:hAnsi="Arial Narrow" w:cstheme="majorBidi"/>
                <w:sz w:val="20"/>
              </w:rPr>
              <w:t>Mean weight at baseline/entry</w:t>
            </w:r>
          </w:p>
        </w:tc>
        <w:tc>
          <w:tcPr>
            <w:tcW w:w="2334" w:type="dxa"/>
            <w:vMerge w:val="restart"/>
          </w:tcPr>
          <w:p w14:paraId="096C9FB0" w14:textId="77777777" w:rsidR="00E963DB" w:rsidRPr="00E963DB" w:rsidRDefault="00E963DB" w:rsidP="00E963DB">
            <w:pPr>
              <w:keepNext/>
              <w:jc w:val="center"/>
              <w:rPr>
                <w:rFonts w:ascii="Arial Narrow" w:eastAsiaTheme="majorEastAsia" w:hAnsi="Arial Narrow" w:cstheme="majorBidi"/>
                <w:sz w:val="20"/>
                <w:vertAlign w:val="superscript"/>
              </w:rPr>
            </w:pPr>
            <w:r w:rsidRPr="00E963DB">
              <w:rPr>
                <w:rFonts w:ascii="Arial Narrow" w:eastAsiaTheme="majorEastAsia" w:hAnsi="Arial Narrow" w:cstheme="majorBidi"/>
                <w:sz w:val="20"/>
              </w:rPr>
              <w:t>60.2 kg</w:t>
            </w:r>
            <w:r w:rsidRPr="00E963DB">
              <w:rPr>
                <w:rFonts w:ascii="Arial Narrow" w:eastAsiaTheme="majorEastAsia" w:hAnsi="Arial Narrow" w:cstheme="majorBidi"/>
                <w:sz w:val="20"/>
                <w:vertAlign w:val="superscript"/>
              </w:rPr>
              <w:t>a</w:t>
            </w:r>
          </w:p>
        </w:tc>
        <w:tc>
          <w:tcPr>
            <w:tcW w:w="2526" w:type="dxa"/>
          </w:tcPr>
          <w:p w14:paraId="2736D01F" w14:textId="77777777" w:rsidR="00E963DB" w:rsidRPr="00E963DB" w:rsidRDefault="00E963DB" w:rsidP="00E963DB">
            <w:pPr>
              <w:keepNext/>
              <w:jc w:val="center"/>
              <w:rPr>
                <w:rFonts w:ascii="Arial Narrow" w:eastAsiaTheme="majorEastAsia" w:hAnsi="Arial Narrow" w:cstheme="majorBidi"/>
                <w:b/>
                <w:bCs/>
                <w:sz w:val="20"/>
              </w:rPr>
            </w:pPr>
            <w:r w:rsidRPr="00E963DB">
              <w:rPr>
                <w:rFonts w:ascii="Arial Narrow" w:eastAsiaTheme="majorEastAsia" w:hAnsi="Arial Narrow" w:cstheme="majorBidi"/>
                <w:b/>
                <w:bCs/>
                <w:sz w:val="20"/>
              </w:rPr>
              <w:t>Year 1</w:t>
            </w:r>
          </w:p>
        </w:tc>
        <w:tc>
          <w:tcPr>
            <w:tcW w:w="2526" w:type="dxa"/>
          </w:tcPr>
          <w:p w14:paraId="7CDAFD0A" w14:textId="77777777" w:rsidR="00E963DB" w:rsidRPr="00E963DB" w:rsidRDefault="00E963DB" w:rsidP="00E963DB">
            <w:pPr>
              <w:keepNext/>
              <w:jc w:val="center"/>
              <w:rPr>
                <w:rFonts w:ascii="Arial Narrow" w:eastAsiaTheme="majorEastAsia" w:hAnsi="Arial Narrow" w:cstheme="majorBidi"/>
                <w:b/>
                <w:bCs/>
                <w:sz w:val="20"/>
              </w:rPr>
            </w:pPr>
            <w:r w:rsidRPr="00E963DB">
              <w:rPr>
                <w:rFonts w:ascii="Arial Narrow" w:eastAsiaTheme="majorEastAsia" w:hAnsi="Arial Narrow" w:cstheme="majorBidi"/>
                <w:b/>
                <w:bCs/>
                <w:sz w:val="20"/>
              </w:rPr>
              <w:t>Year 6</w:t>
            </w:r>
          </w:p>
        </w:tc>
      </w:tr>
      <w:tr w:rsidR="00E963DB" w:rsidRPr="00E963DB" w14:paraId="02A3A14E" w14:textId="77777777" w:rsidTr="0088523E">
        <w:trPr>
          <w:trHeight w:val="265"/>
        </w:trPr>
        <w:tc>
          <w:tcPr>
            <w:tcW w:w="1630" w:type="dxa"/>
            <w:vMerge/>
          </w:tcPr>
          <w:p w14:paraId="0E15EAB7" w14:textId="77777777" w:rsidR="00E963DB" w:rsidRPr="00E963DB" w:rsidRDefault="00E963DB" w:rsidP="00E963DB">
            <w:pPr>
              <w:keepNext/>
              <w:jc w:val="left"/>
              <w:rPr>
                <w:rFonts w:ascii="Arial Narrow" w:eastAsiaTheme="majorEastAsia" w:hAnsi="Arial Narrow" w:cstheme="majorBidi"/>
                <w:sz w:val="20"/>
              </w:rPr>
            </w:pPr>
          </w:p>
        </w:tc>
        <w:tc>
          <w:tcPr>
            <w:tcW w:w="2334" w:type="dxa"/>
            <w:vMerge/>
          </w:tcPr>
          <w:p w14:paraId="79DA362F" w14:textId="77777777" w:rsidR="00E963DB" w:rsidRPr="00E963DB" w:rsidRDefault="00E963DB" w:rsidP="00E963DB">
            <w:pPr>
              <w:keepNext/>
              <w:jc w:val="center"/>
              <w:rPr>
                <w:rFonts w:ascii="Arial Narrow" w:eastAsiaTheme="majorEastAsia" w:hAnsi="Arial Narrow" w:cstheme="majorBidi"/>
                <w:sz w:val="20"/>
              </w:rPr>
            </w:pPr>
          </w:p>
        </w:tc>
        <w:tc>
          <w:tcPr>
            <w:tcW w:w="2526" w:type="dxa"/>
          </w:tcPr>
          <w:p w14:paraId="435DA2C2" w14:textId="77777777" w:rsidR="00E963DB" w:rsidRPr="00E963DB" w:rsidRDefault="00E963DB" w:rsidP="00E963DB">
            <w:pPr>
              <w:keepNext/>
              <w:jc w:val="center"/>
              <w:rPr>
                <w:rFonts w:ascii="Arial Narrow" w:eastAsiaTheme="majorEastAsia" w:hAnsi="Arial Narrow" w:cstheme="majorBidi"/>
                <w:sz w:val="20"/>
              </w:rPr>
            </w:pPr>
            <w:r w:rsidRPr="00E963DB">
              <w:rPr>
                <w:rFonts w:ascii="Arial Narrow" w:eastAsiaTheme="majorEastAsia" w:hAnsi="Arial Narrow" w:cstheme="majorBidi"/>
                <w:sz w:val="20"/>
              </w:rPr>
              <w:t>Paediatrics: 39.0 kg (1 patient)</w:t>
            </w:r>
          </w:p>
          <w:p w14:paraId="7A39C5B7" w14:textId="77777777" w:rsidR="00E963DB" w:rsidRPr="00E963DB" w:rsidRDefault="00E963DB" w:rsidP="00E963DB">
            <w:pPr>
              <w:keepNext/>
              <w:jc w:val="center"/>
              <w:rPr>
                <w:rFonts w:ascii="Arial Narrow" w:eastAsiaTheme="majorEastAsia" w:hAnsi="Arial Narrow" w:cstheme="majorBidi"/>
                <w:sz w:val="20"/>
              </w:rPr>
            </w:pPr>
            <w:r w:rsidRPr="00E963DB">
              <w:rPr>
                <w:rFonts w:ascii="Arial Narrow" w:eastAsiaTheme="majorEastAsia" w:hAnsi="Arial Narrow" w:cstheme="majorBidi"/>
                <w:sz w:val="20"/>
              </w:rPr>
              <w:t>Adults: 70.9 kg (5 patients)</w:t>
            </w:r>
          </w:p>
        </w:tc>
        <w:tc>
          <w:tcPr>
            <w:tcW w:w="2526" w:type="dxa"/>
          </w:tcPr>
          <w:p w14:paraId="1562E423" w14:textId="77777777" w:rsidR="00E963DB" w:rsidRPr="00E963DB" w:rsidRDefault="00E963DB" w:rsidP="00E963DB">
            <w:pPr>
              <w:keepNext/>
              <w:jc w:val="center"/>
              <w:rPr>
                <w:rFonts w:ascii="Arial Narrow" w:eastAsiaTheme="majorEastAsia" w:hAnsi="Arial Narrow" w:cstheme="majorBidi"/>
                <w:sz w:val="20"/>
              </w:rPr>
            </w:pPr>
            <w:r w:rsidRPr="00E963DB">
              <w:rPr>
                <w:rFonts w:ascii="Arial Narrow" w:eastAsiaTheme="majorEastAsia" w:hAnsi="Arial Narrow" w:cstheme="majorBidi"/>
                <w:sz w:val="20"/>
              </w:rPr>
              <w:t>Paediatrics: 27.5 kg (4 patients)</w:t>
            </w:r>
          </w:p>
          <w:p w14:paraId="0DD6C080" w14:textId="77777777" w:rsidR="00E963DB" w:rsidRPr="00E963DB" w:rsidRDefault="00E963DB" w:rsidP="00E963DB">
            <w:pPr>
              <w:keepNext/>
              <w:jc w:val="center"/>
              <w:rPr>
                <w:rFonts w:ascii="Arial Narrow" w:eastAsiaTheme="majorEastAsia" w:hAnsi="Arial Narrow" w:cstheme="majorBidi"/>
                <w:sz w:val="20"/>
              </w:rPr>
            </w:pPr>
            <w:r w:rsidRPr="00E963DB">
              <w:rPr>
                <w:rFonts w:ascii="Arial Narrow" w:eastAsiaTheme="majorEastAsia" w:hAnsi="Arial Narrow" w:cstheme="majorBidi"/>
                <w:sz w:val="20"/>
              </w:rPr>
              <w:t>Adults: 70.9 kg (8 patients)</w:t>
            </w:r>
          </w:p>
        </w:tc>
      </w:tr>
      <w:tr w:rsidR="00E963DB" w:rsidRPr="00E963DB" w14:paraId="3E9123BA" w14:textId="77777777" w:rsidTr="0088523E">
        <w:tc>
          <w:tcPr>
            <w:tcW w:w="1630" w:type="dxa"/>
          </w:tcPr>
          <w:p w14:paraId="5A6FE6A8" w14:textId="77777777" w:rsidR="00E963DB" w:rsidRPr="00E963DB" w:rsidRDefault="00E963DB" w:rsidP="00E963DB">
            <w:pPr>
              <w:keepNext/>
              <w:jc w:val="left"/>
              <w:rPr>
                <w:rFonts w:ascii="Arial Narrow" w:eastAsiaTheme="majorEastAsia" w:hAnsi="Arial Narrow" w:cstheme="majorBidi"/>
                <w:sz w:val="20"/>
              </w:rPr>
            </w:pPr>
            <w:r w:rsidRPr="00E963DB">
              <w:rPr>
                <w:rFonts w:ascii="Arial Narrow" w:eastAsiaTheme="majorEastAsia" w:hAnsi="Arial Narrow" w:cstheme="majorBidi"/>
                <w:sz w:val="20"/>
              </w:rPr>
              <w:t>Cost/patient/year</w:t>
            </w:r>
          </w:p>
        </w:tc>
        <w:tc>
          <w:tcPr>
            <w:tcW w:w="2334" w:type="dxa"/>
          </w:tcPr>
          <w:p w14:paraId="11F09327" w14:textId="32D4770E" w:rsidR="00E963DB" w:rsidRPr="00E963DB" w:rsidRDefault="00E963DB" w:rsidP="00E963DB">
            <w:pPr>
              <w:keepNext/>
              <w:jc w:val="center"/>
              <w:rPr>
                <w:rFonts w:ascii="Arial Narrow" w:eastAsiaTheme="majorEastAsia" w:hAnsi="Arial Narrow" w:cstheme="majorBidi"/>
                <w:sz w:val="20"/>
                <w:vertAlign w:val="superscript"/>
              </w:rPr>
            </w:pPr>
            <w:r w:rsidRPr="00E963DB">
              <w:rPr>
                <w:rFonts w:ascii="Arial Narrow" w:eastAsiaTheme="majorEastAsia" w:hAnsi="Arial Narrow" w:cstheme="majorBidi"/>
                <w:sz w:val="20"/>
              </w:rPr>
              <w:t>$</w:t>
            </w:r>
            <w:r w:rsidR="00127C1A" w:rsidRPr="00127C1A">
              <w:rPr>
                <w:rFonts w:ascii="Arial Narrow" w:eastAsiaTheme="majorEastAsia" w:hAnsi="Arial Narrow" w:cstheme="majorBidi"/>
                <w:sz w:val="4"/>
                <w:highlight w:val="black"/>
              </w:rPr>
              <w:t>Redacted content</w:t>
            </w:r>
            <w:r w:rsidRPr="00E963DB">
              <w:rPr>
                <w:rFonts w:ascii="Arial Narrow" w:eastAsiaTheme="majorEastAsia" w:hAnsi="Arial Narrow" w:cstheme="majorBidi"/>
                <w:sz w:val="20"/>
                <w:vertAlign w:val="superscript"/>
              </w:rPr>
              <w:t>b</w:t>
            </w:r>
          </w:p>
        </w:tc>
        <w:tc>
          <w:tcPr>
            <w:tcW w:w="2526" w:type="dxa"/>
          </w:tcPr>
          <w:p w14:paraId="5549FAA9" w14:textId="34B55497" w:rsidR="00E963DB" w:rsidRPr="00E963DB" w:rsidRDefault="00E963DB" w:rsidP="00E963DB">
            <w:pPr>
              <w:keepNext/>
              <w:jc w:val="center"/>
              <w:rPr>
                <w:rFonts w:ascii="Arial Narrow" w:eastAsiaTheme="majorEastAsia" w:hAnsi="Arial Narrow" w:cstheme="majorBidi"/>
                <w:sz w:val="20"/>
                <w:vertAlign w:val="superscript"/>
              </w:rPr>
            </w:pPr>
            <w:r w:rsidRPr="00E963DB">
              <w:rPr>
                <w:rFonts w:ascii="Arial Narrow" w:eastAsiaTheme="majorEastAsia" w:hAnsi="Arial Narrow" w:cstheme="majorBidi"/>
                <w:sz w:val="20"/>
              </w:rPr>
              <w:t>$</w:t>
            </w:r>
            <w:r w:rsidR="00127C1A" w:rsidRPr="00127C1A">
              <w:rPr>
                <w:rFonts w:ascii="Arial Narrow" w:eastAsiaTheme="majorEastAsia" w:hAnsi="Arial Narrow" w:cstheme="majorBidi"/>
                <w:sz w:val="4"/>
                <w:highlight w:val="black"/>
              </w:rPr>
              <w:t>Redacted content</w:t>
            </w:r>
          </w:p>
        </w:tc>
        <w:tc>
          <w:tcPr>
            <w:tcW w:w="2526" w:type="dxa"/>
          </w:tcPr>
          <w:p w14:paraId="122207C7" w14:textId="2784301B" w:rsidR="00E963DB" w:rsidRPr="00E963DB" w:rsidRDefault="00E963DB" w:rsidP="00E963DB">
            <w:pPr>
              <w:keepNext/>
              <w:jc w:val="center"/>
              <w:rPr>
                <w:rFonts w:ascii="Arial Narrow" w:eastAsiaTheme="majorEastAsia" w:hAnsi="Arial Narrow" w:cstheme="majorBidi"/>
                <w:sz w:val="20"/>
              </w:rPr>
            </w:pPr>
            <w:r w:rsidRPr="00E963DB">
              <w:rPr>
                <w:rFonts w:ascii="Arial Narrow" w:eastAsiaTheme="majorEastAsia" w:hAnsi="Arial Narrow" w:cstheme="majorBidi"/>
                <w:sz w:val="20"/>
              </w:rPr>
              <w:t>$</w:t>
            </w:r>
            <w:r w:rsidR="00127C1A" w:rsidRPr="00127C1A">
              <w:rPr>
                <w:rFonts w:ascii="Arial Narrow" w:eastAsiaTheme="majorEastAsia" w:hAnsi="Arial Narrow" w:cstheme="majorBidi"/>
                <w:sz w:val="4"/>
                <w:highlight w:val="black"/>
              </w:rPr>
              <w:t>Redacted content</w:t>
            </w:r>
          </w:p>
        </w:tc>
      </w:tr>
      <w:tr w:rsidR="00E963DB" w:rsidRPr="00E963DB" w14:paraId="66ADCEE3" w14:textId="77777777" w:rsidTr="0088523E">
        <w:tc>
          <w:tcPr>
            <w:tcW w:w="9016" w:type="dxa"/>
            <w:gridSpan w:val="4"/>
          </w:tcPr>
          <w:p w14:paraId="61146684" w14:textId="77777777" w:rsidR="00E963DB" w:rsidRPr="00E963DB" w:rsidRDefault="00E963DB" w:rsidP="00E963DB">
            <w:pPr>
              <w:keepNext/>
              <w:rPr>
                <w:rFonts w:ascii="Arial Narrow" w:eastAsiaTheme="majorEastAsia" w:hAnsi="Arial Narrow" w:cstheme="majorBidi"/>
                <w:b/>
                <w:bCs/>
                <w:i/>
                <w:iCs/>
                <w:sz w:val="20"/>
              </w:rPr>
            </w:pPr>
            <w:r w:rsidRPr="00E963DB">
              <w:rPr>
                <w:rFonts w:ascii="Arial Narrow" w:eastAsiaTheme="majorEastAsia" w:hAnsi="Arial Narrow" w:cstheme="majorBidi"/>
                <w:b/>
                <w:bCs/>
                <w:i/>
                <w:iCs/>
                <w:sz w:val="20"/>
              </w:rPr>
              <w:t>July 2025 submission</w:t>
            </w:r>
          </w:p>
        </w:tc>
      </w:tr>
      <w:tr w:rsidR="00E963DB" w:rsidRPr="00E963DB" w14:paraId="7B78A28F" w14:textId="77777777" w:rsidTr="0088523E">
        <w:tc>
          <w:tcPr>
            <w:tcW w:w="1630" w:type="dxa"/>
          </w:tcPr>
          <w:p w14:paraId="34E6BAC0" w14:textId="77777777" w:rsidR="00E963DB" w:rsidRPr="00E963DB" w:rsidRDefault="00E963DB" w:rsidP="00E963DB">
            <w:pPr>
              <w:keepNext/>
              <w:jc w:val="left"/>
              <w:rPr>
                <w:rFonts w:ascii="Arial Narrow" w:eastAsiaTheme="majorEastAsia" w:hAnsi="Arial Narrow" w:cstheme="majorBidi"/>
                <w:i/>
                <w:iCs/>
                <w:sz w:val="20"/>
              </w:rPr>
            </w:pPr>
            <w:r w:rsidRPr="00E963DB">
              <w:rPr>
                <w:rFonts w:ascii="Arial Narrow" w:eastAsiaTheme="majorEastAsia" w:hAnsi="Arial Narrow" w:cstheme="majorBidi"/>
                <w:i/>
                <w:iCs/>
                <w:sz w:val="20"/>
              </w:rPr>
              <w:t>Cost/patient/year</w:t>
            </w:r>
          </w:p>
        </w:tc>
        <w:tc>
          <w:tcPr>
            <w:tcW w:w="2334" w:type="dxa"/>
          </w:tcPr>
          <w:p w14:paraId="12971AE4" w14:textId="5F24C2A0" w:rsidR="00E963DB" w:rsidRPr="00E963DB" w:rsidRDefault="00E963DB" w:rsidP="00E963DB">
            <w:pPr>
              <w:keepNext/>
              <w:jc w:val="center"/>
              <w:rPr>
                <w:rFonts w:ascii="Arial Narrow" w:eastAsiaTheme="majorEastAsia" w:hAnsi="Arial Narrow" w:cstheme="majorBidi"/>
                <w:i/>
                <w:iCs/>
                <w:sz w:val="20"/>
              </w:rPr>
            </w:pPr>
            <w:r w:rsidRPr="00E963DB">
              <w:rPr>
                <w:rFonts w:ascii="Arial Narrow" w:eastAsiaTheme="majorEastAsia" w:hAnsi="Arial Narrow" w:cstheme="majorBidi"/>
                <w:i/>
                <w:iCs/>
                <w:sz w:val="20"/>
              </w:rPr>
              <w:t>$</w:t>
            </w:r>
            <w:r w:rsidR="00127C1A" w:rsidRPr="00127C1A">
              <w:rPr>
                <w:rFonts w:ascii="Arial Narrow" w:eastAsiaTheme="majorEastAsia" w:hAnsi="Arial Narrow" w:cstheme="majorBidi"/>
                <w:i/>
                <w:iCs/>
                <w:sz w:val="4"/>
                <w:highlight w:val="black"/>
              </w:rPr>
              <w:t>Redacted content</w:t>
            </w:r>
          </w:p>
        </w:tc>
        <w:tc>
          <w:tcPr>
            <w:tcW w:w="5052" w:type="dxa"/>
            <w:gridSpan w:val="2"/>
          </w:tcPr>
          <w:p w14:paraId="49EF46B6" w14:textId="03E6AF50" w:rsidR="00E963DB" w:rsidRPr="00E963DB" w:rsidRDefault="00E963DB" w:rsidP="00E963DB">
            <w:pPr>
              <w:keepNext/>
              <w:jc w:val="center"/>
              <w:rPr>
                <w:rFonts w:ascii="Arial Narrow" w:eastAsiaTheme="majorEastAsia" w:hAnsi="Arial Narrow" w:cstheme="majorBidi"/>
                <w:i/>
                <w:iCs/>
                <w:sz w:val="20"/>
              </w:rPr>
            </w:pPr>
            <w:r w:rsidRPr="00E963DB">
              <w:rPr>
                <w:rFonts w:ascii="Arial Narrow" w:eastAsiaTheme="majorEastAsia" w:hAnsi="Arial Narrow" w:cstheme="majorBidi"/>
                <w:i/>
                <w:iCs/>
                <w:sz w:val="20"/>
              </w:rPr>
              <w:t>$</w:t>
            </w:r>
            <w:r w:rsidR="00127C1A" w:rsidRPr="00127C1A">
              <w:rPr>
                <w:rFonts w:ascii="Arial Narrow" w:eastAsiaTheme="majorEastAsia" w:hAnsi="Arial Narrow" w:cstheme="majorBidi"/>
                <w:i/>
                <w:iCs/>
                <w:sz w:val="4"/>
                <w:highlight w:val="black"/>
              </w:rPr>
              <w:t>Redacted content</w:t>
            </w:r>
          </w:p>
        </w:tc>
      </w:tr>
    </w:tbl>
    <w:p w14:paraId="5E013E1C" w14:textId="77777777" w:rsidR="00E963DB" w:rsidRPr="00E963DB" w:rsidRDefault="00E963DB" w:rsidP="00E963DB">
      <w:pPr>
        <w:spacing w:after="120"/>
        <w:contextualSpacing/>
        <w:rPr>
          <w:rFonts w:ascii="Arial Narrow" w:eastAsiaTheme="majorEastAsia" w:hAnsi="Arial Narrow"/>
          <w:snapToGrid w:val="0"/>
          <w:sz w:val="18"/>
          <w:szCs w:val="22"/>
        </w:rPr>
      </w:pPr>
      <w:r w:rsidRPr="00E963DB">
        <w:rPr>
          <w:rFonts w:ascii="Arial Narrow" w:eastAsiaTheme="majorEastAsia" w:hAnsi="Arial Narrow"/>
          <w:snapToGrid w:val="0"/>
          <w:sz w:val="18"/>
          <w:szCs w:val="22"/>
        </w:rPr>
        <w:t xml:space="preserve">Source: Prepared for submission overview and from Table 4, p39 of the deferral response </w:t>
      </w:r>
    </w:p>
    <w:p w14:paraId="70B8A33E" w14:textId="77777777" w:rsidR="00E963DB" w:rsidRPr="00E963DB" w:rsidRDefault="00E963DB" w:rsidP="00E963DB">
      <w:pPr>
        <w:spacing w:after="120"/>
        <w:contextualSpacing/>
        <w:rPr>
          <w:rFonts w:ascii="Arial Narrow" w:eastAsiaTheme="majorEastAsia" w:hAnsi="Arial Narrow"/>
          <w:snapToGrid w:val="0"/>
          <w:sz w:val="18"/>
          <w:szCs w:val="22"/>
        </w:rPr>
      </w:pPr>
      <w:r w:rsidRPr="00E963DB">
        <w:rPr>
          <w:rFonts w:ascii="Arial Narrow" w:eastAsiaTheme="majorEastAsia" w:hAnsi="Arial Narrow"/>
          <w:snapToGrid w:val="0"/>
          <w:sz w:val="18"/>
          <w:szCs w:val="22"/>
          <w:vertAlign w:val="superscript"/>
        </w:rPr>
        <w:t>a</w:t>
      </w:r>
      <w:r w:rsidRPr="00E963DB">
        <w:rPr>
          <w:rFonts w:ascii="Arial Narrow" w:eastAsiaTheme="majorEastAsia" w:hAnsi="Arial Narrow"/>
          <w:snapToGrid w:val="0"/>
          <w:sz w:val="18"/>
          <w:szCs w:val="22"/>
        </w:rPr>
        <w:t xml:space="preserve"> Average weight of paediatric and adult patients based on the rhLAMAN</w:t>
      </w:r>
      <w:r w:rsidRPr="00E963DB">
        <w:rPr>
          <w:rFonts w:ascii="Arial Narrow" w:eastAsiaTheme="majorEastAsia" w:hAnsi="Arial Narrow"/>
          <w:snapToGrid w:val="0"/>
          <w:sz w:val="18"/>
          <w:szCs w:val="22"/>
        </w:rPr>
        <w:noBreakHyphen/>
        <w:t xml:space="preserve">05 trial. </w:t>
      </w:r>
    </w:p>
    <w:p w14:paraId="765B7104" w14:textId="0C0D8802" w:rsidR="00E963DB" w:rsidRPr="00E963DB" w:rsidRDefault="00E963DB" w:rsidP="00E963DB">
      <w:pPr>
        <w:spacing w:after="120"/>
        <w:contextualSpacing/>
        <w:rPr>
          <w:rFonts w:ascii="Arial Narrow" w:eastAsiaTheme="majorEastAsia" w:hAnsi="Arial Narrow"/>
          <w:snapToGrid w:val="0"/>
          <w:sz w:val="18"/>
          <w:szCs w:val="22"/>
        </w:rPr>
      </w:pPr>
      <w:r w:rsidRPr="00E963DB">
        <w:rPr>
          <w:rFonts w:ascii="Arial Narrow" w:eastAsiaTheme="majorEastAsia" w:hAnsi="Arial Narrow"/>
          <w:snapToGrid w:val="0"/>
          <w:sz w:val="18"/>
          <w:szCs w:val="22"/>
          <w:vertAlign w:val="superscript"/>
        </w:rPr>
        <w:t>b</w:t>
      </w:r>
      <w:r w:rsidRPr="00E963DB">
        <w:rPr>
          <w:rFonts w:ascii="Arial Narrow" w:eastAsiaTheme="majorEastAsia" w:hAnsi="Arial Narrow"/>
          <w:snapToGrid w:val="0"/>
          <w:sz w:val="18"/>
          <w:szCs w:val="22"/>
        </w:rPr>
        <w:t xml:space="preserve"> The cost per patient per year was calculated as: (60.2/10) x $</w:t>
      </w:r>
      <w:r w:rsidR="00127C1A" w:rsidRPr="00127C1A">
        <w:rPr>
          <w:rFonts w:ascii="Arial Narrow" w:eastAsiaTheme="majorEastAsia" w:hAnsi="Arial Narrow"/>
          <w:snapToGrid w:val="0"/>
          <w:sz w:val="4"/>
          <w:szCs w:val="22"/>
          <w:highlight w:val="black"/>
        </w:rPr>
        <w:t>Redacted content</w:t>
      </w:r>
      <w:r w:rsidRPr="00E963DB">
        <w:rPr>
          <w:rFonts w:ascii="Arial Narrow" w:eastAsiaTheme="majorEastAsia" w:hAnsi="Arial Narrow"/>
          <w:snapToGrid w:val="0"/>
          <w:sz w:val="18"/>
          <w:szCs w:val="22"/>
        </w:rPr>
        <w:t xml:space="preserve"> x 52 (assuming all patients were public hospital patients).</w:t>
      </w:r>
    </w:p>
    <w:p w14:paraId="2D0B8B15" w14:textId="77777777" w:rsidR="00E963DB" w:rsidRPr="00E963DB" w:rsidRDefault="00E963DB" w:rsidP="00EC1229">
      <w:pPr>
        <w:pStyle w:val="3-SubsectionHeading"/>
        <w:rPr>
          <w:b w:val="0"/>
          <w:i w:val="0"/>
        </w:rPr>
      </w:pPr>
      <w:r w:rsidRPr="00E963DB">
        <w:t>Estimated PBS usage and financial implications</w:t>
      </w:r>
    </w:p>
    <w:p w14:paraId="2EE37C5F" w14:textId="7F820B6F" w:rsidR="00E963DB" w:rsidRPr="00E963DB" w:rsidRDefault="00E963DB" w:rsidP="006E7D8F">
      <w:pPr>
        <w:pStyle w:val="3-BodyText"/>
      </w:pPr>
      <w:r w:rsidRPr="00E963DB">
        <w:t xml:space="preserve">In July 2025, the PBAC noted that there were 7 known patients with AM in Australia and that clinicians advised that 2 to 3 would be eligible for treatment. Further, the PBAC considered that a new AM patient would likely emerge every 3 to 4 years and that overall, there would be a maximum of 5 patients eligible for treatment over the 6 years of financial estimates (see </w:t>
      </w:r>
      <w:r w:rsidRPr="00E963DB">
        <w:fldChar w:fldCharType="begin"/>
      </w:r>
      <w:r w:rsidRPr="00E963DB">
        <w:instrText xml:space="preserve"> REF _Ref104805262 \h </w:instrText>
      </w:r>
      <w:r w:rsidRPr="00E963DB">
        <w:fldChar w:fldCharType="separate"/>
      </w:r>
      <w:r w:rsidR="00B73A9E" w:rsidRPr="00886D8A">
        <w:t xml:space="preserve">Table </w:t>
      </w:r>
      <w:r w:rsidR="00B73A9E">
        <w:rPr>
          <w:noProof/>
        </w:rPr>
        <w:t>18</w:t>
      </w:r>
      <w:r w:rsidRPr="00E963DB">
        <w:fldChar w:fldCharType="end"/>
      </w:r>
      <w:r w:rsidRPr="00E963DB">
        <w:t xml:space="preserve"> and paragraph</w:t>
      </w:r>
      <w:r w:rsidRPr="00E963DB" w:rsidDel="0038199C">
        <w:t xml:space="preserve"> </w:t>
      </w:r>
      <w:r w:rsidR="0038199C">
        <w:fldChar w:fldCharType="begin"/>
      </w:r>
      <w:r w:rsidR="0038199C">
        <w:instrText xml:space="preserve"> REF _Ref228968538 \r \h </w:instrText>
      </w:r>
      <w:r w:rsidR="0038199C">
        <w:fldChar w:fldCharType="separate"/>
      </w:r>
      <w:r w:rsidR="00B73A9E">
        <w:t>7.15</w:t>
      </w:r>
      <w:r w:rsidR="0038199C">
        <w:fldChar w:fldCharType="end"/>
      </w:r>
      <w:r w:rsidRPr="00E963DB">
        <w:t>).</w:t>
      </w:r>
    </w:p>
    <w:p w14:paraId="682716E2" w14:textId="77777777" w:rsidR="00E963DB" w:rsidRPr="00E963DB" w:rsidRDefault="00E963DB" w:rsidP="00436258">
      <w:pPr>
        <w:pStyle w:val="3-BodyText"/>
      </w:pPr>
      <w:r w:rsidRPr="00E963DB">
        <w:t>The deferral response noted that, based on the epidemiological estimate from Chin and Fuller, 2022</w:t>
      </w:r>
      <w:r w:rsidRPr="00E963DB">
        <w:rPr>
          <w:vertAlign w:val="superscript"/>
        </w:rPr>
        <w:footnoteReference w:id="7"/>
      </w:r>
      <w:r w:rsidRPr="00E963DB">
        <w:t>, there should be 22 prevalent AM patients in Australia. Sponsor interviews identified 9 patients (2 had passed away), and 4 (3 adults and 1 paediatric) who would be eligible for treatment. Of the remaining 13 unidentified patients, the deferral response assumed that 5 would be identified when velmanase alfa was listed on the PBS (2 in Year 1 and 3 in Year 2). The deferral response also assumed a paediatric incident patient would emerge in each of Years 2, 4 and 6.</w:t>
      </w:r>
    </w:p>
    <w:p w14:paraId="3EA5DC28" w14:textId="0DFCD139" w:rsidR="00E963DB" w:rsidRPr="00E963DB" w:rsidRDefault="00E963DB" w:rsidP="00AB2582">
      <w:pPr>
        <w:pStyle w:val="3-BodyText"/>
      </w:pPr>
      <w:r w:rsidRPr="00E963DB">
        <w:t xml:space="preserve">The estimated utilisation and financial estimates are presented in </w:t>
      </w:r>
      <w:r w:rsidRPr="00E963DB">
        <w:fldChar w:fldCharType="begin"/>
      </w:r>
      <w:r w:rsidRPr="00E963DB">
        <w:instrText xml:space="preserve"> REF _Ref214544355 \h </w:instrText>
      </w:r>
      <w:r w:rsidR="0038199C">
        <w:instrText xml:space="preserve"> \* MERGEFORMAT </w:instrText>
      </w:r>
      <w:r w:rsidRPr="00E963DB">
        <w:fldChar w:fldCharType="separate"/>
      </w:r>
      <w:r w:rsidR="00B73A9E" w:rsidRPr="00B73A9E">
        <w:t>Table 24</w:t>
      </w:r>
      <w:r w:rsidRPr="00E963DB">
        <w:fldChar w:fldCharType="end"/>
      </w:r>
      <w:r w:rsidRPr="00E963DB">
        <w:t>. No treatment discontinuation was assumed, with all patients expected to remain on therapy for the full 6 year time horizon.</w:t>
      </w:r>
    </w:p>
    <w:p w14:paraId="7BFBAE43" w14:textId="0E4BACE0" w:rsidR="00E963DB" w:rsidRPr="00E963DB" w:rsidRDefault="00E963DB" w:rsidP="00E963DB">
      <w:pPr>
        <w:keepNext/>
        <w:keepLines/>
        <w:rPr>
          <w:rFonts w:ascii="Arial Narrow" w:hAnsi="Arial Narrow"/>
          <w:b/>
          <w:bCs/>
          <w:sz w:val="20"/>
          <w:szCs w:val="18"/>
        </w:rPr>
      </w:pPr>
      <w:bookmarkStart w:id="146" w:name="_Ref214544355"/>
      <w:r w:rsidRPr="00E963DB">
        <w:rPr>
          <w:rFonts w:ascii="Arial Narrow" w:hAnsi="Arial Narrow"/>
          <w:b/>
          <w:bCs/>
          <w:sz w:val="20"/>
          <w:szCs w:val="18"/>
        </w:rPr>
        <w:t xml:space="preserve">Table </w:t>
      </w:r>
      <w:r w:rsidRPr="00E963DB">
        <w:rPr>
          <w:rFonts w:ascii="Arial Narrow" w:hAnsi="Arial Narrow"/>
          <w:b/>
          <w:bCs/>
          <w:sz w:val="20"/>
          <w:szCs w:val="18"/>
        </w:rPr>
        <w:fldChar w:fldCharType="begin"/>
      </w:r>
      <w:r w:rsidRPr="00E963DB">
        <w:rPr>
          <w:rFonts w:ascii="Arial Narrow" w:hAnsi="Arial Narrow"/>
          <w:b/>
          <w:bCs/>
          <w:sz w:val="20"/>
          <w:szCs w:val="18"/>
        </w:rPr>
        <w:instrText xml:space="preserve"> SEQ Table \* ARABIC </w:instrText>
      </w:r>
      <w:r w:rsidRPr="00E963DB">
        <w:rPr>
          <w:rFonts w:ascii="Arial Narrow" w:hAnsi="Arial Narrow"/>
          <w:b/>
          <w:bCs/>
          <w:sz w:val="20"/>
          <w:szCs w:val="18"/>
        </w:rPr>
        <w:fldChar w:fldCharType="separate"/>
      </w:r>
      <w:r w:rsidR="00B73A9E">
        <w:rPr>
          <w:rFonts w:ascii="Arial Narrow" w:hAnsi="Arial Narrow"/>
          <w:b/>
          <w:bCs/>
          <w:noProof/>
          <w:sz w:val="20"/>
          <w:szCs w:val="18"/>
        </w:rPr>
        <w:t>24</w:t>
      </w:r>
      <w:r w:rsidRPr="00E963DB">
        <w:rPr>
          <w:rFonts w:ascii="Arial Narrow" w:hAnsi="Arial Narrow"/>
          <w:b/>
          <w:bCs/>
          <w:sz w:val="20"/>
          <w:szCs w:val="18"/>
        </w:rPr>
        <w:fldChar w:fldCharType="end"/>
      </w:r>
      <w:bookmarkEnd w:id="146"/>
      <w:r w:rsidRPr="00E963DB">
        <w:rPr>
          <w:rFonts w:ascii="Arial Narrow" w:hAnsi="Arial Narrow"/>
          <w:b/>
          <w:bCs/>
          <w:sz w:val="20"/>
          <w:szCs w:val="18"/>
        </w:rPr>
        <w:t>: Utilisation and financial impact estimates of listing velmanase alfa on the PBS.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1275"/>
        <w:gridCol w:w="1276"/>
        <w:gridCol w:w="1276"/>
        <w:gridCol w:w="1276"/>
        <w:gridCol w:w="1275"/>
      </w:tblGrid>
      <w:tr w:rsidR="00E963DB" w:rsidRPr="00E963DB" w14:paraId="7FD9B5D3" w14:textId="77777777" w:rsidTr="00A94881">
        <w:trPr>
          <w:trHeight w:val="17"/>
        </w:trPr>
        <w:tc>
          <w:tcPr>
            <w:tcW w:w="1418" w:type="dxa"/>
            <w:tcMar>
              <w:left w:w="28" w:type="dxa"/>
              <w:right w:w="28" w:type="dxa"/>
            </w:tcMar>
            <w:vAlign w:val="center"/>
          </w:tcPr>
          <w:p w14:paraId="01594857" w14:textId="77777777" w:rsidR="00E963DB" w:rsidRPr="00E963DB" w:rsidRDefault="00E963DB" w:rsidP="00E963DB">
            <w:pPr>
              <w:keepNext/>
              <w:jc w:val="left"/>
              <w:rPr>
                <w:rFonts w:ascii="Arial Narrow" w:eastAsiaTheme="majorEastAsia" w:hAnsi="Arial Narrow" w:cstheme="majorBidi"/>
                <w:b/>
                <w:sz w:val="20"/>
              </w:rPr>
            </w:pPr>
          </w:p>
        </w:tc>
        <w:tc>
          <w:tcPr>
            <w:tcW w:w="1276" w:type="dxa"/>
            <w:tcMar>
              <w:left w:w="28" w:type="dxa"/>
              <w:right w:w="28" w:type="dxa"/>
            </w:tcMar>
            <w:vAlign w:val="center"/>
            <w:hideMark/>
          </w:tcPr>
          <w:p w14:paraId="5938D8CB"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1</w:t>
            </w:r>
          </w:p>
        </w:tc>
        <w:tc>
          <w:tcPr>
            <w:tcW w:w="1275" w:type="dxa"/>
            <w:tcMar>
              <w:left w:w="28" w:type="dxa"/>
              <w:right w:w="28" w:type="dxa"/>
            </w:tcMar>
            <w:vAlign w:val="center"/>
            <w:hideMark/>
          </w:tcPr>
          <w:p w14:paraId="74E1BD82"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2</w:t>
            </w:r>
          </w:p>
        </w:tc>
        <w:tc>
          <w:tcPr>
            <w:tcW w:w="1276" w:type="dxa"/>
            <w:tcMar>
              <w:left w:w="28" w:type="dxa"/>
              <w:right w:w="28" w:type="dxa"/>
            </w:tcMar>
            <w:vAlign w:val="center"/>
            <w:hideMark/>
          </w:tcPr>
          <w:p w14:paraId="133020C3"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3</w:t>
            </w:r>
          </w:p>
        </w:tc>
        <w:tc>
          <w:tcPr>
            <w:tcW w:w="1276" w:type="dxa"/>
            <w:tcMar>
              <w:left w:w="28" w:type="dxa"/>
              <w:right w:w="28" w:type="dxa"/>
            </w:tcMar>
            <w:vAlign w:val="center"/>
            <w:hideMark/>
          </w:tcPr>
          <w:p w14:paraId="3865881F"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4</w:t>
            </w:r>
          </w:p>
        </w:tc>
        <w:tc>
          <w:tcPr>
            <w:tcW w:w="1276" w:type="dxa"/>
            <w:tcMar>
              <w:left w:w="28" w:type="dxa"/>
              <w:right w:w="28" w:type="dxa"/>
            </w:tcMar>
            <w:vAlign w:val="center"/>
            <w:hideMark/>
          </w:tcPr>
          <w:p w14:paraId="2A23D857"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5</w:t>
            </w:r>
          </w:p>
        </w:tc>
        <w:tc>
          <w:tcPr>
            <w:tcW w:w="1275" w:type="dxa"/>
            <w:tcMar>
              <w:left w:w="28" w:type="dxa"/>
              <w:right w:w="28" w:type="dxa"/>
            </w:tcMar>
            <w:vAlign w:val="center"/>
            <w:hideMark/>
          </w:tcPr>
          <w:p w14:paraId="3C2F5B98"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6</w:t>
            </w:r>
          </w:p>
        </w:tc>
      </w:tr>
      <w:tr w:rsidR="00E963DB" w:rsidRPr="00E963DB" w14:paraId="195E1BDB" w14:textId="77777777" w:rsidTr="00A94881">
        <w:trPr>
          <w:trHeight w:val="17"/>
        </w:trPr>
        <w:tc>
          <w:tcPr>
            <w:tcW w:w="1418" w:type="dxa"/>
            <w:noWrap/>
            <w:tcMar>
              <w:left w:w="28" w:type="dxa"/>
              <w:right w:w="28" w:type="dxa"/>
            </w:tcMar>
            <w:vAlign w:val="center"/>
          </w:tcPr>
          <w:p w14:paraId="5E215729" w14:textId="77777777" w:rsidR="00E963DB" w:rsidRPr="00E963DB" w:rsidRDefault="00E963DB" w:rsidP="00E963DB">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No. of patients</w:t>
            </w:r>
          </w:p>
          <w:p w14:paraId="4019B54F" w14:textId="77777777" w:rsidR="00E963DB" w:rsidRPr="00E963DB" w:rsidRDefault="00E963DB" w:rsidP="00E963DB">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 Adults</w:t>
            </w:r>
          </w:p>
          <w:p w14:paraId="354D6361" w14:textId="77777777" w:rsidR="00E963DB" w:rsidRPr="00E963DB" w:rsidRDefault="00E963DB" w:rsidP="00E963DB">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 Paediatrics</w:t>
            </w:r>
          </w:p>
        </w:tc>
        <w:tc>
          <w:tcPr>
            <w:tcW w:w="1276" w:type="dxa"/>
            <w:noWrap/>
            <w:tcMar>
              <w:left w:w="28" w:type="dxa"/>
              <w:right w:w="28" w:type="dxa"/>
            </w:tcMar>
            <w:vAlign w:val="center"/>
          </w:tcPr>
          <w:p w14:paraId="7ECB0CF8" w14:textId="3799139E"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p>
        </w:tc>
        <w:tc>
          <w:tcPr>
            <w:tcW w:w="1275" w:type="dxa"/>
            <w:noWrap/>
            <w:tcMar>
              <w:left w:w="28" w:type="dxa"/>
              <w:right w:w="28" w:type="dxa"/>
            </w:tcMar>
            <w:vAlign w:val="center"/>
          </w:tcPr>
          <w:p w14:paraId="63092145" w14:textId="51120098"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p>
        </w:tc>
        <w:tc>
          <w:tcPr>
            <w:tcW w:w="1276" w:type="dxa"/>
            <w:noWrap/>
            <w:tcMar>
              <w:left w:w="28" w:type="dxa"/>
              <w:right w:w="28" w:type="dxa"/>
            </w:tcMar>
            <w:vAlign w:val="center"/>
          </w:tcPr>
          <w:p w14:paraId="06C26DF3" w14:textId="30449076"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p>
        </w:tc>
        <w:tc>
          <w:tcPr>
            <w:tcW w:w="1276" w:type="dxa"/>
            <w:noWrap/>
            <w:tcMar>
              <w:left w:w="28" w:type="dxa"/>
              <w:right w:w="28" w:type="dxa"/>
            </w:tcMar>
            <w:vAlign w:val="center"/>
          </w:tcPr>
          <w:p w14:paraId="7BD39FF5" w14:textId="70651B05"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p>
        </w:tc>
        <w:tc>
          <w:tcPr>
            <w:tcW w:w="1276" w:type="dxa"/>
            <w:noWrap/>
            <w:tcMar>
              <w:left w:w="28" w:type="dxa"/>
              <w:right w:w="28" w:type="dxa"/>
            </w:tcMar>
            <w:vAlign w:val="center"/>
          </w:tcPr>
          <w:p w14:paraId="3E7C5075" w14:textId="11E4A9B7"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p>
        </w:tc>
        <w:tc>
          <w:tcPr>
            <w:tcW w:w="1275" w:type="dxa"/>
            <w:noWrap/>
            <w:tcMar>
              <w:left w:w="28" w:type="dxa"/>
              <w:right w:w="28" w:type="dxa"/>
            </w:tcMar>
            <w:vAlign w:val="center"/>
          </w:tcPr>
          <w:p w14:paraId="67ED658F" w14:textId="03CE5825"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11</w:t>
            </w:r>
            <w:r w:rsidRPr="00127C1A">
              <w:rPr>
                <w:rFonts w:ascii="Arial Narrow" w:eastAsiaTheme="majorEastAsia" w:hAnsi="Arial Narrow" w:cstheme="majorBidi"/>
                <w:bCs/>
                <w:sz w:val="4"/>
                <w:highlight w:val="black"/>
              </w:rPr>
              <w:t>Redacted content</w:t>
            </w:r>
          </w:p>
        </w:tc>
      </w:tr>
      <w:tr w:rsidR="00E963DB" w:rsidRPr="00E963DB" w14:paraId="2A1CC4D9" w14:textId="77777777" w:rsidTr="00A94881">
        <w:trPr>
          <w:trHeight w:val="17"/>
        </w:trPr>
        <w:tc>
          <w:tcPr>
            <w:tcW w:w="1418" w:type="dxa"/>
            <w:noWrap/>
            <w:tcMar>
              <w:left w:w="28" w:type="dxa"/>
              <w:right w:w="28" w:type="dxa"/>
            </w:tcMar>
            <w:vAlign w:val="center"/>
          </w:tcPr>
          <w:p w14:paraId="4A5F7288" w14:textId="065C5C96" w:rsidR="00E963DB" w:rsidRPr="00E963DB" w:rsidRDefault="00E963DB" w:rsidP="00E963DB">
            <w:pPr>
              <w:keepNext/>
              <w:jc w:val="left"/>
              <w:rPr>
                <w:rFonts w:ascii="Arial Narrow" w:eastAsiaTheme="majorEastAsia" w:hAnsi="Arial Narrow" w:cstheme="majorBidi"/>
                <w:b/>
                <w:sz w:val="20"/>
              </w:rPr>
            </w:pPr>
            <w:r w:rsidRPr="00E963DB">
              <w:rPr>
                <w:rFonts w:ascii="Arial Narrow" w:eastAsiaTheme="majorEastAsia" w:hAnsi="Arial Narrow" w:cstheme="majorBidi"/>
                <w:b/>
                <w:sz w:val="20"/>
              </w:rPr>
              <w:t>Net cost to PBS</w:t>
            </w:r>
            <w:r w:rsidR="00CD7617">
              <w:rPr>
                <w:rFonts w:ascii="Arial Narrow" w:eastAsiaTheme="majorEastAsia" w:hAnsi="Arial Narrow" w:cstheme="majorBidi"/>
                <w:b/>
                <w:sz w:val="20"/>
              </w:rPr>
              <w:t xml:space="preserve"> ($)</w:t>
            </w:r>
          </w:p>
        </w:tc>
        <w:tc>
          <w:tcPr>
            <w:tcW w:w="1276" w:type="dxa"/>
            <w:noWrap/>
            <w:tcMar>
              <w:left w:w="28" w:type="dxa"/>
              <w:right w:w="28" w:type="dxa"/>
            </w:tcMar>
            <w:vAlign w:val="center"/>
            <w:hideMark/>
          </w:tcPr>
          <w:p w14:paraId="4AB99A4E" w14:textId="2394F4CF" w:rsidR="00E963DB" w:rsidRPr="00FB7106" w:rsidRDefault="00127C1A" w:rsidP="00E963DB">
            <w:pPr>
              <w:keepNext/>
              <w:jc w:val="center"/>
              <w:rPr>
                <w:rFonts w:ascii="Arial Narrow" w:eastAsiaTheme="majorEastAsia" w:hAnsi="Arial Narrow" w:cstheme="majorBidi"/>
                <w:b/>
                <w:sz w:val="20"/>
                <w:highlight w:val="darkGray"/>
              </w:rPr>
            </w:pPr>
            <w:r w:rsidRPr="00127C1A">
              <w:rPr>
                <w:rFonts w:ascii="Arial Narrow" w:eastAsiaTheme="majorEastAsia" w:hAnsi="Arial Narrow" w:cstheme="majorBidi"/>
                <w:b/>
                <w:sz w:val="4"/>
                <w:highlight w:val="black"/>
              </w:rPr>
              <w:t>Redacted content</w:t>
            </w:r>
            <w:r w:rsidR="00FE7C55" w:rsidRPr="00FE7C55">
              <w:rPr>
                <w:rFonts w:ascii="Arial Narrow" w:eastAsiaTheme="majorEastAsia" w:hAnsi="Arial Narrow" w:cstheme="majorBidi"/>
                <w:b/>
                <w:sz w:val="20"/>
                <w:vertAlign w:val="superscript"/>
              </w:rPr>
              <w:t>2</w:t>
            </w:r>
          </w:p>
        </w:tc>
        <w:tc>
          <w:tcPr>
            <w:tcW w:w="1275" w:type="dxa"/>
            <w:noWrap/>
            <w:tcMar>
              <w:left w:w="28" w:type="dxa"/>
              <w:right w:w="28" w:type="dxa"/>
            </w:tcMar>
            <w:vAlign w:val="center"/>
            <w:hideMark/>
          </w:tcPr>
          <w:p w14:paraId="4D618671" w14:textId="704712C7" w:rsidR="00E963DB" w:rsidRPr="00FB7106" w:rsidRDefault="00127C1A" w:rsidP="00E963DB">
            <w:pPr>
              <w:keepNext/>
              <w:jc w:val="center"/>
              <w:rPr>
                <w:rFonts w:ascii="Arial Narrow" w:eastAsiaTheme="majorEastAsia" w:hAnsi="Arial Narrow" w:cstheme="majorBidi"/>
                <w:b/>
                <w:sz w:val="20"/>
                <w:highlight w:val="darkGray"/>
              </w:rPr>
            </w:pPr>
            <w:r w:rsidRPr="00127C1A">
              <w:rPr>
                <w:rFonts w:ascii="Arial Narrow" w:eastAsiaTheme="majorEastAsia" w:hAnsi="Arial Narrow" w:cstheme="majorBidi"/>
                <w:b/>
                <w:sz w:val="4"/>
                <w:highlight w:val="black"/>
              </w:rPr>
              <w:t>Redacted content</w:t>
            </w:r>
            <w:r w:rsidR="00FE7C55" w:rsidRPr="00FE7C55">
              <w:rPr>
                <w:rFonts w:ascii="Arial Narrow" w:eastAsiaTheme="majorEastAsia" w:hAnsi="Arial Narrow" w:cstheme="majorBidi"/>
                <w:b/>
                <w:sz w:val="20"/>
                <w:vertAlign w:val="superscript"/>
              </w:rPr>
              <w:t>2</w:t>
            </w:r>
          </w:p>
        </w:tc>
        <w:tc>
          <w:tcPr>
            <w:tcW w:w="1276" w:type="dxa"/>
            <w:noWrap/>
            <w:tcMar>
              <w:left w:w="28" w:type="dxa"/>
              <w:right w:w="28" w:type="dxa"/>
            </w:tcMar>
            <w:vAlign w:val="center"/>
            <w:hideMark/>
          </w:tcPr>
          <w:p w14:paraId="316F6A4E" w14:textId="61283A5F" w:rsidR="00E963DB" w:rsidRPr="00FB7106" w:rsidRDefault="00127C1A" w:rsidP="00E963DB">
            <w:pPr>
              <w:keepNext/>
              <w:jc w:val="center"/>
              <w:rPr>
                <w:rFonts w:ascii="Arial Narrow" w:eastAsiaTheme="majorEastAsia" w:hAnsi="Arial Narrow" w:cstheme="majorBidi"/>
                <w:b/>
                <w:sz w:val="20"/>
                <w:highlight w:val="darkGray"/>
              </w:rPr>
            </w:pPr>
            <w:r w:rsidRPr="00127C1A">
              <w:rPr>
                <w:rFonts w:ascii="Arial Narrow" w:eastAsiaTheme="majorEastAsia" w:hAnsi="Arial Narrow" w:cstheme="majorBidi"/>
                <w:b/>
                <w:sz w:val="4"/>
                <w:highlight w:val="black"/>
              </w:rPr>
              <w:t>Redacted content</w:t>
            </w:r>
            <w:r w:rsidR="00FE7C55" w:rsidRPr="00FE7C55">
              <w:rPr>
                <w:rFonts w:ascii="Arial Narrow" w:eastAsiaTheme="majorEastAsia" w:hAnsi="Arial Narrow" w:cstheme="majorBidi"/>
                <w:b/>
                <w:sz w:val="20"/>
                <w:vertAlign w:val="superscript"/>
              </w:rPr>
              <w:t>2</w:t>
            </w:r>
          </w:p>
        </w:tc>
        <w:tc>
          <w:tcPr>
            <w:tcW w:w="1276" w:type="dxa"/>
            <w:noWrap/>
            <w:tcMar>
              <w:left w:w="28" w:type="dxa"/>
              <w:right w:w="28" w:type="dxa"/>
            </w:tcMar>
            <w:vAlign w:val="center"/>
            <w:hideMark/>
          </w:tcPr>
          <w:p w14:paraId="1A4DF03B" w14:textId="3B0451B6" w:rsidR="00E963DB" w:rsidRPr="00FB7106" w:rsidRDefault="00127C1A" w:rsidP="00E963DB">
            <w:pPr>
              <w:keepNext/>
              <w:jc w:val="center"/>
              <w:rPr>
                <w:rFonts w:ascii="Arial Narrow" w:eastAsiaTheme="majorEastAsia" w:hAnsi="Arial Narrow" w:cstheme="majorBidi"/>
                <w:b/>
                <w:sz w:val="20"/>
                <w:highlight w:val="darkGray"/>
              </w:rPr>
            </w:pPr>
            <w:r w:rsidRPr="00127C1A">
              <w:rPr>
                <w:rFonts w:ascii="Arial Narrow" w:eastAsiaTheme="majorEastAsia" w:hAnsi="Arial Narrow" w:cstheme="majorBidi"/>
                <w:b/>
                <w:sz w:val="4"/>
                <w:highlight w:val="black"/>
              </w:rPr>
              <w:t>Redacted content</w:t>
            </w:r>
            <w:r w:rsidR="00FE7C55" w:rsidRPr="00FE7C55">
              <w:rPr>
                <w:rFonts w:ascii="Arial Narrow" w:eastAsiaTheme="majorEastAsia" w:hAnsi="Arial Narrow" w:cstheme="majorBidi"/>
                <w:b/>
                <w:sz w:val="20"/>
                <w:vertAlign w:val="superscript"/>
              </w:rPr>
              <w:t>2</w:t>
            </w:r>
          </w:p>
        </w:tc>
        <w:tc>
          <w:tcPr>
            <w:tcW w:w="1276" w:type="dxa"/>
            <w:noWrap/>
            <w:tcMar>
              <w:left w:w="28" w:type="dxa"/>
              <w:right w:w="28" w:type="dxa"/>
            </w:tcMar>
            <w:vAlign w:val="center"/>
            <w:hideMark/>
          </w:tcPr>
          <w:p w14:paraId="3B05BC42" w14:textId="63419CA8" w:rsidR="00E963DB" w:rsidRPr="00FB7106" w:rsidRDefault="00127C1A" w:rsidP="00E963DB">
            <w:pPr>
              <w:keepNext/>
              <w:jc w:val="center"/>
              <w:rPr>
                <w:rFonts w:ascii="Arial Narrow" w:eastAsiaTheme="majorEastAsia" w:hAnsi="Arial Narrow" w:cstheme="majorBidi"/>
                <w:b/>
                <w:sz w:val="20"/>
                <w:highlight w:val="darkGray"/>
              </w:rPr>
            </w:pPr>
            <w:r w:rsidRPr="00127C1A">
              <w:rPr>
                <w:rFonts w:ascii="Arial Narrow" w:eastAsiaTheme="majorEastAsia" w:hAnsi="Arial Narrow" w:cstheme="majorBidi"/>
                <w:b/>
                <w:sz w:val="4"/>
                <w:highlight w:val="black"/>
              </w:rPr>
              <w:t>Redacted content</w:t>
            </w:r>
            <w:r w:rsidR="00FE7C55" w:rsidRPr="00FE7C55">
              <w:rPr>
                <w:rFonts w:ascii="Arial Narrow" w:eastAsiaTheme="majorEastAsia" w:hAnsi="Arial Narrow" w:cstheme="majorBidi"/>
                <w:b/>
                <w:sz w:val="20"/>
                <w:vertAlign w:val="superscript"/>
              </w:rPr>
              <w:t>2</w:t>
            </w:r>
          </w:p>
        </w:tc>
        <w:tc>
          <w:tcPr>
            <w:tcW w:w="1275" w:type="dxa"/>
            <w:noWrap/>
            <w:tcMar>
              <w:left w:w="28" w:type="dxa"/>
              <w:right w:w="28" w:type="dxa"/>
            </w:tcMar>
            <w:vAlign w:val="center"/>
            <w:hideMark/>
          </w:tcPr>
          <w:p w14:paraId="66140BFD" w14:textId="6174D0F5" w:rsidR="00E963DB" w:rsidRPr="00FB7106" w:rsidRDefault="00127C1A" w:rsidP="00E963DB">
            <w:pPr>
              <w:keepNext/>
              <w:jc w:val="center"/>
              <w:rPr>
                <w:rFonts w:ascii="Arial Narrow" w:eastAsiaTheme="majorEastAsia" w:hAnsi="Arial Narrow" w:cstheme="majorBidi"/>
                <w:b/>
                <w:sz w:val="20"/>
                <w:highlight w:val="darkGray"/>
              </w:rPr>
            </w:pPr>
            <w:r w:rsidRPr="00127C1A">
              <w:rPr>
                <w:rFonts w:ascii="Arial Narrow" w:eastAsiaTheme="majorEastAsia" w:hAnsi="Arial Narrow" w:cstheme="majorBidi"/>
                <w:b/>
                <w:sz w:val="4"/>
                <w:highlight w:val="black"/>
              </w:rPr>
              <w:t>Redacted content</w:t>
            </w:r>
            <w:r w:rsidR="00FE7C55" w:rsidRPr="00FE7C55">
              <w:rPr>
                <w:rFonts w:ascii="Arial Narrow" w:eastAsiaTheme="majorEastAsia" w:hAnsi="Arial Narrow" w:cstheme="majorBidi"/>
                <w:b/>
                <w:sz w:val="20"/>
                <w:vertAlign w:val="superscript"/>
              </w:rPr>
              <w:t>2</w:t>
            </w:r>
          </w:p>
        </w:tc>
      </w:tr>
      <w:tr w:rsidR="00E963DB" w:rsidRPr="00E963DB" w14:paraId="3F24CA90" w14:textId="77777777" w:rsidTr="00A94881">
        <w:trPr>
          <w:trHeight w:val="17"/>
        </w:trPr>
        <w:tc>
          <w:tcPr>
            <w:tcW w:w="9072" w:type="dxa"/>
            <w:gridSpan w:val="7"/>
            <w:noWrap/>
            <w:tcMar>
              <w:left w:w="28" w:type="dxa"/>
              <w:right w:w="28" w:type="dxa"/>
            </w:tcMar>
            <w:vAlign w:val="center"/>
          </w:tcPr>
          <w:p w14:paraId="2CB88DCD" w14:textId="77777777" w:rsidR="00E963DB" w:rsidRPr="00E963DB" w:rsidRDefault="00E963DB" w:rsidP="00E963DB">
            <w:pPr>
              <w:keepNext/>
              <w:jc w:val="left"/>
              <w:rPr>
                <w:rFonts w:ascii="Arial Narrow" w:eastAsiaTheme="majorEastAsia" w:hAnsi="Arial Narrow" w:cstheme="majorBidi"/>
                <w:b/>
                <w:sz w:val="20"/>
              </w:rPr>
            </w:pPr>
            <w:r w:rsidRPr="00E963DB">
              <w:rPr>
                <w:rFonts w:ascii="Arial Narrow" w:eastAsiaTheme="majorEastAsia" w:hAnsi="Arial Narrow" w:cstheme="majorBidi"/>
                <w:b/>
                <w:sz w:val="20"/>
              </w:rPr>
              <w:t>July 2025 estimates</w:t>
            </w:r>
          </w:p>
        </w:tc>
      </w:tr>
      <w:tr w:rsidR="00E963DB" w:rsidRPr="00E963DB" w14:paraId="3536F395" w14:textId="77777777" w:rsidTr="00A94881">
        <w:trPr>
          <w:trHeight w:val="17"/>
        </w:trPr>
        <w:tc>
          <w:tcPr>
            <w:tcW w:w="1418" w:type="dxa"/>
            <w:noWrap/>
            <w:tcMar>
              <w:left w:w="28" w:type="dxa"/>
              <w:right w:w="28" w:type="dxa"/>
            </w:tcMar>
            <w:vAlign w:val="center"/>
          </w:tcPr>
          <w:p w14:paraId="017BCF08" w14:textId="77777777" w:rsidR="00E963DB" w:rsidRPr="00E963DB" w:rsidRDefault="00E963DB" w:rsidP="00E963DB">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No. of patients</w:t>
            </w:r>
          </w:p>
          <w:p w14:paraId="05C21BC9" w14:textId="77777777" w:rsidR="00E963DB" w:rsidRPr="00E963DB" w:rsidRDefault="00E963DB" w:rsidP="00E963DB">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 Adults</w:t>
            </w:r>
          </w:p>
          <w:p w14:paraId="02B09224" w14:textId="77777777" w:rsidR="00E963DB" w:rsidRPr="00E963DB" w:rsidRDefault="00E963DB" w:rsidP="00E963DB">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 Paediatrics</w:t>
            </w:r>
          </w:p>
        </w:tc>
        <w:tc>
          <w:tcPr>
            <w:tcW w:w="1276" w:type="dxa"/>
            <w:noWrap/>
            <w:tcMar>
              <w:left w:w="28" w:type="dxa"/>
              <w:right w:w="28" w:type="dxa"/>
            </w:tcMar>
            <w:vAlign w:val="center"/>
          </w:tcPr>
          <w:p w14:paraId="65B0901E" w14:textId="42D4436E"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p>
        </w:tc>
        <w:tc>
          <w:tcPr>
            <w:tcW w:w="1275" w:type="dxa"/>
            <w:noWrap/>
            <w:tcMar>
              <w:left w:w="28" w:type="dxa"/>
              <w:right w:w="28" w:type="dxa"/>
            </w:tcMar>
            <w:vAlign w:val="center"/>
          </w:tcPr>
          <w:p w14:paraId="6F2ACB33" w14:textId="48C9ECBC"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p>
        </w:tc>
        <w:tc>
          <w:tcPr>
            <w:tcW w:w="1276" w:type="dxa"/>
            <w:noWrap/>
            <w:tcMar>
              <w:left w:w="28" w:type="dxa"/>
              <w:right w:w="28" w:type="dxa"/>
            </w:tcMar>
            <w:vAlign w:val="center"/>
          </w:tcPr>
          <w:p w14:paraId="09B77123" w14:textId="12635B19"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p>
        </w:tc>
        <w:tc>
          <w:tcPr>
            <w:tcW w:w="1276" w:type="dxa"/>
            <w:noWrap/>
            <w:tcMar>
              <w:left w:w="28" w:type="dxa"/>
              <w:right w:w="28" w:type="dxa"/>
            </w:tcMar>
            <w:vAlign w:val="center"/>
          </w:tcPr>
          <w:p w14:paraId="49E3801F" w14:textId="32CE6F81"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p>
        </w:tc>
        <w:tc>
          <w:tcPr>
            <w:tcW w:w="1276" w:type="dxa"/>
            <w:noWrap/>
            <w:tcMar>
              <w:left w:w="28" w:type="dxa"/>
              <w:right w:w="28" w:type="dxa"/>
            </w:tcMar>
            <w:vAlign w:val="center"/>
          </w:tcPr>
          <w:p w14:paraId="0F3DF30A" w14:textId="4D4B387D"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p>
        </w:tc>
        <w:tc>
          <w:tcPr>
            <w:tcW w:w="1275" w:type="dxa"/>
            <w:noWrap/>
            <w:tcMar>
              <w:left w:w="28" w:type="dxa"/>
              <w:right w:w="28" w:type="dxa"/>
            </w:tcMar>
            <w:vAlign w:val="center"/>
          </w:tcPr>
          <w:p w14:paraId="348D8BBF" w14:textId="31744250"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Cs/>
                <w:sz w:val="20"/>
                <w:vertAlign w:val="superscript"/>
              </w:rPr>
              <w:t>1</w:t>
            </w:r>
          </w:p>
        </w:tc>
      </w:tr>
      <w:tr w:rsidR="00E963DB" w:rsidRPr="00E963DB" w14:paraId="32B82970" w14:textId="77777777" w:rsidTr="00A94881">
        <w:trPr>
          <w:trHeight w:val="17"/>
        </w:trPr>
        <w:tc>
          <w:tcPr>
            <w:tcW w:w="1418" w:type="dxa"/>
            <w:noWrap/>
            <w:tcMar>
              <w:left w:w="28" w:type="dxa"/>
              <w:right w:w="28" w:type="dxa"/>
            </w:tcMar>
            <w:vAlign w:val="center"/>
          </w:tcPr>
          <w:p w14:paraId="182B62C3" w14:textId="78B70BEA" w:rsidR="00E963DB" w:rsidRPr="00E963DB" w:rsidRDefault="00E963DB" w:rsidP="00E963DB">
            <w:pPr>
              <w:keepNext/>
              <w:jc w:val="left"/>
              <w:rPr>
                <w:rFonts w:ascii="Arial Narrow" w:eastAsiaTheme="majorEastAsia" w:hAnsi="Arial Narrow" w:cstheme="majorBidi"/>
                <w:bCs/>
                <w:sz w:val="20"/>
              </w:rPr>
            </w:pPr>
            <w:r w:rsidRPr="00E963DB">
              <w:rPr>
                <w:rFonts w:ascii="Arial Narrow" w:eastAsiaTheme="majorEastAsia" w:hAnsi="Arial Narrow" w:cstheme="majorBidi"/>
                <w:bCs/>
                <w:sz w:val="20"/>
              </w:rPr>
              <w:t>Net cost to PBS</w:t>
            </w:r>
            <w:r w:rsidR="00CD7617">
              <w:rPr>
                <w:rFonts w:ascii="Arial Narrow" w:eastAsiaTheme="majorEastAsia" w:hAnsi="Arial Narrow" w:cstheme="majorBidi"/>
                <w:bCs/>
                <w:sz w:val="20"/>
              </w:rPr>
              <w:t xml:space="preserve"> ($)</w:t>
            </w:r>
          </w:p>
        </w:tc>
        <w:tc>
          <w:tcPr>
            <w:tcW w:w="1276" w:type="dxa"/>
            <w:noWrap/>
            <w:tcMar>
              <w:left w:w="28" w:type="dxa"/>
              <w:right w:w="28" w:type="dxa"/>
            </w:tcMar>
            <w:vAlign w:val="center"/>
          </w:tcPr>
          <w:p w14:paraId="53789F31" w14:textId="07D8D82A"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
                <w:sz w:val="20"/>
                <w:vertAlign w:val="superscript"/>
              </w:rPr>
              <w:t>2</w:t>
            </w:r>
          </w:p>
        </w:tc>
        <w:tc>
          <w:tcPr>
            <w:tcW w:w="1275" w:type="dxa"/>
            <w:noWrap/>
            <w:tcMar>
              <w:left w:w="28" w:type="dxa"/>
              <w:right w:w="28" w:type="dxa"/>
            </w:tcMar>
            <w:vAlign w:val="center"/>
          </w:tcPr>
          <w:p w14:paraId="557FF829" w14:textId="2DC74196"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
                <w:sz w:val="20"/>
                <w:vertAlign w:val="superscript"/>
              </w:rPr>
              <w:t>2</w:t>
            </w:r>
          </w:p>
        </w:tc>
        <w:tc>
          <w:tcPr>
            <w:tcW w:w="1276" w:type="dxa"/>
            <w:noWrap/>
            <w:tcMar>
              <w:left w:w="28" w:type="dxa"/>
              <w:right w:w="28" w:type="dxa"/>
            </w:tcMar>
            <w:vAlign w:val="center"/>
          </w:tcPr>
          <w:p w14:paraId="2960232C" w14:textId="414356A3"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
                <w:sz w:val="20"/>
                <w:vertAlign w:val="superscript"/>
              </w:rPr>
              <w:t>2</w:t>
            </w:r>
          </w:p>
        </w:tc>
        <w:tc>
          <w:tcPr>
            <w:tcW w:w="1276" w:type="dxa"/>
            <w:noWrap/>
            <w:tcMar>
              <w:left w:w="28" w:type="dxa"/>
              <w:right w:w="28" w:type="dxa"/>
            </w:tcMar>
            <w:vAlign w:val="center"/>
          </w:tcPr>
          <w:p w14:paraId="68322680" w14:textId="1DF641F8"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
                <w:sz w:val="20"/>
                <w:vertAlign w:val="superscript"/>
              </w:rPr>
              <w:t>2</w:t>
            </w:r>
          </w:p>
        </w:tc>
        <w:tc>
          <w:tcPr>
            <w:tcW w:w="1276" w:type="dxa"/>
            <w:noWrap/>
            <w:tcMar>
              <w:left w:w="28" w:type="dxa"/>
              <w:right w:w="28" w:type="dxa"/>
            </w:tcMar>
            <w:vAlign w:val="center"/>
          </w:tcPr>
          <w:p w14:paraId="66FBDC55" w14:textId="3738BB24"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
                <w:sz w:val="20"/>
                <w:vertAlign w:val="superscript"/>
              </w:rPr>
              <w:t>2</w:t>
            </w:r>
          </w:p>
        </w:tc>
        <w:tc>
          <w:tcPr>
            <w:tcW w:w="1275" w:type="dxa"/>
            <w:noWrap/>
            <w:tcMar>
              <w:left w:w="28" w:type="dxa"/>
              <w:right w:w="28" w:type="dxa"/>
            </w:tcMar>
            <w:vAlign w:val="center"/>
          </w:tcPr>
          <w:p w14:paraId="67408EEE" w14:textId="68D7DF74" w:rsidR="00E963DB" w:rsidRPr="00FB7106" w:rsidRDefault="00127C1A" w:rsidP="00E963DB">
            <w:pPr>
              <w:keepNext/>
              <w:jc w:val="center"/>
              <w:rPr>
                <w:rFonts w:ascii="Arial Narrow" w:eastAsiaTheme="majorEastAsia" w:hAnsi="Arial Narrow" w:cstheme="majorBidi"/>
                <w:bCs/>
                <w:sz w:val="20"/>
                <w:highlight w:val="darkGray"/>
              </w:rPr>
            </w:pPr>
            <w:r w:rsidRPr="00127C1A">
              <w:rPr>
                <w:rFonts w:ascii="Arial Narrow" w:eastAsiaTheme="majorEastAsia" w:hAnsi="Arial Narrow" w:cstheme="majorBidi"/>
                <w:bCs/>
                <w:sz w:val="4"/>
                <w:highlight w:val="black"/>
              </w:rPr>
              <w:t>Redacted content</w:t>
            </w:r>
            <w:r w:rsidR="00FE7C55" w:rsidRPr="00FE7C55">
              <w:rPr>
                <w:rFonts w:ascii="Arial Narrow" w:eastAsiaTheme="majorEastAsia" w:hAnsi="Arial Narrow" w:cstheme="majorBidi"/>
                <w:b/>
                <w:sz w:val="20"/>
                <w:vertAlign w:val="superscript"/>
              </w:rPr>
              <w:t>2</w:t>
            </w:r>
          </w:p>
        </w:tc>
      </w:tr>
    </w:tbl>
    <w:p w14:paraId="5E1A7385" w14:textId="77777777" w:rsidR="00E963DB" w:rsidRDefault="00E963DB" w:rsidP="00E963DB">
      <w:pPr>
        <w:spacing w:after="120"/>
        <w:contextualSpacing/>
        <w:rPr>
          <w:rFonts w:ascii="Arial Narrow" w:hAnsi="Arial Narrow"/>
          <w:snapToGrid w:val="0"/>
          <w:sz w:val="18"/>
          <w:szCs w:val="22"/>
        </w:rPr>
      </w:pPr>
      <w:r w:rsidRPr="00E963DB">
        <w:rPr>
          <w:rFonts w:ascii="Arial Narrow" w:hAnsi="Arial Narrow"/>
          <w:snapToGrid w:val="0"/>
          <w:sz w:val="18"/>
          <w:szCs w:val="22"/>
        </w:rPr>
        <w:t>Source: Table 5, p26 of the deferral response</w:t>
      </w:r>
    </w:p>
    <w:p w14:paraId="3EF60579" w14:textId="77777777" w:rsidR="00C567A6" w:rsidRPr="00C567A6" w:rsidRDefault="00C567A6" w:rsidP="00C567A6">
      <w:pPr>
        <w:spacing w:after="120"/>
        <w:contextualSpacing/>
        <w:rPr>
          <w:rFonts w:ascii="Arial Narrow" w:hAnsi="Arial Narrow"/>
          <w:i/>
          <w:iCs/>
          <w:snapToGrid w:val="0"/>
          <w:sz w:val="18"/>
          <w:szCs w:val="22"/>
        </w:rPr>
      </w:pPr>
      <w:r w:rsidRPr="00C567A6">
        <w:rPr>
          <w:rFonts w:ascii="Arial Narrow" w:hAnsi="Arial Narrow"/>
          <w:i/>
          <w:iCs/>
          <w:snapToGrid w:val="0"/>
          <w:sz w:val="18"/>
          <w:szCs w:val="22"/>
        </w:rPr>
        <w:t>The redacted values correspond to the following ranges:</w:t>
      </w:r>
    </w:p>
    <w:p w14:paraId="7F3CCC6B" w14:textId="77777777" w:rsidR="00C567A6" w:rsidRPr="00C567A6" w:rsidRDefault="00C567A6" w:rsidP="00C567A6">
      <w:pPr>
        <w:spacing w:after="120"/>
        <w:contextualSpacing/>
        <w:rPr>
          <w:rFonts w:ascii="Arial Narrow" w:hAnsi="Arial Narrow"/>
          <w:i/>
          <w:iCs/>
          <w:snapToGrid w:val="0"/>
          <w:sz w:val="18"/>
          <w:szCs w:val="22"/>
        </w:rPr>
      </w:pPr>
      <w:r w:rsidRPr="00C567A6">
        <w:rPr>
          <w:rFonts w:ascii="Arial Narrow" w:hAnsi="Arial Narrow"/>
          <w:i/>
          <w:iCs/>
          <w:snapToGrid w:val="0"/>
          <w:sz w:val="18"/>
          <w:szCs w:val="22"/>
          <w:vertAlign w:val="superscript"/>
        </w:rPr>
        <w:t>1</w:t>
      </w:r>
      <w:r w:rsidRPr="00C567A6">
        <w:rPr>
          <w:rFonts w:ascii="Arial Narrow" w:hAnsi="Arial Narrow"/>
          <w:i/>
          <w:iCs/>
          <w:snapToGrid w:val="0"/>
          <w:sz w:val="18"/>
          <w:szCs w:val="22"/>
        </w:rPr>
        <w:t xml:space="preserve"> &lt; 500</w:t>
      </w:r>
    </w:p>
    <w:p w14:paraId="4097E3AB" w14:textId="09D3E7F9" w:rsidR="00C567A6" w:rsidRPr="00C567A6" w:rsidRDefault="00FE7C55" w:rsidP="00C567A6">
      <w:pPr>
        <w:spacing w:after="120"/>
        <w:contextualSpacing/>
        <w:rPr>
          <w:rFonts w:ascii="Arial Narrow" w:hAnsi="Arial Narrow"/>
          <w:i/>
          <w:iCs/>
          <w:snapToGrid w:val="0"/>
          <w:sz w:val="18"/>
          <w:szCs w:val="22"/>
        </w:rPr>
      </w:pPr>
      <w:r>
        <w:rPr>
          <w:rFonts w:ascii="Arial Narrow" w:hAnsi="Arial Narrow"/>
          <w:i/>
          <w:iCs/>
          <w:snapToGrid w:val="0"/>
          <w:sz w:val="18"/>
          <w:szCs w:val="22"/>
          <w:vertAlign w:val="superscript"/>
        </w:rPr>
        <w:t>2</w:t>
      </w:r>
      <w:r w:rsidR="00C567A6" w:rsidRPr="00C567A6">
        <w:rPr>
          <w:rFonts w:ascii="Arial Narrow" w:hAnsi="Arial Narrow"/>
          <w:i/>
          <w:iCs/>
          <w:snapToGrid w:val="0"/>
          <w:sz w:val="18"/>
          <w:szCs w:val="22"/>
        </w:rPr>
        <w:t xml:space="preserve"> $0 to &lt; $10 million</w:t>
      </w:r>
    </w:p>
    <w:p w14:paraId="37CE9A3F" w14:textId="2E2D9817" w:rsidR="00E963DB" w:rsidRPr="00E963DB" w:rsidRDefault="00E963DB" w:rsidP="003A1F8E">
      <w:pPr>
        <w:pStyle w:val="3-BodyText"/>
      </w:pPr>
      <w:r w:rsidRPr="00E963DB">
        <w:t xml:space="preserve">The estimated cost to the PBS over the first 6 years of listing in the deferral response was </w:t>
      </w:r>
      <w:r w:rsidR="009A4281" w:rsidRPr="009A4281">
        <w:t>$30 million to &lt; $40 million</w:t>
      </w:r>
      <w:r w:rsidRPr="00E963DB">
        <w:t xml:space="preserve">. This was an increase from the July 2025 submission which estimated a total cost of </w:t>
      </w:r>
      <w:r w:rsidR="009A4281" w:rsidRPr="009A4281">
        <w:t>$30 million to &lt; $40 million</w:t>
      </w:r>
      <w:r w:rsidR="00AD012B">
        <w:t xml:space="preserve"> </w:t>
      </w:r>
      <w:r w:rsidRPr="00E963DB">
        <w:t xml:space="preserve">and due to the deferral response increasing the number of eligible patients compared to the July 2025 submission. </w:t>
      </w:r>
    </w:p>
    <w:p w14:paraId="0C003011" w14:textId="77777777" w:rsidR="00E963DB" w:rsidRPr="00E963DB" w:rsidRDefault="00E963DB" w:rsidP="00E963DB">
      <w:pPr>
        <w:keepNext/>
        <w:spacing w:before="120" w:after="120"/>
        <w:outlineLvl w:val="1"/>
        <w:rPr>
          <w:rFonts w:asciiTheme="minorHAnsi" w:eastAsiaTheme="majorEastAsia" w:hAnsiTheme="minorHAnsi" w:cstheme="majorBidi"/>
          <w:b/>
          <w:i/>
          <w:spacing w:val="5"/>
          <w:kern w:val="28"/>
          <w:sz w:val="28"/>
          <w:szCs w:val="36"/>
          <w:lang w:eastAsia="en-US"/>
        </w:rPr>
      </w:pPr>
      <w:r w:rsidRPr="00E963DB">
        <w:rPr>
          <w:rFonts w:asciiTheme="minorHAnsi" w:eastAsiaTheme="majorEastAsia" w:hAnsiTheme="minorHAnsi" w:cstheme="majorBidi"/>
          <w:b/>
          <w:i/>
          <w:spacing w:val="5"/>
          <w:kern w:val="28"/>
          <w:sz w:val="28"/>
          <w:szCs w:val="36"/>
          <w:lang w:eastAsia="en-US"/>
        </w:rPr>
        <w:t xml:space="preserve">Risk-sharing arrangements </w:t>
      </w:r>
    </w:p>
    <w:p w14:paraId="7E40B318" w14:textId="77777777" w:rsidR="00E963DB" w:rsidRPr="00E963DB" w:rsidRDefault="00E963DB" w:rsidP="00363A13">
      <w:pPr>
        <w:pStyle w:val="3-BodyText"/>
        <w:rPr>
          <w:lang w:eastAsia="en-US"/>
        </w:rPr>
      </w:pPr>
      <w:r w:rsidRPr="00E963DB">
        <w:t>In July 2025, the PBAC noted that a RSA would be required to manage risks of usage outside of the proposed PBS restriction (e.g., in patients who had received a HSCT) and higher than expected average doses, as the dosing is weight based.</w:t>
      </w:r>
    </w:p>
    <w:p w14:paraId="1323A565" w14:textId="6EB2C352" w:rsidR="00E963DB" w:rsidRPr="00E963DB" w:rsidRDefault="00E963DB" w:rsidP="00741583">
      <w:pPr>
        <w:pStyle w:val="3-BodyText"/>
        <w:rPr>
          <w:lang w:eastAsia="en-US"/>
        </w:rPr>
      </w:pPr>
      <w:bookmarkStart w:id="147" w:name="_Ref217371454"/>
      <w:r w:rsidRPr="00E963DB">
        <w:t xml:space="preserve">The deferral response proposed that if actual Commonwealth expenditure exceeded the estimates presented in </w:t>
      </w:r>
      <w:r w:rsidRPr="0038199C">
        <w:fldChar w:fldCharType="begin"/>
      </w:r>
      <w:r w:rsidRPr="00E963DB">
        <w:instrText xml:space="preserve"> REF _Ref214544391 \h </w:instrText>
      </w:r>
      <w:r w:rsidR="0038199C">
        <w:instrText xml:space="preserve"> \* MERGEFORMAT </w:instrText>
      </w:r>
      <w:r w:rsidRPr="0038199C">
        <w:fldChar w:fldCharType="separate"/>
      </w:r>
      <w:r w:rsidR="00B73A9E" w:rsidRPr="00B73A9E">
        <w:t>Table 25</w:t>
      </w:r>
      <w:r w:rsidRPr="0038199C">
        <w:fldChar w:fldCharType="end"/>
      </w:r>
      <w:r w:rsidRPr="00E963DB">
        <w:t xml:space="preserve">, a </w:t>
      </w:r>
      <w:r w:rsidR="00127C1A" w:rsidRPr="00127C1A">
        <w:rPr>
          <w:sz w:val="4"/>
          <w:highlight w:val="black"/>
        </w:rPr>
        <w:t>Redacted content</w:t>
      </w:r>
      <w:r w:rsidRPr="00E963DB">
        <w:t xml:space="preserve">% rebate would apply. The costs in </w:t>
      </w:r>
      <w:r w:rsidRPr="00E963DB">
        <w:fldChar w:fldCharType="begin"/>
      </w:r>
      <w:r w:rsidRPr="00E963DB">
        <w:instrText xml:space="preserve"> REF _Ref214544391 \h </w:instrText>
      </w:r>
      <w:r w:rsidR="0038199C">
        <w:instrText xml:space="preserve"> \* MERGEFORMAT </w:instrText>
      </w:r>
      <w:r w:rsidRPr="00E963DB">
        <w:fldChar w:fldCharType="separate"/>
      </w:r>
      <w:r w:rsidR="00B73A9E" w:rsidRPr="00B73A9E">
        <w:t>Table 25</w:t>
      </w:r>
      <w:r w:rsidRPr="00E963DB">
        <w:fldChar w:fldCharType="end"/>
      </w:r>
      <w:r w:rsidRPr="00E963DB">
        <w:t xml:space="preserve"> differ to those in </w:t>
      </w:r>
      <w:r w:rsidRPr="00E963DB">
        <w:fldChar w:fldCharType="begin"/>
      </w:r>
      <w:r w:rsidRPr="00E963DB">
        <w:instrText xml:space="preserve"> REF _Ref214544355 \h </w:instrText>
      </w:r>
      <w:r w:rsidR="0038199C">
        <w:instrText xml:space="preserve"> \* MERGEFORMAT </w:instrText>
      </w:r>
      <w:r w:rsidRPr="00E963DB">
        <w:fldChar w:fldCharType="separate"/>
      </w:r>
      <w:r w:rsidR="00B73A9E" w:rsidRPr="00B73A9E">
        <w:t>Table 24</w:t>
      </w:r>
      <w:r w:rsidRPr="00E963DB">
        <w:fldChar w:fldCharType="end"/>
      </w:r>
      <w:r w:rsidRPr="00E963DB">
        <w:t xml:space="preserve"> as the deferral response has assumed that from Year 2 onwards patients will receive treatment at home (rather than in the public hospital setting) and thus patients will receive velmanase alfa via the S100 HSD private hospital/community access program, affecting mark-ups. The weight of the paediatric patients was also assumed to increase.</w:t>
      </w:r>
      <w:bookmarkEnd w:id="147"/>
    </w:p>
    <w:p w14:paraId="598CC8F7" w14:textId="21F25698" w:rsidR="00E963DB" w:rsidRPr="00E963DB" w:rsidRDefault="00E963DB" w:rsidP="00E963DB">
      <w:pPr>
        <w:keepNext/>
        <w:keepLines/>
        <w:rPr>
          <w:rFonts w:ascii="Arial Narrow" w:hAnsi="Arial Narrow"/>
          <w:b/>
          <w:bCs/>
          <w:sz w:val="20"/>
          <w:szCs w:val="18"/>
          <w:lang w:eastAsia="en-US"/>
        </w:rPr>
      </w:pPr>
      <w:bookmarkStart w:id="148" w:name="_Ref214544391"/>
      <w:r w:rsidRPr="00E963DB">
        <w:rPr>
          <w:rFonts w:ascii="Arial Narrow" w:hAnsi="Arial Narrow"/>
          <w:b/>
          <w:bCs/>
          <w:sz w:val="20"/>
          <w:szCs w:val="18"/>
        </w:rPr>
        <w:t xml:space="preserve">Table </w:t>
      </w:r>
      <w:r w:rsidRPr="00E963DB">
        <w:rPr>
          <w:rFonts w:ascii="Arial Narrow" w:hAnsi="Arial Narrow"/>
          <w:b/>
          <w:bCs/>
          <w:sz w:val="20"/>
          <w:szCs w:val="18"/>
        </w:rPr>
        <w:fldChar w:fldCharType="begin"/>
      </w:r>
      <w:r w:rsidRPr="00E963DB">
        <w:rPr>
          <w:rFonts w:ascii="Arial Narrow" w:hAnsi="Arial Narrow"/>
          <w:b/>
          <w:bCs/>
          <w:sz w:val="20"/>
          <w:szCs w:val="18"/>
        </w:rPr>
        <w:instrText xml:space="preserve"> SEQ Table \* ARABIC </w:instrText>
      </w:r>
      <w:r w:rsidRPr="00E963DB">
        <w:rPr>
          <w:rFonts w:ascii="Arial Narrow" w:hAnsi="Arial Narrow"/>
          <w:b/>
          <w:bCs/>
          <w:sz w:val="20"/>
          <w:szCs w:val="18"/>
        </w:rPr>
        <w:fldChar w:fldCharType="separate"/>
      </w:r>
      <w:r w:rsidR="00B73A9E">
        <w:rPr>
          <w:rFonts w:ascii="Arial Narrow" w:hAnsi="Arial Narrow"/>
          <w:b/>
          <w:bCs/>
          <w:noProof/>
          <w:sz w:val="20"/>
          <w:szCs w:val="18"/>
        </w:rPr>
        <w:t>25</w:t>
      </w:r>
      <w:r w:rsidRPr="00E963DB">
        <w:rPr>
          <w:rFonts w:ascii="Arial Narrow" w:hAnsi="Arial Narrow"/>
          <w:b/>
          <w:bCs/>
          <w:sz w:val="20"/>
          <w:szCs w:val="18"/>
        </w:rPr>
        <w:fldChar w:fldCharType="end"/>
      </w:r>
      <w:bookmarkEnd w:id="148"/>
      <w:r w:rsidRPr="00E963DB">
        <w:rPr>
          <w:rFonts w:ascii="Arial Narrow" w:hAnsi="Arial Narrow"/>
          <w:b/>
          <w:bCs/>
          <w:sz w:val="20"/>
          <w:szCs w:val="18"/>
        </w:rPr>
        <w:t>: Proposed RSA expenditure caps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76"/>
        <w:gridCol w:w="1275"/>
        <w:gridCol w:w="1276"/>
        <w:gridCol w:w="1276"/>
        <w:gridCol w:w="1276"/>
        <w:gridCol w:w="1275"/>
      </w:tblGrid>
      <w:tr w:rsidR="00E963DB" w:rsidRPr="00E963DB" w14:paraId="46BB51E9" w14:textId="77777777" w:rsidTr="00A94881">
        <w:trPr>
          <w:trHeight w:val="17"/>
        </w:trPr>
        <w:tc>
          <w:tcPr>
            <w:tcW w:w="1418" w:type="dxa"/>
            <w:tcMar>
              <w:left w:w="28" w:type="dxa"/>
              <w:right w:w="28" w:type="dxa"/>
            </w:tcMar>
            <w:vAlign w:val="center"/>
          </w:tcPr>
          <w:p w14:paraId="09068B31" w14:textId="77777777" w:rsidR="00E963DB" w:rsidRPr="00E963DB" w:rsidRDefault="00E963DB" w:rsidP="00E963DB">
            <w:pPr>
              <w:keepNext/>
              <w:jc w:val="left"/>
              <w:rPr>
                <w:rFonts w:ascii="Arial Narrow" w:eastAsiaTheme="majorEastAsia" w:hAnsi="Arial Narrow" w:cstheme="majorBidi"/>
                <w:b/>
                <w:sz w:val="20"/>
              </w:rPr>
            </w:pPr>
          </w:p>
        </w:tc>
        <w:tc>
          <w:tcPr>
            <w:tcW w:w="1276" w:type="dxa"/>
            <w:tcMar>
              <w:left w:w="28" w:type="dxa"/>
              <w:right w:w="28" w:type="dxa"/>
            </w:tcMar>
            <w:vAlign w:val="center"/>
            <w:hideMark/>
          </w:tcPr>
          <w:p w14:paraId="5B169A03"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1</w:t>
            </w:r>
          </w:p>
        </w:tc>
        <w:tc>
          <w:tcPr>
            <w:tcW w:w="1275" w:type="dxa"/>
            <w:tcMar>
              <w:left w:w="28" w:type="dxa"/>
              <w:right w:w="28" w:type="dxa"/>
            </w:tcMar>
            <w:vAlign w:val="center"/>
            <w:hideMark/>
          </w:tcPr>
          <w:p w14:paraId="0D1F3C4F"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2</w:t>
            </w:r>
          </w:p>
        </w:tc>
        <w:tc>
          <w:tcPr>
            <w:tcW w:w="1276" w:type="dxa"/>
            <w:tcMar>
              <w:left w:w="28" w:type="dxa"/>
              <w:right w:w="28" w:type="dxa"/>
            </w:tcMar>
            <w:vAlign w:val="center"/>
            <w:hideMark/>
          </w:tcPr>
          <w:p w14:paraId="025966AA"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3</w:t>
            </w:r>
          </w:p>
        </w:tc>
        <w:tc>
          <w:tcPr>
            <w:tcW w:w="1276" w:type="dxa"/>
            <w:tcMar>
              <w:left w:w="28" w:type="dxa"/>
              <w:right w:w="28" w:type="dxa"/>
            </w:tcMar>
            <w:vAlign w:val="center"/>
            <w:hideMark/>
          </w:tcPr>
          <w:p w14:paraId="3AC43192"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4</w:t>
            </w:r>
          </w:p>
        </w:tc>
        <w:tc>
          <w:tcPr>
            <w:tcW w:w="1276" w:type="dxa"/>
            <w:tcMar>
              <w:left w:w="28" w:type="dxa"/>
              <w:right w:w="28" w:type="dxa"/>
            </w:tcMar>
            <w:vAlign w:val="center"/>
            <w:hideMark/>
          </w:tcPr>
          <w:p w14:paraId="13AE6F28"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 5</w:t>
            </w:r>
          </w:p>
        </w:tc>
        <w:tc>
          <w:tcPr>
            <w:tcW w:w="1275" w:type="dxa"/>
            <w:tcMar>
              <w:left w:w="28" w:type="dxa"/>
              <w:right w:w="28" w:type="dxa"/>
            </w:tcMar>
            <w:vAlign w:val="center"/>
            <w:hideMark/>
          </w:tcPr>
          <w:p w14:paraId="25EB1618" w14:textId="77777777" w:rsidR="00E963DB" w:rsidRPr="00E963DB" w:rsidRDefault="00E963DB" w:rsidP="00E963DB">
            <w:pPr>
              <w:keepNext/>
              <w:jc w:val="center"/>
              <w:rPr>
                <w:rFonts w:ascii="Arial Narrow" w:eastAsiaTheme="majorEastAsia" w:hAnsi="Arial Narrow" w:cstheme="majorBidi"/>
                <w:b/>
                <w:sz w:val="20"/>
              </w:rPr>
            </w:pPr>
            <w:r w:rsidRPr="00E963DB">
              <w:rPr>
                <w:rFonts w:ascii="Arial Narrow" w:eastAsiaTheme="majorEastAsia" w:hAnsi="Arial Narrow" w:cstheme="majorBidi"/>
                <w:b/>
                <w:sz w:val="20"/>
              </w:rPr>
              <w:t>Years 1-5</w:t>
            </w:r>
          </w:p>
        </w:tc>
      </w:tr>
      <w:tr w:rsidR="00E963DB" w:rsidRPr="00E963DB" w14:paraId="05777CF1" w14:textId="77777777" w:rsidTr="00A94881">
        <w:trPr>
          <w:trHeight w:val="17"/>
        </w:trPr>
        <w:tc>
          <w:tcPr>
            <w:tcW w:w="1418" w:type="dxa"/>
            <w:noWrap/>
            <w:tcMar>
              <w:left w:w="28" w:type="dxa"/>
              <w:right w:w="28" w:type="dxa"/>
            </w:tcMar>
            <w:vAlign w:val="center"/>
          </w:tcPr>
          <w:p w14:paraId="1B424485" w14:textId="03477BC2" w:rsidR="00E963DB" w:rsidRPr="00E963DB" w:rsidRDefault="00E963DB" w:rsidP="00E963DB">
            <w:pPr>
              <w:keepNext/>
              <w:jc w:val="left"/>
              <w:rPr>
                <w:rFonts w:ascii="Arial Narrow" w:eastAsiaTheme="majorEastAsia" w:hAnsi="Arial Narrow" w:cstheme="majorBidi"/>
                <w:bCs/>
                <w:sz w:val="20"/>
                <w:szCs w:val="20"/>
              </w:rPr>
            </w:pPr>
            <w:r w:rsidRPr="00E963DB">
              <w:rPr>
                <w:rFonts w:ascii="Arial Narrow" w:eastAsiaTheme="majorEastAsia" w:hAnsi="Arial Narrow" w:cstheme="majorBidi"/>
                <w:bCs/>
                <w:sz w:val="20"/>
                <w:szCs w:val="20"/>
              </w:rPr>
              <w:t>Expenditure cap</w:t>
            </w:r>
            <w:r w:rsidR="009A4281">
              <w:rPr>
                <w:rFonts w:ascii="Arial Narrow" w:eastAsiaTheme="majorEastAsia" w:hAnsi="Arial Narrow" w:cstheme="majorBidi"/>
                <w:bCs/>
                <w:sz w:val="20"/>
                <w:szCs w:val="20"/>
              </w:rPr>
              <w:t xml:space="preserve"> ($)</w:t>
            </w:r>
          </w:p>
        </w:tc>
        <w:tc>
          <w:tcPr>
            <w:tcW w:w="1276" w:type="dxa"/>
            <w:noWrap/>
            <w:tcMar>
              <w:left w:w="28" w:type="dxa"/>
              <w:right w:w="28" w:type="dxa"/>
            </w:tcMar>
            <w:vAlign w:val="center"/>
            <w:hideMark/>
          </w:tcPr>
          <w:p w14:paraId="584B52DE" w14:textId="5EF091A9" w:rsidR="00E963DB" w:rsidRPr="009A4281" w:rsidRDefault="00127C1A" w:rsidP="00E963DB">
            <w:pPr>
              <w:keepNext/>
              <w:jc w:val="center"/>
              <w:rPr>
                <w:rFonts w:ascii="Arial Narrow" w:eastAsiaTheme="majorEastAsia" w:hAnsi="Arial Narrow" w:cstheme="majorBidi"/>
                <w:bCs/>
                <w:sz w:val="20"/>
                <w:szCs w:val="20"/>
                <w:highlight w:val="darkGray"/>
              </w:rPr>
            </w:pPr>
            <w:r w:rsidRPr="00127C1A">
              <w:rPr>
                <w:rFonts w:ascii="Arial Narrow" w:eastAsiaTheme="majorEastAsia" w:hAnsi="Arial Narrow" w:cs="Calibri"/>
                <w:bCs/>
                <w:sz w:val="4"/>
                <w:szCs w:val="20"/>
                <w:highlight w:val="black"/>
              </w:rPr>
              <w:t>Redacted content</w:t>
            </w:r>
          </w:p>
        </w:tc>
        <w:tc>
          <w:tcPr>
            <w:tcW w:w="1275" w:type="dxa"/>
            <w:noWrap/>
            <w:tcMar>
              <w:left w:w="28" w:type="dxa"/>
              <w:right w:w="28" w:type="dxa"/>
            </w:tcMar>
            <w:vAlign w:val="center"/>
            <w:hideMark/>
          </w:tcPr>
          <w:p w14:paraId="5CB70376" w14:textId="78A4F50D" w:rsidR="00E963DB" w:rsidRPr="009A4281" w:rsidRDefault="00127C1A" w:rsidP="00E963DB">
            <w:pPr>
              <w:keepNext/>
              <w:jc w:val="center"/>
              <w:rPr>
                <w:rFonts w:ascii="Arial Narrow" w:eastAsiaTheme="majorEastAsia" w:hAnsi="Arial Narrow" w:cstheme="majorBidi"/>
                <w:bCs/>
                <w:sz w:val="20"/>
                <w:szCs w:val="20"/>
                <w:highlight w:val="darkGray"/>
              </w:rPr>
            </w:pPr>
            <w:r w:rsidRPr="00127C1A">
              <w:rPr>
                <w:rFonts w:ascii="Arial Narrow" w:eastAsiaTheme="majorEastAsia" w:hAnsi="Arial Narrow" w:cs="Calibri"/>
                <w:bCs/>
                <w:sz w:val="4"/>
                <w:szCs w:val="20"/>
                <w:highlight w:val="black"/>
              </w:rPr>
              <w:t>Redacted content</w:t>
            </w:r>
          </w:p>
        </w:tc>
        <w:tc>
          <w:tcPr>
            <w:tcW w:w="1276" w:type="dxa"/>
            <w:noWrap/>
            <w:tcMar>
              <w:left w:w="28" w:type="dxa"/>
              <w:right w:w="28" w:type="dxa"/>
            </w:tcMar>
            <w:vAlign w:val="center"/>
            <w:hideMark/>
          </w:tcPr>
          <w:p w14:paraId="740CA686" w14:textId="7312724F" w:rsidR="00E963DB" w:rsidRPr="009A4281" w:rsidRDefault="00127C1A" w:rsidP="00E963DB">
            <w:pPr>
              <w:keepNext/>
              <w:jc w:val="center"/>
              <w:rPr>
                <w:rFonts w:ascii="Arial Narrow" w:eastAsiaTheme="majorEastAsia" w:hAnsi="Arial Narrow" w:cstheme="majorBidi"/>
                <w:bCs/>
                <w:sz w:val="20"/>
                <w:szCs w:val="20"/>
                <w:highlight w:val="darkGray"/>
              </w:rPr>
            </w:pPr>
            <w:r w:rsidRPr="00127C1A">
              <w:rPr>
                <w:rFonts w:ascii="Arial Narrow" w:eastAsiaTheme="majorEastAsia" w:hAnsi="Arial Narrow" w:cs="Calibri"/>
                <w:bCs/>
                <w:sz w:val="4"/>
                <w:szCs w:val="20"/>
                <w:highlight w:val="black"/>
              </w:rPr>
              <w:t>Redacted content</w:t>
            </w:r>
          </w:p>
        </w:tc>
        <w:tc>
          <w:tcPr>
            <w:tcW w:w="1276" w:type="dxa"/>
            <w:noWrap/>
            <w:tcMar>
              <w:left w:w="28" w:type="dxa"/>
              <w:right w:w="28" w:type="dxa"/>
            </w:tcMar>
            <w:vAlign w:val="center"/>
            <w:hideMark/>
          </w:tcPr>
          <w:p w14:paraId="245D48A9" w14:textId="28A46F68" w:rsidR="00E963DB" w:rsidRPr="009A4281" w:rsidRDefault="00127C1A" w:rsidP="00E963DB">
            <w:pPr>
              <w:keepNext/>
              <w:jc w:val="center"/>
              <w:rPr>
                <w:rFonts w:ascii="Arial Narrow" w:eastAsiaTheme="majorEastAsia" w:hAnsi="Arial Narrow" w:cstheme="majorBidi"/>
                <w:bCs/>
                <w:sz w:val="20"/>
                <w:szCs w:val="20"/>
                <w:highlight w:val="darkGray"/>
              </w:rPr>
            </w:pPr>
            <w:r w:rsidRPr="00127C1A">
              <w:rPr>
                <w:rFonts w:ascii="Arial Narrow" w:eastAsiaTheme="majorEastAsia" w:hAnsi="Arial Narrow" w:cs="Calibri"/>
                <w:bCs/>
                <w:sz w:val="4"/>
                <w:szCs w:val="20"/>
                <w:highlight w:val="black"/>
              </w:rPr>
              <w:t>Redacted content</w:t>
            </w:r>
          </w:p>
        </w:tc>
        <w:tc>
          <w:tcPr>
            <w:tcW w:w="1276" w:type="dxa"/>
            <w:noWrap/>
            <w:tcMar>
              <w:left w:w="28" w:type="dxa"/>
              <w:right w:w="28" w:type="dxa"/>
            </w:tcMar>
            <w:vAlign w:val="center"/>
            <w:hideMark/>
          </w:tcPr>
          <w:p w14:paraId="29B9371D" w14:textId="4CBF0268" w:rsidR="00E963DB" w:rsidRPr="009A4281" w:rsidRDefault="00127C1A" w:rsidP="00E963DB">
            <w:pPr>
              <w:keepNext/>
              <w:jc w:val="center"/>
              <w:rPr>
                <w:rFonts w:ascii="Arial Narrow" w:eastAsiaTheme="majorEastAsia" w:hAnsi="Arial Narrow" w:cstheme="majorBidi"/>
                <w:bCs/>
                <w:sz w:val="20"/>
                <w:szCs w:val="20"/>
                <w:highlight w:val="darkGray"/>
              </w:rPr>
            </w:pPr>
            <w:r w:rsidRPr="00127C1A">
              <w:rPr>
                <w:rFonts w:ascii="Arial Narrow" w:eastAsiaTheme="majorEastAsia" w:hAnsi="Arial Narrow" w:cs="Calibri"/>
                <w:bCs/>
                <w:sz w:val="4"/>
                <w:szCs w:val="20"/>
                <w:highlight w:val="black"/>
              </w:rPr>
              <w:t>Redacted content</w:t>
            </w:r>
          </w:p>
        </w:tc>
        <w:tc>
          <w:tcPr>
            <w:tcW w:w="1275" w:type="dxa"/>
            <w:noWrap/>
            <w:tcMar>
              <w:left w:w="28" w:type="dxa"/>
              <w:right w:w="28" w:type="dxa"/>
            </w:tcMar>
            <w:vAlign w:val="center"/>
            <w:hideMark/>
          </w:tcPr>
          <w:p w14:paraId="41842475" w14:textId="74090C0A" w:rsidR="00E963DB" w:rsidRPr="009A4281" w:rsidRDefault="00127C1A" w:rsidP="00E963DB">
            <w:pPr>
              <w:keepNext/>
              <w:jc w:val="center"/>
              <w:rPr>
                <w:rFonts w:ascii="Arial Narrow" w:eastAsiaTheme="majorEastAsia" w:hAnsi="Arial Narrow" w:cstheme="majorBidi"/>
                <w:bCs/>
                <w:sz w:val="20"/>
                <w:szCs w:val="20"/>
                <w:highlight w:val="darkGray"/>
              </w:rPr>
            </w:pPr>
            <w:r w:rsidRPr="00127C1A">
              <w:rPr>
                <w:rFonts w:ascii="Arial Narrow" w:eastAsiaTheme="majorEastAsia" w:hAnsi="Arial Narrow" w:cs="Calibri"/>
                <w:bCs/>
                <w:sz w:val="4"/>
                <w:szCs w:val="20"/>
                <w:highlight w:val="black"/>
              </w:rPr>
              <w:t>Redacted content</w:t>
            </w:r>
          </w:p>
        </w:tc>
      </w:tr>
    </w:tbl>
    <w:p w14:paraId="5400D442" w14:textId="77777777" w:rsidR="00E963DB" w:rsidRPr="00E963DB" w:rsidRDefault="00E963DB" w:rsidP="00E963DB">
      <w:pPr>
        <w:spacing w:after="120"/>
        <w:contextualSpacing/>
        <w:rPr>
          <w:rFonts w:ascii="Arial Narrow" w:hAnsi="Arial Narrow"/>
          <w:snapToGrid w:val="0"/>
          <w:sz w:val="18"/>
          <w:szCs w:val="22"/>
          <w:lang w:eastAsia="en-US"/>
        </w:rPr>
      </w:pPr>
      <w:r w:rsidRPr="00E963DB">
        <w:rPr>
          <w:rFonts w:ascii="Arial Narrow" w:hAnsi="Arial Narrow"/>
          <w:snapToGrid w:val="0"/>
          <w:sz w:val="18"/>
          <w:szCs w:val="22"/>
          <w:lang w:eastAsia="en-US"/>
        </w:rPr>
        <w:t>Source: Table 7, pp28-29 of the deferral response</w:t>
      </w:r>
    </w:p>
    <w:p w14:paraId="3EDBD659" w14:textId="77777777" w:rsidR="00E963DB" w:rsidRPr="00E963DB" w:rsidRDefault="00E963DB" w:rsidP="00896069">
      <w:pPr>
        <w:pStyle w:val="3-BodyText"/>
        <w:rPr>
          <w:lang w:eastAsia="en-US"/>
        </w:rPr>
      </w:pPr>
      <w:r w:rsidRPr="00E963DB">
        <w:rPr>
          <w:lang w:eastAsia="en-US"/>
        </w:rPr>
        <w:t>The deferral response states that the sponsor will be fully funding the home-infusion program from Year 2 onwards, which will mean that there are no administration costs.</w:t>
      </w:r>
    </w:p>
    <w:p w14:paraId="12BADD2A" w14:textId="77777777" w:rsidR="00E963DB" w:rsidRPr="00E963DB" w:rsidRDefault="00E963DB" w:rsidP="00E963DB">
      <w:pPr>
        <w:spacing w:after="120"/>
        <w:ind w:left="720"/>
        <w:rPr>
          <w:rFonts w:asciiTheme="minorHAnsi" w:hAnsiTheme="minorHAnsi"/>
          <w:i/>
          <w:iCs/>
          <w:snapToGrid w:val="0"/>
        </w:rPr>
      </w:pPr>
      <w:r w:rsidRPr="00E963DB">
        <w:rPr>
          <w:rFonts w:asciiTheme="minorHAnsi" w:hAnsiTheme="minorHAnsi"/>
          <w:i/>
          <w:iCs/>
          <w:snapToGrid w:val="0"/>
        </w:rPr>
        <w:t>For more detail on PBAC’s view, see section 12 PBAC outcome.</w:t>
      </w:r>
    </w:p>
    <w:p w14:paraId="25C35D04" w14:textId="77777777" w:rsidR="00E963DB" w:rsidRPr="00E963DB" w:rsidRDefault="00E963DB" w:rsidP="00CD7617">
      <w:pPr>
        <w:keepNext/>
        <w:numPr>
          <w:ilvl w:val="0"/>
          <w:numId w:val="1"/>
        </w:numPr>
        <w:spacing w:before="240" w:after="120"/>
        <w:jc w:val="left"/>
        <w:outlineLvl w:val="0"/>
        <w:rPr>
          <w:rFonts w:asciiTheme="minorHAnsi" w:hAnsiTheme="minorHAnsi"/>
          <w:b/>
          <w:snapToGrid w:val="0"/>
          <w:sz w:val="32"/>
          <w:szCs w:val="32"/>
        </w:rPr>
      </w:pPr>
      <w:r w:rsidRPr="00E963DB">
        <w:rPr>
          <w:rFonts w:asciiTheme="minorHAnsi" w:hAnsiTheme="minorHAnsi"/>
          <w:b/>
          <w:snapToGrid w:val="0"/>
          <w:sz w:val="32"/>
          <w:szCs w:val="32"/>
        </w:rPr>
        <w:t>PBAC Outcome</w:t>
      </w:r>
    </w:p>
    <w:p w14:paraId="52D4243D" w14:textId="77777777" w:rsidR="00E963DB" w:rsidRPr="00E963DB" w:rsidRDefault="00E963DB" w:rsidP="00CD7617">
      <w:pPr>
        <w:widowControl w:val="0"/>
        <w:numPr>
          <w:ilvl w:val="1"/>
          <w:numId w:val="1"/>
        </w:numPr>
        <w:spacing w:before="60" w:after="60"/>
      </w:pPr>
      <w:r w:rsidRPr="00E963DB">
        <w:t xml:space="preserve">The PBAC recommended </w:t>
      </w:r>
      <w:r w:rsidRPr="00E963DB">
        <w:rPr>
          <w:lang w:val="en-GB"/>
        </w:rPr>
        <w:t xml:space="preserve">a </w:t>
      </w:r>
      <w:r w:rsidRPr="00E963DB">
        <w:t>Section 100 (Highly Specialised Drugs Program (Public and Private)) Authority required (written/Online PBS Authorities system) listing of velmanase alfa for the treatment of non-neurological manifestations of alpha-mannosidosis (AM). The PBAC noted that the deferral response addressed the previous concerns regarding the proposed restriction and provided additional clinical and patient</w:t>
      </w:r>
      <w:r w:rsidRPr="00E963DB">
        <w:noBreakHyphen/>
        <w:t>relevant data regarding the benefits of treatment. Overall, t</w:t>
      </w:r>
      <w:r w:rsidRPr="00E963DB">
        <w:rPr>
          <w:rFonts w:asciiTheme="minorHAnsi" w:hAnsiTheme="minorHAnsi"/>
          <w:snapToGrid w:val="0"/>
          <w:lang w:val="en-GB"/>
        </w:rPr>
        <w:t xml:space="preserve">he PBAC was satisfied that velmanase alfa provides, for some patients, an improvement in efficacy over best supportive care (BSC). </w:t>
      </w:r>
      <w:r w:rsidRPr="00E963DB">
        <w:t>The PBAC considered that the proposed cost of velmanase alfa remained high and the cost per patient per year was higher than that for previously recommended treatments for ultra</w:t>
      </w:r>
      <w:r w:rsidRPr="00E963DB">
        <w:noBreakHyphen/>
        <w:t>rare diseases funded on the PBS with benefits which are likely similar in terms of clinical impact. The PBAC advised that the proposed price was not cost-effective and a significant price reduction would be required. The PBAC noted that the estimated utilisation of velmanase alfa was likely overestimated in the resubmission and considered that a risk sharing arrangement (RSA) would be an appropriate way to manage potential higher than predicted average doses (as dosing is weight based).</w:t>
      </w:r>
    </w:p>
    <w:p w14:paraId="2F7F246F" w14:textId="77777777" w:rsidR="00E963DB" w:rsidRPr="00E963DB" w:rsidRDefault="00E963DB" w:rsidP="00CD7617">
      <w:pPr>
        <w:widowControl w:val="0"/>
        <w:numPr>
          <w:ilvl w:val="1"/>
          <w:numId w:val="1"/>
        </w:numPr>
        <w:spacing w:before="60" w:after="60"/>
        <w:rPr>
          <w:rFonts w:asciiTheme="minorHAnsi" w:hAnsiTheme="minorHAnsi"/>
          <w:snapToGrid w:val="0"/>
        </w:rPr>
      </w:pPr>
      <w:r w:rsidRPr="00E963DB">
        <w:rPr>
          <w:rFonts w:asciiTheme="minorHAnsi" w:hAnsiTheme="minorHAnsi"/>
          <w:snapToGrid w:val="0"/>
        </w:rPr>
        <w:t>The PBAC recognised the high and urgent need for treatments for AM and recalled the consumer input descriptions of disease progression and the severe impact of AM on everyday life.</w:t>
      </w:r>
    </w:p>
    <w:p w14:paraId="3BA57BDC" w14:textId="16551FD1" w:rsidR="00E963DB" w:rsidRPr="00E963DB" w:rsidRDefault="00E963DB" w:rsidP="00CD7617">
      <w:pPr>
        <w:widowControl w:val="0"/>
        <w:numPr>
          <w:ilvl w:val="1"/>
          <w:numId w:val="1"/>
        </w:numPr>
        <w:spacing w:before="60" w:after="60"/>
        <w:rPr>
          <w:rFonts w:asciiTheme="minorHAnsi" w:hAnsiTheme="minorHAnsi"/>
          <w:snapToGrid w:val="0"/>
        </w:rPr>
      </w:pPr>
      <w:r w:rsidRPr="00E963DB">
        <w:rPr>
          <w:rFonts w:asciiTheme="minorHAnsi" w:hAnsiTheme="minorHAnsi"/>
          <w:snapToGrid w:val="0"/>
        </w:rPr>
        <w:t xml:space="preserve">The PBAC noted that the Sponsor’s deferral response accepted all the proposed amendments to the restriction (see paragraph </w:t>
      </w:r>
      <w:r w:rsidRPr="00E963DB">
        <w:rPr>
          <w:rFonts w:asciiTheme="minorHAnsi" w:hAnsiTheme="minorHAnsi"/>
          <w:snapToGrid w:val="0"/>
        </w:rPr>
        <w:fldChar w:fldCharType="begin"/>
      </w:r>
      <w:r w:rsidRPr="00E963DB">
        <w:rPr>
          <w:rFonts w:asciiTheme="minorHAnsi" w:hAnsiTheme="minorHAnsi"/>
          <w:snapToGrid w:val="0"/>
        </w:rPr>
        <w:instrText xml:space="preserve"> REF _Ref216337913 \r \h </w:instrText>
      </w:r>
      <w:r w:rsidRPr="00E963DB">
        <w:rPr>
          <w:rFonts w:asciiTheme="minorHAnsi" w:hAnsiTheme="minorHAnsi"/>
          <w:snapToGrid w:val="0"/>
        </w:rPr>
      </w:r>
      <w:r w:rsidRPr="00E963DB">
        <w:rPr>
          <w:rFonts w:asciiTheme="minorHAnsi" w:hAnsiTheme="minorHAnsi"/>
          <w:snapToGrid w:val="0"/>
        </w:rPr>
        <w:fldChar w:fldCharType="separate"/>
      </w:r>
      <w:r w:rsidR="00B73A9E">
        <w:rPr>
          <w:rFonts w:asciiTheme="minorHAnsi" w:hAnsiTheme="minorHAnsi"/>
          <w:snapToGrid w:val="0"/>
        </w:rPr>
        <w:t>12.1</w:t>
      </w:r>
      <w:r w:rsidRPr="00E963DB">
        <w:rPr>
          <w:rFonts w:asciiTheme="minorHAnsi" w:hAnsiTheme="minorHAnsi"/>
          <w:snapToGrid w:val="0"/>
        </w:rPr>
        <w:fldChar w:fldCharType="end"/>
      </w:r>
      <w:r w:rsidRPr="00E963DB">
        <w:rPr>
          <w:rFonts w:asciiTheme="minorHAnsi" w:hAnsiTheme="minorHAnsi"/>
          <w:snapToGrid w:val="0"/>
        </w:rPr>
        <w:t xml:space="preserve">). The PBAC advised that the criterion stating that velmanase alfa should be the sole PBS subsidised therapy should be removed (see paragraph </w:t>
      </w:r>
      <w:r w:rsidRPr="00E963DB">
        <w:rPr>
          <w:rFonts w:asciiTheme="minorHAnsi" w:hAnsiTheme="minorHAnsi"/>
          <w:snapToGrid w:val="0"/>
        </w:rPr>
        <w:fldChar w:fldCharType="begin"/>
      </w:r>
      <w:r w:rsidRPr="00E963DB">
        <w:rPr>
          <w:rFonts w:asciiTheme="minorHAnsi" w:hAnsiTheme="minorHAnsi"/>
          <w:snapToGrid w:val="0"/>
        </w:rPr>
        <w:instrText xml:space="preserve"> REF _Ref216338045 \r \h </w:instrText>
      </w:r>
      <w:r w:rsidRPr="00E963DB">
        <w:rPr>
          <w:rFonts w:asciiTheme="minorHAnsi" w:hAnsiTheme="minorHAnsi"/>
          <w:snapToGrid w:val="0"/>
        </w:rPr>
      </w:r>
      <w:r w:rsidRPr="00E963DB">
        <w:rPr>
          <w:rFonts w:asciiTheme="minorHAnsi" w:hAnsiTheme="minorHAnsi"/>
          <w:snapToGrid w:val="0"/>
        </w:rPr>
        <w:fldChar w:fldCharType="separate"/>
      </w:r>
      <w:r w:rsidR="00B73A9E">
        <w:rPr>
          <w:rFonts w:asciiTheme="minorHAnsi" w:hAnsiTheme="minorHAnsi"/>
          <w:snapToGrid w:val="0"/>
        </w:rPr>
        <w:t>12.2</w:t>
      </w:r>
      <w:r w:rsidRPr="00E963DB">
        <w:rPr>
          <w:rFonts w:asciiTheme="minorHAnsi" w:hAnsiTheme="minorHAnsi"/>
          <w:snapToGrid w:val="0"/>
        </w:rPr>
        <w:fldChar w:fldCharType="end"/>
      </w:r>
      <w:r w:rsidRPr="00E963DB">
        <w:rPr>
          <w:rFonts w:asciiTheme="minorHAnsi" w:hAnsiTheme="minorHAnsi"/>
          <w:snapToGrid w:val="0"/>
        </w:rPr>
        <w:t xml:space="preserve">) and that a separate continuing treatment phase which included the stopping rule that a ‘patient must continue to demonstrate clinical benefit’ was appropriate (see paragraph </w:t>
      </w:r>
      <w:r w:rsidRPr="00E963DB">
        <w:rPr>
          <w:rFonts w:asciiTheme="minorHAnsi" w:hAnsiTheme="minorHAnsi"/>
          <w:snapToGrid w:val="0"/>
        </w:rPr>
        <w:fldChar w:fldCharType="begin"/>
      </w:r>
      <w:r w:rsidRPr="00E963DB">
        <w:rPr>
          <w:rFonts w:asciiTheme="minorHAnsi" w:hAnsiTheme="minorHAnsi"/>
          <w:snapToGrid w:val="0"/>
        </w:rPr>
        <w:instrText xml:space="preserve"> REF _Ref216338137 \r \h </w:instrText>
      </w:r>
      <w:r w:rsidRPr="00E963DB">
        <w:rPr>
          <w:rFonts w:asciiTheme="minorHAnsi" w:hAnsiTheme="minorHAnsi"/>
          <w:snapToGrid w:val="0"/>
        </w:rPr>
      </w:r>
      <w:r w:rsidRPr="00E963DB">
        <w:rPr>
          <w:rFonts w:asciiTheme="minorHAnsi" w:hAnsiTheme="minorHAnsi"/>
          <w:snapToGrid w:val="0"/>
        </w:rPr>
        <w:fldChar w:fldCharType="separate"/>
      </w:r>
      <w:r w:rsidR="00B73A9E">
        <w:rPr>
          <w:rFonts w:asciiTheme="minorHAnsi" w:hAnsiTheme="minorHAnsi"/>
          <w:snapToGrid w:val="0"/>
        </w:rPr>
        <w:t>12.3</w:t>
      </w:r>
      <w:r w:rsidRPr="00E963DB">
        <w:rPr>
          <w:rFonts w:asciiTheme="minorHAnsi" w:hAnsiTheme="minorHAnsi"/>
          <w:snapToGrid w:val="0"/>
        </w:rPr>
        <w:fldChar w:fldCharType="end"/>
      </w:r>
      <w:r w:rsidRPr="00E963DB">
        <w:rPr>
          <w:rFonts w:asciiTheme="minorHAnsi" w:hAnsiTheme="minorHAnsi"/>
          <w:snapToGrid w:val="0"/>
        </w:rPr>
        <w:t>). The PBAC also considered that the initial supply restriction should prevent use in patients who have previously received a hematopoietic stem cell transplant (HSCT). The PBAC also noted that from Year 2, it was expected that some patients would receive velmanase alfa in the home. As the restriction was a Complex Authority Restriction (CAR), Section 100 Highly Specialised Drug, the PBAC noted that velmanase alfa can also be dispensed in the community setting.</w:t>
      </w:r>
    </w:p>
    <w:p w14:paraId="568D6FFA" w14:textId="39729A68" w:rsidR="00E963DB" w:rsidRPr="00E963DB" w:rsidRDefault="00E963DB" w:rsidP="00CD7617">
      <w:pPr>
        <w:widowControl w:val="0"/>
        <w:numPr>
          <w:ilvl w:val="1"/>
          <w:numId w:val="1"/>
        </w:numPr>
        <w:spacing w:before="60" w:after="60"/>
        <w:rPr>
          <w:rFonts w:asciiTheme="minorHAnsi" w:hAnsiTheme="minorHAnsi"/>
          <w:i/>
          <w:iCs/>
          <w:snapToGrid w:val="0"/>
        </w:rPr>
      </w:pPr>
      <w:r w:rsidRPr="00E963DB">
        <w:rPr>
          <w:rFonts w:asciiTheme="minorHAnsi" w:hAnsiTheme="minorHAnsi"/>
          <w:snapToGrid w:val="0"/>
        </w:rPr>
        <w:t xml:space="preserve">The PBAC recalled that it had previously considered that velmanase alfa was biochemically effective at reducing serum oligosaccharides, but had requested further information from the Sponsor regarding the clinical and patient-relevant benefits of treatment (see paragraphs </w:t>
      </w:r>
      <w:r w:rsidR="00843E4A">
        <w:rPr>
          <w:rFonts w:asciiTheme="minorHAnsi" w:hAnsiTheme="minorHAnsi"/>
          <w:snapToGrid w:val="0"/>
        </w:rPr>
        <w:fldChar w:fldCharType="begin"/>
      </w:r>
      <w:r w:rsidR="00843E4A">
        <w:rPr>
          <w:rFonts w:asciiTheme="minorHAnsi" w:hAnsiTheme="minorHAnsi"/>
          <w:snapToGrid w:val="0"/>
        </w:rPr>
        <w:instrText xml:space="preserve"> REF _Ref228968655 \r \h </w:instrText>
      </w:r>
      <w:r w:rsidR="00843E4A">
        <w:rPr>
          <w:rFonts w:asciiTheme="minorHAnsi" w:hAnsiTheme="minorHAnsi"/>
          <w:snapToGrid w:val="0"/>
        </w:rPr>
      </w:r>
      <w:r w:rsidR="00843E4A">
        <w:rPr>
          <w:rFonts w:asciiTheme="minorHAnsi" w:hAnsiTheme="minorHAnsi"/>
          <w:snapToGrid w:val="0"/>
        </w:rPr>
        <w:fldChar w:fldCharType="separate"/>
      </w:r>
      <w:r w:rsidR="00B73A9E">
        <w:rPr>
          <w:rFonts w:asciiTheme="minorHAnsi" w:hAnsiTheme="minorHAnsi"/>
          <w:snapToGrid w:val="0"/>
        </w:rPr>
        <w:t>7.8</w:t>
      </w:r>
      <w:r w:rsidR="00843E4A">
        <w:rPr>
          <w:rFonts w:asciiTheme="minorHAnsi" w:hAnsiTheme="minorHAnsi"/>
          <w:snapToGrid w:val="0"/>
        </w:rPr>
        <w:fldChar w:fldCharType="end"/>
      </w:r>
      <w:r w:rsidR="003B0457">
        <w:rPr>
          <w:rFonts w:asciiTheme="minorHAnsi" w:hAnsiTheme="minorHAnsi"/>
          <w:snapToGrid w:val="0"/>
        </w:rPr>
        <w:t xml:space="preserve"> </w:t>
      </w:r>
      <w:r w:rsidRPr="00E963DB">
        <w:rPr>
          <w:rFonts w:asciiTheme="minorHAnsi" w:hAnsiTheme="minorHAnsi"/>
          <w:snapToGrid w:val="0"/>
        </w:rPr>
        <w:t xml:space="preserve">to </w:t>
      </w:r>
      <w:r w:rsidRPr="00E963DB">
        <w:rPr>
          <w:rFonts w:asciiTheme="minorHAnsi" w:hAnsiTheme="minorHAnsi"/>
          <w:snapToGrid w:val="0"/>
        </w:rPr>
        <w:fldChar w:fldCharType="begin"/>
      </w:r>
      <w:r w:rsidRPr="00E963DB">
        <w:rPr>
          <w:rFonts w:asciiTheme="minorHAnsi" w:hAnsiTheme="minorHAnsi"/>
          <w:snapToGrid w:val="0"/>
        </w:rPr>
        <w:instrText xml:space="preserve"> REF _Ref205542552 \r \h </w:instrText>
      </w:r>
      <w:r w:rsidRPr="00E963DB">
        <w:rPr>
          <w:rFonts w:asciiTheme="minorHAnsi" w:hAnsiTheme="minorHAnsi"/>
          <w:snapToGrid w:val="0"/>
        </w:rPr>
      </w:r>
      <w:r w:rsidRPr="00E963DB">
        <w:rPr>
          <w:rFonts w:asciiTheme="minorHAnsi" w:hAnsiTheme="minorHAnsi"/>
          <w:snapToGrid w:val="0"/>
        </w:rPr>
        <w:fldChar w:fldCharType="separate"/>
      </w:r>
      <w:r w:rsidR="00B73A9E">
        <w:rPr>
          <w:rFonts w:asciiTheme="minorHAnsi" w:hAnsiTheme="minorHAnsi"/>
          <w:snapToGrid w:val="0"/>
        </w:rPr>
        <w:t>7.10</w:t>
      </w:r>
      <w:r w:rsidRPr="00E963DB">
        <w:rPr>
          <w:rFonts w:asciiTheme="minorHAnsi" w:hAnsiTheme="minorHAnsi"/>
          <w:snapToGrid w:val="0"/>
        </w:rPr>
        <w:fldChar w:fldCharType="end"/>
      </w:r>
      <w:r w:rsidRPr="00E963DB">
        <w:rPr>
          <w:rFonts w:asciiTheme="minorHAnsi" w:hAnsiTheme="minorHAnsi"/>
          <w:snapToGrid w:val="0"/>
        </w:rPr>
        <w:t xml:space="preserve">). The PBAC noted the additional information regarding the global treatment response (GTR) model demonstrated that 87% of velmanase alfa patients experienced a clinically meaningful response at 12 months, compared to 30% of placebo patients and that the magnitude of response was greater in patients who received earlier treatment, i.e. paediatric patients. The PBAC considered that this information, plus the physicians’ narratives from the </w:t>
      </w:r>
      <w:r w:rsidRPr="00E963DB">
        <w:rPr>
          <w:rFonts w:asciiTheme="minorHAnsi" w:hAnsiTheme="minorHAnsi" w:cstheme="minorHAnsi"/>
          <w:snapToGrid w:val="0"/>
        </w:rPr>
        <w:t>É</w:t>
      </w:r>
      <w:r w:rsidRPr="00E963DB">
        <w:rPr>
          <w:rFonts w:asciiTheme="minorHAnsi" w:hAnsiTheme="minorHAnsi"/>
          <w:snapToGrid w:val="0"/>
        </w:rPr>
        <w:t>toile Alpha Registry and the data from the caregiver and patient survey, provided evidence that velmanase alfa results in longer term meaningful clinical benefits for patients with AM.</w:t>
      </w:r>
    </w:p>
    <w:p w14:paraId="0B0DA77C" w14:textId="0EC1427B" w:rsidR="00E963DB" w:rsidRPr="00E963DB" w:rsidRDefault="00E963DB" w:rsidP="00CD7617">
      <w:pPr>
        <w:widowControl w:val="0"/>
        <w:numPr>
          <w:ilvl w:val="1"/>
          <w:numId w:val="1"/>
        </w:numPr>
        <w:spacing w:before="120" w:after="120"/>
        <w:rPr>
          <w:rFonts w:asciiTheme="minorHAnsi" w:hAnsiTheme="minorHAnsi"/>
          <w:bCs/>
          <w:snapToGrid w:val="0"/>
        </w:rPr>
      </w:pPr>
      <w:r w:rsidRPr="00E963DB">
        <w:rPr>
          <w:rFonts w:asciiTheme="minorHAnsi" w:hAnsiTheme="minorHAnsi"/>
          <w:bCs/>
          <w:snapToGrid w:val="0"/>
        </w:rPr>
        <w:t xml:space="preserve">The PBAC noted that the deferral response proposed a </w:t>
      </w:r>
      <w:r w:rsidR="00127C1A" w:rsidRPr="00127C1A">
        <w:rPr>
          <w:rFonts w:asciiTheme="minorHAnsi" w:hAnsiTheme="minorHAnsi"/>
          <w:bCs/>
          <w:snapToGrid w:val="0"/>
          <w:sz w:val="4"/>
          <w:highlight w:val="black"/>
        </w:rPr>
        <w:t>Redacted content</w:t>
      </w:r>
      <w:r w:rsidRPr="00E963DB">
        <w:rPr>
          <w:rFonts w:asciiTheme="minorHAnsi" w:hAnsiTheme="minorHAnsi"/>
          <w:bCs/>
          <w:snapToGrid w:val="0"/>
        </w:rPr>
        <w:t>% reduction to the effective ex-manufacturer price (EMP) of velmanase alfa. The PBAC noted, based on the weight of the trial patients, that this resulted in an average cost per patient of approximately $</w:t>
      </w:r>
      <w:r w:rsidR="00127C1A" w:rsidRPr="00127C1A">
        <w:rPr>
          <w:rFonts w:asciiTheme="minorHAnsi" w:hAnsiTheme="minorHAnsi"/>
          <w:bCs/>
          <w:snapToGrid w:val="0"/>
          <w:sz w:val="4"/>
          <w:highlight w:val="black"/>
        </w:rPr>
        <w:t>Redacted content</w:t>
      </w:r>
      <w:r w:rsidRPr="00E963DB">
        <w:rPr>
          <w:rFonts w:asciiTheme="minorHAnsi" w:hAnsiTheme="minorHAnsi"/>
          <w:bCs/>
          <w:snapToGrid w:val="0"/>
        </w:rPr>
        <w:t xml:space="preserve"> per year (see </w:t>
      </w:r>
      <w:r w:rsidRPr="00E963DB">
        <w:rPr>
          <w:rFonts w:asciiTheme="minorHAnsi" w:hAnsiTheme="minorHAnsi"/>
          <w:bCs/>
          <w:snapToGrid w:val="0"/>
        </w:rPr>
        <w:fldChar w:fldCharType="begin"/>
      </w:r>
      <w:r w:rsidRPr="00E963DB">
        <w:rPr>
          <w:rFonts w:asciiTheme="minorHAnsi" w:hAnsiTheme="minorHAnsi"/>
          <w:bCs/>
          <w:snapToGrid w:val="0"/>
        </w:rPr>
        <w:instrText xml:space="preserve"> REF _Ref214544291 \h </w:instrText>
      </w:r>
      <w:r w:rsidR="00843E4A">
        <w:rPr>
          <w:rFonts w:asciiTheme="minorHAnsi" w:hAnsiTheme="minorHAnsi"/>
          <w:bCs/>
          <w:snapToGrid w:val="0"/>
        </w:rPr>
        <w:instrText xml:space="preserve"> \* MERGEFORMAT </w:instrText>
      </w:r>
      <w:r w:rsidRPr="00E963DB">
        <w:rPr>
          <w:rFonts w:asciiTheme="minorHAnsi" w:hAnsiTheme="minorHAnsi"/>
          <w:bCs/>
          <w:snapToGrid w:val="0"/>
        </w:rPr>
      </w:r>
      <w:r w:rsidRPr="00E963DB">
        <w:rPr>
          <w:rFonts w:asciiTheme="minorHAnsi" w:hAnsiTheme="minorHAnsi"/>
          <w:bCs/>
          <w:snapToGrid w:val="0"/>
        </w:rPr>
        <w:fldChar w:fldCharType="separate"/>
      </w:r>
      <w:r w:rsidR="00B73A9E" w:rsidRPr="00B73A9E">
        <w:rPr>
          <w:rFonts w:asciiTheme="minorHAnsi" w:hAnsiTheme="minorHAnsi"/>
          <w:bCs/>
          <w:snapToGrid w:val="0"/>
        </w:rPr>
        <w:t>Table 23</w:t>
      </w:r>
      <w:r w:rsidRPr="00E963DB">
        <w:rPr>
          <w:rFonts w:asciiTheme="minorHAnsi" w:hAnsiTheme="minorHAnsi"/>
          <w:bCs/>
          <w:snapToGrid w:val="0"/>
        </w:rPr>
        <w:fldChar w:fldCharType="end"/>
      </w:r>
      <w:r w:rsidRPr="00E963DB">
        <w:rPr>
          <w:rFonts w:asciiTheme="minorHAnsi" w:hAnsiTheme="minorHAnsi"/>
          <w:bCs/>
          <w:snapToGrid w:val="0"/>
        </w:rPr>
        <w:t>). The PBAC again considered that, compared to other high-cost treatments for rare diseases funded on the PBS, a substantial price reduction, which results in a yearly average cost per patient of no more than $</w:t>
      </w:r>
      <w:r w:rsidR="00127C1A" w:rsidRPr="00127C1A">
        <w:rPr>
          <w:rFonts w:asciiTheme="minorHAnsi" w:hAnsiTheme="minorHAnsi"/>
          <w:bCs/>
          <w:snapToGrid w:val="0"/>
          <w:sz w:val="4"/>
          <w:highlight w:val="black"/>
        </w:rPr>
        <w:t>Redacted content</w:t>
      </w:r>
      <w:r w:rsidRPr="00E963DB">
        <w:rPr>
          <w:rFonts w:asciiTheme="minorHAnsi" w:hAnsiTheme="minorHAnsi"/>
          <w:bCs/>
          <w:snapToGrid w:val="0"/>
        </w:rPr>
        <w:t>, would be required for it to be considered cost effective.</w:t>
      </w:r>
    </w:p>
    <w:p w14:paraId="25DEF579" w14:textId="24ACDD61" w:rsidR="00E963DB" w:rsidRPr="00E963DB" w:rsidRDefault="00E963DB" w:rsidP="00CD7617">
      <w:pPr>
        <w:widowControl w:val="0"/>
        <w:numPr>
          <w:ilvl w:val="1"/>
          <w:numId w:val="1"/>
        </w:numPr>
        <w:spacing w:before="120" w:after="120"/>
        <w:rPr>
          <w:rFonts w:asciiTheme="minorHAnsi" w:hAnsiTheme="minorHAnsi"/>
          <w:bCs/>
          <w:snapToGrid w:val="0"/>
        </w:rPr>
      </w:pPr>
      <w:bookmarkStart w:id="149" w:name="_Ref216871561"/>
      <w:r w:rsidRPr="00E963DB">
        <w:rPr>
          <w:rFonts w:asciiTheme="minorHAnsi" w:hAnsiTheme="minorHAnsi"/>
          <w:bCs/>
          <w:snapToGrid w:val="0"/>
        </w:rPr>
        <w:t xml:space="preserve">The PBAC noted that the deferral response estimated that there would be </w:t>
      </w:r>
      <w:r w:rsidR="00C06F9F">
        <w:rPr>
          <w:rFonts w:asciiTheme="minorHAnsi" w:hAnsiTheme="minorHAnsi"/>
          <w:bCs/>
          <w:snapToGrid w:val="0"/>
        </w:rPr>
        <w:t>&lt;</w:t>
      </w:r>
      <w:r w:rsidR="00022AB1">
        <w:rPr>
          <w:rFonts w:asciiTheme="minorHAnsi" w:hAnsiTheme="minorHAnsi"/>
          <w:bCs/>
          <w:snapToGrid w:val="0"/>
        </w:rPr>
        <w:t xml:space="preserve"> 500</w:t>
      </w:r>
      <w:r w:rsidR="00C06F9F" w:rsidRPr="00E963DB">
        <w:rPr>
          <w:rFonts w:asciiTheme="minorHAnsi" w:hAnsiTheme="minorHAnsi"/>
          <w:bCs/>
          <w:snapToGrid w:val="0"/>
        </w:rPr>
        <w:t xml:space="preserve"> </w:t>
      </w:r>
      <w:r w:rsidRPr="00E963DB">
        <w:rPr>
          <w:rFonts w:asciiTheme="minorHAnsi" w:hAnsiTheme="minorHAnsi"/>
          <w:bCs/>
          <w:snapToGrid w:val="0"/>
        </w:rPr>
        <w:t xml:space="preserve">eligible patients in Year 1, increasing to </w:t>
      </w:r>
      <w:r w:rsidR="00090736">
        <w:rPr>
          <w:rFonts w:asciiTheme="minorHAnsi" w:hAnsiTheme="minorHAnsi"/>
          <w:bCs/>
          <w:snapToGrid w:val="0"/>
        </w:rPr>
        <w:t>&lt; 500</w:t>
      </w:r>
      <w:r w:rsidRPr="00E963DB">
        <w:rPr>
          <w:rFonts w:asciiTheme="minorHAnsi" w:hAnsiTheme="minorHAnsi"/>
          <w:bCs/>
          <w:snapToGrid w:val="0"/>
        </w:rPr>
        <w:t xml:space="preserve"> in Year 6. Noting that it had considered that 5 eligible patients over 6 years would be reasonable in the July 2025 consideration (see paragraph</w:t>
      </w:r>
      <w:r w:rsidR="00F75670">
        <w:rPr>
          <w:rFonts w:asciiTheme="minorHAnsi" w:hAnsiTheme="minorHAnsi"/>
          <w:bCs/>
          <w:snapToGrid w:val="0"/>
        </w:rPr>
        <w:t xml:space="preserve"> </w:t>
      </w:r>
      <w:r w:rsidR="00F75670">
        <w:rPr>
          <w:rFonts w:asciiTheme="minorHAnsi" w:hAnsiTheme="minorHAnsi"/>
          <w:bCs/>
          <w:snapToGrid w:val="0"/>
        </w:rPr>
        <w:fldChar w:fldCharType="begin"/>
      </w:r>
      <w:r w:rsidR="00F75670">
        <w:rPr>
          <w:rFonts w:asciiTheme="minorHAnsi" w:hAnsiTheme="minorHAnsi"/>
          <w:bCs/>
          <w:snapToGrid w:val="0"/>
        </w:rPr>
        <w:instrText xml:space="preserve"> REF _Ref228968538 \r \h </w:instrText>
      </w:r>
      <w:r w:rsidR="00F75670">
        <w:rPr>
          <w:rFonts w:asciiTheme="minorHAnsi" w:hAnsiTheme="minorHAnsi"/>
          <w:bCs/>
          <w:snapToGrid w:val="0"/>
        </w:rPr>
      </w:r>
      <w:r w:rsidR="00F75670">
        <w:rPr>
          <w:rFonts w:asciiTheme="minorHAnsi" w:hAnsiTheme="minorHAnsi"/>
          <w:bCs/>
          <w:snapToGrid w:val="0"/>
        </w:rPr>
        <w:fldChar w:fldCharType="separate"/>
      </w:r>
      <w:r w:rsidR="00B73A9E">
        <w:rPr>
          <w:rFonts w:asciiTheme="minorHAnsi" w:hAnsiTheme="minorHAnsi"/>
          <w:bCs/>
          <w:snapToGrid w:val="0"/>
        </w:rPr>
        <w:t>7.15</w:t>
      </w:r>
      <w:r w:rsidR="00F75670">
        <w:rPr>
          <w:rFonts w:asciiTheme="minorHAnsi" w:hAnsiTheme="minorHAnsi"/>
          <w:bCs/>
          <w:snapToGrid w:val="0"/>
        </w:rPr>
        <w:fldChar w:fldCharType="end"/>
      </w:r>
      <w:r w:rsidRPr="00E963DB">
        <w:rPr>
          <w:rFonts w:asciiTheme="minorHAnsi" w:hAnsiTheme="minorHAnsi"/>
          <w:bCs/>
          <w:snapToGrid w:val="0"/>
        </w:rPr>
        <w:t>), the PBAC considered that the eligible population in the deferral response was overestimated.</w:t>
      </w:r>
      <w:bookmarkEnd w:id="149"/>
      <w:r w:rsidRPr="00E963DB">
        <w:rPr>
          <w:rFonts w:asciiTheme="minorHAnsi" w:hAnsiTheme="minorHAnsi"/>
          <w:bCs/>
          <w:snapToGrid w:val="0"/>
        </w:rPr>
        <w:t xml:space="preserve"> The PBAC advised that the financial estimates should include patients receiving velmanase alfa via the S100 HSC private hospital/community access program from Year 2 (see paragraph </w:t>
      </w:r>
      <w:r w:rsidRPr="00E963DB">
        <w:rPr>
          <w:rFonts w:asciiTheme="minorHAnsi" w:hAnsiTheme="minorHAnsi"/>
          <w:bCs/>
          <w:snapToGrid w:val="0"/>
        </w:rPr>
        <w:fldChar w:fldCharType="begin"/>
      </w:r>
      <w:r w:rsidRPr="00E963DB">
        <w:rPr>
          <w:rFonts w:asciiTheme="minorHAnsi" w:hAnsiTheme="minorHAnsi"/>
          <w:bCs/>
          <w:snapToGrid w:val="0"/>
        </w:rPr>
        <w:instrText xml:space="preserve"> REF _Ref217371454 \r \h </w:instrText>
      </w:r>
      <w:r w:rsidRPr="00E963DB">
        <w:rPr>
          <w:rFonts w:asciiTheme="minorHAnsi" w:hAnsiTheme="minorHAnsi"/>
          <w:bCs/>
          <w:snapToGrid w:val="0"/>
        </w:rPr>
      </w:r>
      <w:r w:rsidRPr="00E963DB">
        <w:rPr>
          <w:rFonts w:asciiTheme="minorHAnsi" w:hAnsiTheme="minorHAnsi"/>
          <w:bCs/>
          <w:snapToGrid w:val="0"/>
        </w:rPr>
        <w:fldChar w:fldCharType="separate"/>
      </w:r>
      <w:r w:rsidR="00B73A9E">
        <w:rPr>
          <w:rFonts w:asciiTheme="minorHAnsi" w:hAnsiTheme="minorHAnsi"/>
          <w:bCs/>
          <w:snapToGrid w:val="0"/>
        </w:rPr>
        <w:t>13.25</w:t>
      </w:r>
      <w:r w:rsidRPr="00E963DB">
        <w:rPr>
          <w:rFonts w:asciiTheme="minorHAnsi" w:hAnsiTheme="minorHAnsi"/>
          <w:bCs/>
          <w:snapToGrid w:val="0"/>
        </w:rPr>
        <w:fldChar w:fldCharType="end"/>
      </w:r>
      <w:r w:rsidRPr="00E963DB">
        <w:rPr>
          <w:rFonts w:asciiTheme="minorHAnsi" w:hAnsiTheme="minorHAnsi"/>
          <w:bCs/>
          <w:snapToGrid w:val="0"/>
        </w:rPr>
        <w:t>).</w:t>
      </w:r>
    </w:p>
    <w:p w14:paraId="757BE9FC" w14:textId="5132DCF9" w:rsidR="00E963DB" w:rsidRPr="00E963DB" w:rsidRDefault="00E963DB" w:rsidP="00CD7617">
      <w:pPr>
        <w:widowControl w:val="0"/>
        <w:numPr>
          <w:ilvl w:val="1"/>
          <w:numId w:val="1"/>
        </w:numPr>
        <w:spacing w:after="120"/>
        <w:rPr>
          <w:rFonts w:asciiTheme="minorHAnsi" w:hAnsiTheme="minorHAnsi"/>
          <w:snapToGrid w:val="0"/>
          <w:lang w:val="en-GB"/>
        </w:rPr>
      </w:pPr>
      <w:bookmarkStart w:id="150" w:name="_Ref216871461"/>
      <w:r w:rsidRPr="00E963DB">
        <w:rPr>
          <w:rFonts w:asciiTheme="minorHAnsi" w:hAnsiTheme="minorHAnsi"/>
          <w:bCs/>
          <w:snapToGrid w:val="0"/>
        </w:rPr>
        <w:t xml:space="preserve">The PBAC also noted that the deferral response proposed a RSA with rebates of </w:t>
      </w:r>
      <w:r w:rsidR="00127C1A" w:rsidRPr="00127C1A">
        <w:rPr>
          <w:rFonts w:asciiTheme="minorHAnsi" w:hAnsiTheme="minorHAnsi"/>
          <w:bCs/>
          <w:snapToGrid w:val="0"/>
          <w:sz w:val="4"/>
          <w:highlight w:val="black"/>
        </w:rPr>
        <w:t>Redacted content</w:t>
      </w:r>
      <w:r w:rsidRPr="00E963DB">
        <w:rPr>
          <w:rFonts w:asciiTheme="minorHAnsi" w:hAnsiTheme="minorHAnsi"/>
          <w:bCs/>
          <w:snapToGrid w:val="0"/>
        </w:rPr>
        <w:t xml:space="preserve">% above agreed expenditure caps. The PBAC considered that the financial caps for the RSA should be based on the revised estimates as per paragraph </w:t>
      </w:r>
      <w:r w:rsidRPr="00E963DB">
        <w:rPr>
          <w:rFonts w:asciiTheme="minorHAnsi" w:hAnsiTheme="minorHAnsi"/>
          <w:bCs/>
          <w:snapToGrid w:val="0"/>
        </w:rPr>
        <w:fldChar w:fldCharType="begin"/>
      </w:r>
      <w:r w:rsidRPr="00E963DB">
        <w:rPr>
          <w:rFonts w:asciiTheme="minorHAnsi" w:hAnsiTheme="minorHAnsi"/>
          <w:bCs/>
          <w:snapToGrid w:val="0"/>
        </w:rPr>
        <w:instrText xml:space="preserve"> REF _Ref216871561 \r \h </w:instrText>
      </w:r>
      <w:r w:rsidRPr="00E963DB">
        <w:rPr>
          <w:rFonts w:asciiTheme="minorHAnsi" w:hAnsiTheme="minorHAnsi"/>
          <w:bCs/>
          <w:snapToGrid w:val="0"/>
        </w:rPr>
      </w:r>
      <w:r w:rsidRPr="00E963DB">
        <w:rPr>
          <w:rFonts w:asciiTheme="minorHAnsi" w:hAnsiTheme="minorHAnsi"/>
          <w:bCs/>
          <w:snapToGrid w:val="0"/>
        </w:rPr>
        <w:fldChar w:fldCharType="separate"/>
      </w:r>
      <w:r w:rsidR="00B73A9E">
        <w:rPr>
          <w:rFonts w:asciiTheme="minorHAnsi" w:hAnsiTheme="minorHAnsi"/>
          <w:bCs/>
          <w:snapToGrid w:val="0"/>
        </w:rPr>
        <w:t>14.6</w:t>
      </w:r>
      <w:r w:rsidRPr="00E963DB">
        <w:rPr>
          <w:rFonts w:asciiTheme="minorHAnsi" w:hAnsiTheme="minorHAnsi"/>
          <w:bCs/>
          <w:snapToGrid w:val="0"/>
        </w:rPr>
        <w:fldChar w:fldCharType="end"/>
      </w:r>
      <w:r w:rsidRPr="00E963DB">
        <w:rPr>
          <w:rFonts w:asciiTheme="minorHAnsi" w:hAnsiTheme="minorHAnsi"/>
          <w:bCs/>
          <w:snapToGrid w:val="0"/>
        </w:rPr>
        <w:t xml:space="preserve">, and  </w:t>
      </w:r>
      <w:r w:rsidRPr="00E963DB">
        <w:rPr>
          <w:rFonts w:asciiTheme="minorHAnsi" w:hAnsiTheme="minorHAnsi"/>
          <w:snapToGrid w:val="0"/>
          <w:lang w:val="en-GB"/>
        </w:rPr>
        <w:t>that a higher rebate for use exceeding the caps would be required to manage the total financial expenditure and to mitigate the uncertainty associated with higher than predicted average doses (as dosing of velmanase alfa is weight based).</w:t>
      </w:r>
      <w:bookmarkEnd w:id="150"/>
      <w:r w:rsidRPr="00E963DB">
        <w:rPr>
          <w:rFonts w:asciiTheme="minorHAnsi" w:hAnsiTheme="minorHAnsi"/>
          <w:snapToGrid w:val="0"/>
          <w:lang w:val="en-GB"/>
        </w:rPr>
        <w:t xml:space="preserve"> </w:t>
      </w:r>
    </w:p>
    <w:p w14:paraId="2DCC703E" w14:textId="61AE5ED9" w:rsidR="00E963DB" w:rsidRPr="00E963DB" w:rsidRDefault="00E963DB" w:rsidP="00CD7617">
      <w:pPr>
        <w:widowControl w:val="0"/>
        <w:numPr>
          <w:ilvl w:val="1"/>
          <w:numId w:val="1"/>
        </w:numPr>
        <w:spacing w:after="120"/>
        <w:rPr>
          <w:rFonts w:asciiTheme="minorHAnsi" w:hAnsiTheme="minorHAnsi"/>
          <w:snapToGrid w:val="0"/>
          <w:lang w:val="en-GB"/>
        </w:rPr>
      </w:pPr>
      <w:r w:rsidRPr="00E963DB">
        <w:rPr>
          <w:rFonts w:asciiTheme="minorHAnsi" w:hAnsiTheme="minorHAnsi"/>
          <w:snapToGrid w:val="0"/>
          <w:lang w:val="en-GB"/>
        </w:rPr>
        <w:t xml:space="preserve">The PBAC considered that where an acceptable price reduction was not possible to achieve the required cost per patient per year, a combination of a price reduction and a RSA (as per paragraph </w:t>
      </w:r>
      <w:r w:rsidRPr="00E963DB">
        <w:rPr>
          <w:rFonts w:asciiTheme="minorHAnsi" w:hAnsiTheme="minorHAnsi"/>
          <w:snapToGrid w:val="0"/>
          <w:lang w:val="en-GB"/>
        </w:rPr>
        <w:fldChar w:fldCharType="begin"/>
      </w:r>
      <w:r w:rsidRPr="00E963DB">
        <w:rPr>
          <w:rFonts w:asciiTheme="minorHAnsi" w:hAnsiTheme="minorHAnsi"/>
          <w:snapToGrid w:val="0"/>
          <w:lang w:val="en-GB"/>
        </w:rPr>
        <w:instrText xml:space="preserve"> REF _Ref216871461 \r \h </w:instrText>
      </w:r>
      <w:r w:rsidRPr="00E963DB">
        <w:rPr>
          <w:rFonts w:asciiTheme="minorHAnsi" w:hAnsiTheme="minorHAnsi"/>
          <w:snapToGrid w:val="0"/>
          <w:lang w:val="en-GB"/>
        </w:rPr>
      </w:r>
      <w:r w:rsidRPr="00E963DB">
        <w:rPr>
          <w:rFonts w:asciiTheme="minorHAnsi" w:hAnsiTheme="minorHAnsi"/>
          <w:snapToGrid w:val="0"/>
          <w:lang w:val="en-GB"/>
        </w:rPr>
        <w:fldChar w:fldCharType="separate"/>
      </w:r>
      <w:r w:rsidR="00B73A9E">
        <w:rPr>
          <w:rFonts w:asciiTheme="minorHAnsi" w:hAnsiTheme="minorHAnsi"/>
          <w:snapToGrid w:val="0"/>
          <w:lang w:val="en-GB"/>
        </w:rPr>
        <w:t>14.7</w:t>
      </w:r>
      <w:r w:rsidRPr="00E963DB">
        <w:rPr>
          <w:rFonts w:asciiTheme="minorHAnsi" w:hAnsiTheme="minorHAnsi"/>
          <w:snapToGrid w:val="0"/>
          <w:lang w:val="en-GB"/>
        </w:rPr>
        <w:fldChar w:fldCharType="end"/>
      </w:r>
      <w:r w:rsidRPr="00E963DB">
        <w:rPr>
          <w:rFonts w:asciiTheme="minorHAnsi" w:hAnsiTheme="minorHAnsi"/>
          <w:snapToGrid w:val="0"/>
          <w:lang w:val="en-GB"/>
        </w:rPr>
        <w:t xml:space="preserve">) may be utilised. The PBAC advised that while an RSA was not a preferred approach for achieving cost-effectiveness, it may be a mechanism to cap the cost per patient in the context of this rare condition and the high clinical need. </w:t>
      </w:r>
    </w:p>
    <w:p w14:paraId="16FAD291" w14:textId="77777777" w:rsidR="00E963DB" w:rsidRPr="00E963DB" w:rsidRDefault="00E963DB" w:rsidP="00CD7617">
      <w:pPr>
        <w:widowControl w:val="0"/>
        <w:numPr>
          <w:ilvl w:val="1"/>
          <w:numId w:val="1"/>
        </w:numPr>
        <w:spacing w:after="120"/>
        <w:rPr>
          <w:rFonts w:asciiTheme="minorHAnsi" w:hAnsiTheme="minorHAnsi"/>
          <w:snapToGrid w:val="0"/>
          <w:lang w:val="en-GB"/>
        </w:rPr>
      </w:pPr>
      <w:r w:rsidRPr="00E963DB">
        <w:rPr>
          <w:rFonts w:asciiTheme="minorHAnsi" w:hAnsiTheme="minorHAnsi"/>
          <w:snapToGrid w:val="0"/>
          <w:lang w:val="en-GB"/>
        </w:rPr>
        <w:t xml:space="preserve">The PBAC noted that the deferral response stated that from Year 2, after clinicians have become sufficiently familiar with its administration, velmanase alfa was expected to be administered in the home. The PBAC also noted that the Sponsor advised that it would fully fund the in-home administration of velmanase alfa to support patients and their caregivers. </w:t>
      </w:r>
    </w:p>
    <w:p w14:paraId="2F6CC890" w14:textId="77777777" w:rsidR="00E963DB" w:rsidRPr="00E963DB" w:rsidRDefault="00E963DB" w:rsidP="00CD7617">
      <w:pPr>
        <w:widowControl w:val="0"/>
        <w:numPr>
          <w:ilvl w:val="1"/>
          <w:numId w:val="1"/>
        </w:numPr>
        <w:spacing w:before="120" w:after="120"/>
        <w:rPr>
          <w:rFonts w:asciiTheme="minorHAnsi" w:hAnsiTheme="minorHAnsi"/>
          <w:bCs/>
          <w:snapToGrid w:val="0"/>
        </w:rPr>
      </w:pPr>
      <w:r w:rsidRPr="00E963DB">
        <w:rPr>
          <w:rFonts w:asciiTheme="minorHAnsi" w:hAnsiTheme="minorHAnsi"/>
          <w:bCs/>
          <w:snapToGrid w:val="0"/>
        </w:rPr>
        <w:t>The PBAC advised that velmanase alfa</w:t>
      </w:r>
      <w:r w:rsidRPr="00E963DB">
        <w:t xml:space="preserve"> is not </w:t>
      </w:r>
      <w:r w:rsidRPr="00E963DB">
        <w:rPr>
          <w:rFonts w:asciiTheme="minorHAnsi" w:hAnsiTheme="minorHAnsi"/>
          <w:bCs/>
          <w:snapToGrid w:val="0"/>
        </w:rPr>
        <w:t>suitable for prescribing by nurse practitioners.</w:t>
      </w:r>
    </w:p>
    <w:p w14:paraId="7B570584" w14:textId="77777777" w:rsidR="00E963DB" w:rsidRPr="00E963DB" w:rsidRDefault="00E963DB" w:rsidP="00CD7617">
      <w:pPr>
        <w:widowControl w:val="0"/>
        <w:numPr>
          <w:ilvl w:val="1"/>
          <w:numId w:val="1"/>
        </w:numPr>
        <w:spacing w:before="120" w:after="120"/>
        <w:rPr>
          <w:rFonts w:asciiTheme="minorHAnsi" w:hAnsiTheme="minorHAnsi"/>
          <w:bCs/>
          <w:snapToGrid w:val="0"/>
        </w:rPr>
      </w:pPr>
      <w:r w:rsidRPr="00E963DB">
        <w:rPr>
          <w:rFonts w:cs="Calibri"/>
          <w:lang w:eastAsia="en-GB"/>
        </w:rPr>
        <w:t xml:space="preserve">The PBAC advised that the Early Supply rule should not apply for prescriptions written in the hospital setting. </w:t>
      </w:r>
    </w:p>
    <w:p w14:paraId="547B848D" w14:textId="77777777" w:rsidR="00E963DB" w:rsidRPr="00E963DB" w:rsidRDefault="00E963DB" w:rsidP="00CD7617">
      <w:pPr>
        <w:widowControl w:val="0"/>
        <w:numPr>
          <w:ilvl w:val="1"/>
          <w:numId w:val="1"/>
        </w:numPr>
        <w:spacing w:after="120"/>
        <w:rPr>
          <w:rFonts w:asciiTheme="minorHAnsi" w:hAnsiTheme="minorHAnsi"/>
          <w:snapToGrid w:val="0"/>
          <w:lang w:val="en-GB"/>
        </w:rPr>
      </w:pPr>
      <w:r w:rsidRPr="00E963DB">
        <w:rPr>
          <w:rFonts w:asciiTheme="minorHAnsi" w:hAnsiTheme="minorHAnsi" w:cstheme="minorHAnsi"/>
          <w:lang w:val="en-GB"/>
        </w:rPr>
        <w:t xml:space="preserve">The PBAC found that the criteria prescribed by the </w:t>
      </w:r>
      <w:r w:rsidRPr="00E963DB">
        <w:rPr>
          <w:rFonts w:asciiTheme="minorHAnsi" w:hAnsiTheme="minorHAnsi" w:cstheme="minorHAnsi"/>
          <w:i/>
          <w:lang w:val="en-GB"/>
        </w:rPr>
        <w:t>National Health (Pharmaceuticals and Vaccines – Cost Recovery) Regulations 2022</w:t>
      </w:r>
      <w:r w:rsidRPr="00E963DB">
        <w:rPr>
          <w:rFonts w:asciiTheme="minorHAnsi" w:hAnsiTheme="minorHAnsi" w:cstheme="minorHAnsi"/>
          <w:lang w:val="en-GB"/>
        </w:rPr>
        <w:t xml:space="preserve"> for Pricing Pathway A were met. Specifically, the PBAC found that in the circumstances of its recommendation for velmanase alfa:</w:t>
      </w:r>
    </w:p>
    <w:p w14:paraId="2198E8C5" w14:textId="77777777" w:rsidR="00E963DB" w:rsidRPr="00E963DB" w:rsidRDefault="00E963DB" w:rsidP="00CD7617">
      <w:pPr>
        <w:widowControl w:val="0"/>
        <w:numPr>
          <w:ilvl w:val="1"/>
          <w:numId w:val="14"/>
        </w:numPr>
        <w:spacing w:after="120"/>
        <w:ind w:left="1077" w:hanging="357"/>
        <w:rPr>
          <w:rFonts w:asciiTheme="minorHAnsi" w:hAnsiTheme="minorHAnsi" w:cstheme="minorHAnsi"/>
          <w:lang w:val="en-GB"/>
        </w:rPr>
      </w:pPr>
      <w:r w:rsidRPr="00E963DB">
        <w:rPr>
          <w:rFonts w:asciiTheme="minorHAnsi" w:hAnsiTheme="minorHAnsi" w:cstheme="minorHAnsi"/>
          <w:lang w:val="en-GB"/>
        </w:rPr>
        <w:t xml:space="preserve">The treatment is expected to provide a substantial improvement in efficacy, over best supportive care, based on the totality of the evidence provided; </w:t>
      </w:r>
    </w:p>
    <w:p w14:paraId="0226955A" w14:textId="77777777" w:rsidR="00E963DB" w:rsidRPr="00E963DB" w:rsidRDefault="00E963DB" w:rsidP="00CD7617">
      <w:pPr>
        <w:widowControl w:val="0"/>
        <w:numPr>
          <w:ilvl w:val="1"/>
          <w:numId w:val="14"/>
        </w:numPr>
        <w:spacing w:after="120"/>
        <w:ind w:left="1077" w:hanging="357"/>
        <w:rPr>
          <w:rFonts w:asciiTheme="minorHAnsi" w:hAnsiTheme="minorHAnsi"/>
          <w:bCs/>
          <w:snapToGrid w:val="0"/>
          <w:lang w:val="en-GB"/>
        </w:rPr>
      </w:pPr>
      <w:r w:rsidRPr="00E963DB">
        <w:rPr>
          <w:rFonts w:asciiTheme="minorHAnsi" w:hAnsiTheme="minorHAnsi" w:cstheme="minorHAnsi"/>
          <w:lang w:val="en-GB"/>
        </w:rPr>
        <w:t xml:space="preserve">The treatment is expected to address a high and urgent unmet clinical need as there are currently no effective treatments for this patient population; </w:t>
      </w:r>
    </w:p>
    <w:p w14:paraId="1D3C51A0" w14:textId="77777777" w:rsidR="00E963DB" w:rsidRPr="00E963DB" w:rsidRDefault="00E963DB" w:rsidP="00CD7617">
      <w:pPr>
        <w:widowControl w:val="0"/>
        <w:numPr>
          <w:ilvl w:val="1"/>
          <w:numId w:val="14"/>
        </w:numPr>
        <w:spacing w:after="120"/>
        <w:ind w:left="1077" w:hanging="357"/>
        <w:rPr>
          <w:rFonts w:asciiTheme="minorHAnsi" w:hAnsiTheme="minorHAnsi"/>
          <w:bCs/>
          <w:snapToGrid w:val="0"/>
          <w:lang w:val="en-GB"/>
        </w:rPr>
      </w:pPr>
      <w:r w:rsidRPr="00E963DB">
        <w:rPr>
          <w:rFonts w:asciiTheme="minorHAnsi" w:hAnsiTheme="minorHAnsi" w:cstheme="minorHAnsi"/>
          <w:lang w:val="en-GB"/>
        </w:rPr>
        <w:t xml:space="preserve">It would be in the public interest for the subsequent pricing application to be progressed under Pricing Pathway A on the basis of the preceding findings.  </w:t>
      </w:r>
    </w:p>
    <w:p w14:paraId="2E1415E2" w14:textId="77777777" w:rsidR="00E963DB" w:rsidRPr="00E963DB" w:rsidRDefault="00E963DB" w:rsidP="00CD7617">
      <w:pPr>
        <w:numPr>
          <w:ilvl w:val="1"/>
          <w:numId w:val="2"/>
        </w:numPr>
        <w:spacing w:before="120" w:after="120"/>
        <w:rPr>
          <w:rFonts w:asciiTheme="minorHAnsi" w:hAnsiTheme="minorHAnsi"/>
          <w:snapToGrid w:val="0"/>
        </w:rPr>
      </w:pPr>
      <w:r w:rsidRPr="00E963DB">
        <w:rPr>
          <w:rFonts w:asciiTheme="minorHAnsi" w:hAnsiTheme="minorHAnsi"/>
          <w:snapToGrid w:val="0"/>
        </w:rPr>
        <w:t xml:space="preserve">The PBAC recommended that velmanase alfa should not be treated as interchangeable with any other drugs. </w:t>
      </w:r>
    </w:p>
    <w:p w14:paraId="539856C4" w14:textId="77777777" w:rsidR="00E963DB" w:rsidRPr="00E963DB" w:rsidRDefault="00E963DB" w:rsidP="00CD7617">
      <w:pPr>
        <w:widowControl w:val="0"/>
        <w:numPr>
          <w:ilvl w:val="1"/>
          <w:numId w:val="1"/>
        </w:numPr>
        <w:spacing w:before="120" w:after="120"/>
        <w:rPr>
          <w:rFonts w:asciiTheme="minorHAnsi" w:hAnsiTheme="minorHAnsi"/>
          <w:bCs/>
          <w:i/>
          <w:snapToGrid w:val="0"/>
        </w:rPr>
      </w:pPr>
      <w:r w:rsidRPr="00E963DB">
        <w:rPr>
          <w:rFonts w:asciiTheme="minorHAnsi" w:hAnsiTheme="minorHAnsi"/>
          <w:bCs/>
          <w:snapToGrid w:val="0"/>
        </w:rPr>
        <w:t>The PBAC noted that this submission is not eligible for an Independent Review as it received a positive PBAC recommendation.</w:t>
      </w:r>
    </w:p>
    <w:p w14:paraId="04F15045" w14:textId="77777777" w:rsidR="00E963DB" w:rsidRPr="00E963DB" w:rsidRDefault="00E963DB" w:rsidP="00E963DB">
      <w:pPr>
        <w:widowControl w:val="0"/>
        <w:rPr>
          <w:rFonts w:asciiTheme="minorHAnsi" w:hAnsiTheme="minorHAnsi"/>
          <w:b/>
          <w:snapToGrid w:val="0"/>
        </w:rPr>
      </w:pPr>
      <w:r w:rsidRPr="00E963DB">
        <w:rPr>
          <w:rFonts w:asciiTheme="minorHAnsi" w:hAnsiTheme="minorHAnsi"/>
          <w:b/>
          <w:snapToGrid w:val="0"/>
        </w:rPr>
        <w:t>Outcome:</w:t>
      </w:r>
    </w:p>
    <w:p w14:paraId="38A12A6D" w14:textId="77777777" w:rsidR="00E963DB" w:rsidRPr="00E963DB" w:rsidRDefault="00E963DB" w:rsidP="00E963DB">
      <w:pPr>
        <w:widowControl w:val="0"/>
        <w:spacing w:after="120"/>
        <w:rPr>
          <w:rFonts w:asciiTheme="minorHAnsi" w:hAnsiTheme="minorHAnsi"/>
          <w:bCs/>
          <w:snapToGrid w:val="0"/>
        </w:rPr>
      </w:pPr>
      <w:r w:rsidRPr="00E963DB">
        <w:rPr>
          <w:rFonts w:asciiTheme="minorHAnsi" w:hAnsiTheme="minorHAnsi"/>
          <w:bCs/>
          <w:snapToGrid w:val="0"/>
        </w:rPr>
        <w:t>Recommended</w:t>
      </w:r>
    </w:p>
    <w:p w14:paraId="19E57CC1" w14:textId="77777777" w:rsidR="00E963DB" w:rsidRPr="00E963DB" w:rsidRDefault="00E963DB" w:rsidP="00CD7617">
      <w:pPr>
        <w:keepNext/>
        <w:numPr>
          <w:ilvl w:val="0"/>
          <w:numId w:val="1"/>
        </w:numPr>
        <w:spacing w:before="240" w:after="120"/>
        <w:jc w:val="left"/>
        <w:outlineLvl w:val="0"/>
        <w:rPr>
          <w:rFonts w:asciiTheme="minorHAnsi" w:hAnsiTheme="minorHAnsi"/>
          <w:b/>
          <w:snapToGrid w:val="0"/>
          <w:sz w:val="32"/>
          <w:szCs w:val="32"/>
        </w:rPr>
      </w:pPr>
      <w:r w:rsidRPr="00E963DB">
        <w:rPr>
          <w:rFonts w:asciiTheme="minorHAnsi" w:hAnsiTheme="minorHAnsi"/>
          <w:b/>
          <w:snapToGrid w:val="0"/>
          <w:sz w:val="32"/>
          <w:szCs w:val="32"/>
        </w:rPr>
        <w:t>Recommended listing</w:t>
      </w:r>
    </w:p>
    <w:p w14:paraId="13EFB3D6" w14:textId="77777777" w:rsidR="00E963DB" w:rsidRPr="00E963DB" w:rsidRDefault="00E963DB" w:rsidP="00EC1229">
      <w:pPr>
        <w:pStyle w:val="3-BodyText"/>
      </w:pPr>
      <w:r w:rsidRPr="00E963DB">
        <w:t>Add new medicinal product:</w:t>
      </w:r>
    </w:p>
    <w:tbl>
      <w:tblPr>
        <w:tblW w:w="51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1417"/>
        <w:gridCol w:w="2046"/>
        <w:gridCol w:w="1262"/>
        <w:gridCol w:w="1121"/>
        <w:gridCol w:w="980"/>
        <w:gridCol w:w="1537"/>
      </w:tblGrid>
      <w:tr w:rsidR="00E963DB" w:rsidRPr="00E963DB" w14:paraId="615D170E" w14:textId="77777777" w:rsidTr="0088523E">
        <w:trPr>
          <w:cantSplit/>
          <w:trHeight w:val="471"/>
        </w:trPr>
        <w:tc>
          <w:tcPr>
            <w:tcW w:w="1231" w:type="pct"/>
            <w:gridSpan w:val="2"/>
          </w:tcPr>
          <w:p w14:paraId="6DD2C34D" w14:textId="77777777" w:rsidR="00E963DB" w:rsidRPr="00E963DB" w:rsidRDefault="00E963DB" w:rsidP="00E963DB">
            <w:pPr>
              <w:keepNext/>
              <w:ind w:left="-57"/>
              <w:rPr>
                <w:rFonts w:ascii="Arial Narrow" w:hAnsi="Arial Narrow"/>
                <w:b/>
                <w:color w:val="000000" w:themeColor="text1"/>
                <w:sz w:val="20"/>
                <w:szCs w:val="20"/>
              </w:rPr>
            </w:pPr>
            <w:r w:rsidRPr="00E963DB">
              <w:rPr>
                <w:rFonts w:ascii="Arial Narrow" w:hAnsi="Arial Narrow"/>
                <w:b/>
                <w:color w:val="000000" w:themeColor="text1"/>
                <w:sz w:val="20"/>
                <w:szCs w:val="20"/>
              </w:rPr>
              <w:t>MEDICINAL PRODUCT</w:t>
            </w:r>
          </w:p>
          <w:p w14:paraId="499B4168" w14:textId="77777777" w:rsidR="00E963DB" w:rsidRPr="00E963DB" w:rsidRDefault="00E963DB" w:rsidP="00E963DB">
            <w:pPr>
              <w:keepNext/>
              <w:ind w:left="-57"/>
              <w:rPr>
                <w:rFonts w:ascii="Arial Narrow" w:hAnsi="Arial Narrow"/>
                <w:b/>
                <w:color w:val="000000" w:themeColor="text1"/>
                <w:sz w:val="20"/>
                <w:szCs w:val="20"/>
              </w:rPr>
            </w:pPr>
            <w:r w:rsidRPr="00E963DB">
              <w:rPr>
                <w:rFonts w:ascii="Arial Narrow" w:hAnsi="Arial Narrow"/>
                <w:b/>
                <w:color w:val="000000" w:themeColor="text1"/>
                <w:sz w:val="20"/>
                <w:szCs w:val="20"/>
              </w:rPr>
              <w:t>medicinal product pack</w:t>
            </w:r>
          </w:p>
        </w:tc>
        <w:tc>
          <w:tcPr>
            <w:tcW w:w="1110" w:type="pct"/>
          </w:tcPr>
          <w:p w14:paraId="642903ED" w14:textId="77777777" w:rsidR="00E963DB" w:rsidRPr="00E963DB" w:rsidRDefault="00E963DB" w:rsidP="00E963DB">
            <w:pPr>
              <w:keepNext/>
              <w:ind w:left="-57"/>
              <w:jc w:val="center"/>
              <w:rPr>
                <w:rFonts w:ascii="Arial Narrow" w:hAnsi="Arial Narrow"/>
                <w:b/>
                <w:color w:val="000000" w:themeColor="text1"/>
                <w:sz w:val="20"/>
                <w:szCs w:val="20"/>
              </w:rPr>
            </w:pPr>
            <w:r w:rsidRPr="00E963DB">
              <w:rPr>
                <w:rFonts w:ascii="Arial Narrow" w:hAnsi="Arial Narrow"/>
                <w:b/>
                <w:color w:val="000000" w:themeColor="text1"/>
                <w:sz w:val="20"/>
                <w:szCs w:val="20"/>
              </w:rPr>
              <w:t>PBS item code</w:t>
            </w:r>
          </w:p>
        </w:tc>
        <w:tc>
          <w:tcPr>
            <w:tcW w:w="685" w:type="pct"/>
          </w:tcPr>
          <w:p w14:paraId="14889070" w14:textId="77777777" w:rsidR="00E963DB" w:rsidRPr="00E963DB" w:rsidRDefault="00E963DB" w:rsidP="00E963DB">
            <w:pPr>
              <w:keepNext/>
              <w:ind w:left="-57"/>
              <w:jc w:val="center"/>
              <w:rPr>
                <w:rFonts w:ascii="Arial Narrow" w:hAnsi="Arial Narrow"/>
                <w:b/>
                <w:color w:val="000000" w:themeColor="text1"/>
                <w:sz w:val="20"/>
                <w:szCs w:val="20"/>
              </w:rPr>
            </w:pPr>
            <w:r w:rsidRPr="00E963DB">
              <w:rPr>
                <w:rFonts w:ascii="Arial Narrow" w:hAnsi="Arial Narrow"/>
                <w:b/>
                <w:color w:val="000000" w:themeColor="text1"/>
                <w:sz w:val="20"/>
                <w:szCs w:val="20"/>
              </w:rPr>
              <w:t>Max. qty packs</w:t>
            </w:r>
          </w:p>
        </w:tc>
        <w:tc>
          <w:tcPr>
            <w:tcW w:w="608" w:type="pct"/>
          </w:tcPr>
          <w:p w14:paraId="5619DD65" w14:textId="77777777" w:rsidR="00E963DB" w:rsidRPr="00E963DB" w:rsidRDefault="00E963DB" w:rsidP="00E963DB">
            <w:pPr>
              <w:keepNext/>
              <w:ind w:left="-57"/>
              <w:jc w:val="center"/>
              <w:rPr>
                <w:rFonts w:ascii="Arial Narrow" w:hAnsi="Arial Narrow"/>
                <w:b/>
                <w:color w:val="000000" w:themeColor="text1"/>
                <w:sz w:val="20"/>
                <w:szCs w:val="20"/>
              </w:rPr>
            </w:pPr>
            <w:r w:rsidRPr="00E963DB">
              <w:rPr>
                <w:rFonts w:ascii="Arial Narrow" w:hAnsi="Arial Narrow"/>
                <w:b/>
                <w:color w:val="000000" w:themeColor="text1"/>
                <w:sz w:val="20"/>
                <w:szCs w:val="20"/>
              </w:rPr>
              <w:t>Max. qty units</w:t>
            </w:r>
          </w:p>
        </w:tc>
        <w:tc>
          <w:tcPr>
            <w:tcW w:w="532" w:type="pct"/>
          </w:tcPr>
          <w:p w14:paraId="394F5B2F" w14:textId="77777777" w:rsidR="00E963DB" w:rsidRPr="00E963DB" w:rsidRDefault="00E963DB" w:rsidP="00E963DB">
            <w:pPr>
              <w:keepNext/>
              <w:ind w:left="-57"/>
              <w:jc w:val="center"/>
              <w:rPr>
                <w:rFonts w:ascii="Arial Narrow" w:hAnsi="Arial Narrow"/>
                <w:b/>
                <w:color w:val="000000" w:themeColor="text1"/>
                <w:sz w:val="20"/>
                <w:szCs w:val="20"/>
              </w:rPr>
            </w:pPr>
            <w:r w:rsidRPr="00E963DB">
              <w:rPr>
                <w:rFonts w:ascii="Arial Narrow" w:hAnsi="Arial Narrow"/>
                <w:b/>
                <w:color w:val="000000" w:themeColor="text1"/>
                <w:sz w:val="20"/>
                <w:szCs w:val="20"/>
              </w:rPr>
              <w:t>№. of Rpts</w:t>
            </w:r>
          </w:p>
        </w:tc>
        <w:tc>
          <w:tcPr>
            <w:tcW w:w="834" w:type="pct"/>
          </w:tcPr>
          <w:p w14:paraId="3469FEB4" w14:textId="77777777" w:rsidR="00E963DB" w:rsidRPr="00E963DB" w:rsidRDefault="00E963DB" w:rsidP="00E963DB">
            <w:pPr>
              <w:keepNext/>
              <w:ind w:left="-57"/>
              <w:jc w:val="center"/>
              <w:rPr>
                <w:rFonts w:ascii="Arial Narrow" w:hAnsi="Arial Narrow"/>
                <w:b/>
                <w:color w:val="000000" w:themeColor="text1"/>
                <w:sz w:val="20"/>
                <w:szCs w:val="20"/>
                <w:lang w:val="fr-FR"/>
              </w:rPr>
            </w:pPr>
            <w:r w:rsidRPr="00E963DB">
              <w:rPr>
                <w:rFonts w:ascii="Arial Narrow" w:hAnsi="Arial Narrow"/>
                <w:b/>
                <w:color w:val="000000" w:themeColor="text1"/>
                <w:sz w:val="20"/>
                <w:szCs w:val="20"/>
              </w:rPr>
              <w:t>Available brands and manufacturer</w:t>
            </w:r>
          </w:p>
        </w:tc>
      </w:tr>
      <w:tr w:rsidR="00E963DB" w:rsidRPr="00E963DB" w14:paraId="7F98EC5E" w14:textId="77777777" w:rsidTr="0088523E">
        <w:trPr>
          <w:cantSplit/>
          <w:trHeight w:val="56"/>
        </w:trPr>
        <w:tc>
          <w:tcPr>
            <w:tcW w:w="5000" w:type="pct"/>
            <w:gridSpan w:val="7"/>
          </w:tcPr>
          <w:p w14:paraId="4B4A61DB" w14:textId="77777777" w:rsidR="00E963DB" w:rsidRPr="00E963DB" w:rsidRDefault="00E963DB" w:rsidP="00E963DB">
            <w:pPr>
              <w:keepNext/>
              <w:ind w:left="-57"/>
              <w:rPr>
                <w:rFonts w:ascii="Arial Narrow" w:hAnsi="Arial Narrow"/>
                <w:bCs/>
                <w:color w:val="000000" w:themeColor="text1"/>
                <w:sz w:val="20"/>
                <w:szCs w:val="20"/>
              </w:rPr>
            </w:pPr>
            <w:r w:rsidRPr="00E963DB">
              <w:rPr>
                <w:rFonts w:ascii="Arial Narrow" w:hAnsi="Arial Narrow"/>
                <w:bCs/>
                <w:color w:val="000000" w:themeColor="text1"/>
                <w:sz w:val="20"/>
                <w:szCs w:val="20"/>
              </w:rPr>
              <w:t>VELMANASE ALFA</w:t>
            </w:r>
          </w:p>
        </w:tc>
      </w:tr>
      <w:tr w:rsidR="00E963DB" w:rsidRPr="00E963DB" w14:paraId="7381C1CB" w14:textId="77777777" w:rsidTr="0088523E">
        <w:trPr>
          <w:cantSplit/>
          <w:trHeight w:val="419"/>
        </w:trPr>
        <w:tc>
          <w:tcPr>
            <w:tcW w:w="1231" w:type="pct"/>
            <w:gridSpan w:val="2"/>
          </w:tcPr>
          <w:p w14:paraId="28B0BBE0" w14:textId="77777777" w:rsidR="00E963DB" w:rsidRPr="00E963DB" w:rsidRDefault="00E963DB" w:rsidP="00E963DB">
            <w:pPr>
              <w:keepNext/>
              <w:ind w:left="-57"/>
              <w:jc w:val="left"/>
              <w:rPr>
                <w:rFonts w:ascii="Arial Narrow" w:hAnsi="Arial Narrow"/>
                <w:bCs/>
                <w:sz w:val="20"/>
                <w:szCs w:val="20"/>
              </w:rPr>
            </w:pPr>
            <w:r w:rsidRPr="00E963DB">
              <w:rPr>
                <w:rFonts w:ascii="Arial Narrow" w:hAnsi="Arial Narrow"/>
                <w:bCs/>
                <w:sz w:val="20"/>
                <w:szCs w:val="20"/>
              </w:rPr>
              <w:t>velmanase alfa 10 mg injection, 1 vial</w:t>
            </w:r>
          </w:p>
          <w:p w14:paraId="1F243F3E" w14:textId="77777777" w:rsidR="00E963DB" w:rsidRPr="00E963DB" w:rsidRDefault="00E963DB" w:rsidP="00E963DB">
            <w:pPr>
              <w:keepNext/>
              <w:ind w:left="-57"/>
              <w:rPr>
                <w:rFonts w:ascii="Arial Narrow" w:hAnsi="Arial Narrow"/>
                <w:bCs/>
                <w:sz w:val="20"/>
                <w:szCs w:val="20"/>
              </w:rPr>
            </w:pPr>
          </w:p>
        </w:tc>
        <w:tc>
          <w:tcPr>
            <w:tcW w:w="1110" w:type="pct"/>
          </w:tcPr>
          <w:p w14:paraId="4C9AF036" w14:textId="77777777"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 xml:space="preserve">New </w:t>
            </w:r>
            <w:r w:rsidRPr="00E963DB">
              <w:rPr>
                <w:rFonts w:ascii="Arial Narrow" w:hAnsi="Arial Narrow"/>
                <w:bCs/>
                <w:sz w:val="20"/>
                <w:szCs w:val="20"/>
              </w:rPr>
              <w:br/>
              <w:t>(HSD Public)</w:t>
            </w:r>
          </w:p>
          <w:p w14:paraId="6EFE146B" w14:textId="77777777"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 xml:space="preserve">New </w:t>
            </w:r>
            <w:r w:rsidRPr="00E963DB">
              <w:rPr>
                <w:rFonts w:ascii="Arial Narrow" w:hAnsi="Arial Narrow"/>
                <w:bCs/>
                <w:sz w:val="20"/>
                <w:szCs w:val="20"/>
              </w:rPr>
              <w:br/>
              <w:t>(HSD Private)</w:t>
            </w:r>
          </w:p>
        </w:tc>
        <w:tc>
          <w:tcPr>
            <w:tcW w:w="685" w:type="pct"/>
          </w:tcPr>
          <w:p w14:paraId="24622DAE" w14:textId="77777777" w:rsidR="00E963DB" w:rsidRPr="00E963DB" w:rsidRDefault="00E963DB" w:rsidP="00E963DB">
            <w:pPr>
              <w:keepNext/>
              <w:ind w:left="-57"/>
              <w:jc w:val="center"/>
              <w:rPr>
                <w:rFonts w:ascii="Arial Narrow" w:hAnsi="Arial Narrow"/>
                <w:bCs/>
                <w:sz w:val="20"/>
                <w:szCs w:val="20"/>
              </w:rPr>
            </w:pPr>
            <w:r w:rsidRPr="00E963DB">
              <w:rPr>
                <w:rFonts w:ascii="Arial Narrow" w:hAnsi="Arial Narrow"/>
                <w:bCs/>
                <w:sz w:val="20"/>
                <w:szCs w:val="20"/>
              </w:rPr>
              <w:t>1</w:t>
            </w:r>
          </w:p>
        </w:tc>
        <w:tc>
          <w:tcPr>
            <w:tcW w:w="608" w:type="pct"/>
          </w:tcPr>
          <w:p w14:paraId="657F39C2" w14:textId="77777777"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1</w:t>
            </w:r>
          </w:p>
        </w:tc>
        <w:tc>
          <w:tcPr>
            <w:tcW w:w="532" w:type="pct"/>
          </w:tcPr>
          <w:p w14:paraId="5CD7C79A" w14:textId="77777777" w:rsidR="00E963DB" w:rsidRPr="00E963DB" w:rsidRDefault="00E963DB" w:rsidP="00E963DB">
            <w:pPr>
              <w:keepNext/>
              <w:jc w:val="center"/>
              <w:rPr>
                <w:rFonts w:ascii="Arial Narrow" w:hAnsi="Arial Narrow"/>
                <w:bCs/>
                <w:sz w:val="20"/>
                <w:szCs w:val="20"/>
              </w:rPr>
            </w:pPr>
            <w:r w:rsidRPr="00E963DB">
              <w:rPr>
                <w:rFonts w:ascii="Arial Narrow" w:hAnsi="Arial Narrow"/>
                <w:bCs/>
                <w:sz w:val="20"/>
                <w:szCs w:val="20"/>
              </w:rPr>
              <w:t>5</w:t>
            </w:r>
          </w:p>
        </w:tc>
        <w:tc>
          <w:tcPr>
            <w:tcW w:w="834" w:type="pct"/>
          </w:tcPr>
          <w:p w14:paraId="5D115003" w14:textId="77777777" w:rsidR="00E963DB" w:rsidRPr="00E963DB" w:rsidRDefault="00E963DB" w:rsidP="00E963DB">
            <w:pPr>
              <w:keepNext/>
              <w:ind w:left="-57"/>
              <w:jc w:val="center"/>
              <w:rPr>
                <w:rFonts w:ascii="Arial Narrow" w:hAnsi="Arial Narrow"/>
                <w:bCs/>
                <w:sz w:val="20"/>
                <w:szCs w:val="20"/>
              </w:rPr>
            </w:pPr>
            <w:r w:rsidRPr="00E963DB">
              <w:rPr>
                <w:rFonts w:ascii="Arial Narrow" w:hAnsi="Arial Narrow"/>
                <w:bCs/>
                <w:sz w:val="20"/>
                <w:szCs w:val="20"/>
              </w:rPr>
              <w:t>Lamzede;</w:t>
            </w:r>
          </w:p>
          <w:p w14:paraId="7C376099" w14:textId="77777777" w:rsidR="00E963DB" w:rsidRPr="00E963DB" w:rsidRDefault="00E963DB" w:rsidP="00E963DB">
            <w:pPr>
              <w:keepNext/>
              <w:ind w:left="-57"/>
              <w:jc w:val="center"/>
              <w:rPr>
                <w:rFonts w:ascii="Arial Narrow" w:hAnsi="Arial Narrow"/>
                <w:bCs/>
                <w:sz w:val="20"/>
                <w:szCs w:val="20"/>
              </w:rPr>
            </w:pPr>
            <w:r w:rsidRPr="00E963DB">
              <w:rPr>
                <w:rFonts w:ascii="Arial Narrow" w:hAnsi="Arial Narrow"/>
                <w:bCs/>
                <w:sz w:val="20"/>
                <w:szCs w:val="20"/>
              </w:rPr>
              <w:t>Chiesi Australia Pty Ltd</w:t>
            </w:r>
          </w:p>
        </w:tc>
      </w:tr>
      <w:tr w:rsidR="00E963DB" w:rsidRPr="00E963DB" w14:paraId="65A43621" w14:textId="77777777" w:rsidTr="0088523E">
        <w:trPr>
          <w:cantSplit/>
          <w:trHeight w:val="203"/>
        </w:trPr>
        <w:tc>
          <w:tcPr>
            <w:tcW w:w="5000" w:type="pct"/>
            <w:gridSpan w:val="7"/>
          </w:tcPr>
          <w:p w14:paraId="53F47E75" w14:textId="77777777" w:rsidR="00E963DB" w:rsidRPr="00E963DB" w:rsidRDefault="00E963DB" w:rsidP="00E963DB">
            <w:pPr>
              <w:keepNext/>
              <w:ind w:left="-57"/>
              <w:jc w:val="center"/>
              <w:rPr>
                <w:rFonts w:ascii="Arial Narrow" w:hAnsi="Arial Narrow"/>
                <w:bCs/>
                <w:sz w:val="20"/>
                <w:szCs w:val="20"/>
              </w:rPr>
            </w:pPr>
          </w:p>
        </w:tc>
      </w:tr>
      <w:tr w:rsidR="00E963DB" w:rsidRPr="00E963DB" w14:paraId="51486AA1" w14:textId="77777777" w:rsidTr="0088523E">
        <w:tblPrEx>
          <w:tblCellMar>
            <w:top w:w="15" w:type="dxa"/>
            <w:left w:w="15" w:type="dxa"/>
            <w:bottom w:w="15" w:type="dxa"/>
            <w:right w:w="15" w:type="dxa"/>
          </w:tblCellMar>
          <w:tblLook w:val="04A0" w:firstRow="1" w:lastRow="0" w:firstColumn="1" w:lastColumn="0" w:noHBand="0" w:noVBand="1"/>
        </w:tblPrEx>
        <w:tc>
          <w:tcPr>
            <w:tcW w:w="462" w:type="pct"/>
            <w:vMerge w:val="restart"/>
            <w:vAlign w:val="center"/>
          </w:tcPr>
          <w:p w14:paraId="67BD71D8" w14:textId="77777777" w:rsidR="00E963DB" w:rsidRPr="00E963DB" w:rsidRDefault="00E963DB" w:rsidP="00E963DB">
            <w:pPr>
              <w:jc w:val="center"/>
              <w:rPr>
                <w:rFonts w:ascii="Arial Narrow" w:hAnsi="Arial Narrow"/>
                <w:color w:val="000000" w:themeColor="text1"/>
                <w:sz w:val="20"/>
                <w:szCs w:val="20"/>
                <w:highlight w:val="yellow"/>
              </w:rPr>
            </w:pPr>
            <w:r w:rsidRPr="00E963DB">
              <w:rPr>
                <w:rFonts w:ascii="Arial Narrow" w:hAnsi="Arial Narrow"/>
                <w:color w:val="000000" w:themeColor="text1"/>
                <w:sz w:val="20"/>
                <w:szCs w:val="20"/>
              </w:rPr>
              <w:t>Concept ID</w:t>
            </w:r>
          </w:p>
        </w:tc>
        <w:tc>
          <w:tcPr>
            <w:tcW w:w="4538" w:type="pct"/>
            <w:gridSpan w:val="6"/>
            <w:vAlign w:val="center"/>
          </w:tcPr>
          <w:p w14:paraId="69C54DD9" w14:textId="77777777" w:rsidR="00E963DB" w:rsidRPr="00E963DB" w:rsidRDefault="00E963DB" w:rsidP="00E963DB">
            <w:pPr>
              <w:rPr>
                <w:rFonts w:ascii="Arial Narrow" w:hAnsi="Arial Narrow"/>
                <w:b/>
                <w:bCs/>
                <w:sz w:val="20"/>
                <w:szCs w:val="20"/>
                <w:highlight w:val="yellow"/>
              </w:rPr>
            </w:pPr>
            <w:r w:rsidRPr="00E963DB">
              <w:rPr>
                <w:rFonts w:ascii="Arial Narrow" w:hAnsi="Arial Narrow"/>
                <w:b/>
                <w:bCs/>
                <w:sz w:val="20"/>
                <w:szCs w:val="20"/>
              </w:rPr>
              <w:t>Category / Program:</w:t>
            </w:r>
            <w:r w:rsidRPr="00E963DB">
              <w:rPr>
                <w:rFonts w:ascii="Arial Narrow" w:hAnsi="Arial Narrow"/>
                <w:sz w:val="20"/>
                <w:szCs w:val="20"/>
              </w:rPr>
              <w:t xml:space="preserve"> </w:t>
            </w:r>
            <w:r w:rsidRPr="00E963DB">
              <w:rPr>
                <w:rFonts w:ascii="Arial Narrow" w:hAnsi="Arial Narrow"/>
                <w:sz w:val="20"/>
                <w:szCs w:val="20"/>
              </w:rPr>
              <w:fldChar w:fldCharType="begin">
                <w:ffData>
                  <w:name w:val=""/>
                  <w:enabled/>
                  <w:calcOnExit w:val="0"/>
                  <w:checkBox>
                    <w:sizeAuto/>
                    <w:default w:val="1"/>
                  </w:checkBox>
                </w:ffData>
              </w:fldChar>
            </w:r>
            <w:r w:rsidRPr="00E963DB">
              <w:rPr>
                <w:rFonts w:ascii="Arial Narrow" w:hAnsi="Arial Narrow"/>
                <w:sz w:val="20"/>
                <w:szCs w:val="20"/>
              </w:rPr>
              <w:instrText xml:space="preserve"> FORMCHECKBOX </w:instrText>
            </w:r>
            <w:r w:rsidRPr="00E963DB">
              <w:rPr>
                <w:rFonts w:ascii="Arial Narrow" w:hAnsi="Arial Narrow"/>
                <w:sz w:val="20"/>
                <w:szCs w:val="20"/>
              </w:rPr>
            </w:r>
            <w:r w:rsidRPr="00E963DB">
              <w:rPr>
                <w:rFonts w:ascii="Arial Narrow" w:hAnsi="Arial Narrow"/>
                <w:sz w:val="20"/>
                <w:szCs w:val="20"/>
              </w:rPr>
              <w:fldChar w:fldCharType="separate"/>
            </w:r>
            <w:r w:rsidRPr="00E963DB">
              <w:rPr>
                <w:rFonts w:ascii="Arial Narrow" w:hAnsi="Arial Narrow"/>
                <w:sz w:val="20"/>
                <w:szCs w:val="20"/>
              </w:rPr>
              <w:fldChar w:fldCharType="end"/>
            </w:r>
            <w:r w:rsidRPr="00E963DB">
              <w:rPr>
                <w:rFonts w:ascii="Arial Narrow" w:hAnsi="Arial Narrow"/>
                <w:sz w:val="20"/>
                <w:szCs w:val="20"/>
              </w:rPr>
              <w:t xml:space="preserve"> </w:t>
            </w:r>
            <w:r w:rsidRPr="00E963DB">
              <w:rPr>
                <w:rFonts w:ascii="Arial Narrow" w:eastAsia="Calibri" w:hAnsi="Arial Narrow"/>
                <w:sz w:val="20"/>
                <w:szCs w:val="20"/>
              </w:rPr>
              <w:t>Section 100 – Highly Specialised Drugs Program – Public (Code HB) / Private (Code HS)</w:t>
            </w:r>
          </w:p>
        </w:tc>
      </w:tr>
      <w:tr w:rsidR="00E963DB" w:rsidRPr="00E963DB" w14:paraId="06449543" w14:textId="77777777" w:rsidTr="0088523E">
        <w:tblPrEx>
          <w:tblCellMar>
            <w:top w:w="15" w:type="dxa"/>
            <w:left w:w="15" w:type="dxa"/>
            <w:bottom w:w="15" w:type="dxa"/>
            <w:right w:w="15" w:type="dxa"/>
          </w:tblCellMar>
          <w:tblLook w:val="04A0" w:firstRow="1" w:lastRow="0" w:firstColumn="1" w:lastColumn="0" w:noHBand="0" w:noVBand="1"/>
        </w:tblPrEx>
        <w:tc>
          <w:tcPr>
            <w:tcW w:w="462" w:type="pct"/>
            <w:vMerge/>
            <w:vAlign w:val="center"/>
          </w:tcPr>
          <w:p w14:paraId="622F726F" w14:textId="77777777" w:rsidR="00E963DB" w:rsidRPr="00E963DB" w:rsidRDefault="00E963DB" w:rsidP="00E963DB">
            <w:pPr>
              <w:rPr>
                <w:rFonts w:ascii="Arial Narrow" w:hAnsi="Arial Narrow"/>
                <w:b/>
                <w:bCs/>
                <w:color w:val="000000" w:themeColor="text1"/>
                <w:sz w:val="20"/>
                <w:szCs w:val="20"/>
                <w:highlight w:val="yellow"/>
              </w:rPr>
            </w:pPr>
          </w:p>
        </w:tc>
        <w:tc>
          <w:tcPr>
            <w:tcW w:w="4538" w:type="pct"/>
            <w:gridSpan w:val="6"/>
            <w:vAlign w:val="center"/>
          </w:tcPr>
          <w:p w14:paraId="51460542" w14:textId="77777777" w:rsidR="00E963DB" w:rsidRPr="00E963DB" w:rsidRDefault="00E963DB" w:rsidP="00E963DB">
            <w:pPr>
              <w:rPr>
                <w:rFonts w:ascii="Arial Narrow" w:hAnsi="Arial Narrow"/>
                <w:b/>
                <w:bCs/>
                <w:sz w:val="20"/>
                <w:szCs w:val="20"/>
                <w:highlight w:val="yellow"/>
              </w:rPr>
            </w:pPr>
            <w:r w:rsidRPr="00E963DB">
              <w:rPr>
                <w:rFonts w:ascii="Arial Narrow" w:hAnsi="Arial Narrow"/>
                <w:b/>
                <w:bCs/>
                <w:sz w:val="20"/>
                <w:szCs w:val="20"/>
              </w:rPr>
              <w:t>Prescriber type:</w:t>
            </w:r>
            <w:r w:rsidRPr="00E963DB">
              <w:rPr>
                <w:rFonts w:ascii="Arial Narrow" w:hAnsi="Arial Narrow"/>
                <w:sz w:val="20"/>
                <w:szCs w:val="20"/>
              </w:rPr>
              <w:t xml:space="preserve"> </w:t>
            </w:r>
            <w:r w:rsidRPr="00E963DB">
              <w:rPr>
                <w:rFonts w:ascii="Arial Narrow" w:hAnsi="Arial Narrow"/>
                <w:sz w:val="20"/>
                <w:szCs w:val="20"/>
              </w:rPr>
              <w:fldChar w:fldCharType="begin">
                <w:ffData>
                  <w:name w:val=""/>
                  <w:enabled/>
                  <w:calcOnExit w:val="0"/>
                  <w:checkBox>
                    <w:sizeAuto/>
                    <w:default w:val="1"/>
                  </w:checkBox>
                </w:ffData>
              </w:fldChar>
            </w:r>
            <w:r w:rsidRPr="00E963DB">
              <w:rPr>
                <w:rFonts w:ascii="Arial Narrow" w:hAnsi="Arial Narrow"/>
                <w:sz w:val="20"/>
                <w:szCs w:val="20"/>
              </w:rPr>
              <w:instrText xml:space="preserve"> FORMCHECKBOX </w:instrText>
            </w:r>
            <w:r w:rsidRPr="00E963DB">
              <w:rPr>
                <w:rFonts w:ascii="Arial Narrow" w:hAnsi="Arial Narrow"/>
                <w:sz w:val="20"/>
                <w:szCs w:val="20"/>
              </w:rPr>
            </w:r>
            <w:r w:rsidRPr="00E963DB">
              <w:rPr>
                <w:rFonts w:ascii="Arial Narrow" w:hAnsi="Arial Narrow"/>
                <w:sz w:val="20"/>
                <w:szCs w:val="20"/>
              </w:rPr>
              <w:fldChar w:fldCharType="separate"/>
            </w:r>
            <w:r w:rsidRPr="00E963DB">
              <w:rPr>
                <w:rFonts w:ascii="Arial Narrow" w:hAnsi="Arial Narrow"/>
                <w:sz w:val="20"/>
                <w:szCs w:val="20"/>
              </w:rPr>
              <w:fldChar w:fldCharType="end"/>
            </w:r>
            <w:r w:rsidRPr="00E963DB">
              <w:rPr>
                <w:rFonts w:ascii="Arial Narrow" w:hAnsi="Arial Narrow"/>
                <w:sz w:val="20"/>
                <w:szCs w:val="20"/>
              </w:rPr>
              <w:t xml:space="preserve"> Medical Practitioners</w:t>
            </w:r>
          </w:p>
        </w:tc>
      </w:tr>
      <w:tr w:rsidR="00E963DB" w:rsidRPr="00E963DB" w14:paraId="22FD3F1F" w14:textId="77777777" w:rsidTr="0088523E">
        <w:tblPrEx>
          <w:tblCellMar>
            <w:top w:w="15" w:type="dxa"/>
            <w:left w:w="15" w:type="dxa"/>
            <w:bottom w:w="15" w:type="dxa"/>
            <w:right w:w="15" w:type="dxa"/>
          </w:tblCellMar>
          <w:tblLook w:val="04A0" w:firstRow="1" w:lastRow="0" w:firstColumn="1" w:lastColumn="0" w:noHBand="0" w:noVBand="1"/>
        </w:tblPrEx>
        <w:tc>
          <w:tcPr>
            <w:tcW w:w="462" w:type="pct"/>
            <w:vMerge/>
            <w:vAlign w:val="center"/>
          </w:tcPr>
          <w:p w14:paraId="101EEE7B" w14:textId="77777777" w:rsidR="00E963DB" w:rsidRPr="00E963DB" w:rsidRDefault="00E963DB" w:rsidP="00E963DB">
            <w:pPr>
              <w:rPr>
                <w:rFonts w:ascii="Arial Narrow" w:hAnsi="Arial Narrow"/>
                <w:b/>
                <w:bCs/>
                <w:color w:val="000000" w:themeColor="text1"/>
                <w:sz w:val="20"/>
                <w:szCs w:val="20"/>
                <w:highlight w:val="yellow"/>
              </w:rPr>
            </w:pPr>
          </w:p>
        </w:tc>
        <w:tc>
          <w:tcPr>
            <w:tcW w:w="4538" w:type="pct"/>
            <w:gridSpan w:val="6"/>
          </w:tcPr>
          <w:p w14:paraId="0DAF8E92" w14:textId="77777777" w:rsidR="00E963DB" w:rsidRPr="00E963DB" w:rsidRDefault="00E963DB" w:rsidP="00E963DB">
            <w:pPr>
              <w:keepNext/>
              <w:snapToGrid w:val="0"/>
              <w:rPr>
                <w:rFonts w:ascii="Arial Narrow" w:eastAsia="Calibri" w:hAnsi="Arial Narrow"/>
                <w:sz w:val="20"/>
                <w:szCs w:val="20"/>
              </w:rPr>
            </w:pPr>
            <w:r w:rsidRPr="00E963DB">
              <w:rPr>
                <w:rFonts w:ascii="Arial Narrow" w:hAnsi="Arial Narrow"/>
                <w:b/>
                <w:bCs/>
                <w:sz w:val="20"/>
                <w:szCs w:val="20"/>
              </w:rPr>
              <w:t>Benefit type:</w:t>
            </w:r>
            <w:r w:rsidRPr="00E963DB">
              <w:rPr>
                <w:rFonts w:ascii="Arial Narrow" w:hAnsi="Arial Narrow"/>
                <w:sz w:val="20"/>
                <w:szCs w:val="20"/>
              </w:rPr>
              <w:t xml:space="preserve"> </w:t>
            </w:r>
            <w:r w:rsidRPr="00E963DB">
              <w:rPr>
                <w:rFonts w:ascii="Arial Narrow" w:hAnsi="Arial Narrow"/>
                <w:sz w:val="20"/>
                <w:szCs w:val="20"/>
              </w:rPr>
              <w:fldChar w:fldCharType="begin">
                <w:ffData>
                  <w:name w:val=""/>
                  <w:enabled/>
                  <w:calcOnExit w:val="0"/>
                  <w:checkBox>
                    <w:sizeAuto/>
                    <w:default w:val="1"/>
                  </w:checkBox>
                </w:ffData>
              </w:fldChar>
            </w:r>
            <w:r w:rsidRPr="00E963DB">
              <w:rPr>
                <w:rFonts w:ascii="Arial Narrow" w:hAnsi="Arial Narrow"/>
                <w:sz w:val="20"/>
                <w:szCs w:val="20"/>
              </w:rPr>
              <w:instrText xml:space="preserve"> FORMCHECKBOX </w:instrText>
            </w:r>
            <w:r w:rsidRPr="00E963DB">
              <w:rPr>
                <w:rFonts w:ascii="Arial Narrow" w:hAnsi="Arial Narrow"/>
                <w:sz w:val="20"/>
                <w:szCs w:val="20"/>
              </w:rPr>
            </w:r>
            <w:r w:rsidRPr="00E963DB">
              <w:rPr>
                <w:rFonts w:ascii="Arial Narrow" w:hAnsi="Arial Narrow"/>
                <w:sz w:val="20"/>
                <w:szCs w:val="20"/>
              </w:rPr>
              <w:fldChar w:fldCharType="separate"/>
            </w:r>
            <w:r w:rsidRPr="00E963DB">
              <w:rPr>
                <w:rFonts w:ascii="Arial Narrow" w:hAnsi="Arial Narrow"/>
                <w:sz w:val="20"/>
                <w:szCs w:val="20"/>
              </w:rPr>
              <w:fldChar w:fldCharType="end"/>
            </w:r>
            <w:r w:rsidRPr="00E963DB">
              <w:rPr>
                <w:rFonts w:ascii="Arial Narrow" w:hAnsi="Arial Narrow"/>
                <w:sz w:val="20"/>
                <w:szCs w:val="20"/>
              </w:rPr>
              <w:t xml:space="preserve"> </w:t>
            </w:r>
            <w:r w:rsidRPr="00E963DB">
              <w:rPr>
                <w:rFonts w:ascii="Arial Narrow" w:eastAsia="Calibri" w:hAnsi="Arial Narrow"/>
                <w:sz w:val="20"/>
                <w:szCs w:val="20"/>
              </w:rPr>
              <w:t>Authority Required (in writing only via</w:t>
            </w:r>
            <w:r w:rsidRPr="00E963DB">
              <w:rPr>
                <w:rFonts w:ascii="Arial Narrow" w:eastAsia="Calibri" w:hAnsi="Arial Narrow"/>
                <w:i/>
                <w:iCs/>
                <w:sz w:val="20"/>
                <w:szCs w:val="20"/>
              </w:rPr>
              <w:t xml:space="preserve"> </w:t>
            </w:r>
            <w:r w:rsidRPr="00E963DB">
              <w:rPr>
                <w:rFonts w:ascii="Arial Narrow" w:eastAsia="Calibri" w:hAnsi="Arial Narrow"/>
                <w:sz w:val="20"/>
                <w:szCs w:val="20"/>
              </w:rPr>
              <w:t xml:space="preserve">OPA/post/HPOS upload) </w:t>
            </w:r>
          </w:p>
        </w:tc>
      </w:tr>
      <w:tr w:rsidR="00E963DB" w:rsidRPr="00E963DB" w14:paraId="141C57F1" w14:textId="77777777" w:rsidTr="0088523E">
        <w:tblPrEx>
          <w:tblCellMar>
            <w:top w:w="15" w:type="dxa"/>
            <w:left w:w="15" w:type="dxa"/>
            <w:bottom w:w="15" w:type="dxa"/>
            <w:right w:w="15" w:type="dxa"/>
          </w:tblCellMar>
          <w:tblLook w:val="04A0" w:firstRow="1" w:lastRow="0" w:firstColumn="1" w:lastColumn="0" w:noHBand="0" w:noVBand="1"/>
        </w:tblPrEx>
        <w:tc>
          <w:tcPr>
            <w:tcW w:w="462" w:type="pct"/>
            <w:vMerge/>
            <w:vAlign w:val="center"/>
          </w:tcPr>
          <w:p w14:paraId="686B580F" w14:textId="77777777" w:rsidR="00E963DB" w:rsidRPr="00E963DB" w:rsidRDefault="00E963DB" w:rsidP="00E963DB">
            <w:pPr>
              <w:rPr>
                <w:rFonts w:ascii="Arial Narrow" w:hAnsi="Arial Narrow"/>
                <w:b/>
                <w:bCs/>
                <w:color w:val="000000" w:themeColor="text1"/>
                <w:sz w:val="20"/>
                <w:szCs w:val="20"/>
                <w:highlight w:val="yellow"/>
              </w:rPr>
            </w:pPr>
          </w:p>
        </w:tc>
        <w:tc>
          <w:tcPr>
            <w:tcW w:w="4538" w:type="pct"/>
            <w:gridSpan w:val="6"/>
            <w:vAlign w:val="center"/>
          </w:tcPr>
          <w:p w14:paraId="791E2272" w14:textId="77777777" w:rsidR="00E963DB" w:rsidRPr="00E963DB" w:rsidRDefault="00E963DB" w:rsidP="00E963DB">
            <w:pPr>
              <w:rPr>
                <w:rFonts w:ascii="Arial Narrow" w:hAnsi="Arial Narrow"/>
                <w:b/>
                <w:bCs/>
                <w:sz w:val="20"/>
                <w:szCs w:val="20"/>
                <w:highlight w:val="yellow"/>
              </w:rPr>
            </w:pPr>
            <w:r w:rsidRPr="00E963DB">
              <w:rPr>
                <w:rFonts w:ascii="Arial Narrow" w:hAnsi="Arial Narrow"/>
                <w:b/>
                <w:bCs/>
                <w:sz w:val="20"/>
                <w:szCs w:val="20"/>
              </w:rPr>
              <w:t>Authority type:</w:t>
            </w:r>
            <w:r w:rsidRPr="00E963DB">
              <w:rPr>
                <w:rFonts w:ascii="Arial Narrow" w:hAnsi="Arial Narrow"/>
                <w:sz w:val="20"/>
                <w:szCs w:val="20"/>
              </w:rPr>
              <w:t xml:space="preserve"> </w:t>
            </w:r>
            <w:r w:rsidRPr="00E963DB">
              <w:rPr>
                <w:rFonts w:ascii="Arial Narrow" w:hAnsi="Arial Narrow"/>
                <w:sz w:val="20"/>
                <w:szCs w:val="20"/>
              </w:rPr>
              <w:fldChar w:fldCharType="begin">
                <w:ffData>
                  <w:name w:val=""/>
                  <w:enabled/>
                  <w:calcOnExit w:val="0"/>
                  <w:checkBox>
                    <w:sizeAuto/>
                    <w:default w:val="1"/>
                  </w:checkBox>
                </w:ffData>
              </w:fldChar>
            </w:r>
            <w:r w:rsidRPr="00E963DB">
              <w:rPr>
                <w:rFonts w:ascii="Arial Narrow" w:hAnsi="Arial Narrow"/>
                <w:sz w:val="20"/>
                <w:szCs w:val="20"/>
              </w:rPr>
              <w:instrText xml:space="preserve"> FORMCHECKBOX </w:instrText>
            </w:r>
            <w:r w:rsidRPr="00E963DB">
              <w:rPr>
                <w:rFonts w:ascii="Arial Narrow" w:hAnsi="Arial Narrow"/>
                <w:sz w:val="20"/>
                <w:szCs w:val="20"/>
              </w:rPr>
            </w:r>
            <w:r w:rsidRPr="00E963DB">
              <w:rPr>
                <w:rFonts w:ascii="Arial Narrow" w:hAnsi="Arial Narrow"/>
                <w:sz w:val="20"/>
                <w:szCs w:val="20"/>
              </w:rPr>
              <w:fldChar w:fldCharType="separate"/>
            </w:r>
            <w:r w:rsidRPr="00E963DB">
              <w:rPr>
                <w:rFonts w:ascii="Arial Narrow" w:hAnsi="Arial Narrow"/>
                <w:sz w:val="20"/>
                <w:szCs w:val="20"/>
              </w:rPr>
              <w:fldChar w:fldCharType="end"/>
            </w:r>
            <w:r w:rsidRPr="00E963DB">
              <w:rPr>
                <w:rFonts w:ascii="Arial Narrow" w:hAnsi="Arial Narrow"/>
                <w:sz w:val="20"/>
                <w:szCs w:val="20"/>
              </w:rPr>
              <w:t xml:space="preserve"> </w:t>
            </w:r>
            <w:r w:rsidRPr="00E963DB">
              <w:rPr>
                <w:rFonts w:ascii="Arial Narrow" w:eastAsia="Calibri" w:hAnsi="Arial Narrow"/>
                <w:sz w:val="20"/>
                <w:szCs w:val="20"/>
              </w:rPr>
              <w:t>Complex Authority Required (CAR)</w:t>
            </w:r>
          </w:p>
        </w:tc>
      </w:tr>
      <w:tr w:rsidR="00E963DB" w:rsidRPr="00E963DB" w14:paraId="353C4381" w14:textId="77777777" w:rsidTr="0088523E">
        <w:tblPrEx>
          <w:tblCellMar>
            <w:top w:w="15" w:type="dxa"/>
            <w:left w:w="15" w:type="dxa"/>
            <w:bottom w:w="15" w:type="dxa"/>
            <w:right w:w="15" w:type="dxa"/>
          </w:tblCellMar>
          <w:tblLook w:val="04A0" w:firstRow="1" w:lastRow="0" w:firstColumn="1" w:lastColumn="0" w:noHBand="0" w:noVBand="1"/>
        </w:tblPrEx>
        <w:trPr>
          <w:trHeight w:val="41"/>
        </w:trPr>
        <w:tc>
          <w:tcPr>
            <w:tcW w:w="462" w:type="pct"/>
            <w:vAlign w:val="center"/>
          </w:tcPr>
          <w:p w14:paraId="1E667B04" w14:textId="4B166643" w:rsidR="00E963DB" w:rsidRPr="00E963DB" w:rsidRDefault="00E963DB" w:rsidP="00E963DB">
            <w:pPr>
              <w:jc w:val="center"/>
              <w:rPr>
                <w:rFonts w:ascii="Arial Narrow" w:hAnsi="Arial Narrow"/>
                <w:color w:val="000000" w:themeColor="text1"/>
                <w:sz w:val="20"/>
                <w:szCs w:val="20"/>
                <w:highlight w:val="yellow"/>
              </w:rPr>
            </w:pPr>
          </w:p>
        </w:tc>
        <w:tc>
          <w:tcPr>
            <w:tcW w:w="4538" w:type="pct"/>
            <w:gridSpan w:val="6"/>
            <w:vAlign w:val="center"/>
          </w:tcPr>
          <w:p w14:paraId="5C8A0059"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 xml:space="preserve">Administrative Advice: </w:t>
            </w:r>
            <w:r w:rsidRPr="00E963DB">
              <w:rPr>
                <w:rFonts w:ascii="Arial Narrow" w:hAnsi="Arial Narrow"/>
                <w:sz w:val="20"/>
                <w:szCs w:val="20"/>
              </w:rPr>
              <w:t>No increase in the maximum number of repeats may be authorised.</w:t>
            </w:r>
          </w:p>
        </w:tc>
      </w:tr>
      <w:tr w:rsidR="00E963DB" w:rsidRPr="00E963DB" w14:paraId="7D2960C5"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63F6784A" w14:textId="355E001E" w:rsidR="00E963DB" w:rsidRPr="00E963DB" w:rsidRDefault="00E963DB" w:rsidP="00E963DB">
            <w:pPr>
              <w:jc w:val="center"/>
              <w:rPr>
                <w:rFonts w:ascii="Arial Narrow" w:hAnsi="Arial Narrow"/>
                <w:color w:val="000000" w:themeColor="text1"/>
                <w:sz w:val="20"/>
                <w:szCs w:val="20"/>
                <w:highlight w:val="yellow"/>
              </w:rPr>
            </w:pPr>
          </w:p>
        </w:tc>
        <w:tc>
          <w:tcPr>
            <w:tcW w:w="4538" w:type="pct"/>
            <w:gridSpan w:val="6"/>
            <w:vAlign w:val="center"/>
          </w:tcPr>
          <w:p w14:paraId="01719337"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 xml:space="preserve">Administrative Advice: </w:t>
            </w:r>
            <w:r w:rsidRPr="00E963DB">
              <w:rPr>
                <w:rFonts w:ascii="Arial Narrow" w:hAnsi="Arial Narrow"/>
                <w:sz w:val="20"/>
                <w:szCs w:val="20"/>
              </w:rPr>
              <w:t>Special Pricing Arrangements apply.</w:t>
            </w:r>
          </w:p>
        </w:tc>
      </w:tr>
      <w:tr w:rsidR="00E963DB" w:rsidRPr="00E963DB" w14:paraId="37623B64" w14:textId="77777777" w:rsidTr="0088523E">
        <w:tblPrEx>
          <w:tblCellMar>
            <w:top w:w="15" w:type="dxa"/>
            <w:left w:w="15" w:type="dxa"/>
            <w:bottom w:w="15" w:type="dxa"/>
            <w:right w:w="15" w:type="dxa"/>
          </w:tblCellMar>
          <w:tblLook w:val="04A0" w:firstRow="1" w:lastRow="0" w:firstColumn="1" w:lastColumn="0" w:noHBand="0" w:noVBand="1"/>
        </w:tblPrEx>
        <w:tc>
          <w:tcPr>
            <w:tcW w:w="462" w:type="pct"/>
          </w:tcPr>
          <w:p w14:paraId="377263D3" w14:textId="77777777" w:rsidR="00E963DB" w:rsidRPr="00E963DB" w:rsidRDefault="00E963DB" w:rsidP="00E963DB">
            <w:pPr>
              <w:jc w:val="center"/>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33720</w:t>
            </w:r>
          </w:p>
          <w:p w14:paraId="3A6C5737" w14:textId="77777777" w:rsidR="00E963DB" w:rsidRPr="00E963DB" w:rsidRDefault="00E963DB" w:rsidP="00E963DB">
            <w:pPr>
              <w:jc w:val="center"/>
              <w:rPr>
                <w:rFonts w:ascii="Arial Narrow" w:hAnsi="Arial Narrow"/>
                <w:sz w:val="20"/>
                <w:szCs w:val="20"/>
              </w:rPr>
            </w:pPr>
            <w:r w:rsidRPr="00E963DB">
              <w:rPr>
                <w:rFonts w:ascii="Arial Narrow" w:eastAsia="Calibri" w:hAnsi="Arial Narrow" w:cs="Calibri"/>
                <w:noProof/>
                <w:color w:val="000000" w:themeColor="text1"/>
                <w:sz w:val="20"/>
                <w:szCs w:val="20"/>
                <w:lang w:eastAsia="en-US"/>
              </w:rPr>
              <w:drawing>
                <wp:inline distT="0" distB="0" distL="0" distR="0" wp14:anchorId="0071B50D" wp14:editId="253B6241">
                  <wp:extent cx="371475" cy="180975"/>
                  <wp:effectExtent l="0" t="0" r="9525" b="9525"/>
                  <wp:docPr id="1773173583" name="Picture 1" descr="DHS Complex Assessmen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 Complex Assessment Requir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p>
        </w:tc>
        <w:tc>
          <w:tcPr>
            <w:tcW w:w="4538" w:type="pct"/>
            <w:gridSpan w:val="6"/>
            <w:vAlign w:val="center"/>
          </w:tcPr>
          <w:p w14:paraId="695AB058" w14:textId="77777777" w:rsidR="00E963DB" w:rsidRPr="00E963DB" w:rsidRDefault="00E963DB" w:rsidP="00E963DB">
            <w:pPr>
              <w:keepLines/>
              <w:jc w:val="left"/>
              <w:rPr>
                <w:rFonts w:ascii="Arial Narrow" w:hAnsi="Arial Narrow"/>
                <w:b/>
                <w:bCs/>
                <w:color w:val="000000" w:themeColor="text1"/>
                <w:sz w:val="20"/>
                <w:szCs w:val="20"/>
              </w:rPr>
            </w:pPr>
            <w:r w:rsidRPr="00E963DB">
              <w:rPr>
                <w:rFonts w:ascii="Arial Narrow" w:hAnsi="Arial Narrow"/>
                <w:b/>
                <w:bCs/>
                <w:color w:val="000000" w:themeColor="text1"/>
                <w:sz w:val="20"/>
                <w:szCs w:val="20"/>
              </w:rPr>
              <w:t>Administrative Advice:</w:t>
            </w:r>
          </w:p>
          <w:p w14:paraId="572C183A"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Any queries concerning the arrangements to prescribe may be directed to Services Australia on 1800 700 270 (hours of operation 8 a.m. to 5 p.m. Monday to Friday).</w:t>
            </w:r>
          </w:p>
          <w:p w14:paraId="51AA575D" w14:textId="77777777" w:rsidR="00E963DB" w:rsidRPr="00E963DB" w:rsidRDefault="00E963DB" w:rsidP="00E963DB">
            <w:pPr>
              <w:keepLines/>
              <w:jc w:val="left"/>
              <w:rPr>
                <w:rFonts w:ascii="Arial Narrow" w:eastAsia="Calibri" w:hAnsi="Arial Narrow"/>
                <w:color w:val="000000" w:themeColor="text1"/>
                <w:sz w:val="20"/>
                <w:szCs w:val="20"/>
                <w:lang w:eastAsia="en-US"/>
              </w:rPr>
            </w:pPr>
          </w:p>
          <w:p w14:paraId="0EE67304"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 xml:space="preserve">Prescribing information (including Authority Application forms and other relevant documentation as applicable) is available on the Services Australia website at </w:t>
            </w:r>
            <w:hyperlink r:id="rId23" w:tgtFrame="_blank" w:tooltip="https://www.servicesaustralia.gov.au/" w:history="1">
              <w:r w:rsidRPr="00E963DB">
                <w:rPr>
                  <w:rFonts w:ascii="Arial Narrow" w:eastAsia="Calibri" w:hAnsi="Arial Narrow"/>
                  <w:color w:val="000000" w:themeColor="text1"/>
                  <w:sz w:val="20"/>
                  <w:szCs w:val="20"/>
                  <w:u w:val="single"/>
                  <w:lang w:eastAsia="en-US"/>
                </w:rPr>
                <w:t>www.servicesaustralia.gov.au</w:t>
              </w:r>
            </w:hyperlink>
          </w:p>
          <w:p w14:paraId="39D706F8" w14:textId="77777777" w:rsidR="00E963DB" w:rsidRPr="00E963DB" w:rsidRDefault="00E963DB" w:rsidP="00E963DB">
            <w:pPr>
              <w:keepLines/>
              <w:jc w:val="left"/>
              <w:rPr>
                <w:rFonts w:ascii="Arial Narrow" w:eastAsia="Calibri" w:hAnsi="Arial Narrow"/>
                <w:color w:val="000000" w:themeColor="text1"/>
                <w:sz w:val="20"/>
                <w:szCs w:val="20"/>
                <w:lang w:eastAsia="en-US"/>
              </w:rPr>
            </w:pPr>
          </w:p>
          <w:p w14:paraId="09331983"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 xml:space="preserve">Applications for authorisation under this restriction should be made using the Online PBS Authorities system (see </w:t>
            </w:r>
            <w:hyperlink r:id="rId24" w:tgtFrame="_blank" w:tooltip="https://www.servicesaustralia.gov.au/hpos)" w:history="1">
              <w:r w:rsidRPr="00E963DB">
                <w:rPr>
                  <w:rFonts w:ascii="Arial Narrow" w:eastAsia="Calibri" w:hAnsi="Arial Narrow"/>
                  <w:color w:val="000000" w:themeColor="text1"/>
                  <w:sz w:val="20"/>
                  <w:szCs w:val="20"/>
                  <w:u w:val="single"/>
                  <w:lang w:eastAsia="en-US"/>
                </w:rPr>
                <w:t>www.servicesaustralia.gov.au/hpos)</w:t>
              </w:r>
            </w:hyperlink>
          </w:p>
          <w:p w14:paraId="086659A9" w14:textId="77777777" w:rsidR="00E963DB" w:rsidRPr="00E963DB" w:rsidRDefault="00E963DB" w:rsidP="00E963DB">
            <w:pPr>
              <w:keepLines/>
              <w:jc w:val="left"/>
              <w:rPr>
                <w:rFonts w:ascii="Arial Narrow" w:eastAsia="Calibri" w:hAnsi="Arial Narrow"/>
                <w:color w:val="000000" w:themeColor="text1"/>
                <w:sz w:val="20"/>
                <w:szCs w:val="20"/>
                <w:lang w:eastAsia="en-US"/>
              </w:rPr>
            </w:pPr>
          </w:p>
          <w:p w14:paraId="598A5C2B"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 xml:space="preserve">Alternatively applications for authority to prescribe can be submitted online using the form upload facility in Health Professional Online Services (HPOS) at </w:t>
            </w:r>
            <w:hyperlink r:id="rId25" w:tgtFrame="_blank" w:tooltip="https://www.servicesaustralia.gov.au/hpos" w:history="1">
              <w:r w:rsidRPr="00E963DB">
                <w:rPr>
                  <w:rFonts w:ascii="Arial Narrow" w:eastAsia="Calibri" w:hAnsi="Arial Narrow"/>
                  <w:color w:val="000000" w:themeColor="text1"/>
                  <w:sz w:val="20"/>
                  <w:szCs w:val="20"/>
                  <w:u w:val="single"/>
                  <w:lang w:eastAsia="en-US"/>
                </w:rPr>
                <w:t>www.servicesaustralia.gov.au/hpos</w:t>
              </w:r>
            </w:hyperlink>
          </w:p>
          <w:p w14:paraId="2BFECB2B" w14:textId="77777777" w:rsidR="00E963DB" w:rsidRPr="00E963DB" w:rsidRDefault="00E963DB" w:rsidP="00E963DB">
            <w:pPr>
              <w:keepLines/>
              <w:jc w:val="left"/>
              <w:rPr>
                <w:rFonts w:ascii="Arial Narrow" w:eastAsia="Calibri" w:hAnsi="Arial Narrow"/>
                <w:color w:val="000000" w:themeColor="text1"/>
                <w:sz w:val="20"/>
                <w:szCs w:val="20"/>
                <w:lang w:eastAsia="en-US"/>
              </w:rPr>
            </w:pPr>
          </w:p>
          <w:p w14:paraId="68C4F986"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Or mailed to:</w:t>
            </w:r>
          </w:p>
          <w:p w14:paraId="67A57FC4"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Services Australia</w:t>
            </w:r>
          </w:p>
          <w:p w14:paraId="5323663B" w14:textId="77777777" w:rsidR="00E963DB" w:rsidRPr="00E963DB" w:rsidRDefault="00E963DB" w:rsidP="00E963DB">
            <w:pPr>
              <w:keepLines/>
              <w:jc w:val="left"/>
              <w:rPr>
                <w:rFonts w:ascii="Arial Narrow" w:eastAsia="Calibri" w:hAnsi="Arial Narrow"/>
                <w:color w:val="000000" w:themeColor="text1"/>
                <w:sz w:val="20"/>
                <w:szCs w:val="20"/>
                <w:lang w:eastAsia="en-US"/>
              </w:rPr>
            </w:pPr>
            <w:r w:rsidRPr="00E963DB">
              <w:rPr>
                <w:rFonts w:ascii="Arial Narrow" w:eastAsia="Calibri" w:hAnsi="Arial Narrow"/>
                <w:color w:val="000000" w:themeColor="text1"/>
                <w:sz w:val="20"/>
                <w:szCs w:val="20"/>
                <w:lang w:eastAsia="en-US"/>
              </w:rPr>
              <w:t>Complex Drugs</w:t>
            </w:r>
          </w:p>
          <w:p w14:paraId="1015D215" w14:textId="77777777" w:rsidR="00E963DB" w:rsidRPr="00E963DB" w:rsidRDefault="00E963DB" w:rsidP="00E963DB">
            <w:pPr>
              <w:jc w:val="left"/>
              <w:rPr>
                <w:rFonts w:ascii="Arial Narrow" w:eastAsia="Calibri" w:hAnsi="Arial Narrow"/>
                <w:sz w:val="20"/>
                <w:szCs w:val="20"/>
                <w:lang w:eastAsia="en-US"/>
              </w:rPr>
            </w:pPr>
            <w:r w:rsidRPr="00E963DB">
              <w:rPr>
                <w:rFonts w:ascii="Arial Narrow" w:eastAsia="Calibri" w:hAnsi="Arial Narrow"/>
                <w:sz w:val="20"/>
                <w:szCs w:val="20"/>
                <w:lang w:eastAsia="en-US"/>
              </w:rPr>
              <w:t>Reply Paid 9826</w:t>
            </w:r>
          </w:p>
          <w:p w14:paraId="302931A4" w14:textId="77777777" w:rsidR="00E963DB" w:rsidRPr="00E963DB" w:rsidRDefault="00E963DB" w:rsidP="00E963DB">
            <w:pPr>
              <w:rPr>
                <w:rFonts w:ascii="Arial Narrow" w:hAnsi="Arial Narrow"/>
                <w:b/>
                <w:bCs/>
                <w:sz w:val="20"/>
                <w:szCs w:val="20"/>
              </w:rPr>
            </w:pPr>
            <w:r w:rsidRPr="00E963DB">
              <w:rPr>
                <w:rFonts w:ascii="Arial Narrow" w:hAnsi="Arial Narrow"/>
                <w:sz w:val="20"/>
                <w:szCs w:val="20"/>
              </w:rPr>
              <w:t>HOBART TAS 7001</w:t>
            </w:r>
          </w:p>
        </w:tc>
      </w:tr>
      <w:tr w:rsidR="00E963DB" w:rsidRPr="00E963DB" w14:paraId="1D7DCA77" w14:textId="77777777" w:rsidTr="0088523E">
        <w:tblPrEx>
          <w:tblCellMar>
            <w:top w:w="15" w:type="dxa"/>
            <w:left w:w="15" w:type="dxa"/>
            <w:bottom w:w="15" w:type="dxa"/>
            <w:right w:w="15" w:type="dxa"/>
          </w:tblCellMar>
          <w:tblLook w:val="04A0" w:firstRow="1" w:lastRow="0" w:firstColumn="1" w:lastColumn="0" w:noHBand="0" w:noVBand="1"/>
        </w:tblPrEx>
        <w:tc>
          <w:tcPr>
            <w:tcW w:w="5000" w:type="pct"/>
            <w:gridSpan w:val="7"/>
          </w:tcPr>
          <w:p w14:paraId="4E8D4ADC" w14:textId="77777777" w:rsidR="00E963DB" w:rsidRPr="00E963DB" w:rsidRDefault="00E963DB" w:rsidP="00E963DB">
            <w:pPr>
              <w:rPr>
                <w:rFonts w:ascii="Arial Narrow" w:hAnsi="Arial Narrow"/>
                <w:b/>
                <w:bCs/>
                <w:sz w:val="20"/>
                <w:szCs w:val="20"/>
              </w:rPr>
            </w:pPr>
            <w:r w:rsidRPr="00E963DB">
              <w:rPr>
                <w:rFonts w:ascii="Arial Narrow" w:hAnsi="Arial Narrow"/>
                <w:b/>
                <w:sz w:val="20"/>
                <w:szCs w:val="20"/>
              </w:rPr>
              <w:t>Restriction Summary [new1] / Treatment of Concept: [new1A]</w:t>
            </w:r>
          </w:p>
        </w:tc>
      </w:tr>
      <w:tr w:rsidR="00E963DB" w:rsidRPr="00E963DB" w14:paraId="531E03D9"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7DCD0A53"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3E11FCDA"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 xml:space="preserve">Episodicity: </w:t>
            </w:r>
            <w:r w:rsidRPr="00E963DB">
              <w:rPr>
                <w:rFonts w:ascii="Arial Narrow" w:hAnsi="Arial Narrow"/>
                <w:sz w:val="20"/>
                <w:szCs w:val="20"/>
              </w:rPr>
              <w:t xml:space="preserve">[blank] </w:t>
            </w:r>
          </w:p>
        </w:tc>
      </w:tr>
      <w:tr w:rsidR="00E963DB" w:rsidRPr="00E963DB" w14:paraId="25067517"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41866EB4"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5D51C52F"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 xml:space="preserve">Severity: </w:t>
            </w:r>
            <w:r w:rsidRPr="00E963DB">
              <w:rPr>
                <w:rFonts w:ascii="Arial Narrow" w:hAnsi="Arial Narrow"/>
                <w:sz w:val="20"/>
                <w:szCs w:val="20"/>
              </w:rPr>
              <w:t>[blank]</w:t>
            </w:r>
            <w:r w:rsidRPr="00E963DB">
              <w:rPr>
                <w:rFonts w:ascii="Arial Narrow" w:hAnsi="Arial Narrow"/>
                <w:b/>
                <w:bCs/>
                <w:sz w:val="20"/>
                <w:szCs w:val="20"/>
              </w:rPr>
              <w:t xml:space="preserve"> </w:t>
            </w:r>
          </w:p>
        </w:tc>
      </w:tr>
      <w:tr w:rsidR="00E963DB" w:rsidRPr="00E963DB" w14:paraId="1F02E6F1"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03C6C51B"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7B8456CD"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 xml:space="preserve">Condition: </w:t>
            </w:r>
            <w:r w:rsidRPr="00E963DB">
              <w:rPr>
                <w:rFonts w:ascii="Arial Narrow" w:hAnsi="Arial Narrow"/>
                <w:sz w:val="20"/>
                <w:szCs w:val="20"/>
              </w:rPr>
              <w:t>Alpha</w:t>
            </w:r>
            <w:r w:rsidRPr="00E963DB">
              <w:rPr>
                <w:rFonts w:ascii="Arial Narrow" w:hAnsi="Arial Narrow"/>
                <w:sz w:val="20"/>
                <w:szCs w:val="20"/>
              </w:rPr>
              <w:noBreakHyphen/>
              <w:t xml:space="preserve"> mannosidosis (AM)</w:t>
            </w:r>
          </w:p>
        </w:tc>
      </w:tr>
      <w:tr w:rsidR="00E963DB" w:rsidRPr="00E963DB" w14:paraId="6836D449" w14:textId="77777777" w:rsidTr="00997646">
        <w:tblPrEx>
          <w:tblCellMar>
            <w:top w:w="15" w:type="dxa"/>
            <w:left w:w="15" w:type="dxa"/>
            <w:bottom w:w="15" w:type="dxa"/>
            <w:right w:w="15" w:type="dxa"/>
          </w:tblCellMar>
          <w:tblLook w:val="04A0" w:firstRow="1" w:lastRow="0" w:firstColumn="1" w:lastColumn="0" w:noHBand="0" w:noVBand="1"/>
        </w:tblPrEx>
        <w:tc>
          <w:tcPr>
            <w:tcW w:w="462" w:type="pct"/>
            <w:vAlign w:val="center"/>
          </w:tcPr>
          <w:p w14:paraId="4D6277C1" w14:textId="72374853"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hideMark/>
          </w:tcPr>
          <w:p w14:paraId="5598F689" w14:textId="77777777" w:rsidR="00E963DB" w:rsidRPr="00E963DB" w:rsidRDefault="00E963DB" w:rsidP="00E963DB">
            <w:pPr>
              <w:rPr>
                <w:rFonts w:ascii="Arial Narrow" w:hAnsi="Arial Narrow"/>
                <w:sz w:val="20"/>
                <w:szCs w:val="20"/>
              </w:rPr>
            </w:pPr>
            <w:r w:rsidRPr="00E963DB">
              <w:rPr>
                <w:rFonts w:ascii="Arial Narrow" w:hAnsi="Arial Narrow"/>
                <w:b/>
                <w:bCs/>
                <w:sz w:val="20"/>
                <w:szCs w:val="20"/>
              </w:rPr>
              <w:t>Indication:</w:t>
            </w:r>
            <w:r w:rsidRPr="00E963DB">
              <w:rPr>
                <w:rFonts w:ascii="Arial Narrow" w:hAnsi="Arial Narrow"/>
                <w:sz w:val="20"/>
                <w:szCs w:val="20"/>
              </w:rPr>
              <w:t xml:space="preserve"> </w:t>
            </w:r>
            <w:r w:rsidRPr="00E963DB">
              <w:rPr>
                <w:rFonts w:ascii="Arial Narrow" w:eastAsia="Calibri" w:hAnsi="Arial Narrow"/>
                <w:sz w:val="20"/>
                <w:szCs w:val="20"/>
              </w:rPr>
              <w:t>Alpha-mannosidosis (AM)</w:t>
            </w:r>
          </w:p>
        </w:tc>
      </w:tr>
      <w:tr w:rsidR="00E963DB" w:rsidRPr="00E963DB" w14:paraId="70CB519C"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1A7AF1A7"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7995542E"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 xml:space="preserve">Treatment Phase: </w:t>
            </w:r>
            <w:r w:rsidRPr="00E963DB">
              <w:rPr>
                <w:rFonts w:ascii="Arial Narrow" w:hAnsi="Arial Narrow"/>
                <w:sz w:val="20"/>
                <w:szCs w:val="20"/>
              </w:rPr>
              <w:t>Initial treatment</w:t>
            </w:r>
          </w:p>
        </w:tc>
      </w:tr>
      <w:tr w:rsidR="00E963DB" w:rsidRPr="00E963DB" w14:paraId="634888FB"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4306B2E6" w14:textId="4DDE98A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730A0AAD"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Clinical criteria:</w:t>
            </w:r>
          </w:p>
        </w:tc>
      </w:tr>
      <w:tr w:rsidR="00E963DB" w:rsidRPr="00E963DB" w14:paraId="4B78A25C"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70BBE204" w14:textId="6F932C49"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72DAB5AD" w14:textId="77777777" w:rsidR="00E963DB" w:rsidRPr="00E963DB" w:rsidRDefault="00E963DB" w:rsidP="00E963DB">
            <w:pPr>
              <w:rPr>
                <w:rFonts w:ascii="Arial Narrow" w:hAnsi="Arial Narrow"/>
                <w:b/>
                <w:bCs/>
                <w:sz w:val="20"/>
                <w:szCs w:val="20"/>
              </w:rPr>
            </w:pPr>
            <w:r w:rsidRPr="00E963DB">
              <w:rPr>
                <w:rFonts w:ascii="Arial Narrow" w:eastAsia="Calibri" w:hAnsi="Arial Narrow"/>
                <w:sz w:val="20"/>
                <w:szCs w:val="20"/>
              </w:rPr>
              <w:t>The condition must have been diagnosed by leukocyte-based assay.</w:t>
            </w:r>
            <w:r w:rsidRPr="00E963DB">
              <w:rPr>
                <w:rFonts w:ascii="Arial Narrow" w:hAnsi="Arial Narrow"/>
                <w:bCs/>
                <w:sz w:val="20"/>
                <w:szCs w:val="20"/>
              </w:rPr>
              <w:t xml:space="preserve"> </w:t>
            </w:r>
          </w:p>
        </w:tc>
      </w:tr>
      <w:tr w:rsidR="00E963DB" w:rsidRPr="00E963DB" w14:paraId="13FF5444"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6DF98EA4"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19E22703"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AND</w:t>
            </w:r>
          </w:p>
        </w:tc>
      </w:tr>
      <w:tr w:rsidR="00E963DB" w:rsidRPr="00E963DB" w14:paraId="2F2162BC"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455074B1" w14:textId="7C16E2C1"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3A9988C9"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Clinical criteria:</w:t>
            </w:r>
          </w:p>
        </w:tc>
      </w:tr>
      <w:tr w:rsidR="00E963DB" w:rsidRPr="00E963DB" w14:paraId="4D47D4F7"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2ED5865D" w14:textId="1505F83B"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hideMark/>
          </w:tcPr>
          <w:p w14:paraId="50905CE0"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The condition must have been confirmed by the presence of alpha-mannosidase activity of less than 10% of normal activity in blood leukocytes.</w:t>
            </w:r>
          </w:p>
        </w:tc>
      </w:tr>
      <w:tr w:rsidR="00E963DB" w:rsidRPr="00E963DB" w14:paraId="0C1B0198"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57C1EE88"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45E8B956" w14:textId="77777777" w:rsidR="00E963DB" w:rsidRPr="00E963DB" w:rsidRDefault="00E963DB" w:rsidP="00E963DB">
            <w:pPr>
              <w:rPr>
                <w:rFonts w:ascii="Arial Narrow" w:hAnsi="Arial Narrow"/>
                <w:sz w:val="20"/>
                <w:szCs w:val="20"/>
              </w:rPr>
            </w:pPr>
            <w:r w:rsidRPr="00E963DB">
              <w:rPr>
                <w:rFonts w:ascii="Arial Narrow" w:hAnsi="Arial Narrow"/>
                <w:b/>
                <w:bCs/>
                <w:sz w:val="20"/>
                <w:szCs w:val="20"/>
              </w:rPr>
              <w:t>AND</w:t>
            </w:r>
          </w:p>
        </w:tc>
      </w:tr>
      <w:tr w:rsidR="00E963DB" w:rsidRPr="00E963DB" w14:paraId="4DD837FC"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0318E689" w14:textId="2110BB7D"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6D50BFBA"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Clinical criteria:</w:t>
            </w:r>
          </w:p>
        </w:tc>
      </w:tr>
      <w:tr w:rsidR="00E963DB" w:rsidRPr="00E963DB" w14:paraId="044718B5"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7AE8A139" w14:textId="19F56BE6"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497E1060" w14:textId="77777777" w:rsidR="00E963DB" w:rsidRPr="00E963DB" w:rsidRDefault="00E963DB" w:rsidP="00E963DB">
            <w:pPr>
              <w:rPr>
                <w:rFonts w:ascii="Arial Narrow" w:hAnsi="Arial Narrow"/>
                <w:sz w:val="20"/>
                <w:szCs w:val="20"/>
              </w:rPr>
            </w:pPr>
            <w:r w:rsidRPr="00E963DB">
              <w:rPr>
                <w:rFonts w:ascii="Arial Narrow" w:eastAsia="Calibri" w:hAnsi="Arial Narrow"/>
                <w:sz w:val="20"/>
                <w:szCs w:val="20"/>
              </w:rPr>
              <w:t>Patient must have non-neurological manifestations of alpha mannosidosis.</w:t>
            </w:r>
          </w:p>
        </w:tc>
      </w:tr>
      <w:tr w:rsidR="00E963DB" w:rsidRPr="00E963DB" w14:paraId="0C06939F"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368B8576"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218BD211"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AND</w:t>
            </w:r>
          </w:p>
        </w:tc>
      </w:tr>
      <w:tr w:rsidR="00E963DB" w:rsidRPr="00E963DB" w14:paraId="2D230EFB"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7359EC23" w14:textId="773926F3"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5BC4EF74"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Clinical criteria:</w:t>
            </w:r>
          </w:p>
        </w:tc>
      </w:tr>
      <w:tr w:rsidR="00E963DB" w:rsidRPr="00E963DB" w14:paraId="38719E81"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350284DB" w14:textId="669834A8"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3CAF9EF3"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The treatment must be given concomitantly with best supportive care for this condition.</w:t>
            </w:r>
          </w:p>
        </w:tc>
      </w:tr>
      <w:tr w:rsidR="00E963DB" w:rsidRPr="00E963DB" w14:paraId="5CD26EE8"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79DA869D"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4F6B2760" w14:textId="77777777" w:rsidR="00E963DB" w:rsidRPr="00E963DB" w:rsidRDefault="00E963DB" w:rsidP="00E963DB">
            <w:pPr>
              <w:rPr>
                <w:rFonts w:ascii="Arial Narrow" w:eastAsia="Calibri" w:hAnsi="Arial Narrow"/>
                <w:sz w:val="20"/>
                <w:szCs w:val="20"/>
              </w:rPr>
            </w:pPr>
            <w:r w:rsidRPr="00E963DB">
              <w:rPr>
                <w:rFonts w:ascii="Arial Narrow" w:hAnsi="Arial Narrow"/>
                <w:b/>
                <w:bCs/>
                <w:sz w:val="20"/>
                <w:szCs w:val="20"/>
              </w:rPr>
              <w:t>AND</w:t>
            </w:r>
          </w:p>
        </w:tc>
      </w:tr>
      <w:tr w:rsidR="00E963DB" w:rsidRPr="00E963DB" w14:paraId="53C34DA4"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0FF59CBE" w14:textId="7828FEF3"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5C8ACC0F" w14:textId="77777777" w:rsidR="00E963DB" w:rsidRPr="00E963DB" w:rsidRDefault="00E963DB" w:rsidP="00E963DB">
            <w:pPr>
              <w:rPr>
                <w:rFonts w:ascii="Arial Narrow" w:eastAsia="Calibri" w:hAnsi="Arial Narrow"/>
                <w:sz w:val="20"/>
                <w:szCs w:val="20"/>
              </w:rPr>
            </w:pPr>
            <w:r w:rsidRPr="00E963DB">
              <w:rPr>
                <w:rFonts w:ascii="Arial Narrow" w:hAnsi="Arial Narrow"/>
                <w:b/>
                <w:bCs/>
                <w:sz w:val="20"/>
                <w:szCs w:val="20"/>
              </w:rPr>
              <w:t>Clinical criteria:</w:t>
            </w:r>
          </w:p>
        </w:tc>
      </w:tr>
      <w:tr w:rsidR="00E963DB" w:rsidRPr="00E963DB" w14:paraId="0E7EE7F3"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06865F87" w14:textId="57C99C06"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6C0B7470"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Patient must not have undergone a haematopoietic stem cell transplant</w:t>
            </w:r>
          </w:p>
        </w:tc>
      </w:tr>
      <w:tr w:rsidR="00E963DB" w:rsidRPr="00E963DB" w14:paraId="4C3FB890"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3595011D" w14:textId="6C7373CF"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hideMark/>
          </w:tcPr>
          <w:p w14:paraId="305872FA"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Treatment criteria:</w:t>
            </w:r>
          </w:p>
        </w:tc>
      </w:tr>
      <w:tr w:rsidR="00E963DB" w:rsidRPr="00E963DB" w14:paraId="0632233A"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43983AB0" w14:textId="242EC00A"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42104BA0" w14:textId="77777777" w:rsidR="00E963DB" w:rsidRPr="00E963DB" w:rsidRDefault="00E963DB" w:rsidP="00E963DB">
            <w:pPr>
              <w:autoSpaceDE w:val="0"/>
              <w:autoSpaceDN w:val="0"/>
              <w:adjustRightInd w:val="0"/>
              <w:rPr>
                <w:rFonts w:ascii="Arial Narrow" w:hAnsi="Arial Narrow" w:cs="Arial Narrow"/>
                <w:sz w:val="20"/>
                <w:szCs w:val="20"/>
              </w:rPr>
            </w:pPr>
            <w:r w:rsidRPr="00E963DB">
              <w:rPr>
                <w:rFonts w:ascii="Arial Narrow" w:eastAsia="Calibri" w:hAnsi="Arial Narrow"/>
                <w:sz w:val="20"/>
                <w:szCs w:val="20"/>
              </w:rPr>
              <w:t>Must be treated by a physician with expertise in the diagnosis and management of alpha-mannosidase, OR</w:t>
            </w:r>
          </w:p>
        </w:tc>
      </w:tr>
      <w:tr w:rsidR="00E963DB" w:rsidRPr="00E963DB" w14:paraId="153D8E6D"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4C7E2357" w14:textId="308A1294"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1E1E8E15" w14:textId="77777777" w:rsidR="00E963DB" w:rsidRPr="00E963DB" w:rsidRDefault="00E963DB" w:rsidP="00E963DB">
            <w:pPr>
              <w:autoSpaceDE w:val="0"/>
              <w:autoSpaceDN w:val="0"/>
              <w:adjustRightInd w:val="0"/>
              <w:rPr>
                <w:rFonts w:ascii="Arial Narrow" w:eastAsia="Calibri" w:hAnsi="Arial Narrow"/>
                <w:sz w:val="20"/>
                <w:szCs w:val="20"/>
              </w:rPr>
            </w:pPr>
            <w:r w:rsidRPr="00E963DB">
              <w:rPr>
                <w:rFonts w:ascii="Arial Narrow" w:eastAsia="Calibri" w:hAnsi="Arial Narrow"/>
                <w:sz w:val="20"/>
                <w:szCs w:val="20"/>
              </w:rPr>
              <w:t>Must be treated by a physician affiliated with a metabolic clinic or a hospital recognised in the management of alpha-mannosidosis.</w:t>
            </w:r>
          </w:p>
        </w:tc>
      </w:tr>
      <w:tr w:rsidR="00E963DB" w:rsidRPr="00E963DB" w14:paraId="296D4DEF"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59359E5E"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hideMark/>
          </w:tcPr>
          <w:p w14:paraId="790973F5" w14:textId="77777777" w:rsidR="00E963DB" w:rsidRPr="00E963DB" w:rsidRDefault="00E963DB" w:rsidP="00E963DB">
            <w:pPr>
              <w:rPr>
                <w:rFonts w:ascii="Arial Narrow" w:eastAsia="Calibri" w:hAnsi="Arial Narrow"/>
                <w:b/>
                <w:bCs/>
                <w:sz w:val="20"/>
                <w:szCs w:val="20"/>
              </w:rPr>
            </w:pPr>
            <w:r w:rsidRPr="00E963DB">
              <w:rPr>
                <w:rFonts w:ascii="Arial Narrow" w:hAnsi="Arial Narrow"/>
                <w:b/>
                <w:bCs/>
                <w:sz w:val="20"/>
                <w:szCs w:val="20"/>
              </w:rPr>
              <w:t>Prescribing Instruction:</w:t>
            </w:r>
            <w:r w:rsidRPr="00E963DB">
              <w:rPr>
                <w:rFonts w:ascii="Arial Narrow" w:eastAsia="Calibri" w:hAnsi="Arial Narrow"/>
                <w:b/>
                <w:bCs/>
                <w:sz w:val="20"/>
                <w:szCs w:val="20"/>
              </w:rPr>
              <w:t xml:space="preserve"> </w:t>
            </w:r>
          </w:p>
          <w:p w14:paraId="7AB268D9"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At the time of authority application, prescribers must request the appropriate number of vials, based on the body weight of the patient, to provide sufficient drug for 4 weeks of treatment, according to the specified dosage in the Therapeutic Goods Administration (TGA) approved Product Information.</w:t>
            </w:r>
          </w:p>
        </w:tc>
      </w:tr>
      <w:tr w:rsidR="00E963DB" w:rsidRPr="00E963DB" w14:paraId="3D053AAD"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6153A276" w14:textId="33256389"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608C847F" w14:textId="77777777" w:rsidR="00E963DB" w:rsidRPr="00E963DB" w:rsidRDefault="00E963DB" w:rsidP="00E963DB">
            <w:pPr>
              <w:rPr>
                <w:rFonts w:ascii="Arial Narrow" w:eastAsia="Calibri" w:hAnsi="Arial Narrow"/>
                <w:b/>
                <w:bCs/>
                <w:sz w:val="20"/>
                <w:szCs w:val="20"/>
              </w:rPr>
            </w:pPr>
            <w:r w:rsidRPr="00E963DB">
              <w:rPr>
                <w:rFonts w:ascii="Arial Narrow" w:hAnsi="Arial Narrow"/>
                <w:b/>
                <w:bCs/>
                <w:sz w:val="20"/>
                <w:szCs w:val="20"/>
              </w:rPr>
              <w:t>Prescribing Instruction:</w:t>
            </w:r>
            <w:r w:rsidRPr="00E963DB">
              <w:rPr>
                <w:rFonts w:ascii="Arial Narrow" w:eastAsia="Calibri" w:hAnsi="Arial Narrow"/>
                <w:b/>
                <w:bCs/>
                <w:sz w:val="20"/>
                <w:szCs w:val="20"/>
              </w:rPr>
              <w:t xml:space="preserve"> </w:t>
            </w:r>
          </w:p>
          <w:p w14:paraId="09C3F11A"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Confirmation of eligibility for treatment with diagnostic reports including leukocyte</w:t>
            </w:r>
            <w:r w:rsidRPr="00E963DB">
              <w:rPr>
                <w:rFonts w:ascii="Arial Narrow" w:eastAsia="Calibri" w:hAnsi="Arial Narrow"/>
                <w:sz w:val="20"/>
                <w:szCs w:val="20"/>
              </w:rPr>
              <w:noBreakHyphen/>
              <w:t>based assay, echocardiogram and genetic testing (if applicable) must be documented in the patient’s medical records.</w:t>
            </w:r>
          </w:p>
        </w:tc>
      </w:tr>
      <w:tr w:rsidR="00E963DB" w:rsidRPr="00E963DB" w14:paraId="03534196"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0CA8DC96" w14:textId="3C685AA2"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452322E2" w14:textId="77777777" w:rsidR="00E963DB" w:rsidRPr="00E963DB" w:rsidRDefault="00E963DB" w:rsidP="00E963DB">
            <w:pPr>
              <w:textAlignment w:val="baseline"/>
              <w:rPr>
                <w:rFonts w:ascii="Arial Narrow" w:hAnsi="Arial Narrow" w:cs="Segoe UI"/>
                <w:sz w:val="20"/>
                <w:szCs w:val="20"/>
              </w:rPr>
            </w:pPr>
            <w:r w:rsidRPr="00E963DB">
              <w:rPr>
                <w:rFonts w:ascii="Arial Narrow" w:hAnsi="Arial Narrow" w:cs="Segoe UI"/>
                <w:b/>
                <w:bCs/>
                <w:sz w:val="20"/>
                <w:szCs w:val="20"/>
              </w:rPr>
              <w:t>Prescribing Instructions:</w:t>
            </w:r>
            <w:r w:rsidRPr="00E963DB">
              <w:rPr>
                <w:rFonts w:ascii="Arial Narrow" w:hAnsi="Arial Narrow" w:cs="Segoe UI"/>
                <w:sz w:val="20"/>
                <w:szCs w:val="20"/>
              </w:rPr>
              <w:t> </w:t>
            </w:r>
          </w:p>
          <w:p w14:paraId="6FFE2160" w14:textId="77777777" w:rsidR="00E963DB" w:rsidRPr="00E963DB" w:rsidRDefault="00E963DB" w:rsidP="00E963DB">
            <w:pPr>
              <w:rPr>
                <w:rFonts w:ascii="Arial Narrow" w:hAnsi="Arial Narrow"/>
                <w:b/>
                <w:bCs/>
                <w:sz w:val="20"/>
                <w:szCs w:val="20"/>
              </w:rPr>
            </w:pPr>
            <w:r w:rsidRPr="00E963DB">
              <w:rPr>
                <w:rFonts w:ascii="Arial Narrow" w:hAnsi="Arial Narrow" w:cs="Segoe UI"/>
                <w:sz w:val="20"/>
                <w:szCs w:val="20"/>
              </w:rPr>
              <w:t>The authority application must be made via the Online PBS Authorities System, or in writing via HPOS form upload or mail. </w:t>
            </w:r>
          </w:p>
        </w:tc>
      </w:tr>
      <w:tr w:rsidR="00E963DB" w:rsidRPr="00E963DB" w14:paraId="5DF53974"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2C07C593" w14:textId="0A69C6DB"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41336714"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Prescribing Instructions:</w:t>
            </w:r>
          </w:p>
          <w:p w14:paraId="6C065077" w14:textId="77777777" w:rsidR="00E963DB" w:rsidRPr="00E963DB" w:rsidRDefault="00E963DB" w:rsidP="00E963DB">
            <w:pPr>
              <w:rPr>
                <w:rFonts w:ascii="Arial Narrow" w:hAnsi="Arial Narrow"/>
                <w:sz w:val="20"/>
                <w:szCs w:val="20"/>
              </w:rPr>
            </w:pPr>
            <w:r w:rsidRPr="00E963DB">
              <w:rPr>
                <w:rFonts w:ascii="Arial Narrow" w:hAnsi="Arial Narrow"/>
                <w:sz w:val="20"/>
                <w:szCs w:val="20"/>
              </w:rPr>
              <w:t>If the application is submitted through HPOS form upload or mail, it must include:</w:t>
            </w:r>
          </w:p>
          <w:p w14:paraId="4949DC24" w14:textId="77777777" w:rsidR="00E963DB" w:rsidRPr="00E963DB" w:rsidRDefault="00E963DB" w:rsidP="00E963DB">
            <w:pPr>
              <w:rPr>
                <w:rFonts w:ascii="Arial Narrow" w:hAnsi="Arial Narrow"/>
                <w:sz w:val="20"/>
                <w:szCs w:val="20"/>
              </w:rPr>
            </w:pPr>
            <w:r w:rsidRPr="00E963DB">
              <w:rPr>
                <w:rFonts w:ascii="Arial Narrow" w:hAnsi="Arial Narrow"/>
                <w:sz w:val="20"/>
                <w:szCs w:val="20"/>
              </w:rPr>
              <w:t>(i) details of the proposed prescription; and</w:t>
            </w:r>
          </w:p>
          <w:p w14:paraId="318F351C" w14:textId="77777777" w:rsidR="00E963DB" w:rsidRPr="00E963DB" w:rsidRDefault="00E963DB" w:rsidP="00E963DB">
            <w:pPr>
              <w:rPr>
                <w:rFonts w:ascii="Arial Narrow" w:hAnsi="Arial Narrow"/>
                <w:sz w:val="20"/>
                <w:szCs w:val="20"/>
              </w:rPr>
            </w:pPr>
            <w:r w:rsidRPr="00E963DB">
              <w:rPr>
                <w:rFonts w:ascii="Arial Narrow" w:hAnsi="Arial Narrow"/>
                <w:sz w:val="20"/>
                <w:szCs w:val="20"/>
              </w:rPr>
              <w:t>(ii) a completed authority application form relevant to the indication and treatment phase (the latest version is located on the website specified in the Administrative Advice).</w:t>
            </w:r>
          </w:p>
        </w:tc>
      </w:tr>
      <w:tr w:rsidR="00E963DB" w:rsidRPr="00E963DB" w:rsidDel="004717FD" w14:paraId="4BBC45C4" w14:textId="77777777" w:rsidTr="0088523E">
        <w:tblPrEx>
          <w:tblCellMar>
            <w:top w:w="15" w:type="dxa"/>
            <w:left w:w="15" w:type="dxa"/>
            <w:bottom w:w="15" w:type="dxa"/>
            <w:right w:w="15" w:type="dxa"/>
          </w:tblCellMar>
          <w:tblLook w:val="04A0" w:firstRow="1" w:lastRow="0" w:firstColumn="1" w:lastColumn="0" w:noHBand="0" w:noVBand="1"/>
        </w:tblPrEx>
        <w:trPr>
          <w:trHeight w:val="453"/>
        </w:trPr>
        <w:tc>
          <w:tcPr>
            <w:tcW w:w="5000" w:type="pct"/>
            <w:gridSpan w:val="7"/>
            <w:vAlign w:val="center"/>
          </w:tcPr>
          <w:p w14:paraId="23A9FF85" w14:textId="77777777" w:rsidR="00E963DB" w:rsidRPr="00E963DB" w:rsidDel="004717FD" w:rsidRDefault="00E963DB" w:rsidP="00E963DB">
            <w:pPr>
              <w:rPr>
                <w:rFonts w:ascii="Arial Narrow" w:hAnsi="Arial Narrow"/>
                <w:sz w:val="20"/>
                <w:szCs w:val="20"/>
              </w:rPr>
            </w:pPr>
          </w:p>
        </w:tc>
      </w:tr>
      <w:tr w:rsidR="00E963DB" w:rsidRPr="00E963DB" w:rsidDel="004717FD" w14:paraId="2F78CFD7" w14:textId="77777777" w:rsidTr="0088523E">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10CD4FBD" w14:textId="77777777" w:rsidR="00E963DB" w:rsidRPr="00E963DB" w:rsidDel="004717FD" w:rsidRDefault="00E963DB" w:rsidP="00E963DB">
            <w:pPr>
              <w:rPr>
                <w:rFonts w:ascii="Arial Narrow" w:hAnsi="Arial Narrow"/>
                <w:sz w:val="20"/>
                <w:szCs w:val="20"/>
              </w:rPr>
            </w:pPr>
            <w:r w:rsidRPr="00E963DB">
              <w:rPr>
                <w:rFonts w:ascii="Arial Narrow" w:hAnsi="Arial Narrow"/>
                <w:b/>
                <w:sz w:val="20"/>
                <w:szCs w:val="20"/>
              </w:rPr>
              <w:t>Restriction Summary [new2] / Treatment of Concept: [new2A]</w:t>
            </w:r>
          </w:p>
        </w:tc>
      </w:tr>
      <w:tr w:rsidR="00E963DB" w:rsidRPr="00E963DB" w:rsidDel="004717FD" w14:paraId="37581EB9"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48CA3E33" w14:textId="16FE7669"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11C1153A" w14:textId="77777777" w:rsidR="00E963DB" w:rsidRPr="00E963DB" w:rsidDel="004717FD" w:rsidRDefault="00E963DB" w:rsidP="00E963DB">
            <w:pPr>
              <w:rPr>
                <w:rFonts w:ascii="Arial Narrow" w:hAnsi="Arial Narrow"/>
                <w:sz w:val="20"/>
                <w:szCs w:val="20"/>
              </w:rPr>
            </w:pPr>
            <w:r w:rsidRPr="00E963DB">
              <w:rPr>
                <w:rFonts w:ascii="Arial Narrow" w:hAnsi="Arial Narrow"/>
                <w:b/>
                <w:bCs/>
                <w:sz w:val="20"/>
                <w:szCs w:val="20"/>
              </w:rPr>
              <w:t>Indication:</w:t>
            </w:r>
            <w:r w:rsidRPr="00E963DB">
              <w:rPr>
                <w:rFonts w:ascii="Arial Narrow" w:hAnsi="Arial Narrow"/>
                <w:sz w:val="20"/>
                <w:szCs w:val="20"/>
              </w:rPr>
              <w:t xml:space="preserve"> </w:t>
            </w:r>
            <w:r w:rsidRPr="00E963DB">
              <w:rPr>
                <w:rFonts w:ascii="Arial Narrow" w:eastAsia="Calibri" w:hAnsi="Arial Narrow"/>
                <w:sz w:val="20"/>
                <w:szCs w:val="20"/>
              </w:rPr>
              <w:t>Alpha-mannosidosis (AM)</w:t>
            </w:r>
          </w:p>
        </w:tc>
      </w:tr>
      <w:tr w:rsidR="00E963DB" w:rsidRPr="00E963DB" w:rsidDel="004717FD" w14:paraId="25C7FB77"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4A9F7214" w14:textId="77777777"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61E83F0F" w14:textId="77777777" w:rsidR="00E963DB" w:rsidRPr="00E963DB" w:rsidDel="004717FD" w:rsidRDefault="00E963DB" w:rsidP="00E963DB">
            <w:pPr>
              <w:rPr>
                <w:rFonts w:ascii="Arial Narrow" w:hAnsi="Arial Narrow"/>
                <w:sz w:val="20"/>
                <w:szCs w:val="20"/>
              </w:rPr>
            </w:pPr>
            <w:r w:rsidRPr="00E963DB">
              <w:rPr>
                <w:rFonts w:ascii="Arial Narrow" w:hAnsi="Arial Narrow"/>
                <w:b/>
                <w:bCs/>
                <w:sz w:val="20"/>
                <w:szCs w:val="20"/>
              </w:rPr>
              <w:t xml:space="preserve">Treatment Phase: </w:t>
            </w:r>
            <w:r w:rsidRPr="00E963DB">
              <w:rPr>
                <w:rFonts w:ascii="Arial Narrow" w:hAnsi="Arial Narrow"/>
                <w:sz w:val="20"/>
                <w:szCs w:val="20"/>
              </w:rPr>
              <w:t>Continuing treatment</w:t>
            </w:r>
          </w:p>
        </w:tc>
      </w:tr>
      <w:tr w:rsidR="00E963DB" w:rsidRPr="00E963DB" w:rsidDel="004717FD" w14:paraId="14E586D1"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0406D5FB" w14:textId="3B114C1F"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154BB82E" w14:textId="77777777" w:rsidR="00E963DB" w:rsidRPr="00E963DB" w:rsidDel="004717FD" w:rsidRDefault="00E963DB" w:rsidP="00E963DB">
            <w:pPr>
              <w:rPr>
                <w:rFonts w:ascii="Arial Narrow" w:hAnsi="Arial Narrow"/>
                <w:sz w:val="20"/>
                <w:szCs w:val="20"/>
              </w:rPr>
            </w:pPr>
            <w:r w:rsidRPr="00E963DB">
              <w:rPr>
                <w:rFonts w:ascii="Arial Narrow" w:hAnsi="Arial Narrow"/>
                <w:b/>
                <w:bCs/>
                <w:sz w:val="20"/>
                <w:szCs w:val="20"/>
              </w:rPr>
              <w:t>Clinical criteria:</w:t>
            </w:r>
          </w:p>
        </w:tc>
      </w:tr>
      <w:tr w:rsidR="00E963DB" w:rsidRPr="00E963DB" w:rsidDel="004717FD" w14:paraId="19E489C7"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4471CC0E" w14:textId="21A22106"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5CADFD8A" w14:textId="77777777" w:rsidR="00E963DB" w:rsidRPr="00E963DB" w:rsidDel="004717FD" w:rsidRDefault="00E963DB" w:rsidP="00E963DB">
            <w:pPr>
              <w:rPr>
                <w:rFonts w:ascii="Arial Narrow" w:hAnsi="Arial Narrow"/>
                <w:sz w:val="20"/>
                <w:szCs w:val="20"/>
              </w:rPr>
            </w:pPr>
            <w:r w:rsidRPr="00E963DB">
              <w:rPr>
                <w:rFonts w:ascii="Arial Narrow" w:hAnsi="Arial Narrow"/>
                <w:sz w:val="20"/>
                <w:szCs w:val="20"/>
              </w:rPr>
              <w:t>Patient must have previously received PBS-subsidised treatment with this drug for this condition.</w:t>
            </w:r>
          </w:p>
        </w:tc>
      </w:tr>
      <w:tr w:rsidR="00E963DB" w:rsidRPr="00E963DB" w:rsidDel="004717FD" w14:paraId="5CCCAB94"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6F864752"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0D6AFF31" w14:textId="77777777" w:rsidR="00E963DB" w:rsidRPr="00E963DB" w:rsidRDefault="00E963DB" w:rsidP="00E963DB">
            <w:pPr>
              <w:rPr>
                <w:rFonts w:ascii="Arial Narrow" w:hAnsi="Arial Narrow"/>
                <w:sz w:val="20"/>
                <w:szCs w:val="20"/>
              </w:rPr>
            </w:pPr>
            <w:r w:rsidRPr="00E963DB">
              <w:rPr>
                <w:rFonts w:ascii="Arial Narrow" w:hAnsi="Arial Narrow"/>
                <w:b/>
                <w:bCs/>
                <w:sz w:val="20"/>
                <w:szCs w:val="20"/>
              </w:rPr>
              <w:t>AND</w:t>
            </w:r>
          </w:p>
        </w:tc>
      </w:tr>
      <w:tr w:rsidR="00E963DB" w:rsidRPr="00E963DB" w:rsidDel="004717FD" w14:paraId="101DD3B1"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32DF301F" w14:textId="63D99BE6"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3745E98F" w14:textId="77777777" w:rsidR="00E963DB" w:rsidRPr="00E963DB" w:rsidRDefault="00E963DB" w:rsidP="00E963DB">
            <w:pPr>
              <w:rPr>
                <w:rFonts w:ascii="Arial Narrow" w:hAnsi="Arial Narrow"/>
                <w:sz w:val="20"/>
                <w:szCs w:val="20"/>
              </w:rPr>
            </w:pPr>
            <w:r w:rsidRPr="00E963DB">
              <w:rPr>
                <w:rFonts w:ascii="Arial Narrow" w:hAnsi="Arial Narrow"/>
                <w:b/>
                <w:bCs/>
                <w:sz w:val="20"/>
                <w:szCs w:val="20"/>
              </w:rPr>
              <w:t>Clinical criteria:</w:t>
            </w:r>
          </w:p>
        </w:tc>
      </w:tr>
      <w:tr w:rsidR="00E963DB" w:rsidRPr="00E963DB" w:rsidDel="004717FD" w14:paraId="5961B79E"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634EDE61" w14:textId="2E3EB3A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63B6081A" w14:textId="77777777" w:rsidR="00E963DB" w:rsidRPr="00E963DB" w:rsidRDefault="00E963DB" w:rsidP="00E963DB">
            <w:pPr>
              <w:rPr>
                <w:rFonts w:ascii="Arial Narrow" w:hAnsi="Arial Narrow"/>
                <w:sz w:val="20"/>
                <w:szCs w:val="20"/>
              </w:rPr>
            </w:pPr>
            <w:r w:rsidRPr="00E963DB">
              <w:rPr>
                <w:rFonts w:ascii="Arial Narrow" w:eastAsia="Calibri" w:hAnsi="Arial Narrow"/>
                <w:sz w:val="20"/>
                <w:szCs w:val="20"/>
              </w:rPr>
              <w:t>Patient must not have undergone a haematopoietic stem cell transplant</w:t>
            </w:r>
          </w:p>
        </w:tc>
      </w:tr>
      <w:tr w:rsidR="00E963DB" w:rsidRPr="00E963DB" w:rsidDel="004717FD" w14:paraId="7BEDD43A"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14CE1100" w14:textId="77777777"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406EF65B" w14:textId="77777777" w:rsidR="00E963DB" w:rsidRPr="00E963DB" w:rsidDel="004717FD" w:rsidRDefault="00E963DB" w:rsidP="00E963DB">
            <w:pPr>
              <w:rPr>
                <w:rFonts w:ascii="Arial Narrow" w:hAnsi="Arial Narrow"/>
                <w:sz w:val="20"/>
                <w:szCs w:val="20"/>
              </w:rPr>
            </w:pPr>
            <w:r w:rsidRPr="00E963DB">
              <w:rPr>
                <w:rFonts w:ascii="Arial Narrow" w:hAnsi="Arial Narrow"/>
                <w:b/>
                <w:bCs/>
                <w:sz w:val="20"/>
                <w:szCs w:val="20"/>
              </w:rPr>
              <w:t>AND</w:t>
            </w:r>
          </w:p>
        </w:tc>
      </w:tr>
      <w:tr w:rsidR="00E963DB" w:rsidRPr="00E963DB" w:rsidDel="004717FD" w14:paraId="22E32FFE"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6DF3A6BC" w14:textId="367ED321"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37506944" w14:textId="77777777" w:rsidR="00E963DB" w:rsidRPr="00E963DB" w:rsidDel="004717FD" w:rsidRDefault="00E963DB" w:rsidP="00E963DB">
            <w:pPr>
              <w:rPr>
                <w:rFonts w:ascii="Arial Narrow" w:hAnsi="Arial Narrow"/>
                <w:sz w:val="20"/>
                <w:szCs w:val="20"/>
              </w:rPr>
            </w:pPr>
            <w:r w:rsidRPr="00E963DB">
              <w:rPr>
                <w:rFonts w:ascii="Arial Narrow" w:hAnsi="Arial Narrow"/>
                <w:b/>
                <w:bCs/>
                <w:sz w:val="20"/>
                <w:szCs w:val="20"/>
              </w:rPr>
              <w:t>Clinical criteria:</w:t>
            </w:r>
          </w:p>
        </w:tc>
      </w:tr>
      <w:tr w:rsidR="00E963DB" w:rsidRPr="00E963DB" w:rsidDel="004717FD" w14:paraId="491CA288"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00B4F865" w14:textId="3A765B13"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39A9FB5B" w14:textId="77777777" w:rsidR="00E963DB" w:rsidRPr="00E963DB" w:rsidDel="004717FD" w:rsidRDefault="00E963DB" w:rsidP="00E963DB">
            <w:pPr>
              <w:rPr>
                <w:rFonts w:ascii="Arial Narrow" w:hAnsi="Arial Narrow"/>
                <w:sz w:val="20"/>
                <w:szCs w:val="20"/>
              </w:rPr>
            </w:pPr>
            <w:r w:rsidRPr="00E963DB">
              <w:rPr>
                <w:rFonts w:ascii="Arial Narrow" w:hAnsi="Arial Narrow"/>
                <w:sz w:val="20"/>
                <w:szCs w:val="20"/>
              </w:rPr>
              <w:t>Patient must continue to demonstrate clinical benefit.</w:t>
            </w:r>
          </w:p>
        </w:tc>
      </w:tr>
      <w:tr w:rsidR="00E963DB" w:rsidRPr="00E963DB" w14:paraId="6C6C6704"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6A9423DB" w14:textId="7777777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50306A57" w14:textId="77777777" w:rsidR="00E963DB" w:rsidRPr="00E963DB" w:rsidRDefault="00E963DB" w:rsidP="00E963DB">
            <w:pPr>
              <w:rPr>
                <w:rFonts w:ascii="Arial Narrow" w:hAnsi="Arial Narrow"/>
                <w:sz w:val="20"/>
                <w:szCs w:val="20"/>
              </w:rPr>
            </w:pPr>
            <w:r w:rsidRPr="00E963DB">
              <w:rPr>
                <w:rFonts w:ascii="Arial Narrow" w:hAnsi="Arial Narrow"/>
                <w:b/>
                <w:bCs/>
                <w:sz w:val="20"/>
                <w:szCs w:val="20"/>
              </w:rPr>
              <w:t>AND</w:t>
            </w:r>
          </w:p>
        </w:tc>
      </w:tr>
      <w:tr w:rsidR="00E963DB" w:rsidRPr="00E963DB" w14:paraId="5DC7BAF4"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15B8F55F" w14:textId="6990C9AE"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73AA0D28" w14:textId="77777777" w:rsidR="00E963DB" w:rsidRPr="00E963DB" w:rsidRDefault="00E963DB" w:rsidP="00E963DB">
            <w:pPr>
              <w:rPr>
                <w:rFonts w:ascii="Arial Narrow" w:hAnsi="Arial Narrow"/>
                <w:sz w:val="20"/>
                <w:szCs w:val="20"/>
              </w:rPr>
            </w:pPr>
            <w:r w:rsidRPr="00E963DB">
              <w:rPr>
                <w:rFonts w:ascii="Arial Narrow" w:hAnsi="Arial Narrow"/>
                <w:b/>
                <w:bCs/>
                <w:sz w:val="20"/>
                <w:szCs w:val="20"/>
              </w:rPr>
              <w:t>Clinical criteria:</w:t>
            </w:r>
          </w:p>
        </w:tc>
      </w:tr>
      <w:tr w:rsidR="00E963DB" w:rsidRPr="00E963DB" w14:paraId="5CF0FEC5"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525C138F" w14:textId="729619FC"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31672486" w14:textId="77777777" w:rsidR="00E963DB" w:rsidRPr="00E963DB" w:rsidRDefault="00E963DB" w:rsidP="00E963DB">
            <w:pPr>
              <w:rPr>
                <w:rFonts w:ascii="Arial Narrow" w:hAnsi="Arial Narrow"/>
                <w:sz w:val="20"/>
                <w:szCs w:val="20"/>
              </w:rPr>
            </w:pPr>
            <w:r w:rsidRPr="00E963DB">
              <w:rPr>
                <w:rFonts w:ascii="Arial Narrow" w:eastAsia="Calibri" w:hAnsi="Arial Narrow"/>
                <w:sz w:val="20"/>
                <w:szCs w:val="20"/>
              </w:rPr>
              <w:t>Patient must have non-neurological manifestations of alpha mannosidosis.</w:t>
            </w:r>
          </w:p>
        </w:tc>
      </w:tr>
      <w:tr w:rsidR="00E963DB" w:rsidRPr="00E963DB" w:rsidDel="004717FD" w14:paraId="1B918610"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246AC075" w14:textId="77777777"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2E6609C5" w14:textId="77777777" w:rsidR="00E963DB" w:rsidRPr="00E963DB" w:rsidDel="004717FD" w:rsidRDefault="00E963DB" w:rsidP="00E963DB">
            <w:pPr>
              <w:rPr>
                <w:rFonts w:ascii="Arial Narrow" w:hAnsi="Arial Narrow"/>
                <w:sz w:val="20"/>
                <w:szCs w:val="20"/>
              </w:rPr>
            </w:pPr>
            <w:r w:rsidRPr="00E963DB">
              <w:rPr>
                <w:rFonts w:ascii="Arial Narrow" w:hAnsi="Arial Narrow"/>
                <w:b/>
                <w:bCs/>
                <w:sz w:val="20"/>
                <w:szCs w:val="20"/>
              </w:rPr>
              <w:t>AND</w:t>
            </w:r>
          </w:p>
        </w:tc>
      </w:tr>
      <w:tr w:rsidR="00E963DB" w:rsidRPr="00E963DB" w14:paraId="5273CF83"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38D0CFD5" w14:textId="036FC978"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3DC1E4D0" w14:textId="77777777" w:rsidR="00E963DB" w:rsidRPr="00E963DB" w:rsidRDefault="00E963DB" w:rsidP="00E963DB">
            <w:pPr>
              <w:rPr>
                <w:rFonts w:ascii="Arial Narrow" w:hAnsi="Arial Narrow"/>
                <w:b/>
                <w:bCs/>
                <w:sz w:val="20"/>
                <w:szCs w:val="20"/>
              </w:rPr>
            </w:pPr>
            <w:r w:rsidRPr="00E963DB">
              <w:rPr>
                <w:rFonts w:ascii="Arial Narrow" w:hAnsi="Arial Narrow"/>
                <w:b/>
                <w:bCs/>
                <w:sz w:val="20"/>
                <w:szCs w:val="20"/>
              </w:rPr>
              <w:t>Clinical criteria:</w:t>
            </w:r>
          </w:p>
        </w:tc>
      </w:tr>
      <w:tr w:rsidR="00E963DB" w:rsidRPr="00E963DB" w14:paraId="44D497D9"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3FECA729" w14:textId="7290A9E0"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74D5B02D" w14:textId="77777777" w:rsidR="00E963DB" w:rsidRPr="00E963DB" w:rsidRDefault="00E963DB" w:rsidP="00E963DB">
            <w:pPr>
              <w:rPr>
                <w:rFonts w:ascii="Arial Narrow" w:hAnsi="Arial Narrow"/>
                <w:b/>
                <w:bCs/>
                <w:sz w:val="20"/>
                <w:szCs w:val="20"/>
              </w:rPr>
            </w:pPr>
            <w:r w:rsidRPr="00E963DB">
              <w:rPr>
                <w:rFonts w:ascii="Arial Narrow" w:eastAsia="Calibri" w:hAnsi="Arial Narrow"/>
                <w:sz w:val="20"/>
                <w:szCs w:val="20"/>
              </w:rPr>
              <w:t>The treatment must be given concomitantly with best supportive care for this condition.</w:t>
            </w:r>
          </w:p>
        </w:tc>
      </w:tr>
      <w:tr w:rsidR="00E963DB" w:rsidRPr="00E963DB" w14:paraId="6996DEEA"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2AD23015" w14:textId="32D1F9CD"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5C8B5DB5" w14:textId="77777777" w:rsidR="00E963DB" w:rsidRPr="00E963DB" w:rsidRDefault="00E963DB" w:rsidP="00E963DB">
            <w:pPr>
              <w:rPr>
                <w:rFonts w:ascii="Arial Narrow" w:eastAsia="Calibri" w:hAnsi="Arial Narrow"/>
                <w:sz w:val="20"/>
                <w:szCs w:val="20"/>
              </w:rPr>
            </w:pPr>
            <w:r w:rsidRPr="00E963DB">
              <w:rPr>
                <w:rFonts w:ascii="Arial Narrow" w:hAnsi="Arial Narrow"/>
                <w:b/>
                <w:bCs/>
                <w:sz w:val="20"/>
                <w:szCs w:val="20"/>
              </w:rPr>
              <w:t>Treatment criteria:</w:t>
            </w:r>
          </w:p>
        </w:tc>
      </w:tr>
      <w:tr w:rsidR="00E963DB" w:rsidRPr="00E963DB" w14:paraId="101C3538"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5BF2A201" w14:textId="3C68F807"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063DE8E4"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Must be treated by a physician with expertise in the diagnosis and management of alpha-mannosidase, OR</w:t>
            </w:r>
          </w:p>
        </w:tc>
      </w:tr>
      <w:tr w:rsidR="00E963DB" w:rsidRPr="00E963DB" w14:paraId="6F434379"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25325646" w14:textId="21FFF41E" w:rsidR="00E963DB" w:rsidRPr="00E963DB" w:rsidRDefault="00E963DB" w:rsidP="00E963DB">
            <w:pPr>
              <w:jc w:val="center"/>
              <w:rPr>
                <w:rFonts w:ascii="Arial Narrow" w:hAnsi="Arial Narrow"/>
                <w:color w:val="000000" w:themeColor="text1"/>
                <w:sz w:val="20"/>
                <w:szCs w:val="20"/>
              </w:rPr>
            </w:pPr>
          </w:p>
        </w:tc>
        <w:tc>
          <w:tcPr>
            <w:tcW w:w="4538" w:type="pct"/>
            <w:gridSpan w:val="6"/>
            <w:vAlign w:val="center"/>
          </w:tcPr>
          <w:p w14:paraId="1724865C" w14:textId="77777777" w:rsidR="00E963DB" w:rsidRPr="00E963DB" w:rsidRDefault="00E963DB" w:rsidP="00E963DB">
            <w:pPr>
              <w:rPr>
                <w:rFonts w:ascii="Arial Narrow" w:eastAsia="Calibri" w:hAnsi="Arial Narrow"/>
                <w:sz w:val="20"/>
                <w:szCs w:val="20"/>
              </w:rPr>
            </w:pPr>
            <w:r w:rsidRPr="00E963DB">
              <w:rPr>
                <w:rFonts w:ascii="Arial Narrow" w:eastAsia="Calibri" w:hAnsi="Arial Narrow"/>
                <w:sz w:val="20"/>
                <w:szCs w:val="20"/>
              </w:rPr>
              <w:t>Must be treated by a physician affiliated with a metabolic clinic or a hospital recognised in the management of alpha-mannosidosis.</w:t>
            </w:r>
          </w:p>
        </w:tc>
      </w:tr>
      <w:tr w:rsidR="00E963DB" w:rsidRPr="00E963DB" w:rsidDel="004717FD" w14:paraId="0D7065F4"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120EB5C0" w14:textId="77777777"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595F4458" w14:textId="77777777" w:rsidR="00E963DB" w:rsidRPr="00E963DB" w:rsidRDefault="00E963DB" w:rsidP="00E963DB">
            <w:pPr>
              <w:rPr>
                <w:rFonts w:ascii="Arial Narrow" w:eastAsia="Calibri" w:hAnsi="Arial Narrow"/>
                <w:b/>
                <w:bCs/>
                <w:sz w:val="20"/>
                <w:szCs w:val="20"/>
              </w:rPr>
            </w:pPr>
            <w:r w:rsidRPr="00E963DB">
              <w:rPr>
                <w:rFonts w:ascii="Arial Narrow" w:hAnsi="Arial Narrow"/>
                <w:b/>
                <w:bCs/>
                <w:sz w:val="20"/>
                <w:szCs w:val="20"/>
              </w:rPr>
              <w:t>Prescribing Instruction:</w:t>
            </w:r>
            <w:r w:rsidRPr="00E963DB">
              <w:rPr>
                <w:rFonts w:ascii="Arial Narrow" w:eastAsia="Calibri" w:hAnsi="Arial Narrow"/>
                <w:b/>
                <w:bCs/>
                <w:sz w:val="20"/>
                <w:szCs w:val="20"/>
              </w:rPr>
              <w:t xml:space="preserve"> </w:t>
            </w:r>
          </w:p>
          <w:p w14:paraId="36CDBA49" w14:textId="77777777" w:rsidR="00E963DB" w:rsidRPr="00E963DB" w:rsidDel="004717FD" w:rsidRDefault="00E963DB" w:rsidP="00E963DB">
            <w:pPr>
              <w:rPr>
                <w:rFonts w:ascii="Arial Narrow" w:hAnsi="Arial Narrow"/>
                <w:sz w:val="20"/>
                <w:szCs w:val="20"/>
              </w:rPr>
            </w:pPr>
            <w:r w:rsidRPr="00E963DB">
              <w:rPr>
                <w:rFonts w:ascii="Arial Narrow" w:eastAsia="Calibri" w:hAnsi="Arial Narrow"/>
                <w:sz w:val="20"/>
                <w:szCs w:val="20"/>
              </w:rPr>
              <w:t>At the time of authority application, prescribers must request the appropriate number of vials, based on the body weight of the patient, to provide sufficient drug for 4 weeks of treatment, according to the specified dosage in the Therapeutic Goods Administration (TGA) approved Product Information.</w:t>
            </w:r>
          </w:p>
        </w:tc>
      </w:tr>
      <w:tr w:rsidR="00E963DB" w:rsidRPr="00E963DB" w:rsidDel="004717FD" w14:paraId="27DE7A47"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2F15EF1D" w14:textId="3799A9C4"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77830359" w14:textId="77777777" w:rsidR="00E963DB" w:rsidRPr="00E963DB" w:rsidRDefault="00E963DB" w:rsidP="00E963DB">
            <w:pPr>
              <w:textAlignment w:val="baseline"/>
              <w:rPr>
                <w:rFonts w:ascii="Arial Narrow" w:hAnsi="Arial Narrow" w:cs="Segoe UI"/>
                <w:sz w:val="20"/>
                <w:szCs w:val="20"/>
              </w:rPr>
            </w:pPr>
            <w:r w:rsidRPr="00E963DB">
              <w:rPr>
                <w:rFonts w:ascii="Arial Narrow" w:hAnsi="Arial Narrow" w:cs="Segoe UI"/>
                <w:b/>
                <w:bCs/>
                <w:sz w:val="20"/>
                <w:szCs w:val="20"/>
              </w:rPr>
              <w:t>Prescribing Instructions:</w:t>
            </w:r>
            <w:r w:rsidRPr="00E963DB">
              <w:rPr>
                <w:rFonts w:ascii="Arial Narrow" w:hAnsi="Arial Narrow" w:cs="Segoe UI"/>
                <w:sz w:val="20"/>
                <w:szCs w:val="20"/>
              </w:rPr>
              <w:t> </w:t>
            </w:r>
          </w:p>
          <w:p w14:paraId="78246909" w14:textId="77777777" w:rsidR="00E963DB" w:rsidRPr="00E963DB" w:rsidDel="004717FD" w:rsidRDefault="00E963DB" w:rsidP="00E963DB">
            <w:pPr>
              <w:rPr>
                <w:rFonts w:ascii="Arial Narrow" w:hAnsi="Arial Narrow"/>
                <w:sz w:val="20"/>
                <w:szCs w:val="20"/>
              </w:rPr>
            </w:pPr>
            <w:r w:rsidRPr="00E963DB">
              <w:rPr>
                <w:rFonts w:ascii="Arial Narrow" w:hAnsi="Arial Narrow" w:cs="Segoe UI"/>
                <w:sz w:val="20"/>
                <w:szCs w:val="20"/>
              </w:rPr>
              <w:t>The authority application must be made via the Online PBS Authorities System, or in writing via HPOS form upload or mail. </w:t>
            </w:r>
          </w:p>
        </w:tc>
      </w:tr>
      <w:tr w:rsidR="00E963DB" w:rsidRPr="00E963DB" w:rsidDel="004717FD" w14:paraId="55C22877" w14:textId="77777777" w:rsidTr="0088523E">
        <w:tblPrEx>
          <w:tblCellMar>
            <w:top w:w="15" w:type="dxa"/>
            <w:left w:w="15" w:type="dxa"/>
            <w:bottom w:w="15" w:type="dxa"/>
            <w:right w:w="15" w:type="dxa"/>
          </w:tblCellMar>
          <w:tblLook w:val="04A0" w:firstRow="1" w:lastRow="0" w:firstColumn="1" w:lastColumn="0" w:noHBand="0" w:noVBand="1"/>
        </w:tblPrEx>
        <w:tc>
          <w:tcPr>
            <w:tcW w:w="462" w:type="pct"/>
            <w:vAlign w:val="center"/>
          </w:tcPr>
          <w:p w14:paraId="1D05C0F3" w14:textId="1D128E76" w:rsidR="00E963DB" w:rsidRPr="00E963DB" w:rsidDel="004717FD" w:rsidRDefault="00E963DB" w:rsidP="00E963DB">
            <w:pPr>
              <w:jc w:val="center"/>
              <w:rPr>
                <w:rFonts w:ascii="Arial Narrow" w:hAnsi="Arial Narrow"/>
                <w:color w:val="000000" w:themeColor="text1"/>
                <w:sz w:val="20"/>
                <w:szCs w:val="20"/>
              </w:rPr>
            </w:pPr>
          </w:p>
        </w:tc>
        <w:tc>
          <w:tcPr>
            <w:tcW w:w="4538" w:type="pct"/>
            <w:gridSpan w:val="6"/>
            <w:vAlign w:val="center"/>
          </w:tcPr>
          <w:p w14:paraId="00C7E4E0" w14:textId="77777777" w:rsidR="00E963DB" w:rsidRPr="00E963DB" w:rsidRDefault="00E963DB" w:rsidP="00E963DB">
            <w:pPr>
              <w:textAlignment w:val="baseline"/>
              <w:rPr>
                <w:rFonts w:ascii="Arial Narrow" w:hAnsi="Arial Narrow" w:cs="Segoe UI"/>
                <w:sz w:val="20"/>
                <w:szCs w:val="20"/>
              </w:rPr>
            </w:pPr>
            <w:r w:rsidRPr="00E963DB">
              <w:rPr>
                <w:rFonts w:ascii="Arial Narrow" w:hAnsi="Arial Narrow" w:cs="Segoe UI"/>
                <w:b/>
                <w:bCs/>
                <w:sz w:val="20"/>
                <w:szCs w:val="20"/>
              </w:rPr>
              <w:t>Prescribing Instructions:</w:t>
            </w:r>
            <w:r w:rsidRPr="00E963DB">
              <w:rPr>
                <w:rFonts w:ascii="Arial Narrow" w:hAnsi="Arial Narrow" w:cs="Segoe UI"/>
                <w:sz w:val="20"/>
                <w:szCs w:val="20"/>
              </w:rPr>
              <w:t> </w:t>
            </w:r>
          </w:p>
          <w:p w14:paraId="0FA41A81" w14:textId="77777777" w:rsidR="00E963DB" w:rsidRPr="00E963DB" w:rsidRDefault="00E963DB" w:rsidP="00E963DB">
            <w:pPr>
              <w:textAlignment w:val="baseline"/>
              <w:rPr>
                <w:rFonts w:ascii="Arial Narrow" w:hAnsi="Arial Narrow" w:cs="Segoe UI"/>
                <w:sz w:val="20"/>
                <w:szCs w:val="20"/>
              </w:rPr>
            </w:pPr>
            <w:r w:rsidRPr="00E963DB">
              <w:rPr>
                <w:rFonts w:ascii="Arial Narrow" w:hAnsi="Arial Narrow" w:cs="Segoe UI"/>
                <w:sz w:val="20"/>
                <w:szCs w:val="20"/>
              </w:rPr>
              <w:t>If the application is submitted through HPOS form upload or mail, it must include: </w:t>
            </w:r>
          </w:p>
          <w:p w14:paraId="25997206" w14:textId="77777777" w:rsidR="00E963DB" w:rsidRPr="00E963DB" w:rsidRDefault="00E963DB" w:rsidP="00E963DB">
            <w:pPr>
              <w:textAlignment w:val="baseline"/>
              <w:rPr>
                <w:rFonts w:ascii="Arial Narrow" w:hAnsi="Arial Narrow" w:cs="Segoe UI"/>
                <w:sz w:val="20"/>
                <w:szCs w:val="20"/>
              </w:rPr>
            </w:pPr>
            <w:r w:rsidRPr="00E963DB">
              <w:rPr>
                <w:rFonts w:ascii="Arial Narrow" w:hAnsi="Arial Narrow" w:cs="Segoe UI"/>
                <w:sz w:val="20"/>
                <w:szCs w:val="20"/>
              </w:rPr>
              <w:t>(i) details of the proposed prescription; and </w:t>
            </w:r>
          </w:p>
          <w:p w14:paraId="0AB82723" w14:textId="77777777" w:rsidR="00E963DB" w:rsidRPr="00E963DB" w:rsidDel="004717FD" w:rsidRDefault="00E963DB" w:rsidP="00E963DB">
            <w:pPr>
              <w:rPr>
                <w:rFonts w:ascii="Arial Narrow" w:hAnsi="Arial Narrow"/>
                <w:sz w:val="20"/>
                <w:szCs w:val="20"/>
              </w:rPr>
            </w:pPr>
            <w:r w:rsidRPr="00E963DB">
              <w:rPr>
                <w:rFonts w:ascii="Arial Narrow" w:hAnsi="Arial Narrow" w:cs="Segoe UI"/>
                <w:sz w:val="20"/>
                <w:szCs w:val="20"/>
              </w:rPr>
              <w:t>(ii) a completed authority application form relevant to the indication and treatment phase (the latest version is located on the website specified in the Administrative Advice). </w:t>
            </w:r>
          </w:p>
        </w:tc>
      </w:tr>
    </w:tbl>
    <w:p w14:paraId="14974F03" w14:textId="77777777" w:rsidR="00E963DB" w:rsidRPr="00E963DB" w:rsidRDefault="00E963DB" w:rsidP="00E963DB">
      <w:pPr>
        <w:spacing w:after="120"/>
        <w:ind w:left="720" w:hanging="720"/>
        <w:rPr>
          <w:rFonts w:asciiTheme="minorHAnsi" w:hAnsiTheme="minorHAnsi"/>
          <w:i/>
          <w:iCs/>
          <w:snapToGrid w:val="0"/>
        </w:rPr>
      </w:pPr>
    </w:p>
    <w:p w14:paraId="0BBEE5EF" w14:textId="77777777" w:rsidR="00E963DB" w:rsidRDefault="00E963DB" w:rsidP="00E963DB">
      <w:pPr>
        <w:spacing w:before="120"/>
        <w:rPr>
          <w:rFonts w:asciiTheme="minorHAnsi" w:hAnsiTheme="minorHAnsi"/>
          <w:b/>
          <w:i/>
          <w:iCs/>
          <w:snapToGrid w:val="0"/>
          <w:lang w:val="en-GB"/>
        </w:rPr>
      </w:pPr>
      <w:r w:rsidRPr="00E963DB">
        <w:rPr>
          <w:rFonts w:asciiTheme="minorHAnsi" w:hAnsiTheme="minorHAnsi"/>
          <w:b/>
          <w:i/>
          <w:iCs/>
          <w:snapToGrid w:val="0"/>
          <w:lang w:val="en-GB"/>
        </w:rPr>
        <w:t>These restrictions may be subject to further review. Should there be any changes made to the restriction the sponsor will be informed.</w:t>
      </w:r>
    </w:p>
    <w:p w14:paraId="3D0F7A61" w14:textId="77777777" w:rsidR="00847BAC" w:rsidRPr="00847BAC" w:rsidRDefault="00847BAC" w:rsidP="00CD7617">
      <w:pPr>
        <w:keepNext/>
        <w:numPr>
          <w:ilvl w:val="0"/>
          <w:numId w:val="1"/>
        </w:numPr>
        <w:spacing w:before="240" w:after="120"/>
        <w:jc w:val="left"/>
        <w:outlineLvl w:val="0"/>
        <w:rPr>
          <w:rFonts w:asciiTheme="minorHAnsi" w:hAnsiTheme="minorHAnsi" w:cs="Times New Roman"/>
          <w:b/>
          <w:bCs/>
          <w:snapToGrid w:val="0"/>
          <w:sz w:val="32"/>
          <w:szCs w:val="32"/>
          <w:lang w:val="en-GB"/>
        </w:rPr>
      </w:pPr>
      <w:bookmarkStart w:id="151" w:name="_Hlk175730821"/>
      <w:r w:rsidRPr="00847BAC">
        <w:rPr>
          <w:rFonts w:asciiTheme="minorHAnsi" w:hAnsiTheme="minorHAnsi" w:cs="Times New Roman"/>
          <w:b/>
          <w:bCs/>
          <w:snapToGrid w:val="0"/>
          <w:sz w:val="32"/>
          <w:szCs w:val="32"/>
        </w:rPr>
        <w:t>Context for Decision</w:t>
      </w:r>
    </w:p>
    <w:p w14:paraId="15D6C1E5" w14:textId="77777777" w:rsidR="00847BAC" w:rsidRPr="00847BAC" w:rsidRDefault="00847BAC" w:rsidP="00847BAC">
      <w:pPr>
        <w:spacing w:after="120"/>
        <w:ind w:left="720"/>
        <w:jc w:val="left"/>
        <w:rPr>
          <w:rFonts w:asciiTheme="minorHAnsi" w:hAnsiTheme="minorHAnsi" w:cs="Times New Roman"/>
          <w:bCs/>
          <w:lang w:val="en-GB"/>
        </w:rPr>
      </w:pPr>
      <w:r w:rsidRPr="00847BAC">
        <w:rPr>
          <w:rFonts w:asciiTheme="minorHAnsi" w:hAnsiTheme="minorHAnsi" w:cs="Times New Roman"/>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AD91BD2" w14:textId="77777777" w:rsidR="00847BAC" w:rsidRPr="00847BAC" w:rsidRDefault="00847BAC" w:rsidP="00CD7617">
      <w:pPr>
        <w:keepNext/>
        <w:numPr>
          <w:ilvl w:val="0"/>
          <w:numId w:val="1"/>
        </w:numPr>
        <w:spacing w:before="240" w:after="120"/>
        <w:jc w:val="left"/>
        <w:outlineLvl w:val="0"/>
        <w:rPr>
          <w:rFonts w:asciiTheme="minorHAnsi" w:hAnsiTheme="minorHAnsi" w:cs="Times New Roman"/>
          <w:b/>
          <w:snapToGrid w:val="0"/>
          <w:sz w:val="32"/>
          <w:szCs w:val="32"/>
        </w:rPr>
      </w:pPr>
      <w:r w:rsidRPr="00847BAC">
        <w:rPr>
          <w:rFonts w:asciiTheme="minorHAnsi" w:hAnsiTheme="minorHAnsi" w:cs="Times New Roman"/>
          <w:b/>
          <w:snapToGrid w:val="0"/>
          <w:sz w:val="32"/>
          <w:szCs w:val="32"/>
        </w:rPr>
        <w:t>Sponsor’s Comment</w:t>
      </w:r>
    </w:p>
    <w:p w14:paraId="644BF7A9" w14:textId="77777777" w:rsidR="00847BAC" w:rsidRPr="00847BAC" w:rsidRDefault="00847BAC" w:rsidP="00847BAC">
      <w:pPr>
        <w:spacing w:after="120" w:line="276" w:lineRule="auto"/>
        <w:ind w:left="720"/>
        <w:jc w:val="left"/>
        <w:rPr>
          <w:rFonts w:asciiTheme="minorHAnsi" w:eastAsiaTheme="minorHAnsi" w:hAnsiTheme="minorHAnsi" w:cs="Times New Roman"/>
          <w:bCs/>
          <w:szCs w:val="22"/>
          <w:lang w:eastAsia="en-US"/>
        </w:rPr>
      </w:pPr>
      <w:r w:rsidRPr="00847BAC">
        <w:rPr>
          <w:rFonts w:asciiTheme="minorHAnsi" w:eastAsiaTheme="minorHAnsi" w:hAnsiTheme="minorHAnsi" w:cs="Times New Roman"/>
          <w:bCs/>
          <w:szCs w:val="22"/>
          <w:lang w:eastAsia="en-US"/>
        </w:rPr>
        <w:t>The sponsor had no comment.</w:t>
      </w:r>
      <w:bookmarkEnd w:id="116"/>
      <w:bookmarkEnd w:id="151"/>
    </w:p>
    <w:sectPr w:rsidR="00847BAC" w:rsidRPr="00847BAC" w:rsidSect="00902A22">
      <w:headerReference w:type="even" r:id="rId26"/>
      <w:headerReference w:type="default" r:id="rId27"/>
      <w:footerReference w:type="even" r:id="rId28"/>
      <w:footerReference w:type="default" r:id="rId29"/>
      <w:headerReference w:type="first" r:id="rId30"/>
      <w:footerReference w:type="first" r:id="rId3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978F" w14:textId="77777777" w:rsidR="00FE31B3" w:rsidRPr="00886D8A" w:rsidRDefault="00FE31B3" w:rsidP="00124A51">
      <w:r w:rsidRPr="00886D8A">
        <w:separator/>
      </w:r>
    </w:p>
    <w:p w14:paraId="0248312E" w14:textId="77777777" w:rsidR="00FE31B3" w:rsidRPr="00886D8A" w:rsidRDefault="00FE31B3"/>
  </w:endnote>
  <w:endnote w:type="continuationSeparator" w:id="0">
    <w:p w14:paraId="7DAC6A7B" w14:textId="77777777" w:rsidR="00FE31B3" w:rsidRPr="00886D8A" w:rsidRDefault="00FE31B3" w:rsidP="00124A51">
      <w:r w:rsidRPr="00886D8A">
        <w:continuationSeparator/>
      </w:r>
    </w:p>
    <w:p w14:paraId="5A7DF77A" w14:textId="77777777" w:rsidR="00FE31B3" w:rsidRPr="00886D8A" w:rsidRDefault="00FE31B3"/>
  </w:endnote>
  <w:endnote w:type="continuationNotice" w:id="1">
    <w:p w14:paraId="6E228C5A" w14:textId="77777777" w:rsidR="00FE31B3" w:rsidRPr="00886D8A" w:rsidRDefault="00FE3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Body)">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EC9E" w14:textId="38507D7D" w:rsidR="00ED4AC4" w:rsidRDefault="009536EE">
    <w:pPr>
      <w:pStyle w:val="Footer"/>
    </w:pPr>
    <w:r>
      <w:rPr>
        <w:noProof/>
      </w:rPr>
      <mc:AlternateContent>
        <mc:Choice Requires="wps">
          <w:drawing>
            <wp:anchor distT="0" distB="0" distL="0" distR="0" simplePos="0" relativeHeight="251658244" behindDoc="0" locked="0" layoutInCell="1" allowOverlap="1" wp14:anchorId="02EAE53A" wp14:editId="30AAA67D">
              <wp:simplePos x="635" y="635"/>
              <wp:positionH relativeFrom="page">
                <wp:align>center</wp:align>
              </wp:positionH>
              <wp:positionV relativeFrom="page">
                <wp:align>bottom</wp:align>
              </wp:positionV>
              <wp:extent cx="551815" cy="376555"/>
              <wp:effectExtent l="0" t="0" r="635" b="0"/>
              <wp:wrapNone/>
              <wp:docPr id="6967801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787D46" w14:textId="77777777" w:rsidR="009536EE" w:rsidRPr="009536EE" w:rsidRDefault="009536EE" w:rsidP="009536EE">
                          <w:pPr>
                            <w:rPr>
                              <w:rFonts w:eastAsia="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AE53A" id="_x0000_t202" coordsize="21600,21600" o:spt="202" path="m,l,21600r21600,l21600,xe">
              <v:stroke joinstyle="miter"/>
              <v:path gradientshapeok="t" o:connecttype="rect"/>
            </v:shapetype>
            <v:shape id="Text Box 5" o:spid="_x0000_s1029"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9787D46" w14:textId="77777777" w:rsidR="009536EE" w:rsidRPr="009536EE" w:rsidRDefault="009536EE" w:rsidP="009536EE">
                    <w:pPr>
                      <w:rPr>
                        <w:rFonts w:eastAsia="Calibri" w:cs="Calibri"/>
                        <w:noProof/>
                        <w:color w:val="FF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191276D" w:rsidR="00D843F2" w:rsidRPr="00886D8A" w:rsidRDefault="009536EE" w:rsidP="00753B29">
    <w:pPr>
      <w:pStyle w:val="Footer"/>
      <w:jc w:val="center"/>
    </w:pPr>
    <w:r>
      <w:rPr>
        <w:noProof/>
      </w:rPr>
      <mc:AlternateContent>
        <mc:Choice Requires="wps">
          <w:drawing>
            <wp:anchor distT="0" distB="0" distL="0" distR="0" simplePos="0" relativeHeight="251658245" behindDoc="0" locked="0" layoutInCell="1" allowOverlap="1" wp14:anchorId="28A23C78" wp14:editId="6EC85D98">
              <wp:simplePos x="635" y="635"/>
              <wp:positionH relativeFrom="page">
                <wp:align>center</wp:align>
              </wp:positionH>
              <wp:positionV relativeFrom="page">
                <wp:align>bottom</wp:align>
              </wp:positionV>
              <wp:extent cx="551815" cy="376555"/>
              <wp:effectExtent l="0" t="0" r="635" b="0"/>
              <wp:wrapNone/>
              <wp:docPr id="2574012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A105C3" w14:textId="77777777" w:rsidR="009536EE" w:rsidRPr="009536EE" w:rsidRDefault="009536EE" w:rsidP="009536EE">
                          <w:pPr>
                            <w:rPr>
                              <w:rFonts w:eastAsia="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A23C78" id="_x0000_t202" coordsize="21600,21600" o:spt="202" path="m,l,21600r21600,l21600,xe">
              <v:stroke joinstyle="miter"/>
              <v:path gradientshapeok="t" o:connecttype="rect"/>
            </v:shapetype>
            <v:shape id="Text Box 6" o:spid="_x0000_s1030"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50A105C3" w14:textId="77777777" w:rsidR="009536EE" w:rsidRPr="009536EE" w:rsidRDefault="009536EE" w:rsidP="009536EE">
                    <w:pPr>
                      <w:rPr>
                        <w:rFonts w:eastAsia="Calibri" w:cs="Calibri"/>
                        <w:noProof/>
                        <w:color w:val="FF0000"/>
                      </w:rPr>
                    </w:pPr>
                  </w:p>
                </w:txbxContent>
              </v:textbox>
              <w10:wrap anchorx="page" anchory="page"/>
            </v:shape>
          </w:pict>
        </mc:Fallback>
      </mc:AlternateContent>
    </w:r>
  </w:p>
  <w:bookmarkStart w:id="153" w:name="_Hlk76375156"/>
  <w:p w14:paraId="01F341C0" w14:textId="0113BBD2" w:rsidR="00573CE6" w:rsidRPr="00886D8A" w:rsidRDefault="00573CE6" w:rsidP="00573CE6">
    <w:pPr>
      <w:pStyle w:val="Footer"/>
      <w:keepNext/>
      <w:ind w:left="360"/>
      <w:jc w:val="center"/>
      <w:rPr>
        <w:rFonts w:asciiTheme="minorHAnsi" w:hAnsiTheme="minorHAnsi"/>
      </w:rPr>
    </w:pPr>
    <w:r w:rsidRPr="00886D8A">
      <w:rPr>
        <w:b/>
      </w:rPr>
      <w:fldChar w:fldCharType="begin"/>
    </w:r>
    <w:r w:rsidRPr="00886D8A">
      <w:rPr>
        <w:b/>
      </w:rPr>
      <w:instrText xml:space="preserve"> PAGE   \* MERGEFORMAT </w:instrText>
    </w:r>
    <w:r w:rsidRPr="00886D8A">
      <w:rPr>
        <w:b/>
      </w:rPr>
      <w:fldChar w:fldCharType="separate"/>
    </w:r>
    <w:r w:rsidRPr="00886D8A">
      <w:rPr>
        <w:b/>
      </w:rPr>
      <w:t>1</w:t>
    </w:r>
    <w:r w:rsidRPr="00886D8A">
      <w:rPr>
        <w:b/>
      </w:rPr>
      <w:fldChar w:fldCharType="end"/>
    </w:r>
    <w:r w:rsidRPr="00886D8A">
      <w:rPr>
        <w:b/>
      </w:rPr>
      <w:t xml:space="preserve"> </w:t>
    </w:r>
    <w:bookmarkEnd w:id="15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2EE3" w14:textId="33548D9A" w:rsidR="00ED4AC4" w:rsidRDefault="009536EE">
    <w:pPr>
      <w:pStyle w:val="Footer"/>
    </w:pPr>
    <w:r>
      <w:rPr>
        <w:noProof/>
      </w:rPr>
      <mc:AlternateContent>
        <mc:Choice Requires="wps">
          <w:drawing>
            <wp:anchor distT="0" distB="0" distL="0" distR="0" simplePos="0" relativeHeight="251658243" behindDoc="0" locked="0" layoutInCell="1" allowOverlap="1" wp14:anchorId="4DC92150" wp14:editId="3BBB8C89">
              <wp:simplePos x="635" y="635"/>
              <wp:positionH relativeFrom="page">
                <wp:align>center</wp:align>
              </wp:positionH>
              <wp:positionV relativeFrom="page">
                <wp:align>bottom</wp:align>
              </wp:positionV>
              <wp:extent cx="551815" cy="376555"/>
              <wp:effectExtent l="0" t="0" r="635" b="0"/>
              <wp:wrapNone/>
              <wp:docPr id="9896682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78A3BB" w14:textId="77777777" w:rsidR="009536EE" w:rsidRPr="009536EE" w:rsidRDefault="009536EE" w:rsidP="009536EE">
                          <w:pPr>
                            <w:rPr>
                              <w:rFonts w:eastAsia="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92150" id="_x0000_t202" coordsize="21600,21600" o:spt="202" path="m,l,21600r21600,l21600,xe">
              <v:stroke joinstyle="miter"/>
              <v:path gradientshapeok="t" o:connecttype="rect"/>
            </v:shapetype>
            <v:shape id="Text Box 4" o:spid="_x0000_s1032"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e/DgIAABw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zLe/DgIAABwE&#10;AAAOAAAAAAAAAAAAAAAAAC4CAABkcnMvZTJvRG9jLnhtbFBLAQItABQABgAIAAAAIQAgesHI2gAA&#10;AAMBAAAPAAAAAAAAAAAAAAAAAGgEAABkcnMvZG93bnJldi54bWxQSwUGAAAAAAQABADzAAAAbwUA&#10;AAAA&#10;" filled="f" stroked="f">
              <v:textbox style="mso-fit-shape-to-text:t" inset="0,0,0,15pt">
                <w:txbxContent>
                  <w:p w14:paraId="7078A3BB" w14:textId="77777777" w:rsidR="009536EE" w:rsidRPr="009536EE" w:rsidRDefault="009536EE" w:rsidP="009536EE">
                    <w:pPr>
                      <w:rPr>
                        <w:rFonts w:eastAsia="Calibri" w:cs="Calibri"/>
                        <w:noProof/>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0179" w14:textId="77777777" w:rsidR="00FE31B3" w:rsidRPr="00886D8A" w:rsidRDefault="00FE31B3">
      <w:r w:rsidRPr="00886D8A">
        <w:separator/>
      </w:r>
    </w:p>
  </w:footnote>
  <w:footnote w:type="continuationSeparator" w:id="0">
    <w:p w14:paraId="7172BD42" w14:textId="77777777" w:rsidR="00FE31B3" w:rsidRPr="00886D8A" w:rsidRDefault="00FE31B3" w:rsidP="00124A51">
      <w:r w:rsidRPr="00886D8A">
        <w:continuationSeparator/>
      </w:r>
    </w:p>
    <w:p w14:paraId="59D37F64" w14:textId="77777777" w:rsidR="00FE31B3" w:rsidRPr="00886D8A" w:rsidRDefault="00FE31B3"/>
  </w:footnote>
  <w:footnote w:type="continuationNotice" w:id="1">
    <w:p w14:paraId="04E21FFC" w14:textId="77777777" w:rsidR="00FE31B3" w:rsidRPr="00886D8A" w:rsidRDefault="00FE31B3"/>
  </w:footnote>
  <w:footnote w:id="2">
    <w:p w14:paraId="3A5AB352" w14:textId="4EC17A2E" w:rsidR="00EB0321" w:rsidRPr="00886D8A" w:rsidRDefault="00EB0321" w:rsidP="00EB0321">
      <w:pPr>
        <w:pStyle w:val="FootnoteText"/>
      </w:pPr>
      <w:r w:rsidRPr="00886D8A">
        <w:rPr>
          <w:rStyle w:val="FootnoteReference"/>
        </w:rPr>
        <w:footnoteRef/>
      </w:r>
      <w:r w:rsidRPr="00886D8A">
        <w:t xml:space="preserve"> Santoro et al., (2024), ’Diagnosis of alpha</w:t>
      </w:r>
      <w:r w:rsidR="0011024A">
        <w:noBreakHyphen/>
      </w:r>
      <w:r w:rsidRPr="00886D8A">
        <w:t>Mannosidosis: Practical approaches to reducing diagnostic delays in this ultra</w:t>
      </w:r>
      <w:r w:rsidR="0011024A">
        <w:noBreakHyphen/>
      </w:r>
      <w:r w:rsidRPr="00886D8A">
        <w:t xml:space="preserve">rare disease’, </w:t>
      </w:r>
      <w:r w:rsidRPr="00886D8A">
        <w:rPr>
          <w:i/>
          <w:iCs/>
        </w:rPr>
        <w:t>Molecular Genetics and Metabolism</w:t>
      </w:r>
      <w:r w:rsidRPr="00886D8A">
        <w:t>, 142(1): 108444.</w:t>
      </w:r>
    </w:p>
  </w:footnote>
  <w:footnote w:id="3">
    <w:p w14:paraId="092D7539" w14:textId="10ADF7B8" w:rsidR="00E446B7" w:rsidRPr="00886D8A" w:rsidRDefault="00FB4693" w:rsidP="00E446B7">
      <w:pPr>
        <w:pStyle w:val="FootnoteText"/>
      </w:pPr>
      <w:r w:rsidRPr="00886D8A">
        <w:rPr>
          <w:rStyle w:val="FootnoteReference"/>
        </w:rPr>
        <w:footnoteRef/>
      </w:r>
      <w:r w:rsidRPr="00886D8A">
        <w:t xml:space="preserve"> </w:t>
      </w:r>
      <w:r w:rsidR="00DD3F02" w:rsidRPr="00886D8A">
        <w:t>National Institute for Health and Care Excellence</w:t>
      </w:r>
      <w:r w:rsidR="00E446B7" w:rsidRPr="00886D8A">
        <w:t xml:space="preserve"> (NICE), Velmanase alfa for treating alpha</w:t>
      </w:r>
      <w:r w:rsidR="0011024A">
        <w:noBreakHyphen/>
      </w:r>
      <w:r w:rsidR="00E446B7" w:rsidRPr="00886D8A">
        <w:t>mannosidosis</w:t>
      </w:r>
    </w:p>
    <w:p w14:paraId="35AF4B6F" w14:textId="15D3D339" w:rsidR="00FB4693" w:rsidRPr="00886D8A" w:rsidRDefault="00E446B7" w:rsidP="00E446B7">
      <w:pPr>
        <w:pStyle w:val="FootnoteText"/>
      </w:pPr>
      <w:r w:rsidRPr="00886D8A">
        <w:t>Highly specialised technologies guidance Reference number:HST29, December 2023</w:t>
      </w:r>
      <w:r w:rsidR="008666AD" w:rsidRPr="00886D8A">
        <w:t>, Accessed: April 2025,</w:t>
      </w:r>
      <w:r w:rsidRPr="00886D8A">
        <w:t xml:space="preserve"> </w:t>
      </w:r>
      <w:hyperlink r:id="rId1" w:history="1">
        <w:r w:rsidRPr="00886D8A">
          <w:rPr>
            <w:rStyle w:val="Hyperlink"/>
          </w:rPr>
          <w:t>https://www.nice.org.uk/guidance/hst29</w:t>
        </w:r>
      </w:hyperlink>
      <w:r w:rsidR="00FB4693" w:rsidRPr="00886D8A">
        <w:t xml:space="preserve"> </w:t>
      </w:r>
    </w:p>
  </w:footnote>
  <w:footnote w:id="4">
    <w:p w14:paraId="20EDB266" w14:textId="10160335" w:rsidR="00FB4693" w:rsidRDefault="00FB4693" w:rsidP="00555CCE">
      <w:pPr>
        <w:pStyle w:val="FootnoteText"/>
      </w:pPr>
      <w:r w:rsidRPr="00886D8A">
        <w:rPr>
          <w:rStyle w:val="FootnoteReference"/>
        </w:rPr>
        <w:footnoteRef/>
      </w:r>
      <w:r w:rsidRPr="00886D8A">
        <w:t xml:space="preserve"> </w:t>
      </w:r>
      <w:r w:rsidR="00555CCE" w:rsidRPr="00886D8A">
        <w:t xml:space="preserve">NICE, </w:t>
      </w:r>
      <w:r w:rsidR="00157F77" w:rsidRPr="00886D8A">
        <w:t xml:space="preserve">Elosulfase alfa for treating mucopolysaccharidosis type 4A </w:t>
      </w:r>
      <w:r w:rsidR="00555CCE" w:rsidRPr="00886D8A">
        <w:t>Highly specialised technologies guidance Reference number:HST</w:t>
      </w:r>
      <w:r w:rsidR="00157F77" w:rsidRPr="00886D8A">
        <w:t>1</w:t>
      </w:r>
      <w:r w:rsidR="00555CCE" w:rsidRPr="00886D8A">
        <w:t xml:space="preserve">9, </w:t>
      </w:r>
      <w:r w:rsidR="00157F77" w:rsidRPr="00886D8A">
        <w:t>April</w:t>
      </w:r>
      <w:r w:rsidR="00555CCE" w:rsidRPr="00886D8A">
        <w:t xml:space="preserve"> 202</w:t>
      </w:r>
      <w:r w:rsidR="00157F77" w:rsidRPr="00886D8A">
        <w:t>2</w:t>
      </w:r>
      <w:r w:rsidR="00555CCE" w:rsidRPr="00886D8A">
        <w:t xml:space="preserve">, Accessed: April 2025, </w:t>
      </w:r>
      <w:hyperlink r:id="rId2" w:history="1">
        <w:r w:rsidRPr="00886D8A">
          <w:rPr>
            <w:rStyle w:val="Hyperlink"/>
          </w:rPr>
          <w:t>https://www.nice.org.uk/guidance/hst19</w:t>
        </w:r>
      </w:hyperlink>
      <w:r w:rsidRPr="00886D8A">
        <w:t xml:space="preserve"> </w:t>
      </w:r>
    </w:p>
  </w:footnote>
  <w:footnote w:id="5">
    <w:p w14:paraId="723529BC" w14:textId="77777777" w:rsidR="00E963DB" w:rsidRDefault="00E963DB" w:rsidP="00E963DB">
      <w:pPr>
        <w:pStyle w:val="FootnoteText"/>
      </w:pPr>
      <w:r>
        <w:rPr>
          <w:rStyle w:val="FootnoteReference"/>
        </w:rPr>
        <w:footnoteRef/>
      </w:r>
      <w:r>
        <w:t xml:space="preserve"> Harmatz P, et al. Enzyme replacement therapy with velmanase alfa (human recombinant alpha-mannosidase): Novel global treatment response model and outcomes in patients with alpha-mannosidosis. </w:t>
      </w:r>
      <w:r w:rsidRPr="00660244">
        <w:rPr>
          <w:i/>
          <w:iCs/>
        </w:rPr>
        <w:t>Mol Genet Metab</w:t>
      </w:r>
      <w:r>
        <w:t>. 2018;124:152-160.</w:t>
      </w:r>
    </w:p>
  </w:footnote>
  <w:footnote w:id="6">
    <w:p w14:paraId="7C8EF9A2" w14:textId="77777777" w:rsidR="00E963DB" w:rsidRDefault="00E963DB" w:rsidP="00E963DB">
      <w:pPr>
        <w:pStyle w:val="FootnoteText"/>
      </w:pPr>
      <w:r>
        <w:rPr>
          <w:rStyle w:val="FootnoteReference"/>
        </w:rPr>
        <w:footnoteRef/>
      </w:r>
      <w:r>
        <w:t xml:space="preserve"> Stepien KM, et al. Evolution of mobility, pain/discomfort, self-care, and mental health in patients with alpha-mannosidosis: an international caregiver and patient survey. </w:t>
      </w:r>
      <w:r w:rsidRPr="005E7C09">
        <w:rPr>
          <w:i/>
          <w:iCs/>
        </w:rPr>
        <w:t>Orphanet J Rare Dis</w:t>
      </w:r>
      <w:r>
        <w:t>. 2025;20:217.</w:t>
      </w:r>
    </w:p>
  </w:footnote>
  <w:footnote w:id="7">
    <w:p w14:paraId="140BA67A" w14:textId="77777777" w:rsidR="00E963DB" w:rsidRDefault="00E963DB" w:rsidP="00E963DB">
      <w:pPr>
        <w:pStyle w:val="FootnoteText"/>
      </w:pPr>
      <w:r>
        <w:rPr>
          <w:rStyle w:val="FootnoteReference"/>
        </w:rPr>
        <w:footnoteRef/>
      </w:r>
      <w:r>
        <w:t xml:space="preserve"> Chin SJ and Fuller M. Prevalence of lysosomal storage disorders in Australia from 2009 to 2020. </w:t>
      </w:r>
      <w:r w:rsidRPr="007D5029">
        <w:rPr>
          <w:i/>
          <w:iCs/>
        </w:rPr>
        <w:t>Lancet Reg health West Pac</w:t>
      </w:r>
      <w:r>
        <w:t>. 2022;19:100344.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7D56" w14:textId="54BC8684" w:rsidR="00ED4AC4" w:rsidRDefault="009536EE">
    <w:pPr>
      <w:pStyle w:val="Header"/>
    </w:pPr>
    <w:r>
      <w:rPr>
        <w:noProof/>
      </w:rPr>
      <mc:AlternateContent>
        <mc:Choice Requires="wps">
          <w:drawing>
            <wp:anchor distT="0" distB="0" distL="0" distR="0" simplePos="0" relativeHeight="251658241" behindDoc="0" locked="0" layoutInCell="1" allowOverlap="1" wp14:anchorId="5F816658" wp14:editId="7634CC5D">
              <wp:simplePos x="635" y="635"/>
              <wp:positionH relativeFrom="page">
                <wp:align>center</wp:align>
              </wp:positionH>
              <wp:positionV relativeFrom="page">
                <wp:align>top</wp:align>
              </wp:positionV>
              <wp:extent cx="551815" cy="376555"/>
              <wp:effectExtent l="0" t="0" r="635" b="4445"/>
              <wp:wrapNone/>
              <wp:docPr id="1195650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15AF99" w14:textId="51FE7180" w:rsidR="009536EE" w:rsidRPr="009536EE" w:rsidRDefault="009536EE" w:rsidP="009536EE">
                          <w:pPr>
                            <w:rPr>
                              <w:rFonts w:eastAsia="Calibri" w:cs="Calibri"/>
                              <w:noProof/>
                              <w:color w:val="FF0000"/>
                            </w:rPr>
                          </w:pPr>
                          <w:r w:rsidRPr="009536EE">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81665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315AF99" w14:textId="51FE7180" w:rsidR="009536EE" w:rsidRPr="009536EE" w:rsidRDefault="009536EE" w:rsidP="009536EE">
                    <w:pPr>
                      <w:rPr>
                        <w:rFonts w:eastAsia="Calibri" w:cs="Calibri"/>
                        <w:noProof/>
                        <w:color w:val="FF0000"/>
                      </w:rPr>
                    </w:pPr>
                    <w:r w:rsidRPr="009536EE">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2" w:name="_Hlk76375146"/>
  <w:p w14:paraId="131E7060" w14:textId="6D678AB7" w:rsidR="008B5698" w:rsidRPr="008B5698" w:rsidRDefault="005265DE" w:rsidP="008B5698">
    <w:pPr>
      <w:pStyle w:val="Header"/>
      <w:ind w:left="360"/>
      <w:rPr>
        <w:rFonts w:asciiTheme="minorHAnsi" w:hAnsiTheme="minorHAnsi"/>
        <w:i/>
        <w:color w:val="808080"/>
      </w:rPr>
    </w:pPr>
    <w:r w:rsidRPr="008B5698">
      <w:rPr>
        <w:rFonts w:asciiTheme="minorHAnsi" w:hAnsiTheme="minorHAnsi"/>
        <w:i/>
        <w:noProof/>
        <w:color w:val="808080"/>
      </w:rPr>
      <mc:AlternateContent>
        <mc:Choice Requires="wps">
          <w:drawing>
            <wp:anchor distT="0" distB="0" distL="0" distR="0" simplePos="0" relativeHeight="251658246" behindDoc="0" locked="0" layoutInCell="1" allowOverlap="1" wp14:anchorId="038C2ABA" wp14:editId="43CAFD74">
              <wp:simplePos x="0" y="0"/>
              <wp:positionH relativeFrom="page">
                <wp:posOffset>3181350</wp:posOffset>
              </wp:positionH>
              <wp:positionV relativeFrom="page">
                <wp:align>top</wp:align>
              </wp:positionV>
              <wp:extent cx="2139950" cy="419100"/>
              <wp:effectExtent l="0" t="0" r="12700" b="0"/>
              <wp:wrapNone/>
              <wp:docPr id="20425605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39950" cy="419100"/>
                      </a:xfrm>
                      <a:prstGeom prst="rect">
                        <a:avLst/>
                      </a:prstGeom>
                      <a:noFill/>
                      <a:ln>
                        <a:noFill/>
                      </a:ln>
                    </wps:spPr>
                    <wps:txbx>
                      <w:txbxContent>
                        <w:p w14:paraId="1AA7EB5A" w14:textId="3827FBB3" w:rsidR="008B5698" w:rsidRPr="00A64E9B" w:rsidRDefault="008B5698" w:rsidP="008B5698">
                          <w:pPr>
                            <w:rPr>
                              <w:rFonts w:ascii="Aptos" w:eastAsia="Aptos" w:hAnsi="Aptos" w:cs="Aptos"/>
                              <w:noProof/>
                              <w:color w:val="FF0000"/>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C2ABA" id="_x0000_t202" coordsize="21600,21600" o:spt="202" path="m,l,21600r21600,l21600,xe">
              <v:stroke joinstyle="miter"/>
              <v:path gradientshapeok="t" o:connecttype="rect"/>
            </v:shapetype>
            <v:shape id="Text Box 3" o:spid="_x0000_s1027" type="#_x0000_t202" alt="OFFICIAL" style="position:absolute;left:0;text-align:left;margin-left:250.5pt;margin-top:0;width:168.5pt;height:33pt;z-index:251660293;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" filled="f" stroked="f">
              <v:textbox inset="0,15pt,0,0">
                <w:txbxContent>
                  <w:p w14:paraId="1AA7EB5A" w14:textId="3827FBB3" w:rsidR="008B5698" w:rsidRPr="00A64E9B" w:rsidRDefault="008B5698" w:rsidP="008B5698">
                    <w:pPr>
                      <w:rPr>
                        <w:rFonts w:ascii="Aptos" w:eastAsia="Aptos" w:hAnsi="Aptos" w:cs="Aptos"/>
                        <w:noProof/>
                        <w:color w:val="FF0000"/>
                      </w:rPr>
                    </w:pPr>
                  </w:p>
                </w:txbxContent>
              </v:textbox>
              <w10:wrap anchorx="page" anchory="page"/>
            </v:shape>
          </w:pict>
        </mc:Fallback>
      </mc:AlternateContent>
    </w:r>
    <w:r w:rsidR="009536EE">
      <w:rPr>
        <w:rFonts w:asciiTheme="minorHAnsi" w:hAnsiTheme="minorHAnsi"/>
        <w:i/>
        <w:noProof/>
        <w:color w:val="808080"/>
      </w:rPr>
      <mc:AlternateContent>
        <mc:Choice Requires="wps">
          <w:drawing>
            <wp:anchor distT="0" distB="0" distL="0" distR="0" simplePos="0" relativeHeight="251658242" behindDoc="0" locked="0" layoutInCell="1" allowOverlap="1" wp14:anchorId="21169DD7" wp14:editId="2AF31FCA">
              <wp:simplePos x="635" y="635"/>
              <wp:positionH relativeFrom="page">
                <wp:align>center</wp:align>
              </wp:positionH>
              <wp:positionV relativeFrom="page">
                <wp:align>top</wp:align>
              </wp:positionV>
              <wp:extent cx="551815" cy="376555"/>
              <wp:effectExtent l="0" t="0" r="635" b="4445"/>
              <wp:wrapNone/>
              <wp:docPr id="3286929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7EFD64" w14:textId="7CCBBC2B" w:rsidR="009536EE" w:rsidRPr="009536EE" w:rsidRDefault="009536EE" w:rsidP="009536EE">
                          <w:pPr>
                            <w:rPr>
                              <w:rFonts w:eastAsia="Calibri" w:cs="Calibri"/>
                              <w:noProof/>
                              <w:color w:val="FF0000"/>
                            </w:rPr>
                          </w:pPr>
                          <w:r w:rsidRPr="009536EE">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1169DD7" id="_x0000_s1028"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27EFD64" w14:textId="7CCBBC2B" w:rsidR="009536EE" w:rsidRPr="009536EE" w:rsidRDefault="009536EE" w:rsidP="009536EE">
                    <w:pPr>
                      <w:rPr>
                        <w:rFonts w:eastAsia="Calibri" w:cs="Calibri"/>
                        <w:noProof/>
                        <w:color w:val="FF0000"/>
                      </w:rPr>
                    </w:pPr>
                    <w:r w:rsidRPr="009536EE">
                      <w:rPr>
                        <w:rFonts w:eastAsia="Calibri" w:cs="Calibri"/>
                        <w:noProof/>
                        <w:color w:val="FF0000"/>
                      </w:rPr>
                      <w:t>OFFICIAL</w:t>
                    </w:r>
                  </w:p>
                </w:txbxContent>
              </v:textbox>
              <w10:wrap anchorx="page" anchory="page"/>
            </v:shape>
          </w:pict>
        </mc:Fallback>
      </mc:AlternateContent>
    </w:r>
    <w:r w:rsidR="00BF6C08" w:rsidRPr="00BF6C08">
      <w:rPr>
        <w:rFonts w:asciiTheme="minorHAnsi" w:hAnsiTheme="minorHAnsi"/>
        <w:i/>
        <w:color w:val="808080"/>
      </w:rPr>
      <w:t>Public Summary Document</w:t>
    </w:r>
    <w:r w:rsidR="00EC1229">
      <w:rPr>
        <w:rFonts w:asciiTheme="minorHAnsi" w:hAnsiTheme="minorHAnsi"/>
        <w:i/>
        <w:color w:val="808080"/>
      </w:rPr>
      <w:t xml:space="preserve"> </w:t>
    </w:r>
    <w:r w:rsidR="00AB33CB" w:rsidRPr="00886D8A">
      <w:rPr>
        <w:rFonts w:asciiTheme="minorHAnsi" w:hAnsiTheme="minorHAnsi"/>
        <w:i/>
        <w:color w:val="808080"/>
      </w:rPr>
      <w:t>– July 2025 PBAC Meeting</w:t>
    </w:r>
    <w:r w:rsidR="008B5698" w:rsidRPr="008B5698">
      <w:rPr>
        <w:rFonts w:asciiTheme="minorHAnsi" w:hAnsiTheme="minorHAnsi"/>
        <w:i/>
        <w:color w:val="808080"/>
      </w:rPr>
      <w:t xml:space="preserve"> with Corrigendum and </w:t>
    </w:r>
    <w:r w:rsidR="008B5698" w:rsidRPr="008B5698">
      <w:rPr>
        <w:rFonts w:asciiTheme="minorHAnsi" w:hAnsiTheme="minorHAnsi"/>
        <w:i/>
        <w:color w:val="808080"/>
      </w:rPr>
      <w:br/>
      <w:t xml:space="preserve"> December 2025</w:t>
    </w:r>
    <w:r w:rsidR="00BC4237">
      <w:rPr>
        <w:rFonts w:asciiTheme="minorHAnsi" w:hAnsiTheme="minorHAnsi"/>
        <w:i/>
        <w:color w:val="808080"/>
      </w:rPr>
      <w:t xml:space="preserve"> Addendum</w:t>
    </w:r>
  </w:p>
  <w:p w14:paraId="23B3640A" w14:textId="11C9BE09" w:rsidR="00AB33CB" w:rsidRPr="00886D8A" w:rsidRDefault="00AB33CB" w:rsidP="00AB33CB">
    <w:pPr>
      <w:pStyle w:val="Header"/>
      <w:ind w:left="360"/>
      <w:rPr>
        <w:rFonts w:asciiTheme="minorHAnsi" w:hAnsiTheme="minorHAnsi"/>
        <w:i/>
        <w:color w:val="808080"/>
      </w:rPr>
    </w:pPr>
  </w:p>
  <w:bookmarkEnd w:id="1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245F" w14:textId="230A7F42" w:rsidR="00ED4AC4" w:rsidRDefault="009536EE">
    <w:pPr>
      <w:pStyle w:val="Header"/>
    </w:pPr>
    <w:r>
      <w:rPr>
        <w:noProof/>
      </w:rPr>
      <mc:AlternateContent>
        <mc:Choice Requires="wps">
          <w:drawing>
            <wp:anchor distT="0" distB="0" distL="0" distR="0" simplePos="0" relativeHeight="251658240" behindDoc="0" locked="0" layoutInCell="1" allowOverlap="1" wp14:anchorId="64C0C2DC" wp14:editId="7A9A3830">
              <wp:simplePos x="635" y="635"/>
              <wp:positionH relativeFrom="page">
                <wp:align>center</wp:align>
              </wp:positionH>
              <wp:positionV relativeFrom="page">
                <wp:align>top</wp:align>
              </wp:positionV>
              <wp:extent cx="551815" cy="376555"/>
              <wp:effectExtent l="0" t="0" r="635" b="4445"/>
              <wp:wrapNone/>
              <wp:docPr id="4857325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533199D" w14:textId="77777777" w:rsidR="009536EE" w:rsidRPr="009536EE" w:rsidRDefault="009536EE" w:rsidP="009536EE">
                          <w:pPr>
                            <w:rPr>
                              <w:rFonts w:eastAsia="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0C2DC" id="_x0000_t202" coordsize="21600,21600" o:spt="202" path="m,l,21600r21600,l21600,xe">
              <v:stroke joinstyle="miter"/>
              <v:path gradientshapeok="t" o:connecttype="rect"/>
            </v:shapetype>
            <v:shape id="Text Box 1" o:spid="_x0000_s1031"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2533199D" w14:textId="77777777" w:rsidR="009536EE" w:rsidRPr="009536EE" w:rsidRDefault="009536EE" w:rsidP="009536EE">
                    <w:pPr>
                      <w:rPr>
                        <w:rFonts w:eastAsia="Calibri" w:cs="Calibri"/>
                        <w:noProof/>
                        <w:color w:val="FF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41A0E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3328E"/>
    <w:multiLevelType w:val="multilevel"/>
    <w:tmpl w:val="093C7E68"/>
    <w:lvl w:ilvl="0">
      <w:start w:val="1"/>
      <w:numFmt w:val="decimal"/>
      <w:lvlText w:val="%1"/>
      <w:lvlJc w:val="left"/>
      <w:pPr>
        <w:ind w:left="720" w:hanging="720"/>
      </w:pPr>
      <w:rPr>
        <w:rFonts w:hint="default"/>
        <w:b/>
        <w:color w:val="auto"/>
      </w:rPr>
    </w:lvl>
    <w:lvl w:ilvl="1">
      <w:start w:val="1"/>
      <w:numFmt w:val="lowerRoman"/>
      <w:lvlText w:val="%2."/>
      <w:lvlJc w:val="righ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713392"/>
    <w:multiLevelType w:val="hybridMultilevel"/>
    <w:tmpl w:val="0646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E455B2"/>
    <w:multiLevelType w:val="hybridMultilevel"/>
    <w:tmpl w:val="75329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4014E8"/>
    <w:multiLevelType w:val="hybridMultilevel"/>
    <w:tmpl w:val="00A2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127195"/>
    <w:multiLevelType w:val="multilevel"/>
    <w:tmpl w:val="90802C0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E12BB"/>
    <w:multiLevelType w:val="hybridMultilevel"/>
    <w:tmpl w:val="90D4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024F2"/>
    <w:multiLevelType w:val="hybridMultilevel"/>
    <w:tmpl w:val="310E5B2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E1315A"/>
    <w:multiLevelType w:val="hybridMultilevel"/>
    <w:tmpl w:val="ABA6A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8D67A6"/>
    <w:multiLevelType w:val="hybridMultilevel"/>
    <w:tmpl w:val="51CA1480"/>
    <w:lvl w:ilvl="0" w:tplc="04090001">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5F535B"/>
    <w:multiLevelType w:val="multilevel"/>
    <w:tmpl w:val="9D54484A"/>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997961"/>
    <w:multiLevelType w:val="hybridMultilevel"/>
    <w:tmpl w:val="C4244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4D033C"/>
    <w:multiLevelType w:val="multilevel"/>
    <w:tmpl w:val="C58ACE6E"/>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893F08"/>
    <w:multiLevelType w:val="multilevel"/>
    <w:tmpl w:val="9D54484A"/>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28980418">
    <w:abstractNumId w:val="18"/>
  </w:num>
  <w:num w:numId="2" w16cid:durableId="3948033">
    <w:abstractNumId w:val="11"/>
  </w:num>
  <w:num w:numId="3" w16cid:durableId="1706633718">
    <w:abstractNumId w:val="12"/>
  </w:num>
  <w:num w:numId="4" w16cid:durableId="384062448">
    <w:abstractNumId w:val="0"/>
  </w:num>
  <w:num w:numId="5" w16cid:durableId="78067493">
    <w:abstractNumId w:val="18"/>
  </w:num>
  <w:num w:numId="6" w16cid:durableId="1917936629">
    <w:abstractNumId w:val="4"/>
  </w:num>
  <w:num w:numId="7" w16cid:durableId="42488769">
    <w:abstractNumId w:val="9"/>
  </w:num>
  <w:num w:numId="8" w16cid:durableId="753402702">
    <w:abstractNumId w:val="14"/>
  </w:num>
  <w:num w:numId="9" w16cid:durableId="1122774068">
    <w:abstractNumId w:val="16"/>
  </w:num>
  <w:num w:numId="10" w16cid:durableId="1544905843">
    <w:abstractNumId w:val="15"/>
  </w:num>
  <w:num w:numId="11" w16cid:durableId="616759325">
    <w:abstractNumId w:val="2"/>
  </w:num>
  <w:num w:numId="12" w16cid:durableId="1301114077">
    <w:abstractNumId w:val="5"/>
  </w:num>
  <w:num w:numId="13" w16cid:durableId="949119890">
    <w:abstractNumId w:val="3"/>
  </w:num>
  <w:num w:numId="14" w16cid:durableId="209997201">
    <w:abstractNumId w:val="17"/>
  </w:num>
  <w:num w:numId="15" w16cid:durableId="721028567">
    <w:abstractNumId w:val="6"/>
  </w:num>
  <w:num w:numId="16" w16cid:durableId="285161410">
    <w:abstractNumId w:val="10"/>
  </w:num>
  <w:num w:numId="17" w16cid:durableId="932593735">
    <w:abstractNumId w:val="7"/>
  </w:num>
  <w:num w:numId="18" w16cid:durableId="432818935">
    <w:abstractNumId w:val="8"/>
  </w:num>
  <w:num w:numId="19" w16cid:durableId="1505322713">
    <w:abstractNumId w:val="19"/>
  </w:num>
  <w:num w:numId="20" w16cid:durableId="412435788">
    <w:abstractNumId w:val="13"/>
  </w:num>
  <w:num w:numId="21" w16cid:durableId="760446924">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C8"/>
    <w:rsid w:val="00000781"/>
    <w:rsid w:val="00000790"/>
    <w:rsid w:val="00001083"/>
    <w:rsid w:val="0000110B"/>
    <w:rsid w:val="00001432"/>
    <w:rsid w:val="00001F74"/>
    <w:rsid w:val="00002279"/>
    <w:rsid w:val="00002B60"/>
    <w:rsid w:val="00002D21"/>
    <w:rsid w:val="00002EA8"/>
    <w:rsid w:val="00003499"/>
    <w:rsid w:val="000039B7"/>
    <w:rsid w:val="00003A37"/>
    <w:rsid w:val="00004113"/>
    <w:rsid w:val="00004182"/>
    <w:rsid w:val="00004282"/>
    <w:rsid w:val="00004887"/>
    <w:rsid w:val="00004AC6"/>
    <w:rsid w:val="00004CD0"/>
    <w:rsid w:val="000056B9"/>
    <w:rsid w:val="000057E0"/>
    <w:rsid w:val="0000639A"/>
    <w:rsid w:val="00006AA8"/>
    <w:rsid w:val="00006B96"/>
    <w:rsid w:val="00006E2A"/>
    <w:rsid w:val="00007050"/>
    <w:rsid w:val="0001006A"/>
    <w:rsid w:val="000101E7"/>
    <w:rsid w:val="00010571"/>
    <w:rsid w:val="00010CC3"/>
    <w:rsid w:val="00010DCA"/>
    <w:rsid w:val="00011060"/>
    <w:rsid w:val="000111F6"/>
    <w:rsid w:val="00011262"/>
    <w:rsid w:val="0001215E"/>
    <w:rsid w:val="00012515"/>
    <w:rsid w:val="0001272F"/>
    <w:rsid w:val="00012872"/>
    <w:rsid w:val="000128B9"/>
    <w:rsid w:val="00012B1B"/>
    <w:rsid w:val="00013247"/>
    <w:rsid w:val="00013923"/>
    <w:rsid w:val="00014859"/>
    <w:rsid w:val="00014D2B"/>
    <w:rsid w:val="0001503A"/>
    <w:rsid w:val="000153CD"/>
    <w:rsid w:val="00015886"/>
    <w:rsid w:val="00015A2D"/>
    <w:rsid w:val="0001627F"/>
    <w:rsid w:val="000162EF"/>
    <w:rsid w:val="0001688C"/>
    <w:rsid w:val="00016D85"/>
    <w:rsid w:val="0001737B"/>
    <w:rsid w:val="00017452"/>
    <w:rsid w:val="00017D6C"/>
    <w:rsid w:val="000207C9"/>
    <w:rsid w:val="0002113D"/>
    <w:rsid w:val="00021922"/>
    <w:rsid w:val="00021B2E"/>
    <w:rsid w:val="00021B7C"/>
    <w:rsid w:val="0002225F"/>
    <w:rsid w:val="000226FD"/>
    <w:rsid w:val="00022928"/>
    <w:rsid w:val="00022AB1"/>
    <w:rsid w:val="00022B94"/>
    <w:rsid w:val="000230A7"/>
    <w:rsid w:val="00023763"/>
    <w:rsid w:val="00023957"/>
    <w:rsid w:val="00023BC3"/>
    <w:rsid w:val="00024D4D"/>
    <w:rsid w:val="00024EB5"/>
    <w:rsid w:val="000250A8"/>
    <w:rsid w:val="00025670"/>
    <w:rsid w:val="000266E5"/>
    <w:rsid w:val="00026A0B"/>
    <w:rsid w:val="000272E9"/>
    <w:rsid w:val="0002733E"/>
    <w:rsid w:val="00027456"/>
    <w:rsid w:val="000274B8"/>
    <w:rsid w:val="00030963"/>
    <w:rsid w:val="00030A56"/>
    <w:rsid w:val="00030B6D"/>
    <w:rsid w:val="00030BE4"/>
    <w:rsid w:val="00031E9B"/>
    <w:rsid w:val="00032559"/>
    <w:rsid w:val="0003280B"/>
    <w:rsid w:val="0003334A"/>
    <w:rsid w:val="00033863"/>
    <w:rsid w:val="0003414A"/>
    <w:rsid w:val="000343EB"/>
    <w:rsid w:val="00034AEA"/>
    <w:rsid w:val="00034B84"/>
    <w:rsid w:val="0003555B"/>
    <w:rsid w:val="00035DC0"/>
    <w:rsid w:val="0003609C"/>
    <w:rsid w:val="0003621B"/>
    <w:rsid w:val="00036318"/>
    <w:rsid w:val="00036829"/>
    <w:rsid w:val="00040895"/>
    <w:rsid w:val="000409C8"/>
    <w:rsid w:val="000410A0"/>
    <w:rsid w:val="000419AA"/>
    <w:rsid w:val="00041DF0"/>
    <w:rsid w:val="000420B9"/>
    <w:rsid w:val="000427E5"/>
    <w:rsid w:val="00043019"/>
    <w:rsid w:val="000435EE"/>
    <w:rsid w:val="00043C37"/>
    <w:rsid w:val="00043E20"/>
    <w:rsid w:val="000449BA"/>
    <w:rsid w:val="00045017"/>
    <w:rsid w:val="00045242"/>
    <w:rsid w:val="0004591B"/>
    <w:rsid w:val="00045A2B"/>
    <w:rsid w:val="00045A9B"/>
    <w:rsid w:val="00045D23"/>
    <w:rsid w:val="00045DFE"/>
    <w:rsid w:val="00046407"/>
    <w:rsid w:val="0004643E"/>
    <w:rsid w:val="0004698F"/>
    <w:rsid w:val="00046BAD"/>
    <w:rsid w:val="00046D64"/>
    <w:rsid w:val="000471E9"/>
    <w:rsid w:val="0004750A"/>
    <w:rsid w:val="00050266"/>
    <w:rsid w:val="000502AB"/>
    <w:rsid w:val="00050881"/>
    <w:rsid w:val="000508C2"/>
    <w:rsid w:val="00050BE6"/>
    <w:rsid w:val="00051085"/>
    <w:rsid w:val="000511CA"/>
    <w:rsid w:val="00051533"/>
    <w:rsid w:val="00052DFC"/>
    <w:rsid w:val="000539D0"/>
    <w:rsid w:val="000541C6"/>
    <w:rsid w:val="00054621"/>
    <w:rsid w:val="000546D7"/>
    <w:rsid w:val="00054793"/>
    <w:rsid w:val="00054A8D"/>
    <w:rsid w:val="00054AF6"/>
    <w:rsid w:val="00056237"/>
    <w:rsid w:val="000562DB"/>
    <w:rsid w:val="00056E81"/>
    <w:rsid w:val="00056ECF"/>
    <w:rsid w:val="00057766"/>
    <w:rsid w:val="000577CD"/>
    <w:rsid w:val="00057899"/>
    <w:rsid w:val="00057C28"/>
    <w:rsid w:val="000604DF"/>
    <w:rsid w:val="00060DB2"/>
    <w:rsid w:val="0006134F"/>
    <w:rsid w:val="00061951"/>
    <w:rsid w:val="00061C11"/>
    <w:rsid w:val="00062324"/>
    <w:rsid w:val="000624BB"/>
    <w:rsid w:val="00063054"/>
    <w:rsid w:val="000630FA"/>
    <w:rsid w:val="00063849"/>
    <w:rsid w:val="00064318"/>
    <w:rsid w:val="000643C7"/>
    <w:rsid w:val="0006528A"/>
    <w:rsid w:val="000653B5"/>
    <w:rsid w:val="000656C5"/>
    <w:rsid w:val="00065824"/>
    <w:rsid w:val="000658D1"/>
    <w:rsid w:val="00065AF8"/>
    <w:rsid w:val="00066317"/>
    <w:rsid w:val="00066360"/>
    <w:rsid w:val="00066538"/>
    <w:rsid w:val="000665B6"/>
    <w:rsid w:val="00066AF8"/>
    <w:rsid w:val="00066B89"/>
    <w:rsid w:val="00066C01"/>
    <w:rsid w:val="0006789F"/>
    <w:rsid w:val="00067AE5"/>
    <w:rsid w:val="00070599"/>
    <w:rsid w:val="0007074F"/>
    <w:rsid w:val="00070C9A"/>
    <w:rsid w:val="00070F63"/>
    <w:rsid w:val="00071209"/>
    <w:rsid w:val="00071248"/>
    <w:rsid w:val="00071549"/>
    <w:rsid w:val="000720B9"/>
    <w:rsid w:val="00072EBB"/>
    <w:rsid w:val="000737F7"/>
    <w:rsid w:val="00074563"/>
    <w:rsid w:val="000755AF"/>
    <w:rsid w:val="000756F3"/>
    <w:rsid w:val="00075D4B"/>
    <w:rsid w:val="000762A3"/>
    <w:rsid w:val="00076327"/>
    <w:rsid w:val="0007639D"/>
    <w:rsid w:val="0007649E"/>
    <w:rsid w:val="00076705"/>
    <w:rsid w:val="0007672F"/>
    <w:rsid w:val="000767ED"/>
    <w:rsid w:val="00076B54"/>
    <w:rsid w:val="000774F0"/>
    <w:rsid w:val="00077587"/>
    <w:rsid w:val="00080909"/>
    <w:rsid w:val="00080D43"/>
    <w:rsid w:val="000812CA"/>
    <w:rsid w:val="00081E63"/>
    <w:rsid w:val="00082202"/>
    <w:rsid w:val="0008229A"/>
    <w:rsid w:val="00082403"/>
    <w:rsid w:val="0008258D"/>
    <w:rsid w:val="000825BD"/>
    <w:rsid w:val="00082C65"/>
    <w:rsid w:val="00082FBA"/>
    <w:rsid w:val="000837B2"/>
    <w:rsid w:val="000838FC"/>
    <w:rsid w:val="00083A12"/>
    <w:rsid w:val="00083E99"/>
    <w:rsid w:val="00084FA8"/>
    <w:rsid w:val="0008517D"/>
    <w:rsid w:val="00085282"/>
    <w:rsid w:val="00085517"/>
    <w:rsid w:val="000856C5"/>
    <w:rsid w:val="00085A50"/>
    <w:rsid w:val="00085C31"/>
    <w:rsid w:val="00085D6B"/>
    <w:rsid w:val="00086DA9"/>
    <w:rsid w:val="000879D1"/>
    <w:rsid w:val="00087F7D"/>
    <w:rsid w:val="000902B3"/>
    <w:rsid w:val="000902D9"/>
    <w:rsid w:val="00090622"/>
    <w:rsid w:val="00090736"/>
    <w:rsid w:val="00090C7E"/>
    <w:rsid w:val="00090D10"/>
    <w:rsid w:val="00091016"/>
    <w:rsid w:val="000911AC"/>
    <w:rsid w:val="00091428"/>
    <w:rsid w:val="00092523"/>
    <w:rsid w:val="00092600"/>
    <w:rsid w:val="0009262B"/>
    <w:rsid w:val="00092861"/>
    <w:rsid w:val="00092DD9"/>
    <w:rsid w:val="00093277"/>
    <w:rsid w:val="00093310"/>
    <w:rsid w:val="0009367E"/>
    <w:rsid w:val="0009419A"/>
    <w:rsid w:val="0009445C"/>
    <w:rsid w:val="00094606"/>
    <w:rsid w:val="00094F7B"/>
    <w:rsid w:val="00095200"/>
    <w:rsid w:val="00095469"/>
    <w:rsid w:val="00095575"/>
    <w:rsid w:val="0009582F"/>
    <w:rsid w:val="00095C92"/>
    <w:rsid w:val="00095E96"/>
    <w:rsid w:val="00095EDF"/>
    <w:rsid w:val="00095FE5"/>
    <w:rsid w:val="00096284"/>
    <w:rsid w:val="00096D8F"/>
    <w:rsid w:val="000978E3"/>
    <w:rsid w:val="00097DFD"/>
    <w:rsid w:val="000A07F7"/>
    <w:rsid w:val="000A0900"/>
    <w:rsid w:val="000A0EF8"/>
    <w:rsid w:val="000A1162"/>
    <w:rsid w:val="000A180C"/>
    <w:rsid w:val="000A1BC0"/>
    <w:rsid w:val="000A1E2D"/>
    <w:rsid w:val="000A23EE"/>
    <w:rsid w:val="000A2546"/>
    <w:rsid w:val="000A2F9E"/>
    <w:rsid w:val="000A3824"/>
    <w:rsid w:val="000A38CE"/>
    <w:rsid w:val="000A3CC7"/>
    <w:rsid w:val="000A3E47"/>
    <w:rsid w:val="000A3EF4"/>
    <w:rsid w:val="000A4A02"/>
    <w:rsid w:val="000A522B"/>
    <w:rsid w:val="000A5E14"/>
    <w:rsid w:val="000A6039"/>
    <w:rsid w:val="000A64EF"/>
    <w:rsid w:val="000A652C"/>
    <w:rsid w:val="000A68E4"/>
    <w:rsid w:val="000A693D"/>
    <w:rsid w:val="000A6BDB"/>
    <w:rsid w:val="000A7258"/>
    <w:rsid w:val="000A734A"/>
    <w:rsid w:val="000A7453"/>
    <w:rsid w:val="000A7C06"/>
    <w:rsid w:val="000A7D08"/>
    <w:rsid w:val="000A7F74"/>
    <w:rsid w:val="000B0121"/>
    <w:rsid w:val="000B0255"/>
    <w:rsid w:val="000B0311"/>
    <w:rsid w:val="000B0670"/>
    <w:rsid w:val="000B0E75"/>
    <w:rsid w:val="000B13D2"/>
    <w:rsid w:val="000B1471"/>
    <w:rsid w:val="000B1596"/>
    <w:rsid w:val="000B16C6"/>
    <w:rsid w:val="000B18C3"/>
    <w:rsid w:val="000B2138"/>
    <w:rsid w:val="000B227E"/>
    <w:rsid w:val="000B2DCB"/>
    <w:rsid w:val="000B31A0"/>
    <w:rsid w:val="000B3510"/>
    <w:rsid w:val="000B379E"/>
    <w:rsid w:val="000B3BB8"/>
    <w:rsid w:val="000B4A30"/>
    <w:rsid w:val="000B50AA"/>
    <w:rsid w:val="000B5692"/>
    <w:rsid w:val="000B5CE0"/>
    <w:rsid w:val="000B6125"/>
    <w:rsid w:val="000B6310"/>
    <w:rsid w:val="000B6586"/>
    <w:rsid w:val="000B6994"/>
    <w:rsid w:val="000B69ED"/>
    <w:rsid w:val="000B6CAC"/>
    <w:rsid w:val="000B6F3C"/>
    <w:rsid w:val="000B7612"/>
    <w:rsid w:val="000B78AE"/>
    <w:rsid w:val="000C15B1"/>
    <w:rsid w:val="000C24B0"/>
    <w:rsid w:val="000C33CF"/>
    <w:rsid w:val="000C353D"/>
    <w:rsid w:val="000C3865"/>
    <w:rsid w:val="000C3B4B"/>
    <w:rsid w:val="000C3DF9"/>
    <w:rsid w:val="000C45AF"/>
    <w:rsid w:val="000C4CF2"/>
    <w:rsid w:val="000C56AA"/>
    <w:rsid w:val="000C628D"/>
    <w:rsid w:val="000C6713"/>
    <w:rsid w:val="000C6ADE"/>
    <w:rsid w:val="000C75C0"/>
    <w:rsid w:val="000C7B56"/>
    <w:rsid w:val="000D0E01"/>
    <w:rsid w:val="000D0E34"/>
    <w:rsid w:val="000D1185"/>
    <w:rsid w:val="000D1630"/>
    <w:rsid w:val="000D1BFC"/>
    <w:rsid w:val="000D1D5D"/>
    <w:rsid w:val="000D238A"/>
    <w:rsid w:val="000D23D2"/>
    <w:rsid w:val="000D281A"/>
    <w:rsid w:val="000D2848"/>
    <w:rsid w:val="000D326A"/>
    <w:rsid w:val="000D333E"/>
    <w:rsid w:val="000D3509"/>
    <w:rsid w:val="000D3662"/>
    <w:rsid w:val="000D382F"/>
    <w:rsid w:val="000D3C3E"/>
    <w:rsid w:val="000D4440"/>
    <w:rsid w:val="000D519B"/>
    <w:rsid w:val="000D51FB"/>
    <w:rsid w:val="000D5814"/>
    <w:rsid w:val="000D5B47"/>
    <w:rsid w:val="000D6216"/>
    <w:rsid w:val="000D629B"/>
    <w:rsid w:val="000D62EB"/>
    <w:rsid w:val="000D684E"/>
    <w:rsid w:val="000D72A8"/>
    <w:rsid w:val="000D7668"/>
    <w:rsid w:val="000D7799"/>
    <w:rsid w:val="000D7AB2"/>
    <w:rsid w:val="000D7D23"/>
    <w:rsid w:val="000D7DAD"/>
    <w:rsid w:val="000D7DD7"/>
    <w:rsid w:val="000E01BC"/>
    <w:rsid w:val="000E05FC"/>
    <w:rsid w:val="000E0640"/>
    <w:rsid w:val="000E0E84"/>
    <w:rsid w:val="000E0EEC"/>
    <w:rsid w:val="000E10EF"/>
    <w:rsid w:val="000E135D"/>
    <w:rsid w:val="000E1B92"/>
    <w:rsid w:val="000E1C32"/>
    <w:rsid w:val="000E1F7A"/>
    <w:rsid w:val="000E30A5"/>
    <w:rsid w:val="000E33E5"/>
    <w:rsid w:val="000E3568"/>
    <w:rsid w:val="000E3D41"/>
    <w:rsid w:val="000E4118"/>
    <w:rsid w:val="000E4554"/>
    <w:rsid w:val="000E4693"/>
    <w:rsid w:val="000E4C04"/>
    <w:rsid w:val="000E5599"/>
    <w:rsid w:val="000E55A2"/>
    <w:rsid w:val="000E569C"/>
    <w:rsid w:val="000E6461"/>
    <w:rsid w:val="000E65CA"/>
    <w:rsid w:val="000E6E2A"/>
    <w:rsid w:val="000E75E1"/>
    <w:rsid w:val="000E765D"/>
    <w:rsid w:val="000F00BA"/>
    <w:rsid w:val="000F0271"/>
    <w:rsid w:val="000F04D4"/>
    <w:rsid w:val="000F0889"/>
    <w:rsid w:val="000F0AE0"/>
    <w:rsid w:val="000F0D64"/>
    <w:rsid w:val="000F1E89"/>
    <w:rsid w:val="000F2CEE"/>
    <w:rsid w:val="000F2D8A"/>
    <w:rsid w:val="000F2F64"/>
    <w:rsid w:val="000F306E"/>
    <w:rsid w:val="000F316A"/>
    <w:rsid w:val="000F333B"/>
    <w:rsid w:val="000F3A5D"/>
    <w:rsid w:val="000F3C74"/>
    <w:rsid w:val="000F3F10"/>
    <w:rsid w:val="000F414F"/>
    <w:rsid w:val="000F4BB8"/>
    <w:rsid w:val="000F4FA9"/>
    <w:rsid w:val="000F53FB"/>
    <w:rsid w:val="000F5681"/>
    <w:rsid w:val="000F5AA4"/>
    <w:rsid w:val="000F5B89"/>
    <w:rsid w:val="000F5D96"/>
    <w:rsid w:val="000F5DA2"/>
    <w:rsid w:val="000F70FF"/>
    <w:rsid w:val="000F7127"/>
    <w:rsid w:val="000F7B54"/>
    <w:rsid w:val="00100063"/>
    <w:rsid w:val="001000B3"/>
    <w:rsid w:val="0010071E"/>
    <w:rsid w:val="001007DC"/>
    <w:rsid w:val="00100989"/>
    <w:rsid w:val="00100F8A"/>
    <w:rsid w:val="001021D7"/>
    <w:rsid w:val="0010242E"/>
    <w:rsid w:val="00102665"/>
    <w:rsid w:val="0010285A"/>
    <w:rsid w:val="001035FF"/>
    <w:rsid w:val="0010384E"/>
    <w:rsid w:val="0010452E"/>
    <w:rsid w:val="00104CBB"/>
    <w:rsid w:val="00105022"/>
    <w:rsid w:val="00105A5F"/>
    <w:rsid w:val="00105ACA"/>
    <w:rsid w:val="00105AE2"/>
    <w:rsid w:val="00105E84"/>
    <w:rsid w:val="001060C6"/>
    <w:rsid w:val="00106264"/>
    <w:rsid w:val="00106B1E"/>
    <w:rsid w:val="00106B80"/>
    <w:rsid w:val="00106C33"/>
    <w:rsid w:val="00107B62"/>
    <w:rsid w:val="00107DC6"/>
    <w:rsid w:val="00107ED9"/>
    <w:rsid w:val="00110062"/>
    <w:rsid w:val="001100D1"/>
    <w:rsid w:val="0011024A"/>
    <w:rsid w:val="0011032E"/>
    <w:rsid w:val="00110521"/>
    <w:rsid w:val="001115DD"/>
    <w:rsid w:val="00111BE9"/>
    <w:rsid w:val="001120EA"/>
    <w:rsid w:val="00112B4A"/>
    <w:rsid w:val="00113124"/>
    <w:rsid w:val="0011348B"/>
    <w:rsid w:val="00114BCE"/>
    <w:rsid w:val="001156B1"/>
    <w:rsid w:val="00115982"/>
    <w:rsid w:val="00116409"/>
    <w:rsid w:val="00116618"/>
    <w:rsid w:val="001168AE"/>
    <w:rsid w:val="00116C53"/>
    <w:rsid w:val="0011748F"/>
    <w:rsid w:val="00117B42"/>
    <w:rsid w:val="00117E19"/>
    <w:rsid w:val="00117FD6"/>
    <w:rsid w:val="00120081"/>
    <w:rsid w:val="00121799"/>
    <w:rsid w:val="001222FC"/>
    <w:rsid w:val="00122421"/>
    <w:rsid w:val="001225B3"/>
    <w:rsid w:val="0012261C"/>
    <w:rsid w:val="00122729"/>
    <w:rsid w:val="00122746"/>
    <w:rsid w:val="0012363A"/>
    <w:rsid w:val="00123902"/>
    <w:rsid w:val="001239FA"/>
    <w:rsid w:val="001240CF"/>
    <w:rsid w:val="001243C6"/>
    <w:rsid w:val="00124864"/>
    <w:rsid w:val="00124A51"/>
    <w:rsid w:val="00124EC0"/>
    <w:rsid w:val="00124F14"/>
    <w:rsid w:val="00125B2F"/>
    <w:rsid w:val="00125D45"/>
    <w:rsid w:val="00126241"/>
    <w:rsid w:val="00126621"/>
    <w:rsid w:val="00126B09"/>
    <w:rsid w:val="00126B1D"/>
    <w:rsid w:val="00126E9D"/>
    <w:rsid w:val="00127961"/>
    <w:rsid w:val="00127C1A"/>
    <w:rsid w:val="001301E9"/>
    <w:rsid w:val="001304F8"/>
    <w:rsid w:val="0013076E"/>
    <w:rsid w:val="00131245"/>
    <w:rsid w:val="00131263"/>
    <w:rsid w:val="00131792"/>
    <w:rsid w:val="00131C3D"/>
    <w:rsid w:val="00131D82"/>
    <w:rsid w:val="0013242C"/>
    <w:rsid w:val="001326A5"/>
    <w:rsid w:val="0013291C"/>
    <w:rsid w:val="00132B22"/>
    <w:rsid w:val="00133241"/>
    <w:rsid w:val="0013339E"/>
    <w:rsid w:val="00133D36"/>
    <w:rsid w:val="00134166"/>
    <w:rsid w:val="00134D53"/>
    <w:rsid w:val="00135D7D"/>
    <w:rsid w:val="00137645"/>
    <w:rsid w:val="0014015A"/>
    <w:rsid w:val="00140E99"/>
    <w:rsid w:val="00141E20"/>
    <w:rsid w:val="00141E34"/>
    <w:rsid w:val="0014263E"/>
    <w:rsid w:val="00142A95"/>
    <w:rsid w:val="00142C09"/>
    <w:rsid w:val="00142F58"/>
    <w:rsid w:val="00143725"/>
    <w:rsid w:val="00143F67"/>
    <w:rsid w:val="00144A11"/>
    <w:rsid w:val="00144CCC"/>
    <w:rsid w:val="00145234"/>
    <w:rsid w:val="001452A9"/>
    <w:rsid w:val="00145540"/>
    <w:rsid w:val="00145689"/>
    <w:rsid w:val="001456B0"/>
    <w:rsid w:val="001457E7"/>
    <w:rsid w:val="00145896"/>
    <w:rsid w:val="0014591D"/>
    <w:rsid w:val="00145B42"/>
    <w:rsid w:val="00145C37"/>
    <w:rsid w:val="0014625F"/>
    <w:rsid w:val="0014695B"/>
    <w:rsid w:val="00146C55"/>
    <w:rsid w:val="00146F06"/>
    <w:rsid w:val="00146FBC"/>
    <w:rsid w:val="001503FB"/>
    <w:rsid w:val="00150A80"/>
    <w:rsid w:val="00151BC7"/>
    <w:rsid w:val="00151E36"/>
    <w:rsid w:val="001522CB"/>
    <w:rsid w:val="001526E2"/>
    <w:rsid w:val="0015285D"/>
    <w:rsid w:val="0015371C"/>
    <w:rsid w:val="00154276"/>
    <w:rsid w:val="001547AB"/>
    <w:rsid w:val="00154C70"/>
    <w:rsid w:val="001553C9"/>
    <w:rsid w:val="0015540A"/>
    <w:rsid w:val="00155DA4"/>
    <w:rsid w:val="00155E60"/>
    <w:rsid w:val="0015699F"/>
    <w:rsid w:val="00156D3C"/>
    <w:rsid w:val="00156F8F"/>
    <w:rsid w:val="00157130"/>
    <w:rsid w:val="001575DB"/>
    <w:rsid w:val="001576B1"/>
    <w:rsid w:val="0015780D"/>
    <w:rsid w:val="00157F77"/>
    <w:rsid w:val="0016047B"/>
    <w:rsid w:val="0016078F"/>
    <w:rsid w:val="001607A7"/>
    <w:rsid w:val="00160856"/>
    <w:rsid w:val="00160905"/>
    <w:rsid w:val="00160A4C"/>
    <w:rsid w:val="00160FAF"/>
    <w:rsid w:val="00161251"/>
    <w:rsid w:val="00161537"/>
    <w:rsid w:val="00161891"/>
    <w:rsid w:val="0016270D"/>
    <w:rsid w:val="001628C6"/>
    <w:rsid w:val="00162913"/>
    <w:rsid w:val="00162AD2"/>
    <w:rsid w:val="00162C11"/>
    <w:rsid w:val="00163529"/>
    <w:rsid w:val="00163EFF"/>
    <w:rsid w:val="00163F66"/>
    <w:rsid w:val="001644A4"/>
    <w:rsid w:val="001645A9"/>
    <w:rsid w:val="00164756"/>
    <w:rsid w:val="0016478E"/>
    <w:rsid w:val="001649C2"/>
    <w:rsid w:val="001649D2"/>
    <w:rsid w:val="00164E26"/>
    <w:rsid w:val="00165372"/>
    <w:rsid w:val="001656BB"/>
    <w:rsid w:val="00165BFF"/>
    <w:rsid w:val="00165EC4"/>
    <w:rsid w:val="001661FB"/>
    <w:rsid w:val="001671A0"/>
    <w:rsid w:val="00167667"/>
    <w:rsid w:val="0016767F"/>
    <w:rsid w:val="00167713"/>
    <w:rsid w:val="00167AE9"/>
    <w:rsid w:val="00167EE8"/>
    <w:rsid w:val="00170F23"/>
    <w:rsid w:val="00171DC1"/>
    <w:rsid w:val="00171E53"/>
    <w:rsid w:val="001728B6"/>
    <w:rsid w:val="00173565"/>
    <w:rsid w:val="0017356F"/>
    <w:rsid w:val="00173B07"/>
    <w:rsid w:val="00173B6F"/>
    <w:rsid w:val="0017463F"/>
    <w:rsid w:val="00174AA7"/>
    <w:rsid w:val="00174D1B"/>
    <w:rsid w:val="001750D3"/>
    <w:rsid w:val="001751FA"/>
    <w:rsid w:val="0017561C"/>
    <w:rsid w:val="001756B7"/>
    <w:rsid w:val="001761AF"/>
    <w:rsid w:val="0017631B"/>
    <w:rsid w:val="0017634B"/>
    <w:rsid w:val="0017674A"/>
    <w:rsid w:val="0017722A"/>
    <w:rsid w:val="00177273"/>
    <w:rsid w:val="00177DBF"/>
    <w:rsid w:val="001803E6"/>
    <w:rsid w:val="0018052E"/>
    <w:rsid w:val="00180952"/>
    <w:rsid w:val="00180DB1"/>
    <w:rsid w:val="00180DDF"/>
    <w:rsid w:val="0018125F"/>
    <w:rsid w:val="0018129B"/>
    <w:rsid w:val="001819C0"/>
    <w:rsid w:val="00181C10"/>
    <w:rsid w:val="00181D9C"/>
    <w:rsid w:val="0018230D"/>
    <w:rsid w:val="001829E2"/>
    <w:rsid w:val="00182A47"/>
    <w:rsid w:val="00183115"/>
    <w:rsid w:val="001837FF"/>
    <w:rsid w:val="00183E46"/>
    <w:rsid w:val="00183E5C"/>
    <w:rsid w:val="001841BB"/>
    <w:rsid w:val="00184293"/>
    <w:rsid w:val="001844CE"/>
    <w:rsid w:val="00184AB4"/>
    <w:rsid w:val="00184B0E"/>
    <w:rsid w:val="00185020"/>
    <w:rsid w:val="001858A9"/>
    <w:rsid w:val="001861F5"/>
    <w:rsid w:val="00186FC1"/>
    <w:rsid w:val="0018703A"/>
    <w:rsid w:val="00187217"/>
    <w:rsid w:val="0018752F"/>
    <w:rsid w:val="00187557"/>
    <w:rsid w:val="00187B3F"/>
    <w:rsid w:val="001903CB"/>
    <w:rsid w:val="00190433"/>
    <w:rsid w:val="00190FBB"/>
    <w:rsid w:val="001912B9"/>
    <w:rsid w:val="00191CD7"/>
    <w:rsid w:val="001924E6"/>
    <w:rsid w:val="00192617"/>
    <w:rsid w:val="00192B1E"/>
    <w:rsid w:val="00192F65"/>
    <w:rsid w:val="0019303B"/>
    <w:rsid w:val="00193838"/>
    <w:rsid w:val="00194722"/>
    <w:rsid w:val="00194AD8"/>
    <w:rsid w:val="00194CAC"/>
    <w:rsid w:val="0019518B"/>
    <w:rsid w:val="00195222"/>
    <w:rsid w:val="00195452"/>
    <w:rsid w:val="00195825"/>
    <w:rsid w:val="00195FC2"/>
    <w:rsid w:val="00196DCE"/>
    <w:rsid w:val="00196F30"/>
    <w:rsid w:val="001975D8"/>
    <w:rsid w:val="001A09EE"/>
    <w:rsid w:val="001A0DE8"/>
    <w:rsid w:val="001A11CA"/>
    <w:rsid w:val="001A14D9"/>
    <w:rsid w:val="001A164C"/>
    <w:rsid w:val="001A178E"/>
    <w:rsid w:val="001A1BCF"/>
    <w:rsid w:val="001A202C"/>
    <w:rsid w:val="001A2424"/>
    <w:rsid w:val="001A299F"/>
    <w:rsid w:val="001A34CD"/>
    <w:rsid w:val="001A364B"/>
    <w:rsid w:val="001A3859"/>
    <w:rsid w:val="001A3C89"/>
    <w:rsid w:val="001A3C9C"/>
    <w:rsid w:val="001A3E92"/>
    <w:rsid w:val="001A43FA"/>
    <w:rsid w:val="001A47C5"/>
    <w:rsid w:val="001A4E49"/>
    <w:rsid w:val="001A54E0"/>
    <w:rsid w:val="001A59FB"/>
    <w:rsid w:val="001A5E9E"/>
    <w:rsid w:val="001A6354"/>
    <w:rsid w:val="001A6366"/>
    <w:rsid w:val="001A68E0"/>
    <w:rsid w:val="001A69AF"/>
    <w:rsid w:val="001A6D21"/>
    <w:rsid w:val="001A71A7"/>
    <w:rsid w:val="001A7239"/>
    <w:rsid w:val="001A7743"/>
    <w:rsid w:val="001A7902"/>
    <w:rsid w:val="001A7AE8"/>
    <w:rsid w:val="001A7D8F"/>
    <w:rsid w:val="001B0235"/>
    <w:rsid w:val="001B092E"/>
    <w:rsid w:val="001B0A81"/>
    <w:rsid w:val="001B15DA"/>
    <w:rsid w:val="001B1CC1"/>
    <w:rsid w:val="001B204E"/>
    <w:rsid w:val="001B2372"/>
    <w:rsid w:val="001B2588"/>
    <w:rsid w:val="001B2790"/>
    <w:rsid w:val="001B2D27"/>
    <w:rsid w:val="001B3443"/>
    <w:rsid w:val="001B4567"/>
    <w:rsid w:val="001B46D7"/>
    <w:rsid w:val="001B4D20"/>
    <w:rsid w:val="001B544E"/>
    <w:rsid w:val="001B58FC"/>
    <w:rsid w:val="001B596C"/>
    <w:rsid w:val="001B59BE"/>
    <w:rsid w:val="001B71FB"/>
    <w:rsid w:val="001B7579"/>
    <w:rsid w:val="001B7E49"/>
    <w:rsid w:val="001B7F84"/>
    <w:rsid w:val="001C058E"/>
    <w:rsid w:val="001C0614"/>
    <w:rsid w:val="001C0B0D"/>
    <w:rsid w:val="001C0C0F"/>
    <w:rsid w:val="001C0C79"/>
    <w:rsid w:val="001C14F4"/>
    <w:rsid w:val="001C1561"/>
    <w:rsid w:val="001C1D2C"/>
    <w:rsid w:val="001C1E12"/>
    <w:rsid w:val="001C2031"/>
    <w:rsid w:val="001C20E5"/>
    <w:rsid w:val="001C26AE"/>
    <w:rsid w:val="001C29C6"/>
    <w:rsid w:val="001C2A9B"/>
    <w:rsid w:val="001C34C2"/>
    <w:rsid w:val="001C3AD6"/>
    <w:rsid w:val="001C3C83"/>
    <w:rsid w:val="001C3DD6"/>
    <w:rsid w:val="001C3E91"/>
    <w:rsid w:val="001C4299"/>
    <w:rsid w:val="001C4575"/>
    <w:rsid w:val="001C4874"/>
    <w:rsid w:val="001C49E3"/>
    <w:rsid w:val="001C4D31"/>
    <w:rsid w:val="001C4DB7"/>
    <w:rsid w:val="001C5827"/>
    <w:rsid w:val="001C59C6"/>
    <w:rsid w:val="001C5F94"/>
    <w:rsid w:val="001C67BF"/>
    <w:rsid w:val="001C68B4"/>
    <w:rsid w:val="001C6AB8"/>
    <w:rsid w:val="001C6E66"/>
    <w:rsid w:val="001C7C2C"/>
    <w:rsid w:val="001D0318"/>
    <w:rsid w:val="001D06E0"/>
    <w:rsid w:val="001D1100"/>
    <w:rsid w:val="001D1391"/>
    <w:rsid w:val="001D158B"/>
    <w:rsid w:val="001D24E7"/>
    <w:rsid w:val="001D25D7"/>
    <w:rsid w:val="001D27DB"/>
    <w:rsid w:val="001D27E1"/>
    <w:rsid w:val="001D36AB"/>
    <w:rsid w:val="001D3C2A"/>
    <w:rsid w:val="001D3C93"/>
    <w:rsid w:val="001D3D30"/>
    <w:rsid w:val="001D434E"/>
    <w:rsid w:val="001D4727"/>
    <w:rsid w:val="001D50B2"/>
    <w:rsid w:val="001D5998"/>
    <w:rsid w:val="001D5C50"/>
    <w:rsid w:val="001D604A"/>
    <w:rsid w:val="001D62E2"/>
    <w:rsid w:val="001D65D2"/>
    <w:rsid w:val="001D69CA"/>
    <w:rsid w:val="001D71F4"/>
    <w:rsid w:val="001D7644"/>
    <w:rsid w:val="001D7645"/>
    <w:rsid w:val="001D7FB5"/>
    <w:rsid w:val="001E00D8"/>
    <w:rsid w:val="001E0100"/>
    <w:rsid w:val="001E039F"/>
    <w:rsid w:val="001E03E8"/>
    <w:rsid w:val="001E08B0"/>
    <w:rsid w:val="001E0AE0"/>
    <w:rsid w:val="001E0CE4"/>
    <w:rsid w:val="001E1B21"/>
    <w:rsid w:val="001E1BA8"/>
    <w:rsid w:val="001E1E86"/>
    <w:rsid w:val="001E238E"/>
    <w:rsid w:val="001E2483"/>
    <w:rsid w:val="001E2764"/>
    <w:rsid w:val="001E2B1E"/>
    <w:rsid w:val="001E2CFF"/>
    <w:rsid w:val="001E2E72"/>
    <w:rsid w:val="001E2F24"/>
    <w:rsid w:val="001E30D4"/>
    <w:rsid w:val="001E34DF"/>
    <w:rsid w:val="001E3648"/>
    <w:rsid w:val="001E398F"/>
    <w:rsid w:val="001E3D5A"/>
    <w:rsid w:val="001E3DBC"/>
    <w:rsid w:val="001E43C9"/>
    <w:rsid w:val="001E4568"/>
    <w:rsid w:val="001E46DC"/>
    <w:rsid w:val="001E48C0"/>
    <w:rsid w:val="001E504F"/>
    <w:rsid w:val="001E52EB"/>
    <w:rsid w:val="001E61D2"/>
    <w:rsid w:val="001E61EF"/>
    <w:rsid w:val="001E69FA"/>
    <w:rsid w:val="001E6C43"/>
    <w:rsid w:val="001E6CE7"/>
    <w:rsid w:val="001E740C"/>
    <w:rsid w:val="001E7735"/>
    <w:rsid w:val="001E7AA2"/>
    <w:rsid w:val="001F0431"/>
    <w:rsid w:val="001F1235"/>
    <w:rsid w:val="001F18A2"/>
    <w:rsid w:val="001F1CB3"/>
    <w:rsid w:val="001F1DF9"/>
    <w:rsid w:val="001F2585"/>
    <w:rsid w:val="001F3442"/>
    <w:rsid w:val="001F3478"/>
    <w:rsid w:val="001F38B5"/>
    <w:rsid w:val="001F3D81"/>
    <w:rsid w:val="001F4053"/>
    <w:rsid w:val="001F4081"/>
    <w:rsid w:val="001F4203"/>
    <w:rsid w:val="001F497E"/>
    <w:rsid w:val="001F5345"/>
    <w:rsid w:val="001F56C4"/>
    <w:rsid w:val="001F5C58"/>
    <w:rsid w:val="001F5F70"/>
    <w:rsid w:val="001F64EB"/>
    <w:rsid w:val="001F6978"/>
    <w:rsid w:val="001F7361"/>
    <w:rsid w:val="001F7F7E"/>
    <w:rsid w:val="002003A3"/>
    <w:rsid w:val="002011B0"/>
    <w:rsid w:val="002019B6"/>
    <w:rsid w:val="0020202C"/>
    <w:rsid w:val="00202141"/>
    <w:rsid w:val="00202496"/>
    <w:rsid w:val="00202695"/>
    <w:rsid w:val="0020293D"/>
    <w:rsid w:val="00202D5B"/>
    <w:rsid w:val="00202EBB"/>
    <w:rsid w:val="00203181"/>
    <w:rsid w:val="0020350E"/>
    <w:rsid w:val="00203783"/>
    <w:rsid w:val="0020385F"/>
    <w:rsid w:val="00205168"/>
    <w:rsid w:val="00205E21"/>
    <w:rsid w:val="002062AF"/>
    <w:rsid w:val="002068A0"/>
    <w:rsid w:val="00206E51"/>
    <w:rsid w:val="00207021"/>
    <w:rsid w:val="0020732F"/>
    <w:rsid w:val="00207D00"/>
    <w:rsid w:val="002105C1"/>
    <w:rsid w:val="00210C3A"/>
    <w:rsid w:val="00210E47"/>
    <w:rsid w:val="002112C2"/>
    <w:rsid w:val="002116FD"/>
    <w:rsid w:val="00212253"/>
    <w:rsid w:val="002122F8"/>
    <w:rsid w:val="002128E2"/>
    <w:rsid w:val="00212EE4"/>
    <w:rsid w:val="0021362D"/>
    <w:rsid w:val="002136BE"/>
    <w:rsid w:val="00213EF5"/>
    <w:rsid w:val="002144DC"/>
    <w:rsid w:val="00214E21"/>
    <w:rsid w:val="002159AF"/>
    <w:rsid w:val="00215DE3"/>
    <w:rsid w:val="00215E1F"/>
    <w:rsid w:val="00216006"/>
    <w:rsid w:val="00216BF5"/>
    <w:rsid w:val="00216EC4"/>
    <w:rsid w:val="00217459"/>
    <w:rsid w:val="00217681"/>
    <w:rsid w:val="00217A63"/>
    <w:rsid w:val="00217D72"/>
    <w:rsid w:val="00220EA6"/>
    <w:rsid w:val="002216BF"/>
    <w:rsid w:val="0022238E"/>
    <w:rsid w:val="002223BB"/>
    <w:rsid w:val="00222EEE"/>
    <w:rsid w:val="00223780"/>
    <w:rsid w:val="00223A6E"/>
    <w:rsid w:val="00223B49"/>
    <w:rsid w:val="00223D5A"/>
    <w:rsid w:val="00224279"/>
    <w:rsid w:val="00224D18"/>
    <w:rsid w:val="00224DD4"/>
    <w:rsid w:val="00225498"/>
    <w:rsid w:val="00225F81"/>
    <w:rsid w:val="002265FD"/>
    <w:rsid w:val="002271C2"/>
    <w:rsid w:val="002271E2"/>
    <w:rsid w:val="00227259"/>
    <w:rsid w:val="0022787F"/>
    <w:rsid w:val="002278A0"/>
    <w:rsid w:val="00230678"/>
    <w:rsid w:val="002309CC"/>
    <w:rsid w:val="00230BC6"/>
    <w:rsid w:val="0023101C"/>
    <w:rsid w:val="00231123"/>
    <w:rsid w:val="002311AD"/>
    <w:rsid w:val="002318A0"/>
    <w:rsid w:val="00231ABD"/>
    <w:rsid w:val="00231AE0"/>
    <w:rsid w:val="00231BA9"/>
    <w:rsid w:val="00231DDA"/>
    <w:rsid w:val="0023209F"/>
    <w:rsid w:val="0023264E"/>
    <w:rsid w:val="00233026"/>
    <w:rsid w:val="002335D5"/>
    <w:rsid w:val="002339B6"/>
    <w:rsid w:val="00233ACB"/>
    <w:rsid w:val="00233C01"/>
    <w:rsid w:val="00233CCF"/>
    <w:rsid w:val="0023408D"/>
    <w:rsid w:val="0023413C"/>
    <w:rsid w:val="002346F0"/>
    <w:rsid w:val="00234933"/>
    <w:rsid w:val="002349FA"/>
    <w:rsid w:val="00235961"/>
    <w:rsid w:val="00235F22"/>
    <w:rsid w:val="00236086"/>
    <w:rsid w:val="0023629D"/>
    <w:rsid w:val="00236433"/>
    <w:rsid w:val="002369F7"/>
    <w:rsid w:val="00236BB1"/>
    <w:rsid w:val="00237255"/>
    <w:rsid w:val="002375C5"/>
    <w:rsid w:val="002378DD"/>
    <w:rsid w:val="002409D7"/>
    <w:rsid w:val="00240DD1"/>
    <w:rsid w:val="00240E29"/>
    <w:rsid w:val="00240FEE"/>
    <w:rsid w:val="00241419"/>
    <w:rsid w:val="00241529"/>
    <w:rsid w:val="00241FB9"/>
    <w:rsid w:val="0024242B"/>
    <w:rsid w:val="002424AF"/>
    <w:rsid w:val="00242CF4"/>
    <w:rsid w:val="00243176"/>
    <w:rsid w:val="002431CC"/>
    <w:rsid w:val="00243496"/>
    <w:rsid w:val="00243913"/>
    <w:rsid w:val="002439DC"/>
    <w:rsid w:val="002441D2"/>
    <w:rsid w:val="00244606"/>
    <w:rsid w:val="00244DC8"/>
    <w:rsid w:val="00245560"/>
    <w:rsid w:val="002458BA"/>
    <w:rsid w:val="00245CE9"/>
    <w:rsid w:val="00245D88"/>
    <w:rsid w:val="00245F70"/>
    <w:rsid w:val="0024636C"/>
    <w:rsid w:val="002467F9"/>
    <w:rsid w:val="0024682F"/>
    <w:rsid w:val="00246F9A"/>
    <w:rsid w:val="002470B8"/>
    <w:rsid w:val="002470BD"/>
    <w:rsid w:val="0024776E"/>
    <w:rsid w:val="0024787A"/>
    <w:rsid w:val="00247925"/>
    <w:rsid w:val="00250433"/>
    <w:rsid w:val="00250740"/>
    <w:rsid w:val="002507FB"/>
    <w:rsid w:val="00251006"/>
    <w:rsid w:val="0025155A"/>
    <w:rsid w:val="002517BE"/>
    <w:rsid w:val="00251FCF"/>
    <w:rsid w:val="002524D5"/>
    <w:rsid w:val="00252722"/>
    <w:rsid w:val="00252D04"/>
    <w:rsid w:val="00253331"/>
    <w:rsid w:val="00253B1D"/>
    <w:rsid w:val="00253B7B"/>
    <w:rsid w:val="00253F9A"/>
    <w:rsid w:val="00254DCF"/>
    <w:rsid w:val="0025534B"/>
    <w:rsid w:val="002554D6"/>
    <w:rsid w:val="00255561"/>
    <w:rsid w:val="002559A6"/>
    <w:rsid w:val="00255B8B"/>
    <w:rsid w:val="00255BB7"/>
    <w:rsid w:val="0025722D"/>
    <w:rsid w:val="00257541"/>
    <w:rsid w:val="002579D5"/>
    <w:rsid w:val="00257A39"/>
    <w:rsid w:val="00257AC4"/>
    <w:rsid w:val="00257BBE"/>
    <w:rsid w:val="00257C5A"/>
    <w:rsid w:val="00257D96"/>
    <w:rsid w:val="002600E9"/>
    <w:rsid w:val="002608C0"/>
    <w:rsid w:val="00260CE8"/>
    <w:rsid w:val="002614F5"/>
    <w:rsid w:val="00261D05"/>
    <w:rsid w:val="00261EEF"/>
    <w:rsid w:val="00262646"/>
    <w:rsid w:val="0026274B"/>
    <w:rsid w:val="00262A1A"/>
    <w:rsid w:val="00262A87"/>
    <w:rsid w:val="00262EEA"/>
    <w:rsid w:val="002636D3"/>
    <w:rsid w:val="00263A79"/>
    <w:rsid w:val="00263AB2"/>
    <w:rsid w:val="0026459B"/>
    <w:rsid w:val="00264B77"/>
    <w:rsid w:val="00264D26"/>
    <w:rsid w:val="00265373"/>
    <w:rsid w:val="00265479"/>
    <w:rsid w:val="00265B3A"/>
    <w:rsid w:val="002674C2"/>
    <w:rsid w:val="00267642"/>
    <w:rsid w:val="00267A51"/>
    <w:rsid w:val="00267AEA"/>
    <w:rsid w:val="002700E6"/>
    <w:rsid w:val="00270244"/>
    <w:rsid w:val="00270749"/>
    <w:rsid w:val="00270941"/>
    <w:rsid w:val="0027100A"/>
    <w:rsid w:val="0027130A"/>
    <w:rsid w:val="00271866"/>
    <w:rsid w:val="00271C21"/>
    <w:rsid w:val="002720B0"/>
    <w:rsid w:val="00272563"/>
    <w:rsid w:val="0027294B"/>
    <w:rsid w:val="00272BD2"/>
    <w:rsid w:val="002733FC"/>
    <w:rsid w:val="002737A0"/>
    <w:rsid w:val="00273EB4"/>
    <w:rsid w:val="002741C8"/>
    <w:rsid w:val="002744DB"/>
    <w:rsid w:val="00274682"/>
    <w:rsid w:val="00274C32"/>
    <w:rsid w:val="00275158"/>
    <w:rsid w:val="00275195"/>
    <w:rsid w:val="00275C5A"/>
    <w:rsid w:val="00276323"/>
    <w:rsid w:val="00276D0E"/>
    <w:rsid w:val="002776DC"/>
    <w:rsid w:val="0028028D"/>
    <w:rsid w:val="00280436"/>
    <w:rsid w:val="00281014"/>
    <w:rsid w:val="002812DC"/>
    <w:rsid w:val="0028156D"/>
    <w:rsid w:val="00281AB6"/>
    <w:rsid w:val="00282221"/>
    <w:rsid w:val="00282815"/>
    <w:rsid w:val="002829E9"/>
    <w:rsid w:val="002830A7"/>
    <w:rsid w:val="00283275"/>
    <w:rsid w:val="00283C4C"/>
    <w:rsid w:val="00283FDE"/>
    <w:rsid w:val="002848B8"/>
    <w:rsid w:val="00284B43"/>
    <w:rsid w:val="00285BCE"/>
    <w:rsid w:val="00286653"/>
    <w:rsid w:val="0028665D"/>
    <w:rsid w:val="00286982"/>
    <w:rsid w:val="00286A69"/>
    <w:rsid w:val="00286B62"/>
    <w:rsid w:val="00286ECC"/>
    <w:rsid w:val="00286FC7"/>
    <w:rsid w:val="00287744"/>
    <w:rsid w:val="00287C85"/>
    <w:rsid w:val="00287D3D"/>
    <w:rsid w:val="00287DC2"/>
    <w:rsid w:val="00287F1A"/>
    <w:rsid w:val="0029023C"/>
    <w:rsid w:val="002903CE"/>
    <w:rsid w:val="0029080D"/>
    <w:rsid w:val="002909B4"/>
    <w:rsid w:val="00290DB6"/>
    <w:rsid w:val="00290E78"/>
    <w:rsid w:val="002914A6"/>
    <w:rsid w:val="00291B27"/>
    <w:rsid w:val="002925C2"/>
    <w:rsid w:val="002927EB"/>
    <w:rsid w:val="00292A1A"/>
    <w:rsid w:val="002936B9"/>
    <w:rsid w:val="00293D90"/>
    <w:rsid w:val="00294236"/>
    <w:rsid w:val="00294E92"/>
    <w:rsid w:val="00294F91"/>
    <w:rsid w:val="00295808"/>
    <w:rsid w:val="00295D42"/>
    <w:rsid w:val="00295E42"/>
    <w:rsid w:val="00296B17"/>
    <w:rsid w:val="00296C6B"/>
    <w:rsid w:val="00296D16"/>
    <w:rsid w:val="00296D8D"/>
    <w:rsid w:val="00296DD8"/>
    <w:rsid w:val="00296FD5"/>
    <w:rsid w:val="0029BDFD"/>
    <w:rsid w:val="002A01AA"/>
    <w:rsid w:val="002A0741"/>
    <w:rsid w:val="002A09A9"/>
    <w:rsid w:val="002A0B1B"/>
    <w:rsid w:val="002A1153"/>
    <w:rsid w:val="002A14AB"/>
    <w:rsid w:val="002A18F9"/>
    <w:rsid w:val="002A1B63"/>
    <w:rsid w:val="002A2187"/>
    <w:rsid w:val="002A2ADE"/>
    <w:rsid w:val="002A2F50"/>
    <w:rsid w:val="002A3718"/>
    <w:rsid w:val="002A4037"/>
    <w:rsid w:val="002A4516"/>
    <w:rsid w:val="002A487E"/>
    <w:rsid w:val="002A4EF9"/>
    <w:rsid w:val="002A5605"/>
    <w:rsid w:val="002A5B9D"/>
    <w:rsid w:val="002A6361"/>
    <w:rsid w:val="002A6378"/>
    <w:rsid w:val="002A6999"/>
    <w:rsid w:val="002A7100"/>
    <w:rsid w:val="002A7943"/>
    <w:rsid w:val="002B05A1"/>
    <w:rsid w:val="002B05D2"/>
    <w:rsid w:val="002B085C"/>
    <w:rsid w:val="002B09A4"/>
    <w:rsid w:val="002B1685"/>
    <w:rsid w:val="002B16C7"/>
    <w:rsid w:val="002B1909"/>
    <w:rsid w:val="002B1C1F"/>
    <w:rsid w:val="002B2CE4"/>
    <w:rsid w:val="002B2E33"/>
    <w:rsid w:val="002B3D9A"/>
    <w:rsid w:val="002B432F"/>
    <w:rsid w:val="002B459F"/>
    <w:rsid w:val="002B49A4"/>
    <w:rsid w:val="002B56F0"/>
    <w:rsid w:val="002B59D6"/>
    <w:rsid w:val="002B6185"/>
    <w:rsid w:val="002B61F0"/>
    <w:rsid w:val="002B62B3"/>
    <w:rsid w:val="002B6754"/>
    <w:rsid w:val="002B6CCE"/>
    <w:rsid w:val="002B72F8"/>
    <w:rsid w:val="002C048F"/>
    <w:rsid w:val="002C0BE5"/>
    <w:rsid w:val="002C14A6"/>
    <w:rsid w:val="002C1D83"/>
    <w:rsid w:val="002C2510"/>
    <w:rsid w:val="002C270C"/>
    <w:rsid w:val="002C2775"/>
    <w:rsid w:val="002C27C1"/>
    <w:rsid w:val="002C2855"/>
    <w:rsid w:val="002C2904"/>
    <w:rsid w:val="002C292B"/>
    <w:rsid w:val="002C2AE7"/>
    <w:rsid w:val="002C2E98"/>
    <w:rsid w:val="002C3062"/>
    <w:rsid w:val="002C3339"/>
    <w:rsid w:val="002C36E3"/>
    <w:rsid w:val="002C3E4E"/>
    <w:rsid w:val="002C3FB3"/>
    <w:rsid w:val="002C5099"/>
    <w:rsid w:val="002C54E5"/>
    <w:rsid w:val="002C5889"/>
    <w:rsid w:val="002C5A2A"/>
    <w:rsid w:val="002C60E6"/>
    <w:rsid w:val="002C618D"/>
    <w:rsid w:val="002C6ACC"/>
    <w:rsid w:val="002C7117"/>
    <w:rsid w:val="002C71CE"/>
    <w:rsid w:val="002C7E01"/>
    <w:rsid w:val="002D06B0"/>
    <w:rsid w:val="002D08F8"/>
    <w:rsid w:val="002D1642"/>
    <w:rsid w:val="002D1A08"/>
    <w:rsid w:val="002D1DF2"/>
    <w:rsid w:val="002D24BE"/>
    <w:rsid w:val="002D31DF"/>
    <w:rsid w:val="002D34EE"/>
    <w:rsid w:val="002D3807"/>
    <w:rsid w:val="002D39E6"/>
    <w:rsid w:val="002D4919"/>
    <w:rsid w:val="002D4A4D"/>
    <w:rsid w:val="002D4B99"/>
    <w:rsid w:val="002D509D"/>
    <w:rsid w:val="002D577C"/>
    <w:rsid w:val="002D59D8"/>
    <w:rsid w:val="002D5FFA"/>
    <w:rsid w:val="002D652A"/>
    <w:rsid w:val="002D6B60"/>
    <w:rsid w:val="002D6B9A"/>
    <w:rsid w:val="002D6C48"/>
    <w:rsid w:val="002D7379"/>
    <w:rsid w:val="002D7832"/>
    <w:rsid w:val="002E0890"/>
    <w:rsid w:val="002E1071"/>
    <w:rsid w:val="002E12C7"/>
    <w:rsid w:val="002E1510"/>
    <w:rsid w:val="002E15B9"/>
    <w:rsid w:val="002E1BAA"/>
    <w:rsid w:val="002E1C03"/>
    <w:rsid w:val="002E2158"/>
    <w:rsid w:val="002E2DE6"/>
    <w:rsid w:val="002E2E97"/>
    <w:rsid w:val="002E3629"/>
    <w:rsid w:val="002E3CE5"/>
    <w:rsid w:val="002E40BC"/>
    <w:rsid w:val="002E4D67"/>
    <w:rsid w:val="002E4D7A"/>
    <w:rsid w:val="002E4F02"/>
    <w:rsid w:val="002E4FAE"/>
    <w:rsid w:val="002E5088"/>
    <w:rsid w:val="002E6C21"/>
    <w:rsid w:val="002E735E"/>
    <w:rsid w:val="002E7722"/>
    <w:rsid w:val="002E7798"/>
    <w:rsid w:val="002E7B7C"/>
    <w:rsid w:val="002F07BA"/>
    <w:rsid w:val="002F07D0"/>
    <w:rsid w:val="002F0DA9"/>
    <w:rsid w:val="002F1014"/>
    <w:rsid w:val="002F1E3B"/>
    <w:rsid w:val="002F3116"/>
    <w:rsid w:val="002F3372"/>
    <w:rsid w:val="002F375D"/>
    <w:rsid w:val="002F3E7A"/>
    <w:rsid w:val="002F4403"/>
    <w:rsid w:val="002F4450"/>
    <w:rsid w:val="002F47BF"/>
    <w:rsid w:val="002F4CA0"/>
    <w:rsid w:val="002F4DE7"/>
    <w:rsid w:val="002F5A6B"/>
    <w:rsid w:val="002F643C"/>
    <w:rsid w:val="002F6829"/>
    <w:rsid w:val="002F6D3B"/>
    <w:rsid w:val="002F6EA3"/>
    <w:rsid w:val="002F71C0"/>
    <w:rsid w:val="002F74F1"/>
    <w:rsid w:val="00300106"/>
    <w:rsid w:val="0030011A"/>
    <w:rsid w:val="003002D2"/>
    <w:rsid w:val="0030083F"/>
    <w:rsid w:val="00300BC9"/>
    <w:rsid w:val="00300F6F"/>
    <w:rsid w:val="00301017"/>
    <w:rsid w:val="0030155F"/>
    <w:rsid w:val="00301569"/>
    <w:rsid w:val="00301810"/>
    <w:rsid w:val="00301BE1"/>
    <w:rsid w:val="00301DF2"/>
    <w:rsid w:val="00301EFD"/>
    <w:rsid w:val="00302C31"/>
    <w:rsid w:val="00302E99"/>
    <w:rsid w:val="003030AC"/>
    <w:rsid w:val="003033DA"/>
    <w:rsid w:val="00303A03"/>
    <w:rsid w:val="00303DD3"/>
    <w:rsid w:val="00304710"/>
    <w:rsid w:val="0030531C"/>
    <w:rsid w:val="00305632"/>
    <w:rsid w:val="0030587B"/>
    <w:rsid w:val="00305E5B"/>
    <w:rsid w:val="003060AC"/>
    <w:rsid w:val="00306848"/>
    <w:rsid w:val="0030699C"/>
    <w:rsid w:val="00306D98"/>
    <w:rsid w:val="00307195"/>
    <w:rsid w:val="003071F2"/>
    <w:rsid w:val="00307408"/>
    <w:rsid w:val="00307591"/>
    <w:rsid w:val="0030786C"/>
    <w:rsid w:val="00307AB5"/>
    <w:rsid w:val="0031031A"/>
    <w:rsid w:val="003103FE"/>
    <w:rsid w:val="00310981"/>
    <w:rsid w:val="003110A4"/>
    <w:rsid w:val="003115F9"/>
    <w:rsid w:val="00311611"/>
    <w:rsid w:val="00311937"/>
    <w:rsid w:val="003119E1"/>
    <w:rsid w:val="00311C58"/>
    <w:rsid w:val="00311D9B"/>
    <w:rsid w:val="00311E07"/>
    <w:rsid w:val="003124D9"/>
    <w:rsid w:val="00312594"/>
    <w:rsid w:val="0031326E"/>
    <w:rsid w:val="003132EE"/>
    <w:rsid w:val="0031341E"/>
    <w:rsid w:val="003134E9"/>
    <w:rsid w:val="00313D6C"/>
    <w:rsid w:val="00313D8C"/>
    <w:rsid w:val="00315498"/>
    <w:rsid w:val="003154F6"/>
    <w:rsid w:val="00316327"/>
    <w:rsid w:val="00316394"/>
    <w:rsid w:val="00316474"/>
    <w:rsid w:val="0031678F"/>
    <w:rsid w:val="00316E00"/>
    <w:rsid w:val="003170EC"/>
    <w:rsid w:val="0031743B"/>
    <w:rsid w:val="003174E2"/>
    <w:rsid w:val="003176E7"/>
    <w:rsid w:val="00317B58"/>
    <w:rsid w:val="00317FF2"/>
    <w:rsid w:val="003200DF"/>
    <w:rsid w:val="0032021E"/>
    <w:rsid w:val="00320666"/>
    <w:rsid w:val="00320AC8"/>
    <w:rsid w:val="00321D30"/>
    <w:rsid w:val="00321DBF"/>
    <w:rsid w:val="00322107"/>
    <w:rsid w:val="00322355"/>
    <w:rsid w:val="00322424"/>
    <w:rsid w:val="00322846"/>
    <w:rsid w:val="00322E18"/>
    <w:rsid w:val="00324589"/>
    <w:rsid w:val="003248E7"/>
    <w:rsid w:val="00324A51"/>
    <w:rsid w:val="003251BA"/>
    <w:rsid w:val="003256D3"/>
    <w:rsid w:val="00325974"/>
    <w:rsid w:val="00326263"/>
    <w:rsid w:val="0032688B"/>
    <w:rsid w:val="00326DA7"/>
    <w:rsid w:val="003270E4"/>
    <w:rsid w:val="00327484"/>
    <w:rsid w:val="003276A7"/>
    <w:rsid w:val="00327B92"/>
    <w:rsid w:val="00327DAC"/>
    <w:rsid w:val="003303CE"/>
    <w:rsid w:val="0033041C"/>
    <w:rsid w:val="0033041E"/>
    <w:rsid w:val="00330512"/>
    <w:rsid w:val="0033080E"/>
    <w:rsid w:val="00330DAA"/>
    <w:rsid w:val="00330F5C"/>
    <w:rsid w:val="003312BE"/>
    <w:rsid w:val="00331602"/>
    <w:rsid w:val="0033173D"/>
    <w:rsid w:val="003318B2"/>
    <w:rsid w:val="00331A85"/>
    <w:rsid w:val="00331CB0"/>
    <w:rsid w:val="00331D21"/>
    <w:rsid w:val="00331DB7"/>
    <w:rsid w:val="003320CA"/>
    <w:rsid w:val="00332341"/>
    <w:rsid w:val="0033242A"/>
    <w:rsid w:val="00332943"/>
    <w:rsid w:val="00332C9F"/>
    <w:rsid w:val="003331B1"/>
    <w:rsid w:val="00333CC4"/>
    <w:rsid w:val="00333CDF"/>
    <w:rsid w:val="00333E9A"/>
    <w:rsid w:val="00334118"/>
    <w:rsid w:val="00334A69"/>
    <w:rsid w:val="00334CD9"/>
    <w:rsid w:val="00335358"/>
    <w:rsid w:val="00335684"/>
    <w:rsid w:val="003366C9"/>
    <w:rsid w:val="003371A0"/>
    <w:rsid w:val="003371B0"/>
    <w:rsid w:val="003373F3"/>
    <w:rsid w:val="00337495"/>
    <w:rsid w:val="0033781C"/>
    <w:rsid w:val="00337CEB"/>
    <w:rsid w:val="00340111"/>
    <w:rsid w:val="003401CA"/>
    <w:rsid w:val="00340DF1"/>
    <w:rsid w:val="00341E03"/>
    <w:rsid w:val="003426EE"/>
    <w:rsid w:val="00342771"/>
    <w:rsid w:val="00342A18"/>
    <w:rsid w:val="00342C2E"/>
    <w:rsid w:val="0034438C"/>
    <w:rsid w:val="00344690"/>
    <w:rsid w:val="003455ED"/>
    <w:rsid w:val="003468FE"/>
    <w:rsid w:val="00346E43"/>
    <w:rsid w:val="0034710D"/>
    <w:rsid w:val="00347C04"/>
    <w:rsid w:val="00347E70"/>
    <w:rsid w:val="003517F9"/>
    <w:rsid w:val="00351BA9"/>
    <w:rsid w:val="00351D26"/>
    <w:rsid w:val="00351D5B"/>
    <w:rsid w:val="00351FDA"/>
    <w:rsid w:val="003521D2"/>
    <w:rsid w:val="003523C6"/>
    <w:rsid w:val="00353C69"/>
    <w:rsid w:val="00353D76"/>
    <w:rsid w:val="00353DED"/>
    <w:rsid w:val="00353E4A"/>
    <w:rsid w:val="003548EE"/>
    <w:rsid w:val="00354F64"/>
    <w:rsid w:val="00354FBE"/>
    <w:rsid w:val="003550D5"/>
    <w:rsid w:val="00355AD5"/>
    <w:rsid w:val="00355DB3"/>
    <w:rsid w:val="00356114"/>
    <w:rsid w:val="0035620E"/>
    <w:rsid w:val="003574E9"/>
    <w:rsid w:val="00357572"/>
    <w:rsid w:val="003575BE"/>
    <w:rsid w:val="00357617"/>
    <w:rsid w:val="00357A78"/>
    <w:rsid w:val="00357E42"/>
    <w:rsid w:val="0036015E"/>
    <w:rsid w:val="00360345"/>
    <w:rsid w:val="00360672"/>
    <w:rsid w:val="00361A05"/>
    <w:rsid w:val="003623E2"/>
    <w:rsid w:val="003624C4"/>
    <w:rsid w:val="00363443"/>
    <w:rsid w:val="00363A13"/>
    <w:rsid w:val="00363B00"/>
    <w:rsid w:val="00364339"/>
    <w:rsid w:val="003644E4"/>
    <w:rsid w:val="003649F9"/>
    <w:rsid w:val="00364ABB"/>
    <w:rsid w:val="00364D7F"/>
    <w:rsid w:val="003654AC"/>
    <w:rsid w:val="00365D82"/>
    <w:rsid w:val="00365FA1"/>
    <w:rsid w:val="003661F6"/>
    <w:rsid w:val="0036668E"/>
    <w:rsid w:val="003672A2"/>
    <w:rsid w:val="0036740E"/>
    <w:rsid w:val="003678FB"/>
    <w:rsid w:val="00367ABB"/>
    <w:rsid w:val="00367EE0"/>
    <w:rsid w:val="00367FD3"/>
    <w:rsid w:val="0037011A"/>
    <w:rsid w:val="00370312"/>
    <w:rsid w:val="00370A08"/>
    <w:rsid w:val="00370D9B"/>
    <w:rsid w:val="003710CF"/>
    <w:rsid w:val="00371632"/>
    <w:rsid w:val="00371932"/>
    <w:rsid w:val="003727E8"/>
    <w:rsid w:val="003728E9"/>
    <w:rsid w:val="00372C87"/>
    <w:rsid w:val="00372DB3"/>
    <w:rsid w:val="0037358A"/>
    <w:rsid w:val="003735A1"/>
    <w:rsid w:val="00373818"/>
    <w:rsid w:val="00373895"/>
    <w:rsid w:val="00373A6A"/>
    <w:rsid w:val="00373D9C"/>
    <w:rsid w:val="00374029"/>
    <w:rsid w:val="003743B8"/>
    <w:rsid w:val="003743D4"/>
    <w:rsid w:val="003749E2"/>
    <w:rsid w:val="00374E5B"/>
    <w:rsid w:val="0037502F"/>
    <w:rsid w:val="003750F6"/>
    <w:rsid w:val="003760FC"/>
    <w:rsid w:val="00376467"/>
    <w:rsid w:val="00376520"/>
    <w:rsid w:val="003768BA"/>
    <w:rsid w:val="003776D5"/>
    <w:rsid w:val="003777D0"/>
    <w:rsid w:val="003802DB"/>
    <w:rsid w:val="0038067A"/>
    <w:rsid w:val="0038199C"/>
    <w:rsid w:val="00381BD5"/>
    <w:rsid w:val="00381FE8"/>
    <w:rsid w:val="0038209C"/>
    <w:rsid w:val="0038256F"/>
    <w:rsid w:val="003826B8"/>
    <w:rsid w:val="00382A2A"/>
    <w:rsid w:val="0038325C"/>
    <w:rsid w:val="0038365C"/>
    <w:rsid w:val="0038369B"/>
    <w:rsid w:val="00383B78"/>
    <w:rsid w:val="00383B81"/>
    <w:rsid w:val="00383BAB"/>
    <w:rsid w:val="00383F7D"/>
    <w:rsid w:val="00384100"/>
    <w:rsid w:val="00384C99"/>
    <w:rsid w:val="0038504E"/>
    <w:rsid w:val="00385A9D"/>
    <w:rsid w:val="00385E75"/>
    <w:rsid w:val="00386319"/>
    <w:rsid w:val="00386621"/>
    <w:rsid w:val="003867EA"/>
    <w:rsid w:val="00386890"/>
    <w:rsid w:val="00387121"/>
    <w:rsid w:val="003902B1"/>
    <w:rsid w:val="003904AF"/>
    <w:rsid w:val="00390AE4"/>
    <w:rsid w:val="0039168F"/>
    <w:rsid w:val="003916F9"/>
    <w:rsid w:val="0039179C"/>
    <w:rsid w:val="003919B1"/>
    <w:rsid w:val="003922F7"/>
    <w:rsid w:val="00392612"/>
    <w:rsid w:val="0039275B"/>
    <w:rsid w:val="003928C3"/>
    <w:rsid w:val="00392D3D"/>
    <w:rsid w:val="00393541"/>
    <w:rsid w:val="00393732"/>
    <w:rsid w:val="00393B7C"/>
    <w:rsid w:val="00393CDE"/>
    <w:rsid w:val="003942DA"/>
    <w:rsid w:val="00394571"/>
    <w:rsid w:val="0039459E"/>
    <w:rsid w:val="003947CD"/>
    <w:rsid w:val="00394ED3"/>
    <w:rsid w:val="0039539A"/>
    <w:rsid w:val="00395423"/>
    <w:rsid w:val="00395820"/>
    <w:rsid w:val="003959A7"/>
    <w:rsid w:val="003963AB"/>
    <w:rsid w:val="00396604"/>
    <w:rsid w:val="003966BB"/>
    <w:rsid w:val="00396896"/>
    <w:rsid w:val="00396904"/>
    <w:rsid w:val="00396FD0"/>
    <w:rsid w:val="00397313"/>
    <w:rsid w:val="00397A4C"/>
    <w:rsid w:val="003A0111"/>
    <w:rsid w:val="003A06A9"/>
    <w:rsid w:val="003A0A6A"/>
    <w:rsid w:val="003A10B7"/>
    <w:rsid w:val="003A13ED"/>
    <w:rsid w:val="003A1533"/>
    <w:rsid w:val="003A17D6"/>
    <w:rsid w:val="003A1A7A"/>
    <w:rsid w:val="003A1B6F"/>
    <w:rsid w:val="003A1C7C"/>
    <w:rsid w:val="003A1F8E"/>
    <w:rsid w:val="003A2392"/>
    <w:rsid w:val="003A2831"/>
    <w:rsid w:val="003A2DEF"/>
    <w:rsid w:val="003A3A26"/>
    <w:rsid w:val="003A3BCF"/>
    <w:rsid w:val="003A3CB6"/>
    <w:rsid w:val="003A3DDC"/>
    <w:rsid w:val="003A3ED1"/>
    <w:rsid w:val="003A3EDA"/>
    <w:rsid w:val="003A44DB"/>
    <w:rsid w:val="003A49E8"/>
    <w:rsid w:val="003A4A54"/>
    <w:rsid w:val="003A4C14"/>
    <w:rsid w:val="003A4C6E"/>
    <w:rsid w:val="003A4FEE"/>
    <w:rsid w:val="003A5041"/>
    <w:rsid w:val="003A560B"/>
    <w:rsid w:val="003A66D7"/>
    <w:rsid w:val="003A6CA7"/>
    <w:rsid w:val="003A6EBA"/>
    <w:rsid w:val="003A75F4"/>
    <w:rsid w:val="003A768A"/>
    <w:rsid w:val="003A7AB8"/>
    <w:rsid w:val="003A7BD1"/>
    <w:rsid w:val="003B01EE"/>
    <w:rsid w:val="003B0457"/>
    <w:rsid w:val="003B0479"/>
    <w:rsid w:val="003B0A14"/>
    <w:rsid w:val="003B12DA"/>
    <w:rsid w:val="003B22FE"/>
    <w:rsid w:val="003B2D67"/>
    <w:rsid w:val="003B3971"/>
    <w:rsid w:val="003B3DB3"/>
    <w:rsid w:val="003B4696"/>
    <w:rsid w:val="003B4753"/>
    <w:rsid w:val="003B4F6D"/>
    <w:rsid w:val="003B5016"/>
    <w:rsid w:val="003B5114"/>
    <w:rsid w:val="003B55D1"/>
    <w:rsid w:val="003B560B"/>
    <w:rsid w:val="003B5B01"/>
    <w:rsid w:val="003B5B61"/>
    <w:rsid w:val="003B5D2B"/>
    <w:rsid w:val="003B5E06"/>
    <w:rsid w:val="003B5FC5"/>
    <w:rsid w:val="003B6113"/>
    <w:rsid w:val="003B694F"/>
    <w:rsid w:val="003B697A"/>
    <w:rsid w:val="003B72FB"/>
    <w:rsid w:val="003B7BBC"/>
    <w:rsid w:val="003C0084"/>
    <w:rsid w:val="003C1654"/>
    <w:rsid w:val="003C1F4D"/>
    <w:rsid w:val="003C1F8F"/>
    <w:rsid w:val="003C1FA9"/>
    <w:rsid w:val="003C307A"/>
    <w:rsid w:val="003C353D"/>
    <w:rsid w:val="003C3796"/>
    <w:rsid w:val="003C39BB"/>
    <w:rsid w:val="003C3D3A"/>
    <w:rsid w:val="003C438B"/>
    <w:rsid w:val="003C4390"/>
    <w:rsid w:val="003C4928"/>
    <w:rsid w:val="003C4EA6"/>
    <w:rsid w:val="003C526F"/>
    <w:rsid w:val="003C5542"/>
    <w:rsid w:val="003C639F"/>
    <w:rsid w:val="003C6615"/>
    <w:rsid w:val="003C6728"/>
    <w:rsid w:val="003C72D0"/>
    <w:rsid w:val="003C793C"/>
    <w:rsid w:val="003C7BB7"/>
    <w:rsid w:val="003C7C15"/>
    <w:rsid w:val="003C7D12"/>
    <w:rsid w:val="003C7D19"/>
    <w:rsid w:val="003C7D2F"/>
    <w:rsid w:val="003C7DBC"/>
    <w:rsid w:val="003D0369"/>
    <w:rsid w:val="003D0C5A"/>
    <w:rsid w:val="003D1828"/>
    <w:rsid w:val="003D1DE4"/>
    <w:rsid w:val="003D1E08"/>
    <w:rsid w:val="003D1E9A"/>
    <w:rsid w:val="003D2396"/>
    <w:rsid w:val="003D2422"/>
    <w:rsid w:val="003D2811"/>
    <w:rsid w:val="003D33DC"/>
    <w:rsid w:val="003D34A6"/>
    <w:rsid w:val="003D39A1"/>
    <w:rsid w:val="003D3E8C"/>
    <w:rsid w:val="003D3F95"/>
    <w:rsid w:val="003D3FBF"/>
    <w:rsid w:val="003D4138"/>
    <w:rsid w:val="003D4A30"/>
    <w:rsid w:val="003D4B66"/>
    <w:rsid w:val="003D4D61"/>
    <w:rsid w:val="003D52E8"/>
    <w:rsid w:val="003D5F3F"/>
    <w:rsid w:val="003D6277"/>
    <w:rsid w:val="003D6DEC"/>
    <w:rsid w:val="003D6F90"/>
    <w:rsid w:val="003D7452"/>
    <w:rsid w:val="003D74E1"/>
    <w:rsid w:val="003D79BB"/>
    <w:rsid w:val="003D7C98"/>
    <w:rsid w:val="003D7D9D"/>
    <w:rsid w:val="003E0543"/>
    <w:rsid w:val="003E0EE2"/>
    <w:rsid w:val="003E0F23"/>
    <w:rsid w:val="003E1264"/>
    <w:rsid w:val="003E1585"/>
    <w:rsid w:val="003E1BCD"/>
    <w:rsid w:val="003E2ADC"/>
    <w:rsid w:val="003E3DDF"/>
    <w:rsid w:val="003E3E4B"/>
    <w:rsid w:val="003E541F"/>
    <w:rsid w:val="003E5603"/>
    <w:rsid w:val="003E5C28"/>
    <w:rsid w:val="003E6297"/>
    <w:rsid w:val="003E6425"/>
    <w:rsid w:val="003E6A04"/>
    <w:rsid w:val="003E6FA4"/>
    <w:rsid w:val="003E7444"/>
    <w:rsid w:val="003E749E"/>
    <w:rsid w:val="003E771C"/>
    <w:rsid w:val="003E7A4F"/>
    <w:rsid w:val="003E7C53"/>
    <w:rsid w:val="003E7E0C"/>
    <w:rsid w:val="003E7EF6"/>
    <w:rsid w:val="003F071B"/>
    <w:rsid w:val="003F1F1D"/>
    <w:rsid w:val="003F2129"/>
    <w:rsid w:val="003F2620"/>
    <w:rsid w:val="003F276F"/>
    <w:rsid w:val="003F2838"/>
    <w:rsid w:val="003F338A"/>
    <w:rsid w:val="003F4156"/>
    <w:rsid w:val="003F4CAD"/>
    <w:rsid w:val="003F4CF2"/>
    <w:rsid w:val="003F5ADF"/>
    <w:rsid w:val="003F5DDC"/>
    <w:rsid w:val="003F5F2E"/>
    <w:rsid w:val="003F5FFB"/>
    <w:rsid w:val="003F66C7"/>
    <w:rsid w:val="003F69C5"/>
    <w:rsid w:val="003F6E15"/>
    <w:rsid w:val="003F7EB2"/>
    <w:rsid w:val="0040024E"/>
    <w:rsid w:val="00400A40"/>
    <w:rsid w:val="00400B29"/>
    <w:rsid w:val="00400DBC"/>
    <w:rsid w:val="0040126A"/>
    <w:rsid w:val="0040195C"/>
    <w:rsid w:val="00401BA3"/>
    <w:rsid w:val="004026DB"/>
    <w:rsid w:val="00402775"/>
    <w:rsid w:val="00402812"/>
    <w:rsid w:val="00402D71"/>
    <w:rsid w:val="00402E38"/>
    <w:rsid w:val="00402F96"/>
    <w:rsid w:val="00403966"/>
    <w:rsid w:val="0040411A"/>
    <w:rsid w:val="00404221"/>
    <w:rsid w:val="004046C0"/>
    <w:rsid w:val="00404A41"/>
    <w:rsid w:val="00404DBA"/>
    <w:rsid w:val="0040504B"/>
    <w:rsid w:val="004059F4"/>
    <w:rsid w:val="004062A9"/>
    <w:rsid w:val="004064FC"/>
    <w:rsid w:val="00406B65"/>
    <w:rsid w:val="00406CCE"/>
    <w:rsid w:val="00406D06"/>
    <w:rsid w:val="00407FE5"/>
    <w:rsid w:val="0041003D"/>
    <w:rsid w:val="004101B0"/>
    <w:rsid w:val="00410326"/>
    <w:rsid w:val="004106E3"/>
    <w:rsid w:val="00410708"/>
    <w:rsid w:val="00410EC7"/>
    <w:rsid w:val="004116C1"/>
    <w:rsid w:val="00411918"/>
    <w:rsid w:val="00411B39"/>
    <w:rsid w:val="00411DDB"/>
    <w:rsid w:val="00412297"/>
    <w:rsid w:val="004122A2"/>
    <w:rsid w:val="004123BE"/>
    <w:rsid w:val="004123F3"/>
    <w:rsid w:val="004124E2"/>
    <w:rsid w:val="004125A9"/>
    <w:rsid w:val="004127A7"/>
    <w:rsid w:val="00412947"/>
    <w:rsid w:val="00413242"/>
    <w:rsid w:val="00413A1E"/>
    <w:rsid w:val="00413D61"/>
    <w:rsid w:val="00414060"/>
    <w:rsid w:val="0041419B"/>
    <w:rsid w:val="00414242"/>
    <w:rsid w:val="00414476"/>
    <w:rsid w:val="00414C2E"/>
    <w:rsid w:val="00414F0D"/>
    <w:rsid w:val="004151CF"/>
    <w:rsid w:val="0041523C"/>
    <w:rsid w:val="004152F1"/>
    <w:rsid w:val="004153A9"/>
    <w:rsid w:val="00415756"/>
    <w:rsid w:val="00415914"/>
    <w:rsid w:val="00416364"/>
    <w:rsid w:val="0041682F"/>
    <w:rsid w:val="00416841"/>
    <w:rsid w:val="004175CE"/>
    <w:rsid w:val="0041786A"/>
    <w:rsid w:val="00417CD3"/>
    <w:rsid w:val="0042047F"/>
    <w:rsid w:val="0042048C"/>
    <w:rsid w:val="004206E0"/>
    <w:rsid w:val="00420950"/>
    <w:rsid w:val="00420AA6"/>
    <w:rsid w:val="00420B9F"/>
    <w:rsid w:val="004214D2"/>
    <w:rsid w:val="0042192C"/>
    <w:rsid w:val="00421C10"/>
    <w:rsid w:val="00421DAF"/>
    <w:rsid w:val="00422008"/>
    <w:rsid w:val="00422260"/>
    <w:rsid w:val="004223C1"/>
    <w:rsid w:val="00422544"/>
    <w:rsid w:val="004226EE"/>
    <w:rsid w:val="00423280"/>
    <w:rsid w:val="0042413F"/>
    <w:rsid w:val="0042463C"/>
    <w:rsid w:val="00424B36"/>
    <w:rsid w:val="004252AA"/>
    <w:rsid w:val="00425B4C"/>
    <w:rsid w:val="004265D1"/>
    <w:rsid w:val="0042678D"/>
    <w:rsid w:val="0042729D"/>
    <w:rsid w:val="0042739B"/>
    <w:rsid w:val="004277B1"/>
    <w:rsid w:val="00430040"/>
    <w:rsid w:val="00430605"/>
    <w:rsid w:val="00430C83"/>
    <w:rsid w:val="00430D13"/>
    <w:rsid w:val="004319F8"/>
    <w:rsid w:val="00431DB5"/>
    <w:rsid w:val="00431DDB"/>
    <w:rsid w:val="00431E55"/>
    <w:rsid w:val="004321F6"/>
    <w:rsid w:val="004325A4"/>
    <w:rsid w:val="004325B3"/>
    <w:rsid w:val="00433044"/>
    <w:rsid w:val="00433F64"/>
    <w:rsid w:val="00434088"/>
    <w:rsid w:val="00434375"/>
    <w:rsid w:val="004348C6"/>
    <w:rsid w:val="00434A2A"/>
    <w:rsid w:val="00434DC3"/>
    <w:rsid w:val="004350B6"/>
    <w:rsid w:val="00435392"/>
    <w:rsid w:val="004355BB"/>
    <w:rsid w:val="004356C9"/>
    <w:rsid w:val="004357DA"/>
    <w:rsid w:val="00436258"/>
    <w:rsid w:val="00437519"/>
    <w:rsid w:val="004375B9"/>
    <w:rsid w:val="00437D99"/>
    <w:rsid w:val="0044049F"/>
    <w:rsid w:val="004406A3"/>
    <w:rsid w:val="00440D64"/>
    <w:rsid w:val="00440E09"/>
    <w:rsid w:val="00440FEC"/>
    <w:rsid w:val="00441027"/>
    <w:rsid w:val="00441448"/>
    <w:rsid w:val="00441553"/>
    <w:rsid w:val="00441801"/>
    <w:rsid w:val="0044184B"/>
    <w:rsid w:val="00441D3C"/>
    <w:rsid w:val="00442108"/>
    <w:rsid w:val="004421FA"/>
    <w:rsid w:val="00442800"/>
    <w:rsid w:val="004428D0"/>
    <w:rsid w:val="00442905"/>
    <w:rsid w:val="004430A4"/>
    <w:rsid w:val="00443360"/>
    <w:rsid w:val="0044360F"/>
    <w:rsid w:val="00443F58"/>
    <w:rsid w:val="0044415A"/>
    <w:rsid w:val="00444185"/>
    <w:rsid w:val="004443A7"/>
    <w:rsid w:val="0044442C"/>
    <w:rsid w:val="00444FF7"/>
    <w:rsid w:val="0044531D"/>
    <w:rsid w:val="00445941"/>
    <w:rsid w:val="00445B18"/>
    <w:rsid w:val="00445EB7"/>
    <w:rsid w:val="00445F3B"/>
    <w:rsid w:val="004464EB"/>
    <w:rsid w:val="00446640"/>
    <w:rsid w:val="0044688B"/>
    <w:rsid w:val="00447397"/>
    <w:rsid w:val="0044740E"/>
    <w:rsid w:val="00447D26"/>
    <w:rsid w:val="00447DFC"/>
    <w:rsid w:val="00450EE6"/>
    <w:rsid w:val="004510E8"/>
    <w:rsid w:val="00451717"/>
    <w:rsid w:val="0045353C"/>
    <w:rsid w:val="00454436"/>
    <w:rsid w:val="00455219"/>
    <w:rsid w:val="004555B2"/>
    <w:rsid w:val="004557FF"/>
    <w:rsid w:val="00455D45"/>
    <w:rsid w:val="00455DE0"/>
    <w:rsid w:val="0045633D"/>
    <w:rsid w:val="0045641A"/>
    <w:rsid w:val="00457726"/>
    <w:rsid w:val="004579E8"/>
    <w:rsid w:val="00457B16"/>
    <w:rsid w:val="00457FB4"/>
    <w:rsid w:val="0046051F"/>
    <w:rsid w:val="00460E08"/>
    <w:rsid w:val="00460E19"/>
    <w:rsid w:val="00460E25"/>
    <w:rsid w:val="00460F0C"/>
    <w:rsid w:val="004618A8"/>
    <w:rsid w:val="00461F17"/>
    <w:rsid w:val="00462B8C"/>
    <w:rsid w:val="00463B04"/>
    <w:rsid w:val="00463DB7"/>
    <w:rsid w:val="004642B6"/>
    <w:rsid w:val="0046434F"/>
    <w:rsid w:val="00464388"/>
    <w:rsid w:val="0046455E"/>
    <w:rsid w:val="00464595"/>
    <w:rsid w:val="00464610"/>
    <w:rsid w:val="00464F48"/>
    <w:rsid w:val="004658B5"/>
    <w:rsid w:val="00465DD9"/>
    <w:rsid w:val="0046670A"/>
    <w:rsid w:val="004667F9"/>
    <w:rsid w:val="00466B55"/>
    <w:rsid w:val="00467245"/>
    <w:rsid w:val="004676EC"/>
    <w:rsid w:val="00467D54"/>
    <w:rsid w:val="00467FF8"/>
    <w:rsid w:val="00470863"/>
    <w:rsid w:val="00470F15"/>
    <w:rsid w:val="00470F45"/>
    <w:rsid w:val="004713FA"/>
    <w:rsid w:val="00471EA5"/>
    <w:rsid w:val="00472480"/>
    <w:rsid w:val="00472A79"/>
    <w:rsid w:val="00472E6B"/>
    <w:rsid w:val="004731BB"/>
    <w:rsid w:val="00473967"/>
    <w:rsid w:val="00473A9E"/>
    <w:rsid w:val="00473F19"/>
    <w:rsid w:val="00474325"/>
    <w:rsid w:val="00474933"/>
    <w:rsid w:val="00475BE1"/>
    <w:rsid w:val="00475CC5"/>
    <w:rsid w:val="00475E22"/>
    <w:rsid w:val="0047610A"/>
    <w:rsid w:val="004762C6"/>
    <w:rsid w:val="004800D7"/>
    <w:rsid w:val="0048066B"/>
    <w:rsid w:val="00480751"/>
    <w:rsid w:val="0048088E"/>
    <w:rsid w:val="00480F2B"/>
    <w:rsid w:val="004813E8"/>
    <w:rsid w:val="004817DC"/>
    <w:rsid w:val="0048267F"/>
    <w:rsid w:val="00482720"/>
    <w:rsid w:val="00482F0A"/>
    <w:rsid w:val="004835E7"/>
    <w:rsid w:val="00483EEB"/>
    <w:rsid w:val="004844F8"/>
    <w:rsid w:val="00484A39"/>
    <w:rsid w:val="00485215"/>
    <w:rsid w:val="004859E1"/>
    <w:rsid w:val="00485E1D"/>
    <w:rsid w:val="004867E2"/>
    <w:rsid w:val="00486EE5"/>
    <w:rsid w:val="0048706B"/>
    <w:rsid w:val="00487574"/>
    <w:rsid w:val="0048795B"/>
    <w:rsid w:val="0048795C"/>
    <w:rsid w:val="0049049A"/>
    <w:rsid w:val="00490B17"/>
    <w:rsid w:val="00490EF8"/>
    <w:rsid w:val="00491685"/>
    <w:rsid w:val="00491974"/>
    <w:rsid w:val="004919BF"/>
    <w:rsid w:val="00491B3A"/>
    <w:rsid w:val="00491DD2"/>
    <w:rsid w:val="00492CFD"/>
    <w:rsid w:val="00492D75"/>
    <w:rsid w:val="00492EA1"/>
    <w:rsid w:val="00492F29"/>
    <w:rsid w:val="00492F4F"/>
    <w:rsid w:val="00492FD0"/>
    <w:rsid w:val="004935DC"/>
    <w:rsid w:val="0049395F"/>
    <w:rsid w:val="00494207"/>
    <w:rsid w:val="004943A8"/>
    <w:rsid w:val="00494598"/>
    <w:rsid w:val="00494DD5"/>
    <w:rsid w:val="00494ECF"/>
    <w:rsid w:val="00495119"/>
    <w:rsid w:val="004957AB"/>
    <w:rsid w:val="004961DF"/>
    <w:rsid w:val="004962D2"/>
    <w:rsid w:val="004967A5"/>
    <w:rsid w:val="00497632"/>
    <w:rsid w:val="004977DD"/>
    <w:rsid w:val="00497875"/>
    <w:rsid w:val="00497904"/>
    <w:rsid w:val="00497DFB"/>
    <w:rsid w:val="004A0AA3"/>
    <w:rsid w:val="004A0DA1"/>
    <w:rsid w:val="004A0FBF"/>
    <w:rsid w:val="004A0FE8"/>
    <w:rsid w:val="004A1122"/>
    <w:rsid w:val="004A13D6"/>
    <w:rsid w:val="004A18F5"/>
    <w:rsid w:val="004A20E2"/>
    <w:rsid w:val="004A2186"/>
    <w:rsid w:val="004A21AD"/>
    <w:rsid w:val="004A2483"/>
    <w:rsid w:val="004A26C4"/>
    <w:rsid w:val="004A3661"/>
    <w:rsid w:val="004A3786"/>
    <w:rsid w:val="004A413D"/>
    <w:rsid w:val="004A419A"/>
    <w:rsid w:val="004A52E9"/>
    <w:rsid w:val="004A544F"/>
    <w:rsid w:val="004A6040"/>
    <w:rsid w:val="004A6597"/>
    <w:rsid w:val="004A68C7"/>
    <w:rsid w:val="004A6DAA"/>
    <w:rsid w:val="004A75C4"/>
    <w:rsid w:val="004A7848"/>
    <w:rsid w:val="004A790F"/>
    <w:rsid w:val="004A793B"/>
    <w:rsid w:val="004A7EE9"/>
    <w:rsid w:val="004B0970"/>
    <w:rsid w:val="004B0B07"/>
    <w:rsid w:val="004B1CB4"/>
    <w:rsid w:val="004B1DDF"/>
    <w:rsid w:val="004B1DF9"/>
    <w:rsid w:val="004B1F62"/>
    <w:rsid w:val="004B29C7"/>
    <w:rsid w:val="004B2C04"/>
    <w:rsid w:val="004B2F18"/>
    <w:rsid w:val="004B3878"/>
    <w:rsid w:val="004B3A34"/>
    <w:rsid w:val="004B3DDB"/>
    <w:rsid w:val="004B41AD"/>
    <w:rsid w:val="004B44FD"/>
    <w:rsid w:val="004B51B5"/>
    <w:rsid w:val="004B5AE7"/>
    <w:rsid w:val="004B5CFC"/>
    <w:rsid w:val="004B6F79"/>
    <w:rsid w:val="004B774D"/>
    <w:rsid w:val="004B78F0"/>
    <w:rsid w:val="004B7A36"/>
    <w:rsid w:val="004C0015"/>
    <w:rsid w:val="004C0740"/>
    <w:rsid w:val="004C10CE"/>
    <w:rsid w:val="004C1AB5"/>
    <w:rsid w:val="004C1B7A"/>
    <w:rsid w:val="004C2671"/>
    <w:rsid w:val="004C284F"/>
    <w:rsid w:val="004C2AC2"/>
    <w:rsid w:val="004C2B07"/>
    <w:rsid w:val="004C2DF3"/>
    <w:rsid w:val="004C3A85"/>
    <w:rsid w:val="004C3EF1"/>
    <w:rsid w:val="004C3F2E"/>
    <w:rsid w:val="004C494E"/>
    <w:rsid w:val="004C4AED"/>
    <w:rsid w:val="004C4E54"/>
    <w:rsid w:val="004C501D"/>
    <w:rsid w:val="004C5F63"/>
    <w:rsid w:val="004C6C0F"/>
    <w:rsid w:val="004C7648"/>
    <w:rsid w:val="004C7B23"/>
    <w:rsid w:val="004C7DA3"/>
    <w:rsid w:val="004D00A8"/>
    <w:rsid w:val="004D07A4"/>
    <w:rsid w:val="004D097D"/>
    <w:rsid w:val="004D0F47"/>
    <w:rsid w:val="004D12B9"/>
    <w:rsid w:val="004D1882"/>
    <w:rsid w:val="004D22A8"/>
    <w:rsid w:val="004D2C2D"/>
    <w:rsid w:val="004D2D36"/>
    <w:rsid w:val="004D42E6"/>
    <w:rsid w:val="004D431D"/>
    <w:rsid w:val="004D432F"/>
    <w:rsid w:val="004D4A56"/>
    <w:rsid w:val="004D4DC1"/>
    <w:rsid w:val="004D4ECD"/>
    <w:rsid w:val="004D5B8A"/>
    <w:rsid w:val="004D69B5"/>
    <w:rsid w:val="004D6AE5"/>
    <w:rsid w:val="004D71B5"/>
    <w:rsid w:val="004D7227"/>
    <w:rsid w:val="004D7232"/>
    <w:rsid w:val="004D7B5E"/>
    <w:rsid w:val="004D7BBB"/>
    <w:rsid w:val="004E029F"/>
    <w:rsid w:val="004E02BF"/>
    <w:rsid w:val="004E0E7F"/>
    <w:rsid w:val="004E0EB8"/>
    <w:rsid w:val="004E0FA1"/>
    <w:rsid w:val="004E18E9"/>
    <w:rsid w:val="004E1A63"/>
    <w:rsid w:val="004E1C08"/>
    <w:rsid w:val="004E2ADC"/>
    <w:rsid w:val="004E2AFA"/>
    <w:rsid w:val="004E322C"/>
    <w:rsid w:val="004E348E"/>
    <w:rsid w:val="004E36D3"/>
    <w:rsid w:val="004E3733"/>
    <w:rsid w:val="004E3AA1"/>
    <w:rsid w:val="004E4071"/>
    <w:rsid w:val="004E43B2"/>
    <w:rsid w:val="004E4904"/>
    <w:rsid w:val="004E4C16"/>
    <w:rsid w:val="004E56DF"/>
    <w:rsid w:val="004E5B22"/>
    <w:rsid w:val="004E5C09"/>
    <w:rsid w:val="004E6221"/>
    <w:rsid w:val="004E66B8"/>
    <w:rsid w:val="004E66C6"/>
    <w:rsid w:val="004E6705"/>
    <w:rsid w:val="004E67C9"/>
    <w:rsid w:val="004E6B45"/>
    <w:rsid w:val="004E6CFF"/>
    <w:rsid w:val="004F015B"/>
    <w:rsid w:val="004F05D3"/>
    <w:rsid w:val="004F0C00"/>
    <w:rsid w:val="004F1D02"/>
    <w:rsid w:val="004F22B2"/>
    <w:rsid w:val="004F2679"/>
    <w:rsid w:val="004F299D"/>
    <w:rsid w:val="004F2F21"/>
    <w:rsid w:val="004F2F58"/>
    <w:rsid w:val="004F391D"/>
    <w:rsid w:val="004F3C35"/>
    <w:rsid w:val="004F3DE5"/>
    <w:rsid w:val="004F41B1"/>
    <w:rsid w:val="004F4390"/>
    <w:rsid w:val="004F47C7"/>
    <w:rsid w:val="004F4B4E"/>
    <w:rsid w:val="004F569E"/>
    <w:rsid w:val="004F645A"/>
    <w:rsid w:val="004F67EE"/>
    <w:rsid w:val="004F6913"/>
    <w:rsid w:val="004F6F32"/>
    <w:rsid w:val="004F6FA4"/>
    <w:rsid w:val="004F781D"/>
    <w:rsid w:val="004F7865"/>
    <w:rsid w:val="0050089E"/>
    <w:rsid w:val="00500943"/>
    <w:rsid w:val="00500EA2"/>
    <w:rsid w:val="00501387"/>
    <w:rsid w:val="00501555"/>
    <w:rsid w:val="0050174E"/>
    <w:rsid w:val="00501854"/>
    <w:rsid w:val="00501A8A"/>
    <w:rsid w:val="00501A98"/>
    <w:rsid w:val="00501BD2"/>
    <w:rsid w:val="00501CAE"/>
    <w:rsid w:val="0050219B"/>
    <w:rsid w:val="00502369"/>
    <w:rsid w:val="005027D1"/>
    <w:rsid w:val="00502885"/>
    <w:rsid w:val="00502B28"/>
    <w:rsid w:val="00502DA1"/>
    <w:rsid w:val="00502EF8"/>
    <w:rsid w:val="005038B4"/>
    <w:rsid w:val="00503DA2"/>
    <w:rsid w:val="00503F17"/>
    <w:rsid w:val="00503F3A"/>
    <w:rsid w:val="00503FFB"/>
    <w:rsid w:val="00504647"/>
    <w:rsid w:val="00504A90"/>
    <w:rsid w:val="00504B7F"/>
    <w:rsid w:val="005053CA"/>
    <w:rsid w:val="0050558C"/>
    <w:rsid w:val="00505E29"/>
    <w:rsid w:val="00506318"/>
    <w:rsid w:val="0050663B"/>
    <w:rsid w:val="00506928"/>
    <w:rsid w:val="00507752"/>
    <w:rsid w:val="005077EF"/>
    <w:rsid w:val="00507A0D"/>
    <w:rsid w:val="005104A3"/>
    <w:rsid w:val="005107C2"/>
    <w:rsid w:val="005108F1"/>
    <w:rsid w:val="00510CAD"/>
    <w:rsid w:val="00511167"/>
    <w:rsid w:val="00511A5D"/>
    <w:rsid w:val="00511AD5"/>
    <w:rsid w:val="00511BAD"/>
    <w:rsid w:val="00511DB2"/>
    <w:rsid w:val="00511DC7"/>
    <w:rsid w:val="00511EB1"/>
    <w:rsid w:val="00511FAE"/>
    <w:rsid w:val="00512057"/>
    <w:rsid w:val="00512318"/>
    <w:rsid w:val="005127C4"/>
    <w:rsid w:val="0051282D"/>
    <w:rsid w:val="00512E9D"/>
    <w:rsid w:val="00513079"/>
    <w:rsid w:val="005133E9"/>
    <w:rsid w:val="00513549"/>
    <w:rsid w:val="0051372D"/>
    <w:rsid w:val="00513D99"/>
    <w:rsid w:val="005142C5"/>
    <w:rsid w:val="0051501B"/>
    <w:rsid w:val="005152B5"/>
    <w:rsid w:val="005157B1"/>
    <w:rsid w:val="00515886"/>
    <w:rsid w:val="00515911"/>
    <w:rsid w:val="00516AC4"/>
    <w:rsid w:val="00516C81"/>
    <w:rsid w:val="005175E9"/>
    <w:rsid w:val="0052047B"/>
    <w:rsid w:val="0052123C"/>
    <w:rsid w:val="00521311"/>
    <w:rsid w:val="00521319"/>
    <w:rsid w:val="00521EA1"/>
    <w:rsid w:val="005220D8"/>
    <w:rsid w:val="0052241A"/>
    <w:rsid w:val="00522545"/>
    <w:rsid w:val="00522BC8"/>
    <w:rsid w:val="00523487"/>
    <w:rsid w:val="00523675"/>
    <w:rsid w:val="00523C28"/>
    <w:rsid w:val="00523DD2"/>
    <w:rsid w:val="00524234"/>
    <w:rsid w:val="005244E4"/>
    <w:rsid w:val="0052515D"/>
    <w:rsid w:val="00525D15"/>
    <w:rsid w:val="00525DA9"/>
    <w:rsid w:val="005265DE"/>
    <w:rsid w:val="005268C6"/>
    <w:rsid w:val="005269B4"/>
    <w:rsid w:val="00526DD9"/>
    <w:rsid w:val="00526E82"/>
    <w:rsid w:val="00527040"/>
    <w:rsid w:val="0052729A"/>
    <w:rsid w:val="00527D11"/>
    <w:rsid w:val="0053022E"/>
    <w:rsid w:val="0053077B"/>
    <w:rsid w:val="0053176B"/>
    <w:rsid w:val="005318F0"/>
    <w:rsid w:val="00531A76"/>
    <w:rsid w:val="00531DA8"/>
    <w:rsid w:val="00532A58"/>
    <w:rsid w:val="00532C3C"/>
    <w:rsid w:val="005330D4"/>
    <w:rsid w:val="00533586"/>
    <w:rsid w:val="005341B3"/>
    <w:rsid w:val="0053447F"/>
    <w:rsid w:val="00535C66"/>
    <w:rsid w:val="00535EAD"/>
    <w:rsid w:val="00535F05"/>
    <w:rsid w:val="0053636A"/>
    <w:rsid w:val="005366F4"/>
    <w:rsid w:val="00536F42"/>
    <w:rsid w:val="00537182"/>
    <w:rsid w:val="00537251"/>
    <w:rsid w:val="00537444"/>
    <w:rsid w:val="005410CD"/>
    <w:rsid w:val="0054126D"/>
    <w:rsid w:val="00541546"/>
    <w:rsid w:val="0054189E"/>
    <w:rsid w:val="00541EDD"/>
    <w:rsid w:val="0054258F"/>
    <w:rsid w:val="00542743"/>
    <w:rsid w:val="0054295B"/>
    <w:rsid w:val="00542C2D"/>
    <w:rsid w:val="005431B6"/>
    <w:rsid w:val="005432BA"/>
    <w:rsid w:val="00543DA1"/>
    <w:rsid w:val="00543DAE"/>
    <w:rsid w:val="00544035"/>
    <w:rsid w:val="00544281"/>
    <w:rsid w:val="00544B82"/>
    <w:rsid w:val="00544D47"/>
    <w:rsid w:val="00545807"/>
    <w:rsid w:val="00545D13"/>
    <w:rsid w:val="00545E7C"/>
    <w:rsid w:val="00546397"/>
    <w:rsid w:val="00546479"/>
    <w:rsid w:val="005464A8"/>
    <w:rsid w:val="00546747"/>
    <w:rsid w:val="00546C8E"/>
    <w:rsid w:val="0054777D"/>
    <w:rsid w:val="005478BD"/>
    <w:rsid w:val="005479E3"/>
    <w:rsid w:val="00547B85"/>
    <w:rsid w:val="00547CC4"/>
    <w:rsid w:val="005502C8"/>
    <w:rsid w:val="00550489"/>
    <w:rsid w:val="005507D2"/>
    <w:rsid w:val="00550B5F"/>
    <w:rsid w:val="00550DDA"/>
    <w:rsid w:val="00551050"/>
    <w:rsid w:val="00551985"/>
    <w:rsid w:val="005519DA"/>
    <w:rsid w:val="0055215E"/>
    <w:rsid w:val="0055222D"/>
    <w:rsid w:val="005525C5"/>
    <w:rsid w:val="00552711"/>
    <w:rsid w:val="005527F9"/>
    <w:rsid w:val="00552BD3"/>
    <w:rsid w:val="00553056"/>
    <w:rsid w:val="00553287"/>
    <w:rsid w:val="005532A0"/>
    <w:rsid w:val="00553304"/>
    <w:rsid w:val="00553872"/>
    <w:rsid w:val="00553A71"/>
    <w:rsid w:val="00554055"/>
    <w:rsid w:val="005543B2"/>
    <w:rsid w:val="00554AC6"/>
    <w:rsid w:val="00554C0C"/>
    <w:rsid w:val="00555109"/>
    <w:rsid w:val="005558C6"/>
    <w:rsid w:val="00555CCE"/>
    <w:rsid w:val="00556B35"/>
    <w:rsid w:val="00556B6F"/>
    <w:rsid w:val="00556BDC"/>
    <w:rsid w:val="00556ED2"/>
    <w:rsid w:val="0055741A"/>
    <w:rsid w:val="00557486"/>
    <w:rsid w:val="00560162"/>
    <w:rsid w:val="005601EB"/>
    <w:rsid w:val="005607D3"/>
    <w:rsid w:val="00560E9B"/>
    <w:rsid w:val="005611B7"/>
    <w:rsid w:val="0056163E"/>
    <w:rsid w:val="005617A2"/>
    <w:rsid w:val="005618D4"/>
    <w:rsid w:val="00563985"/>
    <w:rsid w:val="00563D32"/>
    <w:rsid w:val="00563FB8"/>
    <w:rsid w:val="005641DB"/>
    <w:rsid w:val="00564867"/>
    <w:rsid w:val="00564E03"/>
    <w:rsid w:val="00565C79"/>
    <w:rsid w:val="00565DF0"/>
    <w:rsid w:val="005661CB"/>
    <w:rsid w:val="005663C3"/>
    <w:rsid w:val="005664D4"/>
    <w:rsid w:val="0056696F"/>
    <w:rsid w:val="00567778"/>
    <w:rsid w:val="00570337"/>
    <w:rsid w:val="00570A59"/>
    <w:rsid w:val="0057177D"/>
    <w:rsid w:val="005721AB"/>
    <w:rsid w:val="00572269"/>
    <w:rsid w:val="0057244A"/>
    <w:rsid w:val="00572B2E"/>
    <w:rsid w:val="00572F26"/>
    <w:rsid w:val="005738D2"/>
    <w:rsid w:val="00573CE6"/>
    <w:rsid w:val="00573E54"/>
    <w:rsid w:val="00574819"/>
    <w:rsid w:val="005749F7"/>
    <w:rsid w:val="00574CEA"/>
    <w:rsid w:val="005750C5"/>
    <w:rsid w:val="005752DE"/>
    <w:rsid w:val="00575786"/>
    <w:rsid w:val="005757A1"/>
    <w:rsid w:val="00575D60"/>
    <w:rsid w:val="00575D8D"/>
    <w:rsid w:val="005762E1"/>
    <w:rsid w:val="00576972"/>
    <w:rsid w:val="005769B0"/>
    <w:rsid w:val="00576B25"/>
    <w:rsid w:val="00576B83"/>
    <w:rsid w:val="00577195"/>
    <w:rsid w:val="00577248"/>
    <w:rsid w:val="00577495"/>
    <w:rsid w:val="00577D5A"/>
    <w:rsid w:val="00577E51"/>
    <w:rsid w:val="00580ABF"/>
    <w:rsid w:val="00580C4D"/>
    <w:rsid w:val="005815C2"/>
    <w:rsid w:val="00582BE0"/>
    <w:rsid w:val="00582C28"/>
    <w:rsid w:val="00582F33"/>
    <w:rsid w:val="00583699"/>
    <w:rsid w:val="00583F03"/>
    <w:rsid w:val="0058409F"/>
    <w:rsid w:val="005849CE"/>
    <w:rsid w:val="00585A1E"/>
    <w:rsid w:val="00585B60"/>
    <w:rsid w:val="00585BB7"/>
    <w:rsid w:val="00585CDD"/>
    <w:rsid w:val="00585D24"/>
    <w:rsid w:val="00586588"/>
    <w:rsid w:val="00586BF8"/>
    <w:rsid w:val="00587058"/>
    <w:rsid w:val="00587A90"/>
    <w:rsid w:val="00587B3E"/>
    <w:rsid w:val="00587CD0"/>
    <w:rsid w:val="00590822"/>
    <w:rsid w:val="00591957"/>
    <w:rsid w:val="00591F31"/>
    <w:rsid w:val="0059258C"/>
    <w:rsid w:val="00592BD7"/>
    <w:rsid w:val="00592FB2"/>
    <w:rsid w:val="005930C4"/>
    <w:rsid w:val="00593452"/>
    <w:rsid w:val="00593655"/>
    <w:rsid w:val="005936AB"/>
    <w:rsid w:val="00593A05"/>
    <w:rsid w:val="00593CF9"/>
    <w:rsid w:val="00593E70"/>
    <w:rsid w:val="00594021"/>
    <w:rsid w:val="005943A6"/>
    <w:rsid w:val="005946DE"/>
    <w:rsid w:val="00594A6D"/>
    <w:rsid w:val="00594EA6"/>
    <w:rsid w:val="005954BD"/>
    <w:rsid w:val="00595D01"/>
    <w:rsid w:val="005961BE"/>
    <w:rsid w:val="00596852"/>
    <w:rsid w:val="005969AD"/>
    <w:rsid w:val="00596C8D"/>
    <w:rsid w:val="00597A3B"/>
    <w:rsid w:val="00597BF9"/>
    <w:rsid w:val="005A0C11"/>
    <w:rsid w:val="005A1891"/>
    <w:rsid w:val="005A1991"/>
    <w:rsid w:val="005A1A31"/>
    <w:rsid w:val="005A1B0C"/>
    <w:rsid w:val="005A1FE1"/>
    <w:rsid w:val="005A23E5"/>
    <w:rsid w:val="005A309A"/>
    <w:rsid w:val="005A34FF"/>
    <w:rsid w:val="005A36F6"/>
    <w:rsid w:val="005A373D"/>
    <w:rsid w:val="005A382A"/>
    <w:rsid w:val="005A3AE6"/>
    <w:rsid w:val="005A3BE4"/>
    <w:rsid w:val="005A40A5"/>
    <w:rsid w:val="005A45C2"/>
    <w:rsid w:val="005A477D"/>
    <w:rsid w:val="005A5C27"/>
    <w:rsid w:val="005A5FA4"/>
    <w:rsid w:val="005A6369"/>
    <w:rsid w:val="005A63B9"/>
    <w:rsid w:val="005A63E7"/>
    <w:rsid w:val="005A7633"/>
    <w:rsid w:val="005A7FA3"/>
    <w:rsid w:val="005B0B58"/>
    <w:rsid w:val="005B1652"/>
    <w:rsid w:val="005B1DC8"/>
    <w:rsid w:val="005B2123"/>
    <w:rsid w:val="005B3016"/>
    <w:rsid w:val="005B3E88"/>
    <w:rsid w:val="005B40AC"/>
    <w:rsid w:val="005B43B4"/>
    <w:rsid w:val="005B45A4"/>
    <w:rsid w:val="005B48EF"/>
    <w:rsid w:val="005B4E53"/>
    <w:rsid w:val="005B5389"/>
    <w:rsid w:val="005B5857"/>
    <w:rsid w:val="005B5C7C"/>
    <w:rsid w:val="005B6A63"/>
    <w:rsid w:val="005B7550"/>
    <w:rsid w:val="005C064C"/>
    <w:rsid w:val="005C0C34"/>
    <w:rsid w:val="005C12C8"/>
    <w:rsid w:val="005C1890"/>
    <w:rsid w:val="005C19B4"/>
    <w:rsid w:val="005C19C4"/>
    <w:rsid w:val="005C1B83"/>
    <w:rsid w:val="005C238C"/>
    <w:rsid w:val="005C25FF"/>
    <w:rsid w:val="005C2989"/>
    <w:rsid w:val="005C2D55"/>
    <w:rsid w:val="005C346B"/>
    <w:rsid w:val="005C3767"/>
    <w:rsid w:val="005C3B1D"/>
    <w:rsid w:val="005C3D28"/>
    <w:rsid w:val="005C3E10"/>
    <w:rsid w:val="005C3EDE"/>
    <w:rsid w:val="005C492D"/>
    <w:rsid w:val="005C4BDE"/>
    <w:rsid w:val="005C59C8"/>
    <w:rsid w:val="005C5ABC"/>
    <w:rsid w:val="005C5BFF"/>
    <w:rsid w:val="005C64AC"/>
    <w:rsid w:val="005C65AF"/>
    <w:rsid w:val="005C6B6D"/>
    <w:rsid w:val="005C7DD9"/>
    <w:rsid w:val="005C7E87"/>
    <w:rsid w:val="005D044D"/>
    <w:rsid w:val="005D096B"/>
    <w:rsid w:val="005D0AA1"/>
    <w:rsid w:val="005D0ABD"/>
    <w:rsid w:val="005D0F37"/>
    <w:rsid w:val="005D18AD"/>
    <w:rsid w:val="005D1A98"/>
    <w:rsid w:val="005D22CA"/>
    <w:rsid w:val="005D26B4"/>
    <w:rsid w:val="005D281A"/>
    <w:rsid w:val="005D30E6"/>
    <w:rsid w:val="005D34E6"/>
    <w:rsid w:val="005D3830"/>
    <w:rsid w:val="005D3A07"/>
    <w:rsid w:val="005D3D06"/>
    <w:rsid w:val="005D5654"/>
    <w:rsid w:val="005D6211"/>
    <w:rsid w:val="005D694D"/>
    <w:rsid w:val="005D7132"/>
    <w:rsid w:val="005D71C3"/>
    <w:rsid w:val="005D7901"/>
    <w:rsid w:val="005D7967"/>
    <w:rsid w:val="005D7DAA"/>
    <w:rsid w:val="005E015A"/>
    <w:rsid w:val="005E08D6"/>
    <w:rsid w:val="005E08E0"/>
    <w:rsid w:val="005E0CF8"/>
    <w:rsid w:val="005E0F59"/>
    <w:rsid w:val="005E1422"/>
    <w:rsid w:val="005E1995"/>
    <w:rsid w:val="005E1C81"/>
    <w:rsid w:val="005E1DF8"/>
    <w:rsid w:val="005E2011"/>
    <w:rsid w:val="005E2B26"/>
    <w:rsid w:val="005E3745"/>
    <w:rsid w:val="005E50A3"/>
    <w:rsid w:val="005E5226"/>
    <w:rsid w:val="005E61BF"/>
    <w:rsid w:val="005E6CBC"/>
    <w:rsid w:val="005E72FF"/>
    <w:rsid w:val="005E73C0"/>
    <w:rsid w:val="005E76C1"/>
    <w:rsid w:val="005E7C12"/>
    <w:rsid w:val="005E7C9D"/>
    <w:rsid w:val="005F014B"/>
    <w:rsid w:val="005F07ED"/>
    <w:rsid w:val="005F0AE0"/>
    <w:rsid w:val="005F1011"/>
    <w:rsid w:val="005F1554"/>
    <w:rsid w:val="005F1F75"/>
    <w:rsid w:val="005F2706"/>
    <w:rsid w:val="005F2732"/>
    <w:rsid w:val="005F3234"/>
    <w:rsid w:val="005F3945"/>
    <w:rsid w:val="005F3B19"/>
    <w:rsid w:val="005F47A5"/>
    <w:rsid w:val="005F4E1B"/>
    <w:rsid w:val="005F5085"/>
    <w:rsid w:val="005F59A6"/>
    <w:rsid w:val="005F5B30"/>
    <w:rsid w:val="005F5DF4"/>
    <w:rsid w:val="005F61BA"/>
    <w:rsid w:val="005F6422"/>
    <w:rsid w:val="005F644A"/>
    <w:rsid w:val="005F6A8F"/>
    <w:rsid w:val="005F6B89"/>
    <w:rsid w:val="005F6BB7"/>
    <w:rsid w:val="005F7588"/>
    <w:rsid w:val="005F7BD9"/>
    <w:rsid w:val="0060018F"/>
    <w:rsid w:val="006005BC"/>
    <w:rsid w:val="006008E3"/>
    <w:rsid w:val="00600A2E"/>
    <w:rsid w:val="00601370"/>
    <w:rsid w:val="006017B8"/>
    <w:rsid w:val="00601B50"/>
    <w:rsid w:val="00602249"/>
    <w:rsid w:val="006025A3"/>
    <w:rsid w:val="00603DB9"/>
    <w:rsid w:val="00604608"/>
    <w:rsid w:val="006050AC"/>
    <w:rsid w:val="006055E1"/>
    <w:rsid w:val="00605650"/>
    <w:rsid w:val="0060574C"/>
    <w:rsid w:val="00605A96"/>
    <w:rsid w:val="00605C81"/>
    <w:rsid w:val="00605CB1"/>
    <w:rsid w:val="006060D0"/>
    <w:rsid w:val="00606771"/>
    <w:rsid w:val="00606FBA"/>
    <w:rsid w:val="006075C0"/>
    <w:rsid w:val="00607669"/>
    <w:rsid w:val="006076BF"/>
    <w:rsid w:val="006076F4"/>
    <w:rsid w:val="00607AFD"/>
    <w:rsid w:val="00607C8E"/>
    <w:rsid w:val="00607FAA"/>
    <w:rsid w:val="00610255"/>
    <w:rsid w:val="006108AD"/>
    <w:rsid w:val="00611043"/>
    <w:rsid w:val="0061189B"/>
    <w:rsid w:val="00611B12"/>
    <w:rsid w:val="00611CAD"/>
    <w:rsid w:val="0061200A"/>
    <w:rsid w:val="006127E5"/>
    <w:rsid w:val="00612F97"/>
    <w:rsid w:val="00613389"/>
    <w:rsid w:val="0061341E"/>
    <w:rsid w:val="00613437"/>
    <w:rsid w:val="0061345D"/>
    <w:rsid w:val="00613716"/>
    <w:rsid w:val="00614239"/>
    <w:rsid w:val="0061489B"/>
    <w:rsid w:val="00614E94"/>
    <w:rsid w:val="0061525A"/>
    <w:rsid w:val="0061549B"/>
    <w:rsid w:val="00616802"/>
    <w:rsid w:val="00616D36"/>
    <w:rsid w:val="00616E0B"/>
    <w:rsid w:val="00617E12"/>
    <w:rsid w:val="00617FF4"/>
    <w:rsid w:val="0062063E"/>
    <w:rsid w:val="00620C25"/>
    <w:rsid w:val="00620C88"/>
    <w:rsid w:val="006210D9"/>
    <w:rsid w:val="00621477"/>
    <w:rsid w:val="00621ADA"/>
    <w:rsid w:val="00621EA3"/>
    <w:rsid w:val="006228CF"/>
    <w:rsid w:val="006234B8"/>
    <w:rsid w:val="006236D2"/>
    <w:rsid w:val="0062371D"/>
    <w:rsid w:val="00623F7B"/>
    <w:rsid w:val="006244C9"/>
    <w:rsid w:val="00624A40"/>
    <w:rsid w:val="00624BD4"/>
    <w:rsid w:val="00625128"/>
    <w:rsid w:val="00625270"/>
    <w:rsid w:val="0062571C"/>
    <w:rsid w:val="00625AA5"/>
    <w:rsid w:val="00625E7B"/>
    <w:rsid w:val="0062669E"/>
    <w:rsid w:val="00626DC5"/>
    <w:rsid w:val="00627922"/>
    <w:rsid w:val="00627DBA"/>
    <w:rsid w:val="0063054D"/>
    <w:rsid w:val="006306C6"/>
    <w:rsid w:val="006310F6"/>
    <w:rsid w:val="0063158F"/>
    <w:rsid w:val="006315B1"/>
    <w:rsid w:val="0063196C"/>
    <w:rsid w:val="00631D6B"/>
    <w:rsid w:val="00631EE8"/>
    <w:rsid w:val="00632183"/>
    <w:rsid w:val="00632793"/>
    <w:rsid w:val="00632E23"/>
    <w:rsid w:val="006330A1"/>
    <w:rsid w:val="0063359B"/>
    <w:rsid w:val="0063415F"/>
    <w:rsid w:val="006341A0"/>
    <w:rsid w:val="006342AB"/>
    <w:rsid w:val="006342D2"/>
    <w:rsid w:val="0063479F"/>
    <w:rsid w:val="00634E99"/>
    <w:rsid w:val="00635154"/>
    <w:rsid w:val="006353F0"/>
    <w:rsid w:val="006357B5"/>
    <w:rsid w:val="006357DD"/>
    <w:rsid w:val="006359E9"/>
    <w:rsid w:val="00635ABB"/>
    <w:rsid w:val="0063625A"/>
    <w:rsid w:val="006363C4"/>
    <w:rsid w:val="006364A1"/>
    <w:rsid w:val="0063678E"/>
    <w:rsid w:val="00636A80"/>
    <w:rsid w:val="00636D14"/>
    <w:rsid w:val="00637179"/>
    <w:rsid w:val="006371E6"/>
    <w:rsid w:val="00637228"/>
    <w:rsid w:val="006375DF"/>
    <w:rsid w:val="00637683"/>
    <w:rsid w:val="00637BFD"/>
    <w:rsid w:val="00637C5C"/>
    <w:rsid w:val="006403BC"/>
    <w:rsid w:val="006415A7"/>
    <w:rsid w:val="00641C4E"/>
    <w:rsid w:val="00641FB3"/>
    <w:rsid w:val="00642133"/>
    <w:rsid w:val="00642857"/>
    <w:rsid w:val="00642947"/>
    <w:rsid w:val="006436D1"/>
    <w:rsid w:val="0064434C"/>
    <w:rsid w:val="00644E0D"/>
    <w:rsid w:val="00645300"/>
    <w:rsid w:val="00645567"/>
    <w:rsid w:val="00645629"/>
    <w:rsid w:val="00646ECA"/>
    <w:rsid w:val="006470DF"/>
    <w:rsid w:val="006471CC"/>
    <w:rsid w:val="006471EE"/>
    <w:rsid w:val="006472FE"/>
    <w:rsid w:val="00647A29"/>
    <w:rsid w:val="00647B26"/>
    <w:rsid w:val="00647EDA"/>
    <w:rsid w:val="0065079F"/>
    <w:rsid w:val="0065167D"/>
    <w:rsid w:val="00651A9C"/>
    <w:rsid w:val="00652271"/>
    <w:rsid w:val="00652A28"/>
    <w:rsid w:val="00653051"/>
    <w:rsid w:val="00653158"/>
    <w:rsid w:val="0065379F"/>
    <w:rsid w:val="00653CD8"/>
    <w:rsid w:val="00655414"/>
    <w:rsid w:val="00655F15"/>
    <w:rsid w:val="00656188"/>
    <w:rsid w:val="00656797"/>
    <w:rsid w:val="0065715A"/>
    <w:rsid w:val="006571DA"/>
    <w:rsid w:val="00657F55"/>
    <w:rsid w:val="00657FA3"/>
    <w:rsid w:val="006604D7"/>
    <w:rsid w:val="00660537"/>
    <w:rsid w:val="0066069B"/>
    <w:rsid w:val="00660E08"/>
    <w:rsid w:val="00660EC0"/>
    <w:rsid w:val="006610F1"/>
    <w:rsid w:val="00661393"/>
    <w:rsid w:val="00661B5A"/>
    <w:rsid w:val="00661C6B"/>
    <w:rsid w:val="00661EA6"/>
    <w:rsid w:val="006623B8"/>
    <w:rsid w:val="00662D3E"/>
    <w:rsid w:val="00663A71"/>
    <w:rsid w:val="00663E18"/>
    <w:rsid w:val="0066461D"/>
    <w:rsid w:val="006647C2"/>
    <w:rsid w:val="00665CD8"/>
    <w:rsid w:val="00666739"/>
    <w:rsid w:val="006669F1"/>
    <w:rsid w:val="00666E3A"/>
    <w:rsid w:val="00667183"/>
    <w:rsid w:val="00667A65"/>
    <w:rsid w:val="00667BE3"/>
    <w:rsid w:val="006702FA"/>
    <w:rsid w:val="00670488"/>
    <w:rsid w:val="006707D6"/>
    <w:rsid w:val="00670909"/>
    <w:rsid w:val="00671004"/>
    <w:rsid w:val="006714CE"/>
    <w:rsid w:val="006717C1"/>
    <w:rsid w:val="00671810"/>
    <w:rsid w:val="00671DDD"/>
    <w:rsid w:val="00672178"/>
    <w:rsid w:val="006723C5"/>
    <w:rsid w:val="00672448"/>
    <w:rsid w:val="0067249D"/>
    <w:rsid w:val="00672646"/>
    <w:rsid w:val="0067271D"/>
    <w:rsid w:val="006727CE"/>
    <w:rsid w:val="0067285E"/>
    <w:rsid w:val="00672BC3"/>
    <w:rsid w:val="006731A4"/>
    <w:rsid w:val="00674091"/>
    <w:rsid w:val="0067455A"/>
    <w:rsid w:val="00674D3E"/>
    <w:rsid w:val="00674DAA"/>
    <w:rsid w:val="00674E42"/>
    <w:rsid w:val="00675148"/>
    <w:rsid w:val="0067547E"/>
    <w:rsid w:val="006758CD"/>
    <w:rsid w:val="00675C2F"/>
    <w:rsid w:val="00676134"/>
    <w:rsid w:val="00676461"/>
    <w:rsid w:val="00676547"/>
    <w:rsid w:val="00676563"/>
    <w:rsid w:val="006767F1"/>
    <w:rsid w:val="00676933"/>
    <w:rsid w:val="00676AC8"/>
    <w:rsid w:val="00677596"/>
    <w:rsid w:val="006776C1"/>
    <w:rsid w:val="006807B8"/>
    <w:rsid w:val="00680D0D"/>
    <w:rsid w:val="00680E21"/>
    <w:rsid w:val="00681282"/>
    <w:rsid w:val="00681345"/>
    <w:rsid w:val="006813BA"/>
    <w:rsid w:val="006813F8"/>
    <w:rsid w:val="00681427"/>
    <w:rsid w:val="00681E47"/>
    <w:rsid w:val="00681FA0"/>
    <w:rsid w:val="00682112"/>
    <w:rsid w:val="0068261B"/>
    <w:rsid w:val="00682BA6"/>
    <w:rsid w:val="006839E8"/>
    <w:rsid w:val="006847CC"/>
    <w:rsid w:val="0068498C"/>
    <w:rsid w:val="006851BB"/>
    <w:rsid w:val="00685644"/>
    <w:rsid w:val="00686126"/>
    <w:rsid w:val="00686957"/>
    <w:rsid w:val="00686A93"/>
    <w:rsid w:val="006872BA"/>
    <w:rsid w:val="00687497"/>
    <w:rsid w:val="00687F60"/>
    <w:rsid w:val="00690079"/>
    <w:rsid w:val="00690795"/>
    <w:rsid w:val="00690E82"/>
    <w:rsid w:val="006911F6"/>
    <w:rsid w:val="00691648"/>
    <w:rsid w:val="006917D7"/>
    <w:rsid w:val="006921B8"/>
    <w:rsid w:val="0069287A"/>
    <w:rsid w:val="00692D43"/>
    <w:rsid w:val="00693393"/>
    <w:rsid w:val="00693DEB"/>
    <w:rsid w:val="00693FEF"/>
    <w:rsid w:val="0069406E"/>
    <w:rsid w:val="0069434C"/>
    <w:rsid w:val="006947E6"/>
    <w:rsid w:val="00694953"/>
    <w:rsid w:val="006949DE"/>
    <w:rsid w:val="00694B1B"/>
    <w:rsid w:val="00694F44"/>
    <w:rsid w:val="0069545C"/>
    <w:rsid w:val="00695CFD"/>
    <w:rsid w:val="00696107"/>
    <w:rsid w:val="00696232"/>
    <w:rsid w:val="0069699C"/>
    <w:rsid w:val="00696A6B"/>
    <w:rsid w:val="00696B4E"/>
    <w:rsid w:val="00696DF1"/>
    <w:rsid w:val="00696E0A"/>
    <w:rsid w:val="00696E82"/>
    <w:rsid w:val="00696EF9"/>
    <w:rsid w:val="00696F51"/>
    <w:rsid w:val="006979A5"/>
    <w:rsid w:val="00697B2E"/>
    <w:rsid w:val="006A00CC"/>
    <w:rsid w:val="006A016F"/>
    <w:rsid w:val="006A0268"/>
    <w:rsid w:val="006A029C"/>
    <w:rsid w:val="006A0CAE"/>
    <w:rsid w:val="006A0D05"/>
    <w:rsid w:val="006A0DF7"/>
    <w:rsid w:val="006A0E5D"/>
    <w:rsid w:val="006A1FA0"/>
    <w:rsid w:val="006A212B"/>
    <w:rsid w:val="006A267D"/>
    <w:rsid w:val="006A279B"/>
    <w:rsid w:val="006A2F3E"/>
    <w:rsid w:val="006A302C"/>
    <w:rsid w:val="006A3168"/>
    <w:rsid w:val="006A3443"/>
    <w:rsid w:val="006A36A4"/>
    <w:rsid w:val="006A4321"/>
    <w:rsid w:val="006A43D9"/>
    <w:rsid w:val="006A4640"/>
    <w:rsid w:val="006A507C"/>
    <w:rsid w:val="006A5144"/>
    <w:rsid w:val="006A5781"/>
    <w:rsid w:val="006A6B99"/>
    <w:rsid w:val="006A6F72"/>
    <w:rsid w:val="006A72A7"/>
    <w:rsid w:val="006A7E5F"/>
    <w:rsid w:val="006B03BE"/>
    <w:rsid w:val="006B1530"/>
    <w:rsid w:val="006B1572"/>
    <w:rsid w:val="006B1CDE"/>
    <w:rsid w:val="006B1FAD"/>
    <w:rsid w:val="006B2484"/>
    <w:rsid w:val="006B261B"/>
    <w:rsid w:val="006B2728"/>
    <w:rsid w:val="006B28B9"/>
    <w:rsid w:val="006B2BAE"/>
    <w:rsid w:val="006B2C90"/>
    <w:rsid w:val="006B2D87"/>
    <w:rsid w:val="006B2E2E"/>
    <w:rsid w:val="006B31E7"/>
    <w:rsid w:val="006B326D"/>
    <w:rsid w:val="006B327D"/>
    <w:rsid w:val="006B35E6"/>
    <w:rsid w:val="006B44C5"/>
    <w:rsid w:val="006B465A"/>
    <w:rsid w:val="006B4701"/>
    <w:rsid w:val="006B4992"/>
    <w:rsid w:val="006B4EED"/>
    <w:rsid w:val="006B5515"/>
    <w:rsid w:val="006B60BA"/>
    <w:rsid w:val="006B6C2E"/>
    <w:rsid w:val="006B6DD0"/>
    <w:rsid w:val="006B709B"/>
    <w:rsid w:val="006B78E7"/>
    <w:rsid w:val="006B7F0C"/>
    <w:rsid w:val="006C0399"/>
    <w:rsid w:val="006C0823"/>
    <w:rsid w:val="006C0CF9"/>
    <w:rsid w:val="006C1149"/>
    <w:rsid w:val="006C14E3"/>
    <w:rsid w:val="006C18E6"/>
    <w:rsid w:val="006C2675"/>
    <w:rsid w:val="006C269B"/>
    <w:rsid w:val="006C2A8E"/>
    <w:rsid w:val="006C2B96"/>
    <w:rsid w:val="006C3255"/>
    <w:rsid w:val="006C3729"/>
    <w:rsid w:val="006C3F26"/>
    <w:rsid w:val="006C401F"/>
    <w:rsid w:val="006C43DC"/>
    <w:rsid w:val="006C4A6C"/>
    <w:rsid w:val="006C4BFD"/>
    <w:rsid w:val="006C4C36"/>
    <w:rsid w:val="006C5AB0"/>
    <w:rsid w:val="006C619F"/>
    <w:rsid w:val="006C6A8A"/>
    <w:rsid w:val="006C6D2B"/>
    <w:rsid w:val="006C7BEB"/>
    <w:rsid w:val="006D0D17"/>
    <w:rsid w:val="006D0EF9"/>
    <w:rsid w:val="006D1056"/>
    <w:rsid w:val="006D10E7"/>
    <w:rsid w:val="006D1104"/>
    <w:rsid w:val="006D1E00"/>
    <w:rsid w:val="006D1EFC"/>
    <w:rsid w:val="006D244E"/>
    <w:rsid w:val="006D2B88"/>
    <w:rsid w:val="006D2ED5"/>
    <w:rsid w:val="006D2F6B"/>
    <w:rsid w:val="006D3C7D"/>
    <w:rsid w:val="006D3CDE"/>
    <w:rsid w:val="006D3E6F"/>
    <w:rsid w:val="006D423E"/>
    <w:rsid w:val="006D4659"/>
    <w:rsid w:val="006D5121"/>
    <w:rsid w:val="006D531C"/>
    <w:rsid w:val="006D562C"/>
    <w:rsid w:val="006D5B3E"/>
    <w:rsid w:val="006D5D5F"/>
    <w:rsid w:val="006D5E9A"/>
    <w:rsid w:val="006D68FB"/>
    <w:rsid w:val="006D6A26"/>
    <w:rsid w:val="006D6D1C"/>
    <w:rsid w:val="006D72B0"/>
    <w:rsid w:val="006D754A"/>
    <w:rsid w:val="006D7934"/>
    <w:rsid w:val="006D7ABD"/>
    <w:rsid w:val="006E120D"/>
    <w:rsid w:val="006E12AB"/>
    <w:rsid w:val="006E1963"/>
    <w:rsid w:val="006E1AED"/>
    <w:rsid w:val="006E2868"/>
    <w:rsid w:val="006E2948"/>
    <w:rsid w:val="006E2D86"/>
    <w:rsid w:val="006E2D93"/>
    <w:rsid w:val="006E2DAE"/>
    <w:rsid w:val="006E36BC"/>
    <w:rsid w:val="006E4112"/>
    <w:rsid w:val="006E5782"/>
    <w:rsid w:val="006E607A"/>
    <w:rsid w:val="006E62FF"/>
    <w:rsid w:val="006E6D93"/>
    <w:rsid w:val="006E70FC"/>
    <w:rsid w:val="006E7C44"/>
    <w:rsid w:val="006E7D8F"/>
    <w:rsid w:val="006F0974"/>
    <w:rsid w:val="006F2025"/>
    <w:rsid w:val="006F2625"/>
    <w:rsid w:val="006F306C"/>
    <w:rsid w:val="006F3AE8"/>
    <w:rsid w:val="006F3C1D"/>
    <w:rsid w:val="006F3C60"/>
    <w:rsid w:val="006F4137"/>
    <w:rsid w:val="006F41E4"/>
    <w:rsid w:val="006F4856"/>
    <w:rsid w:val="006F55C2"/>
    <w:rsid w:val="006F5781"/>
    <w:rsid w:val="006F59F0"/>
    <w:rsid w:val="006F5A18"/>
    <w:rsid w:val="006F5B52"/>
    <w:rsid w:val="006F5EBD"/>
    <w:rsid w:val="006F63A5"/>
    <w:rsid w:val="006F676F"/>
    <w:rsid w:val="006F6A7D"/>
    <w:rsid w:val="006F706C"/>
    <w:rsid w:val="006F70AB"/>
    <w:rsid w:val="0070032B"/>
    <w:rsid w:val="007003EB"/>
    <w:rsid w:val="007004F4"/>
    <w:rsid w:val="00700651"/>
    <w:rsid w:val="007006A0"/>
    <w:rsid w:val="0070092E"/>
    <w:rsid w:val="00700AD2"/>
    <w:rsid w:val="00700F22"/>
    <w:rsid w:val="00700FC9"/>
    <w:rsid w:val="0070142B"/>
    <w:rsid w:val="007014A8"/>
    <w:rsid w:val="00701CAD"/>
    <w:rsid w:val="00701E51"/>
    <w:rsid w:val="00701FB7"/>
    <w:rsid w:val="007021DA"/>
    <w:rsid w:val="00702291"/>
    <w:rsid w:val="0070276E"/>
    <w:rsid w:val="00702952"/>
    <w:rsid w:val="00702C7B"/>
    <w:rsid w:val="00702F8F"/>
    <w:rsid w:val="007039FF"/>
    <w:rsid w:val="00703B01"/>
    <w:rsid w:val="00703C47"/>
    <w:rsid w:val="00703E35"/>
    <w:rsid w:val="0070462F"/>
    <w:rsid w:val="00705092"/>
    <w:rsid w:val="00705D06"/>
    <w:rsid w:val="00706C9F"/>
    <w:rsid w:val="007079FC"/>
    <w:rsid w:val="00707E94"/>
    <w:rsid w:val="00710523"/>
    <w:rsid w:val="00711320"/>
    <w:rsid w:val="00711A36"/>
    <w:rsid w:val="00711B88"/>
    <w:rsid w:val="00711E3C"/>
    <w:rsid w:val="00712530"/>
    <w:rsid w:val="007125D3"/>
    <w:rsid w:val="00712746"/>
    <w:rsid w:val="007131DD"/>
    <w:rsid w:val="0071374B"/>
    <w:rsid w:val="00713CCB"/>
    <w:rsid w:val="00714C26"/>
    <w:rsid w:val="00714F24"/>
    <w:rsid w:val="0071529C"/>
    <w:rsid w:val="00715FA0"/>
    <w:rsid w:val="007160F9"/>
    <w:rsid w:val="007165B8"/>
    <w:rsid w:val="0071676E"/>
    <w:rsid w:val="007168FD"/>
    <w:rsid w:val="007170DA"/>
    <w:rsid w:val="007172AD"/>
    <w:rsid w:val="00717546"/>
    <w:rsid w:val="007176C6"/>
    <w:rsid w:val="007201C5"/>
    <w:rsid w:val="00720801"/>
    <w:rsid w:val="00721206"/>
    <w:rsid w:val="00722847"/>
    <w:rsid w:val="007228C3"/>
    <w:rsid w:val="00722B1B"/>
    <w:rsid w:val="007234E0"/>
    <w:rsid w:val="0072416F"/>
    <w:rsid w:val="007246D6"/>
    <w:rsid w:val="00724CD3"/>
    <w:rsid w:val="00725843"/>
    <w:rsid w:val="0072591A"/>
    <w:rsid w:val="00725B1D"/>
    <w:rsid w:val="007262BB"/>
    <w:rsid w:val="00726743"/>
    <w:rsid w:val="00726798"/>
    <w:rsid w:val="00726927"/>
    <w:rsid w:val="00726CE7"/>
    <w:rsid w:val="00726D2F"/>
    <w:rsid w:val="00727C94"/>
    <w:rsid w:val="007300A2"/>
    <w:rsid w:val="007306E5"/>
    <w:rsid w:val="00730FE6"/>
    <w:rsid w:val="0073109D"/>
    <w:rsid w:val="00731B0A"/>
    <w:rsid w:val="00731EAE"/>
    <w:rsid w:val="00732931"/>
    <w:rsid w:val="00732F6A"/>
    <w:rsid w:val="00733073"/>
    <w:rsid w:val="007333C7"/>
    <w:rsid w:val="0073342A"/>
    <w:rsid w:val="0073361A"/>
    <w:rsid w:val="007341DA"/>
    <w:rsid w:val="00734B5F"/>
    <w:rsid w:val="00735033"/>
    <w:rsid w:val="00735328"/>
    <w:rsid w:val="00735C5A"/>
    <w:rsid w:val="0073685B"/>
    <w:rsid w:val="00736E66"/>
    <w:rsid w:val="00736F12"/>
    <w:rsid w:val="00740D4E"/>
    <w:rsid w:val="00740E80"/>
    <w:rsid w:val="00741358"/>
    <w:rsid w:val="00741583"/>
    <w:rsid w:val="00741E4F"/>
    <w:rsid w:val="00742DF2"/>
    <w:rsid w:val="0074309D"/>
    <w:rsid w:val="00743499"/>
    <w:rsid w:val="0074360E"/>
    <w:rsid w:val="00744129"/>
    <w:rsid w:val="007449BF"/>
    <w:rsid w:val="00744D64"/>
    <w:rsid w:val="00744F2D"/>
    <w:rsid w:val="0074568A"/>
    <w:rsid w:val="00745696"/>
    <w:rsid w:val="00745B49"/>
    <w:rsid w:val="00745BA6"/>
    <w:rsid w:val="00745F12"/>
    <w:rsid w:val="007463FE"/>
    <w:rsid w:val="00746434"/>
    <w:rsid w:val="00746BC0"/>
    <w:rsid w:val="00746CCF"/>
    <w:rsid w:val="00746F49"/>
    <w:rsid w:val="00747408"/>
    <w:rsid w:val="00750219"/>
    <w:rsid w:val="00750AEC"/>
    <w:rsid w:val="00751090"/>
    <w:rsid w:val="007510B4"/>
    <w:rsid w:val="00751953"/>
    <w:rsid w:val="00751D61"/>
    <w:rsid w:val="00752142"/>
    <w:rsid w:val="007523F9"/>
    <w:rsid w:val="0075315B"/>
    <w:rsid w:val="0075357E"/>
    <w:rsid w:val="00753929"/>
    <w:rsid w:val="00753B29"/>
    <w:rsid w:val="00753FCF"/>
    <w:rsid w:val="007542F6"/>
    <w:rsid w:val="00754697"/>
    <w:rsid w:val="00755770"/>
    <w:rsid w:val="00755E71"/>
    <w:rsid w:val="007573E8"/>
    <w:rsid w:val="0075777E"/>
    <w:rsid w:val="00757DAE"/>
    <w:rsid w:val="007605D5"/>
    <w:rsid w:val="00760C4E"/>
    <w:rsid w:val="00760DC6"/>
    <w:rsid w:val="00760DF2"/>
    <w:rsid w:val="00760F9E"/>
    <w:rsid w:val="007616E6"/>
    <w:rsid w:val="007619A4"/>
    <w:rsid w:val="007621D1"/>
    <w:rsid w:val="007627BE"/>
    <w:rsid w:val="00762B89"/>
    <w:rsid w:val="00763214"/>
    <w:rsid w:val="00763968"/>
    <w:rsid w:val="00763982"/>
    <w:rsid w:val="00763D8A"/>
    <w:rsid w:val="007644E0"/>
    <w:rsid w:val="00764583"/>
    <w:rsid w:val="00764F03"/>
    <w:rsid w:val="00764F94"/>
    <w:rsid w:val="00765027"/>
    <w:rsid w:val="00765B1A"/>
    <w:rsid w:val="00765DC1"/>
    <w:rsid w:val="00766D5F"/>
    <w:rsid w:val="00770645"/>
    <w:rsid w:val="00770C73"/>
    <w:rsid w:val="00770D0A"/>
    <w:rsid w:val="00771273"/>
    <w:rsid w:val="0077161A"/>
    <w:rsid w:val="00771762"/>
    <w:rsid w:val="0077202D"/>
    <w:rsid w:val="007724DD"/>
    <w:rsid w:val="00772E6A"/>
    <w:rsid w:val="007734FD"/>
    <w:rsid w:val="00773B5B"/>
    <w:rsid w:val="00774C57"/>
    <w:rsid w:val="00774DC6"/>
    <w:rsid w:val="00775DFC"/>
    <w:rsid w:val="00776845"/>
    <w:rsid w:val="00776CDA"/>
    <w:rsid w:val="00776F1A"/>
    <w:rsid w:val="00776FA0"/>
    <w:rsid w:val="00777305"/>
    <w:rsid w:val="00777335"/>
    <w:rsid w:val="007778FD"/>
    <w:rsid w:val="00777E65"/>
    <w:rsid w:val="00780371"/>
    <w:rsid w:val="00780EA9"/>
    <w:rsid w:val="00781E8B"/>
    <w:rsid w:val="00783E96"/>
    <w:rsid w:val="007841DB"/>
    <w:rsid w:val="007841F0"/>
    <w:rsid w:val="007843F2"/>
    <w:rsid w:val="007846FA"/>
    <w:rsid w:val="0078470C"/>
    <w:rsid w:val="00784977"/>
    <w:rsid w:val="00785594"/>
    <w:rsid w:val="007858FC"/>
    <w:rsid w:val="00785A9F"/>
    <w:rsid w:val="00785C01"/>
    <w:rsid w:val="00785C8F"/>
    <w:rsid w:val="00786488"/>
    <w:rsid w:val="00786617"/>
    <w:rsid w:val="00787374"/>
    <w:rsid w:val="00787403"/>
    <w:rsid w:val="0078788E"/>
    <w:rsid w:val="00787B3A"/>
    <w:rsid w:val="00787B89"/>
    <w:rsid w:val="0079075C"/>
    <w:rsid w:val="00790B4B"/>
    <w:rsid w:val="00790EE9"/>
    <w:rsid w:val="00790F0F"/>
    <w:rsid w:val="00791423"/>
    <w:rsid w:val="00791900"/>
    <w:rsid w:val="0079191C"/>
    <w:rsid w:val="00791D88"/>
    <w:rsid w:val="0079208D"/>
    <w:rsid w:val="00792304"/>
    <w:rsid w:val="00792465"/>
    <w:rsid w:val="007925DF"/>
    <w:rsid w:val="00792B4D"/>
    <w:rsid w:val="00792C6C"/>
    <w:rsid w:val="00792DBC"/>
    <w:rsid w:val="00792F79"/>
    <w:rsid w:val="007932EF"/>
    <w:rsid w:val="00793A59"/>
    <w:rsid w:val="00793AB1"/>
    <w:rsid w:val="0079416B"/>
    <w:rsid w:val="007943C5"/>
    <w:rsid w:val="00794919"/>
    <w:rsid w:val="00794CDA"/>
    <w:rsid w:val="00794EE7"/>
    <w:rsid w:val="0079533E"/>
    <w:rsid w:val="00795E6F"/>
    <w:rsid w:val="0079635B"/>
    <w:rsid w:val="0079654D"/>
    <w:rsid w:val="007966E2"/>
    <w:rsid w:val="00796788"/>
    <w:rsid w:val="00796996"/>
    <w:rsid w:val="007972E0"/>
    <w:rsid w:val="007A08AA"/>
    <w:rsid w:val="007A0A12"/>
    <w:rsid w:val="007A0B99"/>
    <w:rsid w:val="007A0C3A"/>
    <w:rsid w:val="007A0C47"/>
    <w:rsid w:val="007A132D"/>
    <w:rsid w:val="007A1345"/>
    <w:rsid w:val="007A13F0"/>
    <w:rsid w:val="007A1523"/>
    <w:rsid w:val="007A1BE8"/>
    <w:rsid w:val="007A292F"/>
    <w:rsid w:val="007A2AFE"/>
    <w:rsid w:val="007A2DDB"/>
    <w:rsid w:val="007A3C24"/>
    <w:rsid w:val="007A3C6D"/>
    <w:rsid w:val="007A43FA"/>
    <w:rsid w:val="007A48BC"/>
    <w:rsid w:val="007A4F91"/>
    <w:rsid w:val="007A61C4"/>
    <w:rsid w:val="007A6370"/>
    <w:rsid w:val="007A644F"/>
    <w:rsid w:val="007A65D5"/>
    <w:rsid w:val="007A6DEE"/>
    <w:rsid w:val="007A6EBF"/>
    <w:rsid w:val="007A70BA"/>
    <w:rsid w:val="007A72F2"/>
    <w:rsid w:val="007A7F98"/>
    <w:rsid w:val="007B02C7"/>
    <w:rsid w:val="007B0D68"/>
    <w:rsid w:val="007B110A"/>
    <w:rsid w:val="007B11FC"/>
    <w:rsid w:val="007B1B98"/>
    <w:rsid w:val="007B20FB"/>
    <w:rsid w:val="007B236A"/>
    <w:rsid w:val="007B23C4"/>
    <w:rsid w:val="007B251D"/>
    <w:rsid w:val="007B2691"/>
    <w:rsid w:val="007B28C4"/>
    <w:rsid w:val="007B3481"/>
    <w:rsid w:val="007B3533"/>
    <w:rsid w:val="007B3729"/>
    <w:rsid w:val="007B391B"/>
    <w:rsid w:val="007B399A"/>
    <w:rsid w:val="007B3B33"/>
    <w:rsid w:val="007B4EF6"/>
    <w:rsid w:val="007B4F58"/>
    <w:rsid w:val="007B528D"/>
    <w:rsid w:val="007B5728"/>
    <w:rsid w:val="007B5E18"/>
    <w:rsid w:val="007B62C4"/>
    <w:rsid w:val="007B639D"/>
    <w:rsid w:val="007B63CA"/>
    <w:rsid w:val="007B6407"/>
    <w:rsid w:val="007B73B4"/>
    <w:rsid w:val="007B7720"/>
    <w:rsid w:val="007B77D1"/>
    <w:rsid w:val="007C07C7"/>
    <w:rsid w:val="007C1992"/>
    <w:rsid w:val="007C1CD9"/>
    <w:rsid w:val="007C226E"/>
    <w:rsid w:val="007C2280"/>
    <w:rsid w:val="007C2482"/>
    <w:rsid w:val="007C2835"/>
    <w:rsid w:val="007C2A8F"/>
    <w:rsid w:val="007C2CA5"/>
    <w:rsid w:val="007C32EF"/>
    <w:rsid w:val="007C3370"/>
    <w:rsid w:val="007C3484"/>
    <w:rsid w:val="007C361D"/>
    <w:rsid w:val="007C386E"/>
    <w:rsid w:val="007C3957"/>
    <w:rsid w:val="007C482B"/>
    <w:rsid w:val="007C485D"/>
    <w:rsid w:val="007C4938"/>
    <w:rsid w:val="007C4B84"/>
    <w:rsid w:val="007C4E5C"/>
    <w:rsid w:val="007C608A"/>
    <w:rsid w:val="007C6FD5"/>
    <w:rsid w:val="007C70FF"/>
    <w:rsid w:val="007C72CE"/>
    <w:rsid w:val="007C770E"/>
    <w:rsid w:val="007C7B48"/>
    <w:rsid w:val="007C7BB0"/>
    <w:rsid w:val="007C7C25"/>
    <w:rsid w:val="007C7C73"/>
    <w:rsid w:val="007D004F"/>
    <w:rsid w:val="007D035F"/>
    <w:rsid w:val="007D05F2"/>
    <w:rsid w:val="007D06B2"/>
    <w:rsid w:val="007D0834"/>
    <w:rsid w:val="007D0B38"/>
    <w:rsid w:val="007D0D31"/>
    <w:rsid w:val="007D1151"/>
    <w:rsid w:val="007D11D3"/>
    <w:rsid w:val="007D12D7"/>
    <w:rsid w:val="007D19C8"/>
    <w:rsid w:val="007D1F5A"/>
    <w:rsid w:val="007D20C3"/>
    <w:rsid w:val="007D20CD"/>
    <w:rsid w:val="007D242C"/>
    <w:rsid w:val="007D286B"/>
    <w:rsid w:val="007D2968"/>
    <w:rsid w:val="007D2CCE"/>
    <w:rsid w:val="007D2FB2"/>
    <w:rsid w:val="007D34BB"/>
    <w:rsid w:val="007D401F"/>
    <w:rsid w:val="007D4A37"/>
    <w:rsid w:val="007D516B"/>
    <w:rsid w:val="007D5440"/>
    <w:rsid w:val="007D58C0"/>
    <w:rsid w:val="007D5D1D"/>
    <w:rsid w:val="007D6272"/>
    <w:rsid w:val="007D68F8"/>
    <w:rsid w:val="007D692C"/>
    <w:rsid w:val="007D69EB"/>
    <w:rsid w:val="007D718A"/>
    <w:rsid w:val="007D71E6"/>
    <w:rsid w:val="007D7C1E"/>
    <w:rsid w:val="007E128F"/>
    <w:rsid w:val="007E1AEB"/>
    <w:rsid w:val="007E2000"/>
    <w:rsid w:val="007E2297"/>
    <w:rsid w:val="007E24F2"/>
    <w:rsid w:val="007E3497"/>
    <w:rsid w:val="007E3743"/>
    <w:rsid w:val="007E37FB"/>
    <w:rsid w:val="007E3947"/>
    <w:rsid w:val="007E39EF"/>
    <w:rsid w:val="007E3EDD"/>
    <w:rsid w:val="007E43A2"/>
    <w:rsid w:val="007E46E6"/>
    <w:rsid w:val="007E5655"/>
    <w:rsid w:val="007E5D06"/>
    <w:rsid w:val="007E5DD1"/>
    <w:rsid w:val="007E608B"/>
    <w:rsid w:val="007E6537"/>
    <w:rsid w:val="007E6AF4"/>
    <w:rsid w:val="007E6BD6"/>
    <w:rsid w:val="007E6BE0"/>
    <w:rsid w:val="007E6EE8"/>
    <w:rsid w:val="007E7562"/>
    <w:rsid w:val="007E7682"/>
    <w:rsid w:val="007E7874"/>
    <w:rsid w:val="007F04FB"/>
    <w:rsid w:val="007F077E"/>
    <w:rsid w:val="007F0B2A"/>
    <w:rsid w:val="007F1017"/>
    <w:rsid w:val="007F115C"/>
    <w:rsid w:val="007F11AF"/>
    <w:rsid w:val="007F1B59"/>
    <w:rsid w:val="007F1D13"/>
    <w:rsid w:val="007F223C"/>
    <w:rsid w:val="007F2719"/>
    <w:rsid w:val="007F2756"/>
    <w:rsid w:val="007F2D7B"/>
    <w:rsid w:val="007F2E7A"/>
    <w:rsid w:val="007F336A"/>
    <w:rsid w:val="007F3E30"/>
    <w:rsid w:val="007F45A5"/>
    <w:rsid w:val="007F4791"/>
    <w:rsid w:val="007F4A3F"/>
    <w:rsid w:val="007F4A61"/>
    <w:rsid w:val="007F4B23"/>
    <w:rsid w:val="007F5255"/>
    <w:rsid w:val="007F5356"/>
    <w:rsid w:val="007F56CC"/>
    <w:rsid w:val="007F61C2"/>
    <w:rsid w:val="007F6B7B"/>
    <w:rsid w:val="007F6D59"/>
    <w:rsid w:val="007F6EB8"/>
    <w:rsid w:val="007F7E15"/>
    <w:rsid w:val="00800073"/>
    <w:rsid w:val="008004B8"/>
    <w:rsid w:val="00800FA9"/>
    <w:rsid w:val="00801013"/>
    <w:rsid w:val="00801097"/>
    <w:rsid w:val="00801528"/>
    <w:rsid w:val="00801EBD"/>
    <w:rsid w:val="008024A5"/>
    <w:rsid w:val="00802E49"/>
    <w:rsid w:val="00802EAC"/>
    <w:rsid w:val="008030DE"/>
    <w:rsid w:val="00803225"/>
    <w:rsid w:val="0080355F"/>
    <w:rsid w:val="00803633"/>
    <w:rsid w:val="00803677"/>
    <w:rsid w:val="00803767"/>
    <w:rsid w:val="008039EF"/>
    <w:rsid w:val="00803D8B"/>
    <w:rsid w:val="00804F54"/>
    <w:rsid w:val="00805142"/>
    <w:rsid w:val="008055B9"/>
    <w:rsid w:val="00805A77"/>
    <w:rsid w:val="00805DA5"/>
    <w:rsid w:val="00805FCE"/>
    <w:rsid w:val="0080610C"/>
    <w:rsid w:val="008062F8"/>
    <w:rsid w:val="00806480"/>
    <w:rsid w:val="00806E59"/>
    <w:rsid w:val="00807A8B"/>
    <w:rsid w:val="00807BB8"/>
    <w:rsid w:val="00807E6C"/>
    <w:rsid w:val="00810003"/>
    <w:rsid w:val="0081073A"/>
    <w:rsid w:val="00810889"/>
    <w:rsid w:val="00810BF6"/>
    <w:rsid w:val="00810EF1"/>
    <w:rsid w:val="00811383"/>
    <w:rsid w:val="00811F89"/>
    <w:rsid w:val="00812149"/>
    <w:rsid w:val="00812AB1"/>
    <w:rsid w:val="00812B24"/>
    <w:rsid w:val="00812B80"/>
    <w:rsid w:val="00812CAC"/>
    <w:rsid w:val="00812F98"/>
    <w:rsid w:val="008130AC"/>
    <w:rsid w:val="008132E9"/>
    <w:rsid w:val="00813D3E"/>
    <w:rsid w:val="0081451A"/>
    <w:rsid w:val="00814723"/>
    <w:rsid w:val="008148AE"/>
    <w:rsid w:val="00815EC8"/>
    <w:rsid w:val="00816361"/>
    <w:rsid w:val="008166EF"/>
    <w:rsid w:val="00816FEF"/>
    <w:rsid w:val="00817A8B"/>
    <w:rsid w:val="008205CD"/>
    <w:rsid w:val="0082078A"/>
    <w:rsid w:val="00820A8C"/>
    <w:rsid w:val="00820C0E"/>
    <w:rsid w:val="00820D0A"/>
    <w:rsid w:val="00821014"/>
    <w:rsid w:val="0082156A"/>
    <w:rsid w:val="008215FB"/>
    <w:rsid w:val="00821AEE"/>
    <w:rsid w:val="008220CC"/>
    <w:rsid w:val="008222D7"/>
    <w:rsid w:val="008225F8"/>
    <w:rsid w:val="00822709"/>
    <w:rsid w:val="008227F6"/>
    <w:rsid w:val="00822909"/>
    <w:rsid w:val="00822975"/>
    <w:rsid w:val="00822DBF"/>
    <w:rsid w:val="00823174"/>
    <w:rsid w:val="00823CFB"/>
    <w:rsid w:val="00823F46"/>
    <w:rsid w:val="00824109"/>
    <w:rsid w:val="00824438"/>
    <w:rsid w:val="00824BA8"/>
    <w:rsid w:val="0082532B"/>
    <w:rsid w:val="008255A5"/>
    <w:rsid w:val="00825751"/>
    <w:rsid w:val="008259DF"/>
    <w:rsid w:val="0082640E"/>
    <w:rsid w:val="008264EB"/>
    <w:rsid w:val="008268CE"/>
    <w:rsid w:val="00826B98"/>
    <w:rsid w:val="008270F6"/>
    <w:rsid w:val="00827330"/>
    <w:rsid w:val="008273B1"/>
    <w:rsid w:val="00827C23"/>
    <w:rsid w:val="00827EB4"/>
    <w:rsid w:val="008306CC"/>
    <w:rsid w:val="0083083B"/>
    <w:rsid w:val="00830D8E"/>
    <w:rsid w:val="00831C91"/>
    <w:rsid w:val="0083212D"/>
    <w:rsid w:val="00832358"/>
    <w:rsid w:val="0083294F"/>
    <w:rsid w:val="00832D0E"/>
    <w:rsid w:val="00833A62"/>
    <w:rsid w:val="00833B05"/>
    <w:rsid w:val="0083466C"/>
    <w:rsid w:val="008348D9"/>
    <w:rsid w:val="00834B4F"/>
    <w:rsid w:val="008356BC"/>
    <w:rsid w:val="0083580E"/>
    <w:rsid w:val="00835F30"/>
    <w:rsid w:val="00836118"/>
    <w:rsid w:val="008362B4"/>
    <w:rsid w:val="0083651D"/>
    <w:rsid w:val="00836F4F"/>
    <w:rsid w:val="00836F8D"/>
    <w:rsid w:val="00836FDD"/>
    <w:rsid w:val="00837291"/>
    <w:rsid w:val="008372C7"/>
    <w:rsid w:val="00837A19"/>
    <w:rsid w:val="00840CA2"/>
    <w:rsid w:val="008413C9"/>
    <w:rsid w:val="00842604"/>
    <w:rsid w:val="008429A5"/>
    <w:rsid w:val="00842BDA"/>
    <w:rsid w:val="00842E20"/>
    <w:rsid w:val="00843511"/>
    <w:rsid w:val="008435CF"/>
    <w:rsid w:val="0084374F"/>
    <w:rsid w:val="00843E4A"/>
    <w:rsid w:val="008443EA"/>
    <w:rsid w:val="00844639"/>
    <w:rsid w:val="00844A22"/>
    <w:rsid w:val="00844F08"/>
    <w:rsid w:val="00845079"/>
    <w:rsid w:val="008454B4"/>
    <w:rsid w:val="00845B67"/>
    <w:rsid w:val="008462F8"/>
    <w:rsid w:val="008463E4"/>
    <w:rsid w:val="008474BB"/>
    <w:rsid w:val="00847703"/>
    <w:rsid w:val="00847B31"/>
    <w:rsid w:val="00847B3E"/>
    <w:rsid w:val="00847BAC"/>
    <w:rsid w:val="00847D9F"/>
    <w:rsid w:val="00847DF5"/>
    <w:rsid w:val="008500DB"/>
    <w:rsid w:val="008501C0"/>
    <w:rsid w:val="008502CA"/>
    <w:rsid w:val="00850651"/>
    <w:rsid w:val="0085126C"/>
    <w:rsid w:val="008512BE"/>
    <w:rsid w:val="008517CF"/>
    <w:rsid w:val="00851922"/>
    <w:rsid w:val="0085258C"/>
    <w:rsid w:val="0085281A"/>
    <w:rsid w:val="0085309D"/>
    <w:rsid w:val="008536E4"/>
    <w:rsid w:val="00854635"/>
    <w:rsid w:val="00854D8B"/>
    <w:rsid w:val="0085561F"/>
    <w:rsid w:val="00855907"/>
    <w:rsid w:val="00855C46"/>
    <w:rsid w:val="008563DC"/>
    <w:rsid w:val="0085650C"/>
    <w:rsid w:val="0085656A"/>
    <w:rsid w:val="00856897"/>
    <w:rsid w:val="00856E9A"/>
    <w:rsid w:val="008570F9"/>
    <w:rsid w:val="008578C2"/>
    <w:rsid w:val="0086075D"/>
    <w:rsid w:val="00861456"/>
    <w:rsid w:val="00861D44"/>
    <w:rsid w:val="00861DA4"/>
    <w:rsid w:val="008622E3"/>
    <w:rsid w:val="00862502"/>
    <w:rsid w:val="00862909"/>
    <w:rsid w:val="00862CC1"/>
    <w:rsid w:val="00862DC6"/>
    <w:rsid w:val="00863B4A"/>
    <w:rsid w:val="00863E0B"/>
    <w:rsid w:val="008642A7"/>
    <w:rsid w:val="008647A3"/>
    <w:rsid w:val="00864C5B"/>
    <w:rsid w:val="008652F5"/>
    <w:rsid w:val="00865610"/>
    <w:rsid w:val="00865DC7"/>
    <w:rsid w:val="008660D4"/>
    <w:rsid w:val="008663A5"/>
    <w:rsid w:val="008666AD"/>
    <w:rsid w:val="0086729F"/>
    <w:rsid w:val="00870442"/>
    <w:rsid w:val="008706F1"/>
    <w:rsid w:val="0087100A"/>
    <w:rsid w:val="0087109C"/>
    <w:rsid w:val="00871130"/>
    <w:rsid w:val="00871FA9"/>
    <w:rsid w:val="00872078"/>
    <w:rsid w:val="00872693"/>
    <w:rsid w:val="008728E9"/>
    <w:rsid w:val="0087331E"/>
    <w:rsid w:val="00873435"/>
    <w:rsid w:val="008739D3"/>
    <w:rsid w:val="00874033"/>
    <w:rsid w:val="008743EE"/>
    <w:rsid w:val="00874BD5"/>
    <w:rsid w:val="00874F93"/>
    <w:rsid w:val="00875BEE"/>
    <w:rsid w:val="00875F5C"/>
    <w:rsid w:val="00875FE4"/>
    <w:rsid w:val="008765A4"/>
    <w:rsid w:val="00876771"/>
    <w:rsid w:val="00876B35"/>
    <w:rsid w:val="00876C35"/>
    <w:rsid w:val="00876C6A"/>
    <w:rsid w:val="00880280"/>
    <w:rsid w:val="008802B3"/>
    <w:rsid w:val="0088031B"/>
    <w:rsid w:val="00880670"/>
    <w:rsid w:val="00881287"/>
    <w:rsid w:val="00881602"/>
    <w:rsid w:val="00881840"/>
    <w:rsid w:val="00881DBF"/>
    <w:rsid w:val="0088212B"/>
    <w:rsid w:val="00882874"/>
    <w:rsid w:val="00882C81"/>
    <w:rsid w:val="00882E3C"/>
    <w:rsid w:val="00882E59"/>
    <w:rsid w:val="0088308A"/>
    <w:rsid w:val="0088362C"/>
    <w:rsid w:val="00883787"/>
    <w:rsid w:val="00883D7E"/>
    <w:rsid w:val="00884500"/>
    <w:rsid w:val="008854EC"/>
    <w:rsid w:val="008855E4"/>
    <w:rsid w:val="00885731"/>
    <w:rsid w:val="00885846"/>
    <w:rsid w:val="00885ADE"/>
    <w:rsid w:val="008862BC"/>
    <w:rsid w:val="008863EA"/>
    <w:rsid w:val="00886CD2"/>
    <w:rsid w:val="00886D8A"/>
    <w:rsid w:val="00886F3D"/>
    <w:rsid w:val="008871E7"/>
    <w:rsid w:val="00887BBE"/>
    <w:rsid w:val="00887EA3"/>
    <w:rsid w:val="00890077"/>
    <w:rsid w:val="00890D71"/>
    <w:rsid w:val="0089108F"/>
    <w:rsid w:val="008911B8"/>
    <w:rsid w:val="00891603"/>
    <w:rsid w:val="008916C9"/>
    <w:rsid w:val="00891E6F"/>
    <w:rsid w:val="0089209A"/>
    <w:rsid w:val="00892358"/>
    <w:rsid w:val="0089275D"/>
    <w:rsid w:val="00892A36"/>
    <w:rsid w:val="00893239"/>
    <w:rsid w:val="0089330B"/>
    <w:rsid w:val="00894489"/>
    <w:rsid w:val="00894609"/>
    <w:rsid w:val="00894CD6"/>
    <w:rsid w:val="008955DA"/>
    <w:rsid w:val="00895676"/>
    <w:rsid w:val="00895AC2"/>
    <w:rsid w:val="00895F7A"/>
    <w:rsid w:val="00896015"/>
    <w:rsid w:val="00896069"/>
    <w:rsid w:val="00896106"/>
    <w:rsid w:val="008963A5"/>
    <w:rsid w:val="00896AF3"/>
    <w:rsid w:val="00896B20"/>
    <w:rsid w:val="00896D5D"/>
    <w:rsid w:val="00897230"/>
    <w:rsid w:val="008979A4"/>
    <w:rsid w:val="00897D63"/>
    <w:rsid w:val="008A0614"/>
    <w:rsid w:val="008A062D"/>
    <w:rsid w:val="008A0A99"/>
    <w:rsid w:val="008A14EF"/>
    <w:rsid w:val="008A1C17"/>
    <w:rsid w:val="008A1C78"/>
    <w:rsid w:val="008A2159"/>
    <w:rsid w:val="008A2440"/>
    <w:rsid w:val="008A3158"/>
    <w:rsid w:val="008A3356"/>
    <w:rsid w:val="008A3363"/>
    <w:rsid w:val="008A3371"/>
    <w:rsid w:val="008A34BD"/>
    <w:rsid w:val="008A3868"/>
    <w:rsid w:val="008A3895"/>
    <w:rsid w:val="008A3C3E"/>
    <w:rsid w:val="008A3CBC"/>
    <w:rsid w:val="008A426C"/>
    <w:rsid w:val="008A44D4"/>
    <w:rsid w:val="008A4DA9"/>
    <w:rsid w:val="008A5609"/>
    <w:rsid w:val="008A5C9D"/>
    <w:rsid w:val="008A617D"/>
    <w:rsid w:val="008A644F"/>
    <w:rsid w:val="008A68C6"/>
    <w:rsid w:val="008A6AA9"/>
    <w:rsid w:val="008A7582"/>
    <w:rsid w:val="008A79DE"/>
    <w:rsid w:val="008A7C5A"/>
    <w:rsid w:val="008B073B"/>
    <w:rsid w:val="008B0C70"/>
    <w:rsid w:val="008B12F2"/>
    <w:rsid w:val="008B1757"/>
    <w:rsid w:val="008B190C"/>
    <w:rsid w:val="008B1AE0"/>
    <w:rsid w:val="008B1C33"/>
    <w:rsid w:val="008B1D1A"/>
    <w:rsid w:val="008B2228"/>
    <w:rsid w:val="008B27B0"/>
    <w:rsid w:val="008B2C11"/>
    <w:rsid w:val="008B2CAA"/>
    <w:rsid w:val="008B2E65"/>
    <w:rsid w:val="008B3460"/>
    <w:rsid w:val="008B3A0F"/>
    <w:rsid w:val="008B3D0B"/>
    <w:rsid w:val="008B4474"/>
    <w:rsid w:val="008B48AB"/>
    <w:rsid w:val="008B48B9"/>
    <w:rsid w:val="008B4B6F"/>
    <w:rsid w:val="008B4EBD"/>
    <w:rsid w:val="008B5698"/>
    <w:rsid w:val="008B622D"/>
    <w:rsid w:val="008B63F2"/>
    <w:rsid w:val="008B6624"/>
    <w:rsid w:val="008B678F"/>
    <w:rsid w:val="008B6A43"/>
    <w:rsid w:val="008B70F9"/>
    <w:rsid w:val="008B765B"/>
    <w:rsid w:val="008B7992"/>
    <w:rsid w:val="008B7CE8"/>
    <w:rsid w:val="008B7D7E"/>
    <w:rsid w:val="008C07C7"/>
    <w:rsid w:val="008C12D9"/>
    <w:rsid w:val="008C17D1"/>
    <w:rsid w:val="008C2F92"/>
    <w:rsid w:val="008C3D52"/>
    <w:rsid w:val="008C40D4"/>
    <w:rsid w:val="008C479C"/>
    <w:rsid w:val="008C4ADB"/>
    <w:rsid w:val="008C4C97"/>
    <w:rsid w:val="008C5610"/>
    <w:rsid w:val="008C5708"/>
    <w:rsid w:val="008C5739"/>
    <w:rsid w:val="008C5843"/>
    <w:rsid w:val="008C5BB0"/>
    <w:rsid w:val="008C612A"/>
    <w:rsid w:val="008C6B04"/>
    <w:rsid w:val="008C7282"/>
    <w:rsid w:val="008C762D"/>
    <w:rsid w:val="008C7ECB"/>
    <w:rsid w:val="008D050F"/>
    <w:rsid w:val="008D11B0"/>
    <w:rsid w:val="008D1844"/>
    <w:rsid w:val="008D285A"/>
    <w:rsid w:val="008D286E"/>
    <w:rsid w:val="008D2B6E"/>
    <w:rsid w:val="008D32AE"/>
    <w:rsid w:val="008D3528"/>
    <w:rsid w:val="008D3B4E"/>
    <w:rsid w:val="008D3B86"/>
    <w:rsid w:val="008D3C3F"/>
    <w:rsid w:val="008D43FD"/>
    <w:rsid w:val="008D45C8"/>
    <w:rsid w:val="008D4755"/>
    <w:rsid w:val="008D4C3D"/>
    <w:rsid w:val="008D4C41"/>
    <w:rsid w:val="008D5D9B"/>
    <w:rsid w:val="008D5FAF"/>
    <w:rsid w:val="008D743C"/>
    <w:rsid w:val="008D7F45"/>
    <w:rsid w:val="008E0980"/>
    <w:rsid w:val="008E0B88"/>
    <w:rsid w:val="008E0D3C"/>
    <w:rsid w:val="008E0D5E"/>
    <w:rsid w:val="008E1B9E"/>
    <w:rsid w:val="008E263A"/>
    <w:rsid w:val="008E3345"/>
    <w:rsid w:val="008E4468"/>
    <w:rsid w:val="008E4AD1"/>
    <w:rsid w:val="008E4B8E"/>
    <w:rsid w:val="008E55AB"/>
    <w:rsid w:val="008E5662"/>
    <w:rsid w:val="008E5AAD"/>
    <w:rsid w:val="008E5B41"/>
    <w:rsid w:val="008E5C96"/>
    <w:rsid w:val="008E6796"/>
    <w:rsid w:val="008E680E"/>
    <w:rsid w:val="008E6FF9"/>
    <w:rsid w:val="008E7356"/>
    <w:rsid w:val="008F0345"/>
    <w:rsid w:val="008F0B4D"/>
    <w:rsid w:val="008F11DF"/>
    <w:rsid w:val="008F120A"/>
    <w:rsid w:val="008F1222"/>
    <w:rsid w:val="008F183A"/>
    <w:rsid w:val="008F19DC"/>
    <w:rsid w:val="008F2574"/>
    <w:rsid w:val="008F27E0"/>
    <w:rsid w:val="008F2BBB"/>
    <w:rsid w:val="008F36BC"/>
    <w:rsid w:val="008F4424"/>
    <w:rsid w:val="008F44E9"/>
    <w:rsid w:val="008F452F"/>
    <w:rsid w:val="008F4547"/>
    <w:rsid w:val="008F46C8"/>
    <w:rsid w:val="008F480F"/>
    <w:rsid w:val="008F48EB"/>
    <w:rsid w:val="008F495A"/>
    <w:rsid w:val="008F4F0B"/>
    <w:rsid w:val="008F56BF"/>
    <w:rsid w:val="008F594E"/>
    <w:rsid w:val="008F5A9A"/>
    <w:rsid w:val="008F5C6C"/>
    <w:rsid w:val="008F617C"/>
    <w:rsid w:val="008F6D45"/>
    <w:rsid w:val="008F7680"/>
    <w:rsid w:val="008F7CE4"/>
    <w:rsid w:val="008F7FFA"/>
    <w:rsid w:val="0090003E"/>
    <w:rsid w:val="00900DFC"/>
    <w:rsid w:val="00901886"/>
    <w:rsid w:val="00901988"/>
    <w:rsid w:val="00901AFC"/>
    <w:rsid w:val="00901E85"/>
    <w:rsid w:val="00901F20"/>
    <w:rsid w:val="00901F47"/>
    <w:rsid w:val="00902545"/>
    <w:rsid w:val="00902911"/>
    <w:rsid w:val="00902A22"/>
    <w:rsid w:val="00903998"/>
    <w:rsid w:val="00904118"/>
    <w:rsid w:val="0090468A"/>
    <w:rsid w:val="009046C4"/>
    <w:rsid w:val="00904E4D"/>
    <w:rsid w:val="00905173"/>
    <w:rsid w:val="009062A5"/>
    <w:rsid w:val="00906BA8"/>
    <w:rsid w:val="00906E1E"/>
    <w:rsid w:val="00907172"/>
    <w:rsid w:val="009075A6"/>
    <w:rsid w:val="00907699"/>
    <w:rsid w:val="009078BF"/>
    <w:rsid w:val="009101DD"/>
    <w:rsid w:val="009104FB"/>
    <w:rsid w:val="0091057A"/>
    <w:rsid w:val="009108AC"/>
    <w:rsid w:val="0091090A"/>
    <w:rsid w:val="00910E0F"/>
    <w:rsid w:val="00910FA7"/>
    <w:rsid w:val="00911272"/>
    <w:rsid w:val="00911339"/>
    <w:rsid w:val="0091230D"/>
    <w:rsid w:val="009135D6"/>
    <w:rsid w:val="00914961"/>
    <w:rsid w:val="00914C77"/>
    <w:rsid w:val="00914FE7"/>
    <w:rsid w:val="00915B01"/>
    <w:rsid w:val="00915FA8"/>
    <w:rsid w:val="00917351"/>
    <w:rsid w:val="0091775D"/>
    <w:rsid w:val="00920E6D"/>
    <w:rsid w:val="00921233"/>
    <w:rsid w:val="00921ACB"/>
    <w:rsid w:val="00921BE4"/>
    <w:rsid w:val="00921D81"/>
    <w:rsid w:val="00922601"/>
    <w:rsid w:val="00922777"/>
    <w:rsid w:val="00922CA5"/>
    <w:rsid w:val="00922E17"/>
    <w:rsid w:val="00922E3F"/>
    <w:rsid w:val="0092369B"/>
    <w:rsid w:val="00923BDC"/>
    <w:rsid w:val="00923D6A"/>
    <w:rsid w:val="0092430C"/>
    <w:rsid w:val="00924445"/>
    <w:rsid w:val="009244A6"/>
    <w:rsid w:val="00924652"/>
    <w:rsid w:val="00924A72"/>
    <w:rsid w:val="00924AD7"/>
    <w:rsid w:val="009257D7"/>
    <w:rsid w:val="00925D04"/>
    <w:rsid w:val="00925E01"/>
    <w:rsid w:val="00925FF4"/>
    <w:rsid w:val="0092631C"/>
    <w:rsid w:val="00926B52"/>
    <w:rsid w:val="00926CB0"/>
    <w:rsid w:val="00926F81"/>
    <w:rsid w:val="00927092"/>
    <w:rsid w:val="009275E6"/>
    <w:rsid w:val="009278AC"/>
    <w:rsid w:val="00927C48"/>
    <w:rsid w:val="00930178"/>
    <w:rsid w:val="00930681"/>
    <w:rsid w:val="00930EE5"/>
    <w:rsid w:val="00931EAA"/>
    <w:rsid w:val="00931EFB"/>
    <w:rsid w:val="00931FAA"/>
    <w:rsid w:val="00931FFB"/>
    <w:rsid w:val="0093343F"/>
    <w:rsid w:val="009342B9"/>
    <w:rsid w:val="00934542"/>
    <w:rsid w:val="00934809"/>
    <w:rsid w:val="009348F9"/>
    <w:rsid w:val="00934988"/>
    <w:rsid w:val="00934BEE"/>
    <w:rsid w:val="00934D21"/>
    <w:rsid w:val="00935AC8"/>
    <w:rsid w:val="00935F8D"/>
    <w:rsid w:val="00936B05"/>
    <w:rsid w:val="00936B55"/>
    <w:rsid w:val="00936B5D"/>
    <w:rsid w:val="00936E7C"/>
    <w:rsid w:val="00937089"/>
    <w:rsid w:val="009372D4"/>
    <w:rsid w:val="00937A36"/>
    <w:rsid w:val="0094073F"/>
    <w:rsid w:val="00940AB3"/>
    <w:rsid w:val="00940CA0"/>
    <w:rsid w:val="00941818"/>
    <w:rsid w:val="00941D97"/>
    <w:rsid w:val="00942706"/>
    <w:rsid w:val="009428DD"/>
    <w:rsid w:val="00943BA7"/>
    <w:rsid w:val="0094444F"/>
    <w:rsid w:val="00944ADA"/>
    <w:rsid w:val="00944F8A"/>
    <w:rsid w:val="009452FE"/>
    <w:rsid w:val="00945487"/>
    <w:rsid w:val="00945CE5"/>
    <w:rsid w:val="00946157"/>
    <w:rsid w:val="009474C7"/>
    <w:rsid w:val="00947931"/>
    <w:rsid w:val="0095003B"/>
    <w:rsid w:val="00950156"/>
    <w:rsid w:val="009503B4"/>
    <w:rsid w:val="009504C7"/>
    <w:rsid w:val="00950520"/>
    <w:rsid w:val="009510A2"/>
    <w:rsid w:val="009511CA"/>
    <w:rsid w:val="0095147B"/>
    <w:rsid w:val="009520F1"/>
    <w:rsid w:val="00952728"/>
    <w:rsid w:val="00952825"/>
    <w:rsid w:val="00952B03"/>
    <w:rsid w:val="00952D5A"/>
    <w:rsid w:val="00953257"/>
    <w:rsid w:val="009533E8"/>
    <w:rsid w:val="009536EE"/>
    <w:rsid w:val="0095474C"/>
    <w:rsid w:val="009548ED"/>
    <w:rsid w:val="00954947"/>
    <w:rsid w:val="00955FC3"/>
    <w:rsid w:val="00956C77"/>
    <w:rsid w:val="0095713E"/>
    <w:rsid w:val="00957D92"/>
    <w:rsid w:val="009609DE"/>
    <w:rsid w:val="00961339"/>
    <w:rsid w:val="00961642"/>
    <w:rsid w:val="00962194"/>
    <w:rsid w:val="00962A64"/>
    <w:rsid w:val="00962CB9"/>
    <w:rsid w:val="00962FD6"/>
    <w:rsid w:val="00963026"/>
    <w:rsid w:val="00963985"/>
    <w:rsid w:val="00963B35"/>
    <w:rsid w:val="00963C34"/>
    <w:rsid w:val="009642BD"/>
    <w:rsid w:val="00964312"/>
    <w:rsid w:val="00964707"/>
    <w:rsid w:val="0096486D"/>
    <w:rsid w:val="00964A4C"/>
    <w:rsid w:val="009651B6"/>
    <w:rsid w:val="009651C4"/>
    <w:rsid w:val="00965B8A"/>
    <w:rsid w:val="00965CFE"/>
    <w:rsid w:val="0096625A"/>
    <w:rsid w:val="0096641B"/>
    <w:rsid w:val="00966BC9"/>
    <w:rsid w:val="00966EC9"/>
    <w:rsid w:val="00967686"/>
    <w:rsid w:val="00967C4A"/>
    <w:rsid w:val="00967DF8"/>
    <w:rsid w:val="00967E68"/>
    <w:rsid w:val="0097021C"/>
    <w:rsid w:val="009704A0"/>
    <w:rsid w:val="0097071F"/>
    <w:rsid w:val="0097077B"/>
    <w:rsid w:val="0097110F"/>
    <w:rsid w:val="009712AD"/>
    <w:rsid w:val="009712F3"/>
    <w:rsid w:val="009717AC"/>
    <w:rsid w:val="00971B19"/>
    <w:rsid w:val="009738A0"/>
    <w:rsid w:val="009751C1"/>
    <w:rsid w:val="0097543F"/>
    <w:rsid w:val="00975B4A"/>
    <w:rsid w:val="0097635A"/>
    <w:rsid w:val="00976496"/>
    <w:rsid w:val="009766F1"/>
    <w:rsid w:val="009769E9"/>
    <w:rsid w:val="00977194"/>
    <w:rsid w:val="00977F96"/>
    <w:rsid w:val="0098021A"/>
    <w:rsid w:val="0098027B"/>
    <w:rsid w:val="00980C14"/>
    <w:rsid w:val="009811F1"/>
    <w:rsid w:val="00981404"/>
    <w:rsid w:val="009815AE"/>
    <w:rsid w:val="00981F79"/>
    <w:rsid w:val="00982866"/>
    <w:rsid w:val="009831BE"/>
    <w:rsid w:val="0098351D"/>
    <w:rsid w:val="0098354B"/>
    <w:rsid w:val="009837FE"/>
    <w:rsid w:val="00983C42"/>
    <w:rsid w:val="00983E57"/>
    <w:rsid w:val="00984644"/>
    <w:rsid w:val="0098495F"/>
    <w:rsid w:val="0098523B"/>
    <w:rsid w:val="00985AE2"/>
    <w:rsid w:val="00985DE2"/>
    <w:rsid w:val="009864E8"/>
    <w:rsid w:val="0098675D"/>
    <w:rsid w:val="00986911"/>
    <w:rsid w:val="00986AA4"/>
    <w:rsid w:val="00986AC2"/>
    <w:rsid w:val="00986CB5"/>
    <w:rsid w:val="00986F27"/>
    <w:rsid w:val="00987687"/>
    <w:rsid w:val="00987983"/>
    <w:rsid w:val="00987A08"/>
    <w:rsid w:val="00987BA4"/>
    <w:rsid w:val="00990530"/>
    <w:rsid w:val="009905B5"/>
    <w:rsid w:val="00990735"/>
    <w:rsid w:val="009909A7"/>
    <w:rsid w:val="00990A42"/>
    <w:rsid w:val="00990B8F"/>
    <w:rsid w:val="00990DDC"/>
    <w:rsid w:val="009926E0"/>
    <w:rsid w:val="00992E01"/>
    <w:rsid w:val="00992E2E"/>
    <w:rsid w:val="00992EBB"/>
    <w:rsid w:val="009933CC"/>
    <w:rsid w:val="0099451E"/>
    <w:rsid w:val="00994C35"/>
    <w:rsid w:val="00994EC4"/>
    <w:rsid w:val="00994F0F"/>
    <w:rsid w:val="00995AE9"/>
    <w:rsid w:val="00996034"/>
    <w:rsid w:val="009960DD"/>
    <w:rsid w:val="00996298"/>
    <w:rsid w:val="00996B1A"/>
    <w:rsid w:val="00997398"/>
    <w:rsid w:val="00997646"/>
    <w:rsid w:val="009977D1"/>
    <w:rsid w:val="00997C9B"/>
    <w:rsid w:val="00997E11"/>
    <w:rsid w:val="009A0472"/>
    <w:rsid w:val="009A0904"/>
    <w:rsid w:val="009A0BE1"/>
    <w:rsid w:val="009A18F6"/>
    <w:rsid w:val="009A251F"/>
    <w:rsid w:val="009A25D2"/>
    <w:rsid w:val="009A25E9"/>
    <w:rsid w:val="009A2677"/>
    <w:rsid w:val="009A2D4A"/>
    <w:rsid w:val="009A2DCC"/>
    <w:rsid w:val="009A2FAC"/>
    <w:rsid w:val="009A3563"/>
    <w:rsid w:val="009A3B4B"/>
    <w:rsid w:val="009A4281"/>
    <w:rsid w:val="009A5130"/>
    <w:rsid w:val="009A52C7"/>
    <w:rsid w:val="009A55E1"/>
    <w:rsid w:val="009A5ABC"/>
    <w:rsid w:val="009A6169"/>
    <w:rsid w:val="009A63C3"/>
    <w:rsid w:val="009A6F59"/>
    <w:rsid w:val="009A7F10"/>
    <w:rsid w:val="009B03A0"/>
    <w:rsid w:val="009B11DD"/>
    <w:rsid w:val="009B2183"/>
    <w:rsid w:val="009B238B"/>
    <w:rsid w:val="009B2687"/>
    <w:rsid w:val="009B33FC"/>
    <w:rsid w:val="009B39A2"/>
    <w:rsid w:val="009B3B65"/>
    <w:rsid w:val="009B3E26"/>
    <w:rsid w:val="009B434B"/>
    <w:rsid w:val="009B43F1"/>
    <w:rsid w:val="009B4984"/>
    <w:rsid w:val="009B4A7B"/>
    <w:rsid w:val="009B4AF6"/>
    <w:rsid w:val="009B4B2A"/>
    <w:rsid w:val="009B5B84"/>
    <w:rsid w:val="009B6488"/>
    <w:rsid w:val="009B6FB2"/>
    <w:rsid w:val="009B78F2"/>
    <w:rsid w:val="009B7925"/>
    <w:rsid w:val="009B7C39"/>
    <w:rsid w:val="009B7FF2"/>
    <w:rsid w:val="009C040E"/>
    <w:rsid w:val="009C0C9A"/>
    <w:rsid w:val="009C0DE4"/>
    <w:rsid w:val="009C1271"/>
    <w:rsid w:val="009C138D"/>
    <w:rsid w:val="009C1BE8"/>
    <w:rsid w:val="009C1CFB"/>
    <w:rsid w:val="009C1E3D"/>
    <w:rsid w:val="009C242F"/>
    <w:rsid w:val="009C2C6D"/>
    <w:rsid w:val="009C2C8B"/>
    <w:rsid w:val="009C3706"/>
    <w:rsid w:val="009C3A3A"/>
    <w:rsid w:val="009C3AB8"/>
    <w:rsid w:val="009C3C99"/>
    <w:rsid w:val="009C3E8E"/>
    <w:rsid w:val="009C40B7"/>
    <w:rsid w:val="009C4684"/>
    <w:rsid w:val="009C46D0"/>
    <w:rsid w:val="009C53C0"/>
    <w:rsid w:val="009C598A"/>
    <w:rsid w:val="009C5D8E"/>
    <w:rsid w:val="009C6260"/>
    <w:rsid w:val="009C6447"/>
    <w:rsid w:val="009C6CC9"/>
    <w:rsid w:val="009C6CEA"/>
    <w:rsid w:val="009C7B85"/>
    <w:rsid w:val="009C7CC4"/>
    <w:rsid w:val="009D0254"/>
    <w:rsid w:val="009D0BA3"/>
    <w:rsid w:val="009D0EBE"/>
    <w:rsid w:val="009D10E2"/>
    <w:rsid w:val="009D12F3"/>
    <w:rsid w:val="009D1A64"/>
    <w:rsid w:val="009D1F0C"/>
    <w:rsid w:val="009D1F8F"/>
    <w:rsid w:val="009D2002"/>
    <w:rsid w:val="009D21B0"/>
    <w:rsid w:val="009D2424"/>
    <w:rsid w:val="009D34CD"/>
    <w:rsid w:val="009D3D92"/>
    <w:rsid w:val="009D417F"/>
    <w:rsid w:val="009D44DF"/>
    <w:rsid w:val="009D4CEC"/>
    <w:rsid w:val="009D5031"/>
    <w:rsid w:val="009D5B91"/>
    <w:rsid w:val="009D68D9"/>
    <w:rsid w:val="009D696F"/>
    <w:rsid w:val="009D719B"/>
    <w:rsid w:val="009D7488"/>
    <w:rsid w:val="009D7541"/>
    <w:rsid w:val="009D792E"/>
    <w:rsid w:val="009D7F85"/>
    <w:rsid w:val="009E012A"/>
    <w:rsid w:val="009E0656"/>
    <w:rsid w:val="009E0BF9"/>
    <w:rsid w:val="009E0D14"/>
    <w:rsid w:val="009E0DFE"/>
    <w:rsid w:val="009E1353"/>
    <w:rsid w:val="009E18F9"/>
    <w:rsid w:val="009E1CB0"/>
    <w:rsid w:val="009E2830"/>
    <w:rsid w:val="009E294F"/>
    <w:rsid w:val="009E2C57"/>
    <w:rsid w:val="009E31F6"/>
    <w:rsid w:val="009E328B"/>
    <w:rsid w:val="009E3658"/>
    <w:rsid w:val="009E3BAC"/>
    <w:rsid w:val="009E468D"/>
    <w:rsid w:val="009E4824"/>
    <w:rsid w:val="009E4BCC"/>
    <w:rsid w:val="009E4C07"/>
    <w:rsid w:val="009E64AD"/>
    <w:rsid w:val="009E6541"/>
    <w:rsid w:val="009E777F"/>
    <w:rsid w:val="009E7DF5"/>
    <w:rsid w:val="009F0454"/>
    <w:rsid w:val="009F0653"/>
    <w:rsid w:val="009F0A95"/>
    <w:rsid w:val="009F0E2E"/>
    <w:rsid w:val="009F0FC7"/>
    <w:rsid w:val="009F252B"/>
    <w:rsid w:val="009F26AF"/>
    <w:rsid w:val="009F2A8F"/>
    <w:rsid w:val="009F2AEB"/>
    <w:rsid w:val="009F2CC8"/>
    <w:rsid w:val="009F2D45"/>
    <w:rsid w:val="009F3E93"/>
    <w:rsid w:val="009F444A"/>
    <w:rsid w:val="009F4E52"/>
    <w:rsid w:val="009F50B7"/>
    <w:rsid w:val="009F50D0"/>
    <w:rsid w:val="009F512D"/>
    <w:rsid w:val="009F519E"/>
    <w:rsid w:val="009F5B53"/>
    <w:rsid w:val="009F5E0B"/>
    <w:rsid w:val="009F6120"/>
    <w:rsid w:val="009F65B6"/>
    <w:rsid w:val="009F696B"/>
    <w:rsid w:val="009F735E"/>
    <w:rsid w:val="009F75C0"/>
    <w:rsid w:val="009F76A5"/>
    <w:rsid w:val="009F7B74"/>
    <w:rsid w:val="009F7FCC"/>
    <w:rsid w:val="00A0048A"/>
    <w:rsid w:val="00A0099F"/>
    <w:rsid w:val="00A00BED"/>
    <w:rsid w:val="00A00D76"/>
    <w:rsid w:val="00A00E57"/>
    <w:rsid w:val="00A01184"/>
    <w:rsid w:val="00A01449"/>
    <w:rsid w:val="00A018E7"/>
    <w:rsid w:val="00A01C5C"/>
    <w:rsid w:val="00A01D7A"/>
    <w:rsid w:val="00A01EAA"/>
    <w:rsid w:val="00A020CB"/>
    <w:rsid w:val="00A022EE"/>
    <w:rsid w:val="00A02422"/>
    <w:rsid w:val="00A02961"/>
    <w:rsid w:val="00A0365E"/>
    <w:rsid w:val="00A037C2"/>
    <w:rsid w:val="00A03D43"/>
    <w:rsid w:val="00A04041"/>
    <w:rsid w:val="00A04380"/>
    <w:rsid w:val="00A0452E"/>
    <w:rsid w:val="00A04786"/>
    <w:rsid w:val="00A049FA"/>
    <w:rsid w:val="00A05472"/>
    <w:rsid w:val="00A05ACE"/>
    <w:rsid w:val="00A05C32"/>
    <w:rsid w:val="00A0653F"/>
    <w:rsid w:val="00A06964"/>
    <w:rsid w:val="00A07393"/>
    <w:rsid w:val="00A0794D"/>
    <w:rsid w:val="00A10769"/>
    <w:rsid w:val="00A111CD"/>
    <w:rsid w:val="00A111EA"/>
    <w:rsid w:val="00A11537"/>
    <w:rsid w:val="00A11575"/>
    <w:rsid w:val="00A11578"/>
    <w:rsid w:val="00A11CD0"/>
    <w:rsid w:val="00A11CFB"/>
    <w:rsid w:val="00A11F95"/>
    <w:rsid w:val="00A122B0"/>
    <w:rsid w:val="00A12689"/>
    <w:rsid w:val="00A1290F"/>
    <w:rsid w:val="00A13948"/>
    <w:rsid w:val="00A13ABC"/>
    <w:rsid w:val="00A140F3"/>
    <w:rsid w:val="00A141FA"/>
    <w:rsid w:val="00A14702"/>
    <w:rsid w:val="00A1555B"/>
    <w:rsid w:val="00A155C5"/>
    <w:rsid w:val="00A15BE0"/>
    <w:rsid w:val="00A16AD8"/>
    <w:rsid w:val="00A2021E"/>
    <w:rsid w:val="00A2027F"/>
    <w:rsid w:val="00A2068D"/>
    <w:rsid w:val="00A20AC7"/>
    <w:rsid w:val="00A21BDE"/>
    <w:rsid w:val="00A21C95"/>
    <w:rsid w:val="00A21CF3"/>
    <w:rsid w:val="00A222C8"/>
    <w:rsid w:val="00A22FDC"/>
    <w:rsid w:val="00A23503"/>
    <w:rsid w:val="00A23525"/>
    <w:rsid w:val="00A237B5"/>
    <w:rsid w:val="00A24528"/>
    <w:rsid w:val="00A24813"/>
    <w:rsid w:val="00A24A2B"/>
    <w:rsid w:val="00A24E8D"/>
    <w:rsid w:val="00A2503E"/>
    <w:rsid w:val="00A25298"/>
    <w:rsid w:val="00A25D09"/>
    <w:rsid w:val="00A26030"/>
    <w:rsid w:val="00A26480"/>
    <w:rsid w:val="00A27385"/>
    <w:rsid w:val="00A2753D"/>
    <w:rsid w:val="00A27AEC"/>
    <w:rsid w:val="00A2A417"/>
    <w:rsid w:val="00A30A63"/>
    <w:rsid w:val="00A30ECE"/>
    <w:rsid w:val="00A3119E"/>
    <w:rsid w:val="00A312F4"/>
    <w:rsid w:val="00A320DB"/>
    <w:rsid w:val="00A32185"/>
    <w:rsid w:val="00A3218F"/>
    <w:rsid w:val="00A323E0"/>
    <w:rsid w:val="00A32933"/>
    <w:rsid w:val="00A32EF2"/>
    <w:rsid w:val="00A33749"/>
    <w:rsid w:val="00A33C76"/>
    <w:rsid w:val="00A34104"/>
    <w:rsid w:val="00A348E1"/>
    <w:rsid w:val="00A34F39"/>
    <w:rsid w:val="00A34FAB"/>
    <w:rsid w:val="00A35BF2"/>
    <w:rsid w:val="00A35D16"/>
    <w:rsid w:val="00A36114"/>
    <w:rsid w:val="00A3631C"/>
    <w:rsid w:val="00A36841"/>
    <w:rsid w:val="00A36D25"/>
    <w:rsid w:val="00A36D3F"/>
    <w:rsid w:val="00A37349"/>
    <w:rsid w:val="00A37867"/>
    <w:rsid w:val="00A37A98"/>
    <w:rsid w:val="00A37BCD"/>
    <w:rsid w:val="00A400DA"/>
    <w:rsid w:val="00A402BB"/>
    <w:rsid w:val="00A4091C"/>
    <w:rsid w:val="00A41689"/>
    <w:rsid w:val="00A424DB"/>
    <w:rsid w:val="00A42592"/>
    <w:rsid w:val="00A425B7"/>
    <w:rsid w:val="00A42C20"/>
    <w:rsid w:val="00A42DBA"/>
    <w:rsid w:val="00A43C59"/>
    <w:rsid w:val="00A44269"/>
    <w:rsid w:val="00A4443F"/>
    <w:rsid w:val="00A44C2E"/>
    <w:rsid w:val="00A4543B"/>
    <w:rsid w:val="00A4595E"/>
    <w:rsid w:val="00A4694E"/>
    <w:rsid w:val="00A46A11"/>
    <w:rsid w:val="00A47048"/>
    <w:rsid w:val="00A475F6"/>
    <w:rsid w:val="00A508DF"/>
    <w:rsid w:val="00A50E92"/>
    <w:rsid w:val="00A50ECD"/>
    <w:rsid w:val="00A518F3"/>
    <w:rsid w:val="00A5197A"/>
    <w:rsid w:val="00A52729"/>
    <w:rsid w:val="00A53675"/>
    <w:rsid w:val="00A53E6A"/>
    <w:rsid w:val="00A544AE"/>
    <w:rsid w:val="00A5547B"/>
    <w:rsid w:val="00A55E2A"/>
    <w:rsid w:val="00A564D7"/>
    <w:rsid w:val="00A5654D"/>
    <w:rsid w:val="00A569A5"/>
    <w:rsid w:val="00A56B6A"/>
    <w:rsid w:val="00A56E34"/>
    <w:rsid w:val="00A578DC"/>
    <w:rsid w:val="00A57C5C"/>
    <w:rsid w:val="00A57D11"/>
    <w:rsid w:val="00A609C3"/>
    <w:rsid w:val="00A60BF0"/>
    <w:rsid w:val="00A60FF8"/>
    <w:rsid w:val="00A6103C"/>
    <w:rsid w:val="00A61984"/>
    <w:rsid w:val="00A61A81"/>
    <w:rsid w:val="00A62400"/>
    <w:rsid w:val="00A62D8D"/>
    <w:rsid w:val="00A63C09"/>
    <w:rsid w:val="00A63CA9"/>
    <w:rsid w:val="00A640E2"/>
    <w:rsid w:val="00A647F8"/>
    <w:rsid w:val="00A64D65"/>
    <w:rsid w:val="00A64DFD"/>
    <w:rsid w:val="00A64E0B"/>
    <w:rsid w:val="00A650EE"/>
    <w:rsid w:val="00A65E12"/>
    <w:rsid w:val="00A66078"/>
    <w:rsid w:val="00A66E85"/>
    <w:rsid w:val="00A6725B"/>
    <w:rsid w:val="00A6788F"/>
    <w:rsid w:val="00A67A56"/>
    <w:rsid w:val="00A67C5A"/>
    <w:rsid w:val="00A67F40"/>
    <w:rsid w:val="00A67F8C"/>
    <w:rsid w:val="00A70605"/>
    <w:rsid w:val="00A707BB"/>
    <w:rsid w:val="00A70FCC"/>
    <w:rsid w:val="00A7119F"/>
    <w:rsid w:val="00A7196A"/>
    <w:rsid w:val="00A73134"/>
    <w:rsid w:val="00A73265"/>
    <w:rsid w:val="00A7365A"/>
    <w:rsid w:val="00A739C2"/>
    <w:rsid w:val="00A73D14"/>
    <w:rsid w:val="00A73F32"/>
    <w:rsid w:val="00A742B6"/>
    <w:rsid w:val="00A744B7"/>
    <w:rsid w:val="00A749AD"/>
    <w:rsid w:val="00A74DCD"/>
    <w:rsid w:val="00A7516D"/>
    <w:rsid w:val="00A751C6"/>
    <w:rsid w:val="00A7539A"/>
    <w:rsid w:val="00A75761"/>
    <w:rsid w:val="00A76001"/>
    <w:rsid w:val="00A76B40"/>
    <w:rsid w:val="00A76FBF"/>
    <w:rsid w:val="00A771D9"/>
    <w:rsid w:val="00A776AB"/>
    <w:rsid w:val="00A777B2"/>
    <w:rsid w:val="00A77857"/>
    <w:rsid w:val="00A77E62"/>
    <w:rsid w:val="00A80070"/>
    <w:rsid w:val="00A809D3"/>
    <w:rsid w:val="00A80A5E"/>
    <w:rsid w:val="00A80DC3"/>
    <w:rsid w:val="00A81297"/>
    <w:rsid w:val="00A81896"/>
    <w:rsid w:val="00A825D4"/>
    <w:rsid w:val="00A82645"/>
    <w:rsid w:val="00A828F6"/>
    <w:rsid w:val="00A82B73"/>
    <w:rsid w:val="00A835D2"/>
    <w:rsid w:val="00A8367E"/>
    <w:rsid w:val="00A836C8"/>
    <w:rsid w:val="00A8427C"/>
    <w:rsid w:val="00A8429E"/>
    <w:rsid w:val="00A842B6"/>
    <w:rsid w:val="00A86102"/>
    <w:rsid w:val="00A8613D"/>
    <w:rsid w:val="00A86215"/>
    <w:rsid w:val="00A86965"/>
    <w:rsid w:val="00A86B59"/>
    <w:rsid w:val="00A86E8B"/>
    <w:rsid w:val="00A87164"/>
    <w:rsid w:val="00A871A9"/>
    <w:rsid w:val="00A875A3"/>
    <w:rsid w:val="00A878B9"/>
    <w:rsid w:val="00A87A49"/>
    <w:rsid w:val="00A87CAA"/>
    <w:rsid w:val="00A87D55"/>
    <w:rsid w:val="00A87EC9"/>
    <w:rsid w:val="00A90D0A"/>
    <w:rsid w:val="00A91144"/>
    <w:rsid w:val="00A922C2"/>
    <w:rsid w:val="00A922DD"/>
    <w:rsid w:val="00A92B5A"/>
    <w:rsid w:val="00A92CD2"/>
    <w:rsid w:val="00A9304C"/>
    <w:rsid w:val="00A93072"/>
    <w:rsid w:val="00A938BD"/>
    <w:rsid w:val="00A93953"/>
    <w:rsid w:val="00A94881"/>
    <w:rsid w:val="00A94CB9"/>
    <w:rsid w:val="00A957C9"/>
    <w:rsid w:val="00A959D8"/>
    <w:rsid w:val="00A95EE5"/>
    <w:rsid w:val="00A961C7"/>
    <w:rsid w:val="00A961F5"/>
    <w:rsid w:val="00A96331"/>
    <w:rsid w:val="00A9638E"/>
    <w:rsid w:val="00A96A0B"/>
    <w:rsid w:val="00A96A0E"/>
    <w:rsid w:val="00A9780C"/>
    <w:rsid w:val="00A978ED"/>
    <w:rsid w:val="00A97C8B"/>
    <w:rsid w:val="00A97E31"/>
    <w:rsid w:val="00AA02EF"/>
    <w:rsid w:val="00AA05BD"/>
    <w:rsid w:val="00AA06B6"/>
    <w:rsid w:val="00AA08C4"/>
    <w:rsid w:val="00AA113D"/>
    <w:rsid w:val="00AA116A"/>
    <w:rsid w:val="00AA19FC"/>
    <w:rsid w:val="00AA2EA8"/>
    <w:rsid w:val="00AA33BC"/>
    <w:rsid w:val="00AA3F74"/>
    <w:rsid w:val="00AA40F6"/>
    <w:rsid w:val="00AA4DF5"/>
    <w:rsid w:val="00AA4E1C"/>
    <w:rsid w:val="00AA52CE"/>
    <w:rsid w:val="00AA53DB"/>
    <w:rsid w:val="00AA577B"/>
    <w:rsid w:val="00AA5F4A"/>
    <w:rsid w:val="00AA6755"/>
    <w:rsid w:val="00AA67F6"/>
    <w:rsid w:val="00AA6BD5"/>
    <w:rsid w:val="00AA6BD8"/>
    <w:rsid w:val="00AA6BF2"/>
    <w:rsid w:val="00AA6C7D"/>
    <w:rsid w:val="00AA70AA"/>
    <w:rsid w:val="00AA70C4"/>
    <w:rsid w:val="00AA7823"/>
    <w:rsid w:val="00AA7FD6"/>
    <w:rsid w:val="00AB0304"/>
    <w:rsid w:val="00AB0314"/>
    <w:rsid w:val="00AB034D"/>
    <w:rsid w:val="00AB042A"/>
    <w:rsid w:val="00AB07C8"/>
    <w:rsid w:val="00AB0EA9"/>
    <w:rsid w:val="00AB11AD"/>
    <w:rsid w:val="00AB1637"/>
    <w:rsid w:val="00AB1763"/>
    <w:rsid w:val="00AB19EF"/>
    <w:rsid w:val="00AB1CE2"/>
    <w:rsid w:val="00AB1F21"/>
    <w:rsid w:val="00AB2218"/>
    <w:rsid w:val="00AB2334"/>
    <w:rsid w:val="00AB2495"/>
    <w:rsid w:val="00AB2582"/>
    <w:rsid w:val="00AB2623"/>
    <w:rsid w:val="00AB2628"/>
    <w:rsid w:val="00AB2D34"/>
    <w:rsid w:val="00AB2DA2"/>
    <w:rsid w:val="00AB33CB"/>
    <w:rsid w:val="00AB3430"/>
    <w:rsid w:val="00AB345E"/>
    <w:rsid w:val="00AB363C"/>
    <w:rsid w:val="00AB37B9"/>
    <w:rsid w:val="00AB3880"/>
    <w:rsid w:val="00AB3EB5"/>
    <w:rsid w:val="00AB492F"/>
    <w:rsid w:val="00AB4AD1"/>
    <w:rsid w:val="00AB5070"/>
    <w:rsid w:val="00AB556F"/>
    <w:rsid w:val="00AB56AB"/>
    <w:rsid w:val="00AB5AA2"/>
    <w:rsid w:val="00AB5AAB"/>
    <w:rsid w:val="00AB5DE9"/>
    <w:rsid w:val="00AB5E07"/>
    <w:rsid w:val="00AB738E"/>
    <w:rsid w:val="00AB7590"/>
    <w:rsid w:val="00AB769A"/>
    <w:rsid w:val="00AB7A86"/>
    <w:rsid w:val="00AB7CFA"/>
    <w:rsid w:val="00AC00DC"/>
    <w:rsid w:val="00AC018E"/>
    <w:rsid w:val="00AC06A3"/>
    <w:rsid w:val="00AC0977"/>
    <w:rsid w:val="00AC2579"/>
    <w:rsid w:val="00AC25FC"/>
    <w:rsid w:val="00AC28C9"/>
    <w:rsid w:val="00AC2A8B"/>
    <w:rsid w:val="00AC2B7A"/>
    <w:rsid w:val="00AC2BC7"/>
    <w:rsid w:val="00AC30FC"/>
    <w:rsid w:val="00AC360F"/>
    <w:rsid w:val="00AC37B4"/>
    <w:rsid w:val="00AC3900"/>
    <w:rsid w:val="00AC3F2B"/>
    <w:rsid w:val="00AC4A9C"/>
    <w:rsid w:val="00AC4C80"/>
    <w:rsid w:val="00AC5B42"/>
    <w:rsid w:val="00AC5B48"/>
    <w:rsid w:val="00AC6FEA"/>
    <w:rsid w:val="00AC6FFD"/>
    <w:rsid w:val="00AC79D0"/>
    <w:rsid w:val="00AC7C8F"/>
    <w:rsid w:val="00AC7EF3"/>
    <w:rsid w:val="00AD0016"/>
    <w:rsid w:val="00AD002A"/>
    <w:rsid w:val="00AD012B"/>
    <w:rsid w:val="00AD1421"/>
    <w:rsid w:val="00AD1450"/>
    <w:rsid w:val="00AD15E8"/>
    <w:rsid w:val="00AD1B0E"/>
    <w:rsid w:val="00AD1DA6"/>
    <w:rsid w:val="00AD23B8"/>
    <w:rsid w:val="00AD2738"/>
    <w:rsid w:val="00AD2B7C"/>
    <w:rsid w:val="00AD32A6"/>
    <w:rsid w:val="00AD340A"/>
    <w:rsid w:val="00AD356D"/>
    <w:rsid w:val="00AD4309"/>
    <w:rsid w:val="00AD460D"/>
    <w:rsid w:val="00AD47C3"/>
    <w:rsid w:val="00AD54FB"/>
    <w:rsid w:val="00AD5B5D"/>
    <w:rsid w:val="00AD5E92"/>
    <w:rsid w:val="00AD647C"/>
    <w:rsid w:val="00AD64DF"/>
    <w:rsid w:val="00AD6502"/>
    <w:rsid w:val="00AD666D"/>
    <w:rsid w:val="00AD6AD4"/>
    <w:rsid w:val="00AD6CB5"/>
    <w:rsid w:val="00AD6D87"/>
    <w:rsid w:val="00AD6FAC"/>
    <w:rsid w:val="00AD70AB"/>
    <w:rsid w:val="00AD72D1"/>
    <w:rsid w:val="00AD7B03"/>
    <w:rsid w:val="00AE0695"/>
    <w:rsid w:val="00AE0D47"/>
    <w:rsid w:val="00AE183D"/>
    <w:rsid w:val="00AE1854"/>
    <w:rsid w:val="00AE1CA0"/>
    <w:rsid w:val="00AE1CBF"/>
    <w:rsid w:val="00AE237B"/>
    <w:rsid w:val="00AE23DB"/>
    <w:rsid w:val="00AE2EA4"/>
    <w:rsid w:val="00AE2FC6"/>
    <w:rsid w:val="00AE3516"/>
    <w:rsid w:val="00AE3A03"/>
    <w:rsid w:val="00AE3DE1"/>
    <w:rsid w:val="00AE3E7E"/>
    <w:rsid w:val="00AE427F"/>
    <w:rsid w:val="00AE4290"/>
    <w:rsid w:val="00AE42AE"/>
    <w:rsid w:val="00AE46CB"/>
    <w:rsid w:val="00AE4CA4"/>
    <w:rsid w:val="00AE54ED"/>
    <w:rsid w:val="00AE5835"/>
    <w:rsid w:val="00AE587F"/>
    <w:rsid w:val="00AE5C11"/>
    <w:rsid w:val="00AE5CCC"/>
    <w:rsid w:val="00AE63B3"/>
    <w:rsid w:val="00AE67CC"/>
    <w:rsid w:val="00AE6C9E"/>
    <w:rsid w:val="00AE6CFB"/>
    <w:rsid w:val="00AE6F05"/>
    <w:rsid w:val="00AE6F26"/>
    <w:rsid w:val="00AE7C08"/>
    <w:rsid w:val="00AE7E53"/>
    <w:rsid w:val="00AF039F"/>
    <w:rsid w:val="00AF1116"/>
    <w:rsid w:val="00AF1315"/>
    <w:rsid w:val="00AF1615"/>
    <w:rsid w:val="00AF19BF"/>
    <w:rsid w:val="00AF1BCF"/>
    <w:rsid w:val="00AF1F2E"/>
    <w:rsid w:val="00AF2CE9"/>
    <w:rsid w:val="00AF2CEA"/>
    <w:rsid w:val="00AF2DC3"/>
    <w:rsid w:val="00AF3C32"/>
    <w:rsid w:val="00AF44B4"/>
    <w:rsid w:val="00AF4775"/>
    <w:rsid w:val="00AF565F"/>
    <w:rsid w:val="00AF57FA"/>
    <w:rsid w:val="00AF59DD"/>
    <w:rsid w:val="00AF5CAD"/>
    <w:rsid w:val="00AF5CF8"/>
    <w:rsid w:val="00AF6160"/>
    <w:rsid w:val="00AF785C"/>
    <w:rsid w:val="00AF7BBA"/>
    <w:rsid w:val="00B031D3"/>
    <w:rsid w:val="00B033E5"/>
    <w:rsid w:val="00B0351E"/>
    <w:rsid w:val="00B03A63"/>
    <w:rsid w:val="00B03EB8"/>
    <w:rsid w:val="00B04001"/>
    <w:rsid w:val="00B04224"/>
    <w:rsid w:val="00B049C7"/>
    <w:rsid w:val="00B04B55"/>
    <w:rsid w:val="00B05478"/>
    <w:rsid w:val="00B054C1"/>
    <w:rsid w:val="00B0551C"/>
    <w:rsid w:val="00B05804"/>
    <w:rsid w:val="00B06B7C"/>
    <w:rsid w:val="00B07467"/>
    <w:rsid w:val="00B079DC"/>
    <w:rsid w:val="00B07B72"/>
    <w:rsid w:val="00B07F62"/>
    <w:rsid w:val="00B10314"/>
    <w:rsid w:val="00B10A1C"/>
    <w:rsid w:val="00B10C1A"/>
    <w:rsid w:val="00B10E74"/>
    <w:rsid w:val="00B11336"/>
    <w:rsid w:val="00B1230E"/>
    <w:rsid w:val="00B125E8"/>
    <w:rsid w:val="00B129A4"/>
    <w:rsid w:val="00B139C6"/>
    <w:rsid w:val="00B13B7A"/>
    <w:rsid w:val="00B149BB"/>
    <w:rsid w:val="00B14A03"/>
    <w:rsid w:val="00B14B5C"/>
    <w:rsid w:val="00B153B4"/>
    <w:rsid w:val="00B15827"/>
    <w:rsid w:val="00B15AD0"/>
    <w:rsid w:val="00B15F4C"/>
    <w:rsid w:val="00B16862"/>
    <w:rsid w:val="00B16C47"/>
    <w:rsid w:val="00B178D2"/>
    <w:rsid w:val="00B179D6"/>
    <w:rsid w:val="00B17FA0"/>
    <w:rsid w:val="00B201A4"/>
    <w:rsid w:val="00B201D1"/>
    <w:rsid w:val="00B20885"/>
    <w:rsid w:val="00B21158"/>
    <w:rsid w:val="00B213A6"/>
    <w:rsid w:val="00B21541"/>
    <w:rsid w:val="00B227DE"/>
    <w:rsid w:val="00B235B0"/>
    <w:rsid w:val="00B23BE5"/>
    <w:rsid w:val="00B244AB"/>
    <w:rsid w:val="00B24715"/>
    <w:rsid w:val="00B24CB3"/>
    <w:rsid w:val="00B24DF6"/>
    <w:rsid w:val="00B25312"/>
    <w:rsid w:val="00B258FA"/>
    <w:rsid w:val="00B25B91"/>
    <w:rsid w:val="00B261A8"/>
    <w:rsid w:val="00B26224"/>
    <w:rsid w:val="00B26629"/>
    <w:rsid w:val="00B26712"/>
    <w:rsid w:val="00B26E72"/>
    <w:rsid w:val="00B27457"/>
    <w:rsid w:val="00B274EF"/>
    <w:rsid w:val="00B27619"/>
    <w:rsid w:val="00B27696"/>
    <w:rsid w:val="00B277D4"/>
    <w:rsid w:val="00B27A61"/>
    <w:rsid w:val="00B31488"/>
    <w:rsid w:val="00B316B8"/>
    <w:rsid w:val="00B31BDE"/>
    <w:rsid w:val="00B31C2D"/>
    <w:rsid w:val="00B32244"/>
    <w:rsid w:val="00B325C7"/>
    <w:rsid w:val="00B32ABB"/>
    <w:rsid w:val="00B32E3D"/>
    <w:rsid w:val="00B33496"/>
    <w:rsid w:val="00B33C89"/>
    <w:rsid w:val="00B3412C"/>
    <w:rsid w:val="00B3426E"/>
    <w:rsid w:val="00B343D1"/>
    <w:rsid w:val="00B34FE2"/>
    <w:rsid w:val="00B35166"/>
    <w:rsid w:val="00B351F2"/>
    <w:rsid w:val="00B352BC"/>
    <w:rsid w:val="00B357D8"/>
    <w:rsid w:val="00B359DE"/>
    <w:rsid w:val="00B360F4"/>
    <w:rsid w:val="00B36A00"/>
    <w:rsid w:val="00B36CA2"/>
    <w:rsid w:val="00B36FEC"/>
    <w:rsid w:val="00B376BB"/>
    <w:rsid w:val="00B3792B"/>
    <w:rsid w:val="00B37A6B"/>
    <w:rsid w:val="00B37BFC"/>
    <w:rsid w:val="00B40120"/>
    <w:rsid w:val="00B40358"/>
    <w:rsid w:val="00B41614"/>
    <w:rsid w:val="00B4176E"/>
    <w:rsid w:val="00B41A19"/>
    <w:rsid w:val="00B423CB"/>
    <w:rsid w:val="00B42571"/>
    <w:rsid w:val="00B42851"/>
    <w:rsid w:val="00B42BCA"/>
    <w:rsid w:val="00B42F80"/>
    <w:rsid w:val="00B435CB"/>
    <w:rsid w:val="00B44CDC"/>
    <w:rsid w:val="00B456EE"/>
    <w:rsid w:val="00B465EC"/>
    <w:rsid w:val="00B466CF"/>
    <w:rsid w:val="00B47689"/>
    <w:rsid w:val="00B47C96"/>
    <w:rsid w:val="00B50369"/>
    <w:rsid w:val="00B50569"/>
    <w:rsid w:val="00B505C8"/>
    <w:rsid w:val="00B50C32"/>
    <w:rsid w:val="00B50DB8"/>
    <w:rsid w:val="00B50E43"/>
    <w:rsid w:val="00B50FB4"/>
    <w:rsid w:val="00B510DC"/>
    <w:rsid w:val="00B51A0B"/>
    <w:rsid w:val="00B51BDF"/>
    <w:rsid w:val="00B51CD2"/>
    <w:rsid w:val="00B51CE5"/>
    <w:rsid w:val="00B52110"/>
    <w:rsid w:val="00B52446"/>
    <w:rsid w:val="00B52606"/>
    <w:rsid w:val="00B5291E"/>
    <w:rsid w:val="00B52FF3"/>
    <w:rsid w:val="00B53654"/>
    <w:rsid w:val="00B5388B"/>
    <w:rsid w:val="00B53905"/>
    <w:rsid w:val="00B546DB"/>
    <w:rsid w:val="00B54B5B"/>
    <w:rsid w:val="00B54C93"/>
    <w:rsid w:val="00B5562E"/>
    <w:rsid w:val="00B55862"/>
    <w:rsid w:val="00B55D52"/>
    <w:rsid w:val="00B55D65"/>
    <w:rsid w:val="00B55F68"/>
    <w:rsid w:val="00B56305"/>
    <w:rsid w:val="00B566E1"/>
    <w:rsid w:val="00B566FB"/>
    <w:rsid w:val="00B56AE7"/>
    <w:rsid w:val="00B57000"/>
    <w:rsid w:val="00B570AF"/>
    <w:rsid w:val="00B57559"/>
    <w:rsid w:val="00B57CB7"/>
    <w:rsid w:val="00B5BF25"/>
    <w:rsid w:val="00B605A4"/>
    <w:rsid w:val="00B6089C"/>
    <w:rsid w:val="00B60939"/>
    <w:rsid w:val="00B60AFD"/>
    <w:rsid w:val="00B6136D"/>
    <w:rsid w:val="00B614A4"/>
    <w:rsid w:val="00B61582"/>
    <w:rsid w:val="00B61D7B"/>
    <w:rsid w:val="00B621CF"/>
    <w:rsid w:val="00B62206"/>
    <w:rsid w:val="00B62715"/>
    <w:rsid w:val="00B628D3"/>
    <w:rsid w:val="00B631B4"/>
    <w:rsid w:val="00B6336E"/>
    <w:rsid w:val="00B63644"/>
    <w:rsid w:val="00B63A49"/>
    <w:rsid w:val="00B63F91"/>
    <w:rsid w:val="00B64175"/>
    <w:rsid w:val="00B6456F"/>
    <w:rsid w:val="00B64ACB"/>
    <w:rsid w:val="00B64FCD"/>
    <w:rsid w:val="00B65611"/>
    <w:rsid w:val="00B65EEF"/>
    <w:rsid w:val="00B6618C"/>
    <w:rsid w:val="00B66743"/>
    <w:rsid w:val="00B67452"/>
    <w:rsid w:val="00B679EB"/>
    <w:rsid w:val="00B70ACA"/>
    <w:rsid w:val="00B70B4E"/>
    <w:rsid w:val="00B70D54"/>
    <w:rsid w:val="00B70E8E"/>
    <w:rsid w:val="00B71088"/>
    <w:rsid w:val="00B7108A"/>
    <w:rsid w:val="00B71A54"/>
    <w:rsid w:val="00B71F78"/>
    <w:rsid w:val="00B7206E"/>
    <w:rsid w:val="00B72660"/>
    <w:rsid w:val="00B72700"/>
    <w:rsid w:val="00B72BD0"/>
    <w:rsid w:val="00B735B5"/>
    <w:rsid w:val="00B7396E"/>
    <w:rsid w:val="00B73A9E"/>
    <w:rsid w:val="00B73F0B"/>
    <w:rsid w:val="00B741E1"/>
    <w:rsid w:val="00B7432B"/>
    <w:rsid w:val="00B74E25"/>
    <w:rsid w:val="00B758F8"/>
    <w:rsid w:val="00B75A88"/>
    <w:rsid w:val="00B76C92"/>
    <w:rsid w:val="00B76EC2"/>
    <w:rsid w:val="00B77697"/>
    <w:rsid w:val="00B77CEC"/>
    <w:rsid w:val="00B8040F"/>
    <w:rsid w:val="00B80D34"/>
    <w:rsid w:val="00B80EFD"/>
    <w:rsid w:val="00B818A4"/>
    <w:rsid w:val="00B82929"/>
    <w:rsid w:val="00B82BBF"/>
    <w:rsid w:val="00B8302E"/>
    <w:rsid w:val="00B831D6"/>
    <w:rsid w:val="00B83204"/>
    <w:rsid w:val="00B83739"/>
    <w:rsid w:val="00B83D4E"/>
    <w:rsid w:val="00B84117"/>
    <w:rsid w:val="00B8445B"/>
    <w:rsid w:val="00B846D8"/>
    <w:rsid w:val="00B84939"/>
    <w:rsid w:val="00B84D94"/>
    <w:rsid w:val="00B84DE7"/>
    <w:rsid w:val="00B84FE2"/>
    <w:rsid w:val="00B8579E"/>
    <w:rsid w:val="00B858F0"/>
    <w:rsid w:val="00B8597C"/>
    <w:rsid w:val="00B85AA2"/>
    <w:rsid w:val="00B85B86"/>
    <w:rsid w:val="00B8649C"/>
    <w:rsid w:val="00B8695D"/>
    <w:rsid w:val="00B86CD7"/>
    <w:rsid w:val="00B87F0A"/>
    <w:rsid w:val="00B9072C"/>
    <w:rsid w:val="00B90841"/>
    <w:rsid w:val="00B90CA5"/>
    <w:rsid w:val="00B9189E"/>
    <w:rsid w:val="00B922BE"/>
    <w:rsid w:val="00B923C9"/>
    <w:rsid w:val="00B925F2"/>
    <w:rsid w:val="00B92D0B"/>
    <w:rsid w:val="00B93186"/>
    <w:rsid w:val="00B93263"/>
    <w:rsid w:val="00B93BC2"/>
    <w:rsid w:val="00B9417E"/>
    <w:rsid w:val="00B94945"/>
    <w:rsid w:val="00B949B4"/>
    <w:rsid w:val="00B94AFC"/>
    <w:rsid w:val="00B94DD6"/>
    <w:rsid w:val="00B9534A"/>
    <w:rsid w:val="00B955D2"/>
    <w:rsid w:val="00B95DF4"/>
    <w:rsid w:val="00B96B03"/>
    <w:rsid w:val="00B96D40"/>
    <w:rsid w:val="00B97A1F"/>
    <w:rsid w:val="00BA004B"/>
    <w:rsid w:val="00BA051D"/>
    <w:rsid w:val="00BA05B8"/>
    <w:rsid w:val="00BA05E0"/>
    <w:rsid w:val="00BA1105"/>
    <w:rsid w:val="00BA1145"/>
    <w:rsid w:val="00BA1536"/>
    <w:rsid w:val="00BA28D1"/>
    <w:rsid w:val="00BA322D"/>
    <w:rsid w:val="00BA3B69"/>
    <w:rsid w:val="00BA502E"/>
    <w:rsid w:val="00BA5186"/>
    <w:rsid w:val="00BA63FA"/>
    <w:rsid w:val="00BA675A"/>
    <w:rsid w:val="00BB00B3"/>
    <w:rsid w:val="00BB03DF"/>
    <w:rsid w:val="00BB06D2"/>
    <w:rsid w:val="00BB096D"/>
    <w:rsid w:val="00BB0BDD"/>
    <w:rsid w:val="00BB0ED5"/>
    <w:rsid w:val="00BB1574"/>
    <w:rsid w:val="00BB176C"/>
    <w:rsid w:val="00BB1774"/>
    <w:rsid w:val="00BB17BB"/>
    <w:rsid w:val="00BB1DB7"/>
    <w:rsid w:val="00BB234D"/>
    <w:rsid w:val="00BB255E"/>
    <w:rsid w:val="00BB2A73"/>
    <w:rsid w:val="00BB3151"/>
    <w:rsid w:val="00BB31A0"/>
    <w:rsid w:val="00BB3288"/>
    <w:rsid w:val="00BB3385"/>
    <w:rsid w:val="00BB3A45"/>
    <w:rsid w:val="00BB3F14"/>
    <w:rsid w:val="00BB4ABD"/>
    <w:rsid w:val="00BB4ACC"/>
    <w:rsid w:val="00BB57C4"/>
    <w:rsid w:val="00BB5C50"/>
    <w:rsid w:val="00BB5ED5"/>
    <w:rsid w:val="00BB62DB"/>
    <w:rsid w:val="00BB62FA"/>
    <w:rsid w:val="00BB6D69"/>
    <w:rsid w:val="00BB703E"/>
    <w:rsid w:val="00BB70D4"/>
    <w:rsid w:val="00BB732D"/>
    <w:rsid w:val="00BB7405"/>
    <w:rsid w:val="00BB7759"/>
    <w:rsid w:val="00BB7F31"/>
    <w:rsid w:val="00BC06F3"/>
    <w:rsid w:val="00BC132C"/>
    <w:rsid w:val="00BC181C"/>
    <w:rsid w:val="00BC1A28"/>
    <w:rsid w:val="00BC1D3C"/>
    <w:rsid w:val="00BC22F7"/>
    <w:rsid w:val="00BC337D"/>
    <w:rsid w:val="00BC3631"/>
    <w:rsid w:val="00BC36D3"/>
    <w:rsid w:val="00BC3FC4"/>
    <w:rsid w:val="00BC4154"/>
    <w:rsid w:val="00BC41E6"/>
    <w:rsid w:val="00BC4237"/>
    <w:rsid w:val="00BC44BC"/>
    <w:rsid w:val="00BC537A"/>
    <w:rsid w:val="00BC53F4"/>
    <w:rsid w:val="00BC591F"/>
    <w:rsid w:val="00BC5E49"/>
    <w:rsid w:val="00BC619E"/>
    <w:rsid w:val="00BC63F8"/>
    <w:rsid w:val="00BC64C0"/>
    <w:rsid w:val="00BC661C"/>
    <w:rsid w:val="00BC6BD7"/>
    <w:rsid w:val="00BC7B96"/>
    <w:rsid w:val="00BC7BA0"/>
    <w:rsid w:val="00BC7D6D"/>
    <w:rsid w:val="00BC7EBC"/>
    <w:rsid w:val="00BD118F"/>
    <w:rsid w:val="00BD19D7"/>
    <w:rsid w:val="00BD1D4F"/>
    <w:rsid w:val="00BD2108"/>
    <w:rsid w:val="00BD23F6"/>
    <w:rsid w:val="00BD2844"/>
    <w:rsid w:val="00BD3941"/>
    <w:rsid w:val="00BD4066"/>
    <w:rsid w:val="00BD4CFC"/>
    <w:rsid w:val="00BD4F6B"/>
    <w:rsid w:val="00BD51C9"/>
    <w:rsid w:val="00BD561B"/>
    <w:rsid w:val="00BD56A0"/>
    <w:rsid w:val="00BD5969"/>
    <w:rsid w:val="00BD59D3"/>
    <w:rsid w:val="00BD5C04"/>
    <w:rsid w:val="00BD6695"/>
    <w:rsid w:val="00BD68A3"/>
    <w:rsid w:val="00BD6938"/>
    <w:rsid w:val="00BD6CF3"/>
    <w:rsid w:val="00BD701E"/>
    <w:rsid w:val="00BD7404"/>
    <w:rsid w:val="00BD7D7B"/>
    <w:rsid w:val="00BD7E76"/>
    <w:rsid w:val="00BD7EB4"/>
    <w:rsid w:val="00BD7F72"/>
    <w:rsid w:val="00BE02D3"/>
    <w:rsid w:val="00BE0438"/>
    <w:rsid w:val="00BE069E"/>
    <w:rsid w:val="00BE0B02"/>
    <w:rsid w:val="00BE0BE9"/>
    <w:rsid w:val="00BE0E0E"/>
    <w:rsid w:val="00BE0ECA"/>
    <w:rsid w:val="00BE1171"/>
    <w:rsid w:val="00BE1445"/>
    <w:rsid w:val="00BE1776"/>
    <w:rsid w:val="00BE1F60"/>
    <w:rsid w:val="00BE2180"/>
    <w:rsid w:val="00BE21F2"/>
    <w:rsid w:val="00BE240C"/>
    <w:rsid w:val="00BE261B"/>
    <w:rsid w:val="00BE34AC"/>
    <w:rsid w:val="00BE3729"/>
    <w:rsid w:val="00BE3C0D"/>
    <w:rsid w:val="00BE3D26"/>
    <w:rsid w:val="00BE3F58"/>
    <w:rsid w:val="00BE4124"/>
    <w:rsid w:val="00BE41E7"/>
    <w:rsid w:val="00BE4275"/>
    <w:rsid w:val="00BE6D8B"/>
    <w:rsid w:val="00BE6E90"/>
    <w:rsid w:val="00BE7208"/>
    <w:rsid w:val="00BE7B57"/>
    <w:rsid w:val="00BF06AE"/>
    <w:rsid w:val="00BF0A28"/>
    <w:rsid w:val="00BF0F95"/>
    <w:rsid w:val="00BF115E"/>
    <w:rsid w:val="00BF1FA1"/>
    <w:rsid w:val="00BF2044"/>
    <w:rsid w:val="00BF2420"/>
    <w:rsid w:val="00BF2433"/>
    <w:rsid w:val="00BF26D0"/>
    <w:rsid w:val="00BF29F0"/>
    <w:rsid w:val="00BF2E6E"/>
    <w:rsid w:val="00BF3165"/>
    <w:rsid w:val="00BF3204"/>
    <w:rsid w:val="00BF3794"/>
    <w:rsid w:val="00BF386B"/>
    <w:rsid w:val="00BF3CA8"/>
    <w:rsid w:val="00BF3D9F"/>
    <w:rsid w:val="00BF4403"/>
    <w:rsid w:val="00BF469F"/>
    <w:rsid w:val="00BF5857"/>
    <w:rsid w:val="00BF5A0B"/>
    <w:rsid w:val="00BF61C9"/>
    <w:rsid w:val="00BF6316"/>
    <w:rsid w:val="00BF64E7"/>
    <w:rsid w:val="00BF6901"/>
    <w:rsid w:val="00BF6C08"/>
    <w:rsid w:val="00BF6C94"/>
    <w:rsid w:val="00BF781E"/>
    <w:rsid w:val="00BF7ABE"/>
    <w:rsid w:val="00C00424"/>
    <w:rsid w:val="00C006F7"/>
    <w:rsid w:val="00C00AF2"/>
    <w:rsid w:val="00C00BB0"/>
    <w:rsid w:val="00C01D9B"/>
    <w:rsid w:val="00C02016"/>
    <w:rsid w:val="00C02148"/>
    <w:rsid w:val="00C024B0"/>
    <w:rsid w:val="00C03207"/>
    <w:rsid w:val="00C032EB"/>
    <w:rsid w:val="00C03441"/>
    <w:rsid w:val="00C0395C"/>
    <w:rsid w:val="00C03BEA"/>
    <w:rsid w:val="00C04663"/>
    <w:rsid w:val="00C04998"/>
    <w:rsid w:val="00C04B9E"/>
    <w:rsid w:val="00C0521A"/>
    <w:rsid w:val="00C0679F"/>
    <w:rsid w:val="00C06F9F"/>
    <w:rsid w:val="00C07192"/>
    <w:rsid w:val="00C071FE"/>
    <w:rsid w:val="00C07B65"/>
    <w:rsid w:val="00C07F4C"/>
    <w:rsid w:val="00C10066"/>
    <w:rsid w:val="00C102FC"/>
    <w:rsid w:val="00C10AEC"/>
    <w:rsid w:val="00C10B94"/>
    <w:rsid w:val="00C10C5C"/>
    <w:rsid w:val="00C10E2C"/>
    <w:rsid w:val="00C10E5E"/>
    <w:rsid w:val="00C1179F"/>
    <w:rsid w:val="00C11FBA"/>
    <w:rsid w:val="00C11FD2"/>
    <w:rsid w:val="00C121A3"/>
    <w:rsid w:val="00C12649"/>
    <w:rsid w:val="00C12770"/>
    <w:rsid w:val="00C127B9"/>
    <w:rsid w:val="00C128FA"/>
    <w:rsid w:val="00C12C14"/>
    <w:rsid w:val="00C1343A"/>
    <w:rsid w:val="00C142D2"/>
    <w:rsid w:val="00C1449A"/>
    <w:rsid w:val="00C1452F"/>
    <w:rsid w:val="00C145DB"/>
    <w:rsid w:val="00C14838"/>
    <w:rsid w:val="00C14BAF"/>
    <w:rsid w:val="00C1553D"/>
    <w:rsid w:val="00C15A2A"/>
    <w:rsid w:val="00C15F04"/>
    <w:rsid w:val="00C167DB"/>
    <w:rsid w:val="00C171FB"/>
    <w:rsid w:val="00C179B3"/>
    <w:rsid w:val="00C17CBF"/>
    <w:rsid w:val="00C17DA5"/>
    <w:rsid w:val="00C17E3F"/>
    <w:rsid w:val="00C200AA"/>
    <w:rsid w:val="00C200DD"/>
    <w:rsid w:val="00C20396"/>
    <w:rsid w:val="00C20898"/>
    <w:rsid w:val="00C20A2D"/>
    <w:rsid w:val="00C20BE4"/>
    <w:rsid w:val="00C20C1C"/>
    <w:rsid w:val="00C20C98"/>
    <w:rsid w:val="00C210E2"/>
    <w:rsid w:val="00C213F0"/>
    <w:rsid w:val="00C21410"/>
    <w:rsid w:val="00C21452"/>
    <w:rsid w:val="00C21726"/>
    <w:rsid w:val="00C21DA7"/>
    <w:rsid w:val="00C220B1"/>
    <w:rsid w:val="00C226CF"/>
    <w:rsid w:val="00C22819"/>
    <w:rsid w:val="00C2305A"/>
    <w:rsid w:val="00C237ED"/>
    <w:rsid w:val="00C23C87"/>
    <w:rsid w:val="00C23E7B"/>
    <w:rsid w:val="00C23EFF"/>
    <w:rsid w:val="00C24632"/>
    <w:rsid w:val="00C2509D"/>
    <w:rsid w:val="00C25418"/>
    <w:rsid w:val="00C25532"/>
    <w:rsid w:val="00C25706"/>
    <w:rsid w:val="00C25ABD"/>
    <w:rsid w:val="00C25C3D"/>
    <w:rsid w:val="00C25D9C"/>
    <w:rsid w:val="00C265CD"/>
    <w:rsid w:val="00C26628"/>
    <w:rsid w:val="00C26CC4"/>
    <w:rsid w:val="00C27280"/>
    <w:rsid w:val="00C273A1"/>
    <w:rsid w:val="00C275C3"/>
    <w:rsid w:val="00C275FD"/>
    <w:rsid w:val="00C2778B"/>
    <w:rsid w:val="00C303F4"/>
    <w:rsid w:val="00C31649"/>
    <w:rsid w:val="00C31BA5"/>
    <w:rsid w:val="00C32380"/>
    <w:rsid w:val="00C32498"/>
    <w:rsid w:val="00C32547"/>
    <w:rsid w:val="00C327C1"/>
    <w:rsid w:val="00C33468"/>
    <w:rsid w:val="00C3348C"/>
    <w:rsid w:val="00C33A66"/>
    <w:rsid w:val="00C3432C"/>
    <w:rsid w:val="00C3434C"/>
    <w:rsid w:val="00C34940"/>
    <w:rsid w:val="00C35222"/>
    <w:rsid w:val="00C35310"/>
    <w:rsid w:val="00C357C3"/>
    <w:rsid w:val="00C35DD0"/>
    <w:rsid w:val="00C360BA"/>
    <w:rsid w:val="00C362B6"/>
    <w:rsid w:val="00C3684D"/>
    <w:rsid w:val="00C3725A"/>
    <w:rsid w:val="00C37403"/>
    <w:rsid w:val="00C37533"/>
    <w:rsid w:val="00C37A79"/>
    <w:rsid w:val="00C401E5"/>
    <w:rsid w:val="00C40385"/>
    <w:rsid w:val="00C41768"/>
    <w:rsid w:val="00C41B0B"/>
    <w:rsid w:val="00C4284B"/>
    <w:rsid w:val="00C42A96"/>
    <w:rsid w:val="00C431A9"/>
    <w:rsid w:val="00C43256"/>
    <w:rsid w:val="00C436B4"/>
    <w:rsid w:val="00C43E2C"/>
    <w:rsid w:val="00C441C7"/>
    <w:rsid w:val="00C44DE6"/>
    <w:rsid w:val="00C456BB"/>
    <w:rsid w:val="00C46171"/>
    <w:rsid w:val="00C475AA"/>
    <w:rsid w:val="00C47E46"/>
    <w:rsid w:val="00C47F80"/>
    <w:rsid w:val="00C502EA"/>
    <w:rsid w:val="00C50AFD"/>
    <w:rsid w:val="00C51346"/>
    <w:rsid w:val="00C52159"/>
    <w:rsid w:val="00C526A7"/>
    <w:rsid w:val="00C527C7"/>
    <w:rsid w:val="00C52B0D"/>
    <w:rsid w:val="00C53689"/>
    <w:rsid w:val="00C53C98"/>
    <w:rsid w:val="00C53D94"/>
    <w:rsid w:val="00C54035"/>
    <w:rsid w:val="00C54964"/>
    <w:rsid w:val="00C549F3"/>
    <w:rsid w:val="00C5517E"/>
    <w:rsid w:val="00C55564"/>
    <w:rsid w:val="00C5558F"/>
    <w:rsid w:val="00C55E92"/>
    <w:rsid w:val="00C5604D"/>
    <w:rsid w:val="00C56376"/>
    <w:rsid w:val="00C567A6"/>
    <w:rsid w:val="00C56FCF"/>
    <w:rsid w:val="00C571F0"/>
    <w:rsid w:val="00C5798E"/>
    <w:rsid w:val="00C57B6C"/>
    <w:rsid w:val="00C57F89"/>
    <w:rsid w:val="00C60029"/>
    <w:rsid w:val="00C60428"/>
    <w:rsid w:val="00C60F95"/>
    <w:rsid w:val="00C61124"/>
    <w:rsid w:val="00C61A59"/>
    <w:rsid w:val="00C6271E"/>
    <w:rsid w:val="00C62759"/>
    <w:rsid w:val="00C628A6"/>
    <w:rsid w:val="00C62E90"/>
    <w:rsid w:val="00C6331F"/>
    <w:rsid w:val="00C6335B"/>
    <w:rsid w:val="00C633CF"/>
    <w:rsid w:val="00C63917"/>
    <w:rsid w:val="00C63948"/>
    <w:rsid w:val="00C63A8E"/>
    <w:rsid w:val="00C63AA7"/>
    <w:rsid w:val="00C64344"/>
    <w:rsid w:val="00C64426"/>
    <w:rsid w:val="00C64A9C"/>
    <w:rsid w:val="00C64FCA"/>
    <w:rsid w:val="00C65108"/>
    <w:rsid w:val="00C65576"/>
    <w:rsid w:val="00C65C87"/>
    <w:rsid w:val="00C65E54"/>
    <w:rsid w:val="00C66165"/>
    <w:rsid w:val="00C666EB"/>
    <w:rsid w:val="00C66849"/>
    <w:rsid w:val="00C674C5"/>
    <w:rsid w:val="00C67EE2"/>
    <w:rsid w:val="00C67FF9"/>
    <w:rsid w:val="00C7032B"/>
    <w:rsid w:val="00C7060A"/>
    <w:rsid w:val="00C70943"/>
    <w:rsid w:val="00C70E0D"/>
    <w:rsid w:val="00C70ED8"/>
    <w:rsid w:val="00C7151A"/>
    <w:rsid w:val="00C717E3"/>
    <w:rsid w:val="00C71862"/>
    <w:rsid w:val="00C71F60"/>
    <w:rsid w:val="00C72241"/>
    <w:rsid w:val="00C7230B"/>
    <w:rsid w:val="00C7297A"/>
    <w:rsid w:val="00C72A41"/>
    <w:rsid w:val="00C72CCE"/>
    <w:rsid w:val="00C734CC"/>
    <w:rsid w:val="00C73637"/>
    <w:rsid w:val="00C74280"/>
    <w:rsid w:val="00C74321"/>
    <w:rsid w:val="00C7448B"/>
    <w:rsid w:val="00C749C4"/>
    <w:rsid w:val="00C74BF7"/>
    <w:rsid w:val="00C74C8D"/>
    <w:rsid w:val="00C750C8"/>
    <w:rsid w:val="00C7560F"/>
    <w:rsid w:val="00C762FB"/>
    <w:rsid w:val="00C76322"/>
    <w:rsid w:val="00C770AF"/>
    <w:rsid w:val="00C7784A"/>
    <w:rsid w:val="00C77A2C"/>
    <w:rsid w:val="00C80A0E"/>
    <w:rsid w:val="00C8148C"/>
    <w:rsid w:val="00C8152B"/>
    <w:rsid w:val="00C81A82"/>
    <w:rsid w:val="00C81ED3"/>
    <w:rsid w:val="00C8213F"/>
    <w:rsid w:val="00C8230F"/>
    <w:rsid w:val="00C827CE"/>
    <w:rsid w:val="00C82884"/>
    <w:rsid w:val="00C83009"/>
    <w:rsid w:val="00C8303F"/>
    <w:rsid w:val="00C832A8"/>
    <w:rsid w:val="00C8353F"/>
    <w:rsid w:val="00C83790"/>
    <w:rsid w:val="00C8408E"/>
    <w:rsid w:val="00C8472F"/>
    <w:rsid w:val="00C85154"/>
    <w:rsid w:val="00C85A70"/>
    <w:rsid w:val="00C85EF3"/>
    <w:rsid w:val="00C86008"/>
    <w:rsid w:val="00C86972"/>
    <w:rsid w:val="00C86C67"/>
    <w:rsid w:val="00C8709A"/>
    <w:rsid w:val="00C8797A"/>
    <w:rsid w:val="00C900B8"/>
    <w:rsid w:val="00C90197"/>
    <w:rsid w:val="00C902E8"/>
    <w:rsid w:val="00C90C43"/>
    <w:rsid w:val="00C90C71"/>
    <w:rsid w:val="00C916A1"/>
    <w:rsid w:val="00C91D11"/>
    <w:rsid w:val="00C91FD1"/>
    <w:rsid w:val="00C921E8"/>
    <w:rsid w:val="00C92669"/>
    <w:rsid w:val="00C92B3B"/>
    <w:rsid w:val="00C930D5"/>
    <w:rsid w:val="00C931CF"/>
    <w:rsid w:val="00C934F9"/>
    <w:rsid w:val="00C93575"/>
    <w:rsid w:val="00C93803"/>
    <w:rsid w:val="00C938CF"/>
    <w:rsid w:val="00C93BEE"/>
    <w:rsid w:val="00C94053"/>
    <w:rsid w:val="00C95253"/>
    <w:rsid w:val="00C9532D"/>
    <w:rsid w:val="00C953E0"/>
    <w:rsid w:val="00C95538"/>
    <w:rsid w:val="00C958EA"/>
    <w:rsid w:val="00C95C11"/>
    <w:rsid w:val="00C9624D"/>
    <w:rsid w:val="00C9668A"/>
    <w:rsid w:val="00C969DA"/>
    <w:rsid w:val="00C970AE"/>
    <w:rsid w:val="00C97296"/>
    <w:rsid w:val="00CA0917"/>
    <w:rsid w:val="00CA0E83"/>
    <w:rsid w:val="00CA1148"/>
    <w:rsid w:val="00CA1664"/>
    <w:rsid w:val="00CA1AE1"/>
    <w:rsid w:val="00CA1AEE"/>
    <w:rsid w:val="00CA1D18"/>
    <w:rsid w:val="00CA2632"/>
    <w:rsid w:val="00CA2C77"/>
    <w:rsid w:val="00CA30A4"/>
    <w:rsid w:val="00CA3CEF"/>
    <w:rsid w:val="00CA3FEB"/>
    <w:rsid w:val="00CA444F"/>
    <w:rsid w:val="00CA4485"/>
    <w:rsid w:val="00CA4D4C"/>
    <w:rsid w:val="00CA50B5"/>
    <w:rsid w:val="00CA5207"/>
    <w:rsid w:val="00CA5245"/>
    <w:rsid w:val="00CA6A32"/>
    <w:rsid w:val="00CA6D1E"/>
    <w:rsid w:val="00CA6E66"/>
    <w:rsid w:val="00CA71F4"/>
    <w:rsid w:val="00CA7373"/>
    <w:rsid w:val="00CA7B09"/>
    <w:rsid w:val="00CB0048"/>
    <w:rsid w:val="00CB0431"/>
    <w:rsid w:val="00CB0609"/>
    <w:rsid w:val="00CB0637"/>
    <w:rsid w:val="00CB0CDE"/>
    <w:rsid w:val="00CB12A5"/>
    <w:rsid w:val="00CB1CAC"/>
    <w:rsid w:val="00CB1FCD"/>
    <w:rsid w:val="00CB222B"/>
    <w:rsid w:val="00CB2282"/>
    <w:rsid w:val="00CB253B"/>
    <w:rsid w:val="00CB27F3"/>
    <w:rsid w:val="00CB286D"/>
    <w:rsid w:val="00CB2F2A"/>
    <w:rsid w:val="00CB32E5"/>
    <w:rsid w:val="00CB37F9"/>
    <w:rsid w:val="00CB3AF8"/>
    <w:rsid w:val="00CB3CEF"/>
    <w:rsid w:val="00CB45CC"/>
    <w:rsid w:val="00CB461B"/>
    <w:rsid w:val="00CB4881"/>
    <w:rsid w:val="00CB4B37"/>
    <w:rsid w:val="00CB4EAB"/>
    <w:rsid w:val="00CB51F2"/>
    <w:rsid w:val="00CB5535"/>
    <w:rsid w:val="00CB56E1"/>
    <w:rsid w:val="00CB5B1A"/>
    <w:rsid w:val="00CB6066"/>
    <w:rsid w:val="00CB6B22"/>
    <w:rsid w:val="00CB6DA3"/>
    <w:rsid w:val="00CB6EBC"/>
    <w:rsid w:val="00CB7497"/>
    <w:rsid w:val="00CB7569"/>
    <w:rsid w:val="00CB7BDD"/>
    <w:rsid w:val="00CB7F5F"/>
    <w:rsid w:val="00CC137F"/>
    <w:rsid w:val="00CC1B39"/>
    <w:rsid w:val="00CC1BEB"/>
    <w:rsid w:val="00CC1BFA"/>
    <w:rsid w:val="00CC2627"/>
    <w:rsid w:val="00CC2E71"/>
    <w:rsid w:val="00CC2E9F"/>
    <w:rsid w:val="00CC2F34"/>
    <w:rsid w:val="00CC35EA"/>
    <w:rsid w:val="00CC3795"/>
    <w:rsid w:val="00CC3848"/>
    <w:rsid w:val="00CC3FC0"/>
    <w:rsid w:val="00CC4D3A"/>
    <w:rsid w:val="00CC4F28"/>
    <w:rsid w:val="00CC5110"/>
    <w:rsid w:val="00CC6228"/>
    <w:rsid w:val="00CC6BDD"/>
    <w:rsid w:val="00CC6D5E"/>
    <w:rsid w:val="00CC76F3"/>
    <w:rsid w:val="00CC7D61"/>
    <w:rsid w:val="00CD0200"/>
    <w:rsid w:val="00CD0DC6"/>
    <w:rsid w:val="00CD0FF5"/>
    <w:rsid w:val="00CD1016"/>
    <w:rsid w:val="00CD198F"/>
    <w:rsid w:val="00CD2700"/>
    <w:rsid w:val="00CD2819"/>
    <w:rsid w:val="00CD29C9"/>
    <w:rsid w:val="00CD2E06"/>
    <w:rsid w:val="00CD348A"/>
    <w:rsid w:val="00CD3584"/>
    <w:rsid w:val="00CD37BE"/>
    <w:rsid w:val="00CD392F"/>
    <w:rsid w:val="00CD3C42"/>
    <w:rsid w:val="00CD3CEE"/>
    <w:rsid w:val="00CD3F77"/>
    <w:rsid w:val="00CD43DB"/>
    <w:rsid w:val="00CD443B"/>
    <w:rsid w:val="00CD45BB"/>
    <w:rsid w:val="00CD4C7C"/>
    <w:rsid w:val="00CD5D35"/>
    <w:rsid w:val="00CD5DC7"/>
    <w:rsid w:val="00CD6ADC"/>
    <w:rsid w:val="00CD6C74"/>
    <w:rsid w:val="00CD7193"/>
    <w:rsid w:val="00CD7617"/>
    <w:rsid w:val="00CD7E95"/>
    <w:rsid w:val="00CE0293"/>
    <w:rsid w:val="00CE0E0E"/>
    <w:rsid w:val="00CE19E2"/>
    <w:rsid w:val="00CE2215"/>
    <w:rsid w:val="00CE38C8"/>
    <w:rsid w:val="00CE3D26"/>
    <w:rsid w:val="00CE4A20"/>
    <w:rsid w:val="00CE4C7A"/>
    <w:rsid w:val="00CE50BF"/>
    <w:rsid w:val="00CE524F"/>
    <w:rsid w:val="00CE52CC"/>
    <w:rsid w:val="00CE572C"/>
    <w:rsid w:val="00CE58CC"/>
    <w:rsid w:val="00CE6274"/>
    <w:rsid w:val="00CE6B13"/>
    <w:rsid w:val="00CE6DE3"/>
    <w:rsid w:val="00CE77B6"/>
    <w:rsid w:val="00CE7DD1"/>
    <w:rsid w:val="00CE7F42"/>
    <w:rsid w:val="00CF0BC4"/>
    <w:rsid w:val="00CF0F6E"/>
    <w:rsid w:val="00CF1237"/>
    <w:rsid w:val="00CF1F11"/>
    <w:rsid w:val="00CF2072"/>
    <w:rsid w:val="00CF2075"/>
    <w:rsid w:val="00CF2B8D"/>
    <w:rsid w:val="00CF3A1B"/>
    <w:rsid w:val="00CF3AE6"/>
    <w:rsid w:val="00CF4138"/>
    <w:rsid w:val="00CF456B"/>
    <w:rsid w:val="00CF5991"/>
    <w:rsid w:val="00CF5A22"/>
    <w:rsid w:val="00CF69D9"/>
    <w:rsid w:val="00CF6A72"/>
    <w:rsid w:val="00CF6D60"/>
    <w:rsid w:val="00CF75A8"/>
    <w:rsid w:val="00CF75F6"/>
    <w:rsid w:val="00D00365"/>
    <w:rsid w:val="00D0051B"/>
    <w:rsid w:val="00D00588"/>
    <w:rsid w:val="00D006C8"/>
    <w:rsid w:val="00D009E7"/>
    <w:rsid w:val="00D00F54"/>
    <w:rsid w:val="00D013E9"/>
    <w:rsid w:val="00D01A39"/>
    <w:rsid w:val="00D01D80"/>
    <w:rsid w:val="00D0225F"/>
    <w:rsid w:val="00D0262E"/>
    <w:rsid w:val="00D02AEA"/>
    <w:rsid w:val="00D0349D"/>
    <w:rsid w:val="00D03679"/>
    <w:rsid w:val="00D036B5"/>
    <w:rsid w:val="00D03DE1"/>
    <w:rsid w:val="00D04397"/>
    <w:rsid w:val="00D045C3"/>
    <w:rsid w:val="00D0486E"/>
    <w:rsid w:val="00D0497B"/>
    <w:rsid w:val="00D05408"/>
    <w:rsid w:val="00D055B6"/>
    <w:rsid w:val="00D056BB"/>
    <w:rsid w:val="00D05852"/>
    <w:rsid w:val="00D05927"/>
    <w:rsid w:val="00D05C29"/>
    <w:rsid w:val="00D05E3D"/>
    <w:rsid w:val="00D06139"/>
    <w:rsid w:val="00D0677D"/>
    <w:rsid w:val="00D06A83"/>
    <w:rsid w:val="00D070F3"/>
    <w:rsid w:val="00D076FE"/>
    <w:rsid w:val="00D108EA"/>
    <w:rsid w:val="00D10B12"/>
    <w:rsid w:val="00D10CBA"/>
    <w:rsid w:val="00D110BD"/>
    <w:rsid w:val="00D113ED"/>
    <w:rsid w:val="00D1190C"/>
    <w:rsid w:val="00D124DE"/>
    <w:rsid w:val="00D127B0"/>
    <w:rsid w:val="00D12AF2"/>
    <w:rsid w:val="00D1341D"/>
    <w:rsid w:val="00D13675"/>
    <w:rsid w:val="00D137AB"/>
    <w:rsid w:val="00D13F70"/>
    <w:rsid w:val="00D1408C"/>
    <w:rsid w:val="00D141E1"/>
    <w:rsid w:val="00D1434F"/>
    <w:rsid w:val="00D15314"/>
    <w:rsid w:val="00D15372"/>
    <w:rsid w:val="00D1589E"/>
    <w:rsid w:val="00D15B48"/>
    <w:rsid w:val="00D163C7"/>
    <w:rsid w:val="00D16CDC"/>
    <w:rsid w:val="00D16D88"/>
    <w:rsid w:val="00D17D6C"/>
    <w:rsid w:val="00D17D9C"/>
    <w:rsid w:val="00D2019C"/>
    <w:rsid w:val="00D20260"/>
    <w:rsid w:val="00D20F8A"/>
    <w:rsid w:val="00D21359"/>
    <w:rsid w:val="00D2155B"/>
    <w:rsid w:val="00D21937"/>
    <w:rsid w:val="00D21B61"/>
    <w:rsid w:val="00D2223F"/>
    <w:rsid w:val="00D2291A"/>
    <w:rsid w:val="00D22D0B"/>
    <w:rsid w:val="00D23D08"/>
    <w:rsid w:val="00D23D11"/>
    <w:rsid w:val="00D23E27"/>
    <w:rsid w:val="00D24354"/>
    <w:rsid w:val="00D244B6"/>
    <w:rsid w:val="00D24835"/>
    <w:rsid w:val="00D2496F"/>
    <w:rsid w:val="00D24A67"/>
    <w:rsid w:val="00D25727"/>
    <w:rsid w:val="00D2590A"/>
    <w:rsid w:val="00D2662A"/>
    <w:rsid w:val="00D26A78"/>
    <w:rsid w:val="00D272E8"/>
    <w:rsid w:val="00D27328"/>
    <w:rsid w:val="00D2734E"/>
    <w:rsid w:val="00D2754D"/>
    <w:rsid w:val="00D27B27"/>
    <w:rsid w:val="00D3033E"/>
    <w:rsid w:val="00D304F0"/>
    <w:rsid w:val="00D30A43"/>
    <w:rsid w:val="00D30D52"/>
    <w:rsid w:val="00D30D5B"/>
    <w:rsid w:val="00D30FDB"/>
    <w:rsid w:val="00D313DA"/>
    <w:rsid w:val="00D31431"/>
    <w:rsid w:val="00D31C62"/>
    <w:rsid w:val="00D31C79"/>
    <w:rsid w:val="00D31E77"/>
    <w:rsid w:val="00D32BC7"/>
    <w:rsid w:val="00D33073"/>
    <w:rsid w:val="00D33BE9"/>
    <w:rsid w:val="00D33F93"/>
    <w:rsid w:val="00D343AE"/>
    <w:rsid w:val="00D3454F"/>
    <w:rsid w:val="00D34DAA"/>
    <w:rsid w:val="00D35381"/>
    <w:rsid w:val="00D354D4"/>
    <w:rsid w:val="00D357FF"/>
    <w:rsid w:val="00D3647E"/>
    <w:rsid w:val="00D364CA"/>
    <w:rsid w:val="00D3653D"/>
    <w:rsid w:val="00D36DE6"/>
    <w:rsid w:val="00D3748C"/>
    <w:rsid w:val="00D375FE"/>
    <w:rsid w:val="00D37C8C"/>
    <w:rsid w:val="00D4017D"/>
    <w:rsid w:val="00D40280"/>
    <w:rsid w:val="00D40962"/>
    <w:rsid w:val="00D40C46"/>
    <w:rsid w:val="00D40EE8"/>
    <w:rsid w:val="00D424C7"/>
    <w:rsid w:val="00D42AF6"/>
    <w:rsid w:val="00D42F98"/>
    <w:rsid w:val="00D43B2A"/>
    <w:rsid w:val="00D43CF1"/>
    <w:rsid w:val="00D43D83"/>
    <w:rsid w:val="00D44169"/>
    <w:rsid w:val="00D444D9"/>
    <w:rsid w:val="00D4543B"/>
    <w:rsid w:val="00D458E2"/>
    <w:rsid w:val="00D45D40"/>
    <w:rsid w:val="00D463A7"/>
    <w:rsid w:val="00D46BE0"/>
    <w:rsid w:val="00D47575"/>
    <w:rsid w:val="00D506AC"/>
    <w:rsid w:val="00D50A9D"/>
    <w:rsid w:val="00D50B3A"/>
    <w:rsid w:val="00D515C9"/>
    <w:rsid w:val="00D516A4"/>
    <w:rsid w:val="00D51712"/>
    <w:rsid w:val="00D51732"/>
    <w:rsid w:val="00D51D95"/>
    <w:rsid w:val="00D5225C"/>
    <w:rsid w:val="00D5243B"/>
    <w:rsid w:val="00D52544"/>
    <w:rsid w:val="00D5257C"/>
    <w:rsid w:val="00D52CE7"/>
    <w:rsid w:val="00D52FB4"/>
    <w:rsid w:val="00D5321D"/>
    <w:rsid w:val="00D533EC"/>
    <w:rsid w:val="00D540ED"/>
    <w:rsid w:val="00D542E4"/>
    <w:rsid w:val="00D54E22"/>
    <w:rsid w:val="00D54FC8"/>
    <w:rsid w:val="00D55C04"/>
    <w:rsid w:val="00D5630F"/>
    <w:rsid w:val="00D563A5"/>
    <w:rsid w:val="00D56A95"/>
    <w:rsid w:val="00D56D59"/>
    <w:rsid w:val="00D57BFA"/>
    <w:rsid w:val="00D60316"/>
    <w:rsid w:val="00D603A9"/>
    <w:rsid w:val="00D6076E"/>
    <w:rsid w:val="00D60C8E"/>
    <w:rsid w:val="00D60DE0"/>
    <w:rsid w:val="00D60F6A"/>
    <w:rsid w:val="00D61098"/>
    <w:rsid w:val="00D611F8"/>
    <w:rsid w:val="00D615EA"/>
    <w:rsid w:val="00D6206A"/>
    <w:rsid w:val="00D624EA"/>
    <w:rsid w:val="00D62648"/>
    <w:rsid w:val="00D6296C"/>
    <w:rsid w:val="00D6357A"/>
    <w:rsid w:val="00D6454B"/>
    <w:rsid w:val="00D65956"/>
    <w:rsid w:val="00D659CD"/>
    <w:rsid w:val="00D66843"/>
    <w:rsid w:val="00D66E0E"/>
    <w:rsid w:val="00D67438"/>
    <w:rsid w:val="00D67848"/>
    <w:rsid w:val="00D7007A"/>
    <w:rsid w:val="00D7041C"/>
    <w:rsid w:val="00D70A8C"/>
    <w:rsid w:val="00D70CAA"/>
    <w:rsid w:val="00D70EB8"/>
    <w:rsid w:val="00D70F16"/>
    <w:rsid w:val="00D7121A"/>
    <w:rsid w:val="00D7129B"/>
    <w:rsid w:val="00D71611"/>
    <w:rsid w:val="00D71D43"/>
    <w:rsid w:val="00D71DC6"/>
    <w:rsid w:val="00D71E19"/>
    <w:rsid w:val="00D71FFB"/>
    <w:rsid w:val="00D72116"/>
    <w:rsid w:val="00D72617"/>
    <w:rsid w:val="00D72F57"/>
    <w:rsid w:val="00D734CC"/>
    <w:rsid w:val="00D73E4A"/>
    <w:rsid w:val="00D741B3"/>
    <w:rsid w:val="00D74530"/>
    <w:rsid w:val="00D745FD"/>
    <w:rsid w:val="00D748BC"/>
    <w:rsid w:val="00D74CD8"/>
    <w:rsid w:val="00D757BE"/>
    <w:rsid w:val="00D75B9A"/>
    <w:rsid w:val="00D762A5"/>
    <w:rsid w:val="00D76381"/>
    <w:rsid w:val="00D76603"/>
    <w:rsid w:val="00D76A44"/>
    <w:rsid w:val="00D774B4"/>
    <w:rsid w:val="00D77629"/>
    <w:rsid w:val="00D77B2C"/>
    <w:rsid w:val="00D77DDF"/>
    <w:rsid w:val="00D80385"/>
    <w:rsid w:val="00D806CA"/>
    <w:rsid w:val="00D80B85"/>
    <w:rsid w:val="00D80DB5"/>
    <w:rsid w:val="00D81128"/>
    <w:rsid w:val="00D815EF"/>
    <w:rsid w:val="00D81949"/>
    <w:rsid w:val="00D81F26"/>
    <w:rsid w:val="00D822E0"/>
    <w:rsid w:val="00D822E2"/>
    <w:rsid w:val="00D82B9E"/>
    <w:rsid w:val="00D82C96"/>
    <w:rsid w:val="00D82EFF"/>
    <w:rsid w:val="00D83164"/>
    <w:rsid w:val="00D8346F"/>
    <w:rsid w:val="00D83B7D"/>
    <w:rsid w:val="00D843F2"/>
    <w:rsid w:val="00D844C7"/>
    <w:rsid w:val="00D8469E"/>
    <w:rsid w:val="00D85627"/>
    <w:rsid w:val="00D85A87"/>
    <w:rsid w:val="00D85C4E"/>
    <w:rsid w:val="00D85E08"/>
    <w:rsid w:val="00D86231"/>
    <w:rsid w:val="00D866D4"/>
    <w:rsid w:val="00D9055F"/>
    <w:rsid w:val="00D910CC"/>
    <w:rsid w:val="00D912AB"/>
    <w:rsid w:val="00D91598"/>
    <w:rsid w:val="00D91650"/>
    <w:rsid w:val="00D918DB"/>
    <w:rsid w:val="00D91923"/>
    <w:rsid w:val="00D927D6"/>
    <w:rsid w:val="00D92D2D"/>
    <w:rsid w:val="00D9304A"/>
    <w:rsid w:val="00D93570"/>
    <w:rsid w:val="00D93638"/>
    <w:rsid w:val="00D93753"/>
    <w:rsid w:val="00D93ED4"/>
    <w:rsid w:val="00D95D95"/>
    <w:rsid w:val="00D9600E"/>
    <w:rsid w:val="00DA0365"/>
    <w:rsid w:val="00DA07FA"/>
    <w:rsid w:val="00DA08CA"/>
    <w:rsid w:val="00DA0E07"/>
    <w:rsid w:val="00DA19C0"/>
    <w:rsid w:val="00DA1C14"/>
    <w:rsid w:val="00DA20B3"/>
    <w:rsid w:val="00DA246D"/>
    <w:rsid w:val="00DA2801"/>
    <w:rsid w:val="00DA3167"/>
    <w:rsid w:val="00DA3EE1"/>
    <w:rsid w:val="00DA3FCF"/>
    <w:rsid w:val="00DA4DC3"/>
    <w:rsid w:val="00DA50DB"/>
    <w:rsid w:val="00DA52E0"/>
    <w:rsid w:val="00DA5903"/>
    <w:rsid w:val="00DA5A22"/>
    <w:rsid w:val="00DA5C9A"/>
    <w:rsid w:val="00DA6620"/>
    <w:rsid w:val="00DA6843"/>
    <w:rsid w:val="00DA6998"/>
    <w:rsid w:val="00DA6BA0"/>
    <w:rsid w:val="00DA6C10"/>
    <w:rsid w:val="00DA6D73"/>
    <w:rsid w:val="00DA719C"/>
    <w:rsid w:val="00DA728D"/>
    <w:rsid w:val="00DA77A5"/>
    <w:rsid w:val="00DA7876"/>
    <w:rsid w:val="00DA7EDD"/>
    <w:rsid w:val="00DB036B"/>
    <w:rsid w:val="00DB05CC"/>
    <w:rsid w:val="00DB07BB"/>
    <w:rsid w:val="00DB0B09"/>
    <w:rsid w:val="00DB0E36"/>
    <w:rsid w:val="00DB0FB4"/>
    <w:rsid w:val="00DB1323"/>
    <w:rsid w:val="00DB1635"/>
    <w:rsid w:val="00DB197F"/>
    <w:rsid w:val="00DB232F"/>
    <w:rsid w:val="00DB2636"/>
    <w:rsid w:val="00DB2D3E"/>
    <w:rsid w:val="00DB3557"/>
    <w:rsid w:val="00DB3764"/>
    <w:rsid w:val="00DB3C93"/>
    <w:rsid w:val="00DB3DBF"/>
    <w:rsid w:val="00DB3FEF"/>
    <w:rsid w:val="00DB484A"/>
    <w:rsid w:val="00DB484F"/>
    <w:rsid w:val="00DB4D7D"/>
    <w:rsid w:val="00DB5E71"/>
    <w:rsid w:val="00DB6438"/>
    <w:rsid w:val="00DB7073"/>
    <w:rsid w:val="00DB7664"/>
    <w:rsid w:val="00DB7973"/>
    <w:rsid w:val="00DC030B"/>
    <w:rsid w:val="00DC03C6"/>
    <w:rsid w:val="00DC04F6"/>
    <w:rsid w:val="00DC0690"/>
    <w:rsid w:val="00DC0A83"/>
    <w:rsid w:val="00DC0B18"/>
    <w:rsid w:val="00DC0C82"/>
    <w:rsid w:val="00DC17CB"/>
    <w:rsid w:val="00DC1899"/>
    <w:rsid w:val="00DC1A8C"/>
    <w:rsid w:val="00DC1D65"/>
    <w:rsid w:val="00DC1E4B"/>
    <w:rsid w:val="00DC25F8"/>
    <w:rsid w:val="00DC2B0D"/>
    <w:rsid w:val="00DC32B6"/>
    <w:rsid w:val="00DC3C57"/>
    <w:rsid w:val="00DC4075"/>
    <w:rsid w:val="00DC4359"/>
    <w:rsid w:val="00DC4696"/>
    <w:rsid w:val="00DC54C0"/>
    <w:rsid w:val="00DC5501"/>
    <w:rsid w:val="00DC58AD"/>
    <w:rsid w:val="00DC5C83"/>
    <w:rsid w:val="00DC5D95"/>
    <w:rsid w:val="00DC5DE4"/>
    <w:rsid w:val="00DC60AC"/>
    <w:rsid w:val="00DC6879"/>
    <w:rsid w:val="00DC68F4"/>
    <w:rsid w:val="00DC6D0F"/>
    <w:rsid w:val="00DC6F53"/>
    <w:rsid w:val="00DC7154"/>
    <w:rsid w:val="00DC7E8A"/>
    <w:rsid w:val="00DD0376"/>
    <w:rsid w:val="00DD03BB"/>
    <w:rsid w:val="00DD08BF"/>
    <w:rsid w:val="00DD09F9"/>
    <w:rsid w:val="00DD0C35"/>
    <w:rsid w:val="00DD0F78"/>
    <w:rsid w:val="00DD1BE2"/>
    <w:rsid w:val="00DD1DAD"/>
    <w:rsid w:val="00DD1DFC"/>
    <w:rsid w:val="00DD2312"/>
    <w:rsid w:val="00DD23B5"/>
    <w:rsid w:val="00DD273C"/>
    <w:rsid w:val="00DD3D44"/>
    <w:rsid w:val="00DD3F02"/>
    <w:rsid w:val="00DD3F28"/>
    <w:rsid w:val="00DD4446"/>
    <w:rsid w:val="00DD4537"/>
    <w:rsid w:val="00DD462F"/>
    <w:rsid w:val="00DD476A"/>
    <w:rsid w:val="00DD4AD7"/>
    <w:rsid w:val="00DD4AE9"/>
    <w:rsid w:val="00DD4E15"/>
    <w:rsid w:val="00DD5417"/>
    <w:rsid w:val="00DD5561"/>
    <w:rsid w:val="00DD59AC"/>
    <w:rsid w:val="00DD6094"/>
    <w:rsid w:val="00DD627C"/>
    <w:rsid w:val="00DD6F81"/>
    <w:rsid w:val="00DD6F99"/>
    <w:rsid w:val="00DD7202"/>
    <w:rsid w:val="00DD7F72"/>
    <w:rsid w:val="00DE04A8"/>
    <w:rsid w:val="00DE2304"/>
    <w:rsid w:val="00DE257B"/>
    <w:rsid w:val="00DE279E"/>
    <w:rsid w:val="00DE29A9"/>
    <w:rsid w:val="00DE3138"/>
    <w:rsid w:val="00DE33BA"/>
    <w:rsid w:val="00DE37F8"/>
    <w:rsid w:val="00DE4273"/>
    <w:rsid w:val="00DE4429"/>
    <w:rsid w:val="00DE493E"/>
    <w:rsid w:val="00DE4D18"/>
    <w:rsid w:val="00DE4FCB"/>
    <w:rsid w:val="00DE5907"/>
    <w:rsid w:val="00DE591C"/>
    <w:rsid w:val="00DE5D07"/>
    <w:rsid w:val="00DE72A7"/>
    <w:rsid w:val="00DE7832"/>
    <w:rsid w:val="00DE79DB"/>
    <w:rsid w:val="00DE7DA5"/>
    <w:rsid w:val="00DE7EB3"/>
    <w:rsid w:val="00DF0150"/>
    <w:rsid w:val="00DF055C"/>
    <w:rsid w:val="00DF05E8"/>
    <w:rsid w:val="00DF0CF5"/>
    <w:rsid w:val="00DF18FC"/>
    <w:rsid w:val="00DF1B9B"/>
    <w:rsid w:val="00DF1C53"/>
    <w:rsid w:val="00DF1CD1"/>
    <w:rsid w:val="00DF1DAC"/>
    <w:rsid w:val="00DF23AC"/>
    <w:rsid w:val="00DF2468"/>
    <w:rsid w:val="00DF25D2"/>
    <w:rsid w:val="00DF2E58"/>
    <w:rsid w:val="00DF3C9D"/>
    <w:rsid w:val="00DF47E3"/>
    <w:rsid w:val="00DF4C99"/>
    <w:rsid w:val="00DF5297"/>
    <w:rsid w:val="00DF594F"/>
    <w:rsid w:val="00DF5972"/>
    <w:rsid w:val="00DF59A0"/>
    <w:rsid w:val="00DF5D2B"/>
    <w:rsid w:val="00DF5DD2"/>
    <w:rsid w:val="00DF632A"/>
    <w:rsid w:val="00DF6341"/>
    <w:rsid w:val="00DF6578"/>
    <w:rsid w:val="00DF65C8"/>
    <w:rsid w:val="00DF67F9"/>
    <w:rsid w:val="00DF6D20"/>
    <w:rsid w:val="00DF7005"/>
    <w:rsid w:val="00DF751C"/>
    <w:rsid w:val="00E0068D"/>
    <w:rsid w:val="00E00B0D"/>
    <w:rsid w:val="00E00E8E"/>
    <w:rsid w:val="00E01579"/>
    <w:rsid w:val="00E01972"/>
    <w:rsid w:val="00E01999"/>
    <w:rsid w:val="00E01BF0"/>
    <w:rsid w:val="00E01E88"/>
    <w:rsid w:val="00E0237D"/>
    <w:rsid w:val="00E0293A"/>
    <w:rsid w:val="00E02C81"/>
    <w:rsid w:val="00E02F5F"/>
    <w:rsid w:val="00E0317A"/>
    <w:rsid w:val="00E0351F"/>
    <w:rsid w:val="00E045B3"/>
    <w:rsid w:val="00E052CA"/>
    <w:rsid w:val="00E05301"/>
    <w:rsid w:val="00E05412"/>
    <w:rsid w:val="00E055D7"/>
    <w:rsid w:val="00E05630"/>
    <w:rsid w:val="00E05CA6"/>
    <w:rsid w:val="00E060C8"/>
    <w:rsid w:val="00E067FC"/>
    <w:rsid w:val="00E06DBB"/>
    <w:rsid w:val="00E06E50"/>
    <w:rsid w:val="00E071D8"/>
    <w:rsid w:val="00E07862"/>
    <w:rsid w:val="00E07AF0"/>
    <w:rsid w:val="00E07B32"/>
    <w:rsid w:val="00E07EE3"/>
    <w:rsid w:val="00E10149"/>
    <w:rsid w:val="00E10152"/>
    <w:rsid w:val="00E102E0"/>
    <w:rsid w:val="00E10A64"/>
    <w:rsid w:val="00E10E02"/>
    <w:rsid w:val="00E11080"/>
    <w:rsid w:val="00E11340"/>
    <w:rsid w:val="00E1178D"/>
    <w:rsid w:val="00E122A1"/>
    <w:rsid w:val="00E127F7"/>
    <w:rsid w:val="00E12C5A"/>
    <w:rsid w:val="00E13074"/>
    <w:rsid w:val="00E132AC"/>
    <w:rsid w:val="00E13345"/>
    <w:rsid w:val="00E133BC"/>
    <w:rsid w:val="00E13482"/>
    <w:rsid w:val="00E13EDA"/>
    <w:rsid w:val="00E13F0E"/>
    <w:rsid w:val="00E14F46"/>
    <w:rsid w:val="00E15CC2"/>
    <w:rsid w:val="00E16372"/>
    <w:rsid w:val="00E164B1"/>
    <w:rsid w:val="00E1661B"/>
    <w:rsid w:val="00E16ACC"/>
    <w:rsid w:val="00E16AD8"/>
    <w:rsid w:val="00E16CE7"/>
    <w:rsid w:val="00E1756A"/>
    <w:rsid w:val="00E178A7"/>
    <w:rsid w:val="00E17AE6"/>
    <w:rsid w:val="00E17C95"/>
    <w:rsid w:val="00E17DA6"/>
    <w:rsid w:val="00E17FFA"/>
    <w:rsid w:val="00E20805"/>
    <w:rsid w:val="00E20998"/>
    <w:rsid w:val="00E20E4D"/>
    <w:rsid w:val="00E20ED6"/>
    <w:rsid w:val="00E2101B"/>
    <w:rsid w:val="00E21128"/>
    <w:rsid w:val="00E21358"/>
    <w:rsid w:val="00E21F56"/>
    <w:rsid w:val="00E2214F"/>
    <w:rsid w:val="00E223AA"/>
    <w:rsid w:val="00E2249B"/>
    <w:rsid w:val="00E22525"/>
    <w:rsid w:val="00E22A0D"/>
    <w:rsid w:val="00E23B89"/>
    <w:rsid w:val="00E244F6"/>
    <w:rsid w:val="00E24D72"/>
    <w:rsid w:val="00E256C2"/>
    <w:rsid w:val="00E258DB"/>
    <w:rsid w:val="00E25A8E"/>
    <w:rsid w:val="00E25DA9"/>
    <w:rsid w:val="00E26C9C"/>
    <w:rsid w:val="00E27462"/>
    <w:rsid w:val="00E2771E"/>
    <w:rsid w:val="00E27A95"/>
    <w:rsid w:val="00E27FFD"/>
    <w:rsid w:val="00E30134"/>
    <w:rsid w:val="00E3020B"/>
    <w:rsid w:val="00E303EB"/>
    <w:rsid w:val="00E30488"/>
    <w:rsid w:val="00E3083E"/>
    <w:rsid w:val="00E308E9"/>
    <w:rsid w:val="00E31115"/>
    <w:rsid w:val="00E311EF"/>
    <w:rsid w:val="00E315D4"/>
    <w:rsid w:val="00E31E67"/>
    <w:rsid w:val="00E320F1"/>
    <w:rsid w:val="00E32180"/>
    <w:rsid w:val="00E32A7B"/>
    <w:rsid w:val="00E335A2"/>
    <w:rsid w:val="00E33B14"/>
    <w:rsid w:val="00E33DFB"/>
    <w:rsid w:val="00E33FB8"/>
    <w:rsid w:val="00E34194"/>
    <w:rsid w:val="00E34948"/>
    <w:rsid w:val="00E34A62"/>
    <w:rsid w:val="00E35012"/>
    <w:rsid w:val="00E35333"/>
    <w:rsid w:val="00E355FA"/>
    <w:rsid w:val="00E35BFA"/>
    <w:rsid w:val="00E36530"/>
    <w:rsid w:val="00E36697"/>
    <w:rsid w:val="00E36C87"/>
    <w:rsid w:val="00E36D0E"/>
    <w:rsid w:val="00E37104"/>
    <w:rsid w:val="00E3714D"/>
    <w:rsid w:val="00E37569"/>
    <w:rsid w:val="00E37584"/>
    <w:rsid w:val="00E37E8E"/>
    <w:rsid w:val="00E401B2"/>
    <w:rsid w:val="00E40398"/>
    <w:rsid w:val="00E40610"/>
    <w:rsid w:val="00E414F1"/>
    <w:rsid w:val="00E415E6"/>
    <w:rsid w:val="00E416EC"/>
    <w:rsid w:val="00E41E30"/>
    <w:rsid w:val="00E426CA"/>
    <w:rsid w:val="00E42F73"/>
    <w:rsid w:val="00E43282"/>
    <w:rsid w:val="00E433A9"/>
    <w:rsid w:val="00E43D70"/>
    <w:rsid w:val="00E44362"/>
    <w:rsid w:val="00E446B7"/>
    <w:rsid w:val="00E44E37"/>
    <w:rsid w:val="00E45C05"/>
    <w:rsid w:val="00E460D1"/>
    <w:rsid w:val="00E4614C"/>
    <w:rsid w:val="00E46491"/>
    <w:rsid w:val="00E46526"/>
    <w:rsid w:val="00E466F3"/>
    <w:rsid w:val="00E46A05"/>
    <w:rsid w:val="00E46A0A"/>
    <w:rsid w:val="00E46BEA"/>
    <w:rsid w:val="00E46C2B"/>
    <w:rsid w:val="00E474E5"/>
    <w:rsid w:val="00E474EE"/>
    <w:rsid w:val="00E47B2C"/>
    <w:rsid w:val="00E47C6F"/>
    <w:rsid w:val="00E47DB0"/>
    <w:rsid w:val="00E503B2"/>
    <w:rsid w:val="00E50B5C"/>
    <w:rsid w:val="00E50C0B"/>
    <w:rsid w:val="00E50C10"/>
    <w:rsid w:val="00E51560"/>
    <w:rsid w:val="00E51821"/>
    <w:rsid w:val="00E51CDD"/>
    <w:rsid w:val="00E51DD7"/>
    <w:rsid w:val="00E52595"/>
    <w:rsid w:val="00E5359E"/>
    <w:rsid w:val="00E53800"/>
    <w:rsid w:val="00E53CC6"/>
    <w:rsid w:val="00E53FC8"/>
    <w:rsid w:val="00E54347"/>
    <w:rsid w:val="00E54501"/>
    <w:rsid w:val="00E545EB"/>
    <w:rsid w:val="00E54B7F"/>
    <w:rsid w:val="00E55424"/>
    <w:rsid w:val="00E5553A"/>
    <w:rsid w:val="00E557C4"/>
    <w:rsid w:val="00E55915"/>
    <w:rsid w:val="00E55A4F"/>
    <w:rsid w:val="00E55BB5"/>
    <w:rsid w:val="00E55CCC"/>
    <w:rsid w:val="00E55F73"/>
    <w:rsid w:val="00E55FB0"/>
    <w:rsid w:val="00E5622D"/>
    <w:rsid w:val="00E563F6"/>
    <w:rsid w:val="00E566C0"/>
    <w:rsid w:val="00E56B41"/>
    <w:rsid w:val="00E56B69"/>
    <w:rsid w:val="00E578A4"/>
    <w:rsid w:val="00E57B48"/>
    <w:rsid w:val="00E57C60"/>
    <w:rsid w:val="00E60A31"/>
    <w:rsid w:val="00E60F39"/>
    <w:rsid w:val="00E611DF"/>
    <w:rsid w:val="00E61EDF"/>
    <w:rsid w:val="00E625B7"/>
    <w:rsid w:val="00E62EB5"/>
    <w:rsid w:val="00E63617"/>
    <w:rsid w:val="00E63F92"/>
    <w:rsid w:val="00E63FD0"/>
    <w:rsid w:val="00E64157"/>
    <w:rsid w:val="00E651E0"/>
    <w:rsid w:val="00E652C4"/>
    <w:rsid w:val="00E656AF"/>
    <w:rsid w:val="00E65E79"/>
    <w:rsid w:val="00E665EE"/>
    <w:rsid w:val="00E6690D"/>
    <w:rsid w:val="00E66B98"/>
    <w:rsid w:val="00E66BA2"/>
    <w:rsid w:val="00E67416"/>
    <w:rsid w:val="00E677F8"/>
    <w:rsid w:val="00E67956"/>
    <w:rsid w:val="00E67986"/>
    <w:rsid w:val="00E70600"/>
    <w:rsid w:val="00E708B4"/>
    <w:rsid w:val="00E7138E"/>
    <w:rsid w:val="00E718B6"/>
    <w:rsid w:val="00E719FB"/>
    <w:rsid w:val="00E71EA6"/>
    <w:rsid w:val="00E72175"/>
    <w:rsid w:val="00E723BA"/>
    <w:rsid w:val="00E727A1"/>
    <w:rsid w:val="00E728A9"/>
    <w:rsid w:val="00E72BB6"/>
    <w:rsid w:val="00E72F00"/>
    <w:rsid w:val="00E72F21"/>
    <w:rsid w:val="00E7308D"/>
    <w:rsid w:val="00E7334E"/>
    <w:rsid w:val="00E733C7"/>
    <w:rsid w:val="00E73581"/>
    <w:rsid w:val="00E746A1"/>
    <w:rsid w:val="00E74917"/>
    <w:rsid w:val="00E74D73"/>
    <w:rsid w:val="00E758DE"/>
    <w:rsid w:val="00E75A38"/>
    <w:rsid w:val="00E75B51"/>
    <w:rsid w:val="00E76838"/>
    <w:rsid w:val="00E76AE5"/>
    <w:rsid w:val="00E76B8E"/>
    <w:rsid w:val="00E77414"/>
    <w:rsid w:val="00E80414"/>
    <w:rsid w:val="00E80A3B"/>
    <w:rsid w:val="00E818CB"/>
    <w:rsid w:val="00E81C62"/>
    <w:rsid w:val="00E82433"/>
    <w:rsid w:val="00E833F7"/>
    <w:rsid w:val="00E83663"/>
    <w:rsid w:val="00E8383D"/>
    <w:rsid w:val="00E839E4"/>
    <w:rsid w:val="00E83BDF"/>
    <w:rsid w:val="00E84756"/>
    <w:rsid w:val="00E84E72"/>
    <w:rsid w:val="00E8528A"/>
    <w:rsid w:val="00E853D0"/>
    <w:rsid w:val="00E85503"/>
    <w:rsid w:val="00E857FE"/>
    <w:rsid w:val="00E86D1C"/>
    <w:rsid w:val="00E86FA6"/>
    <w:rsid w:val="00E86FCC"/>
    <w:rsid w:val="00E8720C"/>
    <w:rsid w:val="00E87748"/>
    <w:rsid w:val="00E879A5"/>
    <w:rsid w:val="00E87A1D"/>
    <w:rsid w:val="00E87BD1"/>
    <w:rsid w:val="00E87CD8"/>
    <w:rsid w:val="00E87E3E"/>
    <w:rsid w:val="00E87F2F"/>
    <w:rsid w:val="00E9094A"/>
    <w:rsid w:val="00E911B9"/>
    <w:rsid w:val="00E91527"/>
    <w:rsid w:val="00E918E5"/>
    <w:rsid w:val="00E91D35"/>
    <w:rsid w:val="00E9213D"/>
    <w:rsid w:val="00E92571"/>
    <w:rsid w:val="00E926A5"/>
    <w:rsid w:val="00E92CA7"/>
    <w:rsid w:val="00E92F2D"/>
    <w:rsid w:val="00E93AF0"/>
    <w:rsid w:val="00E93C9C"/>
    <w:rsid w:val="00E957A1"/>
    <w:rsid w:val="00E9581D"/>
    <w:rsid w:val="00E962CC"/>
    <w:rsid w:val="00E963DB"/>
    <w:rsid w:val="00E96796"/>
    <w:rsid w:val="00E97111"/>
    <w:rsid w:val="00EA089A"/>
    <w:rsid w:val="00EA09D8"/>
    <w:rsid w:val="00EA17C3"/>
    <w:rsid w:val="00EA2081"/>
    <w:rsid w:val="00EA245E"/>
    <w:rsid w:val="00EA2B6F"/>
    <w:rsid w:val="00EA2CAA"/>
    <w:rsid w:val="00EA2EA2"/>
    <w:rsid w:val="00EA3864"/>
    <w:rsid w:val="00EA3925"/>
    <w:rsid w:val="00EA3BC7"/>
    <w:rsid w:val="00EA3E9D"/>
    <w:rsid w:val="00EA412E"/>
    <w:rsid w:val="00EA449F"/>
    <w:rsid w:val="00EA47DA"/>
    <w:rsid w:val="00EA5390"/>
    <w:rsid w:val="00EA5F29"/>
    <w:rsid w:val="00EA6146"/>
    <w:rsid w:val="00EA61FC"/>
    <w:rsid w:val="00EA651F"/>
    <w:rsid w:val="00EA686B"/>
    <w:rsid w:val="00EA6ECA"/>
    <w:rsid w:val="00EA7036"/>
    <w:rsid w:val="00EA7171"/>
    <w:rsid w:val="00EA7356"/>
    <w:rsid w:val="00EA74F0"/>
    <w:rsid w:val="00EA75EF"/>
    <w:rsid w:val="00EA7B3F"/>
    <w:rsid w:val="00EA7BBC"/>
    <w:rsid w:val="00EA7E9A"/>
    <w:rsid w:val="00EA7EE2"/>
    <w:rsid w:val="00EA7F1C"/>
    <w:rsid w:val="00EB01AA"/>
    <w:rsid w:val="00EB0321"/>
    <w:rsid w:val="00EB0CC2"/>
    <w:rsid w:val="00EB13A4"/>
    <w:rsid w:val="00EB1590"/>
    <w:rsid w:val="00EB15B6"/>
    <w:rsid w:val="00EB15DF"/>
    <w:rsid w:val="00EB3113"/>
    <w:rsid w:val="00EB3D06"/>
    <w:rsid w:val="00EB4692"/>
    <w:rsid w:val="00EB4916"/>
    <w:rsid w:val="00EB4E15"/>
    <w:rsid w:val="00EB5A32"/>
    <w:rsid w:val="00EB5A88"/>
    <w:rsid w:val="00EB5AB3"/>
    <w:rsid w:val="00EB6021"/>
    <w:rsid w:val="00EB62FD"/>
    <w:rsid w:val="00EB637E"/>
    <w:rsid w:val="00EB677A"/>
    <w:rsid w:val="00EB7FEA"/>
    <w:rsid w:val="00EC00C9"/>
    <w:rsid w:val="00EC05BB"/>
    <w:rsid w:val="00EC0780"/>
    <w:rsid w:val="00EC0956"/>
    <w:rsid w:val="00EC0A55"/>
    <w:rsid w:val="00EC0DBA"/>
    <w:rsid w:val="00EC0DD9"/>
    <w:rsid w:val="00EC0E75"/>
    <w:rsid w:val="00EC0EAE"/>
    <w:rsid w:val="00EC0FF6"/>
    <w:rsid w:val="00EC1229"/>
    <w:rsid w:val="00EC25AF"/>
    <w:rsid w:val="00EC2649"/>
    <w:rsid w:val="00EC31ED"/>
    <w:rsid w:val="00EC382F"/>
    <w:rsid w:val="00EC4400"/>
    <w:rsid w:val="00EC4604"/>
    <w:rsid w:val="00EC5836"/>
    <w:rsid w:val="00EC6234"/>
    <w:rsid w:val="00EC62EE"/>
    <w:rsid w:val="00EC688C"/>
    <w:rsid w:val="00EC6E06"/>
    <w:rsid w:val="00EC6F98"/>
    <w:rsid w:val="00EC71FA"/>
    <w:rsid w:val="00EC760C"/>
    <w:rsid w:val="00EC7AE8"/>
    <w:rsid w:val="00ED0356"/>
    <w:rsid w:val="00ED0367"/>
    <w:rsid w:val="00ED12E3"/>
    <w:rsid w:val="00ED12F7"/>
    <w:rsid w:val="00ED173E"/>
    <w:rsid w:val="00ED1AC7"/>
    <w:rsid w:val="00ED23C2"/>
    <w:rsid w:val="00ED26A6"/>
    <w:rsid w:val="00ED2ADB"/>
    <w:rsid w:val="00ED39D6"/>
    <w:rsid w:val="00ED43A5"/>
    <w:rsid w:val="00ED4AC4"/>
    <w:rsid w:val="00ED4B04"/>
    <w:rsid w:val="00ED5289"/>
    <w:rsid w:val="00ED57EA"/>
    <w:rsid w:val="00ED57FD"/>
    <w:rsid w:val="00ED5803"/>
    <w:rsid w:val="00ED5BD4"/>
    <w:rsid w:val="00ED6025"/>
    <w:rsid w:val="00ED6178"/>
    <w:rsid w:val="00ED6942"/>
    <w:rsid w:val="00ED7626"/>
    <w:rsid w:val="00EE01E2"/>
    <w:rsid w:val="00EE0318"/>
    <w:rsid w:val="00EE0793"/>
    <w:rsid w:val="00EE07D3"/>
    <w:rsid w:val="00EE0839"/>
    <w:rsid w:val="00EE0C74"/>
    <w:rsid w:val="00EE149F"/>
    <w:rsid w:val="00EE1996"/>
    <w:rsid w:val="00EE1C01"/>
    <w:rsid w:val="00EE1C24"/>
    <w:rsid w:val="00EE208B"/>
    <w:rsid w:val="00EE20EA"/>
    <w:rsid w:val="00EE22AF"/>
    <w:rsid w:val="00EE2590"/>
    <w:rsid w:val="00EE2F9C"/>
    <w:rsid w:val="00EE3081"/>
    <w:rsid w:val="00EE3095"/>
    <w:rsid w:val="00EE3556"/>
    <w:rsid w:val="00EE363C"/>
    <w:rsid w:val="00EE3B28"/>
    <w:rsid w:val="00EE449B"/>
    <w:rsid w:val="00EE46D6"/>
    <w:rsid w:val="00EE563C"/>
    <w:rsid w:val="00EE5B08"/>
    <w:rsid w:val="00EE5C33"/>
    <w:rsid w:val="00EE5DA9"/>
    <w:rsid w:val="00EE620E"/>
    <w:rsid w:val="00EE6D3F"/>
    <w:rsid w:val="00EE74CA"/>
    <w:rsid w:val="00EE7868"/>
    <w:rsid w:val="00EF0171"/>
    <w:rsid w:val="00EF050F"/>
    <w:rsid w:val="00EF05DF"/>
    <w:rsid w:val="00EF079D"/>
    <w:rsid w:val="00EF0857"/>
    <w:rsid w:val="00EF0A15"/>
    <w:rsid w:val="00EF0A3C"/>
    <w:rsid w:val="00EF1B25"/>
    <w:rsid w:val="00EF1DA0"/>
    <w:rsid w:val="00EF1DB1"/>
    <w:rsid w:val="00EF204C"/>
    <w:rsid w:val="00EF2151"/>
    <w:rsid w:val="00EF2897"/>
    <w:rsid w:val="00EF3303"/>
    <w:rsid w:val="00EF339E"/>
    <w:rsid w:val="00EF3586"/>
    <w:rsid w:val="00EF3A1D"/>
    <w:rsid w:val="00EF4241"/>
    <w:rsid w:val="00EF440F"/>
    <w:rsid w:val="00EF458D"/>
    <w:rsid w:val="00EF4747"/>
    <w:rsid w:val="00EF49C6"/>
    <w:rsid w:val="00EF49F4"/>
    <w:rsid w:val="00EF4A42"/>
    <w:rsid w:val="00EF4BF8"/>
    <w:rsid w:val="00EF5079"/>
    <w:rsid w:val="00EF512D"/>
    <w:rsid w:val="00EF579B"/>
    <w:rsid w:val="00EF5D80"/>
    <w:rsid w:val="00EF5F26"/>
    <w:rsid w:val="00EF60D2"/>
    <w:rsid w:val="00EF66AC"/>
    <w:rsid w:val="00EF7257"/>
    <w:rsid w:val="00EF73BC"/>
    <w:rsid w:val="00EF77DE"/>
    <w:rsid w:val="00EF7967"/>
    <w:rsid w:val="00EF79DE"/>
    <w:rsid w:val="00F0055A"/>
    <w:rsid w:val="00F008F8"/>
    <w:rsid w:val="00F00E3A"/>
    <w:rsid w:val="00F01A5C"/>
    <w:rsid w:val="00F01B14"/>
    <w:rsid w:val="00F01F01"/>
    <w:rsid w:val="00F01F1C"/>
    <w:rsid w:val="00F02253"/>
    <w:rsid w:val="00F022F9"/>
    <w:rsid w:val="00F023AC"/>
    <w:rsid w:val="00F02717"/>
    <w:rsid w:val="00F0287F"/>
    <w:rsid w:val="00F03431"/>
    <w:rsid w:val="00F03A44"/>
    <w:rsid w:val="00F03ABB"/>
    <w:rsid w:val="00F03BBB"/>
    <w:rsid w:val="00F03C2E"/>
    <w:rsid w:val="00F04A66"/>
    <w:rsid w:val="00F04B4B"/>
    <w:rsid w:val="00F04CCA"/>
    <w:rsid w:val="00F0516C"/>
    <w:rsid w:val="00F0526A"/>
    <w:rsid w:val="00F056CF"/>
    <w:rsid w:val="00F0593F"/>
    <w:rsid w:val="00F0619E"/>
    <w:rsid w:val="00F067A2"/>
    <w:rsid w:val="00F07227"/>
    <w:rsid w:val="00F07B9E"/>
    <w:rsid w:val="00F1099E"/>
    <w:rsid w:val="00F10E4A"/>
    <w:rsid w:val="00F10E78"/>
    <w:rsid w:val="00F1116F"/>
    <w:rsid w:val="00F114C1"/>
    <w:rsid w:val="00F1163B"/>
    <w:rsid w:val="00F11C75"/>
    <w:rsid w:val="00F11D4D"/>
    <w:rsid w:val="00F124A5"/>
    <w:rsid w:val="00F1253B"/>
    <w:rsid w:val="00F1263A"/>
    <w:rsid w:val="00F128C5"/>
    <w:rsid w:val="00F12D4E"/>
    <w:rsid w:val="00F12FE1"/>
    <w:rsid w:val="00F1380C"/>
    <w:rsid w:val="00F139C5"/>
    <w:rsid w:val="00F13ABE"/>
    <w:rsid w:val="00F146BE"/>
    <w:rsid w:val="00F149A4"/>
    <w:rsid w:val="00F14B89"/>
    <w:rsid w:val="00F15367"/>
    <w:rsid w:val="00F1542E"/>
    <w:rsid w:val="00F15B77"/>
    <w:rsid w:val="00F1654C"/>
    <w:rsid w:val="00F16C3D"/>
    <w:rsid w:val="00F171CB"/>
    <w:rsid w:val="00F173FE"/>
    <w:rsid w:val="00F179BD"/>
    <w:rsid w:val="00F17A52"/>
    <w:rsid w:val="00F17E2E"/>
    <w:rsid w:val="00F20027"/>
    <w:rsid w:val="00F2047C"/>
    <w:rsid w:val="00F2053B"/>
    <w:rsid w:val="00F20E92"/>
    <w:rsid w:val="00F210EB"/>
    <w:rsid w:val="00F21236"/>
    <w:rsid w:val="00F2178F"/>
    <w:rsid w:val="00F21E7F"/>
    <w:rsid w:val="00F22ED0"/>
    <w:rsid w:val="00F23519"/>
    <w:rsid w:val="00F235B6"/>
    <w:rsid w:val="00F23715"/>
    <w:rsid w:val="00F23784"/>
    <w:rsid w:val="00F239DF"/>
    <w:rsid w:val="00F242DF"/>
    <w:rsid w:val="00F24837"/>
    <w:rsid w:val="00F254E2"/>
    <w:rsid w:val="00F2575F"/>
    <w:rsid w:val="00F25C8F"/>
    <w:rsid w:val="00F25D0F"/>
    <w:rsid w:val="00F2609D"/>
    <w:rsid w:val="00F263F3"/>
    <w:rsid w:val="00F268F8"/>
    <w:rsid w:val="00F26AEE"/>
    <w:rsid w:val="00F26F5F"/>
    <w:rsid w:val="00F27152"/>
    <w:rsid w:val="00F2748A"/>
    <w:rsid w:val="00F27565"/>
    <w:rsid w:val="00F27D59"/>
    <w:rsid w:val="00F3088B"/>
    <w:rsid w:val="00F308E6"/>
    <w:rsid w:val="00F308EF"/>
    <w:rsid w:val="00F30DC5"/>
    <w:rsid w:val="00F310D4"/>
    <w:rsid w:val="00F313E1"/>
    <w:rsid w:val="00F31540"/>
    <w:rsid w:val="00F31551"/>
    <w:rsid w:val="00F31728"/>
    <w:rsid w:val="00F31D5A"/>
    <w:rsid w:val="00F32569"/>
    <w:rsid w:val="00F32880"/>
    <w:rsid w:val="00F32AEC"/>
    <w:rsid w:val="00F32C70"/>
    <w:rsid w:val="00F32CA6"/>
    <w:rsid w:val="00F33555"/>
    <w:rsid w:val="00F33975"/>
    <w:rsid w:val="00F33DE9"/>
    <w:rsid w:val="00F3404D"/>
    <w:rsid w:val="00F345BD"/>
    <w:rsid w:val="00F34BB2"/>
    <w:rsid w:val="00F35439"/>
    <w:rsid w:val="00F354BB"/>
    <w:rsid w:val="00F35798"/>
    <w:rsid w:val="00F35E6D"/>
    <w:rsid w:val="00F35EAC"/>
    <w:rsid w:val="00F3619A"/>
    <w:rsid w:val="00F36227"/>
    <w:rsid w:val="00F36DC0"/>
    <w:rsid w:val="00F37235"/>
    <w:rsid w:val="00F373E0"/>
    <w:rsid w:val="00F37A8C"/>
    <w:rsid w:val="00F37DFD"/>
    <w:rsid w:val="00F40309"/>
    <w:rsid w:val="00F40AAA"/>
    <w:rsid w:val="00F40BA7"/>
    <w:rsid w:val="00F40C7F"/>
    <w:rsid w:val="00F40F9D"/>
    <w:rsid w:val="00F41636"/>
    <w:rsid w:val="00F41ACD"/>
    <w:rsid w:val="00F42877"/>
    <w:rsid w:val="00F434F8"/>
    <w:rsid w:val="00F43753"/>
    <w:rsid w:val="00F44483"/>
    <w:rsid w:val="00F44FCD"/>
    <w:rsid w:val="00F44FCF"/>
    <w:rsid w:val="00F45245"/>
    <w:rsid w:val="00F455FC"/>
    <w:rsid w:val="00F46299"/>
    <w:rsid w:val="00F46A7C"/>
    <w:rsid w:val="00F46B00"/>
    <w:rsid w:val="00F46CB6"/>
    <w:rsid w:val="00F471BF"/>
    <w:rsid w:val="00F473FC"/>
    <w:rsid w:val="00F47483"/>
    <w:rsid w:val="00F474C0"/>
    <w:rsid w:val="00F4756D"/>
    <w:rsid w:val="00F47CD0"/>
    <w:rsid w:val="00F47CF7"/>
    <w:rsid w:val="00F47DE8"/>
    <w:rsid w:val="00F50316"/>
    <w:rsid w:val="00F50418"/>
    <w:rsid w:val="00F50B11"/>
    <w:rsid w:val="00F51555"/>
    <w:rsid w:val="00F5246C"/>
    <w:rsid w:val="00F53CDD"/>
    <w:rsid w:val="00F53D67"/>
    <w:rsid w:val="00F53DF0"/>
    <w:rsid w:val="00F542C1"/>
    <w:rsid w:val="00F550E3"/>
    <w:rsid w:val="00F552EA"/>
    <w:rsid w:val="00F55720"/>
    <w:rsid w:val="00F55E73"/>
    <w:rsid w:val="00F55EDA"/>
    <w:rsid w:val="00F566F2"/>
    <w:rsid w:val="00F56734"/>
    <w:rsid w:val="00F568D7"/>
    <w:rsid w:val="00F56A47"/>
    <w:rsid w:val="00F56C80"/>
    <w:rsid w:val="00F5712D"/>
    <w:rsid w:val="00F57D34"/>
    <w:rsid w:val="00F60092"/>
    <w:rsid w:val="00F600E7"/>
    <w:rsid w:val="00F60AD8"/>
    <w:rsid w:val="00F60B92"/>
    <w:rsid w:val="00F60C47"/>
    <w:rsid w:val="00F60D51"/>
    <w:rsid w:val="00F61082"/>
    <w:rsid w:val="00F6131C"/>
    <w:rsid w:val="00F61C18"/>
    <w:rsid w:val="00F61DB6"/>
    <w:rsid w:val="00F61F85"/>
    <w:rsid w:val="00F626B4"/>
    <w:rsid w:val="00F62CD0"/>
    <w:rsid w:val="00F630E4"/>
    <w:rsid w:val="00F63ACE"/>
    <w:rsid w:val="00F641CC"/>
    <w:rsid w:val="00F64E3C"/>
    <w:rsid w:val="00F65126"/>
    <w:rsid w:val="00F6513C"/>
    <w:rsid w:val="00F654FB"/>
    <w:rsid w:val="00F65562"/>
    <w:rsid w:val="00F6560D"/>
    <w:rsid w:val="00F6583D"/>
    <w:rsid w:val="00F65AA4"/>
    <w:rsid w:val="00F65B03"/>
    <w:rsid w:val="00F65F4B"/>
    <w:rsid w:val="00F6619D"/>
    <w:rsid w:val="00F670BE"/>
    <w:rsid w:val="00F676B0"/>
    <w:rsid w:val="00F67A69"/>
    <w:rsid w:val="00F67B26"/>
    <w:rsid w:val="00F70249"/>
    <w:rsid w:val="00F704D9"/>
    <w:rsid w:val="00F70B33"/>
    <w:rsid w:val="00F70BBD"/>
    <w:rsid w:val="00F70BFF"/>
    <w:rsid w:val="00F70C1F"/>
    <w:rsid w:val="00F70C9D"/>
    <w:rsid w:val="00F71049"/>
    <w:rsid w:val="00F71287"/>
    <w:rsid w:val="00F71567"/>
    <w:rsid w:val="00F71730"/>
    <w:rsid w:val="00F71B87"/>
    <w:rsid w:val="00F726E5"/>
    <w:rsid w:val="00F72DA2"/>
    <w:rsid w:val="00F72F39"/>
    <w:rsid w:val="00F73245"/>
    <w:rsid w:val="00F73E08"/>
    <w:rsid w:val="00F7436A"/>
    <w:rsid w:val="00F744E3"/>
    <w:rsid w:val="00F74A2A"/>
    <w:rsid w:val="00F74B30"/>
    <w:rsid w:val="00F74BBF"/>
    <w:rsid w:val="00F74CD9"/>
    <w:rsid w:val="00F74F29"/>
    <w:rsid w:val="00F74F7A"/>
    <w:rsid w:val="00F7541C"/>
    <w:rsid w:val="00F75634"/>
    <w:rsid w:val="00F75670"/>
    <w:rsid w:val="00F75889"/>
    <w:rsid w:val="00F75AE0"/>
    <w:rsid w:val="00F76563"/>
    <w:rsid w:val="00F76897"/>
    <w:rsid w:val="00F775AF"/>
    <w:rsid w:val="00F77F3E"/>
    <w:rsid w:val="00F803C8"/>
    <w:rsid w:val="00F805DF"/>
    <w:rsid w:val="00F806AB"/>
    <w:rsid w:val="00F80A7B"/>
    <w:rsid w:val="00F80E5D"/>
    <w:rsid w:val="00F8132F"/>
    <w:rsid w:val="00F81CA1"/>
    <w:rsid w:val="00F81E78"/>
    <w:rsid w:val="00F81F07"/>
    <w:rsid w:val="00F822AA"/>
    <w:rsid w:val="00F83325"/>
    <w:rsid w:val="00F83916"/>
    <w:rsid w:val="00F83FB5"/>
    <w:rsid w:val="00F843A8"/>
    <w:rsid w:val="00F84A46"/>
    <w:rsid w:val="00F851CE"/>
    <w:rsid w:val="00F8539C"/>
    <w:rsid w:val="00F85B70"/>
    <w:rsid w:val="00F8607A"/>
    <w:rsid w:val="00F8619D"/>
    <w:rsid w:val="00F8636C"/>
    <w:rsid w:val="00F863BB"/>
    <w:rsid w:val="00F866F4"/>
    <w:rsid w:val="00F87377"/>
    <w:rsid w:val="00F8749B"/>
    <w:rsid w:val="00F876B4"/>
    <w:rsid w:val="00F90B04"/>
    <w:rsid w:val="00F91219"/>
    <w:rsid w:val="00F91495"/>
    <w:rsid w:val="00F92338"/>
    <w:rsid w:val="00F92444"/>
    <w:rsid w:val="00F92DA5"/>
    <w:rsid w:val="00F92E7C"/>
    <w:rsid w:val="00F9393E"/>
    <w:rsid w:val="00F9421D"/>
    <w:rsid w:val="00F94F46"/>
    <w:rsid w:val="00F954F1"/>
    <w:rsid w:val="00F96FD0"/>
    <w:rsid w:val="00F97096"/>
    <w:rsid w:val="00F97A78"/>
    <w:rsid w:val="00F97D8E"/>
    <w:rsid w:val="00FA0026"/>
    <w:rsid w:val="00FA021A"/>
    <w:rsid w:val="00FA0B20"/>
    <w:rsid w:val="00FA0D97"/>
    <w:rsid w:val="00FA16FD"/>
    <w:rsid w:val="00FA19B9"/>
    <w:rsid w:val="00FA24E7"/>
    <w:rsid w:val="00FA2D47"/>
    <w:rsid w:val="00FA308B"/>
    <w:rsid w:val="00FA3AB1"/>
    <w:rsid w:val="00FA3F9C"/>
    <w:rsid w:val="00FA50EE"/>
    <w:rsid w:val="00FA5199"/>
    <w:rsid w:val="00FA521B"/>
    <w:rsid w:val="00FA5A02"/>
    <w:rsid w:val="00FA5EE6"/>
    <w:rsid w:val="00FA63EA"/>
    <w:rsid w:val="00FA6C31"/>
    <w:rsid w:val="00FA6E19"/>
    <w:rsid w:val="00FA7487"/>
    <w:rsid w:val="00FA76A8"/>
    <w:rsid w:val="00FA7956"/>
    <w:rsid w:val="00FA7B62"/>
    <w:rsid w:val="00FB03F3"/>
    <w:rsid w:val="00FB0484"/>
    <w:rsid w:val="00FB0505"/>
    <w:rsid w:val="00FB0824"/>
    <w:rsid w:val="00FB0927"/>
    <w:rsid w:val="00FB18CB"/>
    <w:rsid w:val="00FB24A1"/>
    <w:rsid w:val="00FB2FCB"/>
    <w:rsid w:val="00FB3B2F"/>
    <w:rsid w:val="00FB4659"/>
    <w:rsid w:val="00FB467B"/>
    <w:rsid w:val="00FB4693"/>
    <w:rsid w:val="00FB4C9C"/>
    <w:rsid w:val="00FB4FF4"/>
    <w:rsid w:val="00FB6219"/>
    <w:rsid w:val="00FB6528"/>
    <w:rsid w:val="00FB6C0E"/>
    <w:rsid w:val="00FB6E7D"/>
    <w:rsid w:val="00FB6F2B"/>
    <w:rsid w:val="00FB70A6"/>
    <w:rsid w:val="00FB7106"/>
    <w:rsid w:val="00FB75A2"/>
    <w:rsid w:val="00FB778B"/>
    <w:rsid w:val="00FB7C55"/>
    <w:rsid w:val="00FB7DD3"/>
    <w:rsid w:val="00FC0135"/>
    <w:rsid w:val="00FC02D7"/>
    <w:rsid w:val="00FC1074"/>
    <w:rsid w:val="00FC130B"/>
    <w:rsid w:val="00FC1884"/>
    <w:rsid w:val="00FC19C0"/>
    <w:rsid w:val="00FC2821"/>
    <w:rsid w:val="00FC2B43"/>
    <w:rsid w:val="00FC2F70"/>
    <w:rsid w:val="00FC310A"/>
    <w:rsid w:val="00FC3277"/>
    <w:rsid w:val="00FC371D"/>
    <w:rsid w:val="00FC4D7E"/>
    <w:rsid w:val="00FC599E"/>
    <w:rsid w:val="00FC5F0B"/>
    <w:rsid w:val="00FC619B"/>
    <w:rsid w:val="00FC6360"/>
    <w:rsid w:val="00FC6849"/>
    <w:rsid w:val="00FC6E72"/>
    <w:rsid w:val="00FC774E"/>
    <w:rsid w:val="00FC7E42"/>
    <w:rsid w:val="00FC7EF1"/>
    <w:rsid w:val="00FD005B"/>
    <w:rsid w:val="00FD087E"/>
    <w:rsid w:val="00FD0C5A"/>
    <w:rsid w:val="00FD1508"/>
    <w:rsid w:val="00FD1FDF"/>
    <w:rsid w:val="00FD2100"/>
    <w:rsid w:val="00FD2143"/>
    <w:rsid w:val="00FD23A3"/>
    <w:rsid w:val="00FD2563"/>
    <w:rsid w:val="00FD38D1"/>
    <w:rsid w:val="00FD39F8"/>
    <w:rsid w:val="00FD3A71"/>
    <w:rsid w:val="00FD3E57"/>
    <w:rsid w:val="00FD436C"/>
    <w:rsid w:val="00FD446D"/>
    <w:rsid w:val="00FD47E7"/>
    <w:rsid w:val="00FD4B7D"/>
    <w:rsid w:val="00FD4F2C"/>
    <w:rsid w:val="00FD55EC"/>
    <w:rsid w:val="00FD59F6"/>
    <w:rsid w:val="00FD6160"/>
    <w:rsid w:val="00FD6394"/>
    <w:rsid w:val="00FD6651"/>
    <w:rsid w:val="00FD6668"/>
    <w:rsid w:val="00FD69BD"/>
    <w:rsid w:val="00FD7276"/>
    <w:rsid w:val="00FE03B6"/>
    <w:rsid w:val="00FE06F8"/>
    <w:rsid w:val="00FE0706"/>
    <w:rsid w:val="00FE095D"/>
    <w:rsid w:val="00FE0BD6"/>
    <w:rsid w:val="00FE0E6C"/>
    <w:rsid w:val="00FE1864"/>
    <w:rsid w:val="00FE1AD2"/>
    <w:rsid w:val="00FE1CDC"/>
    <w:rsid w:val="00FE21C3"/>
    <w:rsid w:val="00FE233E"/>
    <w:rsid w:val="00FE24F6"/>
    <w:rsid w:val="00FE25BB"/>
    <w:rsid w:val="00FE2669"/>
    <w:rsid w:val="00FE2829"/>
    <w:rsid w:val="00FE2830"/>
    <w:rsid w:val="00FE2C89"/>
    <w:rsid w:val="00FE31B3"/>
    <w:rsid w:val="00FE3277"/>
    <w:rsid w:val="00FE3C18"/>
    <w:rsid w:val="00FE41E4"/>
    <w:rsid w:val="00FE4943"/>
    <w:rsid w:val="00FE4E5C"/>
    <w:rsid w:val="00FE4E92"/>
    <w:rsid w:val="00FE57DE"/>
    <w:rsid w:val="00FE610E"/>
    <w:rsid w:val="00FE65DF"/>
    <w:rsid w:val="00FE70C3"/>
    <w:rsid w:val="00FE73E7"/>
    <w:rsid w:val="00FE7C55"/>
    <w:rsid w:val="00FE7F58"/>
    <w:rsid w:val="00FF0003"/>
    <w:rsid w:val="00FF08DE"/>
    <w:rsid w:val="00FF0A49"/>
    <w:rsid w:val="00FF1A8B"/>
    <w:rsid w:val="00FF22EE"/>
    <w:rsid w:val="00FF2AD9"/>
    <w:rsid w:val="00FF31C2"/>
    <w:rsid w:val="00FF359F"/>
    <w:rsid w:val="00FF3946"/>
    <w:rsid w:val="00FF3DCF"/>
    <w:rsid w:val="00FF3EA9"/>
    <w:rsid w:val="00FF4282"/>
    <w:rsid w:val="00FF45C1"/>
    <w:rsid w:val="00FF4770"/>
    <w:rsid w:val="00FF492C"/>
    <w:rsid w:val="00FF4A21"/>
    <w:rsid w:val="00FF5AA3"/>
    <w:rsid w:val="00FF5AD8"/>
    <w:rsid w:val="00FF644E"/>
    <w:rsid w:val="00FF74DA"/>
    <w:rsid w:val="00FF7560"/>
    <w:rsid w:val="00FF7AB3"/>
    <w:rsid w:val="0142A964"/>
    <w:rsid w:val="0148C4FA"/>
    <w:rsid w:val="0177D4E4"/>
    <w:rsid w:val="018BEAE6"/>
    <w:rsid w:val="01ED741B"/>
    <w:rsid w:val="01F69457"/>
    <w:rsid w:val="02160865"/>
    <w:rsid w:val="024FAEEB"/>
    <w:rsid w:val="02500EBE"/>
    <w:rsid w:val="025B2245"/>
    <w:rsid w:val="025EC703"/>
    <w:rsid w:val="02610A75"/>
    <w:rsid w:val="0274887B"/>
    <w:rsid w:val="02858F9D"/>
    <w:rsid w:val="0286E5AF"/>
    <w:rsid w:val="029296B7"/>
    <w:rsid w:val="029D21C5"/>
    <w:rsid w:val="02B44B3F"/>
    <w:rsid w:val="02D4D029"/>
    <w:rsid w:val="02F929A3"/>
    <w:rsid w:val="032EE181"/>
    <w:rsid w:val="037E9ADF"/>
    <w:rsid w:val="0383515C"/>
    <w:rsid w:val="03877155"/>
    <w:rsid w:val="03AD982E"/>
    <w:rsid w:val="03E6410D"/>
    <w:rsid w:val="03EBFE0D"/>
    <w:rsid w:val="04313E59"/>
    <w:rsid w:val="0463A954"/>
    <w:rsid w:val="047D84F6"/>
    <w:rsid w:val="048264CD"/>
    <w:rsid w:val="0485956B"/>
    <w:rsid w:val="04A5607F"/>
    <w:rsid w:val="04C97317"/>
    <w:rsid w:val="04DFBEBE"/>
    <w:rsid w:val="04EEABFB"/>
    <w:rsid w:val="04F73517"/>
    <w:rsid w:val="04F9CC9A"/>
    <w:rsid w:val="0529C5AB"/>
    <w:rsid w:val="05447156"/>
    <w:rsid w:val="0557D524"/>
    <w:rsid w:val="05861C8F"/>
    <w:rsid w:val="05B615A9"/>
    <w:rsid w:val="05C37C6C"/>
    <w:rsid w:val="05CD443E"/>
    <w:rsid w:val="06127EBA"/>
    <w:rsid w:val="06191C11"/>
    <w:rsid w:val="0629D7D2"/>
    <w:rsid w:val="062EAFB8"/>
    <w:rsid w:val="0631308C"/>
    <w:rsid w:val="06373235"/>
    <w:rsid w:val="06534CC1"/>
    <w:rsid w:val="06607BAA"/>
    <w:rsid w:val="066DB642"/>
    <w:rsid w:val="06F01D61"/>
    <w:rsid w:val="070BA3CB"/>
    <w:rsid w:val="0739DE6F"/>
    <w:rsid w:val="073FFFA3"/>
    <w:rsid w:val="074C16B4"/>
    <w:rsid w:val="076AC8FB"/>
    <w:rsid w:val="0780A541"/>
    <w:rsid w:val="07852210"/>
    <w:rsid w:val="079C9285"/>
    <w:rsid w:val="07D9B7C4"/>
    <w:rsid w:val="07E6A196"/>
    <w:rsid w:val="07E90AD0"/>
    <w:rsid w:val="07F12DEC"/>
    <w:rsid w:val="0813A1B5"/>
    <w:rsid w:val="0829F7F9"/>
    <w:rsid w:val="083555B7"/>
    <w:rsid w:val="0866EA76"/>
    <w:rsid w:val="087713C5"/>
    <w:rsid w:val="08A4BB28"/>
    <w:rsid w:val="08CD5164"/>
    <w:rsid w:val="08F0AECE"/>
    <w:rsid w:val="090D9689"/>
    <w:rsid w:val="0968F6FD"/>
    <w:rsid w:val="09B4465F"/>
    <w:rsid w:val="09B89AB0"/>
    <w:rsid w:val="09BA7E48"/>
    <w:rsid w:val="09E000EF"/>
    <w:rsid w:val="09E10A0D"/>
    <w:rsid w:val="09E11035"/>
    <w:rsid w:val="0A19C6FB"/>
    <w:rsid w:val="0A1AB282"/>
    <w:rsid w:val="0A4AFE93"/>
    <w:rsid w:val="0A4BB8AA"/>
    <w:rsid w:val="0A4DDFDB"/>
    <w:rsid w:val="0A5670EE"/>
    <w:rsid w:val="0A813B18"/>
    <w:rsid w:val="0AB4DC17"/>
    <w:rsid w:val="0AC163B1"/>
    <w:rsid w:val="0AFA5172"/>
    <w:rsid w:val="0B59F374"/>
    <w:rsid w:val="0B76C0F6"/>
    <w:rsid w:val="0B79D31E"/>
    <w:rsid w:val="0BAEDD6B"/>
    <w:rsid w:val="0BF7F6B1"/>
    <w:rsid w:val="0C37B902"/>
    <w:rsid w:val="0C3A083D"/>
    <w:rsid w:val="0C8714FB"/>
    <w:rsid w:val="0CC58F45"/>
    <w:rsid w:val="0D09AA97"/>
    <w:rsid w:val="0D4E1296"/>
    <w:rsid w:val="0D50311F"/>
    <w:rsid w:val="0D550DA6"/>
    <w:rsid w:val="0DD2BB73"/>
    <w:rsid w:val="0DFE037A"/>
    <w:rsid w:val="0E3601F5"/>
    <w:rsid w:val="0E4182C3"/>
    <w:rsid w:val="0E4652A2"/>
    <w:rsid w:val="0E4923C2"/>
    <w:rsid w:val="0E6E21AD"/>
    <w:rsid w:val="0E7C0275"/>
    <w:rsid w:val="0E9BE574"/>
    <w:rsid w:val="0EB97538"/>
    <w:rsid w:val="0ED064F7"/>
    <w:rsid w:val="0ED6E20B"/>
    <w:rsid w:val="0EDE1C94"/>
    <w:rsid w:val="0EF7A753"/>
    <w:rsid w:val="0F168B12"/>
    <w:rsid w:val="0F306E31"/>
    <w:rsid w:val="0F59246A"/>
    <w:rsid w:val="0F5D8496"/>
    <w:rsid w:val="0F6DDEC4"/>
    <w:rsid w:val="0F7B1D31"/>
    <w:rsid w:val="0FE3938D"/>
    <w:rsid w:val="10196252"/>
    <w:rsid w:val="1034C568"/>
    <w:rsid w:val="1074F242"/>
    <w:rsid w:val="1078E2FB"/>
    <w:rsid w:val="10A95E15"/>
    <w:rsid w:val="10B04BFD"/>
    <w:rsid w:val="10B38A05"/>
    <w:rsid w:val="11086CA3"/>
    <w:rsid w:val="11088A79"/>
    <w:rsid w:val="1112C94A"/>
    <w:rsid w:val="1140BA20"/>
    <w:rsid w:val="1177A298"/>
    <w:rsid w:val="11A9430D"/>
    <w:rsid w:val="11FE9A51"/>
    <w:rsid w:val="1221891E"/>
    <w:rsid w:val="124B8E1F"/>
    <w:rsid w:val="1261982B"/>
    <w:rsid w:val="1267DDEC"/>
    <w:rsid w:val="126953BD"/>
    <w:rsid w:val="1273CC34"/>
    <w:rsid w:val="12C50B06"/>
    <w:rsid w:val="12CBF351"/>
    <w:rsid w:val="12DCF8F0"/>
    <w:rsid w:val="1320ED32"/>
    <w:rsid w:val="133289C6"/>
    <w:rsid w:val="13358FFD"/>
    <w:rsid w:val="13496034"/>
    <w:rsid w:val="1357D8DD"/>
    <w:rsid w:val="1361969B"/>
    <w:rsid w:val="13C03823"/>
    <w:rsid w:val="13CAAC6D"/>
    <w:rsid w:val="13F46CFD"/>
    <w:rsid w:val="14317A5C"/>
    <w:rsid w:val="14496248"/>
    <w:rsid w:val="144BD9A3"/>
    <w:rsid w:val="14517428"/>
    <w:rsid w:val="14752E05"/>
    <w:rsid w:val="149183E8"/>
    <w:rsid w:val="14A73047"/>
    <w:rsid w:val="14CEB20E"/>
    <w:rsid w:val="14E255A9"/>
    <w:rsid w:val="14E8ECC5"/>
    <w:rsid w:val="150A5C20"/>
    <w:rsid w:val="152897C9"/>
    <w:rsid w:val="153C158E"/>
    <w:rsid w:val="155EE7A7"/>
    <w:rsid w:val="157EBC3C"/>
    <w:rsid w:val="15ADDC89"/>
    <w:rsid w:val="15B94148"/>
    <w:rsid w:val="15BCE000"/>
    <w:rsid w:val="15DAE86E"/>
    <w:rsid w:val="15E2A215"/>
    <w:rsid w:val="15E3A4F7"/>
    <w:rsid w:val="161B6D6F"/>
    <w:rsid w:val="161FF5E9"/>
    <w:rsid w:val="162B8633"/>
    <w:rsid w:val="16328363"/>
    <w:rsid w:val="16888D7B"/>
    <w:rsid w:val="169B3B89"/>
    <w:rsid w:val="16AFF1E4"/>
    <w:rsid w:val="16B7B069"/>
    <w:rsid w:val="171D93B0"/>
    <w:rsid w:val="172C554E"/>
    <w:rsid w:val="1745A4B3"/>
    <w:rsid w:val="177BEA9D"/>
    <w:rsid w:val="17BBD6CE"/>
    <w:rsid w:val="17BD2ADA"/>
    <w:rsid w:val="17C7735C"/>
    <w:rsid w:val="17CAE3E7"/>
    <w:rsid w:val="17E8861F"/>
    <w:rsid w:val="1804FD3B"/>
    <w:rsid w:val="183305EE"/>
    <w:rsid w:val="183AAE17"/>
    <w:rsid w:val="1856FC9D"/>
    <w:rsid w:val="1868BDDA"/>
    <w:rsid w:val="187921B8"/>
    <w:rsid w:val="189DE261"/>
    <w:rsid w:val="18A7AC1F"/>
    <w:rsid w:val="19473A45"/>
    <w:rsid w:val="19503BA1"/>
    <w:rsid w:val="196C9EC3"/>
    <w:rsid w:val="19A16C35"/>
    <w:rsid w:val="19D49A06"/>
    <w:rsid w:val="19D9FF52"/>
    <w:rsid w:val="19DB38A0"/>
    <w:rsid w:val="1A086686"/>
    <w:rsid w:val="1A127691"/>
    <w:rsid w:val="1A17AAE5"/>
    <w:rsid w:val="1A352CCE"/>
    <w:rsid w:val="1A3D2655"/>
    <w:rsid w:val="1A92E0CC"/>
    <w:rsid w:val="1A984960"/>
    <w:rsid w:val="1ABB1482"/>
    <w:rsid w:val="1ABD98CF"/>
    <w:rsid w:val="1B17A327"/>
    <w:rsid w:val="1B1EE7D0"/>
    <w:rsid w:val="1B6F3506"/>
    <w:rsid w:val="1B7B13BE"/>
    <w:rsid w:val="1B8940E1"/>
    <w:rsid w:val="1B90B834"/>
    <w:rsid w:val="1BCF9D20"/>
    <w:rsid w:val="1BED4C0A"/>
    <w:rsid w:val="1C098348"/>
    <w:rsid w:val="1C29292A"/>
    <w:rsid w:val="1C5FD75D"/>
    <w:rsid w:val="1C60D8AD"/>
    <w:rsid w:val="1C6D01F3"/>
    <w:rsid w:val="1CC25CA0"/>
    <w:rsid w:val="1CE7E2C0"/>
    <w:rsid w:val="1D305166"/>
    <w:rsid w:val="1D3B5212"/>
    <w:rsid w:val="1D74B530"/>
    <w:rsid w:val="1D9A7A3D"/>
    <w:rsid w:val="1DCEE0C8"/>
    <w:rsid w:val="1E09CBF3"/>
    <w:rsid w:val="1E0E2BF4"/>
    <w:rsid w:val="1E1C837F"/>
    <w:rsid w:val="1E1D1C77"/>
    <w:rsid w:val="1E2D0DBA"/>
    <w:rsid w:val="1E325F26"/>
    <w:rsid w:val="1E35AAD1"/>
    <w:rsid w:val="1E432870"/>
    <w:rsid w:val="1E49EE60"/>
    <w:rsid w:val="1E4A1CD7"/>
    <w:rsid w:val="1E522353"/>
    <w:rsid w:val="1E7A8CA5"/>
    <w:rsid w:val="1E8244D8"/>
    <w:rsid w:val="1E94F78A"/>
    <w:rsid w:val="1E9B1529"/>
    <w:rsid w:val="1E9B798A"/>
    <w:rsid w:val="1EE186BD"/>
    <w:rsid w:val="1EF49822"/>
    <w:rsid w:val="1F0D7560"/>
    <w:rsid w:val="1F168FE6"/>
    <w:rsid w:val="1F1DA926"/>
    <w:rsid w:val="1F563549"/>
    <w:rsid w:val="1F6892C5"/>
    <w:rsid w:val="1F751652"/>
    <w:rsid w:val="1F7ABE4B"/>
    <w:rsid w:val="1F7E707A"/>
    <w:rsid w:val="1F9A2C1E"/>
    <w:rsid w:val="1FA646B7"/>
    <w:rsid w:val="1FC64140"/>
    <w:rsid w:val="1FEA2767"/>
    <w:rsid w:val="1FEDD8F7"/>
    <w:rsid w:val="2040F8FA"/>
    <w:rsid w:val="2070ECE3"/>
    <w:rsid w:val="2085C499"/>
    <w:rsid w:val="20A23718"/>
    <w:rsid w:val="20DA2268"/>
    <w:rsid w:val="20E671B4"/>
    <w:rsid w:val="20F831FC"/>
    <w:rsid w:val="20FBBC78"/>
    <w:rsid w:val="210E2AE7"/>
    <w:rsid w:val="2149BB33"/>
    <w:rsid w:val="21509A2A"/>
    <w:rsid w:val="21AF2901"/>
    <w:rsid w:val="21DB367C"/>
    <w:rsid w:val="21FF5EBB"/>
    <w:rsid w:val="220413F2"/>
    <w:rsid w:val="2210FA1A"/>
    <w:rsid w:val="221B1652"/>
    <w:rsid w:val="2224B566"/>
    <w:rsid w:val="224D1035"/>
    <w:rsid w:val="2298F34C"/>
    <w:rsid w:val="22DA3A7F"/>
    <w:rsid w:val="22F70215"/>
    <w:rsid w:val="22FD4C67"/>
    <w:rsid w:val="232A9597"/>
    <w:rsid w:val="233137EB"/>
    <w:rsid w:val="23342905"/>
    <w:rsid w:val="234F8F48"/>
    <w:rsid w:val="238AE037"/>
    <w:rsid w:val="23AD4014"/>
    <w:rsid w:val="23AD5AC2"/>
    <w:rsid w:val="23BEC851"/>
    <w:rsid w:val="23D569A3"/>
    <w:rsid w:val="23F8DAA3"/>
    <w:rsid w:val="2400D541"/>
    <w:rsid w:val="240AEC0B"/>
    <w:rsid w:val="2499D99F"/>
    <w:rsid w:val="24B6A4A0"/>
    <w:rsid w:val="24BE4F5E"/>
    <w:rsid w:val="24E1A376"/>
    <w:rsid w:val="24E98158"/>
    <w:rsid w:val="254DAB90"/>
    <w:rsid w:val="2550CFCD"/>
    <w:rsid w:val="255760C8"/>
    <w:rsid w:val="2567597D"/>
    <w:rsid w:val="25732BB5"/>
    <w:rsid w:val="2578BB2F"/>
    <w:rsid w:val="25859826"/>
    <w:rsid w:val="25CBA1B0"/>
    <w:rsid w:val="25F16921"/>
    <w:rsid w:val="2619E5FA"/>
    <w:rsid w:val="261D0CC7"/>
    <w:rsid w:val="261DC97D"/>
    <w:rsid w:val="261E3203"/>
    <w:rsid w:val="2640A3E8"/>
    <w:rsid w:val="265DB31C"/>
    <w:rsid w:val="267D1CF0"/>
    <w:rsid w:val="269591A2"/>
    <w:rsid w:val="26FBD5CD"/>
    <w:rsid w:val="27763F62"/>
    <w:rsid w:val="278BE2B0"/>
    <w:rsid w:val="278D4C51"/>
    <w:rsid w:val="2795D7A5"/>
    <w:rsid w:val="27C7ADBD"/>
    <w:rsid w:val="27E249DE"/>
    <w:rsid w:val="28187078"/>
    <w:rsid w:val="28A227FB"/>
    <w:rsid w:val="28AFE304"/>
    <w:rsid w:val="28C5A650"/>
    <w:rsid w:val="2922F01D"/>
    <w:rsid w:val="2952916D"/>
    <w:rsid w:val="29AC850A"/>
    <w:rsid w:val="29C7DD08"/>
    <w:rsid w:val="2A1A7480"/>
    <w:rsid w:val="2A1E8D8F"/>
    <w:rsid w:val="2A544424"/>
    <w:rsid w:val="2AB735D2"/>
    <w:rsid w:val="2AB7C547"/>
    <w:rsid w:val="2ABB8BF1"/>
    <w:rsid w:val="2AD14DD0"/>
    <w:rsid w:val="2AE58F17"/>
    <w:rsid w:val="2AFC2846"/>
    <w:rsid w:val="2B295290"/>
    <w:rsid w:val="2B34244E"/>
    <w:rsid w:val="2B3B5D23"/>
    <w:rsid w:val="2B629768"/>
    <w:rsid w:val="2B79901C"/>
    <w:rsid w:val="2B941F70"/>
    <w:rsid w:val="2B9D86D5"/>
    <w:rsid w:val="2BB8E79E"/>
    <w:rsid w:val="2BD044EC"/>
    <w:rsid w:val="2BD3DB65"/>
    <w:rsid w:val="2BEE581F"/>
    <w:rsid w:val="2BF4F500"/>
    <w:rsid w:val="2C155964"/>
    <w:rsid w:val="2C64D699"/>
    <w:rsid w:val="2C8FEC32"/>
    <w:rsid w:val="2CA15962"/>
    <w:rsid w:val="2CCECC5F"/>
    <w:rsid w:val="2CD0F0D1"/>
    <w:rsid w:val="2CE5C3B2"/>
    <w:rsid w:val="2D275D39"/>
    <w:rsid w:val="2D28EB7F"/>
    <w:rsid w:val="2D2F7734"/>
    <w:rsid w:val="2D398E5B"/>
    <w:rsid w:val="2D3CC9A3"/>
    <w:rsid w:val="2D53E5CB"/>
    <w:rsid w:val="2D7C2BD2"/>
    <w:rsid w:val="2DCBA2DA"/>
    <w:rsid w:val="2DCF451A"/>
    <w:rsid w:val="2E10BC80"/>
    <w:rsid w:val="2E435E0C"/>
    <w:rsid w:val="2E65F586"/>
    <w:rsid w:val="2EAC5F87"/>
    <w:rsid w:val="2EEF2D81"/>
    <w:rsid w:val="2EF4AAD8"/>
    <w:rsid w:val="2F2C38C8"/>
    <w:rsid w:val="2F2DEE2A"/>
    <w:rsid w:val="2F394F67"/>
    <w:rsid w:val="2F69AAFA"/>
    <w:rsid w:val="2FC32992"/>
    <w:rsid w:val="2FDED7D0"/>
    <w:rsid w:val="2FF52055"/>
    <w:rsid w:val="2FF83583"/>
    <w:rsid w:val="300529EE"/>
    <w:rsid w:val="3026B3FB"/>
    <w:rsid w:val="3046B577"/>
    <w:rsid w:val="3050C7CC"/>
    <w:rsid w:val="30611DA3"/>
    <w:rsid w:val="30BD6C48"/>
    <w:rsid w:val="30D9B7A3"/>
    <w:rsid w:val="3140E0EC"/>
    <w:rsid w:val="316488C2"/>
    <w:rsid w:val="3179CDA9"/>
    <w:rsid w:val="318E27D9"/>
    <w:rsid w:val="319B4E3C"/>
    <w:rsid w:val="319B8D16"/>
    <w:rsid w:val="31AC8545"/>
    <w:rsid w:val="31C5166E"/>
    <w:rsid w:val="31CC049F"/>
    <w:rsid w:val="31DAE2CC"/>
    <w:rsid w:val="31DE03E0"/>
    <w:rsid w:val="31E49C4B"/>
    <w:rsid w:val="31F0CB97"/>
    <w:rsid w:val="32126F28"/>
    <w:rsid w:val="323A83FC"/>
    <w:rsid w:val="3248E0C7"/>
    <w:rsid w:val="324B8E25"/>
    <w:rsid w:val="325D9057"/>
    <w:rsid w:val="3260669C"/>
    <w:rsid w:val="329727C3"/>
    <w:rsid w:val="32A6BFDD"/>
    <w:rsid w:val="32BAE005"/>
    <w:rsid w:val="3310A2E2"/>
    <w:rsid w:val="331186B3"/>
    <w:rsid w:val="331581E2"/>
    <w:rsid w:val="3319690A"/>
    <w:rsid w:val="334376DD"/>
    <w:rsid w:val="33706C3F"/>
    <w:rsid w:val="338773E9"/>
    <w:rsid w:val="33A2C9CA"/>
    <w:rsid w:val="341CB4F8"/>
    <w:rsid w:val="3427C160"/>
    <w:rsid w:val="342CABDD"/>
    <w:rsid w:val="3438559C"/>
    <w:rsid w:val="34619CC9"/>
    <w:rsid w:val="3472FEED"/>
    <w:rsid w:val="34788BCF"/>
    <w:rsid w:val="34AEA6F2"/>
    <w:rsid w:val="34AF0C32"/>
    <w:rsid w:val="34D54821"/>
    <w:rsid w:val="34DA1B67"/>
    <w:rsid w:val="34DC578D"/>
    <w:rsid w:val="34F96FF5"/>
    <w:rsid w:val="351017AC"/>
    <w:rsid w:val="351BA5A7"/>
    <w:rsid w:val="354AE8EF"/>
    <w:rsid w:val="354B6FBC"/>
    <w:rsid w:val="35872C00"/>
    <w:rsid w:val="35A8706C"/>
    <w:rsid w:val="35C226D7"/>
    <w:rsid w:val="35D8AF7F"/>
    <w:rsid w:val="35E73754"/>
    <w:rsid w:val="3614EA8A"/>
    <w:rsid w:val="3615214A"/>
    <w:rsid w:val="36225EB2"/>
    <w:rsid w:val="365BE97E"/>
    <w:rsid w:val="366B3222"/>
    <w:rsid w:val="366F525D"/>
    <w:rsid w:val="3691EB84"/>
    <w:rsid w:val="36A93C0C"/>
    <w:rsid w:val="36AD7397"/>
    <w:rsid w:val="36B2EA01"/>
    <w:rsid w:val="36E729EF"/>
    <w:rsid w:val="36F55D05"/>
    <w:rsid w:val="37164986"/>
    <w:rsid w:val="37492ABE"/>
    <w:rsid w:val="37545E74"/>
    <w:rsid w:val="37694640"/>
    <w:rsid w:val="37ABA36F"/>
    <w:rsid w:val="37D6D75E"/>
    <w:rsid w:val="38045D76"/>
    <w:rsid w:val="381AD6A7"/>
    <w:rsid w:val="384AFC1B"/>
    <w:rsid w:val="3857F1FD"/>
    <w:rsid w:val="386518C9"/>
    <w:rsid w:val="389F7FC7"/>
    <w:rsid w:val="38C4674E"/>
    <w:rsid w:val="38DEDFD3"/>
    <w:rsid w:val="391F5B99"/>
    <w:rsid w:val="395A5F30"/>
    <w:rsid w:val="395A96A1"/>
    <w:rsid w:val="395CE450"/>
    <w:rsid w:val="396E43CD"/>
    <w:rsid w:val="3991FA48"/>
    <w:rsid w:val="39AF055E"/>
    <w:rsid w:val="39D5DE7A"/>
    <w:rsid w:val="39E17673"/>
    <w:rsid w:val="39EC1799"/>
    <w:rsid w:val="39F87BCC"/>
    <w:rsid w:val="3A07B36B"/>
    <w:rsid w:val="3A4712D2"/>
    <w:rsid w:val="3A69CBF1"/>
    <w:rsid w:val="3A8DE360"/>
    <w:rsid w:val="3AACEDCC"/>
    <w:rsid w:val="3AB3B95A"/>
    <w:rsid w:val="3AF35AEF"/>
    <w:rsid w:val="3AFA7D6C"/>
    <w:rsid w:val="3B3519E1"/>
    <w:rsid w:val="3B55AF63"/>
    <w:rsid w:val="3BCFD820"/>
    <w:rsid w:val="3BE360DC"/>
    <w:rsid w:val="3BEF17B3"/>
    <w:rsid w:val="3BF4611F"/>
    <w:rsid w:val="3C2C2E83"/>
    <w:rsid w:val="3C76E008"/>
    <w:rsid w:val="3CBBA345"/>
    <w:rsid w:val="3CCDD073"/>
    <w:rsid w:val="3CEB4887"/>
    <w:rsid w:val="3CEE8E7D"/>
    <w:rsid w:val="3CFE42A3"/>
    <w:rsid w:val="3CFF312D"/>
    <w:rsid w:val="3D7EE2FF"/>
    <w:rsid w:val="3D869DA8"/>
    <w:rsid w:val="3DD4A26D"/>
    <w:rsid w:val="3DE9A60B"/>
    <w:rsid w:val="3E2AC96C"/>
    <w:rsid w:val="3E3FB66C"/>
    <w:rsid w:val="3E5AFA26"/>
    <w:rsid w:val="3E5B9D39"/>
    <w:rsid w:val="3E8F7E47"/>
    <w:rsid w:val="3EB98ACF"/>
    <w:rsid w:val="3EDADE6D"/>
    <w:rsid w:val="3EE2E9B3"/>
    <w:rsid w:val="3EF69DCB"/>
    <w:rsid w:val="3EFA84E3"/>
    <w:rsid w:val="3F017027"/>
    <w:rsid w:val="3F439174"/>
    <w:rsid w:val="3F76E5E1"/>
    <w:rsid w:val="3FB289E1"/>
    <w:rsid w:val="405B57BB"/>
    <w:rsid w:val="406440EF"/>
    <w:rsid w:val="40650A4A"/>
    <w:rsid w:val="40709117"/>
    <w:rsid w:val="409A2815"/>
    <w:rsid w:val="40C9D64F"/>
    <w:rsid w:val="40FF67B1"/>
    <w:rsid w:val="41360CF6"/>
    <w:rsid w:val="41399F5B"/>
    <w:rsid w:val="4144A3D7"/>
    <w:rsid w:val="4145A73E"/>
    <w:rsid w:val="414863A0"/>
    <w:rsid w:val="41CEDE7A"/>
    <w:rsid w:val="41E4D64F"/>
    <w:rsid w:val="41E6CEAA"/>
    <w:rsid w:val="4226C907"/>
    <w:rsid w:val="4253E060"/>
    <w:rsid w:val="42674B74"/>
    <w:rsid w:val="426B2326"/>
    <w:rsid w:val="42A5FC29"/>
    <w:rsid w:val="42BB3D56"/>
    <w:rsid w:val="42DA1812"/>
    <w:rsid w:val="42E0A529"/>
    <w:rsid w:val="434E6EC2"/>
    <w:rsid w:val="436FBACB"/>
    <w:rsid w:val="439914CF"/>
    <w:rsid w:val="43B36A42"/>
    <w:rsid w:val="43C106B5"/>
    <w:rsid w:val="43D00137"/>
    <w:rsid w:val="43E75E63"/>
    <w:rsid w:val="43E931FB"/>
    <w:rsid w:val="43F3B125"/>
    <w:rsid w:val="43F43E6D"/>
    <w:rsid w:val="44A293E4"/>
    <w:rsid w:val="44A7CA24"/>
    <w:rsid w:val="45550D80"/>
    <w:rsid w:val="4556030F"/>
    <w:rsid w:val="45652B7E"/>
    <w:rsid w:val="456BBFF3"/>
    <w:rsid w:val="457095D6"/>
    <w:rsid w:val="458E5695"/>
    <w:rsid w:val="4596B135"/>
    <w:rsid w:val="45B12744"/>
    <w:rsid w:val="45D3B4EA"/>
    <w:rsid w:val="45FDF26C"/>
    <w:rsid w:val="460FA520"/>
    <w:rsid w:val="4641A1B1"/>
    <w:rsid w:val="465BF05F"/>
    <w:rsid w:val="466A227F"/>
    <w:rsid w:val="46AAA1D8"/>
    <w:rsid w:val="46B78DC4"/>
    <w:rsid w:val="46C847C1"/>
    <w:rsid w:val="46E147BC"/>
    <w:rsid w:val="47575B9E"/>
    <w:rsid w:val="4771BA26"/>
    <w:rsid w:val="47A42C59"/>
    <w:rsid w:val="4827342C"/>
    <w:rsid w:val="4833CD41"/>
    <w:rsid w:val="490ED399"/>
    <w:rsid w:val="49496CAF"/>
    <w:rsid w:val="494DF1A0"/>
    <w:rsid w:val="496A5953"/>
    <w:rsid w:val="496B2CA0"/>
    <w:rsid w:val="4990D651"/>
    <w:rsid w:val="49C2BB79"/>
    <w:rsid w:val="49F00C43"/>
    <w:rsid w:val="4A88EB2B"/>
    <w:rsid w:val="4ACE9787"/>
    <w:rsid w:val="4AD3820F"/>
    <w:rsid w:val="4B283DF2"/>
    <w:rsid w:val="4B641FB8"/>
    <w:rsid w:val="4B67719C"/>
    <w:rsid w:val="4B7EC7E6"/>
    <w:rsid w:val="4B87B5F7"/>
    <w:rsid w:val="4B9257B1"/>
    <w:rsid w:val="4B95E325"/>
    <w:rsid w:val="4BE3FC5D"/>
    <w:rsid w:val="4BE4C5CF"/>
    <w:rsid w:val="4BF5D3A9"/>
    <w:rsid w:val="4C146E0D"/>
    <w:rsid w:val="4C1C6F08"/>
    <w:rsid w:val="4C631F70"/>
    <w:rsid w:val="4CCE3FE8"/>
    <w:rsid w:val="4D048851"/>
    <w:rsid w:val="4D103C05"/>
    <w:rsid w:val="4D11115E"/>
    <w:rsid w:val="4D1D7EBB"/>
    <w:rsid w:val="4D3FE67B"/>
    <w:rsid w:val="4DA7BD7E"/>
    <w:rsid w:val="4DB5C1EF"/>
    <w:rsid w:val="4E03C742"/>
    <w:rsid w:val="4E2BB6BB"/>
    <w:rsid w:val="4E353D32"/>
    <w:rsid w:val="4E4082BB"/>
    <w:rsid w:val="4E43D44A"/>
    <w:rsid w:val="4E902932"/>
    <w:rsid w:val="4EC141B9"/>
    <w:rsid w:val="4EC91AA0"/>
    <w:rsid w:val="4EF0B7A3"/>
    <w:rsid w:val="4F114E0D"/>
    <w:rsid w:val="4F18D2E3"/>
    <w:rsid w:val="4F1B213A"/>
    <w:rsid w:val="4F2D7451"/>
    <w:rsid w:val="4F30270A"/>
    <w:rsid w:val="4F47DF31"/>
    <w:rsid w:val="4F556664"/>
    <w:rsid w:val="4F60A298"/>
    <w:rsid w:val="4F932673"/>
    <w:rsid w:val="4FC31F55"/>
    <w:rsid w:val="4FCECBCC"/>
    <w:rsid w:val="4FD5989E"/>
    <w:rsid w:val="4FD91163"/>
    <w:rsid w:val="4FF7D193"/>
    <w:rsid w:val="5034AF1A"/>
    <w:rsid w:val="506BD207"/>
    <w:rsid w:val="508B1401"/>
    <w:rsid w:val="508D5EFF"/>
    <w:rsid w:val="509E2101"/>
    <w:rsid w:val="50A5BDFD"/>
    <w:rsid w:val="50BCF8ED"/>
    <w:rsid w:val="50BE886E"/>
    <w:rsid w:val="50DB21BD"/>
    <w:rsid w:val="50E00173"/>
    <w:rsid w:val="50E684EE"/>
    <w:rsid w:val="50FEC795"/>
    <w:rsid w:val="5113FD75"/>
    <w:rsid w:val="51151225"/>
    <w:rsid w:val="5171DE7C"/>
    <w:rsid w:val="51A3E1E9"/>
    <w:rsid w:val="51C1AC8B"/>
    <w:rsid w:val="51C48668"/>
    <w:rsid w:val="52094E2D"/>
    <w:rsid w:val="5270BC68"/>
    <w:rsid w:val="5276DA11"/>
    <w:rsid w:val="527E9C74"/>
    <w:rsid w:val="529A4F8B"/>
    <w:rsid w:val="531780F3"/>
    <w:rsid w:val="533F4BCD"/>
    <w:rsid w:val="538704BA"/>
    <w:rsid w:val="53977B21"/>
    <w:rsid w:val="53B6FF26"/>
    <w:rsid w:val="53C7DE29"/>
    <w:rsid w:val="53F5A5E1"/>
    <w:rsid w:val="542F5D36"/>
    <w:rsid w:val="543BD870"/>
    <w:rsid w:val="54545A13"/>
    <w:rsid w:val="547A7DB7"/>
    <w:rsid w:val="54D9F648"/>
    <w:rsid w:val="54F32F9D"/>
    <w:rsid w:val="550CE4DF"/>
    <w:rsid w:val="556EB533"/>
    <w:rsid w:val="55EF758A"/>
    <w:rsid w:val="55F08BE1"/>
    <w:rsid w:val="560AEA6C"/>
    <w:rsid w:val="560DF764"/>
    <w:rsid w:val="56111395"/>
    <w:rsid w:val="561A30E4"/>
    <w:rsid w:val="562C0014"/>
    <w:rsid w:val="564D8AB1"/>
    <w:rsid w:val="565C104B"/>
    <w:rsid w:val="569414F0"/>
    <w:rsid w:val="56C90243"/>
    <w:rsid w:val="56D0529E"/>
    <w:rsid w:val="56D07CEF"/>
    <w:rsid w:val="56D6B5FB"/>
    <w:rsid w:val="5707327E"/>
    <w:rsid w:val="570E8426"/>
    <w:rsid w:val="571686FF"/>
    <w:rsid w:val="571751E9"/>
    <w:rsid w:val="571F5953"/>
    <w:rsid w:val="574DCCE0"/>
    <w:rsid w:val="57572C90"/>
    <w:rsid w:val="578BCCFD"/>
    <w:rsid w:val="57A9F8E1"/>
    <w:rsid w:val="57BF77E7"/>
    <w:rsid w:val="57C192BC"/>
    <w:rsid w:val="57CE8CB3"/>
    <w:rsid w:val="57E39E82"/>
    <w:rsid w:val="57E730CF"/>
    <w:rsid w:val="5812DCBE"/>
    <w:rsid w:val="5829ADF1"/>
    <w:rsid w:val="58A32D27"/>
    <w:rsid w:val="58AD2705"/>
    <w:rsid w:val="592A35D7"/>
    <w:rsid w:val="593CD513"/>
    <w:rsid w:val="593D2CD0"/>
    <w:rsid w:val="5959D059"/>
    <w:rsid w:val="595FA7FC"/>
    <w:rsid w:val="59B5E842"/>
    <w:rsid w:val="59BA0427"/>
    <w:rsid w:val="59C41ECF"/>
    <w:rsid w:val="59C5E6BD"/>
    <w:rsid w:val="59D1A831"/>
    <w:rsid w:val="59F79150"/>
    <w:rsid w:val="5A36FE4D"/>
    <w:rsid w:val="5A38C004"/>
    <w:rsid w:val="5ABCC3BA"/>
    <w:rsid w:val="5B3423BB"/>
    <w:rsid w:val="5B37524E"/>
    <w:rsid w:val="5B4A90F9"/>
    <w:rsid w:val="5B937664"/>
    <w:rsid w:val="5BBDDD33"/>
    <w:rsid w:val="5BCDCA3B"/>
    <w:rsid w:val="5BD02505"/>
    <w:rsid w:val="5C005752"/>
    <w:rsid w:val="5C4CF30D"/>
    <w:rsid w:val="5C8ADDB8"/>
    <w:rsid w:val="5C9AB90E"/>
    <w:rsid w:val="5CEDC892"/>
    <w:rsid w:val="5D023AA6"/>
    <w:rsid w:val="5D160C93"/>
    <w:rsid w:val="5D405AF5"/>
    <w:rsid w:val="5D479833"/>
    <w:rsid w:val="5D4D6229"/>
    <w:rsid w:val="5D7B8920"/>
    <w:rsid w:val="5D7E2C1D"/>
    <w:rsid w:val="5D8D48DC"/>
    <w:rsid w:val="5DB6F337"/>
    <w:rsid w:val="5DD88181"/>
    <w:rsid w:val="5DDDE942"/>
    <w:rsid w:val="5E02DA87"/>
    <w:rsid w:val="5E086EEA"/>
    <w:rsid w:val="5E154E11"/>
    <w:rsid w:val="5E49CACD"/>
    <w:rsid w:val="5E4E4D8A"/>
    <w:rsid w:val="5E714745"/>
    <w:rsid w:val="5E71E06C"/>
    <w:rsid w:val="5E81600D"/>
    <w:rsid w:val="5EC7FE67"/>
    <w:rsid w:val="5F09507E"/>
    <w:rsid w:val="5F098D9D"/>
    <w:rsid w:val="5F195384"/>
    <w:rsid w:val="5F611DAF"/>
    <w:rsid w:val="5F700502"/>
    <w:rsid w:val="5F7A6CED"/>
    <w:rsid w:val="5FE85442"/>
    <w:rsid w:val="5FFED2E8"/>
    <w:rsid w:val="6004238D"/>
    <w:rsid w:val="6013847D"/>
    <w:rsid w:val="6020D34A"/>
    <w:rsid w:val="605E312D"/>
    <w:rsid w:val="6071F31F"/>
    <w:rsid w:val="60914AA4"/>
    <w:rsid w:val="60955B92"/>
    <w:rsid w:val="6095CC98"/>
    <w:rsid w:val="6096F3CF"/>
    <w:rsid w:val="60B79684"/>
    <w:rsid w:val="60C34CCC"/>
    <w:rsid w:val="60E237DA"/>
    <w:rsid w:val="61231451"/>
    <w:rsid w:val="613B809F"/>
    <w:rsid w:val="615298AA"/>
    <w:rsid w:val="61546D2B"/>
    <w:rsid w:val="6159E3ED"/>
    <w:rsid w:val="6169EACE"/>
    <w:rsid w:val="6186B9FE"/>
    <w:rsid w:val="619A8E78"/>
    <w:rsid w:val="619C1B42"/>
    <w:rsid w:val="61A51D45"/>
    <w:rsid w:val="61C0A079"/>
    <w:rsid w:val="61C34D38"/>
    <w:rsid w:val="62241333"/>
    <w:rsid w:val="62A184EE"/>
    <w:rsid w:val="630D7577"/>
    <w:rsid w:val="630D9864"/>
    <w:rsid w:val="6329758D"/>
    <w:rsid w:val="6350177C"/>
    <w:rsid w:val="635A60F5"/>
    <w:rsid w:val="636E9FAA"/>
    <w:rsid w:val="63C193F0"/>
    <w:rsid w:val="63E153D7"/>
    <w:rsid w:val="6416E772"/>
    <w:rsid w:val="6432B55D"/>
    <w:rsid w:val="644FAB53"/>
    <w:rsid w:val="648C8859"/>
    <w:rsid w:val="64C7BFBA"/>
    <w:rsid w:val="64CCB156"/>
    <w:rsid w:val="64EB936C"/>
    <w:rsid w:val="6505B8EE"/>
    <w:rsid w:val="6515B503"/>
    <w:rsid w:val="6558CC2B"/>
    <w:rsid w:val="658422EB"/>
    <w:rsid w:val="65B13DF8"/>
    <w:rsid w:val="65DE4B70"/>
    <w:rsid w:val="65F99D3A"/>
    <w:rsid w:val="66065130"/>
    <w:rsid w:val="665ECBA0"/>
    <w:rsid w:val="665F6377"/>
    <w:rsid w:val="66A99DC7"/>
    <w:rsid w:val="66D3F7AF"/>
    <w:rsid w:val="66D4A5E1"/>
    <w:rsid w:val="670BD9EE"/>
    <w:rsid w:val="67572B05"/>
    <w:rsid w:val="676A97AF"/>
    <w:rsid w:val="67840E59"/>
    <w:rsid w:val="67987D60"/>
    <w:rsid w:val="67D5583F"/>
    <w:rsid w:val="67D5CBD5"/>
    <w:rsid w:val="67E0DD19"/>
    <w:rsid w:val="6838CD4B"/>
    <w:rsid w:val="6842A1F1"/>
    <w:rsid w:val="684C1205"/>
    <w:rsid w:val="6859C1FC"/>
    <w:rsid w:val="68826929"/>
    <w:rsid w:val="68C661C8"/>
    <w:rsid w:val="691784B3"/>
    <w:rsid w:val="696244D9"/>
    <w:rsid w:val="696BDEE5"/>
    <w:rsid w:val="6998D497"/>
    <w:rsid w:val="699A91E6"/>
    <w:rsid w:val="69BC3B27"/>
    <w:rsid w:val="6A168357"/>
    <w:rsid w:val="6A2B6D73"/>
    <w:rsid w:val="6A566643"/>
    <w:rsid w:val="6A8C4ACA"/>
    <w:rsid w:val="6A8E4BFA"/>
    <w:rsid w:val="6A949C83"/>
    <w:rsid w:val="6AA0A557"/>
    <w:rsid w:val="6AAC5BF1"/>
    <w:rsid w:val="6AC4025F"/>
    <w:rsid w:val="6AE0FCB0"/>
    <w:rsid w:val="6AF1DF5A"/>
    <w:rsid w:val="6B502139"/>
    <w:rsid w:val="6B5BF65F"/>
    <w:rsid w:val="6B5EFDFE"/>
    <w:rsid w:val="6B606A3B"/>
    <w:rsid w:val="6B64185A"/>
    <w:rsid w:val="6B6D3116"/>
    <w:rsid w:val="6BA2EBD9"/>
    <w:rsid w:val="6BA7DC75"/>
    <w:rsid w:val="6BB674EF"/>
    <w:rsid w:val="6BCA354C"/>
    <w:rsid w:val="6BF155AC"/>
    <w:rsid w:val="6C02A975"/>
    <w:rsid w:val="6C413C94"/>
    <w:rsid w:val="6C492836"/>
    <w:rsid w:val="6C898303"/>
    <w:rsid w:val="6C994759"/>
    <w:rsid w:val="6CBE52F3"/>
    <w:rsid w:val="6CF29965"/>
    <w:rsid w:val="6D0E6100"/>
    <w:rsid w:val="6D2F5D2D"/>
    <w:rsid w:val="6D45B1FF"/>
    <w:rsid w:val="6D4AB556"/>
    <w:rsid w:val="6DBCAE8E"/>
    <w:rsid w:val="6DE430E2"/>
    <w:rsid w:val="6E00F49B"/>
    <w:rsid w:val="6E1CA6F7"/>
    <w:rsid w:val="6E1CCC54"/>
    <w:rsid w:val="6E21A49A"/>
    <w:rsid w:val="6EAA69E6"/>
    <w:rsid w:val="6EB9ACBD"/>
    <w:rsid w:val="6F01C0C8"/>
    <w:rsid w:val="6F0715D3"/>
    <w:rsid w:val="6F3BC143"/>
    <w:rsid w:val="6F478FF5"/>
    <w:rsid w:val="6F50ADA8"/>
    <w:rsid w:val="6F7D2A91"/>
    <w:rsid w:val="6F8A9F24"/>
    <w:rsid w:val="6F9CA3F0"/>
    <w:rsid w:val="6FCFAE04"/>
    <w:rsid w:val="6FD5A1CD"/>
    <w:rsid w:val="6FF3A2AB"/>
    <w:rsid w:val="70052904"/>
    <w:rsid w:val="702CF4CF"/>
    <w:rsid w:val="703B7D8D"/>
    <w:rsid w:val="703CDE50"/>
    <w:rsid w:val="7052B8FE"/>
    <w:rsid w:val="705318AF"/>
    <w:rsid w:val="705E6113"/>
    <w:rsid w:val="708690DD"/>
    <w:rsid w:val="708C057E"/>
    <w:rsid w:val="709151CC"/>
    <w:rsid w:val="70A5AA56"/>
    <w:rsid w:val="70A6C42D"/>
    <w:rsid w:val="70AF1146"/>
    <w:rsid w:val="70C6BE8E"/>
    <w:rsid w:val="70EBEBE0"/>
    <w:rsid w:val="7108E4D4"/>
    <w:rsid w:val="712080DE"/>
    <w:rsid w:val="717A49C4"/>
    <w:rsid w:val="71820609"/>
    <w:rsid w:val="71AEAD14"/>
    <w:rsid w:val="7264F197"/>
    <w:rsid w:val="7288B156"/>
    <w:rsid w:val="72E26C79"/>
    <w:rsid w:val="7319EAC7"/>
    <w:rsid w:val="739D5E81"/>
    <w:rsid w:val="73B28393"/>
    <w:rsid w:val="7430CD45"/>
    <w:rsid w:val="743181D6"/>
    <w:rsid w:val="744C2D93"/>
    <w:rsid w:val="745CA67A"/>
    <w:rsid w:val="74867996"/>
    <w:rsid w:val="74BC4B51"/>
    <w:rsid w:val="74DEC4E3"/>
    <w:rsid w:val="750F5B77"/>
    <w:rsid w:val="75347101"/>
    <w:rsid w:val="7538EF4F"/>
    <w:rsid w:val="7568C015"/>
    <w:rsid w:val="7573607B"/>
    <w:rsid w:val="758C11CD"/>
    <w:rsid w:val="75995A4E"/>
    <w:rsid w:val="75B53693"/>
    <w:rsid w:val="75E53AF9"/>
    <w:rsid w:val="76047E7B"/>
    <w:rsid w:val="7622A4AB"/>
    <w:rsid w:val="76317CB7"/>
    <w:rsid w:val="765C4EFD"/>
    <w:rsid w:val="7678D850"/>
    <w:rsid w:val="767B0E43"/>
    <w:rsid w:val="76A727CC"/>
    <w:rsid w:val="76BAEF53"/>
    <w:rsid w:val="76F7824F"/>
    <w:rsid w:val="7737E021"/>
    <w:rsid w:val="7755CD88"/>
    <w:rsid w:val="776721E7"/>
    <w:rsid w:val="778073D6"/>
    <w:rsid w:val="77C8B311"/>
    <w:rsid w:val="77D707B7"/>
    <w:rsid w:val="77EF3C62"/>
    <w:rsid w:val="780BA929"/>
    <w:rsid w:val="785AB0BE"/>
    <w:rsid w:val="78710A68"/>
    <w:rsid w:val="78930267"/>
    <w:rsid w:val="78999DEB"/>
    <w:rsid w:val="78A33B2D"/>
    <w:rsid w:val="78AF1AF1"/>
    <w:rsid w:val="78DFBA44"/>
    <w:rsid w:val="78EA3C77"/>
    <w:rsid w:val="79367780"/>
    <w:rsid w:val="793DF1C6"/>
    <w:rsid w:val="79714C6A"/>
    <w:rsid w:val="79C1F7B4"/>
    <w:rsid w:val="79EB6D82"/>
    <w:rsid w:val="7A04C737"/>
    <w:rsid w:val="7A22103B"/>
    <w:rsid w:val="7A228918"/>
    <w:rsid w:val="7A243AA0"/>
    <w:rsid w:val="7A2598D1"/>
    <w:rsid w:val="7A43B2CC"/>
    <w:rsid w:val="7A4C9788"/>
    <w:rsid w:val="7A593442"/>
    <w:rsid w:val="7A5EE01A"/>
    <w:rsid w:val="7A720415"/>
    <w:rsid w:val="7A8011A3"/>
    <w:rsid w:val="7AA70F1A"/>
    <w:rsid w:val="7AC78C95"/>
    <w:rsid w:val="7AEA9AF9"/>
    <w:rsid w:val="7B4473EF"/>
    <w:rsid w:val="7B4AF599"/>
    <w:rsid w:val="7B79D3ED"/>
    <w:rsid w:val="7B83FEDA"/>
    <w:rsid w:val="7BB8E0C5"/>
    <w:rsid w:val="7BD1729C"/>
    <w:rsid w:val="7C221114"/>
    <w:rsid w:val="7C2767FB"/>
    <w:rsid w:val="7C41CAFE"/>
    <w:rsid w:val="7C89B556"/>
    <w:rsid w:val="7C91C532"/>
    <w:rsid w:val="7C9CA0B3"/>
    <w:rsid w:val="7CA0C132"/>
    <w:rsid w:val="7CCB4983"/>
    <w:rsid w:val="7CCBB7FD"/>
    <w:rsid w:val="7D098973"/>
    <w:rsid w:val="7D255CB2"/>
    <w:rsid w:val="7D6CF492"/>
    <w:rsid w:val="7D8D9BBF"/>
    <w:rsid w:val="7DA0BFB7"/>
    <w:rsid w:val="7E13C8D5"/>
    <w:rsid w:val="7E191E99"/>
    <w:rsid w:val="7E30A4DC"/>
    <w:rsid w:val="7E5EC56C"/>
    <w:rsid w:val="7E5F5E21"/>
    <w:rsid w:val="7E6CCABB"/>
    <w:rsid w:val="7EC33FC2"/>
    <w:rsid w:val="7EDEF7C1"/>
    <w:rsid w:val="7EEC2751"/>
    <w:rsid w:val="7F24FC49"/>
    <w:rsid w:val="7F39DA8D"/>
    <w:rsid w:val="7F5C6EE3"/>
    <w:rsid w:val="7F759DF8"/>
    <w:rsid w:val="7FB42189"/>
    <w:rsid w:val="7FB68629"/>
    <w:rsid w:val="7FCE95EA"/>
    <w:rsid w:val="7FCF49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67A6"/>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RTI AMCP Table,HTAtableplain,Dossier Table,Dossier table,Section 3- footnotes,Legemiddelverket 3,Summary Table,Tabellengitternetz 9pt,Standar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ind w:hanging="720"/>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9"/>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3126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31263"/>
    <w:rPr>
      <w:rFonts w:ascii="Arial Narrow" w:hAnsi="Arial Narrow" w:cs="Arial"/>
      <w:snapToGrid w:val="0"/>
      <w:sz w:val="18"/>
      <w:szCs w:val="22"/>
    </w:rPr>
  </w:style>
  <w:style w:type="table" w:customStyle="1" w:styleId="Section3-footnotes1">
    <w:name w:val="Section 3- footnotes1"/>
    <w:basedOn w:val="TableNormal"/>
    <w:next w:val="TableGrid"/>
    <w:rsid w:val="00373A6A"/>
    <w:rPr>
      <w:rFonts w:ascii="Calibri" w:eastAsia="Calibri" w:hAnsi="Calibri" w:cs="Calibri (Body)"/>
      <w:sz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TableLeft">
    <w:name w:val="Table Left"/>
    <w:basedOn w:val="Normal"/>
    <w:link w:val="TableLeftChar"/>
    <w:uiPriority w:val="99"/>
    <w:rsid w:val="00B76EC2"/>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B76EC2"/>
    <w:rPr>
      <w:rFonts w:ascii="Calibri" w:eastAsiaTheme="majorEastAsia" w:hAnsi="Calibri" w:cstheme="majorBidi"/>
      <w:sz w:val="18"/>
      <w:szCs w:val="22"/>
      <w:lang w:eastAsia="en-US" w:bidi="en-US"/>
    </w:rPr>
  </w:style>
  <w:style w:type="paragraph" w:styleId="FootnoteText">
    <w:name w:val="footnote text"/>
    <w:basedOn w:val="Normal"/>
    <w:link w:val="FootnoteTextChar"/>
    <w:semiHidden/>
    <w:unhideWhenUsed/>
    <w:rsid w:val="00EB0321"/>
    <w:rPr>
      <w:sz w:val="20"/>
      <w:szCs w:val="20"/>
    </w:rPr>
  </w:style>
  <w:style w:type="character" w:customStyle="1" w:styleId="FootnoteTextChar">
    <w:name w:val="Footnote Text Char"/>
    <w:basedOn w:val="DefaultParagraphFont"/>
    <w:link w:val="FootnoteText"/>
    <w:semiHidden/>
    <w:rsid w:val="00EB0321"/>
    <w:rPr>
      <w:rFonts w:ascii="Calibri" w:hAnsi="Calibri" w:cs="Arial"/>
    </w:rPr>
  </w:style>
  <w:style w:type="character" w:styleId="FootnoteReference">
    <w:name w:val="footnote reference"/>
    <w:basedOn w:val="DefaultParagraphFont"/>
    <w:semiHidden/>
    <w:unhideWhenUsed/>
    <w:rsid w:val="00EB0321"/>
    <w:rPr>
      <w:vertAlign w:val="superscript"/>
    </w:rPr>
  </w:style>
  <w:style w:type="table" w:customStyle="1" w:styleId="Eviera-201829">
    <w:name w:val="Eviera - 201829"/>
    <w:basedOn w:val="TableNormal"/>
    <w:uiPriority w:val="99"/>
    <w:qFormat/>
    <w:rsid w:val="00BB1774"/>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character" w:customStyle="1" w:styleId="ui-provider">
    <w:name w:val="ui-provider"/>
    <w:basedOn w:val="DefaultParagraphFont"/>
    <w:rsid w:val="000B1471"/>
  </w:style>
  <w:style w:type="table" w:customStyle="1" w:styleId="Eviera-20187">
    <w:name w:val="Eviera - 20187"/>
    <w:basedOn w:val="TableNormal"/>
    <w:uiPriority w:val="99"/>
    <w:qFormat/>
    <w:rsid w:val="00516AC4"/>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8">
    <w:name w:val="Eviera - 20188"/>
    <w:basedOn w:val="TableNormal"/>
    <w:uiPriority w:val="99"/>
    <w:qFormat/>
    <w:rsid w:val="00B27696"/>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10">
    <w:name w:val="Eviera - 201810"/>
    <w:basedOn w:val="TableNormal"/>
    <w:uiPriority w:val="99"/>
    <w:qFormat/>
    <w:rsid w:val="005C64AC"/>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31">
    <w:name w:val="Eviera - 201831"/>
    <w:basedOn w:val="TableNormal"/>
    <w:uiPriority w:val="99"/>
    <w:qFormat/>
    <w:rsid w:val="00142A95"/>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table" w:customStyle="1" w:styleId="Eviera-20189">
    <w:name w:val="Eviera - 20189"/>
    <w:basedOn w:val="TableNormal"/>
    <w:uiPriority w:val="99"/>
    <w:qFormat/>
    <w:rsid w:val="0085561F"/>
    <w:pPr>
      <w:spacing w:before="40" w:after="40"/>
    </w:pPr>
    <w:rPr>
      <w:rFonts w:ascii="Calibri Light" w:eastAsiaTheme="minorHAnsi" w:hAnsi="Calibri Light"/>
      <w:sz w:val="18"/>
      <w:szCs w:val="22"/>
      <w:lang w:val="en-US" w:eastAsia="en-US"/>
    </w:rPr>
    <w:tblPr>
      <w:tblStyleRowBandSize w:val="1"/>
      <w:tblBorders>
        <w:top w:val="single" w:sz="12" w:space="0" w:color="27AAE1"/>
        <w:left w:val="single" w:sz="12" w:space="0" w:color="27AAE1"/>
        <w:bottom w:val="single" w:sz="12" w:space="0" w:color="27AAE1"/>
        <w:right w:val="single" w:sz="12" w:space="0" w:color="27AAE1"/>
        <w:insideH w:val="single" w:sz="4" w:space="0" w:color="27AAE1"/>
        <w:insideV w:val="single" w:sz="4" w:space="0" w:color="27AAE1"/>
      </w:tblBorders>
    </w:tblPr>
    <w:tcPr>
      <w:shd w:val="clear" w:color="auto" w:fill="auto"/>
    </w:tcPr>
    <w:tblStylePr w:type="firstRow">
      <w:pPr>
        <w:jc w:val="center"/>
      </w:pPr>
      <w:rPr>
        <w:rFonts w:ascii="Calibri Light" w:hAnsi="Calibri Light"/>
        <w:b/>
        <w:color w:val="FFFFFF"/>
        <w:sz w:val="18"/>
      </w:rPr>
      <w:tblPr/>
      <w:trPr>
        <w:tblHeader/>
      </w:trPr>
      <w:tcPr>
        <w:shd w:val="clear" w:color="auto" w:fill="27AAE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27AAE1"/>
        <w:sz w:val="18"/>
      </w:rPr>
      <w:tblPr/>
      <w:tcPr>
        <w:vAlign w:val="center"/>
      </w:tcPr>
    </w:tblStylePr>
  </w:style>
  <w:style w:type="character" w:styleId="Strong">
    <w:name w:val="Strong"/>
    <w:basedOn w:val="DefaultParagraphFont"/>
    <w:uiPriority w:val="22"/>
    <w:qFormat/>
    <w:rsid w:val="00D734CC"/>
    <w:rPr>
      <w:b/>
      <w:bCs/>
    </w:rPr>
  </w:style>
  <w:style w:type="character" w:styleId="Mention">
    <w:name w:val="Mention"/>
    <w:basedOn w:val="DefaultParagraphFont"/>
    <w:uiPriority w:val="99"/>
    <w:unhideWhenUsed/>
    <w:rsid w:val="00FE233E"/>
    <w:rPr>
      <w:color w:val="2B579A"/>
      <w:shd w:val="clear" w:color="auto" w:fill="E1DFDD"/>
    </w:rPr>
  </w:style>
  <w:style w:type="character" w:styleId="UnresolvedMention">
    <w:name w:val="Unresolved Mention"/>
    <w:basedOn w:val="DefaultParagraphFont"/>
    <w:uiPriority w:val="99"/>
    <w:unhideWhenUsed/>
    <w:rsid w:val="0025722D"/>
    <w:rPr>
      <w:color w:val="605E5C"/>
      <w:shd w:val="clear" w:color="auto" w:fill="E1DFDD"/>
    </w:rPr>
  </w:style>
  <w:style w:type="paragraph" w:customStyle="1" w:styleId="pf0">
    <w:name w:val="pf0"/>
    <w:basedOn w:val="Normal"/>
    <w:rsid w:val="00E8720C"/>
    <w:pPr>
      <w:spacing w:before="100" w:beforeAutospacing="1" w:after="100" w:afterAutospacing="1"/>
      <w:jc w:val="left"/>
    </w:pPr>
    <w:rPr>
      <w:rFonts w:ascii="Times New Roman" w:hAnsi="Times New Roman" w:cs="Times New Roman"/>
    </w:rPr>
  </w:style>
  <w:style w:type="paragraph" w:styleId="BodyText3">
    <w:name w:val="Body Text 3"/>
    <w:basedOn w:val="Normal"/>
    <w:link w:val="BodyText3Char"/>
    <w:semiHidden/>
    <w:unhideWhenUsed/>
    <w:rsid w:val="00B125E8"/>
    <w:pPr>
      <w:spacing w:after="120"/>
    </w:pPr>
    <w:rPr>
      <w:sz w:val="16"/>
      <w:szCs w:val="16"/>
    </w:rPr>
  </w:style>
  <w:style w:type="character" w:customStyle="1" w:styleId="BodyText3Char">
    <w:name w:val="Body Text 3 Char"/>
    <w:basedOn w:val="DefaultParagraphFont"/>
    <w:link w:val="BodyText3"/>
    <w:semiHidden/>
    <w:rsid w:val="00B125E8"/>
    <w:rPr>
      <w:rFonts w:ascii="Calibri" w:hAnsi="Calibri" w:cs="Arial"/>
      <w:sz w:val="16"/>
      <w:szCs w:val="16"/>
    </w:rPr>
  </w:style>
  <w:style w:type="paragraph" w:customStyle="1" w:styleId="3-SubsectionHeading">
    <w:name w:val="3-Subsection Heading"/>
    <w:basedOn w:val="Heading2"/>
    <w:next w:val="Normal"/>
    <w:link w:val="3-SubsectionHeadingChar"/>
    <w:qFormat/>
    <w:rsid w:val="008C07C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C07C7"/>
    <w:rPr>
      <w:rFonts w:asciiTheme="minorHAnsi" w:eastAsiaTheme="majorEastAsia" w:hAnsiTheme="minorHAnsi" w:cstheme="majorBidi"/>
      <w:b/>
      <w:i/>
      <w:snapToGrid/>
      <w:spacing w:val="5"/>
      <w:kern w:val="28"/>
      <w:sz w:val="28"/>
      <w:szCs w:val="36"/>
      <w:lang w:eastAsia="en-US"/>
    </w:rPr>
  </w:style>
  <w:style w:type="paragraph" w:customStyle="1" w:styleId="PBACESHeading1">
    <w:name w:val="PBAC ES Heading 1"/>
    <w:basedOn w:val="Heading1"/>
    <w:next w:val="ListParagraph"/>
    <w:uiPriority w:val="1"/>
    <w:qFormat/>
    <w:rsid w:val="00CD43DB"/>
    <w:pPr>
      <w:keepNext/>
      <w:keepLines/>
      <w:tabs>
        <w:tab w:val="num" w:pos="360"/>
        <w:tab w:val="left" w:pos="1077"/>
      </w:tabs>
      <w:spacing w:before="240" w:after="120"/>
      <w:ind w:left="0" w:firstLine="0"/>
      <w:jc w:val="left"/>
    </w:pPr>
    <w:rPr>
      <w:caps w:val="0"/>
      <w:snapToGrid w:val="0"/>
      <w:szCs w:val="32"/>
      <w:lang w:eastAsia="en-US"/>
    </w:rPr>
  </w:style>
  <w:style w:type="paragraph" w:customStyle="1" w:styleId="PBACESHeading2">
    <w:name w:val="PBAC ES Heading 2"/>
    <w:basedOn w:val="Heading2"/>
    <w:uiPriority w:val="1"/>
    <w:qFormat/>
    <w:rsid w:val="00CD43DB"/>
    <w:pPr>
      <w:keepNext/>
      <w:keepLines/>
      <w:tabs>
        <w:tab w:val="num" w:pos="360"/>
      </w:tabs>
      <w:spacing w:before="360" w:after="120"/>
      <w:jc w:val="left"/>
    </w:pPr>
    <w:rPr>
      <w:rFonts w:ascii="Calibri Light" w:eastAsia="SimSun" w:hAnsi="Calibri Light" w:cs="Times New Roman"/>
      <w:snapToGrid w:val="0"/>
      <w:szCs w:val="28"/>
      <w:lang w:eastAsia="en-US"/>
    </w:rPr>
  </w:style>
  <w:style w:type="paragraph" w:customStyle="1" w:styleId="PBACESHeadingCAPS">
    <w:name w:val="PBAC ES Heading CAPS"/>
    <w:basedOn w:val="PBACESHeading2"/>
    <w:uiPriority w:val="1"/>
    <w:qFormat/>
    <w:rsid w:val="00CD43DB"/>
    <w:rPr>
      <w:i w:val="0"/>
      <w:smallCaps/>
      <w:sz w:val="32"/>
    </w:rPr>
  </w:style>
  <w:style w:type="paragraph" w:customStyle="1" w:styleId="PBACESHeading3">
    <w:name w:val="PBAC ES Heading 3"/>
    <w:basedOn w:val="PBACESHeading2"/>
    <w:uiPriority w:val="1"/>
    <w:qFormat/>
    <w:rsid w:val="00CD43DB"/>
    <w:pPr>
      <w:ind w:left="2880" w:hanging="360"/>
    </w:pPr>
    <w:rPr>
      <w:i w:val="0"/>
      <w:sz w:val="24"/>
    </w:rPr>
  </w:style>
  <w:style w:type="paragraph" w:customStyle="1" w:styleId="MSACHeading1">
    <w:name w:val="MSAC Heading 1"/>
    <w:basedOn w:val="Heading1"/>
    <w:next w:val="Normal"/>
    <w:uiPriority w:val="1"/>
    <w:qFormat/>
    <w:rsid w:val="00CD43DB"/>
    <w:pPr>
      <w:keepNext/>
      <w:keepLines/>
      <w:tabs>
        <w:tab w:val="num" w:pos="360"/>
      </w:tabs>
      <w:spacing w:before="160" w:after="240" w:line="259" w:lineRule="auto"/>
      <w:ind w:left="0" w:firstLine="0"/>
      <w:jc w:val="left"/>
    </w:pPr>
    <w:rPr>
      <w:rFonts w:ascii="Arial" w:eastAsia="SimSun" w:hAnsi="Arial" w:cs="Times New Roman"/>
      <w:caps w:val="0"/>
      <w:sz w:val="24"/>
      <w:szCs w:val="28"/>
      <w:lang w:eastAsia="en-US"/>
    </w:rPr>
  </w:style>
  <w:style w:type="paragraph" w:customStyle="1" w:styleId="MSACESHeading2">
    <w:name w:val="MSAC ES Heading 2"/>
    <w:basedOn w:val="Heading2"/>
    <w:next w:val="Normal"/>
    <w:uiPriority w:val="1"/>
    <w:qFormat/>
    <w:rsid w:val="00CD43DB"/>
    <w:pPr>
      <w:keepNext/>
      <w:keepLines/>
      <w:tabs>
        <w:tab w:val="num" w:pos="360"/>
      </w:tabs>
      <w:spacing w:before="360" w:after="120"/>
      <w:jc w:val="left"/>
    </w:pPr>
    <w:rPr>
      <w:rFonts w:ascii="Cambria" w:eastAsia="SimSun" w:hAnsi="Cambria" w:cs="Times New Roman"/>
      <w:i w:val="0"/>
      <w:snapToGrid w:val="0"/>
      <w:sz w:val="24"/>
      <w:szCs w:val="28"/>
      <w:lang w:eastAsia="en-US"/>
    </w:rPr>
  </w:style>
  <w:style w:type="numbering" w:customStyle="1" w:styleId="Style3">
    <w:name w:val="Style3"/>
    <w:uiPriority w:val="99"/>
    <w:rsid w:val="00E963DB"/>
  </w:style>
  <w:style w:type="paragraph" w:customStyle="1" w:styleId="1MainTitle">
    <w:name w:val="1. Main Title"/>
    <w:basedOn w:val="Title"/>
    <w:link w:val="1MainTitleChar"/>
    <w:qFormat/>
    <w:rsid w:val="00E963DB"/>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E963DB"/>
    <w:rPr>
      <w:rFonts w:asciiTheme="minorHAnsi" w:eastAsiaTheme="majorEastAsia" w:hAnsiTheme="minorHAnsi" w:cstheme="majorBidi"/>
      <w:b/>
      <w:bCs w:val="0"/>
      <w:snapToGrid/>
      <w:spacing w:val="5"/>
      <w:kern w:val="28"/>
      <w:sz w:val="36"/>
      <w:szCs w:val="36"/>
      <w:lang w:eastAsia="en-US"/>
    </w:rPr>
  </w:style>
  <w:style w:type="character" w:customStyle="1" w:styleId="normaltextrun">
    <w:name w:val="normaltextrun"/>
    <w:basedOn w:val="DefaultParagraphFont"/>
    <w:rsid w:val="00E963DB"/>
  </w:style>
  <w:style w:type="character" w:customStyle="1" w:styleId="eop">
    <w:name w:val="eop"/>
    <w:basedOn w:val="DefaultParagraphFont"/>
    <w:rsid w:val="00E963DB"/>
  </w:style>
  <w:style w:type="paragraph" w:customStyle="1" w:styleId="paragraph">
    <w:name w:val="paragraph"/>
    <w:basedOn w:val="Normal"/>
    <w:rsid w:val="00E963DB"/>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43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5043129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70755321">
      <w:bodyDiv w:val="1"/>
      <w:marLeft w:val="0"/>
      <w:marRight w:val="0"/>
      <w:marTop w:val="0"/>
      <w:marBottom w:val="0"/>
      <w:divBdr>
        <w:top w:val="none" w:sz="0" w:space="0" w:color="auto"/>
        <w:left w:val="none" w:sz="0" w:space="0" w:color="auto"/>
        <w:bottom w:val="none" w:sz="0" w:space="0" w:color="auto"/>
        <w:right w:val="none" w:sz="0" w:space="0" w:color="auto"/>
      </w:divBdr>
    </w:div>
    <w:div w:id="616566621">
      <w:bodyDiv w:val="1"/>
      <w:marLeft w:val="0"/>
      <w:marRight w:val="0"/>
      <w:marTop w:val="0"/>
      <w:marBottom w:val="0"/>
      <w:divBdr>
        <w:top w:val="none" w:sz="0" w:space="0" w:color="auto"/>
        <w:left w:val="none" w:sz="0" w:space="0" w:color="auto"/>
        <w:bottom w:val="none" w:sz="0" w:space="0" w:color="auto"/>
        <w:right w:val="none" w:sz="0" w:space="0" w:color="auto"/>
      </w:divBdr>
    </w:div>
    <w:div w:id="722557810">
      <w:bodyDiv w:val="1"/>
      <w:marLeft w:val="0"/>
      <w:marRight w:val="0"/>
      <w:marTop w:val="0"/>
      <w:marBottom w:val="0"/>
      <w:divBdr>
        <w:top w:val="none" w:sz="0" w:space="0" w:color="auto"/>
        <w:left w:val="none" w:sz="0" w:space="0" w:color="auto"/>
        <w:bottom w:val="none" w:sz="0" w:space="0" w:color="auto"/>
        <w:right w:val="none" w:sz="0" w:space="0" w:color="auto"/>
      </w:divBdr>
    </w:div>
    <w:div w:id="738669426">
      <w:bodyDiv w:val="1"/>
      <w:marLeft w:val="0"/>
      <w:marRight w:val="0"/>
      <w:marTop w:val="0"/>
      <w:marBottom w:val="0"/>
      <w:divBdr>
        <w:top w:val="none" w:sz="0" w:space="0" w:color="auto"/>
        <w:left w:val="none" w:sz="0" w:space="0" w:color="auto"/>
        <w:bottom w:val="none" w:sz="0" w:space="0" w:color="auto"/>
        <w:right w:val="none" w:sz="0" w:space="0" w:color="auto"/>
      </w:divBdr>
    </w:div>
    <w:div w:id="78774736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34359338">
      <w:bodyDiv w:val="1"/>
      <w:marLeft w:val="0"/>
      <w:marRight w:val="0"/>
      <w:marTop w:val="0"/>
      <w:marBottom w:val="0"/>
      <w:divBdr>
        <w:top w:val="none" w:sz="0" w:space="0" w:color="auto"/>
        <w:left w:val="none" w:sz="0" w:space="0" w:color="auto"/>
        <w:bottom w:val="none" w:sz="0" w:space="0" w:color="auto"/>
        <w:right w:val="none" w:sz="0" w:space="0" w:color="auto"/>
      </w:divBdr>
    </w:div>
    <w:div w:id="1029601345">
      <w:bodyDiv w:val="1"/>
      <w:marLeft w:val="0"/>
      <w:marRight w:val="0"/>
      <w:marTop w:val="0"/>
      <w:marBottom w:val="0"/>
      <w:divBdr>
        <w:top w:val="none" w:sz="0" w:space="0" w:color="auto"/>
        <w:left w:val="none" w:sz="0" w:space="0" w:color="auto"/>
        <w:bottom w:val="none" w:sz="0" w:space="0" w:color="auto"/>
        <w:right w:val="none" w:sz="0" w:space="0" w:color="auto"/>
      </w:divBdr>
    </w:div>
    <w:div w:id="104382401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6108097">
      <w:bodyDiv w:val="1"/>
      <w:marLeft w:val="0"/>
      <w:marRight w:val="0"/>
      <w:marTop w:val="0"/>
      <w:marBottom w:val="0"/>
      <w:divBdr>
        <w:top w:val="none" w:sz="0" w:space="0" w:color="auto"/>
        <w:left w:val="none" w:sz="0" w:space="0" w:color="auto"/>
        <w:bottom w:val="none" w:sz="0" w:space="0" w:color="auto"/>
        <w:right w:val="none" w:sz="0" w:space="0" w:color="auto"/>
      </w:divBdr>
      <w:divsChild>
        <w:div w:id="1312711689">
          <w:marLeft w:val="446"/>
          <w:marRight w:val="0"/>
          <w:marTop w:val="0"/>
          <w:marBottom w:val="0"/>
          <w:divBdr>
            <w:top w:val="none" w:sz="0" w:space="0" w:color="auto"/>
            <w:left w:val="none" w:sz="0" w:space="0" w:color="auto"/>
            <w:bottom w:val="none" w:sz="0" w:space="0" w:color="auto"/>
            <w:right w:val="none" w:sz="0" w:space="0" w:color="auto"/>
          </w:divBdr>
        </w:div>
      </w:divsChild>
    </w:div>
    <w:div w:id="1272518836">
      <w:bodyDiv w:val="1"/>
      <w:marLeft w:val="0"/>
      <w:marRight w:val="0"/>
      <w:marTop w:val="0"/>
      <w:marBottom w:val="0"/>
      <w:divBdr>
        <w:top w:val="none" w:sz="0" w:space="0" w:color="auto"/>
        <w:left w:val="none" w:sz="0" w:space="0" w:color="auto"/>
        <w:bottom w:val="none" w:sz="0" w:space="0" w:color="auto"/>
        <w:right w:val="none" w:sz="0" w:space="0" w:color="auto"/>
      </w:divBdr>
      <w:divsChild>
        <w:div w:id="222108969">
          <w:marLeft w:val="1440"/>
          <w:marRight w:val="0"/>
          <w:marTop w:val="100"/>
          <w:marBottom w:val="0"/>
          <w:divBdr>
            <w:top w:val="none" w:sz="0" w:space="0" w:color="auto"/>
            <w:left w:val="none" w:sz="0" w:space="0" w:color="auto"/>
            <w:bottom w:val="none" w:sz="0" w:space="0" w:color="auto"/>
            <w:right w:val="none" w:sz="0" w:space="0" w:color="auto"/>
          </w:divBdr>
        </w:div>
        <w:div w:id="695886903">
          <w:marLeft w:val="1440"/>
          <w:marRight w:val="0"/>
          <w:marTop w:val="100"/>
          <w:marBottom w:val="0"/>
          <w:divBdr>
            <w:top w:val="none" w:sz="0" w:space="0" w:color="auto"/>
            <w:left w:val="none" w:sz="0" w:space="0" w:color="auto"/>
            <w:bottom w:val="none" w:sz="0" w:space="0" w:color="auto"/>
            <w:right w:val="none" w:sz="0" w:space="0" w:color="auto"/>
          </w:divBdr>
        </w:div>
        <w:div w:id="1068462241">
          <w:marLeft w:val="1440"/>
          <w:marRight w:val="0"/>
          <w:marTop w:val="100"/>
          <w:marBottom w:val="0"/>
          <w:divBdr>
            <w:top w:val="none" w:sz="0" w:space="0" w:color="auto"/>
            <w:left w:val="none" w:sz="0" w:space="0" w:color="auto"/>
            <w:bottom w:val="none" w:sz="0" w:space="0" w:color="auto"/>
            <w:right w:val="none" w:sz="0" w:space="0" w:color="auto"/>
          </w:divBdr>
        </w:div>
        <w:div w:id="1102409978">
          <w:marLeft w:val="1440"/>
          <w:marRight w:val="0"/>
          <w:marTop w:val="100"/>
          <w:marBottom w:val="0"/>
          <w:divBdr>
            <w:top w:val="none" w:sz="0" w:space="0" w:color="auto"/>
            <w:left w:val="none" w:sz="0" w:space="0" w:color="auto"/>
            <w:bottom w:val="none" w:sz="0" w:space="0" w:color="auto"/>
            <w:right w:val="none" w:sz="0" w:space="0" w:color="auto"/>
          </w:divBdr>
        </w:div>
        <w:div w:id="1434938257">
          <w:marLeft w:val="1440"/>
          <w:marRight w:val="0"/>
          <w:marTop w:val="100"/>
          <w:marBottom w:val="0"/>
          <w:divBdr>
            <w:top w:val="none" w:sz="0" w:space="0" w:color="auto"/>
            <w:left w:val="none" w:sz="0" w:space="0" w:color="auto"/>
            <w:bottom w:val="none" w:sz="0" w:space="0" w:color="auto"/>
            <w:right w:val="none" w:sz="0" w:space="0" w:color="auto"/>
          </w:divBdr>
        </w:div>
      </w:divsChild>
    </w:div>
    <w:div w:id="1412049035">
      <w:bodyDiv w:val="1"/>
      <w:marLeft w:val="0"/>
      <w:marRight w:val="0"/>
      <w:marTop w:val="0"/>
      <w:marBottom w:val="0"/>
      <w:divBdr>
        <w:top w:val="none" w:sz="0" w:space="0" w:color="auto"/>
        <w:left w:val="none" w:sz="0" w:space="0" w:color="auto"/>
        <w:bottom w:val="none" w:sz="0" w:space="0" w:color="auto"/>
        <w:right w:val="none" w:sz="0" w:space="0" w:color="auto"/>
      </w:divBdr>
    </w:div>
    <w:div w:id="1435595677">
      <w:bodyDiv w:val="1"/>
      <w:marLeft w:val="0"/>
      <w:marRight w:val="0"/>
      <w:marTop w:val="0"/>
      <w:marBottom w:val="0"/>
      <w:divBdr>
        <w:top w:val="none" w:sz="0" w:space="0" w:color="auto"/>
        <w:left w:val="none" w:sz="0" w:space="0" w:color="auto"/>
        <w:bottom w:val="none" w:sz="0" w:space="0" w:color="auto"/>
        <w:right w:val="none" w:sz="0" w:space="0" w:color="auto"/>
      </w:divBdr>
      <w:divsChild>
        <w:div w:id="44137623">
          <w:marLeft w:val="0"/>
          <w:marRight w:val="0"/>
          <w:marTop w:val="0"/>
          <w:marBottom w:val="0"/>
          <w:divBdr>
            <w:top w:val="none" w:sz="0" w:space="0" w:color="auto"/>
            <w:left w:val="none" w:sz="0" w:space="0" w:color="auto"/>
            <w:bottom w:val="none" w:sz="0" w:space="0" w:color="auto"/>
            <w:right w:val="none" w:sz="0" w:space="0" w:color="auto"/>
          </w:divBdr>
        </w:div>
        <w:div w:id="71127376">
          <w:marLeft w:val="0"/>
          <w:marRight w:val="0"/>
          <w:marTop w:val="0"/>
          <w:marBottom w:val="0"/>
          <w:divBdr>
            <w:top w:val="none" w:sz="0" w:space="0" w:color="auto"/>
            <w:left w:val="none" w:sz="0" w:space="0" w:color="auto"/>
            <w:bottom w:val="none" w:sz="0" w:space="0" w:color="auto"/>
            <w:right w:val="none" w:sz="0" w:space="0" w:color="auto"/>
          </w:divBdr>
        </w:div>
        <w:div w:id="207884479">
          <w:marLeft w:val="0"/>
          <w:marRight w:val="0"/>
          <w:marTop w:val="0"/>
          <w:marBottom w:val="0"/>
          <w:divBdr>
            <w:top w:val="none" w:sz="0" w:space="0" w:color="auto"/>
            <w:left w:val="none" w:sz="0" w:space="0" w:color="auto"/>
            <w:bottom w:val="none" w:sz="0" w:space="0" w:color="auto"/>
            <w:right w:val="none" w:sz="0" w:space="0" w:color="auto"/>
          </w:divBdr>
        </w:div>
        <w:div w:id="667172141">
          <w:marLeft w:val="0"/>
          <w:marRight w:val="0"/>
          <w:marTop w:val="0"/>
          <w:marBottom w:val="0"/>
          <w:divBdr>
            <w:top w:val="none" w:sz="0" w:space="0" w:color="auto"/>
            <w:left w:val="none" w:sz="0" w:space="0" w:color="auto"/>
            <w:bottom w:val="none" w:sz="0" w:space="0" w:color="auto"/>
            <w:right w:val="none" w:sz="0" w:space="0" w:color="auto"/>
          </w:divBdr>
        </w:div>
        <w:div w:id="679699891">
          <w:marLeft w:val="0"/>
          <w:marRight w:val="0"/>
          <w:marTop w:val="0"/>
          <w:marBottom w:val="0"/>
          <w:divBdr>
            <w:top w:val="none" w:sz="0" w:space="0" w:color="auto"/>
            <w:left w:val="none" w:sz="0" w:space="0" w:color="auto"/>
            <w:bottom w:val="none" w:sz="0" w:space="0" w:color="auto"/>
            <w:right w:val="none" w:sz="0" w:space="0" w:color="auto"/>
          </w:divBdr>
        </w:div>
        <w:div w:id="1587298034">
          <w:marLeft w:val="0"/>
          <w:marRight w:val="0"/>
          <w:marTop w:val="0"/>
          <w:marBottom w:val="0"/>
          <w:divBdr>
            <w:top w:val="none" w:sz="0" w:space="0" w:color="auto"/>
            <w:left w:val="none" w:sz="0" w:space="0" w:color="auto"/>
            <w:bottom w:val="none" w:sz="0" w:space="0" w:color="auto"/>
            <w:right w:val="none" w:sz="0" w:space="0" w:color="auto"/>
          </w:divBdr>
          <w:divsChild>
            <w:div w:id="2087652919">
              <w:marLeft w:val="-75"/>
              <w:marRight w:val="0"/>
              <w:marTop w:val="30"/>
              <w:marBottom w:val="30"/>
              <w:divBdr>
                <w:top w:val="none" w:sz="0" w:space="0" w:color="auto"/>
                <w:left w:val="none" w:sz="0" w:space="0" w:color="auto"/>
                <w:bottom w:val="none" w:sz="0" w:space="0" w:color="auto"/>
                <w:right w:val="none" w:sz="0" w:space="0" w:color="auto"/>
              </w:divBdr>
              <w:divsChild>
                <w:div w:id="2979506">
                  <w:marLeft w:val="0"/>
                  <w:marRight w:val="0"/>
                  <w:marTop w:val="0"/>
                  <w:marBottom w:val="0"/>
                  <w:divBdr>
                    <w:top w:val="none" w:sz="0" w:space="0" w:color="auto"/>
                    <w:left w:val="none" w:sz="0" w:space="0" w:color="auto"/>
                    <w:bottom w:val="none" w:sz="0" w:space="0" w:color="auto"/>
                    <w:right w:val="none" w:sz="0" w:space="0" w:color="auto"/>
                  </w:divBdr>
                  <w:divsChild>
                    <w:div w:id="1457408539">
                      <w:marLeft w:val="0"/>
                      <w:marRight w:val="0"/>
                      <w:marTop w:val="0"/>
                      <w:marBottom w:val="0"/>
                      <w:divBdr>
                        <w:top w:val="none" w:sz="0" w:space="0" w:color="auto"/>
                        <w:left w:val="none" w:sz="0" w:space="0" w:color="auto"/>
                        <w:bottom w:val="none" w:sz="0" w:space="0" w:color="auto"/>
                        <w:right w:val="none" w:sz="0" w:space="0" w:color="auto"/>
                      </w:divBdr>
                    </w:div>
                  </w:divsChild>
                </w:div>
                <w:div w:id="12537089">
                  <w:marLeft w:val="0"/>
                  <w:marRight w:val="0"/>
                  <w:marTop w:val="0"/>
                  <w:marBottom w:val="0"/>
                  <w:divBdr>
                    <w:top w:val="none" w:sz="0" w:space="0" w:color="auto"/>
                    <w:left w:val="none" w:sz="0" w:space="0" w:color="auto"/>
                    <w:bottom w:val="none" w:sz="0" w:space="0" w:color="auto"/>
                    <w:right w:val="none" w:sz="0" w:space="0" w:color="auto"/>
                  </w:divBdr>
                  <w:divsChild>
                    <w:div w:id="1353264014">
                      <w:marLeft w:val="0"/>
                      <w:marRight w:val="0"/>
                      <w:marTop w:val="0"/>
                      <w:marBottom w:val="0"/>
                      <w:divBdr>
                        <w:top w:val="none" w:sz="0" w:space="0" w:color="auto"/>
                        <w:left w:val="none" w:sz="0" w:space="0" w:color="auto"/>
                        <w:bottom w:val="none" w:sz="0" w:space="0" w:color="auto"/>
                        <w:right w:val="none" w:sz="0" w:space="0" w:color="auto"/>
                      </w:divBdr>
                    </w:div>
                  </w:divsChild>
                </w:div>
                <w:div w:id="26637652">
                  <w:marLeft w:val="0"/>
                  <w:marRight w:val="0"/>
                  <w:marTop w:val="0"/>
                  <w:marBottom w:val="0"/>
                  <w:divBdr>
                    <w:top w:val="none" w:sz="0" w:space="0" w:color="auto"/>
                    <w:left w:val="none" w:sz="0" w:space="0" w:color="auto"/>
                    <w:bottom w:val="none" w:sz="0" w:space="0" w:color="auto"/>
                    <w:right w:val="none" w:sz="0" w:space="0" w:color="auto"/>
                  </w:divBdr>
                  <w:divsChild>
                    <w:div w:id="1408111107">
                      <w:marLeft w:val="0"/>
                      <w:marRight w:val="0"/>
                      <w:marTop w:val="0"/>
                      <w:marBottom w:val="0"/>
                      <w:divBdr>
                        <w:top w:val="none" w:sz="0" w:space="0" w:color="auto"/>
                        <w:left w:val="none" w:sz="0" w:space="0" w:color="auto"/>
                        <w:bottom w:val="none" w:sz="0" w:space="0" w:color="auto"/>
                        <w:right w:val="none" w:sz="0" w:space="0" w:color="auto"/>
                      </w:divBdr>
                    </w:div>
                  </w:divsChild>
                </w:div>
                <w:div w:id="60060108">
                  <w:marLeft w:val="0"/>
                  <w:marRight w:val="0"/>
                  <w:marTop w:val="0"/>
                  <w:marBottom w:val="0"/>
                  <w:divBdr>
                    <w:top w:val="none" w:sz="0" w:space="0" w:color="auto"/>
                    <w:left w:val="none" w:sz="0" w:space="0" w:color="auto"/>
                    <w:bottom w:val="none" w:sz="0" w:space="0" w:color="auto"/>
                    <w:right w:val="none" w:sz="0" w:space="0" w:color="auto"/>
                  </w:divBdr>
                  <w:divsChild>
                    <w:div w:id="240414087">
                      <w:marLeft w:val="0"/>
                      <w:marRight w:val="0"/>
                      <w:marTop w:val="0"/>
                      <w:marBottom w:val="0"/>
                      <w:divBdr>
                        <w:top w:val="none" w:sz="0" w:space="0" w:color="auto"/>
                        <w:left w:val="none" w:sz="0" w:space="0" w:color="auto"/>
                        <w:bottom w:val="none" w:sz="0" w:space="0" w:color="auto"/>
                        <w:right w:val="none" w:sz="0" w:space="0" w:color="auto"/>
                      </w:divBdr>
                    </w:div>
                  </w:divsChild>
                </w:div>
                <w:div w:id="66419538">
                  <w:marLeft w:val="0"/>
                  <w:marRight w:val="0"/>
                  <w:marTop w:val="0"/>
                  <w:marBottom w:val="0"/>
                  <w:divBdr>
                    <w:top w:val="none" w:sz="0" w:space="0" w:color="auto"/>
                    <w:left w:val="none" w:sz="0" w:space="0" w:color="auto"/>
                    <w:bottom w:val="none" w:sz="0" w:space="0" w:color="auto"/>
                    <w:right w:val="none" w:sz="0" w:space="0" w:color="auto"/>
                  </w:divBdr>
                  <w:divsChild>
                    <w:div w:id="310328741">
                      <w:marLeft w:val="0"/>
                      <w:marRight w:val="0"/>
                      <w:marTop w:val="0"/>
                      <w:marBottom w:val="0"/>
                      <w:divBdr>
                        <w:top w:val="none" w:sz="0" w:space="0" w:color="auto"/>
                        <w:left w:val="none" w:sz="0" w:space="0" w:color="auto"/>
                        <w:bottom w:val="none" w:sz="0" w:space="0" w:color="auto"/>
                        <w:right w:val="none" w:sz="0" w:space="0" w:color="auto"/>
                      </w:divBdr>
                    </w:div>
                  </w:divsChild>
                </w:div>
                <w:div w:id="90977340">
                  <w:marLeft w:val="0"/>
                  <w:marRight w:val="0"/>
                  <w:marTop w:val="0"/>
                  <w:marBottom w:val="0"/>
                  <w:divBdr>
                    <w:top w:val="none" w:sz="0" w:space="0" w:color="auto"/>
                    <w:left w:val="none" w:sz="0" w:space="0" w:color="auto"/>
                    <w:bottom w:val="none" w:sz="0" w:space="0" w:color="auto"/>
                    <w:right w:val="none" w:sz="0" w:space="0" w:color="auto"/>
                  </w:divBdr>
                  <w:divsChild>
                    <w:div w:id="1015039244">
                      <w:marLeft w:val="0"/>
                      <w:marRight w:val="0"/>
                      <w:marTop w:val="0"/>
                      <w:marBottom w:val="0"/>
                      <w:divBdr>
                        <w:top w:val="none" w:sz="0" w:space="0" w:color="auto"/>
                        <w:left w:val="none" w:sz="0" w:space="0" w:color="auto"/>
                        <w:bottom w:val="none" w:sz="0" w:space="0" w:color="auto"/>
                        <w:right w:val="none" w:sz="0" w:space="0" w:color="auto"/>
                      </w:divBdr>
                    </w:div>
                  </w:divsChild>
                </w:div>
                <w:div w:id="94516742">
                  <w:marLeft w:val="0"/>
                  <w:marRight w:val="0"/>
                  <w:marTop w:val="0"/>
                  <w:marBottom w:val="0"/>
                  <w:divBdr>
                    <w:top w:val="none" w:sz="0" w:space="0" w:color="auto"/>
                    <w:left w:val="none" w:sz="0" w:space="0" w:color="auto"/>
                    <w:bottom w:val="none" w:sz="0" w:space="0" w:color="auto"/>
                    <w:right w:val="none" w:sz="0" w:space="0" w:color="auto"/>
                  </w:divBdr>
                  <w:divsChild>
                    <w:div w:id="146557130">
                      <w:marLeft w:val="0"/>
                      <w:marRight w:val="0"/>
                      <w:marTop w:val="0"/>
                      <w:marBottom w:val="0"/>
                      <w:divBdr>
                        <w:top w:val="none" w:sz="0" w:space="0" w:color="auto"/>
                        <w:left w:val="none" w:sz="0" w:space="0" w:color="auto"/>
                        <w:bottom w:val="none" w:sz="0" w:space="0" w:color="auto"/>
                        <w:right w:val="none" w:sz="0" w:space="0" w:color="auto"/>
                      </w:divBdr>
                    </w:div>
                  </w:divsChild>
                </w:div>
                <w:div w:id="95248817">
                  <w:marLeft w:val="0"/>
                  <w:marRight w:val="0"/>
                  <w:marTop w:val="0"/>
                  <w:marBottom w:val="0"/>
                  <w:divBdr>
                    <w:top w:val="none" w:sz="0" w:space="0" w:color="auto"/>
                    <w:left w:val="none" w:sz="0" w:space="0" w:color="auto"/>
                    <w:bottom w:val="none" w:sz="0" w:space="0" w:color="auto"/>
                    <w:right w:val="none" w:sz="0" w:space="0" w:color="auto"/>
                  </w:divBdr>
                  <w:divsChild>
                    <w:div w:id="750270928">
                      <w:marLeft w:val="0"/>
                      <w:marRight w:val="0"/>
                      <w:marTop w:val="0"/>
                      <w:marBottom w:val="0"/>
                      <w:divBdr>
                        <w:top w:val="none" w:sz="0" w:space="0" w:color="auto"/>
                        <w:left w:val="none" w:sz="0" w:space="0" w:color="auto"/>
                        <w:bottom w:val="none" w:sz="0" w:space="0" w:color="auto"/>
                        <w:right w:val="none" w:sz="0" w:space="0" w:color="auto"/>
                      </w:divBdr>
                    </w:div>
                  </w:divsChild>
                </w:div>
                <w:div w:id="165436802">
                  <w:marLeft w:val="0"/>
                  <w:marRight w:val="0"/>
                  <w:marTop w:val="0"/>
                  <w:marBottom w:val="0"/>
                  <w:divBdr>
                    <w:top w:val="none" w:sz="0" w:space="0" w:color="auto"/>
                    <w:left w:val="none" w:sz="0" w:space="0" w:color="auto"/>
                    <w:bottom w:val="none" w:sz="0" w:space="0" w:color="auto"/>
                    <w:right w:val="none" w:sz="0" w:space="0" w:color="auto"/>
                  </w:divBdr>
                  <w:divsChild>
                    <w:div w:id="1298150087">
                      <w:marLeft w:val="0"/>
                      <w:marRight w:val="0"/>
                      <w:marTop w:val="0"/>
                      <w:marBottom w:val="0"/>
                      <w:divBdr>
                        <w:top w:val="none" w:sz="0" w:space="0" w:color="auto"/>
                        <w:left w:val="none" w:sz="0" w:space="0" w:color="auto"/>
                        <w:bottom w:val="none" w:sz="0" w:space="0" w:color="auto"/>
                        <w:right w:val="none" w:sz="0" w:space="0" w:color="auto"/>
                      </w:divBdr>
                    </w:div>
                  </w:divsChild>
                </w:div>
                <w:div w:id="188685533">
                  <w:marLeft w:val="0"/>
                  <w:marRight w:val="0"/>
                  <w:marTop w:val="0"/>
                  <w:marBottom w:val="0"/>
                  <w:divBdr>
                    <w:top w:val="none" w:sz="0" w:space="0" w:color="auto"/>
                    <w:left w:val="none" w:sz="0" w:space="0" w:color="auto"/>
                    <w:bottom w:val="none" w:sz="0" w:space="0" w:color="auto"/>
                    <w:right w:val="none" w:sz="0" w:space="0" w:color="auto"/>
                  </w:divBdr>
                  <w:divsChild>
                    <w:div w:id="1368605120">
                      <w:marLeft w:val="0"/>
                      <w:marRight w:val="0"/>
                      <w:marTop w:val="0"/>
                      <w:marBottom w:val="0"/>
                      <w:divBdr>
                        <w:top w:val="none" w:sz="0" w:space="0" w:color="auto"/>
                        <w:left w:val="none" w:sz="0" w:space="0" w:color="auto"/>
                        <w:bottom w:val="none" w:sz="0" w:space="0" w:color="auto"/>
                        <w:right w:val="none" w:sz="0" w:space="0" w:color="auto"/>
                      </w:divBdr>
                    </w:div>
                  </w:divsChild>
                </w:div>
                <w:div w:id="198710319">
                  <w:marLeft w:val="0"/>
                  <w:marRight w:val="0"/>
                  <w:marTop w:val="0"/>
                  <w:marBottom w:val="0"/>
                  <w:divBdr>
                    <w:top w:val="none" w:sz="0" w:space="0" w:color="auto"/>
                    <w:left w:val="none" w:sz="0" w:space="0" w:color="auto"/>
                    <w:bottom w:val="none" w:sz="0" w:space="0" w:color="auto"/>
                    <w:right w:val="none" w:sz="0" w:space="0" w:color="auto"/>
                  </w:divBdr>
                  <w:divsChild>
                    <w:div w:id="789277447">
                      <w:marLeft w:val="0"/>
                      <w:marRight w:val="0"/>
                      <w:marTop w:val="0"/>
                      <w:marBottom w:val="0"/>
                      <w:divBdr>
                        <w:top w:val="none" w:sz="0" w:space="0" w:color="auto"/>
                        <w:left w:val="none" w:sz="0" w:space="0" w:color="auto"/>
                        <w:bottom w:val="none" w:sz="0" w:space="0" w:color="auto"/>
                        <w:right w:val="none" w:sz="0" w:space="0" w:color="auto"/>
                      </w:divBdr>
                    </w:div>
                  </w:divsChild>
                </w:div>
                <w:div w:id="249310643">
                  <w:marLeft w:val="0"/>
                  <w:marRight w:val="0"/>
                  <w:marTop w:val="0"/>
                  <w:marBottom w:val="0"/>
                  <w:divBdr>
                    <w:top w:val="none" w:sz="0" w:space="0" w:color="auto"/>
                    <w:left w:val="none" w:sz="0" w:space="0" w:color="auto"/>
                    <w:bottom w:val="none" w:sz="0" w:space="0" w:color="auto"/>
                    <w:right w:val="none" w:sz="0" w:space="0" w:color="auto"/>
                  </w:divBdr>
                  <w:divsChild>
                    <w:div w:id="1178613477">
                      <w:marLeft w:val="0"/>
                      <w:marRight w:val="0"/>
                      <w:marTop w:val="0"/>
                      <w:marBottom w:val="0"/>
                      <w:divBdr>
                        <w:top w:val="none" w:sz="0" w:space="0" w:color="auto"/>
                        <w:left w:val="none" w:sz="0" w:space="0" w:color="auto"/>
                        <w:bottom w:val="none" w:sz="0" w:space="0" w:color="auto"/>
                        <w:right w:val="none" w:sz="0" w:space="0" w:color="auto"/>
                      </w:divBdr>
                    </w:div>
                  </w:divsChild>
                </w:div>
                <w:div w:id="269050318">
                  <w:marLeft w:val="0"/>
                  <w:marRight w:val="0"/>
                  <w:marTop w:val="0"/>
                  <w:marBottom w:val="0"/>
                  <w:divBdr>
                    <w:top w:val="none" w:sz="0" w:space="0" w:color="auto"/>
                    <w:left w:val="none" w:sz="0" w:space="0" w:color="auto"/>
                    <w:bottom w:val="none" w:sz="0" w:space="0" w:color="auto"/>
                    <w:right w:val="none" w:sz="0" w:space="0" w:color="auto"/>
                  </w:divBdr>
                  <w:divsChild>
                    <w:div w:id="1029797797">
                      <w:marLeft w:val="0"/>
                      <w:marRight w:val="0"/>
                      <w:marTop w:val="0"/>
                      <w:marBottom w:val="0"/>
                      <w:divBdr>
                        <w:top w:val="none" w:sz="0" w:space="0" w:color="auto"/>
                        <w:left w:val="none" w:sz="0" w:space="0" w:color="auto"/>
                        <w:bottom w:val="none" w:sz="0" w:space="0" w:color="auto"/>
                        <w:right w:val="none" w:sz="0" w:space="0" w:color="auto"/>
                      </w:divBdr>
                    </w:div>
                  </w:divsChild>
                </w:div>
                <w:div w:id="309403345">
                  <w:marLeft w:val="0"/>
                  <w:marRight w:val="0"/>
                  <w:marTop w:val="0"/>
                  <w:marBottom w:val="0"/>
                  <w:divBdr>
                    <w:top w:val="none" w:sz="0" w:space="0" w:color="auto"/>
                    <w:left w:val="none" w:sz="0" w:space="0" w:color="auto"/>
                    <w:bottom w:val="none" w:sz="0" w:space="0" w:color="auto"/>
                    <w:right w:val="none" w:sz="0" w:space="0" w:color="auto"/>
                  </w:divBdr>
                  <w:divsChild>
                    <w:div w:id="1848713899">
                      <w:marLeft w:val="0"/>
                      <w:marRight w:val="0"/>
                      <w:marTop w:val="0"/>
                      <w:marBottom w:val="0"/>
                      <w:divBdr>
                        <w:top w:val="none" w:sz="0" w:space="0" w:color="auto"/>
                        <w:left w:val="none" w:sz="0" w:space="0" w:color="auto"/>
                        <w:bottom w:val="none" w:sz="0" w:space="0" w:color="auto"/>
                        <w:right w:val="none" w:sz="0" w:space="0" w:color="auto"/>
                      </w:divBdr>
                    </w:div>
                  </w:divsChild>
                </w:div>
                <w:div w:id="350769068">
                  <w:marLeft w:val="0"/>
                  <w:marRight w:val="0"/>
                  <w:marTop w:val="0"/>
                  <w:marBottom w:val="0"/>
                  <w:divBdr>
                    <w:top w:val="none" w:sz="0" w:space="0" w:color="auto"/>
                    <w:left w:val="none" w:sz="0" w:space="0" w:color="auto"/>
                    <w:bottom w:val="none" w:sz="0" w:space="0" w:color="auto"/>
                    <w:right w:val="none" w:sz="0" w:space="0" w:color="auto"/>
                  </w:divBdr>
                  <w:divsChild>
                    <w:div w:id="1821919174">
                      <w:marLeft w:val="0"/>
                      <w:marRight w:val="0"/>
                      <w:marTop w:val="0"/>
                      <w:marBottom w:val="0"/>
                      <w:divBdr>
                        <w:top w:val="none" w:sz="0" w:space="0" w:color="auto"/>
                        <w:left w:val="none" w:sz="0" w:space="0" w:color="auto"/>
                        <w:bottom w:val="none" w:sz="0" w:space="0" w:color="auto"/>
                        <w:right w:val="none" w:sz="0" w:space="0" w:color="auto"/>
                      </w:divBdr>
                    </w:div>
                  </w:divsChild>
                </w:div>
                <w:div w:id="435906194">
                  <w:marLeft w:val="0"/>
                  <w:marRight w:val="0"/>
                  <w:marTop w:val="0"/>
                  <w:marBottom w:val="0"/>
                  <w:divBdr>
                    <w:top w:val="none" w:sz="0" w:space="0" w:color="auto"/>
                    <w:left w:val="none" w:sz="0" w:space="0" w:color="auto"/>
                    <w:bottom w:val="none" w:sz="0" w:space="0" w:color="auto"/>
                    <w:right w:val="none" w:sz="0" w:space="0" w:color="auto"/>
                  </w:divBdr>
                  <w:divsChild>
                    <w:div w:id="854461138">
                      <w:marLeft w:val="0"/>
                      <w:marRight w:val="0"/>
                      <w:marTop w:val="0"/>
                      <w:marBottom w:val="0"/>
                      <w:divBdr>
                        <w:top w:val="none" w:sz="0" w:space="0" w:color="auto"/>
                        <w:left w:val="none" w:sz="0" w:space="0" w:color="auto"/>
                        <w:bottom w:val="none" w:sz="0" w:space="0" w:color="auto"/>
                        <w:right w:val="none" w:sz="0" w:space="0" w:color="auto"/>
                      </w:divBdr>
                    </w:div>
                  </w:divsChild>
                </w:div>
                <w:div w:id="438987988">
                  <w:marLeft w:val="0"/>
                  <w:marRight w:val="0"/>
                  <w:marTop w:val="0"/>
                  <w:marBottom w:val="0"/>
                  <w:divBdr>
                    <w:top w:val="none" w:sz="0" w:space="0" w:color="auto"/>
                    <w:left w:val="none" w:sz="0" w:space="0" w:color="auto"/>
                    <w:bottom w:val="none" w:sz="0" w:space="0" w:color="auto"/>
                    <w:right w:val="none" w:sz="0" w:space="0" w:color="auto"/>
                  </w:divBdr>
                  <w:divsChild>
                    <w:div w:id="1069304568">
                      <w:marLeft w:val="0"/>
                      <w:marRight w:val="0"/>
                      <w:marTop w:val="0"/>
                      <w:marBottom w:val="0"/>
                      <w:divBdr>
                        <w:top w:val="none" w:sz="0" w:space="0" w:color="auto"/>
                        <w:left w:val="none" w:sz="0" w:space="0" w:color="auto"/>
                        <w:bottom w:val="none" w:sz="0" w:space="0" w:color="auto"/>
                        <w:right w:val="none" w:sz="0" w:space="0" w:color="auto"/>
                      </w:divBdr>
                    </w:div>
                  </w:divsChild>
                </w:div>
                <w:div w:id="491027567">
                  <w:marLeft w:val="0"/>
                  <w:marRight w:val="0"/>
                  <w:marTop w:val="0"/>
                  <w:marBottom w:val="0"/>
                  <w:divBdr>
                    <w:top w:val="none" w:sz="0" w:space="0" w:color="auto"/>
                    <w:left w:val="none" w:sz="0" w:space="0" w:color="auto"/>
                    <w:bottom w:val="none" w:sz="0" w:space="0" w:color="auto"/>
                    <w:right w:val="none" w:sz="0" w:space="0" w:color="auto"/>
                  </w:divBdr>
                  <w:divsChild>
                    <w:div w:id="105083095">
                      <w:marLeft w:val="0"/>
                      <w:marRight w:val="0"/>
                      <w:marTop w:val="0"/>
                      <w:marBottom w:val="0"/>
                      <w:divBdr>
                        <w:top w:val="none" w:sz="0" w:space="0" w:color="auto"/>
                        <w:left w:val="none" w:sz="0" w:space="0" w:color="auto"/>
                        <w:bottom w:val="none" w:sz="0" w:space="0" w:color="auto"/>
                        <w:right w:val="none" w:sz="0" w:space="0" w:color="auto"/>
                      </w:divBdr>
                    </w:div>
                  </w:divsChild>
                </w:div>
                <w:div w:id="499851210">
                  <w:marLeft w:val="0"/>
                  <w:marRight w:val="0"/>
                  <w:marTop w:val="0"/>
                  <w:marBottom w:val="0"/>
                  <w:divBdr>
                    <w:top w:val="none" w:sz="0" w:space="0" w:color="auto"/>
                    <w:left w:val="none" w:sz="0" w:space="0" w:color="auto"/>
                    <w:bottom w:val="none" w:sz="0" w:space="0" w:color="auto"/>
                    <w:right w:val="none" w:sz="0" w:space="0" w:color="auto"/>
                  </w:divBdr>
                  <w:divsChild>
                    <w:div w:id="1034034599">
                      <w:marLeft w:val="0"/>
                      <w:marRight w:val="0"/>
                      <w:marTop w:val="0"/>
                      <w:marBottom w:val="0"/>
                      <w:divBdr>
                        <w:top w:val="none" w:sz="0" w:space="0" w:color="auto"/>
                        <w:left w:val="none" w:sz="0" w:space="0" w:color="auto"/>
                        <w:bottom w:val="none" w:sz="0" w:space="0" w:color="auto"/>
                        <w:right w:val="none" w:sz="0" w:space="0" w:color="auto"/>
                      </w:divBdr>
                    </w:div>
                  </w:divsChild>
                </w:div>
                <w:div w:id="582953800">
                  <w:marLeft w:val="0"/>
                  <w:marRight w:val="0"/>
                  <w:marTop w:val="0"/>
                  <w:marBottom w:val="0"/>
                  <w:divBdr>
                    <w:top w:val="none" w:sz="0" w:space="0" w:color="auto"/>
                    <w:left w:val="none" w:sz="0" w:space="0" w:color="auto"/>
                    <w:bottom w:val="none" w:sz="0" w:space="0" w:color="auto"/>
                    <w:right w:val="none" w:sz="0" w:space="0" w:color="auto"/>
                  </w:divBdr>
                  <w:divsChild>
                    <w:div w:id="576403824">
                      <w:marLeft w:val="0"/>
                      <w:marRight w:val="0"/>
                      <w:marTop w:val="0"/>
                      <w:marBottom w:val="0"/>
                      <w:divBdr>
                        <w:top w:val="none" w:sz="0" w:space="0" w:color="auto"/>
                        <w:left w:val="none" w:sz="0" w:space="0" w:color="auto"/>
                        <w:bottom w:val="none" w:sz="0" w:space="0" w:color="auto"/>
                        <w:right w:val="none" w:sz="0" w:space="0" w:color="auto"/>
                      </w:divBdr>
                    </w:div>
                  </w:divsChild>
                </w:div>
                <w:div w:id="623079224">
                  <w:marLeft w:val="0"/>
                  <w:marRight w:val="0"/>
                  <w:marTop w:val="0"/>
                  <w:marBottom w:val="0"/>
                  <w:divBdr>
                    <w:top w:val="none" w:sz="0" w:space="0" w:color="auto"/>
                    <w:left w:val="none" w:sz="0" w:space="0" w:color="auto"/>
                    <w:bottom w:val="none" w:sz="0" w:space="0" w:color="auto"/>
                    <w:right w:val="none" w:sz="0" w:space="0" w:color="auto"/>
                  </w:divBdr>
                  <w:divsChild>
                    <w:div w:id="1613628317">
                      <w:marLeft w:val="0"/>
                      <w:marRight w:val="0"/>
                      <w:marTop w:val="0"/>
                      <w:marBottom w:val="0"/>
                      <w:divBdr>
                        <w:top w:val="none" w:sz="0" w:space="0" w:color="auto"/>
                        <w:left w:val="none" w:sz="0" w:space="0" w:color="auto"/>
                        <w:bottom w:val="none" w:sz="0" w:space="0" w:color="auto"/>
                        <w:right w:val="none" w:sz="0" w:space="0" w:color="auto"/>
                      </w:divBdr>
                    </w:div>
                  </w:divsChild>
                </w:div>
                <w:div w:id="780225478">
                  <w:marLeft w:val="0"/>
                  <w:marRight w:val="0"/>
                  <w:marTop w:val="0"/>
                  <w:marBottom w:val="0"/>
                  <w:divBdr>
                    <w:top w:val="none" w:sz="0" w:space="0" w:color="auto"/>
                    <w:left w:val="none" w:sz="0" w:space="0" w:color="auto"/>
                    <w:bottom w:val="none" w:sz="0" w:space="0" w:color="auto"/>
                    <w:right w:val="none" w:sz="0" w:space="0" w:color="auto"/>
                  </w:divBdr>
                  <w:divsChild>
                    <w:div w:id="895162501">
                      <w:marLeft w:val="0"/>
                      <w:marRight w:val="0"/>
                      <w:marTop w:val="0"/>
                      <w:marBottom w:val="0"/>
                      <w:divBdr>
                        <w:top w:val="none" w:sz="0" w:space="0" w:color="auto"/>
                        <w:left w:val="none" w:sz="0" w:space="0" w:color="auto"/>
                        <w:bottom w:val="none" w:sz="0" w:space="0" w:color="auto"/>
                        <w:right w:val="none" w:sz="0" w:space="0" w:color="auto"/>
                      </w:divBdr>
                    </w:div>
                  </w:divsChild>
                </w:div>
                <w:div w:id="800458504">
                  <w:marLeft w:val="0"/>
                  <w:marRight w:val="0"/>
                  <w:marTop w:val="0"/>
                  <w:marBottom w:val="0"/>
                  <w:divBdr>
                    <w:top w:val="none" w:sz="0" w:space="0" w:color="auto"/>
                    <w:left w:val="none" w:sz="0" w:space="0" w:color="auto"/>
                    <w:bottom w:val="none" w:sz="0" w:space="0" w:color="auto"/>
                    <w:right w:val="none" w:sz="0" w:space="0" w:color="auto"/>
                  </w:divBdr>
                  <w:divsChild>
                    <w:div w:id="1596745102">
                      <w:marLeft w:val="0"/>
                      <w:marRight w:val="0"/>
                      <w:marTop w:val="0"/>
                      <w:marBottom w:val="0"/>
                      <w:divBdr>
                        <w:top w:val="none" w:sz="0" w:space="0" w:color="auto"/>
                        <w:left w:val="none" w:sz="0" w:space="0" w:color="auto"/>
                        <w:bottom w:val="none" w:sz="0" w:space="0" w:color="auto"/>
                        <w:right w:val="none" w:sz="0" w:space="0" w:color="auto"/>
                      </w:divBdr>
                    </w:div>
                  </w:divsChild>
                </w:div>
                <w:div w:id="808787118">
                  <w:marLeft w:val="0"/>
                  <w:marRight w:val="0"/>
                  <w:marTop w:val="0"/>
                  <w:marBottom w:val="0"/>
                  <w:divBdr>
                    <w:top w:val="none" w:sz="0" w:space="0" w:color="auto"/>
                    <w:left w:val="none" w:sz="0" w:space="0" w:color="auto"/>
                    <w:bottom w:val="none" w:sz="0" w:space="0" w:color="auto"/>
                    <w:right w:val="none" w:sz="0" w:space="0" w:color="auto"/>
                  </w:divBdr>
                  <w:divsChild>
                    <w:div w:id="1515460391">
                      <w:marLeft w:val="0"/>
                      <w:marRight w:val="0"/>
                      <w:marTop w:val="0"/>
                      <w:marBottom w:val="0"/>
                      <w:divBdr>
                        <w:top w:val="none" w:sz="0" w:space="0" w:color="auto"/>
                        <w:left w:val="none" w:sz="0" w:space="0" w:color="auto"/>
                        <w:bottom w:val="none" w:sz="0" w:space="0" w:color="auto"/>
                        <w:right w:val="none" w:sz="0" w:space="0" w:color="auto"/>
                      </w:divBdr>
                    </w:div>
                  </w:divsChild>
                </w:div>
                <w:div w:id="819419958">
                  <w:marLeft w:val="0"/>
                  <w:marRight w:val="0"/>
                  <w:marTop w:val="0"/>
                  <w:marBottom w:val="0"/>
                  <w:divBdr>
                    <w:top w:val="none" w:sz="0" w:space="0" w:color="auto"/>
                    <w:left w:val="none" w:sz="0" w:space="0" w:color="auto"/>
                    <w:bottom w:val="none" w:sz="0" w:space="0" w:color="auto"/>
                    <w:right w:val="none" w:sz="0" w:space="0" w:color="auto"/>
                  </w:divBdr>
                  <w:divsChild>
                    <w:div w:id="1981885828">
                      <w:marLeft w:val="0"/>
                      <w:marRight w:val="0"/>
                      <w:marTop w:val="0"/>
                      <w:marBottom w:val="0"/>
                      <w:divBdr>
                        <w:top w:val="none" w:sz="0" w:space="0" w:color="auto"/>
                        <w:left w:val="none" w:sz="0" w:space="0" w:color="auto"/>
                        <w:bottom w:val="none" w:sz="0" w:space="0" w:color="auto"/>
                        <w:right w:val="none" w:sz="0" w:space="0" w:color="auto"/>
                      </w:divBdr>
                    </w:div>
                  </w:divsChild>
                </w:div>
                <w:div w:id="886650506">
                  <w:marLeft w:val="0"/>
                  <w:marRight w:val="0"/>
                  <w:marTop w:val="0"/>
                  <w:marBottom w:val="0"/>
                  <w:divBdr>
                    <w:top w:val="none" w:sz="0" w:space="0" w:color="auto"/>
                    <w:left w:val="none" w:sz="0" w:space="0" w:color="auto"/>
                    <w:bottom w:val="none" w:sz="0" w:space="0" w:color="auto"/>
                    <w:right w:val="none" w:sz="0" w:space="0" w:color="auto"/>
                  </w:divBdr>
                  <w:divsChild>
                    <w:div w:id="226188192">
                      <w:marLeft w:val="0"/>
                      <w:marRight w:val="0"/>
                      <w:marTop w:val="0"/>
                      <w:marBottom w:val="0"/>
                      <w:divBdr>
                        <w:top w:val="none" w:sz="0" w:space="0" w:color="auto"/>
                        <w:left w:val="none" w:sz="0" w:space="0" w:color="auto"/>
                        <w:bottom w:val="none" w:sz="0" w:space="0" w:color="auto"/>
                        <w:right w:val="none" w:sz="0" w:space="0" w:color="auto"/>
                      </w:divBdr>
                    </w:div>
                  </w:divsChild>
                </w:div>
                <w:div w:id="895818291">
                  <w:marLeft w:val="0"/>
                  <w:marRight w:val="0"/>
                  <w:marTop w:val="0"/>
                  <w:marBottom w:val="0"/>
                  <w:divBdr>
                    <w:top w:val="none" w:sz="0" w:space="0" w:color="auto"/>
                    <w:left w:val="none" w:sz="0" w:space="0" w:color="auto"/>
                    <w:bottom w:val="none" w:sz="0" w:space="0" w:color="auto"/>
                    <w:right w:val="none" w:sz="0" w:space="0" w:color="auto"/>
                  </w:divBdr>
                  <w:divsChild>
                    <w:div w:id="1673680580">
                      <w:marLeft w:val="0"/>
                      <w:marRight w:val="0"/>
                      <w:marTop w:val="0"/>
                      <w:marBottom w:val="0"/>
                      <w:divBdr>
                        <w:top w:val="none" w:sz="0" w:space="0" w:color="auto"/>
                        <w:left w:val="none" w:sz="0" w:space="0" w:color="auto"/>
                        <w:bottom w:val="none" w:sz="0" w:space="0" w:color="auto"/>
                        <w:right w:val="none" w:sz="0" w:space="0" w:color="auto"/>
                      </w:divBdr>
                    </w:div>
                  </w:divsChild>
                </w:div>
                <w:div w:id="924074010">
                  <w:marLeft w:val="0"/>
                  <w:marRight w:val="0"/>
                  <w:marTop w:val="0"/>
                  <w:marBottom w:val="0"/>
                  <w:divBdr>
                    <w:top w:val="none" w:sz="0" w:space="0" w:color="auto"/>
                    <w:left w:val="none" w:sz="0" w:space="0" w:color="auto"/>
                    <w:bottom w:val="none" w:sz="0" w:space="0" w:color="auto"/>
                    <w:right w:val="none" w:sz="0" w:space="0" w:color="auto"/>
                  </w:divBdr>
                  <w:divsChild>
                    <w:div w:id="100225068">
                      <w:marLeft w:val="0"/>
                      <w:marRight w:val="0"/>
                      <w:marTop w:val="0"/>
                      <w:marBottom w:val="0"/>
                      <w:divBdr>
                        <w:top w:val="none" w:sz="0" w:space="0" w:color="auto"/>
                        <w:left w:val="none" w:sz="0" w:space="0" w:color="auto"/>
                        <w:bottom w:val="none" w:sz="0" w:space="0" w:color="auto"/>
                        <w:right w:val="none" w:sz="0" w:space="0" w:color="auto"/>
                      </w:divBdr>
                    </w:div>
                  </w:divsChild>
                </w:div>
                <w:div w:id="941766625">
                  <w:marLeft w:val="0"/>
                  <w:marRight w:val="0"/>
                  <w:marTop w:val="0"/>
                  <w:marBottom w:val="0"/>
                  <w:divBdr>
                    <w:top w:val="none" w:sz="0" w:space="0" w:color="auto"/>
                    <w:left w:val="none" w:sz="0" w:space="0" w:color="auto"/>
                    <w:bottom w:val="none" w:sz="0" w:space="0" w:color="auto"/>
                    <w:right w:val="none" w:sz="0" w:space="0" w:color="auto"/>
                  </w:divBdr>
                  <w:divsChild>
                    <w:div w:id="927739141">
                      <w:marLeft w:val="0"/>
                      <w:marRight w:val="0"/>
                      <w:marTop w:val="0"/>
                      <w:marBottom w:val="0"/>
                      <w:divBdr>
                        <w:top w:val="none" w:sz="0" w:space="0" w:color="auto"/>
                        <w:left w:val="none" w:sz="0" w:space="0" w:color="auto"/>
                        <w:bottom w:val="none" w:sz="0" w:space="0" w:color="auto"/>
                        <w:right w:val="none" w:sz="0" w:space="0" w:color="auto"/>
                      </w:divBdr>
                    </w:div>
                  </w:divsChild>
                </w:div>
                <w:div w:id="963923372">
                  <w:marLeft w:val="0"/>
                  <w:marRight w:val="0"/>
                  <w:marTop w:val="0"/>
                  <w:marBottom w:val="0"/>
                  <w:divBdr>
                    <w:top w:val="none" w:sz="0" w:space="0" w:color="auto"/>
                    <w:left w:val="none" w:sz="0" w:space="0" w:color="auto"/>
                    <w:bottom w:val="none" w:sz="0" w:space="0" w:color="auto"/>
                    <w:right w:val="none" w:sz="0" w:space="0" w:color="auto"/>
                  </w:divBdr>
                  <w:divsChild>
                    <w:div w:id="862017036">
                      <w:marLeft w:val="0"/>
                      <w:marRight w:val="0"/>
                      <w:marTop w:val="0"/>
                      <w:marBottom w:val="0"/>
                      <w:divBdr>
                        <w:top w:val="none" w:sz="0" w:space="0" w:color="auto"/>
                        <w:left w:val="none" w:sz="0" w:space="0" w:color="auto"/>
                        <w:bottom w:val="none" w:sz="0" w:space="0" w:color="auto"/>
                        <w:right w:val="none" w:sz="0" w:space="0" w:color="auto"/>
                      </w:divBdr>
                    </w:div>
                  </w:divsChild>
                </w:div>
                <w:div w:id="1026368358">
                  <w:marLeft w:val="0"/>
                  <w:marRight w:val="0"/>
                  <w:marTop w:val="0"/>
                  <w:marBottom w:val="0"/>
                  <w:divBdr>
                    <w:top w:val="none" w:sz="0" w:space="0" w:color="auto"/>
                    <w:left w:val="none" w:sz="0" w:space="0" w:color="auto"/>
                    <w:bottom w:val="none" w:sz="0" w:space="0" w:color="auto"/>
                    <w:right w:val="none" w:sz="0" w:space="0" w:color="auto"/>
                  </w:divBdr>
                  <w:divsChild>
                    <w:div w:id="772431647">
                      <w:marLeft w:val="0"/>
                      <w:marRight w:val="0"/>
                      <w:marTop w:val="0"/>
                      <w:marBottom w:val="0"/>
                      <w:divBdr>
                        <w:top w:val="none" w:sz="0" w:space="0" w:color="auto"/>
                        <w:left w:val="none" w:sz="0" w:space="0" w:color="auto"/>
                        <w:bottom w:val="none" w:sz="0" w:space="0" w:color="auto"/>
                        <w:right w:val="none" w:sz="0" w:space="0" w:color="auto"/>
                      </w:divBdr>
                    </w:div>
                  </w:divsChild>
                </w:div>
                <w:div w:id="1127549941">
                  <w:marLeft w:val="0"/>
                  <w:marRight w:val="0"/>
                  <w:marTop w:val="0"/>
                  <w:marBottom w:val="0"/>
                  <w:divBdr>
                    <w:top w:val="none" w:sz="0" w:space="0" w:color="auto"/>
                    <w:left w:val="none" w:sz="0" w:space="0" w:color="auto"/>
                    <w:bottom w:val="none" w:sz="0" w:space="0" w:color="auto"/>
                    <w:right w:val="none" w:sz="0" w:space="0" w:color="auto"/>
                  </w:divBdr>
                  <w:divsChild>
                    <w:div w:id="1175264073">
                      <w:marLeft w:val="0"/>
                      <w:marRight w:val="0"/>
                      <w:marTop w:val="0"/>
                      <w:marBottom w:val="0"/>
                      <w:divBdr>
                        <w:top w:val="none" w:sz="0" w:space="0" w:color="auto"/>
                        <w:left w:val="none" w:sz="0" w:space="0" w:color="auto"/>
                        <w:bottom w:val="none" w:sz="0" w:space="0" w:color="auto"/>
                        <w:right w:val="none" w:sz="0" w:space="0" w:color="auto"/>
                      </w:divBdr>
                    </w:div>
                  </w:divsChild>
                </w:div>
                <w:div w:id="1142580552">
                  <w:marLeft w:val="0"/>
                  <w:marRight w:val="0"/>
                  <w:marTop w:val="0"/>
                  <w:marBottom w:val="0"/>
                  <w:divBdr>
                    <w:top w:val="none" w:sz="0" w:space="0" w:color="auto"/>
                    <w:left w:val="none" w:sz="0" w:space="0" w:color="auto"/>
                    <w:bottom w:val="none" w:sz="0" w:space="0" w:color="auto"/>
                    <w:right w:val="none" w:sz="0" w:space="0" w:color="auto"/>
                  </w:divBdr>
                  <w:divsChild>
                    <w:div w:id="1680813268">
                      <w:marLeft w:val="0"/>
                      <w:marRight w:val="0"/>
                      <w:marTop w:val="0"/>
                      <w:marBottom w:val="0"/>
                      <w:divBdr>
                        <w:top w:val="none" w:sz="0" w:space="0" w:color="auto"/>
                        <w:left w:val="none" w:sz="0" w:space="0" w:color="auto"/>
                        <w:bottom w:val="none" w:sz="0" w:space="0" w:color="auto"/>
                        <w:right w:val="none" w:sz="0" w:space="0" w:color="auto"/>
                      </w:divBdr>
                    </w:div>
                  </w:divsChild>
                </w:div>
                <w:div w:id="1166048112">
                  <w:marLeft w:val="0"/>
                  <w:marRight w:val="0"/>
                  <w:marTop w:val="0"/>
                  <w:marBottom w:val="0"/>
                  <w:divBdr>
                    <w:top w:val="none" w:sz="0" w:space="0" w:color="auto"/>
                    <w:left w:val="none" w:sz="0" w:space="0" w:color="auto"/>
                    <w:bottom w:val="none" w:sz="0" w:space="0" w:color="auto"/>
                    <w:right w:val="none" w:sz="0" w:space="0" w:color="auto"/>
                  </w:divBdr>
                  <w:divsChild>
                    <w:div w:id="1375346308">
                      <w:marLeft w:val="0"/>
                      <w:marRight w:val="0"/>
                      <w:marTop w:val="0"/>
                      <w:marBottom w:val="0"/>
                      <w:divBdr>
                        <w:top w:val="none" w:sz="0" w:space="0" w:color="auto"/>
                        <w:left w:val="none" w:sz="0" w:space="0" w:color="auto"/>
                        <w:bottom w:val="none" w:sz="0" w:space="0" w:color="auto"/>
                        <w:right w:val="none" w:sz="0" w:space="0" w:color="auto"/>
                      </w:divBdr>
                    </w:div>
                  </w:divsChild>
                </w:div>
                <w:div w:id="1233003901">
                  <w:marLeft w:val="0"/>
                  <w:marRight w:val="0"/>
                  <w:marTop w:val="0"/>
                  <w:marBottom w:val="0"/>
                  <w:divBdr>
                    <w:top w:val="none" w:sz="0" w:space="0" w:color="auto"/>
                    <w:left w:val="none" w:sz="0" w:space="0" w:color="auto"/>
                    <w:bottom w:val="none" w:sz="0" w:space="0" w:color="auto"/>
                    <w:right w:val="none" w:sz="0" w:space="0" w:color="auto"/>
                  </w:divBdr>
                  <w:divsChild>
                    <w:div w:id="993609695">
                      <w:marLeft w:val="0"/>
                      <w:marRight w:val="0"/>
                      <w:marTop w:val="0"/>
                      <w:marBottom w:val="0"/>
                      <w:divBdr>
                        <w:top w:val="none" w:sz="0" w:space="0" w:color="auto"/>
                        <w:left w:val="none" w:sz="0" w:space="0" w:color="auto"/>
                        <w:bottom w:val="none" w:sz="0" w:space="0" w:color="auto"/>
                        <w:right w:val="none" w:sz="0" w:space="0" w:color="auto"/>
                      </w:divBdr>
                    </w:div>
                  </w:divsChild>
                </w:div>
                <w:div w:id="1240486399">
                  <w:marLeft w:val="0"/>
                  <w:marRight w:val="0"/>
                  <w:marTop w:val="0"/>
                  <w:marBottom w:val="0"/>
                  <w:divBdr>
                    <w:top w:val="none" w:sz="0" w:space="0" w:color="auto"/>
                    <w:left w:val="none" w:sz="0" w:space="0" w:color="auto"/>
                    <w:bottom w:val="none" w:sz="0" w:space="0" w:color="auto"/>
                    <w:right w:val="none" w:sz="0" w:space="0" w:color="auto"/>
                  </w:divBdr>
                  <w:divsChild>
                    <w:div w:id="388186826">
                      <w:marLeft w:val="0"/>
                      <w:marRight w:val="0"/>
                      <w:marTop w:val="0"/>
                      <w:marBottom w:val="0"/>
                      <w:divBdr>
                        <w:top w:val="none" w:sz="0" w:space="0" w:color="auto"/>
                        <w:left w:val="none" w:sz="0" w:space="0" w:color="auto"/>
                        <w:bottom w:val="none" w:sz="0" w:space="0" w:color="auto"/>
                        <w:right w:val="none" w:sz="0" w:space="0" w:color="auto"/>
                      </w:divBdr>
                    </w:div>
                  </w:divsChild>
                </w:div>
                <w:div w:id="1261180456">
                  <w:marLeft w:val="0"/>
                  <w:marRight w:val="0"/>
                  <w:marTop w:val="0"/>
                  <w:marBottom w:val="0"/>
                  <w:divBdr>
                    <w:top w:val="none" w:sz="0" w:space="0" w:color="auto"/>
                    <w:left w:val="none" w:sz="0" w:space="0" w:color="auto"/>
                    <w:bottom w:val="none" w:sz="0" w:space="0" w:color="auto"/>
                    <w:right w:val="none" w:sz="0" w:space="0" w:color="auto"/>
                  </w:divBdr>
                  <w:divsChild>
                    <w:div w:id="1411199909">
                      <w:marLeft w:val="0"/>
                      <w:marRight w:val="0"/>
                      <w:marTop w:val="0"/>
                      <w:marBottom w:val="0"/>
                      <w:divBdr>
                        <w:top w:val="none" w:sz="0" w:space="0" w:color="auto"/>
                        <w:left w:val="none" w:sz="0" w:space="0" w:color="auto"/>
                        <w:bottom w:val="none" w:sz="0" w:space="0" w:color="auto"/>
                        <w:right w:val="none" w:sz="0" w:space="0" w:color="auto"/>
                      </w:divBdr>
                    </w:div>
                  </w:divsChild>
                </w:div>
                <w:div w:id="1291978995">
                  <w:marLeft w:val="0"/>
                  <w:marRight w:val="0"/>
                  <w:marTop w:val="0"/>
                  <w:marBottom w:val="0"/>
                  <w:divBdr>
                    <w:top w:val="none" w:sz="0" w:space="0" w:color="auto"/>
                    <w:left w:val="none" w:sz="0" w:space="0" w:color="auto"/>
                    <w:bottom w:val="none" w:sz="0" w:space="0" w:color="auto"/>
                    <w:right w:val="none" w:sz="0" w:space="0" w:color="auto"/>
                  </w:divBdr>
                  <w:divsChild>
                    <w:div w:id="941181919">
                      <w:marLeft w:val="0"/>
                      <w:marRight w:val="0"/>
                      <w:marTop w:val="0"/>
                      <w:marBottom w:val="0"/>
                      <w:divBdr>
                        <w:top w:val="none" w:sz="0" w:space="0" w:color="auto"/>
                        <w:left w:val="none" w:sz="0" w:space="0" w:color="auto"/>
                        <w:bottom w:val="none" w:sz="0" w:space="0" w:color="auto"/>
                        <w:right w:val="none" w:sz="0" w:space="0" w:color="auto"/>
                      </w:divBdr>
                    </w:div>
                  </w:divsChild>
                </w:div>
                <w:div w:id="1296833627">
                  <w:marLeft w:val="0"/>
                  <w:marRight w:val="0"/>
                  <w:marTop w:val="0"/>
                  <w:marBottom w:val="0"/>
                  <w:divBdr>
                    <w:top w:val="none" w:sz="0" w:space="0" w:color="auto"/>
                    <w:left w:val="none" w:sz="0" w:space="0" w:color="auto"/>
                    <w:bottom w:val="none" w:sz="0" w:space="0" w:color="auto"/>
                    <w:right w:val="none" w:sz="0" w:space="0" w:color="auto"/>
                  </w:divBdr>
                  <w:divsChild>
                    <w:div w:id="1029260895">
                      <w:marLeft w:val="0"/>
                      <w:marRight w:val="0"/>
                      <w:marTop w:val="0"/>
                      <w:marBottom w:val="0"/>
                      <w:divBdr>
                        <w:top w:val="none" w:sz="0" w:space="0" w:color="auto"/>
                        <w:left w:val="none" w:sz="0" w:space="0" w:color="auto"/>
                        <w:bottom w:val="none" w:sz="0" w:space="0" w:color="auto"/>
                        <w:right w:val="none" w:sz="0" w:space="0" w:color="auto"/>
                      </w:divBdr>
                    </w:div>
                  </w:divsChild>
                </w:div>
                <w:div w:id="1326713087">
                  <w:marLeft w:val="0"/>
                  <w:marRight w:val="0"/>
                  <w:marTop w:val="0"/>
                  <w:marBottom w:val="0"/>
                  <w:divBdr>
                    <w:top w:val="none" w:sz="0" w:space="0" w:color="auto"/>
                    <w:left w:val="none" w:sz="0" w:space="0" w:color="auto"/>
                    <w:bottom w:val="none" w:sz="0" w:space="0" w:color="auto"/>
                    <w:right w:val="none" w:sz="0" w:space="0" w:color="auto"/>
                  </w:divBdr>
                  <w:divsChild>
                    <w:div w:id="94517484">
                      <w:marLeft w:val="0"/>
                      <w:marRight w:val="0"/>
                      <w:marTop w:val="0"/>
                      <w:marBottom w:val="0"/>
                      <w:divBdr>
                        <w:top w:val="none" w:sz="0" w:space="0" w:color="auto"/>
                        <w:left w:val="none" w:sz="0" w:space="0" w:color="auto"/>
                        <w:bottom w:val="none" w:sz="0" w:space="0" w:color="auto"/>
                        <w:right w:val="none" w:sz="0" w:space="0" w:color="auto"/>
                      </w:divBdr>
                    </w:div>
                  </w:divsChild>
                </w:div>
                <w:div w:id="1351950933">
                  <w:marLeft w:val="0"/>
                  <w:marRight w:val="0"/>
                  <w:marTop w:val="0"/>
                  <w:marBottom w:val="0"/>
                  <w:divBdr>
                    <w:top w:val="none" w:sz="0" w:space="0" w:color="auto"/>
                    <w:left w:val="none" w:sz="0" w:space="0" w:color="auto"/>
                    <w:bottom w:val="none" w:sz="0" w:space="0" w:color="auto"/>
                    <w:right w:val="none" w:sz="0" w:space="0" w:color="auto"/>
                  </w:divBdr>
                  <w:divsChild>
                    <w:div w:id="743987211">
                      <w:marLeft w:val="0"/>
                      <w:marRight w:val="0"/>
                      <w:marTop w:val="0"/>
                      <w:marBottom w:val="0"/>
                      <w:divBdr>
                        <w:top w:val="none" w:sz="0" w:space="0" w:color="auto"/>
                        <w:left w:val="none" w:sz="0" w:space="0" w:color="auto"/>
                        <w:bottom w:val="none" w:sz="0" w:space="0" w:color="auto"/>
                        <w:right w:val="none" w:sz="0" w:space="0" w:color="auto"/>
                      </w:divBdr>
                    </w:div>
                  </w:divsChild>
                </w:div>
                <w:div w:id="1354264658">
                  <w:marLeft w:val="0"/>
                  <w:marRight w:val="0"/>
                  <w:marTop w:val="0"/>
                  <w:marBottom w:val="0"/>
                  <w:divBdr>
                    <w:top w:val="none" w:sz="0" w:space="0" w:color="auto"/>
                    <w:left w:val="none" w:sz="0" w:space="0" w:color="auto"/>
                    <w:bottom w:val="none" w:sz="0" w:space="0" w:color="auto"/>
                    <w:right w:val="none" w:sz="0" w:space="0" w:color="auto"/>
                  </w:divBdr>
                  <w:divsChild>
                    <w:div w:id="700470300">
                      <w:marLeft w:val="0"/>
                      <w:marRight w:val="0"/>
                      <w:marTop w:val="0"/>
                      <w:marBottom w:val="0"/>
                      <w:divBdr>
                        <w:top w:val="none" w:sz="0" w:space="0" w:color="auto"/>
                        <w:left w:val="none" w:sz="0" w:space="0" w:color="auto"/>
                        <w:bottom w:val="none" w:sz="0" w:space="0" w:color="auto"/>
                        <w:right w:val="none" w:sz="0" w:space="0" w:color="auto"/>
                      </w:divBdr>
                    </w:div>
                  </w:divsChild>
                </w:div>
                <w:div w:id="1358432805">
                  <w:marLeft w:val="0"/>
                  <w:marRight w:val="0"/>
                  <w:marTop w:val="0"/>
                  <w:marBottom w:val="0"/>
                  <w:divBdr>
                    <w:top w:val="none" w:sz="0" w:space="0" w:color="auto"/>
                    <w:left w:val="none" w:sz="0" w:space="0" w:color="auto"/>
                    <w:bottom w:val="none" w:sz="0" w:space="0" w:color="auto"/>
                    <w:right w:val="none" w:sz="0" w:space="0" w:color="auto"/>
                  </w:divBdr>
                  <w:divsChild>
                    <w:div w:id="568149082">
                      <w:marLeft w:val="0"/>
                      <w:marRight w:val="0"/>
                      <w:marTop w:val="0"/>
                      <w:marBottom w:val="0"/>
                      <w:divBdr>
                        <w:top w:val="none" w:sz="0" w:space="0" w:color="auto"/>
                        <w:left w:val="none" w:sz="0" w:space="0" w:color="auto"/>
                        <w:bottom w:val="none" w:sz="0" w:space="0" w:color="auto"/>
                        <w:right w:val="none" w:sz="0" w:space="0" w:color="auto"/>
                      </w:divBdr>
                    </w:div>
                  </w:divsChild>
                </w:div>
                <w:div w:id="1375226791">
                  <w:marLeft w:val="0"/>
                  <w:marRight w:val="0"/>
                  <w:marTop w:val="0"/>
                  <w:marBottom w:val="0"/>
                  <w:divBdr>
                    <w:top w:val="none" w:sz="0" w:space="0" w:color="auto"/>
                    <w:left w:val="none" w:sz="0" w:space="0" w:color="auto"/>
                    <w:bottom w:val="none" w:sz="0" w:space="0" w:color="auto"/>
                    <w:right w:val="none" w:sz="0" w:space="0" w:color="auto"/>
                  </w:divBdr>
                  <w:divsChild>
                    <w:div w:id="1094009332">
                      <w:marLeft w:val="0"/>
                      <w:marRight w:val="0"/>
                      <w:marTop w:val="0"/>
                      <w:marBottom w:val="0"/>
                      <w:divBdr>
                        <w:top w:val="none" w:sz="0" w:space="0" w:color="auto"/>
                        <w:left w:val="none" w:sz="0" w:space="0" w:color="auto"/>
                        <w:bottom w:val="none" w:sz="0" w:space="0" w:color="auto"/>
                        <w:right w:val="none" w:sz="0" w:space="0" w:color="auto"/>
                      </w:divBdr>
                    </w:div>
                  </w:divsChild>
                </w:div>
                <w:div w:id="1560630110">
                  <w:marLeft w:val="0"/>
                  <w:marRight w:val="0"/>
                  <w:marTop w:val="0"/>
                  <w:marBottom w:val="0"/>
                  <w:divBdr>
                    <w:top w:val="none" w:sz="0" w:space="0" w:color="auto"/>
                    <w:left w:val="none" w:sz="0" w:space="0" w:color="auto"/>
                    <w:bottom w:val="none" w:sz="0" w:space="0" w:color="auto"/>
                    <w:right w:val="none" w:sz="0" w:space="0" w:color="auto"/>
                  </w:divBdr>
                  <w:divsChild>
                    <w:div w:id="1697657058">
                      <w:marLeft w:val="0"/>
                      <w:marRight w:val="0"/>
                      <w:marTop w:val="0"/>
                      <w:marBottom w:val="0"/>
                      <w:divBdr>
                        <w:top w:val="none" w:sz="0" w:space="0" w:color="auto"/>
                        <w:left w:val="none" w:sz="0" w:space="0" w:color="auto"/>
                        <w:bottom w:val="none" w:sz="0" w:space="0" w:color="auto"/>
                        <w:right w:val="none" w:sz="0" w:space="0" w:color="auto"/>
                      </w:divBdr>
                    </w:div>
                  </w:divsChild>
                </w:div>
                <w:div w:id="1571305740">
                  <w:marLeft w:val="0"/>
                  <w:marRight w:val="0"/>
                  <w:marTop w:val="0"/>
                  <w:marBottom w:val="0"/>
                  <w:divBdr>
                    <w:top w:val="none" w:sz="0" w:space="0" w:color="auto"/>
                    <w:left w:val="none" w:sz="0" w:space="0" w:color="auto"/>
                    <w:bottom w:val="none" w:sz="0" w:space="0" w:color="auto"/>
                    <w:right w:val="none" w:sz="0" w:space="0" w:color="auto"/>
                  </w:divBdr>
                  <w:divsChild>
                    <w:div w:id="742489880">
                      <w:marLeft w:val="0"/>
                      <w:marRight w:val="0"/>
                      <w:marTop w:val="0"/>
                      <w:marBottom w:val="0"/>
                      <w:divBdr>
                        <w:top w:val="none" w:sz="0" w:space="0" w:color="auto"/>
                        <w:left w:val="none" w:sz="0" w:space="0" w:color="auto"/>
                        <w:bottom w:val="none" w:sz="0" w:space="0" w:color="auto"/>
                        <w:right w:val="none" w:sz="0" w:space="0" w:color="auto"/>
                      </w:divBdr>
                    </w:div>
                  </w:divsChild>
                </w:div>
                <w:div w:id="1577086722">
                  <w:marLeft w:val="0"/>
                  <w:marRight w:val="0"/>
                  <w:marTop w:val="0"/>
                  <w:marBottom w:val="0"/>
                  <w:divBdr>
                    <w:top w:val="none" w:sz="0" w:space="0" w:color="auto"/>
                    <w:left w:val="none" w:sz="0" w:space="0" w:color="auto"/>
                    <w:bottom w:val="none" w:sz="0" w:space="0" w:color="auto"/>
                    <w:right w:val="none" w:sz="0" w:space="0" w:color="auto"/>
                  </w:divBdr>
                  <w:divsChild>
                    <w:div w:id="1759129028">
                      <w:marLeft w:val="0"/>
                      <w:marRight w:val="0"/>
                      <w:marTop w:val="0"/>
                      <w:marBottom w:val="0"/>
                      <w:divBdr>
                        <w:top w:val="none" w:sz="0" w:space="0" w:color="auto"/>
                        <w:left w:val="none" w:sz="0" w:space="0" w:color="auto"/>
                        <w:bottom w:val="none" w:sz="0" w:space="0" w:color="auto"/>
                        <w:right w:val="none" w:sz="0" w:space="0" w:color="auto"/>
                      </w:divBdr>
                    </w:div>
                  </w:divsChild>
                </w:div>
                <w:div w:id="1611468137">
                  <w:marLeft w:val="0"/>
                  <w:marRight w:val="0"/>
                  <w:marTop w:val="0"/>
                  <w:marBottom w:val="0"/>
                  <w:divBdr>
                    <w:top w:val="none" w:sz="0" w:space="0" w:color="auto"/>
                    <w:left w:val="none" w:sz="0" w:space="0" w:color="auto"/>
                    <w:bottom w:val="none" w:sz="0" w:space="0" w:color="auto"/>
                    <w:right w:val="none" w:sz="0" w:space="0" w:color="auto"/>
                  </w:divBdr>
                  <w:divsChild>
                    <w:div w:id="232277349">
                      <w:marLeft w:val="0"/>
                      <w:marRight w:val="0"/>
                      <w:marTop w:val="0"/>
                      <w:marBottom w:val="0"/>
                      <w:divBdr>
                        <w:top w:val="none" w:sz="0" w:space="0" w:color="auto"/>
                        <w:left w:val="none" w:sz="0" w:space="0" w:color="auto"/>
                        <w:bottom w:val="none" w:sz="0" w:space="0" w:color="auto"/>
                        <w:right w:val="none" w:sz="0" w:space="0" w:color="auto"/>
                      </w:divBdr>
                    </w:div>
                  </w:divsChild>
                </w:div>
                <w:div w:id="1633098375">
                  <w:marLeft w:val="0"/>
                  <w:marRight w:val="0"/>
                  <w:marTop w:val="0"/>
                  <w:marBottom w:val="0"/>
                  <w:divBdr>
                    <w:top w:val="none" w:sz="0" w:space="0" w:color="auto"/>
                    <w:left w:val="none" w:sz="0" w:space="0" w:color="auto"/>
                    <w:bottom w:val="none" w:sz="0" w:space="0" w:color="auto"/>
                    <w:right w:val="none" w:sz="0" w:space="0" w:color="auto"/>
                  </w:divBdr>
                  <w:divsChild>
                    <w:div w:id="1333605565">
                      <w:marLeft w:val="0"/>
                      <w:marRight w:val="0"/>
                      <w:marTop w:val="0"/>
                      <w:marBottom w:val="0"/>
                      <w:divBdr>
                        <w:top w:val="none" w:sz="0" w:space="0" w:color="auto"/>
                        <w:left w:val="none" w:sz="0" w:space="0" w:color="auto"/>
                        <w:bottom w:val="none" w:sz="0" w:space="0" w:color="auto"/>
                        <w:right w:val="none" w:sz="0" w:space="0" w:color="auto"/>
                      </w:divBdr>
                    </w:div>
                  </w:divsChild>
                </w:div>
                <w:div w:id="1635090101">
                  <w:marLeft w:val="0"/>
                  <w:marRight w:val="0"/>
                  <w:marTop w:val="0"/>
                  <w:marBottom w:val="0"/>
                  <w:divBdr>
                    <w:top w:val="none" w:sz="0" w:space="0" w:color="auto"/>
                    <w:left w:val="none" w:sz="0" w:space="0" w:color="auto"/>
                    <w:bottom w:val="none" w:sz="0" w:space="0" w:color="auto"/>
                    <w:right w:val="none" w:sz="0" w:space="0" w:color="auto"/>
                  </w:divBdr>
                  <w:divsChild>
                    <w:div w:id="1958641489">
                      <w:marLeft w:val="0"/>
                      <w:marRight w:val="0"/>
                      <w:marTop w:val="0"/>
                      <w:marBottom w:val="0"/>
                      <w:divBdr>
                        <w:top w:val="none" w:sz="0" w:space="0" w:color="auto"/>
                        <w:left w:val="none" w:sz="0" w:space="0" w:color="auto"/>
                        <w:bottom w:val="none" w:sz="0" w:space="0" w:color="auto"/>
                        <w:right w:val="none" w:sz="0" w:space="0" w:color="auto"/>
                      </w:divBdr>
                    </w:div>
                  </w:divsChild>
                </w:div>
                <w:div w:id="1663267717">
                  <w:marLeft w:val="0"/>
                  <w:marRight w:val="0"/>
                  <w:marTop w:val="0"/>
                  <w:marBottom w:val="0"/>
                  <w:divBdr>
                    <w:top w:val="none" w:sz="0" w:space="0" w:color="auto"/>
                    <w:left w:val="none" w:sz="0" w:space="0" w:color="auto"/>
                    <w:bottom w:val="none" w:sz="0" w:space="0" w:color="auto"/>
                    <w:right w:val="none" w:sz="0" w:space="0" w:color="auto"/>
                  </w:divBdr>
                  <w:divsChild>
                    <w:div w:id="483474662">
                      <w:marLeft w:val="0"/>
                      <w:marRight w:val="0"/>
                      <w:marTop w:val="0"/>
                      <w:marBottom w:val="0"/>
                      <w:divBdr>
                        <w:top w:val="none" w:sz="0" w:space="0" w:color="auto"/>
                        <w:left w:val="none" w:sz="0" w:space="0" w:color="auto"/>
                        <w:bottom w:val="none" w:sz="0" w:space="0" w:color="auto"/>
                        <w:right w:val="none" w:sz="0" w:space="0" w:color="auto"/>
                      </w:divBdr>
                    </w:div>
                  </w:divsChild>
                </w:div>
                <w:div w:id="1694456774">
                  <w:marLeft w:val="0"/>
                  <w:marRight w:val="0"/>
                  <w:marTop w:val="0"/>
                  <w:marBottom w:val="0"/>
                  <w:divBdr>
                    <w:top w:val="none" w:sz="0" w:space="0" w:color="auto"/>
                    <w:left w:val="none" w:sz="0" w:space="0" w:color="auto"/>
                    <w:bottom w:val="none" w:sz="0" w:space="0" w:color="auto"/>
                    <w:right w:val="none" w:sz="0" w:space="0" w:color="auto"/>
                  </w:divBdr>
                  <w:divsChild>
                    <w:div w:id="1306204087">
                      <w:marLeft w:val="0"/>
                      <w:marRight w:val="0"/>
                      <w:marTop w:val="0"/>
                      <w:marBottom w:val="0"/>
                      <w:divBdr>
                        <w:top w:val="none" w:sz="0" w:space="0" w:color="auto"/>
                        <w:left w:val="none" w:sz="0" w:space="0" w:color="auto"/>
                        <w:bottom w:val="none" w:sz="0" w:space="0" w:color="auto"/>
                        <w:right w:val="none" w:sz="0" w:space="0" w:color="auto"/>
                      </w:divBdr>
                    </w:div>
                  </w:divsChild>
                </w:div>
                <w:div w:id="1702051393">
                  <w:marLeft w:val="0"/>
                  <w:marRight w:val="0"/>
                  <w:marTop w:val="0"/>
                  <w:marBottom w:val="0"/>
                  <w:divBdr>
                    <w:top w:val="none" w:sz="0" w:space="0" w:color="auto"/>
                    <w:left w:val="none" w:sz="0" w:space="0" w:color="auto"/>
                    <w:bottom w:val="none" w:sz="0" w:space="0" w:color="auto"/>
                    <w:right w:val="none" w:sz="0" w:space="0" w:color="auto"/>
                  </w:divBdr>
                  <w:divsChild>
                    <w:div w:id="1275206347">
                      <w:marLeft w:val="0"/>
                      <w:marRight w:val="0"/>
                      <w:marTop w:val="0"/>
                      <w:marBottom w:val="0"/>
                      <w:divBdr>
                        <w:top w:val="none" w:sz="0" w:space="0" w:color="auto"/>
                        <w:left w:val="none" w:sz="0" w:space="0" w:color="auto"/>
                        <w:bottom w:val="none" w:sz="0" w:space="0" w:color="auto"/>
                        <w:right w:val="none" w:sz="0" w:space="0" w:color="auto"/>
                      </w:divBdr>
                    </w:div>
                  </w:divsChild>
                </w:div>
                <w:div w:id="1707024960">
                  <w:marLeft w:val="0"/>
                  <w:marRight w:val="0"/>
                  <w:marTop w:val="0"/>
                  <w:marBottom w:val="0"/>
                  <w:divBdr>
                    <w:top w:val="none" w:sz="0" w:space="0" w:color="auto"/>
                    <w:left w:val="none" w:sz="0" w:space="0" w:color="auto"/>
                    <w:bottom w:val="none" w:sz="0" w:space="0" w:color="auto"/>
                    <w:right w:val="none" w:sz="0" w:space="0" w:color="auto"/>
                  </w:divBdr>
                  <w:divsChild>
                    <w:div w:id="72941624">
                      <w:marLeft w:val="0"/>
                      <w:marRight w:val="0"/>
                      <w:marTop w:val="0"/>
                      <w:marBottom w:val="0"/>
                      <w:divBdr>
                        <w:top w:val="none" w:sz="0" w:space="0" w:color="auto"/>
                        <w:left w:val="none" w:sz="0" w:space="0" w:color="auto"/>
                        <w:bottom w:val="none" w:sz="0" w:space="0" w:color="auto"/>
                        <w:right w:val="none" w:sz="0" w:space="0" w:color="auto"/>
                      </w:divBdr>
                    </w:div>
                  </w:divsChild>
                </w:div>
                <w:div w:id="1719815703">
                  <w:marLeft w:val="0"/>
                  <w:marRight w:val="0"/>
                  <w:marTop w:val="0"/>
                  <w:marBottom w:val="0"/>
                  <w:divBdr>
                    <w:top w:val="none" w:sz="0" w:space="0" w:color="auto"/>
                    <w:left w:val="none" w:sz="0" w:space="0" w:color="auto"/>
                    <w:bottom w:val="none" w:sz="0" w:space="0" w:color="auto"/>
                    <w:right w:val="none" w:sz="0" w:space="0" w:color="auto"/>
                  </w:divBdr>
                  <w:divsChild>
                    <w:div w:id="159926513">
                      <w:marLeft w:val="0"/>
                      <w:marRight w:val="0"/>
                      <w:marTop w:val="0"/>
                      <w:marBottom w:val="0"/>
                      <w:divBdr>
                        <w:top w:val="none" w:sz="0" w:space="0" w:color="auto"/>
                        <w:left w:val="none" w:sz="0" w:space="0" w:color="auto"/>
                        <w:bottom w:val="none" w:sz="0" w:space="0" w:color="auto"/>
                        <w:right w:val="none" w:sz="0" w:space="0" w:color="auto"/>
                      </w:divBdr>
                    </w:div>
                  </w:divsChild>
                </w:div>
                <w:div w:id="1728916700">
                  <w:marLeft w:val="0"/>
                  <w:marRight w:val="0"/>
                  <w:marTop w:val="0"/>
                  <w:marBottom w:val="0"/>
                  <w:divBdr>
                    <w:top w:val="none" w:sz="0" w:space="0" w:color="auto"/>
                    <w:left w:val="none" w:sz="0" w:space="0" w:color="auto"/>
                    <w:bottom w:val="none" w:sz="0" w:space="0" w:color="auto"/>
                    <w:right w:val="none" w:sz="0" w:space="0" w:color="auto"/>
                  </w:divBdr>
                  <w:divsChild>
                    <w:div w:id="1360664974">
                      <w:marLeft w:val="0"/>
                      <w:marRight w:val="0"/>
                      <w:marTop w:val="0"/>
                      <w:marBottom w:val="0"/>
                      <w:divBdr>
                        <w:top w:val="none" w:sz="0" w:space="0" w:color="auto"/>
                        <w:left w:val="none" w:sz="0" w:space="0" w:color="auto"/>
                        <w:bottom w:val="none" w:sz="0" w:space="0" w:color="auto"/>
                        <w:right w:val="none" w:sz="0" w:space="0" w:color="auto"/>
                      </w:divBdr>
                    </w:div>
                  </w:divsChild>
                </w:div>
                <w:div w:id="1789618294">
                  <w:marLeft w:val="0"/>
                  <w:marRight w:val="0"/>
                  <w:marTop w:val="0"/>
                  <w:marBottom w:val="0"/>
                  <w:divBdr>
                    <w:top w:val="none" w:sz="0" w:space="0" w:color="auto"/>
                    <w:left w:val="none" w:sz="0" w:space="0" w:color="auto"/>
                    <w:bottom w:val="none" w:sz="0" w:space="0" w:color="auto"/>
                    <w:right w:val="none" w:sz="0" w:space="0" w:color="auto"/>
                  </w:divBdr>
                  <w:divsChild>
                    <w:div w:id="1538278301">
                      <w:marLeft w:val="0"/>
                      <w:marRight w:val="0"/>
                      <w:marTop w:val="0"/>
                      <w:marBottom w:val="0"/>
                      <w:divBdr>
                        <w:top w:val="none" w:sz="0" w:space="0" w:color="auto"/>
                        <w:left w:val="none" w:sz="0" w:space="0" w:color="auto"/>
                        <w:bottom w:val="none" w:sz="0" w:space="0" w:color="auto"/>
                        <w:right w:val="none" w:sz="0" w:space="0" w:color="auto"/>
                      </w:divBdr>
                    </w:div>
                  </w:divsChild>
                </w:div>
                <w:div w:id="1793471759">
                  <w:marLeft w:val="0"/>
                  <w:marRight w:val="0"/>
                  <w:marTop w:val="0"/>
                  <w:marBottom w:val="0"/>
                  <w:divBdr>
                    <w:top w:val="none" w:sz="0" w:space="0" w:color="auto"/>
                    <w:left w:val="none" w:sz="0" w:space="0" w:color="auto"/>
                    <w:bottom w:val="none" w:sz="0" w:space="0" w:color="auto"/>
                    <w:right w:val="none" w:sz="0" w:space="0" w:color="auto"/>
                  </w:divBdr>
                  <w:divsChild>
                    <w:div w:id="1413546864">
                      <w:marLeft w:val="0"/>
                      <w:marRight w:val="0"/>
                      <w:marTop w:val="0"/>
                      <w:marBottom w:val="0"/>
                      <w:divBdr>
                        <w:top w:val="none" w:sz="0" w:space="0" w:color="auto"/>
                        <w:left w:val="none" w:sz="0" w:space="0" w:color="auto"/>
                        <w:bottom w:val="none" w:sz="0" w:space="0" w:color="auto"/>
                        <w:right w:val="none" w:sz="0" w:space="0" w:color="auto"/>
                      </w:divBdr>
                    </w:div>
                  </w:divsChild>
                </w:div>
                <w:div w:id="1796680287">
                  <w:marLeft w:val="0"/>
                  <w:marRight w:val="0"/>
                  <w:marTop w:val="0"/>
                  <w:marBottom w:val="0"/>
                  <w:divBdr>
                    <w:top w:val="none" w:sz="0" w:space="0" w:color="auto"/>
                    <w:left w:val="none" w:sz="0" w:space="0" w:color="auto"/>
                    <w:bottom w:val="none" w:sz="0" w:space="0" w:color="auto"/>
                    <w:right w:val="none" w:sz="0" w:space="0" w:color="auto"/>
                  </w:divBdr>
                  <w:divsChild>
                    <w:div w:id="1521820951">
                      <w:marLeft w:val="0"/>
                      <w:marRight w:val="0"/>
                      <w:marTop w:val="0"/>
                      <w:marBottom w:val="0"/>
                      <w:divBdr>
                        <w:top w:val="none" w:sz="0" w:space="0" w:color="auto"/>
                        <w:left w:val="none" w:sz="0" w:space="0" w:color="auto"/>
                        <w:bottom w:val="none" w:sz="0" w:space="0" w:color="auto"/>
                        <w:right w:val="none" w:sz="0" w:space="0" w:color="auto"/>
                      </w:divBdr>
                    </w:div>
                  </w:divsChild>
                </w:div>
                <w:div w:id="1840342328">
                  <w:marLeft w:val="0"/>
                  <w:marRight w:val="0"/>
                  <w:marTop w:val="0"/>
                  <w:marBottom w:val="0"/>
                  <w:divBdr>
                    <w:top w:val="none" w:sz="0" w:space="0" w:color="auto"/>
                    <w:left w:val="none" w:sz="0" w:space="0" w:color="auto"/>
                    <w:bottom w:val="none" w:sz="0" w:space="0" w:color="auto"/>
                    <w:right w:val="none" w:sz="0" w:space="0" w:color="auto"/>
                  </w:divBdr>
                  <w:divsChild>
                    <w:div w:id="750082961">
                      <w:marLeft w:val="0"/>
                      <w:marRight w:val="0"/>
                      <w:marTop w:val="0"/>
                      <w:marBottom w:val="0"/>
                      <w:divBdr>
                        <w:top w:val="none" w:sz="0" w:space="0" w:color="auto"/>
                        <w:left w:val="none" w:sz="0" w:space="0" w:color="auto"/>
                        <w:bottom w:val="none" w:sz="0" w:space="0" w:color="auto"/>
                        <w:right w:val="none" w:sz="0" w:space="0" w:color="auto"/>
                      </w:divBdr>
                    </w:div>
                  </w:divsChild>
                </w:div>
                <w:div w:id="1923446726">
                  <w:marLeft w:val="0"/>
                  <w:marRight w:val="0"/>
                  <w:marTop w:val="0"/>
                  <w:marBottom w:val="0"/>
                  <w:divBdr>
                    <w:top w:val="none" w:sz="0" w:space="0" w:color="auto"/>
                    <w:left w:val="none" w:sz="0" w:space="0" w:color="auto"/>
                    <w:bottom w:val="none" w:sz="0" w:space="0" w:color="auto"/>
                    <w:right w:val="none" w:sz="0" w:space="0" w:color="auto"/>
                  </w:divBdr>
                  <w:divsChild>
                    <w:div w:id="489517694">
                      <w:marLeft w:val="0"/>
                      <w:marRight w:val="0"/>
                      <w:marTop w:val="0"/>
                      <w:marBottom w:val="0"/>
                      <w:divBdr>
                        <w:top w:val="none" w:sz="0" w:space="0" w:color="auto"/>
                        <w:left w:val="none" w:sz="0" w:space="0" w:color="auto"/>
                        <w:bottom w:val="none" w:sz="0" w:space="0" w:color="auto"/>
                        <w:right w:val="none" w:sz="0" w:space="0" w:color="auto"/>
                      </w:divBdr>
                    </w:div>
                  </w:divsChild>
                </w:div>
                <w:div w:id="1933779135">
                  <w:marLeft w:val="0"/>
                  <w:marRight w:val="0"/>
                  <w:marTop w:val="0"/>
                  <w:marBottom w:val="0"/>
                  <w:divBdr>
                    <w:top w:val="none" w:sz="0" w:space="0" w:color="auto"/>
                    <w:left w:val="none" w:sz="0" w:space="0" w:color="auto"/>
                    <w:bottom w:val="none" w:sz="0" w:space="0" w:color="auto"/>
                    <w:right w:val="none" w:sz="0" w:space="0" w:color="auto"/>
                  </w:divBdr>
                  <w:divsChild>
                    <w:div w:id="1703094518">
                      <w:marLeft w:val="0"/>
                      <w:marRight w:val="0"/>
                      <w:marTop w:val="0"/>
                      <w:marBottom w:val="0"/>
                      <w:divBdr>
                        <w:top w:val="none" w:sz="0" w:space="0" w:color="auto"/>
                        <w:left w:val="none" w:sz="0" w:space="0" w:color="auto"/>
                        <w:bottom w:val="none" w:sz="0" w:space="0" w:color="auto"/>
                        <w:right w:val="none" w:sz="0" w:space="0" w:color="auto"/>
                      </w:divBdr>
                    </w:div>
                  </w:divsChild>
                </w:div>
                <w:div w:id="1945187026">
                  <w:marLeft w:val="0"/>
                  <w:marRight w:val="0"/>
                  <w:marTop w:val="0"/>
                  <w:marBottom w:val="0"/>
                  <w:divBdr>
                    <w:top w:val="none" w:sz="0" w:space="0" w:color="auto"/>
                    <w:left w:val="none" w:sz="0" w:space="0" w:color="auto"/>
                    <w:bottom w:val="none" w:sz="0" w:space="0" w:color="auto"/>
                    <w:right w:val="none" w:sz="0" w:space="0" w:color="auto"/>
                  </w:divBdr>
                  <w:divsChild>
                    <w:div w:id="286205380">
                      <w:marLeft w:val="0"/>
                      <w:marRight w:val="0"/>
                      <w:marTop w:val="0"/>
                      <w:marBottom w:val="0"/>
                      <w:divBdr>
                        <w:top w:val="none" w:sz="0" w:space="0" w:color="auto"/>
                        <w:left w:val="none" w:sz="0" w:space="0" w:color="auto"/>
                        <w:bottom w:val="none" w:sz="0" w:space="0" w:color="auto"/>
                        <w:right w:val="none" w:sz="0" w:space="0" w:color="auto"/>
                      </w:divBdr>
                    </w:div>
                  </w:divsChild>
                </w:div>
                <w:div w:id="1947351704">
                  <w:marLeft w:val="0"/>
                  <w:marRight w:val="0"/>
                  <w:marTop w:val="0"/>
                  <w:marBottom w:val="0"/>
                  <w:divBdr>
                    <w:top w:val="none" w:sz="0" w:space="0" w:color="auto"/>
                    <w:left w:val="none" w:sz="0" w:space="0" w:color="auto"/>
                    <w:bottom w:val="none" w:sz="0" w:space="0" w:color="auto"/>
                    <w:right w:val="none" w:sz="0" w:space="0" w:color="auto"/>
                  </w:divBdr>
                  <w:divsChild>
                    <w:div w:id="465701104">
                      <w:marLeft w:val="0"/>
                      <w:marRight w:val="0"/>
                      <w:marTop w:val="0"/>
                      <w:marBottom w:val="0"/>
                      <w:divBdr>
                        <w:top w:val="none" w:sz="0" w:space="0" w:color="auto"/>
                        <w:left w:val="none" w:sz="0" w:space="0" w:color="auto"/>
                        <w:bottom w:val="none" w:sz="0" w:space="0" w:color="auto"/>
                        <w:right w:val="none" w:sz="0" w:space="0" w:color="auto"/>
                      </w:divBdr>
                    </w:div>
                  </w:divsChild>
                </w:div>
                <w:div w:id="1955019783">
                  <w:marLeft w:val="0"/>
                  <w:marRight w:val="0"/>
                  <w:marTop w:val="0"/>
                  <w:marBottom w:val="0"/>
                  <w:divBdr>
                    <w:top w:val="none" w:sz="0" w:space="0" w:color="auto"/>
                    <w:left w:val="none" w:sz="0" w:space="0" w:color="auto"/>
                    <w:bottom w:val="none" w:sz="0" w:space="0" w:color="auto"/>
                    <w:right w:val="none" w:sz="0" w:space="0" w:color="auto"/>
                  </w:divBdr>
                  <w:divsChild>
                    <w:div w:id="1926259969">
                      <w:marLeft w:val="0"/>
                      <w:marRight w:val="0"/>
                      <w:marTop w:val="0"/>
                      <w:marBottom w:val="0"/>
                      <w:divBdr>
                        <w:top w:val="none" w:sz="0" w:space="0" w:color="auto"/>
                        <w:left w:val="none" w:sz="0" w:space="0" w:color="auto"/>
                        <w:bottom w:val="none" w:sz="0" w:space="0" w:color="auto"/>
                        <w:right w:val="none" w:sz="0" w:space="0" w:color="auto"/>
                      </w:divBdr>
                    </w:div>
                  </w:divsChild>
                </w:div>
                <w:div w:id="2005038534">
                  <w:marLeft w:val="0"/>
                  <w:marRight w:val="0"/>
                  <w:marTop w:val="0"/>
                  <w:marBottom w:val="0"/>
                  <w:divBdr>
                    <w:top w:val="none" w:sz="0" w:space="0" w:color="auto"/>
                    <w:left w:val="none" w:sz="0" w:space="0" w:color="auto"/>
                    <w:bottom w:val="none" w:sz="0" w:space="0" w:color="auto"/>
                    <w:right w:val="none" w:sz="0" w:space="0" w:color="auto"/>
                  </w:divBdr>
                  <w:divsChild>
                    <w:div w:id="583995963">
                      <w:marLeft w:val="0"/>
                      <w:marRight w:val="0"/>
                      <w:marTop w:val="0"/>
                      <w:marBottom w:val="0"/>
                      <w:divBdr>
                        <w:top w:val="none" w:sz="0" w:space="0" w:color="auto"/>
                        <w:left w:val="none" w:sz="0" w:space="0" w:color="auto"/>
                        <w:bottom w:val="none" w:sz="0" w:space="0" w:color="auto"/>
                        <w:right w:val="none" w:sz="0" w:space="0" w:color="auto"/>
                      </w:divBdr>
                    </w:div>
                  </w:divsChild>
                </w:div>
                <w:div w:id="2009015754">
                  <w:marLeft w:val="0"/>
                  <w:marRight w:val="0"/>
                  <w:marTop w:val="0"/>
                  <w:marBottom w:val="0"/>
                  <w:divBdr>
                    <w:top w:val="none" w:sz="0" w:space="0" w:color="auto"/>
                    <w:left w:val="none" w:sz="0" w:space="0" w:color="auto"/>
                    <w:bottom w:val="none" w:sz="0" w:space="0" w:color="auto"/>
                    <w:right w:val="none" w:sz="0" w:space="0" w:color="auto"/>
                  </w:divBdr>
                  <w:divsChild>
                    <w:div w:id="1506897794">
                      <w:marLeft w:val="0"/>
                      <w:marRight w:val="0"/>
                      <w:marTop w:val="0"/>
                      <w:marBottom w:val="0"/>
                      <w:divBdr>
                        <w:top w:val="none" w:sz="0" w:space="0" w:color="auto"/>
                        <w:left w:val="none" w:sz="0" w:space="0" w:color="auto"/>
                        <w:bottom w:val="none" w:sz="0" w:space="0" w:color="auto"/>
                        <w:right w:val="none" w:sz="0" w:space="0" w:color="auto"/>
                      </w:divBdr>
                    </w:div>
                  </w:divsChild>
                </w:div>
                <w:div w:id="2047674136">
                  <w:marLeft w:val="0"/>
                  <w:marRight w:val="0"/>
                  <w:marTop w:val="0"/>
                  <w:marBottom w:val="0"/>
                  <w:divBdr>
                    <w:top w:val="none" w:sz="0" w:space="0" w:color="auto"/>
                    <w:left w:val="none" w:sz="0" w:space="0" w:color="auto"/>
                    <w:bottom w:val="none" w:sz="0" w:space="0" w:color="auto"/>
                    <w:right w:val="none" w:sz="0" w:space="0" w:color="auto"/>
                  </w:divBdr>
                  <w:divsChild>
                    <w:div w:id="1627392908">
                      <w:marLeft w:val="0"/>
                      <w:marRight w:val="0"/>
                      <w:marTop w:val="0"/>
                      <w:marBottom w:val="0"/>
                      <w:divBdr>
                        <w:top w:val="none" w:sz="0" w:space="0" w:color="auto"/>
                        <w:left w:val="none" w:sz="0" w:space="0" w:color="auto"/>
                        <w:bottom w:val="none" w:sz="0" w:space="0" w:color="auto"/>
                        <w:right w:val="none" w:sz="0" w:space="0" w:color="auto"/>
                      </w:divBdr>
                    </w:div>
                  </w:divsChild>
                </w:div>
                <w:div w:id="2066027201">
                  <w:marLeft w:val="0"/>
                  <w:marRight w:val="0"/>
                  <w:marTop w:val="0"/>
                  <w:marBottom w:val="0"/>
                  <w:divBdr>
                    <w:top w:val="none" w:sz="0" w:space="0" w:color="auto"/>
                    <w:left w:val="none" w:sz="0" w:space="0" w:color="auto"/>
                    <w:bottom w:val="none" w:sz="0" w:space="0" w:color="auto"/>
                    <w:right w:val="none" w:sz="0" w:space="0" w:color="auto"/>
                  </w:divBdr>
                  <w:divsChild>
                    <w:div w:id="1864660276">
                      <w:marLeft w:val="0"/>
                      <w:marRight w:val="0"/>
                      <w:marTop w:val="0"/>
                      <w:marBottom w:val="0"/>
                      <w:divBdr>
                        <w:top w:val="none" w:sz="0" w:space="0" w:color="auto"/>
                        <w:left w:val="none" w:sz="0" w:space="0" w:color="auto"/>
                        <w:bottom w:val="none" w:sz="0" w:space="0" w:color="auto"/>
                        <w:right w:val="none" w:sz="0" w:space="0" w:color="auto"/>
                      </w:divBdr>
                    </w:div>
                  </w:divsChild>
                </w:div>
                <w:div w:id="2122844328">
                  <w:marLeft w:val="0"/>
                  <w:marRight w:val="0"/>
                  <w:marTop w:val="0"/>
                  <w:marBottom w:val="0"/>
                  <w:divBdr>
                    <w:top w:val="none" w:sz="0" w:space="0" w:color="auto"/>
                    <w:left w:val="none" w:sz="0" w:space="0" w:color="auto"/>
                    <w:bottom w:val="none" w:sz="0" w:space="0" w:color="auto"/>
                    <w:right w:val="none" w:sz="0" w:space="0" w:color="auto"/>
                  </w:divBdr>
                  <w:divsChild>
                    <w:div w:id="6990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46329">
          <w:marLeft w:val="0"/>
          <w:marRight w:val="0"/>
          <w:marTop w:val="0"/>
          <w:marBottom w:val="0"/>
          <w:divBdr>
            <w:top w:val="none" w:sz="0" w:space="0" w:color="auto"/>
            <w:left w:val="none" w:sz="0" w:space="0" w:color="auto"/>
            <w:bottom w:val="none" w:sz="0" w:space="0" w:color="auto"/>
            <w:right w:val="none" w:sz="0" w:space="0" w:color="auto"/>
          </w:divBdr>
        </w:div>
        <w:div w:id="1928268569">
          <w:marLeft w:val="0"/>
          <w:marRight w:val="0"/>
          <w:marTop w:val="0"/>
          <w:marBottom w:val="0"/>
          <w:divBdr>
            <w:top w:val="none" w:sz="0" w:space="0" w:color="auto"/>
            <w:left w:val="none" w:sz="0" w:space="0" w:color="auto"/>
            <w:bottom w:val="none" w:sz="0" w:space="0" w:color="auto"/>
            <w:right w:val="none" w:sz="0" w:space="0" w:color="auto"/>
          </w:divBdr>
        </w:div>
      </w:divsChild>
    </w:div>
    <w:div w:id="1486897794">
      <w:bodyDiv w:val="1"/>
      <w:marLeft w:val="0"/>
      <w:marRight w:val="0"/>
      <w:marTop w:val="0"/>
      <w:marBottom w:val="0"/>
      <w:divBdr>
        <w:top w:val="none" w:sz="0" w:space="0" w:color="auto"/>
        <w:left w:val="none" w:sz="0" w:space="0" w:color="auto"/>
        <w:bottom w:val="none" w:sz="0" w:space="0" w:color="auto"/>
        <w:right w:val="none" w:sz="0" w:space="0" w:color="auto"/>
      </w:divBdr>
    </w:div>
    <w:div w:id="1600214225">
      <w:bodyDiv w:val="1"/>
      <w:marLeft w:val="0"/>
      <w:marRight w:val="0"/>
      <w:marTop w:val="0"/>
      <w:marBottom w:val="0"/>
      <w:divBdr>
        <w:top w:val="none" w:sz="0" w:space="0" w:color="auto"/>
        <w:left w:val="none" w:sz="0" w:space="0" w:color="auto"/>
        <w:bottom w:val="none" w:sz="0" w:space="0" w:color="auto"/>
        <w:right w:val="none" w:sz="0" w:space="0" w:color="auto"/>
      </w:divBdr>
    </w:div>
    <w:div w:id="1805656503">
      <w:bodyDiv w:val="1"/>
      <w:marLeft w:val="0"/>
      <w:marRight w:val="0"/>
      <w:marTop w:val="0"/>
      <w:marBottom w:val="0"/>
      <w:divBdr>
        <w:top w:val="none" w:sz="0" w:space="0" w:color="auto"/>
        <w:left w:val="none" w:sz="0" w:space="0" w:color="auto"/>
        <w:bottom w:val="none" w:sz="0" w:space="0" w:color="auto"/>
        <w:right w:val="none" w:sz="0" w:space="0" w:color="auto"/>
      </w:divBdr>
    </w:div>
    <w:div w:id="183332604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3794978">
      <w:bodyDiv w:val="1"/>
      <w:marLeft w:val="0"/>
      <w:marRight w:val="0"/>
      <w:marTop w:val="0"/>
      <w:marBottom w:val="0"/>
      <w:divBdr>
        <w:top w:val="none" w:sz="0" w:space="0" w:color="auto"/>
        <w:left w:val="none" w:sz="0" w:space="0" w:color="auto"/>
        <w:bottom w:val="none" w:sz="0" w:space="0" w:color="auto"/>
        <w:right w:val="none" w:sz="0" w:space="0" w:color="auto"/>
      </w:divBdr>
    </w:div>
    <w:div w:id="21450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www.servicesaustralia.gov.au/hpos" TargetMode="External"/><Relationship Id="rId17" Type="http://schemas.openxmlformats.org/officeDocument/2006/relationships/image" Target="media/image2.png"/><Relationship Id="rId25" Type="http://schemas.openxmlformats.org/officeDocument/2006/relationships/hyperlink" Target="https://www.servicesaustralia.gov.au/hpo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saustralia.gov.au/hpos" TargetMode="External"/><Relationship Id="rId20" Type="http://schemas.openxmlformats.org/officeDocument/2006/relationships/image" Target="media/image5.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gov.au" TargetMode="External"/><Relationship Id="rId24" Type="http://schemas.openxmlformats.org/officeDocument/2006/relationships/hyperlink" Target="https://www.servicesaustralia.gov.au/hpo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rvicesaustralia.gov.au/hpos)" TargetMode="External"/><Relationship Id="rId23" Type="http://schemas.openxmlformats.org/officeDocument/2006/relationships/hyperlink" Target="https://www.servicesaustralia.gov.au"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 TargetMode="External"/><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nice.org.uk/guidance/hst19" TargetMode="External"/><Relationship Id="rId1" Type="http://schemas.openxmlformats.org/officeDocument/2006/relationships/hyperlink" Target="https://www.nice.org.uk/guidance/hst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8F29EEF8-272E-4BE0-B860-7A75E200A956}">
  <ds:schemaRefs>
    <ds:schemaRef ds:uri="http://schemas.microsoft.com/sharepoint/v3/contenttype/forms"/>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F4308607-7580-44F7-94BB-34DF65FAA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40068-BBC9-4221-B6CA-50EB4AF35219}">
  <ds:schemaRefs>
    <ds:schemaRef ds:uri="http://schemas.openxmlformats.org/package/2006/metadata/core-properties"/>
    <ds:schemaRef ds:uri="72f95629-adac-4ec1-8738-e1cec852b92b"/>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7f856f8d-13b3-495a-9a4b-41f8182eda4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23069</Words>
  <Characters>128441</Characters>
  <Application>Microsoft Office Word</Application>
  <DocSecurity>0</DocSecurity>
  <Lines>3859</Lines>
  <Paragraphs>2030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2026-04-08T22:58:00Z</dcterms:created>
  <dcterms:modified xsi:type="dcterms:W3CDTF">2026-05-07T00:25:00Z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1cf3b095,47442f90,139774a8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3afd23a8,2988056d,f57a173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2025-10-23T22:57:37Z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603416de-26f9-441d-8d12-c30b164e837a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