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09EE" w14:textId="3DA4D8B5" w:rsidR="00691803" w:rsidRPr="000077A6" w:rsidRDefault="000077A6" w:rsidP="000077A6">
      <w:pPr>
        <w:pStyle w:val="1MainTitle"/>
        <w:tabs>
          <w:tab w:val="left" w:pos="720"/>
          <w:tab w:val="left" w:pos="1440"/>
          <w:tab w:val="left" w:pos="2160"/>
          <w:tab w:val="left" w:pos="2880"/>
          <w:tab w:val="left" w:pos="5730"/>
        </w:tabs>
        <w:jc w:val="left"/>
        <w:rPr>
          <w:lang w:val="de-DE"/>
        </w:rPr>
      </w:pPr>
      <w:bookmarkStart w:id="0" w:name="_Hlk212737057"/>
      <w:bookmarkStart w:id="1" w:name="_Hlk76375180"/>
      <w:r w:rsidRPr="00C53F9C">
        <w:rPr>
          <w:lang w:val="de-DE"/>
        </w:rPr>
        <w:t>5.26</w:t>
      </w:r>
      <w:r w:rsidRPr="00C53F9C">
        <w:rPr>
          <w:lang w:val="de-DE"/>
        </w:rPr>
        <w:tab/>
        <w:t>ZANUBRUTINIB,</w:t>
      </w:r>
      <w:r w:rsidRPr="00C53F9C">
        <w:rPr>
          <w:lang w:val="de-DE"/>
        </w:rPr>
        <w:tab/>
      </w:r>
      <w:r w:rsidRPr="00C53F9C">
        <w:rPr>
          <w:lang w:val="de-DE"/>
        </w:rPr>
        <w:br/>
        <w:t>Tablet 160 mg,</w:t>
      </w:r>
      <w:r w:rsidRPr="00C53F9C">
        <w:rPr>
          <w:lang w:val="de-DE"/>
        </w:rPr>
        <w:br/>
        <w:t>Brukinsa®,</w:t>
      </w:r>
      <w:r w:rsidRPr="00C53F9C">
        <w:rPr>
          <w:lang w:val="de-DE"/>
        </w:rPr>
        <w:br/>
        <w:t>BeiGene AUS Pty Ltd</w:t>
      </w:r>
    </w:p>
    <w:bookmarkEnd w:id="0"/>
    <w:bookmarkEnd w:id="1"/>
    <w:p w14:paraId="5F4D54C1" w14:textId="3D6DBAF5"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6D96FEB6" w14:textId="6C28466B" w:rsidR="00DC732A" w:rsidRDefault="006C6C10" w:rsidP="00BE044D">
      <w:pPr>
        <w:pStyle w:val="3-BodyText"/>
        <w:rPr>
          <w:rFonts w:cstheme="minorHAnsi"/>
          <w:szCs w:val="24"/>
        </w:rPr>
      </w:pPr>
      <w:r w:rsidRPr="00A6439B">
        <w:t xml:space="preserve">The Category </w:t>
      </w:r>
      <w:r w:rsidR="0084355F">
        <w:t>4</w:t>
      </w:r>
      <w:r w:rsidRPr="00A6439B">
        <w:t xml:space="preserve"> submission</w:t>
      </w:r>
      <w:r w:rsidR="002A2D0B">
        <w:t xml:space="preserve"> </w:t>
      </w:r>
      <w:r w:rsidR="00244BEC" w:rsidRPr="00A6439B">
        <w:t>requested</w:t>
      </w:r>
      <w:r w:rsidRPr="00A6439B">
        <w:t xml:space="preserve"> to</w:t>
      </w:r>
      <w:r w:rsidR="00D62D6E">
        <w:t xml:space="preserve"> </w:t>
      </w:r>
      <w:bookmarkStart w:id="2" w:name="_Hlk213323322"/>
      <w:r w:rsidR="0088137F">
        <w:t>l</w:t>
      </w:r>
      <w:r w:rsidR="0073736F" w:rsidRPr="00D62D6E">
        <w:rPr>
          <w:rFonts w:cstheme="minorHAnsi"/>
        </w:rPr>
        <w:t>ist</w:t>
      </w:r>
      <w:r w:rsidR="0084355F" w:rsidRPr="00D62D6E">
        <w:rPr>
          <w:rFonts w:cstheme="minorHAnsi"/>
        </w:rPr>
        <w:t xml:space="preserve"> </w:t>
      </w:r>
      <w:r w:rsidR="0054752E" w:rsidRPr="00D62D6E">
        <w:rPr>
          <w:rFonts w:cstheme="minorHAnsi"/>
        </w:rPr>
        <w:t>zanubrutinib</w:t>
      </w:r>
      <w:r w:rsidR="0084355F" w:rsidRPr="00D62D6E">
        <w:rPr>
          <w:rFonts w:cstheme="minorHAnsi"/>
        </w:rPr>
        <w:t xml:space="preserve"> </w:t>
      </w:r>
      <w:r w:rsidR="00246954" w:rsidRPr="00D62D6E">
        <w:rPr>
          <w:rFonts w:cstheme="minorHAnsi"/>
        </w:rPr>
        <w:t>(Brukinsa®)</w:t>
      </w:r>
      <w:r w:rsidR="00246954">
        <w:rPr>
          <w:rFonts w:cstheme="minorHAnsi"/>
        </w:rPr>
        <w:t xml:space="preserve"> 160 mg </w:t>
      </w:r>
      <w:r w:rsidR="00AB3AEE">
        <w:rPr>
          <w:rFonts w:cstheme="minorHAnsi"/>
        </w:rPr>
        <w:t>tablet</w:t>
      </w:r>
      <w:r w:rsidR="00826A5C" w:rsidRPr="00D62D6E">
        <w:rPr>
          <w:rFonts w:cstheme="minorHAnsi"/>
        </w:rPr>
        <w:t xml:space="preserve"> </w:t>
      </w:r>
      <w:r w:rsidR="0073736F" w:rsidRPr="00D62D6E">
        <w:rPr>
          <w:rFonts w:cstheme="minorHAnsi"/>
        </w:rPr>
        <w:t>under the same circumstances as the PBS-listed</w:t>
      </w:r>
      <w:r w:rsidR="006F679D" w:rsidRPr="00D62D6E">
        <w:rPr>
          <w:rFonts w:cstheme="minorHAnsi"/>
        </w:rPr>
        <w:t xml:space="preserve"> </w:t>
      </w:r>
      <w:r w:rsidR="00A91855">
        <w:rPr>
          <w:rFonts w:cstheme="minorHAnsi"/>
        </w:rPr>
        <w:t>80 mg</w:t>
      </w:r>
      <w:r w:rsidR="00A91855" w:rsidRPr="00D62D6E">
        <w:rPr>
          <w:rFonts w:cstheme="minorHAnsi"/>
        </w:rPr>
        <w:t xml:space="preserve"> </w:t>
      </w:r>
      <w:r w:rsidR="00826A5C" w:rsidRPr="00D62D6E">
        <w:rPr>
          <w:rFonts w:cstheme="minorHAnsi"/>
        </w:rPr>
        <w:t>capsule</w:t>
      </w:r>
      <w:r w:rsidR="00BE044D">
        <w:rPr>
          <w:rFonts w:cstheme="minorHAnsi"/>
        </w:rPr>
        <w:t xml:space="preserve"> </w:t>
      </w:r>
      <w:r w:rsidR="00DF1B8A" w:rsidRPr="00A6439B">
        <w:rPr>
          <w:rFonts w:cstheme="minorHAnsi"/>
          <w:szCs w:val="24"/>
        </w:rPr>
        <w:t>on</w:t>
      </w:r>
      <w:r w:rsidR="00DC732A" w:rsidRPr="00A6439B">
        <w:rPr>
          <w:rFonts w:cstheme="minorHAnsi"/>
          <w:szCs w:val="24"/>
        </w:rPr>
        <w:t xml:space="preserve"> a </w:t>
      </w:r>
      <w:r w:rsidR="00DC732A" w:rsidRPr="00855A1B">
        <w:rPr>
          <w:rFonts w:cstheme="minorHAnsi"/>
          <w:szCs w:val="24"/>
        </w:rPr>
        <w:t xml:space="preserve">cost-minimisation </w:t>
      </w:r>
      <w:r w:rsidR="00BE044D">
        <w:rPr>
          <w:rFonts w:cstheme="minorHAnsi"/>
          <w:szCs w:val="24"/>
        </w:rPr>
        <w:t>basis</w:t>
      </w:r>
      <w:r w:rsidR="00DC732A" w:rsidRPr="00A6439B">
        <w:rPr>
          <w:rFonts w:cstheme="minorHAnsi"/>
          <w:szCs w:val="24"/>
        </w:rPr>
        <w:t>.</w:t>
      </w:r>
    </w:p>
    <w:bookmarkEnd w:id="2"/>
    <w:p w14:paraId="7A7AFEEC" w14:textId="5DBAC079" w:rsidR="000005C8" w:rsidRDefault="000005C8" w:rsidP="00BE044D">
      <w:pPr>
        <w:pStyle w:val="3-BodyText"/>
        <w:rPr>
          <w:rFonts w:cstheme="minorHAnsi"/>
          <w:szCs w:val="24"/>
        </w:rPr>
      </w:pPr>
      <w:r>
        <w:rPr>
          <w:rFonts w:cstheme="minorHAnsi"/>
          <w:szCs w:val="24"/>
        </w:rPr>
        <w:t xml:space="preserve">The submission advised that </w:t>
      </w:r>
      <w:r w:rsidR="008E0347">
        <w:rPr>
          <w:rFonts w:cstheme="minorHAnsi"/>
          <w:szCs w:val="24"/>
        </w:rPr>
        <w:t xml:space="preserve">the sponsor </w:t>
      </w:r>
      <w:r w:rsidR="00D945EF">
        <w:rPr>
          <w:rFonts w:cstheme="minorHAnsi"/>
          <w:szCs w:val="24"/>
        </w:rPr>
        <w:t>would</w:t>
      </w:r>
      <w:r w:rsidR="008E0347">
        <w:rPr>
          <w:rFonts w:cstheme="minorHAnsi"/>
          <w:szCs w:val="24"/>
        </w:rPr>
        <w:t xml:space="preserve"> apply to delist </w:t>
      </w:r>
      <w:r w:rsidR="00947257">
        <w:rPr>
          <w:rFonts w:cstheme="minorHAnsi"/>
          <w:szCs w:val="24"/>
        </w:rPr>
        <w:t>the 80 mg capsule should the 160 mg tablet be recommended and listed</w:t>
      </w:r>
      <w:r w:rsidR="00FA0621">
        <w:rPr>
          <w:rFonts w:cstheme="minorHAnsi"/>
          <w:szCs w:val="24"/>
        </w:rPr>
        <w:t>,</w:t>
      </w:r>
      <w:r w:rsidR="00947257">
        <w:rPr>
          <w:rFonts w:cstheme="minorHAnsi"/>
          <w:szCs w:val="24"/>
        </w:rPr>
        <w:t xml:space="preserve"> and </w:t>
      </w:r>
      <w:r w:rsidR="00FA0621">
        <w:rPr>
          <w:rFonts w:cstheme="minorHAnsi"/>
          <w:szCs w:val="24"/>
        </w:rPr>
        <w:t xml:space="preserve">anticipated </w:t>
      </w:r>
      <w:r w:rsidR="00304F1F">
        <w:rPr>
          <w:rFonts w:cstheme="minorHAnsi"/>
          <w:szCs w:val="24"/>
        </w:rPr>
        <w:t>PBS delisting and discontinuation by 1 December 2026.</w:t>
      </w:r>
    </w:p>
    <w:p w14:paraId="3D1D4320" w14:textId="77777777" w:rsidR="007E490F" w:rsidRPr="00A6439B" w:rsidRDefault="007E490F" w:rsidP="001F2311">
      <w:pPr>
        <w:pStyle w:val="2-SectionHeading"/>
      </w:pPr>
      <w:r w:rsidRPr="00A6439B">
        <w:t xml:space="preserve">Background </w:t>
      </w:r>
    </w:p>
    <w:p w14:paraId="5B3E120B" w14:textId="2DD592A2" w:rsidR="00C6172E" w:rsidRDefault="00BE50D1" w:rsidP="002E127C">
      <w:pPr>
        <w:pStyle w:val="3-BodyText"/>
      </w:pPr>
      <w:r>
        <w:t>At the time of consideration, t</w:t>
      </w:r>
      <w:r w:rsidR="00BE044D">
        <w:t>he 80 mg</w:t>
      </w:r>
      <w:r w:rsidR="00BE044D" w:rsidRPr="00AD5308">
        <w:t xml:space="preserve"> </w:t>
      </w:r>
      <w:r w:rsidR="008A129B" w:rsidRPr="008A129B">
        <w:t xml:space="preserve">capsule </w:t>
      </w:r>
      <w:r>
        <w:t>wa</w:t>
      </w:r>
      <w:r w:rsidR="00C6172E" w:rsidRPr="00AD5308">
        <w:t>s listed for</w:t>
      </w:r>
      <w:r w:rsidR="00BE044D">
        <w:t xml:space="preserve"> the</w:t>
      </w:r>
      <w:r w:rsidR="00C6172E" w:rsidRPr="00AD5308">
        <w:t xml:space="preserve"> treatment of </w:t>
      </w:r>
      <w:r w:rsidR="004F7001" w:rsidRPr="00AD5308">
        <w:t>relapsed or refractory (R/R) mantle cell lymphoma (MCL)</w:t>
      </w:r>
      <w:r w:rsidR="00C6172E" w:rsidRPr="00AD5308">
        <w:t xml:space="preserve">, </w:t>
      </w:r>
      <w:r w:rsidR="00827BAC" w:rsidRPr="00AD5308">
        <w:t>W</w:t>
      </w:r>
      <w:r w:rsidR="00C6172E" w:rsidRPr="00AD5308">
        <w:t xml:space="preserve">aldenström </w:t>
      </w:r>
      <w:r w:rsidR="00C6172E" w:rsidRPr="00A071D3">
        <w:rPr>
          <w:rFonts w:cstheme="minorHAnsi"/>
          <w:szCs w:val="24"/>
        </w:rPr>
        <w:t>macroglobulinaemia</w:t>
      </w:r>
      <w:r w:rsidR="00683A76" w:rsidRPr="00A071D3">
        <w:rPr>
          <w:rFonts w:cstheme="minorHAnsi"/>
          <w:szCs w:val="24"/>
        </w:rPr>
        <w:t xml:space="preserve"> (WM)</w:t>
      </w:r>
      <w:r w:rsidR="00C6172E" w:rsidRPr="00A071D3">
        <w:rPr>
          <w:rFonts w:cstheme="minorHAnsi"/>
          <w:szCs w:val="24"/>
        </w:rPr>
        <w:t xml:space="preserve">, </w:t>
      </w:r>
      <w:r w:rsidR="001F74CC" w:rsidRPr="00A071D3">
        <w:rPr>
          <w:rFonts w:cstheme="minorHAnsi"/>
          <w:szCs w:val="24"/>
        </w:rPr>
        <w:t xml:space="preserve">R/R and treatment naïve </w:t>
      </w:r>
      <w:r w:rsidR="00C6172E" w:rsidRPr="00A071D3">
        <w:rPr>
          <w:rFonts w:cstheme="minorHAnsi"/>
          <w:szCs w:val="24"/>
        </w:rPr>
        <w:t>chronic lymphocytic</w:t>
      </w:r>
      <w:r w:rsidR="00C6172E" w:rsidRPr="00AD5308">
        <w:t xml:space="preserve"> leukaemia (CLL) and small lymphocytic lymphoma (SLL)</w:t>
      </w:r>
      <w:r w:rsidR="00E33765">
        <w:t>.</w:t>
      </w:r>
    </w:p>
    <w:p w14:paraId="183BB016" w14:textId="3D7794D2" w:rsidR="001475F6" w:rsidRPr="001475F6" w:rsidRDefault="00067864" w:rsidP="001475F6">
      <w:pPr>
        <w:pStyle w:val="3-BodyText"/>
      </w:pPr>
      <w:r>
        <w:t>The recommended daily dose for these</w:t>
      </w:r>
      <w:r w:rsidR="0084333D">
        <w:t xml:space="preserve"> indications</w:t>
      </w:r>
      <w:r>
        <w:t xml:space="preserve"> </w:t>
      </w:r>
      <w:r w:rsidRPr="00067864">
        <w:t>is 320 mg taken as either 320 mg (four 80 mg capsules) once daily, or as 160 mg (two 80 mg capsules) twice daily</w:t>
      </w:r>
      <w:r>
        <w:t>.</w:t>
      </w:r>
    </w:p>
    <w:p w14:paraId="33C2C319" w14:textId="66DF215F" w:rsidR="007E490F" w:rsidRPr="00A6439B" w:rsidRDefault="007E490F" w:rsidP="00691A2C">
      <w:pPr>
        <w:pStyle w:val="4-SubsectionHeading"/>
      </w:pPr>
      <w:r w:rsidRPr="00691A2C">
        <w:t>Registration</w:t>
      </w:r>
      <w:r w:rsidRPr="00A6439B">
        <w:t xml:space="preserve"> status</w:t>
      </w:r>
    </w:p>
    <w:p w14:paraId="2A127BD8" w14:textId="7F8C8261" w:rsidR="00620E6E" w:rsidRPr="00754C16" w:rsidRDefault="007C35B7" w:rsidP="00D43C03">
      <w:pPr>
        <w:pStyle w:val="3-BodyText"/>
        <w:rPr>
          <w:bCs/>
        </w:rPr>
      </w:pPr>
      <w:r w:rsidRPr="005204C5">
        <w:rPr>
          <w:bCs/>
        </w:rPr>
        <w:t xml:space="preserve">Zanubrutinib </w:t>
      </w:r>
      <w:r w:rsidR="003A3BF4" w:rsidRPr="005204C5">
        <w:rPr>
          <w:bCs/>
        </w:rPr>
        <w:t xml:space="preserve">160 mg </w:t>
      </w:r>
      <w:r w:rsidR="00890FAF" w:rsidRPr="005204C5">
        <w:rPr>
          <w:bCs/>
        </w:rPr>
        <w:t xml:space="preserve">tablet was </w:t>
      </w:r>
      <w:r w:rsidR="00AA32B2" w:rsidRPr="005204C5">
        <w:rPr>
          <w:bCs/>
        </w:rPr>
        <w:t>registered</w:t>
      </w:r>
      <w:r w:rsidR="00D43C03" w:rsidRPr="005204C5">
        <w:rPr>
          <w:bCs/>
        </w:rPr>
        <w:t xml:space="preserve"> on the A</w:t>
      </w:r>
      <w:r w:rsidR="00890FAF" w:rsidRPr="005204C5">
        <w:rPr>
          <w:bCs/>
        </w:rPr>
        <w:t xml:space="preserve">ustralian </w:t>
      </w:r>
      <w:r w:rsidR="00D43C03" w:rsidRPr="005204C5">
        <w:rPr>
          <w:bCs/>
        </w:rPr>
        <w:t>R</w:t>
      </w:r>
      <w:r w:rsidR="00890FAF" w:rsidRPr="005204C5">
        <w:rPr>
          <w:bCs/>
        </w:rPr>
        <w:t xml:space="preserve">egister of </w:t>
      </w:r>
      <w:r w:rsidR="00D43C03" w:rsidRPr="005204C5">
        <w:rPr>
          <w:bCs/>
        </w:rPr>
        <w:t>T</w:t>
      </w:r>
      <w:r w:rsidR="00890FAF" w:rsidRPr="005204C5">
        <w:rPr>
          <w:bCs/>
        </w:rPr>
        <w:t>herapeutic</w:t>
      </w:r>
      <w:r w:rsidR="002C619A">
        <w:rPr>
          <w:bCs/>
        </w:rPr>
        <w:t xml:space="preserve"> </w:t>
      </w:r>
      <w:r w:rsidR="00D43C03" w:rsidRPr="005204C5">
        <w:rPr>
          <w:bCs/>
        </w:rPr>
        <w:t>G</w:t>
      </w:r>
      <w:r w:rsidR="00890FAF" w:rsidRPr="005204C5">
        <w:rPr>
          <w:bCs/>
        </w:rPr>
        <w:t>oods</w:t>
      </w:r>
      <w:r w:rsidR="004D3B5A">
        <w:rPr>
          <w:bCs/>
        </w:rPr>
        <w:t xml:space="preserve"> (ARTG)</w:t>
      </w:r>
      <w:r w:rsidR="002C12AD" w:rsidRPr="005204C5">
        <w:rPr>
          <w:bCs/>
        </w:rPr>
        <w:t xml:space="preserve"> </w:t>
      </w:r>
      <w:r w:rsidR="0083211B" w:rsidRPr="005204C5">
        <w:rPr>
          <w:bCs/>
        </w:rPr>
        <w:t xml:space="preserve">on 9 October 2025 </w:t>
      </w:r>
      <w:r w:rsidR="002C12AD" w:rsidRPr="005204C5">
        <w:rPr>
          <w:bCs/>
        </w:rPr>
        <w:t xml:space="preserve">for the treatment of </w:t>
      </w:r>
      <w:r w:rsidR="002142E4" w:rsidRPr="005204C5">
        <w:rPr>
          <w:bCs/>
        </w:rPr>
        <w:t xml:space="preserve">MCL, WM, </w:t>
      </w:r>
      <w:r w:rsidR="00197ADD" w:rsidRPr="005204C5">
        <w:rPr>
          <w:bCs/>
        </w:rPr>
        <w:t>CLL and SLL</w:t>
      </w:r>
      <w:r w:rsidR="002318C6" w:rsidRPr="005204C5">
        <w:rPr>
          <w:bCs/>
        </w:rPr>
        <w:t>.</w:t>
      </w:r>
      <w:r w:rsidR="00C92688">
        <w:rPr>
          <w:bCs/>
        </w:rPr>
        <w:t xml:space="preserve"> </w:t>
      </w:r>
      <w:r w:rsidR="00C102C0" w:rsidRPr="005204C5">
        <w:rPr>
          <w:bCs/>
        </w:rPr>
        <w:t>Zanubrutinib</w:t>
      </w:r>
      <w:r w:rsidR="00D53F69" w:rsidRPr="005204C5">
        <w:rPr>
          <w:bCs/>
        </w:rPr>
        <w:t xml:space="preserve"> 80 mg </w:t>
      </w:r>
      <w:r w:rsidR="00785F7E" w:rsidRPr="005204C5">
        <w:rPr>
          <w:bCs/>
        </w:rPr>
        <w:t>capsule</w:t>
      </w:r>
      <w:r w:rsidR="00C102C0" w:rsidRPr="00754C16">
        <w:rPr>
          <w:rFonts w:ascii="Calibri" w:eastAsia="Times New Roman" w:hAnsi="Calibri" w:cs="Times New Roman"/>
          <w:szCs w:val="24"/>
        </w:rPr>
        <w:t xml:space="preserve"> </w:t>
      </w:r>
      <w:r w:rsidR="00C102C0" w:rsidRPr="005204C5">
        <w:rPr>
          <w:bCs/>
        </w:rPr>
        <w:t xml:space="preserve">is </w:t>
      </w:r>
      <w:r w:rsidR="002C619A">
        <w:rPr>
          <w:bCs/>
        </w:rPr>
        <w:t>ART</w:t>
      </w:r>
      <w:r w:rsidR="004D3B5A">
        <w:rPr>
          <w:bCs/>
        </w:rPr>
        <w:t xml:space="preserve">G </w:t>
      </w:r>
      <w:r w:rsidR="00C102C0" w:rsidRPr="005204C5">
        <w:rPr>
          <w:bCs/>
        </w:rPr>
        <w:t>registered for the same indications</w:t>
      </w:r>
      <w:r w:rsidR="00197ADD" w:rsidRPr="005204C5">
        <w:rPr>
          <w:bCs/>
        </w:rPr>
        <w:t>.</w:t>
      </w:r>
    </w:p>
    <w:p w14:paraId="0094486E" w14:textId="77777777" w:rsidR="007E490F" w:rsidRPr="00A6439B" w:rsidRDefault="007E490F" w:rsidP="00691A2C">
      <w:pPr>
        <w:pStyle w:val="4-SubsectionHeading"/>
      </w:pPr>
      <w:r w:rsidRPr="00A6439B">
        <w:t xml:space="preserve">Previous PBAC </w:t>
      </w:r>
      <w:r w:rsidRPr="00691A2C">
        <w:t>consideration</w:t>
      </w:r>
      <w:r w:rsidRPr="00A6439B">
        <w:t xml:space="preserve"> </w:t>
      </w:r>
    </w:p>
    <w:p w14:paraId="0083A6CC" w14:textId="6C6EE951" w:rsidR="007F44CE" w:rsidRPr="00D13580" w:rsidRDefault="00AA3F88" w:rsidP="00E94F8C">
      <w:pPr>
        <w:pStyle w:val="3-BodyText"/>
      </w:pPr>
      <w:r w:rsidRPr="00E94F8C">
        <w:t xml:space="preserve">The </w:t>
      </w:r>
      <w:r w:rsidR="0003243E" w:rsidRPr="00E94F8C">
        <w:t>160</w:t>
      </w:r>
      <w:r w:rsidR="007F44CE" w:rsidRPr="00E94F8C">
        <w:t xml:space="preserve"> mg </w:t>
      </w:r>
      <w:r w:rsidR="0003243E" w:rsidRPr="00E94F8C">
        <w:t>table</w:t>
      </w:r>
      <w:r w:rsidRPr="00E94F8C">
        <w:t>t</w:t>
      </w:r>
      <w:r w:rsidR="007F44CE" w:rsidRPr="00E94F8C">
        <w:t xml:space="preserve"> </w:t>
      </w:r>
      <w:r w:rsidR="004D35DD" w:rsidRPr="00E94F8C">
        <w:t xml:space="preserve">had </w:t>
      </w:r>
      <w:r w:rsidR="007F44CE" w:rsidRPr="00E94F8C">
        <w:t>not been considered by the PBAC previously.</w:t>
      </w:r>
    </w:p>
    <w:p w14:paraId="1B8790B6" w14:textId="77777777" w:rsidR="00964A9F" w:rsidRPr="00A6439B" w:rsidRDefault="00964A9F" w:rsidP="00964A9F">
      <w:pPr>
        <w:pStyle w:val="2-SectionHeading"/>
      </w:pPr>
      <w:r w:rsidRPr="00A6439B">
        <w:t xml:space="preserve">Requested listing </w:t>
      </w:r>
    </w:p>
    <w:p w14:paraId="7A4CA861" w14:textId="037B3C14" w:rsidR="006565BC" w:rsidRDefault="006565BC" w:rsidP="006565BC">
      <w:pPr>
        <w:pStyle w:val="3-BodyText"/>
      </w:pPr>
      <w:r w:rsidRPr="4C7319FD">
        <w:t xml:space="preserve">The submission requested listing </w:t>
      </w:r>
      <w:bookmarkStart w:id="3" w:name="_Hlk209508931"/>
      <w:r w:rsidR="00AA3F88">
        <w:t>the</w:t>
      </w:r>
      <w:r w:rsidR="00AA3F88" w:rsidRPr="00903E92">
        <w:t xml:space="preserve"> </w:t>
      </w:r>
      <w:r w:rsidR="00903E92" w:rsidRPr="00903E92">
        <w:t>160 mg</w:t>
      </w:r>
      <w:r w:rsidRPr="4C7319FD">
        <w:rPr>
          <w:color w:val="FF0000"/>
        </w:rPr>
        <w:t xml:space="preserve"> </w:t>
      </w:r>
      <w:r w:rsidR="00AD2F9D" w:rsidRPr="002C34D9">
        <w:t>tablet</w:t>
      </w:r>
      <w:r w:rsidR="00903E92">
        <w:rPr>
          <w:color w:val="FF0000"/>
        </w:rPr>
        <w:t xml:space="preserve"> </w:t>
      </w:r>
      <w:bookmarkEnd w:id="3"/>
      <w:r w:rsidRPr="4C7319FD">
        <w:t xml:space="preserve">under the same circumstances as the PBS-listed </w:t>
      </w:r>
      <w:r w:rsidR="00903E92">
        <w:t>80</w:t>
      </w:r>
      <w:r w:rsidR="00903E92" w:rsidRPr="00903E92">
        <w:t xml:space="preserve"> mg capsule</w:t>
      </w:r>
      <w:r w:rsidRPr="4C7319FD">
        <w:t>.</w:t>
      </w:r>
    </w:p>
    <w:p w14:paraId="485BAB2D" w14:textId="07D5048B" w:rsidR="009B091F" w:rsidRPr="005147A7" w:rsidRDefault="006D4086" w:rsidP="00A334CF">
      <w:pPr>
        <w:pStyle w:val="3-BodyText"/>
        <w:rPr>
          <w:snapToGrid w:val="0"/>
        </w:rPr>
      </w:pPr>
      <w:r>
        <w:t>An</w:t>
      </w:r>
      <w:r w:rsidR="002E4536">
        <w:t xml:space="preserve"> abridged </w:t>
      </w:r>
      <w:r w:rsidR="006554A1">
        <w:t xml:space="preserve">listing </w:t>
      </w:r>
      <w:r w:rsidR="002E4536">
        <w:t xml:space="preserve">is presented in this section. </w:t>
      </w:r>
      <w:r>
        <w:t>R</w:t>
      </w:r>
      <w:r w:rsidR="00AA3F88">
        <w:t xml:space="preserve">efer </w:t>
      </w:r>
      <w:r w:rsidR="002E4536">
        <w:t xml:space="preserve">to </w:t>
      </w:r>
      <w:r w:rsidR="00892940">
        <w:t xml:space="preserve">Section 7 </w:t>
      </w:r>
      <w:r w:rsidR="002E4536">
        <w:t xml:space="preserve">for the full </w:t>
      </w:r>
      <w:r w:rsidR="008527C4">
        <w:t xml:space="preserve">recommended </w:t>
      </w:r>
      <w:r w:rsidR="002E4536">
        <w:t>restriction.</w:t>
      </w:r>
      <w:bookmarkStart w:id="4" w:name="_Hlk2095081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w:tblPr>
      <w:tblGrid>
        <w:gridCol w:w="2538"/>
        <w:gridCol w:w="1408"/>
        <w:gridCol w:w="1410"/>
        <w:gridCol w:w="1269"/>
        <w:gridCol w:w="986"/>
        <w:gridCol w:w="1405"/>
      </w:tblGrid>
      <w:tr w:rsidR="00392E97" w:rsidRPr="00910276" w14:paraId="1152893E" w14:textId="77777777" w:rsidTr="000F09F5">
        <w:trPr>
          <w:cantSplit/>
          <w:trHeight w:val="199"/>
        </w:trPr>
        <w:tc>
          <w:tcPr>
            <w:tcW w:w="5000" w:type="pct"/>
            <w:gridSpan w:val="6"/>
          </w:tcPr>
          <w:p w14:paraId="33EFCB2F" w14:textId="4F26F60E" w:rsidR="00392E97" w:rsidRPr="00910276" w:rsidRDefault="00392E97" w:rsidP="001B69AC">
            <w:pPr>
              <w:keepNext/>
              <w:keepLines/>
              <w:jc w:val="left"/>
              <w:rPr>
                <w:rFonts w:ascii="Arial Narrow" w:hAnsi="Arial Narrow" w:cs="Arial"/>
                <w:b/>
                <w:bCs/>
                <w:snapToGrid w:val="0"/>
                <w:sz w:val="20"/>
                <w:szCs w:val="20"/>
              </w:rPr>
            </w:pPr>
            <w:r w:rsidRPr="00910276">
              <w:rPr>
                <w:rFonts w:ascii="Arial Narrow" w:hAnsi="Arial Narrow" w:cs="Arial"/>
                <w:b/>
                <w:bCs/>
                <w:snapToGrid w:val="0"/>
                <w:sz w:val="20"/>
                <w:szCs w:val="20"/>
              </w:rPr>
              <w:lastRenderedPageBreak/>
              <w:t xml:space="preserve">Category / Program:   </w:t>
            </w:r>
            <w:r w:rsidRPr="00910276">
              <w:rPr>
                <w:rFonts w:ascii="Arial Narrow" w:hAnsi="Arial Narrow" w:cs="Arial"/>
                <w:bCs/>
                <w:snapToGrid w:val="0"/>
                <w:sz w:val="20"/>
                <w:szCs w:val="20"/>
              </w:rPr>
              <w:t>GENERAL – General Schedule (Code GE)</w:t>
            </w:r>
          </w:p>
        </w:tc>
      </w:tr>
      <w:tr w:rsidR="00910276" w:rsidRPr="00910276" w14:paraId="62498875" w14:textId="77777777" w:rsidTr="000F09F5">
        <w:trPr>
          <w:cantSplit/>
          <w:trHeight w:val="471"/>
        </w:trPr>
        <w:tc>
          <w:tcPr>
            <w:tcW w:w="1407" w:type="pct"/>
          </w:tcPr>
          <w:p w14:paraId="2DD55792" w14:textId="77777777" w:rsidR="00910276" w:rsidRPr="00910276" w:rsidRDefault="00910276" w:rsidP="001B69AC">
            <w:pPr>
              <w:keepNext/>
              <w:keepLines/>
              <w:jc w:val="left"/>
              <w:rPr>
                <w:rFonts w:ascii="Arial Narrow" w:hAnsi="Arial Narrow" w:cs="Arial"/>
                <w:b/>
                <w:bCs/>
                <w:snapToGrid w:val="0"/>
                <w:sz w:val="20"/>
                <w:szCs w:val="20"/>
              </w:rPr>
            </w:pPr>
            <w:bookmarkStart w:id="5" w:name="_Hlk209508020"/>
            <w:bookmarkStart w:id="6" w:name="_Hlk209508042"/>
            <w:r w:rsidRPr="00910276">
              <w:rPr>
                <w:rFonts w:ascii="Arial Narrow" w:hAnsi="Arial Narrow" w:cs="Arial"/>
                <w:b/>
                <w:bCs/>
                <w:snapToGrid w:val="0"/>
                <w:sz w:val="20"/>
                <w:szCs w:val="20"/>
              </w:rPr>
              <w:t>MEDICINAL PRODUCT</w:t>
            </w:r>
          </w:p>
          <w:p w14:paraId="6C8D34FB" w14:textId="77777777" w:rsidR="00910276" w:rsidRPr="00910276" w:rsidRDefault="00910276" w:rsidP="001B69AC">
            <w:pPr>
              <w:keepNext/>
              <w:keepLines/>
              <w:jc w:val="left"/>
              <w:rPr>
                <w:rFonts w:ascii="Arial Narrow" w:hAnsi="Arial Narrow" w:cs="Arial"/>
                <w:b/>
                <w:bCs/>
                <w:snapToGrid w:val="0"/>
                <w:sz w:val="20"/>
                <w:szCs w:val="20"/>
              </w:rPr>
            </w:pPr>
            <w:r w:rsidRPr="00910276">
              <w:rPr>
                <w:rFonts w:ascii="Arial Narrow" w:hAnsi="Arial Narrow" w:cs="Arial"/>
                <w:b/>
                <w:bCs/>
                <w:snapToGrid w:val="0"/>
                <w:sz w:val="20"/>
                <w:szCs w:val="20"/>
              </w:rPr>
              <w:t>medicinal product pack</w:t>
            </w:r>
          </w:p>
        </w:tc>
        <w:tc>
          <w:tcPr>
            <w:tcW w:w="781" w:type="pct"/>
            <w:vAlign w:val="bottom"/>
          </w:tcPr>
          <w:p w14:paraId="00368330" w14:textId="77777777" w:rsidR="00910276" w:rsidRPr="00910276" w:rsidRDefault="00910276" w:rsidP="001B69AC">
            <w:pPr>
              <w:keepNext/>
              <w:keepLines/>
              <w:jc w:val="center"/>
              <w:rPr>
                <w:rFonts w:ascii="Arial Narrow" w:hAnsi="Arial Narrow" w:cs="Arial"/>
                <w:b/>
                <w:bCs/>
                <w:snapToGrid w:val="0"/>
                <w:sz w:val="20"/>
                <w:szCs w:val="20"/>
              </w:rPr>
            </w:pPr>
            <w:r w:rsidRPr="00910276">
              <w:rPr>
                <w:rFonts w:ascii="Arial Narrow" w:hAnsi="Arial Narrow" w:cs="Arial"/>
                <w:b/>
                <w:bCs/>
                <w:snapToGrid w:val="0"/>
                <w:sz w:val="20"/>
                <w:szCs w:val="20"/>
              </w:rPr>
              <w:t>PBS item code</w:t>
            </w:r>
          </w:p>
        </w:tc>
        <w:tc>
          <w:tcPr>
            <w:tcW w:w="782" w:type="pct"/>
            <w:vAlign w:val="bottom"/>
          </w:tcPr>
          <w:p w14:paraId="4653819C" w14:textId="77777777" w:rsidR="00910276" w:rsidRPr="00910276" w:rsidRDefault="00910276" w:rsidP="001B69AC">
            <w:pPr>
              <w:keepNext/>
              <w:keepLines/>
              <w:jc w:val="center"/>
              <w:rPr>
                <w:rFonts w:ascii="Arial Narrow" w:hAnsi="Arial Narrow" w:cs="Arial"/>
                <w:b/>
                <w:bCs/>
                <w:snapToGrid w:val="0"/>
                <w:sz w:val="20"/>
                <w:szCs w:val="20"/>
              </w:rPr>
            </w:pPr>
            <w:r w:rsidRPr="00910276">
              <w:rPr>
                <w:rFonts w:ascii="Arial Narrow" w:hAnsi="Arial Narrow" w:cs="Arial"/>
                <w:b/>
                <w:bCs/>
                <w:snapToGrid w:val="0"/>
                <w:sz w:val="20"/>
                <w:szCs w:val="20"/>
              </w:rPr>
              <w:t>Max. qty packs</w:t>
            </w:r>
          </w:p>
        </w:tc>
        <w:tc>
          <w:tcPr>
            <w:tcW w:w="704" w:type="pct"/>
            <w:vAlign w:val="bottom"/>
          </w:tcPr>
          <w:p w14:paraId="0CA007DB" w14:textId="77777777" w:rsidR="00910276" w:rsidRPr="00910276" w:rsidRDefault="00910276" w:rsidP="001B69AC">
            <w:pPr>
              <w:keepNext/>
              <w:keepLines/>
              <w:jc w:val="center"/>
              <w:rPr>
                <w:rFonts w:ascii="Arial Narrow" w:hAnsi="Arial Narrow" w:cs="Arial"/>
                <w:b/>
                <w:bCs/>
                <w:snapToGrid w:val="0"/>
                <w:sz w:val="20"/>
                <w:szCs w:val="20"/>
              </w:rPr>
            </w:pPr>
            <w:r w:rsidRPr="00910276">
              <w:rPr>
                <w:rFonts w:ascii="Arial Narrow" w:hAnsi="Arial Narrow" w:cs="Arial"/>
                <w:b/>
                <w:bCs/>
                <w:snapToGrid w:val="0"/>
                <w:sz w:val="20"/>
                <w:szCs w:val="20"/>
              </w:rPr>
              <w:t>Max. qty units</w:t>
            </w:r>
          </w:p>
        </w:tc>
        <w:tc>
          <w:tcPr>
            <w:tcW w:w="547" w:type="pct"/>
            <w:vAlign w:val="bottom"/>
          </w:tcPr>
          <w:p w14:paraId="725A17AD" w14:textId="77777777" w:rsidR="00910276" w:rsidRPr="00910276" w:rsidRDefault="00910276" w:rsidP="001B69AC">
            <w:pPr>
              <w:keepNext/>
              <w:keepLines/>
              <w:jc w:val="center"/>
              <w:rPr>
                <w:rFonts w:ascii="Arial Narrow" w:hAnsi="Arial Narrow" w:cs="Arial"/>
                <w:b/>
                <w:bCs/>
                <w:snapToGrid w:val="0"/>
                <w:sz w:val="20"/>
                <w:szCs w:val="20"/>
              </w:rPr>
            </w:pPr>
            <w:r w:rsidRPr="00910276">
              <w:rPr>
                <w:rFonts w:ascii="Arial Narrow" w:hAnsi="Arial Narrow" w:cs="Arial"/>
                <w:b/>
                <w:bCs/>
                <w:snapToGrid w:val="0"/>
                <w:sz w:val="20"/>
                <w:szCs w:val="20"/>
              </w:rPr>
              <w:t>№.of</w:t>
            </w:r>
          </w:p>
          <w:p w14:paraId="054B2DC1" w14:textId="77777777" w:rsidR="00910276" w:rsidRPr="00910276" w:rsidRDefault="00910276" w:rsidP="001B69AC">
            <w:pPr>
              <w:keepNext/>
              <w:keepLines/>
              <w:jc w:val="center"/>
              <w:rPr>
                <w:rFonts w:ascii="Arial Narrow" w:hAnsi="Arial Narrow" w:cs="Arial"/>
                <w:b/>
                <w:bCs/>
                <w:snapToGrid w:val="0"/>
                <w:sz w:val="20"/>
                <w:szCs w:val="20"/>
              </w:rPr>
            </w:pPr>
            <w:r w:rsidRPr="00910276">
              <w:rPr>
                <w:rFonts w:ascii="Arial Narrow" w:hAnsi="Arial Narrow" w:cs="Arial"/>
                <w:b/>
                <w:bCs/>
                <w:snapToGrid w:val="0"/>
                <w:sz w:val="20"/>
                <w:szCs w:val="20"/>
              </w:rPr>
              <w:t>Rpts</w:t>
            </w:r>
          </w:p>
        </w:tc>
        <w:tc>
          <w:tcPr>
            <w:tcW w:w="779" w:type="pct"/>
            <w:vAlign w:val="bottom"/>
          </w:tcPr>
          <w:p w14:paraId="3026F9CA" w14:textId="77777777" w:rsidR="00910276" w:rsidRPr="00910276" w:rsidRDefault="00910276" w:rsidP="001B69AC">
            <w:pPr>
              <w:keepNext/>
              <w:keepLines/>
              <w:jc w:val="center"/>
              <w:rPr>
                <w:rFonts w:ascii="Arial Narrow" w:hAnsi="Arial Narrow" w:cs="Arial"/>
                <w:b/>
                <w:bCs/>
                <w:snapToGrid w:val="0"/>
                <w:sz w:val="20"/>
                <w:szCs w:val="20"/>
              </w:rPr>
            </w:pPr>
            <w:r w:rsidRPr="00910276">
              <w:rPr>
                <w:rFonts w:ascii="Arial Narrow" w:hAnsi="Arial Narrow" w:cs="Arial"/>
                <w:b/>
                <w:bCs/>
                <w:snapToGrid w:val="0"/>
                <w:sz w:val="20"/>
                <w:szCs w:val="20"/>
              </w:rPr>
              <w:t>Available brands</w:t>
            </w:r>
          </w:p>
        </w:tc>
      </w:tr>
      <w:tr w:rsidR="00910276" w:rsidRPr="00910276" w14:paraId="666011CB" w14:textId="77777777" w:rsidTr="000F09F5">
        <w:trPr>
          <w:cantSplit/>
          <w:trHeight w:val="224"/>
        </w:trPr>
        <w:tc>
          <w:tcPr>
            <w:tcW w:w="5000" w:type="pct"/>
            <w:gridSpan w:val="6"/>
          </w:tcPr>
          <w:p w14:paraId="3A04D4AF" w14:textId="77777777" w:rsidR="00910276" w:rsidRPr="00910276" w:rsidRDefault="00910276" w:rsidP="001B69AC">
            <w:pPr>
              <w:keepNext/>
              <w:keepLines/>
              <w:jc w:val="left"/>
              <w:rPr>
                <w:rFonts w:ascii="Arial Narrow" w:hAnsi="Arial Narrow" w:cs="Arial"/>
                <w:bCs/>
                <w:snapToGrid w:val="0"/>
                <w:sz w:val="20"/>
                <w:szCs w:val="20"/>
              </w:rPr>
            </w:pPr>
            <w:r w:rsidRPr="00910276">
              <w:rPr>
                <w:rFonts w:ascii="Arial Narrow" w:hAnsi="Arial Narrow" w:cs="Arial"/>
                <w:bCs/>
                <w:snapToGrid w:val="0"/>
                <w:sz w:val="20"/>
                <w:szCs w:val="20"/>
              </w:rPr>
              <w:t>ZANUBRUTINIB</w:t>
            </w:r>
          </w:p>
        </w:tc>
      </w:tr>
      <w:tr w:rsidR="00910276" w:rsidRPr="00910276" w14:paraId="187705BE" w14:textId="77777777" w:rsidTr="000F09F5">
        <w:trPr>
          <w:cantSplit/>
          <w:trHeight w:val="218"/>
        </w:trPr>
        <w:tc>
          <w:tcPr>
            <w:tcW w:w="1407" w:type="pct"/>
          </w:tcPr>
          <w:p w14:paraId="0E9778E2" w14:textId="35807994" w:rsidR="00910276" w:rsidRPr="00910276" w:rsidRDefault="00910276" w:rsidP="001B69AC">
            <w:pPr>
              <w:keepNext/>
              <w:keepLines/>
              <w:jc w:val="left"/>
              <w:rPr>
                <w:rFonts w:ascii="Arial Narrow" w:hAnsi="Arial Narrow" w:cs="Arial"/>
                <w:bCs/>
                <w:snapToGrid w:val="0"/>
                <w:sz w:val="20"/>
                <w:szCs w:val="20"/>
              </w:rPr>
            </w:pPr>
            <w:r w:rsidRPr="00910276">
              <w:rPr>
                <w:rFonts w:ascii="Arial Narrow" w:hAnsi="Arial Narrow" w:cs="Arial"/>
                <w:bCs/>
                <w:snapToGrid w:val="0"/>
                <w:sz w:val="20"/>
                <w:szCs w:val="20"/>
              </w:rPr>
              <w:t xml:space="preserve">zanubrutinib </w:t>
            </w:r>
            <w:r w:rsidR="003401E0">
              <w:rPr>
                <w:rFonts w:ascii="Arial Narrow" w:hAnsi="Arial Narrow" w:cs="Arial"/>
                <w:bCs/>
                <w:snapToGrid w:val="0"/>
                <w:sz w:val="20"/>
                <w:szCs w:val="20"/>
              </w:rPr>
              <w:t>160</w:t>
            </w:r>
            <w:r w:rsidRPr="00910276">
              <w:rPr>
                <w:rFonts w:ascii="Arial Narrow" w:hAnsi="Arial Narrow" w:cs="Arial"/>
                <w:bCs/>
                <w:snapToGrid w:val="0"/>
                <w:sz w:val="20"/>
                <w:szCs w:val="20"/>
              </w:rPr>
              <w:t xml:space="preserve"> mg </w:t>
            </w:r>
            <w:r w:rsidR="002C33FB">
              <w:rPr>
                <w:rFonts w:ascii="Arial Narrow" w:hAnsi="Arial Narrow" w:cs="Arial"/>
                <w:bCs/>
                <w:snapToGrid w:val="0"/>
                <w:sz w:val="20"/>
                <w:szCs w:val="20"/>
              </w:rPr>
              <w:t>tablet</w:t>
            </w:r>
            <w:r w:rsidRPr="00910276">
              <w:rPr>
                <w:rFonts w:ascii="Arial Narrow" w:hAnsi="Arial Narrow" w:cs="Arial"/>
                <w:bCs/>
                <w:snapToGrid w:val="0"/>
                <w:sz w:val="20"/>
                <w:szCs w:val="20"/>
              </w:rPr>
              <w:t xml:space="preserve">, </w:t>
            </w:r>
            <w:r w:rsidR="004C0847">
              <w:rPr>
                <w:rFonts w:ascii="Arial Narrow" w:hAnsi="Arial Narrow" w:cs="Arial"/>
                <w:bCs/>
                <w:snapToGrid w:val="0"/>
                <w:sz w:val="20"/>
                <w:szCs w:val="20"/>
              </w:rPr>
              <w:t>60</w:t>
            </w:r>
            <w:r w:rsidRPr="00910276">
              <w:rPr>
                <w:rFonts w:ascii="Arial Narrow" w:hAnsi="Arial Narrow" w:cs="Arial"/>
                <w:bCs/>
                <w:snapToGrid w:val="0"/>
                <w:sz w:val="20"/>
                <w:szCs w:val="20"/>
              </w:rPr>
              <w:t xml:space="preserve"> </w:t>
            </w:r>
          </w:p>
        </w:tc>
        <w:tc>
          <w:tcPr>
            <w:tcW w:w="781" w:type="pct"/>
          </w:tcPr>
          <w:p w14:paraId="1C1C7D15" w14:textId="1D431DC9" w:rsidR="00910276" w:rsidRPr="00C774AF" w:rsidRDefault="00910276" w:rsidP="001B69AC">
            <w:pPr>
              <w:keepNext/>
              <w:keepLines/>
              <w:jc w:val="center"/>
              <w:rPr>
                <w:rFonts w:ascii="Arial Narrow" w:hAnsi="Arial Narrow" w:cs="Arial"/>
                <w:bCs/>
                <w:snapToGrid w:val="0"/>
                <w:sz w:val="20"/>
                <w:szCs w:val="20"/>
              </w:rPr>
            </w:pPr>
            <w:r w:rsidRPr="00C774AF">
              <w:rPr>
                <w:rFonts w:ascii="Arial Narrow" w:hAnsi="Arial Narrow" w:cs="Arial"/>
                <w:bCs/>
                <w:snapToGrid w:val="0"/>
                <w:sz w:val="20"/>
                <w:szCs w:val="20"/>
              </w:rPr>
              <w:t>NEW</w:t>
            </w:r>
            <w:r w:rsidR="002F32F3" w:rsidRPr="00C774AF">
              <w:rPr>
                <w:rFonts w:ascii="Arial Narrow" w:hAnsi="Arial Narrow" w:cs="Arial"/>
                <w:bCs/>
                <w:snapToGrid w:val="0"/>
                <w:sz w:val="20"/>
                <w:szCs w:val="20"/>
              </w:rPr>
              <w:t xml:space="preserve"> x 4</w:t>
            </w:r>
          </w:p>
          <w:p w14:paraId="64052B4C" w14:textId="46BF1983" w:rsidR="00D020FE" w:rsidRPr="00AB6224" w:rsidRDefault="00D020FE" w:rsidP="001B69AC">
            <w:pPr>
              <w:keepNext/>
              <w:keepLines/>
              <w:jc w:val="center"/>
              <w:rPr>
                <w:rFonts w:ascii="Arial Narrow" w:hAnsi="Arial Narrow" w:cs="Arial"/>
                <w:bCs/>
                <w:i/>
                <w:iCs/>
                <w:snapToGrid w:val="0"/>
                <w:sz w:val="12"/>
                <w:szCs w:val="12"/>
              </w:rPr>
            </w:pPr>
            <w:r w:rsidRPr="00C774AF">
              <w:rPr>
                <w:rFonts w:ascii="Arial Narrow" w:hAnsi="Arial Narrow" w:cs="Arial"/>
                <w:bCs/>
                <w:snapToGrid w:val="0"/>
                <w:sz w:val="12"/>
                <w:szCs w:val="12"/>
              </w:rPr>
              <w:t>MP</w:t>
            </w:r>
          </w:p>
        </w:tc>
        <w:tc>
          <w:tcPr>
            <w:tcW w:w="782" w:type="pct"/>
          </w:tcPr>
          <w:p w14:paraId="355B0177" w14:textId="77777777" w:rsidR="00910276" w:rsidRPr="00910276" w:rsidRDefault="00910276" w:rsidP="001B69AC">
            <w:pPr>
              <w:keepNext/>
              <w:keepLines/>
              <w:jc w:val="center"/>
              <w:rPr>
                <w:rFonts w:ascii="Arial Narrow" w:hAnsi="Arial Narrow" w:cs="Arial"/>
                <w:bCs/>
                <w:snapToGrid w:val="0"/>
                <w:sz w:val="20"/>
                <w:szCs w:val="20"/>
              </w:rPr>
            </w:pPr>
            <w:r w:rsidRPr="00910276">
              <w:rPr>
                <w:rFonts w:ascii="Arial Narrow" w:hAnsi="Arial Narrow" w:cs="Arial"/>
                <w:bCs/>
                <w:snapToGrid w:val="0"/>
                <w:sz w:val="20"/>
                <w:szCs w:val="20"/>
              </w:rPr>
              <w:t>1</w:t>
            </w:r>
          </w:p>
        </w:tc>
        <w:tc>
          <w:tcPr>
            <w:tcW w:w="704" w:type="pct"/>
          </w:tcPr>
          <w:p w14:paraId="7F53F98F" w14:textId="78C231AA" w:rsidR="00910276" w:rsidRPr="00910276" w:rsidRDefault="00F302A3" w:rsidP="001B69AC">
            <w:pPr>
              <w:keepNext/>
              <w:keepLines/>
              <w:jc w:val="center"/>
              <w:rPr>
                <w:rFonts w:ascii="Arial Narrow" w:hAnsi="Arial Narrow" w:cs="Arial"/>
                <w:bCs/>
                <w:snapToGrid w:val="0"/>
                <w:sz w:val="20"/>
                <w:szCs w:val="20"/>
              </w:rPr>
            </w:pPr>
            <w:r>
              <w:rPr>
                <w:rFonts w:ascii="Arial Narrow" w:hAnsi="Arial Narrow" w:cs="Arial"/>
                <w:bCs/>
                <w:snapToGrid w:val="0"/>
                <w:sz w:val="20"/>
                <w:szCs w:val="20"/>
              </w:rPr>
              <w:t>60</w:t>
            </w:r>
          </w:p>
        </w:tc>
        <w:tc>
          <w:tcPr>
            <w:tcW w:w="547" w:type="pct"/>
          </w:tcPr>
          <w:p w14:paraId="5399E027" w14:textId="77777777" w:rsidR="00910276" w:rsidRPr="00910276" w:rsidRDefault="00910276" w:rsidP="001B69AC">
            <w:pPr>
              <w:keepNext/>
              <w:keepLines/>
              <w:jc w:val="center"/>
              <w:rPr>
                <w:rFonts w:ascii="Arial Narrow" w:hAnsi="Arial Narrow" w:cs="Arial"/>
                <w:bCs/>
                <w:snapToGrid w:val="0"/>
                <w:sz w:val="20"/>
                <w:szCs w:val="20"/>
              </w:rPr>
            </w:pPr>
            <w:r w:rsidRPr="00910276">
              <w:rPr>
                <w:rFonts w:ascii="Arial Narrow" w:hAnsi="Arial Narrow" w:cs="Arial"/>
                <w:bCs/>
                <w:snapToGrid w:val="0"/>
                <w:sz w:val="20"/>
                <w:szCs w:val="20"/>
              </w:rPr>
              <w:t>5</w:t>
            </w:r>
          </w:p>
        </w:tc>
        <w:tc>
          <w:tcPr>
            <w:tcW w:w="779" w:type="pct"/>
          </w:tcPr>
          <w:p w14:paraId="51392616" w14:textId="77777777" w:rsidR="00910276" w:rsidRPr="00910276" w:rsidRDefault="00910276" w:rsidP="001B69AC">
            <w:pPr>
              <w:keepNext/>
              <w:keepLines/>
              <w:jc w:val="center"/>
              <w:rPr>
                <w:rFonts w:ascii="Arial Narrow" w:hAnsi="Arial Narrow" w:cs="Arial"/>
                <w:bCs/>
                <w:snapToGrid w:val="0"/>
                <w:sz w:val="20"/>
                <w:szCs w:val="20"/>
              </w:rPr>
            </w:pPr>
            <w:r w:rsidRPr="00910276">
              <w:rPr>
                <w:rFonts w:ascii="Arial Narrow" w:hAnsi="Arial Narrow" w:cs="Arial"/>
                <w:bCs/>
                <w:snapToGrid w:val="0"/>
                <w:sz w:val="20"/>
                <w:szCs w:val="20"/>
              </w:rPr>
              <w:t>Brukinsa</w:t>
            </w:r>
          </w:p>
        </w:tc>
      </w:tr>
      <w:tr w:rsidR="00910276" w:rsidRPr="00910276" w14:paraId="65E61BFB" w14:textId="77777777" w:rsidTr="000F09F5">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29240525" w14:textId="77777777" w:rsidR="00910276" w:rsidRPr="00910276" w:rsidRDefault="00910276" w:rsidP="001B69AC">
            <w:pPr>
              <w:keepNext/>
              <w:keepLines/>
              <w:jc w:val="left"/>
              <w:rPr>
                <w:rFonts w:ascii="Arial Narrow" w:hAnsi="Arial Narrow" w:cs="Arial"/>
                <w:b/>
                <w:bCs/>
                <w:snapToGrid w:val="0"/>
                <w:sz w:val="20"/>
                <w:szCs w:val="20"/>
              </w:rPr>
            </w:pPr>
          </w:p>
        </w:tc>
      </w:tr>
      <w:tr w:rsidR="00910276" w:rsidRPr="00910276" w14:paraId="02D523C9" w14:textId="77777777" w:rsidTr="000F09F5">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1F366DED" w14:textId="3F8FF18D" w:rsidR="00C53F9C" w:rsidRPr="000F09F5" w:rsidRDefault="005F7F5B" w:rsidP="001B69AC">
            <w:pPr>
              <w:keepNext/>
              <w:keepLines/>
              <w:jc w:val="left"/>
              <w:rPr>
                <w:rFonts w:ascii="Arial Narrow" w:hAnsi="Arial Narrow" w:cs="Arial"/>
                <w:snapToGrid w:val="0"/>
                <w:sz w:val="20"/>
                <w:szCs w:val="20"/>
              </w:rPr>
            </w:pPr>
            <w:r w:rsidRPr="000F09F5">
              <w:rPr>
                <w:rFonts w:ascii="Arial Narrow" w:hAnsi="Arial Narrow" w:cs="Arial"/>
                <w:snapToGrid w:val="0"/>
                <w:sz w:val="20"/>
                <w:szCs w:val="20"/>
              </w:rPr>
              <w:t>Indications (on separate PBS item codes):</w:t>
            </w:r>
          </w:p>
          <w:p w14:paraId="7A25D5B6" w14:textId="11F2B517" w:rsidR="005F7F5B" w:rsidRPr="000F09F5" w:rsidRDefault="005F7F5B" w:rsidP="001B69AC">
            <w:pPr>
              <w:keepNext/>
              <w:keepLines/>
              <w:jc w:val="left"/>
              <w:rPr>
                <w:rFonts w:ascii="Arial Narrow" w:hAnsi="Arial Narrow" w:cs="Arial"/>
                <w:snapToGrid w:val="0"/>
                <w:sz w:val="20"/>
                <w:szCs w:val="20"/>
              </w:rPr>
            </w:pPr>
            <w:r w:rsidRPr="000F09F5">
              <w:rPr>
                <w:rFonts w:ascii="Arial Narrow" w:hAnsi="Arial Narrow" w:cs="Arial"/>
                <w:snapToGrid w:val="0"/>
                <w:sz w:val="20"/>
                <w:szCs w:val="20"/>
              </w:rPr>
              <w:t>Authority Required</w:t>
            </w:r>
          </w:p>
          <w:p w14:paraId="263E5E36" w14:textId="10854816" w:rsidR="00910276" w:rsidRPr="000F09F5" w:rsidRDefault="00BB765A" w:rsidP="001B69AC">
            <w:pPr>
              <w:pStyle w:val="ListParagraph"/>
              <w:keepNext/>
              <w:keepLines/>
              <w:numPr>
                <w:ilvl w:val="0"/>
                <w:numId w:val="25"/>
              </w:numPr>
              <w:spacing w:before="0" w:after="0"/>
              <w:jc w:val="left"/>
              <w:rPr>
                <w:rFonts w:ascii="Arial Narrow" w:hAnsi="Arial Narrow"/>
                <w:sz w:val="20"/>
                <w:szCs w:val="20"/>
              </w:rPr>
            </w:pPr>
            <w:r w:rsidRPr="000F09F5">
              <w:rPr>
                <w:rFonts w:ascii="Arial Narrow" w:hAnsi="Arial Narrow"/>
                <w:sz w:val="20"/>
                <w:szCs w:val="20"/>
              </w:rPr>
              <w:t>MC</w:t>
            </w:r>
            <w:r w:rsidR="007C702D" w:rsidRPr="000F09F5">
              <w:rPr>
                <w:rFonts w:ascii="Arial Narrow" w:hAnsi="Arial Narrow"/>
                <w:sz w:val="20"/>
                <w:szCs w:val="20"/>
              </w:rPr>
              <w:t xml:space="preserve">L (Restriction Summary 124951 / Treatment of Concept 12495 and </w:t>
            </w:r>
            <w:r w:rsidR="008E1D33" w:rsidRPr="000F09F5">
              <w:rPr>
                <w:rFonts w:ascii="Arial Narrow" w:hAnsi="Arial Narrow"/>
                <w:sz w:val="20"/>
                <w:szCs w:val="20"/>
              </w:rPr>
              <w:t xml:space="preserve">Restriction Summary 12500 / </w:t>
            </w:r>
            <w:proofErr w:type="spellStart"/>
            <w:r w:rsidR="008E1D33" w:rsidRPr="000F09F5">
              <w:rPr>
                <w:rFonts w:ascii="Arial Narrow" w:hAnsi="Arial Narrow"/>
                <w:sz w:val="20"/>
                <w:szCs w:val="20"/>
              </w:rPr>
              <w:t>ToC</w:t>
            </w:r>
            <w:proofErr w:type="spellEnd"/>
            <w:r w:rsidR="008E1D33" w:rsidRPr="000F09F5">
              <w:rPr>
                <w:rFonts w:ascii="Arial Narrow" w:hAnsi="Arial Narrow"/>
                <w:sz w:val="20"/>
                <w:szCs w:val="20"/>
              </w:rPr>
              <w:t xml:space="preserve"> 12500)</w:t>
            </w:r>
            <w:r w:rsidR="00FA32D1" w:rsidRPr="000F09F5">
              <w:rPr>
                <w:rFonts w:ascii="Arial Narrow" w:hAnsi="Arial Narrow"/>
                <w:sz w:val="20"/>
                <w:szCs w:val="20"/>
              </w:rPr>
              <w:t xml:space="preserve"> </w:t>
            </w:r>
          </w:p>
          <w:p w14:paraId="2C5692A5" w14:textId="693F399D" w:rsidR="00FA32D1" w:rsidRPr="000F09F5" w:rsidRDefault="00BB765A" w:rsidP="001B69AC">
            <w:pPr>
              <w:pStyle w:val="ListParagraph"/>
              <w:keepNext/>
              <w:keepLines/>
              <w:numPr>
                <w:ilvl w:val="0"/>
                <w:numId w:val="25"/>
              </w:numPr>
              <w:spacing w:before="0" w:after="0"/>
              <w:jc w:val="left"/>
              <w:rPr>
                <w:rFonts w:ascii="Arial Narrow" w:hAnsi="Arial Narrow"/>
                <w:sz w:val="20"/>
                <w:szCs w:val="20"/>
              </w:rPr>
            </w:pPr>
            <w:r w:rsidRPr="000F09F5">
              <w:rPr>
                <w:rFonts w:ascii="Arial Narrow" w:hAnsi="Arial Narrow"/>
                <w:sz w:val="20"/>
                <w:szCs w:val="20"/>
              </w:rPr>
              <w:t>WM</w:t>
            </w:r>
            <w:r w:rsidR="00A22BE3" w:rsidRPr="000F09F5">
              <w:rPr>
                <w:rFonts w:ascii="Arial Narrow" w:hAnsi="Arial Narrow"/>
                <w:sz w:val="20"/>
                <w:szCs w:val="20"/>
              </w:rPr>
              <w:t xml:space="preserve"> (</w:t>
            </w:r>
            <w:r w:rsidR="00A22BE3" w:rsidRPr="000F09F5">
              <w:rPr>
                <w:rFonts w:ascii="Arial Narrow" w:hAnsi="Arial Narrow" w:cstheme="minorHAnsi"/>
                <w:sz w:val="20"/>
                <w:szCs w:val="20"/>
              </w:rPr>
              <w:t>Restriction Summary 13028/ Treatment of Concept: 13008</w:t>
            </w:r>
            <w:r w:rsidR="008E1D33" w:rsidRPr="000F09F5">
              <w:rPr>
                <w:rFonts w:ascii="Arial Narrow" w:hAnsi="Arial Narrow" w:cstheme="minorHAnsi"/>
                <w:sz w:val="20"/>
                <w:szCs w:val="20"/>
              </w:rPr>
              <w:t xml:space="preserve"> and </w:t>
            </w:r>
            <w:r w:rsidR="001B7D4B" w:rsidRPr="000F09F5">
              <w:rPr>
                <w:rFonts w:ascii="Arial Narrow" w:hAnsi="Arial Narrow" w:cstheme="minorHAnsi"/>
                <w:sz w:val="20"/>
                <w:szCs w:val="20"/>
              </w:rPr>
              <w:t>Restriction Summary 13026 / Treatment of Concept: 12999)</w:t>
            </w:r>
          </w:p>
          <w:p w14:paraId="3CF2EA49" w14:textId="466A5CE2" w:rsidR="006554A1" w:rsidRPr="000F09F5" w:rsidRDefault="0046642D" w:rsidP="001B69AC">
            <w:pPr>
              <w:pStyle w:val="ListParagraph"/>
              <w:keepNext/>
              <w:keepLines/>
              <w:numPr>
                <w:ilvl w:val="0"/>
                <w:numId w:val="25"/>
              </w:numPr>
              <w:spacing w:before="0" w:after="0"/>
              <w:jc w:val="left"/>
              <w:rPr>
                <w:rFonts w:ascii="Arial Narrow" w:hAnsi="Arial Narrow"/>
                <w:sz w:val="20"/>
                <w:szCs w:val="20"/>
              </w:rPr>
            </w:pPr>
            <w:r w:rsidRPr="000F09F5">
              <w:rPr>
                <w:rFonts w:ascii="Arial Narrow" w:hAnsi="Arial Narrow"/>
                <w:sz w:val="20"/>
                <w:szCs w:val="20"/>
              </w:rPr>
              <w:t xml:space="preserve">Naïve </w:t>
            </w:r>
            <w:r w:rsidR="006554A1" w:rsidRPr="000F09F5">
              <w:rPr>
                <w:rFonts w:ascii="Arial Narrow" w:hAnsi="Arial Narrow"/>
                <w:sz w:val="20"/>
                <w:szCs w:val="20"/>
              </w:rPr>
              <w:t>CLL/SLL</w:t>
            </w:r>
            <w:r w:rsidR="007E10C3" w:rsidRPr="000F09F5">
              <w:rPr>
                <w:rFonts w:ascii="Arial Narrow" w:hAnsi="Arial Narrow"/>
                <w:sz w:val="20"/>
                <w:szCs w:val="20"/>
              </w:rPr>
              <w:t xml:space="preserve"> </w:t>
            </w:r>
            <w:r w:rsidRPr="000F09F5">
              <w:rPr>
                <w:rFonts w:ascii="Arial Narrow" w:hAnsi="Arial Narrow"/>
                <w:sz w:val="20"/>
                <w:szCs w:val="20"/>
              </w:rPr>
              <w:t>(Restriction Summary 14337/ Treatment of Concept: 14337)</w:t>
            </w:r>
          </w:p>
          <w:p w14:paraId="47CC4739" w14:textId="6BB2A2D1" w:rsidR="00FA5919" w:rsidRPr="000F09F5" w:rsidRDefault="00FA5919" w:rsidP="001B69AC">
            <w:pPr>
              <w:pStyle w:val="ListParagraph"/>
              <w:keepNext/>
              <w:keepLines/>
              <w:numPr>
                <w:ilvl w:val="0"/>
                <w:numId w:val="25"/>
              </w:numPr>
              <w:spacing w:before="0" w:after="0"/>
              <w:jc w:val="left"/>
              <w:rPr>
                <w:rFonts w:ascii="Arial Narrow" w:hAnsi="Arial Narrow"/>
                <w:b/>
                <w:bCs/>
                <w:sz w:val="20"/>
                <w:szCs w:val="20"/>
              </w:rPr>
            </w:pPr>
            <w:r w:rsidRPr="000F09F5">
              <w:rPr>
                <w:rFonts w:ascii="Arial Narrow" w:hAnsi="Arial Narrow"/>
                <w:sz w:val="20"/>
                <w:szCs w:val="20"/>
              </w:rPr>
              <w:t>R/R CLL/SLL</w:t>
            </w:r>
            <w:r w:rsidR="007E10C3" w:rsidRPr="000F09F5">
              <w:rPr>
                <w:rFonts w:ascii="Arial Narrow" w:hAnsi="Arial Narrow"/>
                <w:sz w:val="20"/>
                <w:szCs w:val="20"/>
              </w:rPr>
              <w:t xml:space="preserve"> (Restriction Summary 14789/ Treatment of Concept: 14788)</w:t>
            </w:r>
          </w:p>
        </w:tc>
      </w:tr>
    </w:tbl>
    <w:bookmarkEnd w:id="4"/>
    <w:bookmarkEnd w:id="5"/>
    <w:bookmarkEnd w:id="6"/>
    <w:p w14:paraId="5D6F0662" w14:textId="29EF3088" w:rsidR="00B653A3" w:rsidRDefault="00EE3291" w:rsidP="00B653A3">
      <w:pPr>
        <w:pStyle w:val="3-BodyText"/>
      </w:pPr>
      <w:r w:rsidRPr="0079245E">
        <w:t xml:space="preserve">The proposed maximum quantities and number of repeats of </w:t>
      </w:r>
      <w:r w:rsidR="001043B9">
        <w:t>the</w:t>
      </w:r>
      <w:r w:rsidR="001043B9" w:rsidRPr="00EE3291">
        <w:t xml:space="preserve"> </w:t>
      </w:r>
      <w:r w:rsidRPr="00EE3291">
        <w:t>160 mg tablet</w:t>
      </w:r>
      <w:r w:rsidRPr="0079245E">
        <w:t xml:space="preserve"> </w:t>
      </w:r>
      <w:r w:rsidR="00BE6935">
        <w:t xml:space="preserve">would </w:t>
      </w:r>
      <w:r w:rsidRPr="0079245E">
        <w:t xml:space="preserve">provide sufficient supply for the loading dose and </w:t>
      </w:r>
      <w:r w:rsidR="00FC5E2C">
        <w:t xml:space="preserve">6 months of </w:t>
      </w:r>
      <w:r w:rsidRPr="0079245E">
        <w:t>treatment</w:t>
      </w:r>
      <w:r w:rsidR="00FC5E2C">
        <w:t>,</w:t>
      </w:r>
      <w:r w:rsidR="00B653A3">
        <w:t xml:space="preserve"> consistent with</w:t>
      </w:r>
      <w:r w:rsidR="00A92C60" w:rsidRPr="00A92C60">
        <w:t xml:space="preserve"> </w:t>
      </w:r>
      <w:r w:rsidR="00FC2AB3">
        <w:t xml:space="preserve">the </w:t>
      </w:r>
      <w:r w:rsidR="00617092" w:rsidRPr="00F30E9D">
        <w:t>80 mg capsule</w:t>
      </w:r>
      <w:r w:rsidR="00617092" w:rsidDel="00617092">
        <w:t xml:space="preserve"> </w:t>
      </w:r>
      <w:r w:rsidR="00617092">
        <w:t>listings</w:t>
      </w:r>
      <w:r w:rsidR="00B653A3">
        <w:t>.</w:t>
      </w:r>
    </w:p>
    <w:p w14:paraId="664A8B58" w14:textId="1C00C363" w:rsidR="007B3CE6" w:rsidRDefault="00874EAB" w:rsidP="00B653A3">
      <w:pPr>
        <w:pStyle w:val="3-BodyText"/>
      </w:pPr>
      <w:r>
        <w:t xml:space="preserve">At </w:t>
      </w:r>
      <w:r w:rsidR="0010044F">
        <w:t>the</w:t>
      </w:r>
      <w:r>
        <w:t xml:space="preserve"> July 2025 PBAC meeting</w:t>
      </w:r>
      <w:r w:rsidR="0010044F">
        <w:t>,</w:t>
      </w:r>
      <w:r>
        <w:t xml:space="preserve"> t</w:t>
      </w:r>
      <w:r w:rsidR="007B3CE6" w:rsidRPr="007B3CE6">
        <w:t xml:space="preserve">he PBAC </w:t>
      </w:r>
      <w:r w:rsidR="0020760C" w:rsidRPr="0020760C">
        <w:t xml:space="preserve">recommended that </w:t>
      </w:r>
      <w:r w:rsidR="00152929">
        <w:t>zanubrutinib</w:t>
      </w:r>
      <w:r w:rsidR="0020760C" w:rsidRPr="0020760C">
        <w:t xml:space="preserve"> </w:t>
      </w:r>
      <w:r w:rsidR="008A77C7">
        <w:t>be made available for prescribing by nurse practitioners</w:t>
      </w:r>
      <w:r w:rsidR="0080076D">
        <w:t xml:space="preserve"> where prescribing </w:t>
      </w:r>
      <w:r w:rsidR="009E3CDC">
        <w:t>continues existing treatment with the medicine and pa</w:t>
      </w:r>
      <w:r w:rsidR="000C3E81">
        <w:t xml:space="preserve">tient care is being shared with a medical practitioner. </w:t>
      </w:r>
    </w:p>
    <w:p w14:paraId="29A96004" w14:textId="77777777" w:rsidR="00C27C1C" w:rsidRPr="00A6439B" w:rsidRDefault="00C27C1C" w:rsidP="00303CFE">
      <w:pPr>
        <w:pStyle w:val="2-SectionHeading"/>
        <w:rPr>
          <w:color w:val="FF0000"/>
        </w:rPr>
      </w:pPr>
      <w:r w:rsidRPr="002E3FD4">
        <w:t>Comparator</w:t>
      </w:r>
      <w:r w:rsidRPr="00A6439B">
        <w:t xml:space="preserve"> </w:t>
      </w:r>
    </w:p>
    <w:p w14:paraId="22FEF2AE" w14:textId="28680943" w:rsidR="0056656E" w:rsidRPr="005204C5" w:rsidRDefault="00A326DB">
      <w:pPr>
        <w:pStyle w:val="3-BodyText"/>
        <w:rPr>
          <w:iCs/>
          <w:lang w:val="en-GB"/>
        </w:rPr>
      </w:pPr>
      <w:bookmarkStart w:id="7" w:name="_Hlk207702174"/>
      <w:r w:rsidRPr="008C0E24">
        <w:rPr>
          <w:iCs/>
        </w:rPr>
        <w:t xml:space="preserve">The submission </w:t>
      </w:r>
      <w:r w:rsidR="00A25B63" w:rsidRPr="008C0E24">
        <w:rPr>
          <w:iCs/>
        </w:rPr>
        <w:t>nominated</w:t>
      </w:r>
      <w:r w:rsidRPr="008C0E24">
        <w:rPr>
          <w:iCs/>
        </w:rPr>
        <w:t xml:space="preserve"> the </w:t>
      </w:r>
      <w:r w:rsidR="009949C9">
        <w:rPr>
          <w:iCs/>
        </w:rPr>
        <w:t>80 mg</w:t>
      </w:r>
      <w:r w:rsidRPr="008C0E24">
        <w:rPr>
          <w:iCs/>
        </w:rPr>
        <w:t xml:space="preserve"> strength of </w:t>
      </w:r>
      <w:r w:rsidR="002A5201" w:rsidRPr="008C0E24">
        <w:rPr>
          <w:iCs/>
        </w:rPr>
        <w:t>zanubrutinib</w:t>
      </w:r>
      <w:r w:rsidRPr="008C0E24">
        <w:rPr>
          <w:iCs/>
        </w:rPr>
        <w:t xml:space="preserve"> as the comparator</w:t>
      </w:r>
      <w:r w:rsidR="00885BE9" w:rsidRPr="008C0E24">
        <w:rPr>
          <w:iCs/>
        </w:rPr>
        <w:t xml:space="preserve"> for </w:t>
      </w:r>
      <w:r w:rsidR="00BF004B" w:rsidRPr="005204C5">
        <w:rPr>
          <w:rFonts w:ascii="Calibri" w:eastAsia="Times New Roman" w:hAnsi="Calibri" w:cs="Times New Roman"/>
          <w:bCs/>
          <w:iCs/>
          <w:szCs w:val="24"/>
        </w:rPr>
        <w:t xml:space="preserve">the same </w:t>
      </w:r>
      <w:r w:rsidR="00BF004B" w:rsidRPr="005204C5">
        <w:rPr>
          <w:bCs/>
          <w:iCs/>
        </w:rPr>
        <w:t xml:space="preserve">indications (MCL, WM, </w:t>
      </w:r>
      <w:r w:rsidR="003146EF">
        <w:rPr>
          <w:bCs/>
          <w:iCs/>
        </w:rPr>
        <w:t>Naïve</w:t>
      </w:r>
      <w:r w:rsidR="00D30737">
        <w:rPr>
          <w:bCs/>
          <w:iCs/>
        </w:rPr>
        <w:t xml:space="preserve"> chronic</w:t>
      </w:r>
      <w:r w:rsidR="003146EF">
        <w:rPr>
          <w:bCs/>
          <w:iCs/>
        </w:rPr>
        <w:t xml:space="preserve"> </w:t>
      </w:r>
      <w:r w:rsidR="00BF004B" w:rsidRPr="005204C5">
        <w:rPr>
          <w:bCs/>
          <w:iCs/>
        </w:rPr>
        <w:t>CLL and SLL)</w:t>
      </w:r>
      <w:r w:rsidR="009949C9">
        <w:rPr>
          <w:bCs/>
          <w:iCs/>
        </w:rPr>
        <w:t>.</w:t>
      </w:r>
    </w:p>
    <w:p w14:paraId="324EF303" w14:textId="17A53454" w:rsidR="00545583" w:rsidRPr="005204C5" w:rsidRDefault="0039337A" w:rsidP="00E94F8C">
      <w:pPr>
        <w:pStyle w:val="3-BodyText"/>
      </w:pPr>
      <w:r w:rsidRPr="005204C5">
        <w:t xml:space="preserve">At its </w:t>
      </w:r>
      <w:r w:rsidR="00FE51E3" w:rsidRPr="005204C5">
        <w:t>July 2021</w:t>
      </w:r>
      <w:r w:rsidR="009D56EA" w:rsidRPr="005204C5">
        <w:t xml:space="preserve"> PBAC meeting, </w:t>
      </w:r>
      <w:r w:rsidR="00B87544" w:rsidRPr="005204C5">
        <w:t>t</w:t>
      </w:r>
      <w:r w:rsidR="009D56EA" w:rsidRPr="005204C5">
        <w:t xml:space="preserve">he PBAC considered that ibrutinib </w:t>
      </w:r>
      <w:r w:rsidR="00090169" w:rsidRPr="005204C5">
        <w:t xml:space="preserve">is an </w:t>
      </w:r>
      <w:r w:rsidR="009D56EA" w:rsidRPr="005204C5">
        <w:t xml:space="preserve">appropriate comparator </w:t>
      </w:r>
      <w:r w:rsidR="00833F30" w:rsidRPr="005204C5">
        <w:t>and acalabrutinib a relevant near-market comparator</w:t>
      </w:r>
      <w:r w:rsidR="000A38A9" w:rsidRPr="005204C5">
        <w:t xml:space="preserve"> for zanubrutinib</w:t>
      </w:r>
      <w:r w:rsidR="001A38AD" w:rsidRPr="008C0E24">
        <w:rPr>
          <w:rFonts w:cs="Calibri"/>
        </w:rPr>
        <w:t xml:space="preserve"> </w:t>
      </w:r>
      <w:r w:rsidR="001A38AD" w:rsidRPr="005204C5">
        <w:t>for the treatment of patients with MCL</w:t>
      </w:r>
      <w:r w:rsidR="00833F30" w:rsidRPr="005204C5">
        <w:t xml:space="preserve">. </w:t>
      </w:r>
      <w:r w:rsidR="00DC5E7C" w:rsidRPr="005204C5">
        <w:t xml:space="preserve">The </w:t>
      </w:r>
      <w:r w:rsidR="00A4715B" w:rsidRPr="005204C5">
        <w:t>l</w:t>
      </w:r>
      <w:r w:rsidR="00DC5E7C" w:rsidRPr="005204C5">
        <w:t>isting was recommended on a cost-minimisation basis against ibrutinib</w:t>
      </w:r>
      <w:r w:rsidR="00996069" w:rsidRPr="005204C5">
        <w:t xml:space="preserve"> </w:t>
      </w:r>
      <w:r w:rsidR="00BC0606" w:rsidRPr="005204C5">
        <w:t xml:space="preserve">(Public Summary Document </w:t>
      </w:r>
      <w:r w:rsidR="00E71262">
        <w:t>[</w:t>
      </w:r>
      <w:r w:rsidR="00BC0606" w:rsidRPr="005204C5">
        <w:t>PSD</w:t>
      </w:r>
      <w:r w:rsidR="00E71262">
        <w:t>]</w:t>
      </w:r>
      <w:r w:rsidR="00BC0606" w:rsidRPr="005204C5">
        <w:t xml:space="preserve"> July 2021 PBAC meeting)</w:t>
      </w:r>
      <w:r w:rsidR="00DC5E7C" w:rsidRPr="005204C5">
        <w:t>.</w:t>
      </w:r>
      <w:r w:rsidR="008079F4" w:rsidRPr="005204C5">
        <w:t xml:space="preserve"> </w:t>
      </w:r>
      <w:r w:rsidR="00833F30" w:rsidRPr="005204C5">
        <w:t xml:space="preserve">The </w:t>
      </w:r>
      <w:r w:rsidR="003C6891" w:rsidRPr="005204C5">
        <w:t xml:space="preserve">PBAC </w:t>
      </w:r>
      <w:r w:rsidR="00F86BB3" w:rsidRPr="005204C5">
        <w:t xml:space="preserve">considered that the equi-effective doses </w:t>
      </w:r>
      <w:r w:rsidR="00843DF1">
        <w:t>we</w:t>
      </w:r>
      <w:r w:rsidR="00843DF1" w:rsidRPr="005204C5">
        <w:t>re</w:t>
      </w:r>
      <w:r w:rsidR="00545583" w:rsidRPr="005204C5">
        <w:t>:</w:t>
      </w:r>
    </w:p>
    <w:p w14:paraId="097B2F63" w14:textId="25A47280" w:rsidR="00F86BB3" w:rsidRPr="005204C5" w:rsidRDefault="00F86BB3" w:rsidP="00B1316A">
      <w:pPr>
        <w:pStyle w:val="ListParagraph"/>
        <w:widowControl w:val="0"/>
        <w:numPr>
          <w:ilvl w:val="0"/>
          <w:numId w:val="16"/>
        </w:numPr>
        <w:rPr>
          <w:iCs/>
        </w:rPr>
      </w:pPr>
      <w:r w:rsidRPr="005204C5">
        <w:rPr>
          <w:iCs/>
        </w:rPr>
        <w:t>zanubrutinib 320 mg (four 80 mg capsules) taken orally once daily or 160 mg (two 80 mg capsules) twice daily being equivalent to ibrutinib 560 mg once daily, and advised that after adjustment for equi</w:t>
      </w:r>
      <w:r w:rsidRPr="005204C5">
        <w:rPr>
          <w:iCs/>
        </w:rPr>
        <w:noBreakHyphen/>
        <w:t>effective doses, zanubrutinib should be listed on the PBS at a cost per day that is no higher than the cost per day of other BTK inhibitors recommended for listing by the PBAC for the treatment of MCL</w:t>
      </w:r>
      <w:r w:rsidR="00FB17AE" w:rsidRPr="005204C5">
        <w:rPr>
          <w:iCs/>
        </w:rPr>
        <w:t xml:space="preserve"> </w:t>
      </w:r>
    </w:p>
    <w:p w14:paraId="42415ED7" w14:textId="3F59719E" w:rsidR="009E1F6C" w:rsidRPr="00E94F8C" w:rsidRDefault="00267A93" w:rsidP="00E94F8C">
      <w:pPr>
        <w:pStyle w:val="3-BodyText"/>
      </w:pPr>
      <w:r w:rsidRPr="005204C5">
        <w:t>At its July 2021</w:t>
      </w:r>
      <w:r w:rsidR="007A7B1F" w:rsidRPr="005204C5">
        <w:t xml:space="preserve"> and March </w:t>
      </w:r>
      <w:r w:rsidR="0050010A" w:rsidRPr="005204C5">
        <w:t>2022</w:t>
      </w:r>
      <w:r w:rsidRPr="005204C5">
        <w:t xml:space="preserve"> PBAC meeting</w:t>
      </w:r>
      <w:r w:rsidR="0050010A" w:rsidRPr="005204C5">
        <w:t>s</w:t>
      </w:r>
      <w:r w:rsidRPr="005204C5">
        <w:t>, t</w:t>
      </w:r>
      <w:r w:rsidRPr="005204C5">
        <w:rPr>
          <w:bCs/>
        </w:rPr>
        <w:t xml:space="preserve">he PBAC considered that </w:t>
      </w:r>
      <w:r w:rsidR="007C7F75" w:rsidRPr="005204C5">
        <w:rPr>
          <w:bCs/>
        </w:rPr>
        <w:t xml:space="preserve">rituximab </w:t>
      </w:r>
      <w:r w:rsidR="007C7F75" w:rsidRPr="00E94F8C">
        <w:t xml:space="preserve">monotherapy is an appropriate </w:t>
      </w:r>
      <w:r w:rsidRPr="00E94F8C">
        <w:t>comparator</w:t>
      </w:r>
      <w:r w:rsidR="006141D4" w:rsidRPr="00E94F8C">
        <w:t xml:space="preserve"> for </w:t>
      </w:r>
      <w:r w:rsidR="00105965" w:rsidRPr="00E94F8C">
        <w:t>z</w:t>
      </w:r>
      <w:r w:rsidR="006141D4" w:rsidRPr="00E94F8C">
        <w:t xml:space="preserve">anubrutinib for the </w:t>
      </w:r>
      <w:r w:rsidR="00523013" w:rsidRPr="00E94F8C">
        <w:t xml:space="preserve">treatment of </w:t>
      </w:r>
      <w:r w:rsidR="00EF2BA2" w:rsidRPr="00E94F8C">
        <w:t>treatment-naïve patients</w:t>
      </w:r>
      <w:r w:rsidRPr="00E94F8C">
        <w:t xml:space="preserve"> </w:t>
      </w:r>
      <w:r w:rsidR="006141D4" w:rsidRPr="00E94F8C">
        <w:t>WM</w:t>
      </w:r>
      <w:r w:rsidR="00C73A35" w:rsidRPr="00E94F8C">
        <w:t xml:space="preserve"> </w:t>
      </w:r>
      <w:r w:rsidR="00BC4627" w:rsidRPr="00E94F8C">
        <w:t xml:space="preserve">and </w:t>
      </w:r>
      <w:r w:rsidRPr="00E94F8C">
        <w:t>bendamustine</w:t>
      </w:r>
      <w:r w:rsidR="00EA7253" w:rsidRPr="00E94F8C">
        <w:t>+</w:t>
      </w:r>
      <w:r w:rsidRPr="00E94F8C">
        <w:t>rituximab an appropriate comparator for the relapsed/refractory</w:t>
      </w:r>
      <w:r w:rsidR="00EF6441" w:rsidRPr="00E94F8C">
        <w:t xml:space="preserve"> </w:t>
      </w:r>
      <w:r w:rsidR="00EF2BA2" w:rsidRPr="00E94F8C">
        <w:t xml:space="preserve">WM </w:t>
      </w:r>
      <w:r w:rsidRPr="00E94F8C">
        <w:t xml:space="preserve">population. </w:t>
      </w:r>
      <w:r w:rsidR="007D6170" w:rsidRPr="00E94F8C">
        <w:t>T</w:t>
      </w:r>
      <w:r w:rsidR="00217B89" w:rsidRPr="00E94F8C">
        <w:t>he PBAC recommended Zanubrutinib for W</w:t>
      </w:r>
      <w:r w:rsidR="00436815" w:rsidRPr="00E94F8C">
        <w:t>M on c</w:t>
      </w:r>
      <w:r w:rsidR="00217B89" w:rsidRPr="00E94F8C">
        <w:t>ost-utility analysis</w:t>
      </w:r>
      <w:r w:rsidR="00D15B75" w:rsidRPr="00E94F8C">
        <w:t xml:space="preserve"> (PSD </w:t>
      </w:r>
      <w:r w:rsidR="00BC0606" w:rsidRPr="00E94F8C">
        <w:t>March 2021 and PSD March 2022)</w:t>
      </w:r>
      <w:r w:rsidR="00436815" w:rsidRPr="00E94F8C">
        <w:t>.</w:t>
      </w:r>
    </w:p>
    <w:p w14:paraId="18C156E0" w14:textId="46BB5E65" w:rsidR="006E1179" w:rsidRPr="005204C5" w:rsidRDefault="008E240E" w:rsidP="00E94F8C">
      <w:pPr>
        <w:pStyle w:val="3-BodyText"/>
        <w:rPr>
          <w:lang w:val="en-GB"/>
        </w:rPr>
      </w:pPr>
      <w:r w:rsidRPr="00E94F8C">
        <w:t>At it</w:t>
      </w:r>
      <w:r w:rsidR="00973E47" w:rsidRPr="00E94F8C">
        <w:t>s</w:t>
      </w:r>
      <w:r w:rsidRPr="00E94F8C">
        <w:t xml:space="preserve"> March 2023</w:t>
      </w:r>
      <w:r w:rsidR="00900D53" w:rsidRPr="00E94F8C">
        <w:t xml:space="preserve"> meeting, the PBAC considered that venetoclax plus obinutuzumab </w:t>
      </w:r>
      <w:r w:rsidR="003507FA" w:rsidRPr="00E94F8C">
        <w:t xml:space="preserve">is </w:t>
      </w:r>
      <w:r w:rsidR="007D6170" w:rsidRPr="00E94F8C">
        <w:t>a</w:t>
      </w:r>
      <w:r w:rsidR="00B1316A" w:rsidRPr="00E94F8C">
        <w:t>n appropriate</w:t>
      </w:r>
      <w:r w:rsidR="007D6170" w:rsidRPr="00E94F8C">
        <w:t xml:space="preserve"> comparator </w:t>
      </w:r>
      <w:r w:rsidR="00B1316A" w:rsidRPr="00E94F8C">
        <w:t xml:space="preserve">for </w:t>
      </w:r>
      <w:r w:rsidR="00FE17B1" w:rsidRPr="00E94F8C">
        <w:t>zanubrutinib</w:t>
      </w:r>
      <w:r w:rsidR="00105965" w:rsidRPr="00E94F8C">
        <w:t xml:space="preserve"> for </w:t>
      </w:r>
      <w:r w:rsidR="00900D53" w:rsidRPr="00E94F8C">
        <w:t xml:space="preserve">treatment </w:t>
      </w:r>
      <w:r w:rsidR="00AB4E0D" w:rsidRPr="00E94F8C">
        <w:t xml:space="preserve">of </w:t>
      </w:r>
      <w:r w:rsidR="00900D53" w:rsidRPr="00E94F8C">
        <w:t>naïve CLL</w:t>
      </w:r>
      <w:r w:rsidR="000F184F" w:rsidRPr="00E94F8C">
        <w:t xml:space="preserve"> </w:t>
      </w:r>
      <w:r w:rsidR="00AB4E0D" w:rsidRPr="00E94F8C">
        <w:t>or SLL</w:t>
      </w:r>
      <w:r w:rsidR="00900D53" w:rsidRPr="00E94F8C">
        <w:t>.</w:t>
      </w:r>
      <w:r w:rsidR="00817EED" w:rsidRPr="00E94F8C">
        <w:t xml:space="preserve"> The PBAC a</w:t>
      </w:r>
      <w:r w:rsidR="00817EED" w:rsidRPr="005204C5">
        <w:rPr>
          <w:lang w:val="en-GB"/>
        </w:rPr>
        <w:t xml:space="preserve">lso considered that ibrutinib and acalabrutinib were appropriate comparators </w:t>
      </w:r>
      <w:r w:rsidR="00817EED" w:rsidRPr="005204C5">
        <w:rPr>
          <w:lang w:val="en-GB"/>
        </w:rPr>
        <w:lastRenderedPageBreak/>
        <w:t xml:space="preserve">for </w:t>
      </w:r>
      <w:r w:rsidR="00817EED" w:rsidRPr="005204C5">
        <w:t>zanubrutinib</w:t>
      </w:r>
      <w:r w:rsidR="00817EED" w:rsidRPr="005204C5">
        <w:rPr>
          <w:lang w:val="en-GB"/>
        </w:rPr>
        <w:t xml:space="preserve"> for the treatment of relapsed/refractory CLL or SLL.</w:t>
      </w:r>
      <w:r w:rsidR="00C92688">
        <w:rPr>
          <w:lang w:val="en-GB"/>
        </w:rPr>
        <w:t xml:space="preserve"> </w:t>
      </w:r>
      <w:r w:rsidR="00AB4E0D" w:rsidRPr="005204C5">
        <w:t xml:space="preserve">The PBAC recommended that the listing of zanubrutinib would be cost-effective if it </w:t>
      </w:r>
      <w:r w:rsidR="00900D53" w:rsidRPr="005204C5">
        <w:t xml:space="preserve">were cost-minimised to venetoclax plus </w:t>
      </w:r>
      <w:r w:rsidR="00302FC7" w:rsidRPr="005204C5">
        <w:t>o</w:t>
      </w:r>
      <w:r w:rsidR="003C48E2" w:rsidRPr="005204C5">
        <w:t>binutuzumab for</w:t>
      </w:r>
      <w:r w:rsidR="003C48E2" w:rsidRPr="005204C5">
        <w:rPr>
          <w:rFonts w:ascii="Calibri" w:eastAsia="Times New Roman" w:hAnsi="Calibri" w:cs="Times New Roman"/>
          <w:szCs w:val="24"/>
          <w:lang w:val="en-GB"/>
        </w:rPr>
        <w:t xml:space="preserve"> </w:t>
      </w:r>
      <w:r w:rsidR="00302FC7" w:rsidRPr="005204C5">
        <w:rPr>
          <w:rFonts w:ascii="Calibri" w:eastAsia="Times New Roman" w:hAnsi="Calibri" w:cs="Times New Roman"/>
          <w:szCs w:val="24"/>
          <w:lang w:val="en-GB"/>
        </w:rPr>
        <w:t xml:space="preserve">the treatment </w:t>
      </w:r>
      <w:r w:rsidR="00877D56" w:rsidRPr="005204C5">
        <w:rPr>
          <w:rFonts w:ascii="Calibri" w:eastAsia="Times New Roman" w:hAnsi="Calibri" w:cs="Times New Roman"/>
          <w:szCs w:val="24"/>
          <w:lang w:val="en-GB"/>
        </w:rPr>
        <w:t xml:space="preserve">of </w:t>
      </w:r>
      <w:r w:rsidR="003C48E2" w:rsidRPr="005204C5">
        <w:rPr>
          <w:lang w:val="en-GB"/>
        </w:rPr>
        <w:t xml:space="preserve">naïve CLL or SLL and </w:t>
      </w:r>
      <w:r w:rsidR="00302FC7" w:rsidRPr="005204C5">
        <w:rPr>
          <w:lang w:val="en-GB"/>
        </w:rPr>
        <w:t>to</w:t>
      </w:r>
      <w:r w:rsidR="00302FC7" w:rsidRPr="005204C5">
        <w:rPr>
          <w:snapToGrid w:val="0"/>
          <w:lang w:val="en-GB" w:eastAsia="en-US"/>
        </w:rPr>
        <w:t xml:space="preserve"> ibrutinib for the treatment of relapsed/refractory CLL or SLL</w:t>
      </w:r>
      <w:r w:rsidR="00D15B75" w:rsidRPr="005204C5">
        <w:rPr>
          <w:rFonts w:ascii="Calibri" w:eastAsia="Times New Roman" w:hAnsi="Calibri" w:cs="Times New Roman"/>
          <w:szCs w:val="24"/>
          <w:lang w:val="en-GB"/>
        </w:rPr>
        <w:t xml:space="preserve"> </w:t>
      </w:r>
      <w:bookmarkStart w:id="8" w:name="_Hlk215052610"/>
      <w:r w:rsidR="00D15B75" w:rsidRPr="005204C5">
        <w:rPr>
          <w:rFonts w:ascii="Calibri" w:eastAsia="Times New Roman" w:hAnsi="Calibri" w:cs="Times New Roman"/>
          <w:szCs w:val="24"/>
          <w:lang w:val="en-GB"/>
        </w:rPr>
        <w:t>(</w:t>
      </w:r>
      <w:r w:rsidR="00D15B75" w:rsidRPr="005204C5">
        <w:rPr>
          <w:snapToGrid w:val="0"/>
          <w:lang w:val="en-GB" w:eastAsia="en-US"/>
        </w:rPr>
        <w:t>PSD March 2023 PBAC meeting)</w:t>
      </w:r>
      <w:bookmarkEnd w:id="8"/>
      <w:r w:rsidR="00900D53" w:rsidRPr="005204C5">
        <w:t>.</w:t>
      </w:r>
      <w:r w:rsidR="00CB517C" w:rsidRPr="005204C5">
        <w:t xml:space="preserve"> The </w:t>
      </w:r>
      <w:r w:rsidR="00CB517C" w:rsidRPr="005204C5">
        <w:rPr>
          <w:lang w:val="en-GB"/>
        </w:rPr>
        <w:t>equi-effective doses were:</w:t>
      </w:r>
    </w:p>
    <w:p w14:paraId="390B09A9" w14:textId="7AA7A05B" w:rsidR="00CB517C" w:rsidRPr="005204C5" w:rsidRDefault="006E1179" w:rsidP="00BB26ED">
      <w:pPr>
        <w:pStyle w:val="3-BodyText"/>
        <w:numPr>
          <w:ilvl w:val="0"/>
          <w:numId w:val="16"/>
        </w:numPr>
        <w:rPr>
          <w:iCs/>
          <w:lang w:val="en-GB"/>
        </w:rPr>
      </w:pPr>
      <w:r w:rsidRPr="005204C5">
        <w:rPr>
          <w:iCs/>
          <w:lang w:val="en-GB"/>
        </w:rPr>
        <w:t>Naïve CLL or SLL</w:t>
      </w:r>
      <w:r w:rsidR="00BB26ED" w:rsidRPr="005204C5">
        <w:rPr>
          <w:iCs/>
          <w:lang w:val="en-GB"/>
        </w:rPr>
        <w:t>:</w:t>
      </w:r>
      <w:r w:rsidRPr="005204C5">
        <w:rPr>
          <w:iCs/>
          <w:lang w:val="en-GB"/>
        </w:rPr>
        <w:t xml:space="preserve"> </w:t>
      </w:r>
      <w:r w:rsidR="003507FA" w:rsidRPr="005204C5">
        <w:rPr>
          <w:iCs/>
          <w:lang w:val="en-GB"/>
        </w:rPr>
        <w:t>o</w:t>
      </w:r>
      <w:r w:rsidR="00CB517C" w:rsidRPr="005204C5">
        <w:rPr>
          <w:iCs/>
          <w:lang w:val="en-GB"/>
        </w:rPr>
        <w:t xml:space="preserve">ne initial and 8.67 continuing venetoclax scripts plus 7.355 obinutuzumab scripts are </w:t>
      </w:r>
      <w:r w:rsidR="00CB517C" w:rsidRPr="005204C5">
        <w:rPr>
          <w:iCs/>
        </w:rPr>
        <w:t>equivalent</w:t>
      </w:r>
      <w:r w:rsidR="00CB517C" w:rsidRPr="005204C5">
        <w:rPr>
          <w:iCs/>
          <w:lang w:val="en-GB"/>
        </w:rPr>
        <w:t xml:space="preserve"> to 70.73 months of zanubrutinib treatment at a dose of 304 mg daily (68.09 zanubrutinib scripts).</w:t>
      </w:r>
    </w:p>
    <w:p w14:paraId="080BD963" w14:textId="19BC3FA5" w:rsidR="00C76B50" w:rsidRPr="005204C5" w:rsidRDefault="00282244" w:rsidP="00B1316A">
      <w:pPr>
        <w:pStyle w:val="3-BodyText"/>
        <w:numPr>
          <w:ilvl w:val="0"/>
          <w:numId w:val="16"/>
        </w:numPr>
        <w:rPr>
          <w:iCs/>
          <w:lang w:val="en-GB"/>
        </w:rPr>
      </w:pPr>
      <w:r w:rsidRPr="005204C5">
        <w:rPr>
          <w:iCs/>
          <w:lang w:val="en-GB"/>
        </w:rPr>
        <w:t xml:space="preserve">relapsed/refractory CLL or SLL: </w:t>
      </w:r>
      <w:r w:rsidR="00C76B50" w:rsidRPr="005204C5">
        <w:rPr>
          <w:iCs/>
          <w:lang w:val="en-GB"/>
        </w:rPr>
        <w:t>zanubrutinib 320 mg once daily (or 160 mg twice daily) = ibrutinib 420 mg once daily</w:t>
      </w:r>
      <w:r w:rsidRPr="005204C5">
        <w:rPr>
          <w:iCs/>
          <w:lang w:val="en-GB"/>
        </w:rPr>
        <w:t>.</w:t>
      </w:r>
    </w:p>
    <w:p w14:paraId="4E6B1966" w14:textId="1B47E72A" w:rsidR="00D93AAB" w:rsidRPr="005204C5" w:rsidRDefault="00E235F8">
      <w:pPr>
        <w:pStyle w:val="3-BodyText"/>
        <w:rPr>
          <w:lang w:val="en-GB"/>
        </w:rPr>
      </w:pPr>
      <w:r>
        <w:rPr>
          <w:snapToGrid w:val="0"/>
          <w:lang w:val="en-GB" w:eastAsia="en-US"/>
        </w:rPr>
        <w:t>At it</w:t>
      </w:r>
      <w:r w:rsidR="004648B6">
        <w:rPr>
          <w:snapToGrid w:val="0"/>
          <w:lang w:val="en-GB" w:eastAsia="en-US"/>
        </w:rPr>
        <w:t xml:space="preserve">s March 2022 meeting, the </w:t>
      </w:r>
      <w:r w:rsidR="008F467A" w:rsidRPr="005204C5">
        <w:rPr>
          <w:snapToGrid w:val="0"/>
          <w:lang w:val="en-GB" w:eastAsia="en-US"/>
        </w:rPr>
        <w:t xml:space="preserve">PBAC </w:t>
      </w:r>
      <w:r w:rsidR="00501994">
        <w:rPr>
          <w:snapToGrid w:val="0"/>
          <w:lang w:val="en-GB" w:eastAsia="en-US"/>
        </w:rPr>
        <w:t xml:space="preserve">advised that </w:t>
      </w:r>
      <w:bookmarkStart w:id="9" w:name="_Hlk215054332"/>
      <w:r w:rsidR="00970FDB">
        <w:rPr>
          <w:snapToGrid w:val="0"/>
          <w:lang w:val="en-GB" w:eastAsia="en-US"/>
        </w:rPr>
        <w:t>z</w:t>
      </w:r>
      <w:r w:rsidR="00471911">
        <w:rPr>
          <w:snapToGrid w:val="0"/>
          <w:lang w:val="en-GB" w:eastAsia="en-US"/>
        </w:rPr>
        <w:t>anubrutinib</w:t>
      </w:r>
      <w:r w:rsidR="00471911">
        <w:rPr>
          <w:snapToGrid w:val="0"/>
          <w:lang w:eastAsia="en-US"/>
        </w:rPr>
        <w:t xml:space="preserve"> 80 mg capsule</w:t>
      </w:r>
      <w:r w:rsidR="007B751B">
        <w:rPr>
          <w:snapToGrid w:val="0"/>
          <w:lang w:eastAsia="en-US"/>
        </w:rPr>
        <w:t xml:space="preserve"> </w:t>
      </w:r>
      <w:bookmarkEnd w:id="9"/>
      <w:r w:rsidR="00AE416A">
        <w:rPr>
          <w:snapToGrid w:val="0"/>
          <w:lang w:eastAsia="en-US"/>
        </w:rPr>
        <w:t xml:space="preserve">was </w:t>
      </w:r>
      <w:r w:rsidR="00205065">
        <w:rPr>
          <w:snapToGrid w:val="0"/>
          <w:lang w:eastAsia="en-US"/>
        </w:rPr>
        <w:t xml:space="preserve">more </w:t>
      </w:r>
      <w:r w:rsidR="009D0D4E">
        <w:rPr>
          <w:snapToGrid w:val="0"/>
          <w:lang w:eastAsia="en-US"/>
        </w:rPr>
        <w:t>cost</w:t>
      </w:r>
      <w:r w:rsidR="00174138">
        <w:rPr>
          <w:snapToGrid w:val="0"/>
          <w:lang w:eastAsia="en-US"/>
        </w:rPr>
        <w:t>-</w:t>
      </w:r>
      <w:r w:rsidR="009D0D4E">
        <w:rPr>
          <w:snapToGrid w:val="0"/>
          <w:lang w:eastAsia="en-US"/>
        </w:rPr>
        <w:t xml:space="preserve">effective </w:t>
      </w:r>
      <w:r w:rsidR="00205065">
        <w:rPr>
          <w:snapToGrid w:val="0"/>
          <w:lang w:eastAsia="en-US"/>
        </w:rPr>
        <w:t>than</w:t>
      </w:r>
      <w:r w:rsidR="009D0D4E">
        <w:rPr>
          <w:snapToGrid w:val="0"/>
          <w:lang w:eastAsia="en-US"/>
        </w:rPr>
        <w:t xml:space="preserve"> </w:t>
      </w:r>
      <w:r w:rsidR="00E21EB6" w:rsidRPr="193B396D">
        <w:rPr>
          <w:snapToGrid w:val="0"/>
          <w:lang w:eastAsia="en-US"/>
        </w:rPr>
        <w:t>rituximab</w:t>
      </w:r>
      <w:r w:rsidR="002307F9" w:rsidRPr="193B396D">
        <w:rPr>
          <w:snapToGrid w:val="0"/>
          <w:lang w:eastAsia="en-US"/>
        </w:rPr>
        <w:t xml:space="preserve"> </w:t>
      </w:r>
      <w:r w:rsidR="00205065" w:rsidRPr="193B396D">
        <w:rPr>
          <w:snapToGrid w:val="0"/>
          <w:lang w:eastAsia="en-US"/>
        </w:rPr>
        <w:t xml:space="preserve">monotherapy </w:t>
      </w:r>
      <w:r w:rsidR="002307F9" w:rsidRPr="193B396D">
        <w:rPr>
          <w:snapToGrid w:val="0"/>
          <w:lang w:eastAsia="en-US"/>
        </w:rPr>
        <w:t xml:space="preserve">and </w:t>
      </w:r>
      <w:r w:rsidR="00171368" w:rsidRPr="193B396D">
        <w:rPr>
          <w:snapToGrid w:val="0"/>
          <w:lang w:eastAsia="en-US"/>
        </w:rPr>
        <w:t>bendamustine+rituximab</w:t>
      </w:r>
      <w:r w:rsidR="00565A24" w:rsidRPr="193B396D">
        <w:rPr>
          <w:snapToGrid w:val="0"/>
          <w:lang w:eastAsia="en-US"/>
        </w:rPr>
        <w:t xml:space="preserve"> for </w:t>
      </w:r>
      <w:r w:rsidR="00C456DE" w:rsidRPr="193B396D">
        <w:rPr>
          <w:snapToGrid w:val="0"/>
          <w:lang w:eastAsia="en-US"/>
        </w:rPr>
        <w:t xml:space="preserve">the </w:t>
      </w:r>
      <w:r w:rsidR="006A43FD" w:rsidRPr="193B396D">
        <w:rPr>
          <w:snapToGrid w:val="0"/>
          <w:lang w:eastAsia="en-US"/>
        </w:rPr>
        <w:t xml:space="preserve">treatment of </w:t>
      </w:r>
      <w:r w:rsidR="00DC1392" w:rsidRPr="193B396D">
        <w:rPr>
          <w:snapToGrid w:val="0"/>
          <w:lang w:eastAsia="en-US"/>
        </w:rPr>
        <w:t>MW</w:t>
      </w:r>
      <w:r w:rsidR="00B1257B" w:rsidRPr="193B396D">
        <w:rPr>
          <w:snapToGrid w:val="0"/>
          <w:lang w:eastAsia="en-US"/>
        </w:rPr>
        <w:t xml:space="preserve"> (</w:t>
      </w:r>
      <w:r w:rsidR="00344198" w:rsidRPr="193B396D">
        <w:rPr>
          <w:snapToGrid w:val="0"/>
          <w:lang w:eastAsia="en-US"/>
        </w:rPr>
        <w:t xml:space="preserve">zanubrutinib </w:t>
      </w:r>
      <w:r w:rsidR="00415B0F" w:rsidRPr="193B396D">
        <w:rPr>
          <w:snapToGrid w:val="0"/>
          <w:lang w:val="en-GB" w:eastAsia="en-US"/>
        </w:rPr>
        <w:t>PSD March 2022 PBAC meeting)</w:t>
      </w:r>
      <w:r w:rsidR="009E62A4" w:rsidRPr="193B396D">
        <w:rPr>
          <w:snapToGrid w:val="0"/>
          <w:lang w:val="en-GB" w:eastAsia="en-US"/>
        </w:rPr>
        <w:t>. A</w:t>
      </w:r>
      <w:r w:rsidR="00FE750C" w:rsidRPr="193B396D">
        <w:rPr>
          <w:snapToGrid w:val="0"/>
          <w:lang w:val="en-GB" w:eastAsia="en-US"/>
        </w:rPr>
        <w:t>t it</w:t>
      </w:r>
      <w:r w:rsidR="00986B1C" w:rsidRPr="193B396D">
        <w:rPr>
          <w:snapToGrid w:val="0"/>
          <w:lang w:val="en-GB" w:eastAsia="en-US"/>
        </w:rPr>
        <w:t>s</w:t>
      </w:r>
      <w:r w:rsidR="00FE750C" w:rsidRPr="193B396D">
        <w:rPr>
          <w:snapToGrid w:val="0"/>
          <w:lang w:val="en-GB" w:eastAsia="en-US"/>
        </w:rPr>
        <w:t xml:space="preserve"> </w:t>
      </w:r>
      <w:r w:rsidR="00AE688C" w:rsidRPr="193B396D">
        <w:rPr>
          <w:snapToGrid w:val="0"/>
          <w:lang w:val="en-GB" w:eastAsia="en-US"/>
        </w:rPr>
        <w:t>March 2023 meeting</w:t>
      </w:r>
      <w:r w:rsidR="00986B1C" w:rsidRPr="193B396D">
        <w:rPr>
          <w:snapToGrid w:val="0"/>
          <w:lang w:val="en-GB" w:eastAsia="en-US"/>
        </w:rPr>
        <w:t>,</w:t>
      </w:r>
      <w:r w:rsidR="00AE688C" w:rsidRPr="193B396D">
        <w:rPr>
          <w:snapToGrid w:val="0"/>
          <w:lang w:val="en-GB" w:eastAsia="en-US"/>
        </w:rPr>
        <w:t xml:space="preserve"> the PBAC </w:t>
      </w:r>
      <w:r w:rsidR="00123A3B" w:rsidRPr="193B396D">
        <w:rPr>
          <w:snapToGrid w:val="0"/>
          <w:lang w:val="en-GB" w:eastAsia="en-US"/>
        </w:rPr>
        <w:t xml:space="preserve">advised </w:t>
      </w:r>
      <w:r w:rsidR="0097594A" w:rsidRPr="005204C5">
        <w:rPr>
          <w:snapToGrid w:val="0"/>
          <w:lang w:val="en-GB" w:eastAsia="en-US"/>
        </w:rPr>
        <w:t xml:space="preserve">ibrutinib </w:t>
      </w:r>
      <w:r w:rsidR="00990A40">
        <w:rPr>
          <w:snapToGrid w:val="0"/>
          <w:lang w:val="en-GB" w:eastAsia="en-US"/>
        </w:rPr>
        <w:t xml:space="preserve">as </w:t>
      </w:r>
      <w:r w:rsidR="004740B3">
        <w:rPr>
          <w:snapToGrid w:val="0"/>
          <w:lang w:val="en-GB" w:eastAsia="en-US"/>
        </w:rPr>
        <w:t xml:space="preserve">an </w:t>
      </w:r>
      <w:r w:rsidR="004740B3" w:rsidRPr="004740B3">
        <w:rPr>
          <w:snapToGrid w:val="0"/>
          <w:lang w:val="en-GB" w:eastAsia="en-US"/>
        </w:rPr>
        <w:t>appropriate pricing comparator</w:t>
      </w:r>
      <w:r w:rsidR="00970FDB">
        <w:rPr>
          <w:snapToGrid w:val="0"/>
          <w:lang w:val="en-GB" w:eastAsia="en-US"/>
        </w:rPr>
        <w:t xml:space="preserve"> for </w:t>
      </w:r>
      <w:r w:rsidR="00970FDB" w:rsidRPr="00970FDB">
        <w:rPr>
          <w:snapToGrid w:val="0"/>
          <w:lang w:val="en-GB" w:eastAsia="en-US"/>
        </w:rPr>
        <w:t>zanubrutinib</w:t>
      </w:r>
      <w:r w:rsidR="00970FDB" w:rsidRPr="00970FDB">
        <w:rPr>
          <w:snapToGrid w:val="0"/>
          <w:lang w:eastAsia="en-US"/>
        </w:rPr>
        <w:t xml:space="preserve"> 80 mg capsule</w:t>
      </w:r>
      <w:r w:rsidR="00970FDB">
        <w:rPr>
          <w:snapToGrid w:val="0"/>
          <w:lang w:eastAsia="en-US"/>
        </w:rPr>
        <w:t xml:space="preserve"> </w:t>
      </w:r>
      <w:r w:rsidR="00DC1392" w:rsidRPr="005204C5">
        <w:rPr>
          <w:snapToGrid w:val="0"/>
          <w:lang w:val="en-GB" w:eastAsia="en-US"/>
        </w:rPr>
        <w:t xml:space="preserve">for </w:t>
      </w:r>
      <w:r w:rsidR="00C456DE" w:rsidRPr="005204C5">
        <w:rPr>
          <w:snapToGrid w:val="0"/>
          <w:lang w:val="en-GB" w:eastAsia="en-US"/>
        </w:rPr>
        <w:t xml:space="preserve">the </w:t>
      </w:r>
      <w:r w:rsidR="006A43FD" w:rsidRPr="005204C5">
        <w:rPr>
          <w:snapToGrid w:val="0"/>
          <w:lang w:val="en-GB" w:eastAsia="en-US"/>
        </w:rPr>
        <w:t>tr</w:t>
      </w:r>
      <w:r w:rsidR="00C456DE" w:rsidRPr="005204C5">
        <w:rPr>
          <w:snapToGrid w:val="0"/>
          <w:lang w:val="en-GB" w:eastAsia="en-US"/>
        </w:rPr>
        <w:t xml:space="preserve">eatment </w:t>
      </w:r>
      <w:r w:rsidR="009E62A4">
        <w:rPr>
          <w:snapToGrid w:val="0"/>
          <w:lang w:val="en-GB" w:eastAsia="en-US"/>
        </w:rPr>
        <w:t>of</w:t>
      </w:r>
      <w:r w:rsidR="00C456DE" w:rsidRPr="005204C5">
        <w:rPr>
          <w:snapToGrid w:val="0"/>
          <w:lang w:val="en-GB" w:eastAsia="en-US"/>
        </w:rPr>
        <w:t xml:space="preserve"> </w:t>
      </w:r>
      <w:r w:rsidR="000A4DDB" w:rsidRPr="005204C5">
        <w:rPr>
          <w:snapToGrid w:val="0"/>
          <w:lang w:val="en-GB" w:eastAsia="en-US"/>
        </w:rPr>
        <w:t>MLC,</w:t>
      </w:r>
      <w:r w:rsidR="00D30737">
        <w:rPr>
          <w:snapToGrid w:val="0"/>
          <w:lang w:val="en-GB" w:eastAsia="en-US"/>
        </w:rPr>
        <w:t xml:space="preserve"> </w:t>
      </w:r>
      <w:r w:rsidR="00056F32">
        <w:rPr>
          <w:snapToGrid w:val="0"/>
          <w:lang w:val="en-GB" w:eastAsia="en-US"/>
        </w:rPr>
        <w:t xml:space="preserve">and </w:t>
      </w:r>
      <w:r w:rsidR="00706772">
        <w:rPr>
          <w:snapToGrid w:val="0"/>
          <w:lang w:val="en-GB" w:eastAsia="en-US"/>
        </w:rPr>
        <w:t>relapsed/refractory</w:t>
      </w:r>
      <w:r w:rsidR="000A4DDB" w:rsidRPr="005204C5" w:rsidDel="007C0086">
        <w:rPr>
          <w:snapToGrid w:val="0"/>
          <w:lang w:val="en-GB" w:eastAsia="en-US"/>
        </w:rPr>
        <w:t xml:space="preserve"> </w:t>
      </w:r>
      <w:r w:rsidR="000A4DDB" w:rsidRPr="005204C5">
        <w:rPr>
          <w:snapToGrid w:val="0"/>
          <w:lang w:val="en-GB" w:eastAsia="en-US"/>
        </w:rPr>
        <w:t>CLL</w:t>
      </w:r>
      <w:r w:rsidR="00056F32">
        <w:rPr>
          <w:snapToGrid w:val="0"/>
          <w:lang w:val="en-GB" w:eastAsia="en-US"/>
        </w:rPr>
        <w:t xml:space="preserve"> or</w:t>
      </w:r>
      <w:r w:rsidR="000A4DDB" w:rsidRPr="005204C5">
        <w:rPr>
          <w:snapToGrid w:val="0"/>
          <w:lang w:val="en-GB" w:eastAsia="en-US"/>
        </w:rPr>
        <w:t xml:space="preserve"> SLL</w:t>
      </w:r>
      <w:r w:rsidR="00A125F0" w:rsidRPr="005204C5" w:rsidDel="00A125F0">
        <w:rPr>
          <w:snapToGrid w:val="0"/>
          <w:lang w:val="en-GB" w:eastAsia="en-US"/>
        </w:rPr>
        <w:t xml:space="preserve"> </w:t>
      </w:r>
      <w:r w:rsidR="008F4B13" w:rsidRPr="193B396D">
        <w:rPr>
          <w:snapToGrid w:val="0"/>
          <w:lang w:val="en-GB" w:eastAsia="en-US"/>
        </w:rPr>
        <w:t>(</w:t>
      </w:r>
      <w:bookmarkStart w:id="10" w:name="_Hlk215053570"/>
      <w:r w:rsidR="00272B07" w:rsidRPr="193B396D">
        <w:rPr>
          <w:snapToGrid w:val="0"/>
          <w:lang w:val="en-GB" w:eastAsia="en-US"/>
        </w:rPr>
        <w:t xml:space="preserve">zanubrutinib </w:t>
      </w:r>
      <w:r w:rsidR="008F4B13" w:rsidRPr="193B396D">
        <w:rPr>
          <w:snapToGrid w:val="0"/>
          <w:lang w:val="en-GB" w:eastAsia="en-US"/>
        </w:rPr>
        <w:t xml:space="preserve">PSD </w:t>
      </w:r>
      <w:r w:rsidR="00CD357C" w:rsidRPr="193B396D">
        <w:rPr>
          <w:snapToGrid w:val="0"/>
          <w:lang w:val="en-GB" w:eastAsia="en-US"/>
        </w:rPr>
        <w:t xml:space="preserve">July 2021 &amp; </w:t>
      </w:r>
      <w:r w:rsidR="008F4B13" w:rsidRPr="193B396D">
        <w:rPr>
          <w:snapToGrid w:val="0"/>
          <w:lang w:val="en-GB" w:eastAsia="en-US"/>
        </w:rPr>
        <w:t>March 202</w:t>
      </w:r>
      <w:r w:rsidR="0059558E" w:rsidRPr="193B396D">
        <w:rPr>
          <w:snapToGrid w:val="0"/>
          <w:lang w:val="en-GB" w:eastAsia="en-US"/>
        </w:rPr>
        <w:t>3</w:t>
      </w:r>
      <w:r w:rsidR="008F4B13" w:rsidRPr="193B396D">
        <w:rPr>
          <w:snapToGrid w:val="0"/>
          <w:lang w:val="en-GB" w:eastAsia="en-US"/>
        </w:rPr>
        <w:t xml:space="preserve"> PBAC meeting)</w:t>
      </w:r>
      <w:bookmarkEnd w:id="10"/>
      <w:r w:rsidR="00973E47" w:rsidRPr="005204C5">
        <w:rPr>
          <w:snapToGrid w:val="0"/>
          <w:lang w:val="en-GB" w:eastAsia="en-US"/>
        </w:rPr>
        <w:t>.</w:t>
      </w:r>
      <w:r w:rsidR="00970FDB">
        <w:rPr>
          <w:snapToGrid w:val="0"/>
          <w:lang w:val="en-GB" w:eastAsia="en-US"/>
        </w:rPr>
        <w:t xml:space="preserve"> The PBAC advise</w:t>
      </w:r>
      <w:r w:rsidR="003330DF">
        <w:rPr>
          <w:snapToGrid w:val="0"/>
          <w:lang w:val="en-GB" w:eastAsia="en-US"/>
        </w:rPr>
        <w:t>d th</w:t>
      </w:r>
      <w:r w:rsidR="00B83F81">
        <w:rPr>
          <w:snapToGrid w:val="0"/>
          <w:lang w:val="en-GB" w:eastAsia="en-US"/>
        </w:rPr>
        <w:t>at this</w:t>
      </w:r>
      <w:r w:rsidR="003330DF">
        <w:rPr>
          <w:snapToGrid w:val="0"/>
          <w:lang w:val="en-GB" w:eastAsia="en-US"/>
        </w:rPr>
        <w:t xml:space="preserve"> pricing </w:t>
      </w:r>
      <w:r w:rsidR="00CD2195">
        <w:rPr>
          <w:snapToGrid w:val="0"/>
          <w:lang w:val="en-GB" w:eastAsia="en-US"/>
        </w:rPr>
        <w:t>advice</w:t>
      </w:r>
      <w:r w:rsidR="003330DF">
        <w:rPr>
          <w:snapToGrid w:val="0"/>
          <w:lang w:val="en-GB" w:eastAsia="en-US"/>
        </w:rPr>
        <w:t xml:space="preserve"> </w:t>
      </w:r>
      <w:r w:rsidR="00B83F81">
        <w:rPr>
          <w:snapToGrid w:val="0"/>
          <w:lang w:val="en-GB" w:eastAsia="en-US"/>
        </w:rPr>
        <w:t>should apply</w:t>
      </w:r>
      <w:r w:rsidR="007935A9">
        <w:rPr>
          <w:snapToGrid w:val="0"/>
          <w:lang w:val="en-GB" w:eastAsia="en-US"/>
        </w:rPr>
        <w:t xml:space="preserve"> to </w:t>
      </w:r>
      <w:r w:rsidR="007935A9" w:rsidRPr="007935A9">
        <w:rPr>
          <w:snapToGrid w:val="0"/>
          <w:lang w:val="en-GB" w:eastAsia="en-US"/>
        </w:rPr>
        <w:t>zanubrutinib</w:t>
      </w:r>
      <w:r w:rsidR="007935A9" w:rsidRPr="007935A9">
        <w:rPr>
          <w:snapToGrid w:val="0"/>
          <w:lang w:eastAsia="en-US"/>
        </w:rPr>
        <w:t xml:space="preserve"> </w:t>
      </w:r>
      <w:r w:rsidR="007935A9">
        <w:rPr>
          <w:snapToGrid w:val="0"/>
          <w:lang w:eastAsia="en-US"/>
        </w:rPr>
        <w:t>16</w:t>
      </w:r>
      <w:r w:rsidR="007935A9" w:rsidRPr="007935A9">
        <w:rPr>
          <w:snapToGrid w:val="0"/>
          <w:lang w:eastAsia="en-US"/>
        </w:rPr>
        <w:t xml:space="preserve">0 mg </w:t>
      </w:r>
      <w:r w:rsidR="007935A9">
        <w:rPr>
          <w:snapToGrid w:val="0"/>
          <w:lang w:eastAsia="en-US"/>
        </w:rPr>
        <w:t>table</w:t>
      </w:r>
      <w:r w:rsidR="001675A3">
        <w:rPr>
          <w:snapToGrid w:val="0"/>
          <w:lang w:eastAsia="en-US"/>
        </w:rPr>
        <w:t>t</w:t>
      </w:r>
      <w:r w:rsidR="00D35AA4">
        <w:rPr>
          <w:snapToGrid w:val="0"/>
          <w:lang w:eastAsia="en-US"/>
        </w:rPr>
        <w:t>s</w:t>
      </w:r>
      <w:r w:rsidR="007935A9">
        <w:rPr>
          <w:snapToGrid w:val="0"/>
          <w:lang w:eastAsia="en-US"/>
        </w:rPr>
        <w:t>.</w:t>
      </w:r>
    </w:p>
    <w:bookmarkEnd w:id="7"/>
    <w:p w14:paraId="0436B7D8" w14:textId="77777777" w:rsidR="00C27C1C" w:rsidRPr="00A6439B" w:rsidRDefault="00C27C1C" w:rsidP="0079250E">
      <w:pPr>
        <w:pStyle w:val="Heading1"/>
        <w:keepLines/>
        <w:numPr>
          <w:ilvl w:val="0"/>
          <w:numId w:val="2"/>
        </w:numPr>
        <w:spacing w:before="240"/>
        <w:ind w:left="709" w:hanging="709"/>
        <w:rPr>
          <w:sz w:val="32"/>
          <w:szCs w:val="32"/>
        </w:rPr>
      </w:pPr>
      <w:r w:rsidRPr="4B1F7177">
        <w:rPr>
          <w:sz w:val="32"/>
          <w:szCs w:val="32"/>
        </w:rPr>
        <w:t>Consideration of the evidence</w:t>
      </w:r>
    </w:p>
    <w:p w14:paraId="3741070D" w14:textId="77777777" w:rsidR="00D14047" w:rsidRPr="006E1229" w:rsidRDefault="00D14047" w:rsidP="00D14047">
      <w:pPr>
        <w:pStyle w:val="4-SubsectionHeading"/>
      </w:pPr>
      <w:r w:rsidRPr="006E1229">
        <w:t>Sponsor hearing</w:t>
      </w:r>
    </w:p>
    <w:p w14:paraId="54B847D3" w14:textId="77777777" w:rsidR="00D14047" w:rsidRPr="00F91542" w:rsidRDefault="00D14047" w:rsidP="00D14047">
      <w:pPr>
        <w:widowControl w:val="0"/>
        <w:numPr>
          <w:ilvl w:val="1"/>
          <w:numId w:val="2"/>
        </w:numPr>
        <w:spacing w:after="120"/>
        <w:rPr>
          <w:rFonts w:cs="Calibri"/>
          <w:bCs/>
          <w:snapToGrid w:val="0"/>
        </w:rPr>
      </w:pPr>
      <w:r w:rsidRPr="00F91542">
        <w:rPr>
          <w:rFonts w:cs="Calibri"/>
          <w:bCs/>
          <w:snapToGrid w:val="0"/>
        </w:rPr>
        <w:t>There was no hearing for this item.</w:t>
      </w:r>
    </w:p>
    <w:p w14:paraId="3EF034A2" w14:textId="77777777" w:rsidR="00E35A53" w:rsidRPr="006E1229" w:rsidRDefault="00E35A53" w:rsidP="00E35A53">
      <w:pPr>
        <w:pStyle w:val="4-SubsectionHeading"/>
      </w:pPr>
      <w:r w:rsidRPr="006E1229">
        <w:t xml:space="preserve">Consumer </w:t>
      </w:r>
      <w:r>
        <w:t>input</w:t>
      </w:r>
      <w:r w:rsidRPr="006E1229">
        <w:t>s</w:t>
      </w:r>
    </w:p>
    <w:p w14:paraId="3A58ED8B" w14:textId="5335E401" w:rsidR="00356FF7" w:rsidRDefault="003A7AEE" w:rsidP="00356FF7">
      <w:pPr>
        <w:pStyle w:val="3-BodyText"/>
        <w:rPr>
          <w:lang w:eastAsia="en-US"/>
        </w:rPr>
      </w:pPr>
      <w:r w:rsidRPr="003A7AEE">
        <w:rPr>
          <w:lang w:eastAsia="en-US"/>
        </w:rPr>
        <w:t>The PBAC noted and welcomed input from Rare Cancers Australia and Lymphoma Australia, as well as several individual patients and carers, via the Consumer Input facility on the PBS website. These organisations and individuals supported the PBS listing of the new form of zanubrutinib, highlighting that the 160 mg tablet offers a simplified dosing regimen, which may improve patient adherence, reduce pill burden, and enhance quality of life for people living with rare blood cancers. Carer perspectives described reduced treatment burden and improved wellbeing for both patients and families. The PBAC noted that some input referenced experiences with other therapies or broader issues of access, rather than zanubrutinib specifically. All consumer input was considered as part of the Committee’s deliberations.</w:t>
      </w:r>
    </w:p>
    <w:p w14:paraId="627F90AF" w14:textId="12E54441" w:rsidR="007A3C23" w:rsidRDefault="007A3C23" w:rsidP="007A3C23">
      <w:pPr>
        <w:pStyle w:val="4-SubsectionHeading"/>
        <w:rPr>
          <w:lang w:eastAsia="en-US"/>
        </w:rPr>
      </w:pPr>
      <w:r>
        <w:rPr>
          <w:lang w:eastAsia="en-US"/>
        </w:rPr>
        <w:t>Justification of the requested listing</w:t>
      </w:r>
    </w:p>
    <w:p w14:paraId="204EBA6A" w14:textId="6468428D" w:rsidR="00C37A81" w:rsidRDefault="007A0052" w:rsidP="00C37A81">
      <w:pPr>
        <w:pStyle w:val="3-BodyText"/>
      </w:pPr>
      <w:bookmarkStart w:id="11" w:name="_Ref189667910"/>
      <w:r w:rsidRPr="79900132">
        <w:t xml:space="preserve">The submission </w:t>
      </w:r>
      <w:r w:rsidR="00B50EDD">
        <w:t>referenced</w:t>
      </w:r>
      <w:r w:rsidRPr="79900132">
        <w:t xml:space="preserve"> a </w:t>
      </w:r>
      <w:r w:rsidR="00B004DC">
        <w:t>p</w:t>
      </w:r>
      <w:r w:rsidRPr="79900132">
        <w:t xml:space="preserve">hase I bioequivalence study, </w:t>
      </w:r>
      <w:r w:rsidR="00A22B68" w:rsidRPr="00A22B68">
        <w:t>BGB-3111-114</w:t>
      </w:r>
      <w:r w:rsidR="00581913">
        <w:t xml:space="preserve">, </w:t>
      </w:r>
      <w:r w:rsidR="00B50EDD">
        <w:t>to demonstrate</w:t>
      </w:r>
      <w:r w:rsidR="00B50EDD" w:rsidRPr="00581913">
        <w:t xml:space="preserve"> </w:t>
      </w:r>
      <w:r w:rsidR="00EE0A1C">
        <w:t xml:space="preserve">that a </w:t>
      </w:r>
      <w:r w:rsidR="00581913" w:rsidRPr="00581913">
        <w:t xml:space="preserve">160 mg tablet </w:t>
      </w:r>
      <w:r w:rsidR="00B50EDD">
        <w:t>i</w:t>
      </w:r>
      <w:r w:rsidR="00B50EDD" w:rsidRPr="00581913">
        <w:t xml:space="preserve">s </w:t>
      </w:r>
      <w:r w:rsidR="00581913" w:rsidRPr="00581913">
        <w:t>bioequivalent to 2 × 80 mg capsules</w:t>
      </w:r>
      <w:r w:rsidR="00E277E9">
        <w:t xml:space="preserve">. It likewise referenced </w:t>
      </w:r>
      <w:r w:rsidR="00A22B68">
        <w:t xml:space="preserve">a </w:t>
      </w:r>
      <w:r w:rsidR="00000FF0">
        <w:t>p</w:t>
      </w:r>
      <w:r w:rsidR="00A22B68" w:rsidRPr="00A22B68">
        <w:t xml:space="preserve">hase </w:t>
      </w:r>
      <w:r w:rsidR="0099424E">
        <w:t>I</w:t>
      </w:r>
      <w:r w:rsidR="00204CDD" w:rsidRPr="00204CDD">
        <w:rPr>
          <w:rFonts w:ascii="Verdana" w:eastAsia="Calibri" w:hAnsi="Verdana" w:cs="Times New Roman"/>
          <w:sz w:val="20"/>
          <w:lang w:eastAsia="en-US"/>
        </w:rPr>
        <w:t xml:space="preserve"> </w:t>
      </w:r>
      <w:r w:rsidR="00C04C0F">
        <w:t>b</w:t>
      </w:r>
      <w:r w:rsidR="00204CDD" w:rsidRPr="00204CDD">
        <w:t>ioavailability</w:t>
      </w:r>
      <w:r w:rsidR="00F95E92">
        <w:t xml:space="preserve"> study, </w:t>
      </w:r>
      <w:r w:rsidR="00F95E92" w:rsidRPr="00F95E92">
        <w:t>BGB-3111-115</w:t>
      </w:r>
      <w:r w:rsidRPr="79900132">
        <w:t>,</w:t>
      </w:r>
      <w:r w:rsidR="00B86D56">
        <w:t xml:space="preserve"> </w:t>
      </w:r>
      <w:r w:rsidR="00DA0701">
        <w:t xml:space="preserve">to </w:t>
      </w:r>
      <w:r w:rsidR="00B86D56">
        <w:t>demonstrat</w:t>
      </w:r>
      <w:r w:rsidR="00DA0701">
        <w:t>e</w:t>
      </w:r>
      <w:r w:rsidR="00B86D56">
        <w:t xml:space="preserve"> that</w:t>
      </w:r>
      <w:r w:rsidR="00DA0701">
        <w:t xml:space="preserve"> the</w:t>
      </w:r>
      <w:r w:rsidR="00B86D56">
        <w:t xml:space="preserve"> </w:t>
      </w:r>
      <w:r w:rsidR="00C37A81" w:rsidRPr="00C37A81">
        <w:t xml:space="preserve">160 mg tablet </w:t>
      </w:r>
      <w:r w:rsidR="00DA0701">
        <w:t>is</w:t>
      </w:r>
      <w:r w:rsidR="00DA0701" w:rsidRPr="00C37A81">
        <w:t xml:space="preserve"> </w:t>
      </w:r>
      <w:r w:rsidR="00C37A81" w:rsidRPr="00C37A81">
        <w:t>well tolerated</w:t>
      </w:r>
      <w:r w:rsidR="00AB33FF">
        <w:t xml:space="preserve"> and </w:t>
      </w:r>
      <w:r w:rsidR="00000FF0">
        <w:t>ha</w:t>
      </w:r>
      <w:r w:rsidR="00DA0701">
        <w:t>s</w:t>
      </w:r>
      <w:r w:rsidR="00B50EDD">
        <w:t xml:space="preserve"> no</w:t>
      </w:r>
      <w:r w:rsidR="00000FF0">
        <w:t xml:space="preserve"> </w:t>
      </w:r>
      <w:r w:rsidR="00C37A81" w:rsidRPr="00C37A81">
        <w:t xml:space="preserve">difference in safety profile </w:t>
      </w:r>
      <w:bookmarkStart w:id="12" w:name="_Hlk207633309"/>
      <w:r w:rsidR="00661371">
        <w:t>compare</w:t>
      </w:r>
      <w:r w:rsidR="00B50EDD">
        <w:t>d</w:t>
      </w:r>
      <w:r w:rsidR="00661371">
        <w:t xml:space="preserve"> to </w:t>
      </w:r>
      <w:bookmarkEnd w:id="12"/>
      <w:r w:rsidR="00DA0701">
        <w:t>the</w:t>
      </w:r>
      <w:r w:rsidR="00DA0701" w:rsidRPr="00C04C0F">
        <w:t xml:space="preserve"> </w:t>
      </w:r>
      <w:r w:rsidR="00C04C0F">
        <w:t>8</w:t>
      </w:r>
      <w:r w:rsidR="00C04C0F" w:rsidRPr="00C04C0F">
        <w:t xml:space="preserve">0 mg </w:t>
      </w:r>
      <w:r w:rsidR="00C37A81" w:rsidRPr="00C37A81">
        <w:t>capsule.</w:t>
      </w:r>
      <w:r w:rsidR="0000724A">
        <w:t xml:space="preserve"> These trials were considered by the TGA as part of its assessment</w:t>
      </w:r>
      <w:r w:rsidR="000D46EB">
        <w:t xml:space="preserve"> to register </w:t>
      </w:r>
      <w:r w:rsidR="002E127C">
        <w:t>the 160 mg tablet.</w:t>
      </w:r>
    </w:p>
    <w:p w14:paraId="59D6F6A0" w14:textId="48B50DF7" w:rsidR="0049380D" w:rsidRDefault="0049380D" w:rsidP="007A62BA">
      <w:pPr>
        <w:pStyle w:val="Caption"/>
        <w:keepNext/>
      </w:pPr>
      <w:r>
        <w:t xml:space="preserve">Table </w:t>
      </w:r>
      <w:r>
        <w:fldChar w:fldCharType="begin"/>
      </w:r>
      <w:r>
        <w:instrText xml:space="preserve"> SEQ Table \* ARABIC </w:instrText>
      </w:r>
      <w:r>
        <w:fldChar w:fldCharType="separate"/>
      </w:r>
      <w:r w:rsidR="004A3DC1">
        <w:rPr>
          <w:noProof/>
        </w:rPr>
        <w:t>1</w:t>
      </w:r>
      <w:r>
        <w:fldChar w:fldCharType="end"/>
      </w:r>
      <w:r>
        <w:t>:</w:t>
      </w:r>
      <w:r w:rsidRPr="00736EA6">
        <w:t xml:space="preserve"> Clinical study report presented in the submission</w:t>
      </w:r>
    </w:p>
    <w:tbl>
      <w:tblPr>
        <w:tblStyle w:val="TableGrid"/>
        <w:tblW w:w="5000" w:type="pct"/>
        <w:tblLook w:val="04A0" w:firstRow="1" w:lastRow="0" w:firstColumn="1" w:lastColumn="0" w:noHBand="0" w:noVBand="1"/>
        <w:tblCaption w:val="Clinical study report presented in the submission"/>
      </w:tblPr>
      <w:tblGrid>
        <w:gridCol w:w="1697"/>
        <w:gridCol w:w="3686"/>
        <w:gridCol w:w="3633"/>
      </w:tblGrid>
      <w:tr w:rsidR="0049380D" w:rsidRPr="00A946CF" w14:paraId="4F08D7F4" w14:textId="77777777" w:rsidTr="00C147C9">
        <w:tc>
          <w:tcPr>
            <w:tcW w:w="941" w:type="pct"/>
          </w:tcPr>
          <w:p w14:paraId="3AD286FD" w14:textId="77777777" w:rsidR="0049380D" w:rsidRPr="00A946CF" w:rsidRDefault="0049380D" w:rsidP="002E127C">
            <w:pPr>
              <w:pStyle w:val="In-tableHeading"/>
              <w:keepLines/>
              <w:suppressLineNumbers/>
              <w:suppressAutoHyphens/>
              <w:rPr>
                <w:szCs w:val="20"/>
                <w:lang w:val="en-AU"/>
              </w:rPr>
            </w:pPr>
            <w:r w:rsidRPr="00A946CF">
              <w:rPr>
                <w:szCs w:val="20"/>
                <w:lang w:val="en-AU"/>
              </w:rPr>
              <w:t>Study ID</w:t>
            </w:r>
          </w:p>
        </w:tc>
        <w:tc>
          <w:tcPr>
            <w:tcW w:w="2044" w:type="pct"/>
          </w:tcPr>
          <w:p w14:paraId="39917652" w14:textId="77777777" w:rsidR="0049380D" w:rsidRPr="00A946CF" w:rsidRDefault="0049380D" w:rsidP="002E127C">
            <w:pPr>
              <w:pStyle w:val="In-tableHeading"/>
              <w:keepLines/>
              <w:suppressLineNumbers/>
              <w:suppressAutoHyphens/>
              <w:rPr>
                <w:szCs w:val="20"/>
                <w:lang w:val="en-AU"/>
              </w:rPr>
            </w:pPr>
            <w:r w:rsidRPr="00A946CF">
              <w:rPr>
                <w:szCs w:val="20"/>
                <w:lang w:val="en-AU"/>
              </w:rPr>
              <w:t xml:space="preserve">Protocol title </w:t>
            </w:r>
          </w:p>
        </w:tc>
        <w:tc>
          <w:tcPr>
            <w:tcW w:w="2015" w:type="pct"/>
          </w:tcPr>
          <w:p w14:paraId="1C74FC89" w14:textId="77777777" w:rsidR="0049380D" w:rsidRPr="00A946CF" w:rsidRDefault="0049380D" w:rsidP="002E127C">
            <w:pPr>
              <w:pStyle w:val="In-tableHeading"/>
              <w:keepLines/>
              <w:suppressLineNumbers/>
              <w:suppressAutoHyphens/>
              <w:rPr>
                <w:szCs w:val="20"/>
                <w:lang w:val="en-AU"/>
              </w:rPr>
            </w:pPr>
            <w:r>
              <w:rPr>
                <w:szCs w:val="20"/>
                <w:lang w:val="en-AU"/>
              </w:rPr>
              <w:t xml:space="preserve">Purpose of the study </w:t>
            </w:r>
          </w:p>
        </w:tc>
      </w:tr>
      <w:tr w:rsidR="0049380D" w:rsidRPr="00A946CF" w14:paraId="6424ED6A" w14:textId="77777777" w:rsidTr="00C147C9">
        <w:tc>
          <w:tcPr>
            <w:tcW w:w="941" w:type="pct"/>
          </w:tcPr>
          <w:p w14:paraId="215190B9" w14:textId="77777777" w:rsidR="0049380D" w:rsidRPr="00AB7890" w:rsidRDefault="0049380D" w:rsidP="002E127C">
            <w:pPr>
              <w:pStyle w:val="In-tableHeading"/>
              <w:keepLines/>
              <w:suppressLineNumbers/>
              <w:suppressAutoHyphens/>
              <w:rPr>
                <w:b w:val="0"/>
                <w:szCs w:val="20"/>
                <w:lang w:val="en-AU"/>
              </w:rPr>
            </w:pPr>
            <w:r w:rsidRPr="00AB7890">
              <w:rPr>
                <w:b w:val="0"/>
                <w:szCs w:val="20"/>
                <w:lang w:val="en-AU"/>
              </w:rPr>
              <w:t>BGB-3111-114</w:t>
            </w:r>
          </w:p>
        </w:tc>
        <w:tc>
          <w:tcPr>
            <w:tcW w:w="2044" w:type="pct"/>
          </w:tcPr>
          <w:p w14:paraId="5129BDF5" w14:textId="77777777" w:rsidR="0049380D" w:rsidRPr="00AB7890" w:rsidRDefault="0049380D" w:rsidP="002E127C">
            <w:pPr>
              <w:pStyle w:val="In-tableHeading"/>
              <w:keepLines/>
              <w:suppressLineNumbers/>
              <w:suppressAutoHyphens/>
              <w:rPr>
                <w:b w:val="0"/>
                <w:szCs w:val="20"/>
                <w:lang w:val="en-AU"/>
              </w:rPr>
            </w:pPr>
            <w:r w:rsidRPr="00AB7890">
              <w:rPr>
                <w:b w:val="0"/>
                <w:szCs w:val="20"/>
                <w:lang w:val="en-AU"/>
              </w:rPr>
              <w:t xml:space="preserve">Single-dose, Open-label, Randomized, Replicate Crossover Study in Healthy Adult Subjects </w:t>
            </w:r>
          </w:p>
        </w:tc>
        <w:tc>
          <w:tcPr>
            <w:tcW w:w="2015" w:type="pct"/>
          </w:tcPr>
          <w:p w14:paraId="4969350C" w14:textId="77777777" w:rsidR="0049380D" w:rsidRPr="00AB7890" w:rsidRDefault="0049380D" w:rsidP="002E127C">
            <w:pPr>
              <w:pStyle w:val="In-tableHeading"/>
              <w:keepLines/>
              <w:suppressLineNumbers/>
              <w:suppressAutoHyphens/>
              <w:rPr>
                <w:b w:val="0"/>
                <w:szCs w:val="20"/>
                <w:lang w:val="en-AU"/>
              </w:rPr>
            </w:pPr>
            <w:r>
              <w:rPr>
                <w:b w:val="0"/>
                <w:szCs w:val="20"/>
                <w:lang w:val="en-AU"/>
              </w:rPr>
              <w:t>T</w:t>
            </w:r>
            <w:r w:rsidRPr="00AB7890">
              <w:rPr>
                <w:b w:val="0"/>
                <w:szCs w:val="20"/>
                <w:lang w:val="en-AU"/>
              </w:rPr>
              <w:t xml:space="preserve">o demonstrate </w:t>
            </w:r>
            <w:r>
              <w:rPr>
                <w:b w:val="0"/>
                <w:szCs w:val="20"/>
                <w:lang w:val="en-AU"/>
              </w:rPr>
              <w:t xml:space="preserve">the </w:t>
            </w:r>
            <w:r w:rsidRPr="00AB7890">
              <w:rPr>
                <w:b w:val="0"/>
                <w:szCs w:val="20"/>
                <w:lang w:val="en-AU"/>
              </w:rPr>
              <w:t xml:space="preserve">bioequivalence of </w:t>
            </w:r>
            <w:r>
              <w:rPr>
                <w:b w:val="0"/>
                <w:szCs w:val="20"/>
                <w:lang w:val="en-AU"/>
              </w:rPr>
              <w:t>the</w:t>
            </w:r>
            <w:r w:rsidRPr="00AB7890">
              <w:rPr>
                <w:b w:val="0"/>
                <w:szCs w:val="20"/>
                <w:lang w:val="en-AU"/>
              </w:rPr>
              <w:t xml:space="preserve"> 160</w:t>
            </w:r>
            <w:r>
              <w:rPr>
                <w:b w:val="0"/>
                <w:szCs w:val="20"/>
                <w:lang w:val="en-AU"/>
              </w:rPr>
              <w:t xml:space="preserve"> </w:t>
            </w:r>
            <w:r w:rsidRPr="00AB7890">
              <w:rPr>
                <w:b w:val="0"/>
                <w:szCs w:val="20"/>
                <w:lang w:val="en-AU"/>
              </w:rPr>
              <w:t xml:space="preserve">mg </w:t>
            </w:r>
            <w:r>
              <w:rPr>
                <w:b w:val="0"/>
                <w:szCs w:val="20"/>
                <w:lang w:val="en-AU"/>
              </w:rPr>
              <w:t>t</w:t>
            </w:r>
            <w:r w:rsidRPr="00AB7890">
              <w:rPr>
                <w:b w:val="0"/>
                <w:szCs w:val="20"/>
                <w:lang w:val="en-AU"/>
              </w:rPr>
              <w:t xml:space="preserve">ablet </w:t>
            </w:r>
            <w:r>
              <w:rPr>
                <w:b w:val="0"/>
                <w:szCs w:val="20"/>
                <w:lang w:val="en-AU"/>
              </w:rPr>
              <w:t>to</w:t>
            </w:r>
            <w:r w:rsidRPr="00AB7890">
              <w:rPr>
                <w:b w:val="0"/>
                <w:szCs w:val="20"/>
                <w:lang w:val="en-AU"/>
              </w:rPr>
              <w:t xml:space="preserve"> </w:t>
            </w:r>
            <w:r>
              <w:rPr>
                <w:b w:val="0"/>
                <w:szCs w:val="20"/>
                <w:lang w:val="en-AU"/>
              </w:rPr>
              <w:t>the 2x</w:t>
            </w:r>
            <w:r w:rsidRPr="00AB7890">
              <w:rPr>
                <w:b w:val="0"/>
                <w:szCs w:val="20"/>
                <w:lang w:val="en-AU"/>
              </w:rPr>
              <w:t>80</w:t>
            </w:r>
            <w:r>
              <w:rPr>
                <w:b w:val="0"/>
                <w:szCs w:val="20"/>
                <w:lang w:val="en-AU"/>
              </w:rPr>
              <w:t xml:space="preserve"> </w:t>
            </w:r>
            <w:r w:rsidRPr="00AB7890">
              <w:rPr>
                <w:b w:val="0"/>
                <w:szCs w:val="20"/>
                <w:lang w:val="en-AU"/>
              </w:rPr>
              <w:t xml:space="preserve">mg </w:t>
            </w:r>
            <w:r>
              <w:rPr>
                <w:b w:val="0"/>
                <w:szCs w:val="20"/>
                <w:lang w:val="en-AU"/>
              </w:rPr>
              <w:t>c</w:t>
            </w:r>
            <w:r w:rsidRPr="00AB7890">
              <w:rPr>
                <w:b w:val="0"/>
                <w:szCs w:val="20"/>
                <w:lang w:val="en-AU"/>
              </w:rPr>
              <w:t>apsule</w:t>
            </w:r>
            <w:r>
              <w:rPr>
                <w:b w:val="0"/>
                <w:szCs w:val="20"/>
                <w:lang w:val="en-AU"/>
              </w:rPr>
              <w:t>.</w:t>
            </w:r>
          </w:p>
        </w:tc>
      </w:tr>
      <w:tr w:rsidR="0049380D" w:rsidRPr="00A946CF" w14:paraId="2980680A" w14:textId="77777777" w:rsidTr="00C147C9">
        <w:tc>
          <w:tcPr>
            <w:tcW w:w="941" w:type="pct"/>
          </w:tcPr>
          <w:p w14:paraId="77B4F676" w14:textId="77777777" w:rsidR="0049380D" w:rsidRPr="00AB7890" w:rsidRDefault="0049380D" w:rsidP="002E127C">
            <w:pPr>
              <w:pStyle w:val="In-tableHeading"/>
              <w:keepLines/>
              <w:suppressLineNumbers/>
              <w:suppressAutoHyphens/>
              <w:rPr>
                <w:b w:val="0"/>
                <w:szCs w:val="20"/>
                <w:lang w:val="en-AU"/>
              </w:rPr>
            </w:pPr>
            <w:r w:rsidRPr="00AB7890">
              <w:rPr>
                <w:b w:val="0"/>
              </w:rPr>
              <w:t>BGB-3111-115</w:t>
            </w:r>
          </w:p>
        </w:tc>
        <w:tc>
          <w:tcPr>
            <w:tcW w:w="2044" w:type="pct"/>
          </w:tcPr>
          <w:p w14:paraId="74600FD7" w14:textId="77777777" w:rsidR="0049380D" w:rsidRPr="00AB7890" w:rsidRDefault="0049380D" w:rsidP="002E127C">
            <w:pPr>
              <w:pStyle w:val="In-tableHeading"/>
              <w:keepLines/>
              <w:suppressLineNumbers/>
              <w:suppressAutoHyphens/>
              <w:rPr>
                <w:b w:val="0"/>
                <w:szCs w:val="20"/>
                <w:lang w:val="en-AU"/>
              </w:rPr>
            </w:pPr>
            <w:r w:rsidRPr="00AB7890">
              <w:rPr>
                <w:b w:val="0"/>
                <w:szCs w:val="20"/>
                <w:lang w:val="en-AU"/>
              </w:rPr>
              <w:t xml:space="preserve">A Single-dose, Open-label, Randomized, Crossover Study in Healthy </w:t>
            </w:r>
          </w:p>
        </w:tc>
        <w:tc>
          <w:tcPr>
            <w:tcW w:w="2015" w:type="pct"/>
          </w:tcPr>
          <w:p w14:paraId="244C986E" w14:textId="77777777" w:rsidR="0049380D" w:rsidRPr="00AB7890" w:rsidRDefault="0049380D" w:rsidP="002E127C">
            <w:pPr>
              <w:pStyle w:val="In-tableHeading"/>
              <w:keepLines/>
              <w:suppressLineNumbers/>
              <w:suppressAutoHyphens/>
              <w:rPr>
                <w:b w:val="0"/>
                <w:szCs w:val="20"/>
                <w:lang w:val="en-AU"/>
              </w:rPr>
            </w:pPr>
            <w:r w:rsidRPr="00AB7890">
              <w:rPr>
                <w:b w:val="0"/>
                <w:szCs w:val="20"/>
                <w:lang w:val="en-AU"/>
              </w:rPr>
              <w:t xml:space="preserve">To </w:t>
            </w:r>
            <w:r>
              <w:rPr>
                <w:b w:val="0"/>
                <w:szCs w:val="20"/>
                <w:lang w:val="en-AU"/>
              </w:rPr>
              <w:t>assess the</w:t>
            </w:r>
            <w:r w:rsidRPr="00AB7890">
              <w:rPr>
                <w:b w:val="0"/>
                <w:szCs w:val="20"/>
                <w:lang w:val="en-AU"/>
              </w:rPr>
              <w:t xml:space="preserve"> bioavailability of </w:t>
            </w:r>
            <w:r>
              <w:rPr>
                <w:b w:val="0"/>
                <w:szCs w:val="20"/>
                <w:lang w:val="en-AU"/>
              </w:rPr>
              <w:t xml:space="preserve">the </w:t>
            </w:r>
            <w:r w:rsidRPr="00AB7890">
              <w:rPr>
                <w:b w:val="0"/>
                <w:szCs w:val="20"/>
                <w:lang w:val="en-AU"/>
              </w:rPr>
              <w:t>160</w:t>
            </w:r>
            <w:r>
              <w:rPr>
                <w:b w:val="0"/>
                <w:szCs w:val="20"/>
                <w:lang w:val="en-AU"/>
              </w:rPr>
              <w:t xml:space="preserve"> </w:t>
            </w:r>
            <w:r w:rsidRPr="00AB7890">
              <w:rPr>
                <w:b w:val="0"/>
                <w:szCs w:val="20"/>
                <w:lang w:val="en-AU"/>
              </w:rPr>
              <w:t xml:space="preserve">mg </w:t>
            </w:r>
            <w:r>
              <w:rPr>
                <w:b w:val="0"/>
                <w:szCs w:val="20"/>
                <w:lang w:val="en-AU"/>
              </w:rPr>
              <w:t>t</w:t>
            </w:r>
            <w:r w:rsidRPr="00AB7890">
              <w:rPr>
                <w:b w:val="0"/>
                <w:szCs w:val="20"/>
                <w:lang w:val="en-AU"/>
              </w:rPr>
              <w:t xml:space="preserve">ablet compared </w:t>
            </w:r>
            <w:r>
              <w:rPr>
                <w:b w:val="0"/>
                <w:szCs w:val="20"/>
                <w:lang w:val="en-AU"/>
              </w:rPr>
              <w:t>with 2x</w:t>
            </w:r>
            <w:r w:rsidRPr="00AB7890">
              <w:rPr>
                <w:b w:val="0"/>
                <w:szCs w:val="20"/>
                <w:lang w:val="en-AU"/>
              </w:rPr>
              <w:t>80</w:t>
            </w:r>
            <w:r>
              <w:rPr>
                <w:b w:val="0"/>
                <w:szCs w:val="20"/>
                <w:lang w:val="en-AU"/>
              </w:rPr>
              <w:t xml:space="preserve"> </w:t>
            </w:r>
            <w:r w:rsidRPr="00AB7890">
              <w:rPr>
                <w:b w:val="0"/>
                <w:szCs w:val="20"/>
                <w:lang w:val="en-AU"/>
              </w:rPr>
              <w:t>mg capsule</w:t>
            </w:r>
            <w:r>
              <w:rPr>
                <w:b w:val="0"/>
                <w:szCs w:val="20"/>
                <w:lang w:val="en-AU"/>
              </w:rPr>
              <w:t>.</w:t>
            </w:r>
          </w:p>
        </w:tc>
      </w:tr>
    </w:tbl>
    <w:p w14:paraId="3E240453" w14:textId="77777777" w:rsidR="0049380D" w:rsidRPr="00A6439B" w:rsidRDefault="0049380D" w:rsidP="007A62BA">
      <w:pPr>
        <w:pStyle w:val="TableFigureFooter"/>
        <w:rPr>
          <w:sz w:val="20"/>
        </w:rPr>
      </w:pPr>
      <w:r w:rsidRPr="00A6439B">
        <w:t xml:space="preserve">Source: </w:t>
      </w:r>
      <w:r w:rsidRPr="00737721">
        <w:t>TGA clinical evaluation report</w:t>
      </w:r>
      <w:r>
        <w:t xml:space="preserve"> of zanubrutinib 160 mg tablet</w:t>
      </w:r>
      <w:r w:rsidRPr="00A6439B">
        <w:t>.</w:t>
      </w:r>
    </w:p>
    <w:p w14:paraId="733353F9" w14:textId="24814B83" w:rsidR="00096D03" w:rsidRDefault="00096D03" w:rsidP="00096D03">
      <w:pPr>
        <w:pStyle w:val="3-BodyText"/>
      </w:pPr>
      <w:r w:rsidRPr="008B6F13">
        <w:t>The submission claimed</w:t>
      </w:r>
      <w:r w:rsidR="004A442E">
        <w:t xml:space="preserve"> the</w:t>
      </w:r>
      <w:r w:rsidRPr="008B6F13">
        <w:t xml:space="preserve"> non-inferior comparative effectiveness and safety of </w:t>
      </w:r>
      <w:r w:rsidR="006D5927">
        <w:t>2</w:t>
      </w:r>
      <w:r w:rsidR="00E50083">
        <w:t xml:space="preserve"> </w:t>
      </w:r>
      <w:r w:rsidR="006D5927">
        <w:t>x</w:t>
      </w:r>
      <w:r w:rsidR="00E50083">
        <w:t xml:space="preserve"> </w:t>
      </w:r>
      <w:bookmarkStart w:id="13" w:name="_Hlk207633698"/>
      <w:r w:rsidR="00E92FC4" w:rsidRPr="00E92FC4">
        <w:t>80 mg capsule</w:t>
      </w:r>
      <w:r w:rsidR="00252F06">
        <w:t>s</w:t>
      </w:r>
      <w:r w:rsidRPr="008B6F13">
        <w:t xml:space="preserve"> </w:t>
      </w:r>
      <w:bookmarkEnd w:id="13"/>
      <w:r w:rsidR="00327BC9">
        <w:t>to the</w:t>
      </w:r>
      <w:r w:rsidR="00E92FC4" w:rsidRPr="00E92FC4">
        <w:t xml:space="preserve"> </w:t>
      </w:r>
      <w:r w:rsidR="00E92FC4">
        <w:t>160</w:t>
      </w:r>
      <w:r w:rsidR="00BB0C94">
        <w:t xml:space="preserve"> </w:t>
      </w:r>
      <w:r w:rsidR="00E92FC4" w:rsidRPr="00E92FC4">
        <w:t xml:space="preserve">mg </w:t>
      </w:r>
      <w:r w:rsidR="00327BC9">
        <w:t>tablet</w:t>
      </w:r>
      <w:r w:rsidR="00327BC9" w:rsidRPr="008B6F13">
        <w:t xml:space="preserve"> </w:t>
      </w:r>
      <w:r w:rsidRPr="008B6F13">
        <w:t xml:space="preserve">for </w:t>
      </w:r>
      <w:r w:rsidR="00C07320">
        <w:t>each of the respective</w:t>
      </w:r>
      <w:r w:rsidRPr="008B6F13">
        <w:t xml:space="preserve"> indications.</w:t>
      </w:r>
    </w:p>
    <w:p w14:paraId="60BA500A" w14:textId="77777777" w:rsidR="00556610" w:rsidRPr="00460143" w:rsidRDefault="00556610" w:rsidP="00556610">
      <w:pPr>
        <w:pStyle w:val="3-BodyText"/>
        <w:numPr>
          <w:ilvl w:val="1"/>
          <w:numId w:val="10"/>
        </w:numPr>
        <w:rPr>
          <w:snapToGrid w:val="0"/>
        </w:rPr>
      </w:pPr>
      <w:bookmarkStart w:id="14" w:name="_Hlk76376200"/>
      <w:r w:rsidRPr="00460143">
        <w:rPr>
          <w:iCs/>
          <w:snapToGrid w:val="0"/>
        </w:rPr>
        <w:t>The</w:t>
      </w:r>
      <w:r w:rsidRPr="00460143">
        <w:rPr>
          <w:snapToGrid w:val="0"/>
        </w:rPr>
        <w:t xml:space="preserve"> PBAC considered that the claim of non-inferior comparative effectiveness and safety was reasonable.</w:t>
      </w:r>
      <w:bookmarkEnd w:id="14"/>
    </w:p>
    <w:bookmarkEnd w:id="11"/>
    <w:p w14:paraId="411CD921" w14:textId="77777777" w:rsidR="00425402" w:rsidRPr="00425402" w:rsidRDefault="00425402" w:rsidP="00425402">
      <w:pPr>
        <w:pStyle w:val="4-SubsectionHeading"/>
        <w:keepNext w:val="0"/>
        <w:rPr>
          <w:lang w:eastAsia="en-US"/>
        </w:rPr>
      </w:pPr>
      <w:r w:rsidRPr="00425402">
        <w:rPr>
          <w:lang w:eastAsia="en-US"/>
        </w:rPr>
        <w:t>Pricing considerations</w:t>
      </w:r>
    </w:p>
    <w:p w14:paraId="7806A64D" w14:textId="2ED801B1" w:rsidR="00DD7D7E" w:rsidRDefault="007740F7" w:rsidP="007702B6">
      <w:pPr>
        <w:pStyle w:val="3-BodyText"/>
        <w:rPr>
          <w:rFonts w:cs="Arial"/>
          <w:snapToGrid w:val="0"/>
        </w:rPr>
      </w:pPr>
      <w:r>
        <w:rPr>
          <w:rFonts w:cs="Arial"/>
          <w:snapToGrid w:val="0"/>
        </w:rPr>
        <w:t>T</w:t>
      </w:r>
      <w:r w:rsidR="007702B6" w:rsidRPr="007702B6">
        <w:rPr>
          <w:rFonts w:cs="Arial"/>
          <w:snapToGrid w:val="0"/>
        </w:rPr>
        <w:t xml:space="preserve">he submission presented a </w:t>
      </w:r>
      <w:r w:rsidR="001B2B1C">
        <w:rPr>
          <w:rFonts w:cs="Arial"/>
          <w:snapToGrid w:val="0"/>
        </w:rPr>
        <w:t>cost-minimisation analysis</w:t>
      </w:r>
      <w:r w:rsidR="001B2B1C" w:rsidRPr="007702B6">
        <w:rPr>
          <w:rFonts w:cs="Arial"/>
          <w:snapToGrid w:val="0"/>
        </w:rPr>
        <w:t xml:space="preserve"> </w:t>
      </w:r>
      <w:r w:rsidR="007702B6" w:rsidRPr="007702B6">
        <w:rPr>
          <w:rFonts w:cs="Arial"/>
          <w:snapToGrid w:val="0"/>
        </w:rPr>
        <w:t xml:space="preserve">of </w:t>
      </w:r>
      <w:bookmarkStart w:id="15" w:name="_Hlk207636542"/>
      <w:r w:rsidR="001B2B1C">
        <w:rPr>
          <w:rFonts w:cs="Arial"/>
          <w:snapToGrid w:val="0"/>
        </w:rPr>
        <w:t xml:space="preserve">the </w:t>
      </w:r>
      <w:r>
        <w:rPr>
          <w:rFonts w:cs="Arial"/>
          <w:snapToGrid w:val="0"/>
        </w:rPr>
        <w:t xml:space="preserve">160 mg tablet </w:t>
      </w:r>
      <w:bookmarkEnd w:id="15"/>
      <w:r w:rsidR="007702B6" w:rsidRPr="007702B6">
        <w:rPr>
          <w:rFonts w:cs="Arial"/>
          <w:snapToGrid w:val="0"/>
        </w:rPr>
        <w:t xml:space="preserve">versus </w:t>
      </w:r>
      <w:r w:rsidR="001B2B1C">
        <w:rPr>
          <w:rFonts w:cs="Arial"/>
          <w:snapToGrid w:val="0"/>
        </w:rPr>
        <w:t>the</w:t>
      </w:r>
      <w:r w:rsidR="001B2B1C" w:rsidRPr="007740F7">
        <w:rPr>
          <w:rFonts w:cs="Arial"/>
          <w:snapToGrid w:val="0"/>
        </w:rPr>
        <w:t xml:space="preserve"> </w:t>
      </w:r>
      <w:r>
        <w:rPr>
          <w:rFonts w:cs="Arial"/>
          <w:snapToGrid w:val="0"/>
        </w:rPr>
        <w:t>80</w:t>
      </w:r>
      <w:r w:rsidRPr="007740F7">
        <w:rPr>
          <w:rFonts w:cs="Arial"/>
          <w:snapToGrid w:val="0"/>
        </w:rPr>
        <w:t xml:space="preserve"> mg </w:t>
      </w:r>
      <w:r>
        <w:rPr>
          <w:rFonts w:cs="Arial"/>
          <w:snapToGrid w:val="0"/>
        </w:rPr>
        <w:t>capsule</w:t>
      </w:r>
      <w:r w:rsidR="007702B6" w:rsidRPr="007702B6">
        <w:rPr>
          <w:rFonts w:cs="Arial"/>
          <w:snapToGrid w:val="0"/>
        </w:rPr>
        <w:t xml:space="preserve"> based on </w:t>
      </w:r>
      <w:r w:rsidR="001B2B1C">
        <w:rPr>
          <w:rFonts w:cs="Arial"/>
          <w:snapToGrid w:val="0"/>
        </w:rPr>
        <w:t>a</w:t>
      </w:r>
      <w:r w:rsidR="001B2B1C" w:rsidRPr="007702B6">
        <w:rPr>
          <w:rFonts w:cs="Arial"/>
          <w:snapToGrid w:val="0"/>
        </w:rPr>
        <w:t xml:space="preserve"> </w:t>
      </w:r>
      <w:r w:rsidR="007702B6" w:rsidRPr="007702B6">
        <w:rPr>
          <w:rFonts w:cs="Arial"/>
          <w:snapToGrid w:val="0"/>
        </w:rPr>
        <w:t xml:space="preserve">claim of non-inferior </w:t>
      </w:r>
      <w:r w:rsidR="002F0789">
        <w:rPr>
          <w:rFonts w:cs="Arial"/>
          <w:snapToGrid w:val="0"/>
        </w:rPr>
        <w:t>effectiveness</w:t>
      </w:r>
      <w:r w:rsidR="002F0789" w:rsidRPr="007702B6">
        <w:rPr>
          <w:rFonts w:cs="Arial"/>
          <w:snapToGrid w:val="0"/>
        </w:rPr>
        <w:t xml:space="preserve"> </w:t>
      </w:r>
      <w:r w:rsidR="007702B6" w:rsidRPr="007702B6">
        <w:rPr>
          <w:rFonts w:cs="Arial"/>
          <w:snapToGrid w:val="0"/>
        </w:rPr>
        <w:t>and safety.</w:t>
      </w:r>
    </w:p>
    <w:p w14:paraId="0A0B73D9" w14:textId="7EFCD4B1" w:rsidR="00DD7D7E" w:rsidRPr="00CB4D79" w:rsidRDefault="005C4B65" w:rsidP="002E127C">
      <w:pPr>
        <w:pStyle w:val="3-BodyText"/>
        <w:rPr>
          <w:rFonts w:cs="Arial"/>
          <w:snapToGrid w:val="0"/>
        </w:rPr>
      </w:pPr>
      <w:r w:rsidRPr="00CB4D79">
        <w:rPr>
          <w:rFonts w:cs="Arial"/>
          <w:snapToGrid w:val="0"/>
        </w:rPr>
        <w:t xml:space="preserve">The submission </w:t>
      </w:r>
      <w:r w:rsidR="00E50083">
        <w:rPr>
          <w:rFonts w:cs="Arial"/>
          <w:snapToGrid w:val="0"/>
        </w:rPr>
        <w:t>proposed an</w:t>
      </w:r>
      <w:r w:rsidRPr="00CB4D79">
        <w:rPr>
          <w:rFonts w:cs="Arial"/>
          <w:snapToGrid w:val="0"/>
        </w:rPr>
        <w:t xml:space="preserve"> equi-effective </w:t>
      </w:r>
      <w:r w:rsidR="00B00ADE">
        <w:rPr>
          <w:rFonts w:cs="Arial"/>
          <w:snapToGrid w:val="0"/>
        </w:rPr>
        <w:t xml:space="preserve">daily dose </w:t>
      </w:r>
      <w:r w:rsidRPr="00CB4D79">
        <w:rPr>
          <w:rFonts w:cs="Arial"/>
          <w:snapToGrid w:val="0"/>
        </w:rPr>
        <w:t xml:space="preserve">of 320 mg </w:t>
      </w:r>
      <w:r w:rsidR="00B07D5F">
        <w:rPr>
          <w:rFonts w:cs="Arial"/>
          <w:snapToGrid w:val="0"/>
        </w:rPr>
        <w:t>as</w:t>
      </w:r>
      <w:r w:rsidRPr="00CB4D79">
        <w:rPr>
          <w:rFonts w:cs="Arial"/>
          <w:snapToGrid w:val="0"/>
        </w:rPr>
        <w:t xml:space="preserve"> 2 x 160 mg tablets</w:t>
      </w:r>
      <w:r w:rsidR="00B07D5F">
        <w:rPr>
          <w:rFonts w:cs="Arial"/>
          <w:snapToGrid w:val="0"/>
        </w:rPr>
        <w:t xml:space="preserve"> </w:t>
      </w:r>
      <w:r w:rsidR="00E50083">
        <w:rPr>
          <w:rFonts w:cs="Arial"/>
          <w:snapToGrid w:val="0"/>
        </w:rPr>
        <w:t>being</w:t>
      </w:r>
      <w:r w:rsidRPr="00CB4D79">
        <w:rPr>
          <w:rFonts w:cs="Arial"/>
          <w:snapToGrid w:val="0"/>
        </w:rPr>
        <w:t xml:space="preserve"> equal to 4 x 80 mg capsules</w:t>
      </w:r>
      <w:r w:rsidR="00E50083">
        <w:rPr>
          <w:rFonts w:cs="Arial"/>
          <w:snapToGrid w:val="0"/>
        </w:rPr>
        <w:t>,</w:t>
      </w:r>
      <w:r w:rsidR="00DD7D7E" w:rsidRPr="00CB4D79">
        <w:rPr>
          <w:rFonts w:cs="Arial"/>
          <w:snapToGrid w:val="0"/>
        </w:rPr>
        <w:t xml:space="preserve"> consistent with the medicine doses and treatment regimens in the included studies and the </w:t>
      </w:r>
      <w:r w:rsidR="003B7E74" w:rsidRPr="00CB4D79">
        <w:rPr>
          <w:rFonts w:cs="Arial"/>
          <w:snapToGrid w:val="0"/>
        </w:rPr>
        <w:t>draft</w:t>
      </w:r>
      <w:r w:rsidR="00CB4D79" w:rsidRPr="00CB4D79">
        <w:rPr>
          <w:rFonts w:cs="Arial"/>
          <w:snapToGrid w:val="0"/>
        </w:rPr>
        <w:t xml:space="preserve"> </w:t>
      </w:r>
      <w:r w:rsidR="00DD7D7E" w:rsidRPr="00CB4D79">
        <w:rPr>
          <w:rFonts w:cs="Arial"/>
          <w:snapToGrid w:val="0"/>
        </w:rPr>
        <w:t xml:space="preserve">TGA Product Information </w:t>
      </w:r>
      <w:r w:rsidR="00E50083">
        <w:rPr>
          <w:rFonts w:cs="Arial"/>
          <w:snapToGrid w:val="0"/>
        </w:rPr>
        <w:t>of</w:t>
      </w:r>
      <w:r w:rsidR="00E50083" w:rsidRPr="00CB4D79">
        <w:rPr>
          <w:rFonts w:cs="Arial"/>
          <w:snapToGrid w:val="0"/>
        </w:rPr>
        <w:t xml:space="preserve"> </w:t>
      </w:r>
      <w:r w:rsidR="00DD7D7E" w:rsidRPr="00CB4D79">
        <w:rPr>
          <w:rFonts w:cs="Arial"/>
          <w:snapToGrid w:val="0"/>
        </w:rPr>
        <w:t>zanubrutinib.</w:t>
      </w:r>
    </w:p>
    <w:p w14:paraId="07CA7F87" w14:textId="148204A4" w:rsidR="00D74E62" w:rsidRDefault="00D74E62" w:rsidP="00807C18">
      <w:pPr>
        <w:pStyle w:val="Caption"/>
        <w:keepNext/>
      </w:pPr>
      <w:r>
        <w:t xml:space="preserve">Table </w:t>
      </w:r>
      <w:r>
        <w:fldChar w:fldCharType="begin"/>
      </w:r>
      <w:r>
        <w:instrText xml:space="preserve"> SEQ Table \* ARABIC </w:instrText>
      </w:r>
      <w:r>
        <w:fldChar w:fldCharType="separate"/>
      </w:r>
      <w:r w:rsidR="004A3DC1">
        <w:rPr>
          <w:noProof/>
        </w:rPr>
        <w:t>2</w:t>
      </w:r>
      <w:r>
        <w:fldChar w:fldCharType="end"/>
      </w:r>
      <w:r>
        <w:t>:</w:t>
      </w:r>
      <w:r w:rsidRPr="007622A4">
        <w:t xml:space="preserve"> Proposed AEMPs and equi-effective doses in the submission</w:t>
      </w:r>
    </w:p>
    <w:tbl>
      <w:tblPr>
        <w:tblStyle w:val="TableGrid"/>
        <w:tblW w:w="5000" w:type="pct"/>
        <w:tblLook w:val="04A0" w:firstRow="1" w:lastRow="0" w:firstColumn="1" w:lastColumn="0" w:noHBand="0" w:noVBand="1"/>
        <w:tblCaption w:val="Proposed AEMPs and equi-effective doses in the submission"/>
      </w:tblPr>
      <w:tblGrid>
        <w:gridCol w:w="3274"/>
        <w:gridCol w:w="2871"/>
        <w:gridCol w:w="2871"/>
      </w:tblGrid>
      <w:tr w:rsidR="00355020" w14:paraId="360810BF" w14:textId="77777777" w:rsidTr="00C147C9">
        <w:tc>
          <w:tcPr>
            <w:tcW w:w="1816" w:type="pct"/>
            <w:vAlign w:val="center"/>
          </w:tcPr>
          <w:p w14:paraId="7E9D35EA" w14:textId="77777777" w:rsidR="00355020" w:rsidRPr="00CD7D0E" w:rsidRDefault="00355020" w:rsidP="00807C18">
            <w:pPr>
              <w:pStyle w:val="Tablebold"/>
              <w:spacing w:before="0" w:after="0"/>
              <w:rPr>
                <w:rFonts w:ascii="Arial Narrow" w:hAnsi="Arial Narrow"/>
                <w:sz w:val="20"/>
                <w:szCs w:val="20"/>
              </w:rPr>
            </w:pPr>
            <w:r w:rsidRPr="00CD7D0E">
              <w:rPr>
                <w:rFonts w:ascii="Arial Narrow" w:hAnsi="Arial Narrow"/>
                <w:sz w:val="20"/>
                <w:szCs w:val="20"/>
              </w:rPr>
              <w:t>Item</w:t>
            </w:r>
          </w:p>
        </w:tc>
        <w:tc>
          <w:tcPr>
            <w:tcW w:w="1592" w:type="pct"/>
            <w:vAlign w:val="center"/>
          </w:tcPr>
          <w:p w14:paraId="702A4120" w14:textId="77777777" w:rsidR="00355020" w:rsidRPr="00CD7D0E" w:rsidRDefault="00355020" w:rsidP="00D74E62">
            <w:pPr>
              <w:pStyle w:val="Tablebold"/>
              <w:spacing w:before="0" w:after="0"/>
              <w:jc w:val="center"/>
              <w:rPr>
                <w:rFonts w:ascii="Arial Narrow" w:hAnsi="Arial Narrow"/>
                <w:sz w:val="20"/>
                <w:szCs w:val="20"/>
              </w:rPr>
            </w:pPr>
            <w:r w:rsidRPr="00CD7D0E">
              <w:rPr>
                <w:rFonts w:ascii="Arial Narrow" w:hAnsi="Arial Narrow"/>
                <w:sz w:val="20"/>
                <w:szCs w:val="20"/>
              </w:rPr>
              <w:t>Zanubrutinib,</w:t>
            </w:r>
          </w:p>
          <w:p w14:paraId="201150DA" w14:textId="77777777" w:rsidR="00355020" w:rsidRPr="00CD7D0E" w:rsidRDefault="00355020" w:rsidP="00D74E62">
            <w:pPr>
              <w:pStyle w:val="Tablebold"/>
              <w:spacing w:before="0" w:after="0"/>
              <w:jc w:val="center"/>
              <w:rPr>
                <w:rFonts w:ascii="Arial Narrow" w:hAnsi="Arial Narrow"/>
                <w:sz w:val="20"/>
                <w:szCs w:val="20"/>
              </w:rPr>
            </w:pPr>
            <w:r w:rsidRPr="00CD7D0E">
              <w:rPr>
                <w:rFonts w:ascii="Arial Narrow" w:hAnsi="Arial Narrow"/>
                <w:sz w:val="20"/>
                <w:szCs w:val="20"/>
              </w:rPr>
              <w:t>80 mg capsule</w:t>
            </w:r>
          </w:p>
        </w:tc>
        <w:tc>
          <w:tcPr>
            <w:tcW w:w="1592" w:type="pct"/>
            <w:vAlign w:val="center"/>
          </w:tcPr>
          <w:p w14:paraId="53578825" w14:textId="77777777" w:rsidR="00355020" w:rsidRPr="00CD7D0E" w:rsidRDefault="00355020" w:rsidP="00807C18">
            <w:pPr>
              <w:pStyle w:val="Tablebold"/>
              <w:spacing w:before="0" w:after="0"/>
              <w:jc w:val="center"/>
              <w:rPr>
                <w:rFonts w:ascii="Arial Narrow" w:hAnsi="Arial Narrow"/>
                <w:sz w:val="20"/>
                <w:szCs w:val="20"/>
              </w:rPr>
            </w:pPr>
            <w:r w:rsidRPr="00CD7D0E">
              <w:rPr>
                <w:rFonts w:ascii="Arial Narrow" w:hAnsi="Arial Narrow"/>
                <w:sz w:val="20"/>
                <w:szCs w:val="20"/>
              </w:rPr>
              <w:t>Zanubrutinib, 160 mg tablet</w:t>
            </w:r>
          </w:p>
        </w:tc>
      </w:tr>
      <w:tr w:rsidR="00355020" w14:paraId="2C5E4922" w14:textId="77777777" w:rsidTr="00C147C9">
        <w:tc>
          <w:tcPr>
            <w:tcW w:w="1816" w:type="pct"/>
            <w:vAlign w:val="center"/>
          </w:tcPr>
          <w:p w14:paraId="6E7749E6" w14:textId="77777777" w:rsidR="00355020" w:rsidRPr="00CD7D0E" w:rsidRDefault="00355020" w:rsidP="00807C18">
            <w:pPr>
              <w:pStyle w:val="Tabletext"/>
              <w:spacing w:after="0"/>
              <w:jc w:val="left"/>
              <w:rPr>
                <w:rFonts w:ascii="Arial Narrow" w:hAnsi="Arial Narrow"/>
              </w:rPr>
            </w:pPr>
            <w:r w:rsidRPr="00CD7D0E">
              <w:rPr>
                <w:rFonts w:ascii="Arial Narrow" w:hAnsi="Arial Narrow"/>
              </w:rPr>
              <w:t>Equi-effective dose</w:t>
            </w:r>
          </w:p>
        </w:tc>
        <w:tc>
          <w:tcPr>
            <w:tcW w:w="1592" w:type="pct"/>
          </w:tcPr>
          <w:p w14:paraId="715AE693" w14:textId="77777777" w:rsidR="00355020" w:rsidRPr="00CD7D0E" w:rsidRDefault="00355020" w:rsidP="00807C18">
            <w:pPr>
              <w:pStyle w:val="Tabletext"/>
              <w:spacing w:after="0"/>
              <w:jc w:val="center"/>
              <w:rPr>
                <w:rFonts w:ascii="Arial Narrow" w:hAnsi="Arial Narrow"/>
              </w:rPr>
            </w:pPr>
            <w:r w:rsidRPr="00CD7D0E">
              <w:rPr>
                <w:rFonts w:ascii="Arial Narrow" w:hAnsi="Arial Narrow"/>
              </w:rPr>
              <w:t>320 mg daily</w:t>
            </w:r>
          </w:p>
        </w:tc>
        <w:tc>
          <w:tcPr>
            <w:tcW w:w="1592" w:type="pct"/>
            <w:vAlign w:val="center"/>
          </w:tcPr>
          <w:p w14:paraId="474C9681" w14:textId="77777777" w:rsidR="00355020" w:rsidRPr="00CD7D0E" w:rsidRDefault="00355020" w:rsidP="00807C18">
            <w:pPr>
              <w:pStyle w:val="Tabletext"/>
              <w:spacing w:after="0"/>
              <w:jc w:val="center"/>
              <w:rPr>
                <w:rFonts w:ascii="Arial Narrow" w:hAnsi="Arial Narrow"/>
              </w:rPr>
            </w:pPr>
            <w:r w:rsidRPr="00CD7D0E">
              <w:rPr>
                <w:rFonts w:ascii="Arial Narrow" w:hAnsi="Arial Narrow"/>
              </w:rPr>
              <w:t>320 mg daily</w:t>
            </w:r>
          </w:p>
        </w:tc>
      </w:tr>
      <w:tr w:rsidR="00355020" w14:paraId="75B43A5A" w14:textId="77777777" w:rsidTr="00C147C9">
        <w:tc>
          <w:tcPr>
            <w:tcW w:w="1816" w:type="pct"/>
            <w:vAlign w:val="center"/>
          </w:tcPr>
          <w:p w14:paraId="38286BF4" w14:textId="77777777" w:rsidR="00355020" w:rsidRPr="00CD7D0E" w:rsidRDefault="00355020" w:rsidP="00807C18">
            <w:pPr>
              <w:pStyle w:val="Tabletext"/>
              <w:spacing w:after="0"/>
              <w:jc w:val="left"/>
              <w:rPr>
                <w:rFonts w:ascii="Arial Narrow" w:hAnsi="Arial Narrow"/>
              </w:rPr>
            </w:pPr>
            <w:r w:rsidRPr="00CD7D0E">
              <w:rPr>
                <w:rFonts w:ascii="Arial Narrow" w:hAnsi="Arial Narrow"/>
              </w:rPr>
              <w:t>Tablets or capsules/patient/day</w:t>
            </w:r>
          </w:p>
        </w:tc>
        <w:tc>
          <w:tcPr>
            <w:tcW w:w="1592" w:type="pct"/>
          </w:tcPr>
          <w:p w14:paraId="01C237E0" w14:textId="77777777" w:rsidR="00355020" w:rsidRPr="00CD7D0E" w:rsidRDefault="00355020" w:rsidP="00807C18">
            <w:pPr>
              <w:pStyle w:val="Tabletext"/>
              <w:spacing w:after="0"/>
              <w:jc w:val="center"/>
              <w:rPr>
                <w:rFonts w:ascii="Arial Narrow" w:hAnsi="Arial Narrow"/>
              </w:rPr>
            </w:pPr>
            <w:r w:rsidRPr="00CD7D0E">
              <w:rPr>
                <w:rFonts w:ascii="Arial Narrow" w:hAnsi="Arial Narrow"/>
              </w:rPr>
              <w:t>4</w:t>
            </w:r>
          </w:p>
        </w:tc>
        <w:tc>
          <w:tcPr>
            <w:tcW w:w="1592" w:type="pct"/>
            <w:vAlign w:val="center"/>
          </w:tcPr>
          <w:p w14:paraId="12E643C0" w14:textId="77777777" w:rsidR="00355020" w:rsidRPr="00CD7D0E" w:rsidRDefault="00355020" w:rsidP="00807C18">
            <w:pPr>
              <w:pStyle w:val="Tabletext"/>
              <w:spacing w:after="0"/>
              <w:jc w:val="center"/>
              <w:rPr>
                <w:rFonts w:ascii="Arial Narrow" w:hAnsi="Arial Narrow"/>
              </w:rPr>
            </w:pPr>
            <w:r w:rsidRPr="00CD7D0E">
              <w:rPr>
                <w:rFonts w:ascii="Arial Narrow" w:hAnsi="Arial Narrow"/>
              </w:rPr>
              <w:t>2</w:t>
            </w:r>
          </w:p>
        </w:tc>
      </w:tr>
      <w:tr w:rsidR="00355020" w14:paraId="60A55CC5" w14:textId="77777777" w:rsidTr="00C147C9">
        <w:tc>
          <w:tcPr>
            <w:tcW w:w="1816" w:type="pct"/>
            <w:vAlign w:val="center"/>
          </w:tcPr>
          <w:p w14:paraId="1E2F8DB3" w14:textId="77777777" w:rsidR="00355020" w:rsidRPr="00CD7D0E" w:rsidRDefault="00355020" w:rsidP="00807C18">
            <w:pPr>
              <w:pStyle w:val="Tabletext"/>
              <w:spacing w:after="0"/>
              <w:jc w:val="left"/>
              <w:rPr>
                <w:rFonts w:ascii="Arial Narrow" w:hAnsi="Arial Narrow"/>
              </w:rPr>
            </w:pPr>
            <w:r w:rsidRPr="00CD7D0E">
              <w:rPr>
                <w:rFonts w:ascii="Arial Narrow" w:hAnsi="Arial Narrow"/>
              </w:rPr>
              <w:t>Pack quantity</w:t>
            </w:r>
          </w:p>
        </w:tc>
        <w:tc>
          <w:tcPr>
            <w:tcW w:w="1592" w:type="pct"/>
          </w:tcPr>
          <w:p w14:paraId="215BE15F" w14:textId="77777777" w:rsidR="00355020" w:rsidRPr="00CD7D0E" w:rsidRDefault="00355020" w:rsidP="00807C18">
            <w:pPr>
              <w:pStyle w:val="Tabletext"/>
              <w:spacing w:after="0"/>
              <w:jc w:val="center"/>
              <w:rPr>
                <w:rFonts w:ascii="Arial Narrow" w:hAnsi="Arial Narrow"/>
              </w:rPr>
            </w:pPr>
            <w:r w:rsidRPr="00CD7D0E">
              <w:rPr>
                <w:rFonts w:ascii="Arial Narrow" w:hAnsi="Arial Narrow"/>
              </w:rPr>
              <w:t>120</w:t>
            </w:r>
          </w:p>
        </w:tc>
        <w:tc>
          <w:tcPr>
            <w:tcW w:w="1592" w:type="pct"/>
            <w:vAlign w:val="center"/>
          </w:tcPr>
          <w:p w14:paraId="5CE1CF14" w14:textId="77777777" w:rsidR="00355020" w:rsidRPr="00CD7D0E" w:rsidRDefault="00355020" w:rsidP="00807C18">
            <w:pPr>
              <w:pStyle w:val="Tabletext"/>
              <w:spacing w:after="0"/>
              <w:jc w:val="center"/>
              <w:rPr>
                <w:rFonts w:ascii="Arial Narrow" w:hAnsi="Arial Narrow"/>
              </w:rPr>
            </w:pPr>
            <w:r w:rsidRPr="00CD7D0E">
              <w:rPr>
                <w:rFonts w:ascii="Arial Narrow" w:hAnsi="Arial Narrow"/>
              </w:rPr>
              <w:t>60</w:t>
            </w:r>
          </w:p>
        </w:tc>
      </w:tr>
      <w:tr w:rsidR="00355020" w14:paraId="0931C92D" w14:textId="77777777" w:rsidTr="00C147C9">
        <w:tc>
          <w:tcPr>
            <w:tcW w:w="1816" w:type="pct"/>
            <w:vAlign w:val="center"/>
          </w:tcPr>
          <w:p w14:paraId="42E4D0CD" w14:textId="77777777" w:rsidR="00355020" w:rsidRPr="00CD7D0E" w:rsidRDefault="00355020" w:rsidP="00807C18">
            <w:pPr>
              <w:pStyle w:val="Tabletext"/>
              <w:spacing w:after="0"/>
              <w:jc w:val="left"/>
              <w:rPr>
                <w:rFonts w:ascii="Arial Narrow" w:hAnsi="Arial Narrow"/>
              </w:rPr>
            </w:pPr>
            <w:r w:rsidRPr="00CD7D0E">
              <w:rPr>
                <w:rFonts w:ascii="Arial Narrow" w:hAnsi="Arial Narrow"/>
              </w:rPr>
              <w:t>Packs/patient/30 days</w:t>
            </w:r>
          </w:p>
        </w:tc>
        <w:tc>
          <w:tcPr>
            <w:tcW w:w="1592" w:type="pct"/>
          </w:tcPr>
          <w:p w14:paraId="5F2B1D24" w14:textId="77777777" w:rsidR="00355020" w:rsidRPr="00CD7D0E" w:rsidRDefault="00355020" w:rsidP="00807C18">
            <w:pPr>
              <w:pStyle w:val="Tabletext"/>
              <w:spacing w:after="0"/>
              <w:jc w:val="center"/>
              <w:rPr>
                <w:rFonts w:ascii="Arial Narrow" w:hAnsi="Arial Narrow"/>
              </w:rPr>
            </w:pPr>
            <w:r w:rsidRPr="00CD7D0E">
              <w:rPr>
                <w:rFonts w:ascii="Arial Narrow" w:hAnsi="Arial Narrow"/>
              </w:rPr>
              <w:t>1</w:t>
            </w:r>
          </w:p>
        </w:tc>
        <w:tc>
          <w:tcPr>
            <w:tcW w:w="1592" w:type="pct"/>
            <w:vAlign w:val="center"/>
          </w:tcPr>
          <w:p w14:paraId="1409D1A9" w14:textId="77777777" w:rsidR="00355020" w:rsidRPr="00CD7D0E" w:rsidRDefault="00355020" w:rsidP="00807C18">
            <w:pPr>
              <w:pStyle w:val="Tabletext"/>
              <w:spacing w:after="0"/>
              <w:jc w:val="center"/>
              <w:rPr>
                <w:rFonts w:ascii="Arial Narrow" w:hAnsi="Arial Narrow"/>
              </w:rPr>
            </w:pPr>
            <w:r w:rsidRPr="00CD7D0E">
              <w:rPr>
                <w:rFonts w:ascii="Arial Narrow" w:hAnsi="Arial Narrow"/>
              </w:rPr>
              <w:t>1</w:t>
            </w:r>
          </w:p>
        </w:tc>
      </w:tr>
      <w:tr w:rsidR="00355020" w14:paraId="1DBF78F0" w14:textId="77777777" w:rsidTr="00C147C9">
        <w:tc>
          <w:tcPr>
            <w:tcW w:w="1816" w:type="pct"/>
            <w:vAlign w:val="center"/>
          </w:tcPr>
          <w:p w14:paraId="55FF758C" w14:textId="6EC490C6" w:rsidR="00355020" w:rsidRPr="00CD7D0E" w:rsidRDefault="00355020" w:rsidP="00807C18">
            <w:pPr>
              <w:pStyle w:val="Tabletext"/>
              <w:spacing w:after="0"/>
              <w:jc w:val="left"/>
              <w:rPr>
                <w:rFonts w:ascii="Arial Narrow" w:hAnsi="Arial Narrow"/>
              </w:rPr>
            </w:pPr>
            <w:r w:rsidRPr="00CD7D0E">
              <w:rPr>
                <w:rFonts w:ascii="Arial Narrow" w:hAnsi="Arial Narrow"/>
              </w:rPr>
              <w:t>Published AEMP/pack</w:t>
            </w:r>
            <w:r w:rsidR="00297061">
              <w:rPr>
                <w:rFonts w:ascii="Arial Narrow" w:hAnsi="Arial Narrow"/>
              </w:rPr>
              <w:t xml:space="preserve"> </w:t>
            </w:r>
          </w:p>
        </w:tc>
        <w:tc>
          <w:tcPr>
            <w:tcW w:w="1592" w:type="pct"/>
          </w:tcPr>
          <w:p w14:paraId="444D7086" w14:textId="77777777" w:rsidR="00355020" w:rsidRPr="00322646" w:rsidRDefault="00355020" w:rsidP="00807C18">
            <w:pPr>
              <w:pStyle w:val="Tabletext"/>
              <w:spacing w:after="0"/>
              <w:jc w:val="center"/>
              <w:rPr>
                <w:rFonts w:ascii="Arial Narrow" w:hAnsi="Arial Narrow"/>
              </w:rPr>
            </w:pPr>
            <w:r w:rsidRPr="00322646">
              <w:rPr>
                <w:rFonts w:ascii="Arial Narrow" w:hAnsi="Arial Narrow"/>
              </w:rPr>
              <w:t>$7,769.96</w:t>
            </w:r>
          </w:p>
        </w:tc>
        <w:tc>
          <w:tcPr>
            <w:tcW w:w="1592" w:type="pct"/>
            <w:vAlign w:val="center"/>
          </w:tcPr>
          <w:p w14:paraId="69E29766" w14:textId="77777777" w:rsidR="00355020" w:rsidRPr="00322646" w:rsidRDefault="00355020" w:rsidP="00807C18">
            <w:pPr>
              <w:pStyle w:val="Tabletext"/>
              <w:spacing w:after="0"/>
              <w:jc w:val="center"/>
              <w:rPr>
                <w:rFonts w:ascii="Arial Narrow" w:hAnsi="Arial Narrow"/>
              </w:rPr>
            </w:pPr>
            <w:r w:rsidRPr="00322646">
              <w:rPr>
                <w:rFonts w:ascii="Arial Narrow" w:hAnsi="Arial Narrow"/>
              </w:rPr>
              <w:t>$7,769.96</w:t>
            </w:r>
          </w:p>
        </w:tc>
      </w:tr>
      <w:tr w:rsidR="00355020" w14:paraId="681A2704" w14:textId="77777777" w:rsidTr="00C147C9">
        <w:tc>
          <w:tcPr>
            <w:tcW w:w="1816" w:type="pct"/>
            <w:vAlign w:val="center"/>
          </w:tcPr>
          <w:p w14:paraId="558F5039" w14:textId="5CE89ED7" w:rsidR="00355020" w:rsidRPr="00CD7D0E" w:rsidRDefault="00355020" w:rsidP="00807C18">
            <w:pPr>
              <w:pStyle w:val="Tabletext"/>
              <w:spacing w:after="0"/>
              <w:jc w:val="left"/>
              <w:rPr>
                <w:rFonts w:ascii="Arial Narrow" w:hAnsi="Arial Narrow"/>
              </w:rPr>
            </w:pPr>
            <w:r w:rsidRPr="00CD7D0E">
              <w:rPr>
                <w:rFonts w:ascii="Arial Narrow" w:hAnsi="Arial Narrow"/>
              </w:rPr>
              <w:t>Total drug cost/patient/30 days</w:t>
            </w:r>
            <w:r w:rsidR="00297061">
              <w:rPr>
                <w:rFonts w:ascii="Arial Narrow" w:hAnsi="Arial Narrow"/>
              </w:rPr>
              <w:t xml:space="preserve"> ($)</w:t>
            </w:r>
          </w:p>
        </w:tc>
        <w:tc>
          <w:tcPr>
            <w:tcW w:w="1592" w:type="pct"/>
          </w:tcPr>
          <w:p w14:paraId="76058E05" w14:textId="77777777" w:rsidR="00355020" w:rsidRPr="00322646" w:rsidRDefault="00355020" w:rsidP="00807C18">
            <w:pPr>
              <w:pStyle w:val="Tabletext"/>
              <w:spacing w:after="0"/>
              <w:jc w:val="center"/>
              <w:rPr>
                <w:rFonts w:ascii="Arial Narrow" w:hAnsi="Arial Narrow"/>
              </w:rPr>
            </w:pPr>
            <w:r w:rsidRPr="00322646">
              <w:rPr>
                <w:rFonts w:ascii="Arial Narrow" w:hAnsi="Arial Narrow"/>
              </w:rPr>
              <w:t>$7,769.96</w:t>
            </w:r>
          </w:p>
        </w:tc>
        <w:tc>
          <w:tcPr>
            <w:tcW w:w="1592" w:type="pct"/>
            <w:vAlign w:val="center"/>
          </w:tcPr>
          <w:p w14:paraId="4E26448F" w14:textId="77777777" w:rsidR="00355020" w:rsidRPr="00322646" w:rsidRDefault="00355020" w:rsidP="00807C18">
            <w:pPr>
              <w:pStyle w:val="Tabletext"/>
              <w:spacing w:after="0"/>
              <w:jc w:val="center"/>
              <w:rPr>
                <w:rFonts w:ascii="Arial Narrow" w:hAnsi="Arial Narrow"/>
              </w:rPr>
            </w:pPr>
            <w:r w:rsidRPr="00322646">
              <w:rPr>
                <w:rFonts w:ascii="Arial Narrow" w:hAnsi="Arial Narrow"/>
              </w:rPr>
              <w:t>$7,769.96</w:t>
            </w:r>
          </w:p>
        </w:tc>
      </w:tr>
    </w:tbl>
    <w:p w14:paraId="4515DC84" w14:textId="591BFB84" w:rsidR="00624C09" w:rsidRPr="00624C09" w:rsidRDefault="00EF3119" w:rsidP="00691803">
      <w:pPr>
        <w:rPr>
          <w:rFonts w:ascii="Arial Narrow" w:eastAsiaTheme="minorHAnsi" w:hAnsi="Arial Narrow" w:cstheme="minorHAnsi"/>
          <w:sz w:val="18"/>
          <w:szCs w:val="18"/>
        </w:rPr>
      </w:pPr>
      <w:bookmarkStart w:id="16" w:name="_Hlk207638100"/>
      <w:r w:rsidRPr="00EF3119">
        <w:rPr>
          <w:rFonts w:ascii="Arial Narrow" w:eastAsiaTheme="minorHAnsi" w:hAnsi="Arial Narrow" w:cstheme="minorHAnsi"/>
          <w:sz w:val="18"/>
          <w:szCs w:val="18"/>
        </w:rPr>
        <w:t xml:space="preserve">Source: </w:t>
      </w:r>
      <w:bookmarkStart w:id="17" w:name="_Ref180406414"/>
      <w:r w:rsidRPr="00EF3119">
        <w:rPr>
          <w:rFonts w:ascii="Arial Narrow" w:eastAsiaTheme="minorHAnsi" w:hAnsi="Arial Narrow" w:cstheme="minorBidi"/>
          <w:sz w:val="18"/>
          <w:szCs w:val="18"/>
        </w:rPr>
        <w:t xml:space="preserve">Table </w:t>
      </w:r>
      <w:bookmarkEnd w:id="17"/>
      <w:r w:rsidR="00CD7D0E">
        <w:rPr>
          <w:rFonts w:ascii="Arial Narrow" w:eastAsiaTheme="minorHAnsi" w:hAnsi="Arial Narrow" w:cstheme="minorBidi"/>
          <w:sz w:val="18"/>
          <w:szCs w:val="18"/>
        </w:rPr>
        <w:t>32</w:t>
      </w:r>
      <w:r w:rsidRPr="00EF3119">
        <w:rPr>
          <w:rFonts w:ascii="Arial Narrow" w:eastAsiaTheme="minorHAnsi" w:hAnsi="Arial Narrow" w:cstheme="minorBidi"/>
          <w:sz w:val="18"/>
          <w:szCs w:val="18"/>
        </w:rPr>
        <w:t xml:space="preserve"> of the submission</w:t>
      </w:r>
      <w:r w:rsidR="00CD7D0E">
        <w:rPr>
          <w:rFonts w:ascii="Arial Narrow" w:eastAsiaTheme="minorHAnsi" w:hAnsi="Arial Narrow" w:cstheme="minorBidi"/>
          <w:sz w:val="18"/>
          <w:szCs w:val="18"/>
        </w:rPr>
        <w:t xml:space="preserve">, </w:t>
      </w:r>
      <w:r w:rsidRPr="00EF3119">
        <w:rPr>
          <w:rFonts w:ascii="Arial Narrow" w:eastAsiaTheme="minorHAnsi" w:hAnsi="Arial Narrow" w:cstheme="minorHAnsi"/>
          <w:sz w:val="18"/>
          <w:szCs w:val="18"/>
        </w:rPr>
        <w:t>AEMP = approved ex-manufacturer price</w:t>
      </w:r>
      <w:bookmarkStart w:id="18" w:name="_Ref185850813"/>
    </w:p>
    <w:bookmarkEnd w:id="16"/>
    <w:p w14:paraId="7035E2C3" w14:textId="6037AAD0" w:rsidR="00A35C55" w:rsidRPr="000D3900" w:rsidRDefault="004857CE" w:rsidP="00691803">
      <w:pPr>
        <w:pStyle w:val="3-BodyText"/>
        <w:rPr>
          <w:rFonts w:cs="Arial"/>
          <w:snapToGrid w:val="0"/>
        </w:rPr>
      </w:pPr>
      <w:r w:rsidRPr="000D3900">
        <w:rPr>
          <w:rFonts w:cs="Arial"/>
          <w:snapToGrid w:val="0"/>
        </w:rPr>
        <w:t xml:space="preserve">The submission requested the existing effective pricing and Special Pricing Arrangement (SPA) for each PBS listed indication of </w:t>
      </w:r>
      <w:r w:rsidR="00FD7CB5" w:rsidRPr="000D3900">
        <w:rPr>
          <w:rFonts w:cs="Arial"/>
          <w:snapToGrid w:val="0"/>
        </w:rPr>
        <w:t xml:space="preserve">the </w:t>
      </w:r>
      <w:r w:rsidRPr="000D3900">
        <w:rPr>
          <w:rFonts w:cs="Arial"/>
          <w:snapToGrid w:val="0"/>
        </w:rPr>
        <w:t xml:space="preserve">80 mg capsule to apply to </w:t>
      </w:r>
      <w:bookmarkStart w:id="19" w:name="_Hlk207638638"/>
      <w:r w:rsidR="00FD7CB5" w:rsidRPr="000D3900">
        <w:rPr>
          <w:rFonts w:cs="Arial"/>
          <w:snapToGrid w:val="0"/>
        </w:rPr>
        <w:t xml:space="preserve">the </w:t>
      </w:r>
      <w:r w:rsidRPr="000D3900">
        <w:rPr>
          <w:rFonts w:cs="Arial"/>
          <w:snapToGrid w:val="0"/>
        </w:rPr>
        <w:t>160 mg tablet</w:t>
      </w:r>
      <w:bookmarkEnd w:id="19"/>
      <w:r w:rsidR="008308EB" w:rsidRPr="000D3900">
        <w:rPr>
          <w:rFonts w:cs="Arial"/>
          <w:snapToGrid w:val="0"/>
        </w:rPr>
        <w:t>.</w:t>
      </w:r>
      <w:r w:rsidR="00A35C55" w:rsidRPr="00A35C55">
        <w:t xml:space="preserve"> </w:t>
      </w:r>
      <w:r w:rsidR="00A35C55" w:rsidRPr="000D3900">
        <w:rPr>
          <w:rFonts w:cs="Arial"/>
          <w:snapToGrid w:val="0"/>
        </w:rPr>
        <w:t>The P</w:t>
      </w:r>
      <w:r w:rsidR="009318A0" w:rsidRPr="000D3900">
        <w:rPr>
          <w:rFonts w:cs="Arial"/>
          <w:snapToGrid w:val="0"/>
        </w:rPr>
        <w:t xml:space="preserve">BAC considered </w:t>
      </w:r>
      <w:r w:rsidR="00201CA4" w:rsidRPr="000D3900">
        <w:rPr>
          <w:rFonts w:cs="Arial"/>
          <w:snapToGrid w:val="0"/>
        </w:rPr>
        <w:t xml:space="preserve">this request was </w:t>
      </w:r>
      <w:r w:rsidR="000D3900" w:rsidRPr="000D3900">
        <w:rPr>
          <w:rFonts w:cs="Arial"/>
          <w:snapToGrid w:val="0"/>
        </w:rPr>
        <w:t xml:space="preserve">appropriate. </w:t>
      </w:r>
    </w:p>
    <w:p w14:paraId="5D5A1930" w14:textId="2FC5A5D7" w:rsidR="002B5108" w:rsidRPr="005204C5" w:rsidRDefault="002B5108" w:rsidP="004857CE">
      <w:pPr>
        <w:pStyle w:val="3-BodyText"/>
        <w:rPr>
          <w:rFonts w:cs="Arial"/>
          <w:snapToGrid w:val="0"/>
        </w:rPr>
      </w:pPr>
      <w:r w:rsidRPr="005204C5">
        <w:rPr>
          <w:rFonts w:cs="Arial"/>
          <w:snapToGrid w:val="0"/>
        </w:rPr>
        <w:t xml:space="preserve">While not a matter for PBAC consideration, </w:t>
      </w:r>
      <w:r w:rsidR="002E51C8">
        <w:rPr>
          <w:rFonts w:cs="Arial"/>
          <w:snapToGrid w:val="0"/>
        </w:rPr>
        <w:t>t</w:t>
      </w:r>
      <w:r w:rsidR="0095324F" w:rsidRPr="005204C5">
        <w:rPr>
          <w:rFonts w:cs="Arial"/>
          <w:snapToGrid w:val="0"/>
        </w:rPr>
        <w:t xml:space="preserve">he PBAC </w:t>
      </w:r>
      <w:r w:rsidRPr="005204C5">
        <w:rPr>
          <w:rFonts w:cs="Arial"/>
          <w:snapToGrid w:val="0"/>
        </w:rPr>
        <w:t>noted that listing of the proposed form would not trigger a first new brand statutory price reduction under 99ACB(3A) of the Act as the form is not considered a new presentation of the existing listed form</w:t>
      </w:r>
      <w:r w:rsidR="00B529E4" w:rsidRPr="005204C5">
        <w:rPr>
          <w:rFonts w:cs="Arial"/>
          <w:snapToGrid w:val="0"/>
        </w:rPr>
        <w:t>.</w:t>
      </w:r>
    </w:p>
    <w:bookmarkEnd w:id="18"/>
    <w:p w14:paraId="4B08295C" w14:textId="0C44B757" w:rsidR="00FD7CB5" w:rsidRDefault="00FD7CB5" w:rsidP="00807C18">
      <w:pPr>
        <w:pStyle w:val="Caption"/>
        <w:keepNext/>
      </w:pPr>
      <w:r>
        <w:t xml:space="preserve">Table </w:t>
      </w:r>
      <w:r>
        <w:fldChar w:fldCharType="begin"/>
      </w:r>
      <w:r>
        <w:instrText xml:space="preserve"> SEQ Table \* ARABIC </w:instrText>
      </w:r>
      <w:r>
        <w:fldChar w:fldCharType="separate"/>
      </w:r>
      <w:r w:rsidR="004A3DC1">
        <w:rPr>
          <w:noProof/>
        </w:rPr>
        <w:t>3</w:t>
      </w:r>
      <w:r>
        <w:fldChar w:fldCharType="end"/>
      </w:r>
      <w:r>
        <w:t xml:space="preserve">: </w:t>
      </w:r>
      <w:r w:rsidRPr="00AE5BEF">
        <w:t>Proposed effective price and Special Pricing Arrangement rebate per PBS listed indication</w:t>
      </w:r>
    </w:p>
    <w:tbl>
      <w:tblPr>
        <w:tblStyle w:val="HeaderTable1"/>
        <w:tblW w:w="5000" w:type="pct"/>
        <w:tblLook w:val="04A0" w:firstRow="1" w:lastRow="0" w:firstColumn="1" w:lastColumn="0" w:noHBand="0" w:noVBand="1"/>
        <w:tblCaption w:val="Proposed effective price and Special Pricing Arrangement rebate per PBS listed indication"/>
      </w:tblPr>
      <w:tblGrid>
        <w:gridCol w:w="2315"/>
        <w:gridCol w:w="1037"/>
        <w:gridCol w:w="1813"/>
        <w:gridCol w:w="1813"/>
        <w:gridCol w:w="2038"/>
      </w:tblGrid>
      <w:tr w:rsidR="00EC3E8C" w:rsidRPr="00624C09" w14:paraId="1D6C05B0" w14:textId="77777777" w:rsidTr="00762C97">
        <w:tc>
          <w:tcPr>
            <w:tcW w:w="1285" w:type="pct"/>
            <w:vAlign w:val="center"/>
          </w:tcPr>
          <w:p w14:paraId="0C9E7410" w14:textId="40D91D17" w:rsidR="00EC3E8C" w:rsidRPr="004B51D4" w:rsidRDefault="00FD7CB5" w:rsidP="00426C53">
            <w:pPr>
              <w:pStyle w:val="In-tableHeading"/>
              <w:rPr>
                <w:lang w:eastAsia="en-US"/>
              </w:rPr>
            </w:pPr>
            <w:r>
              <w:rPr>
                <w:lang w:eastAsia="en-US"/>
              </w:rPr>
              <w:t>Item</w:t>
            </w:r>
          </w:p>
        </w:tc>
        <w:tc>
          <w:tcPr>
            <w:tcW w:w="571" w:type="pct"/>
            <w:vAlign w:val="center"/>
          </w:tcPr>
          <w:p w14:paraId="35D73C64" w14:textId="77777777" w:rsidR="00EC3E8C" w:rsidRPr="004B51D4" w:rsidRDefault="00EC3E8C" w:rsidP="00426C53">
            <w:pPr>
              <w:pStyle w:val="In-tableHeading"/>
              <w:rPr>
                <w:lang w:eastAsia="en-US"/>
              </w:rPr>
            </w:pPr>
            <w:r w:rsidRPr="004B51D4">
              <w:rPr>
                <w:lang w:eastAsia="en-US"/>
              </w:rPr>
              <w:t>Mantle cell lymphoma</w:t>
            </w:r>
          </w:p>
        </w:tc>
        <w:tc>
          <w:tcPr>
            <w:tcW w:w="1006" w:type="pct"/>
            <w:vAlign w:val="center"/>
          </w:tcPr>
          <w:p w14:paraId="1D34931C" w14:textId="77777777" w:rsidR="00EC3E8C" w:rsidRPr="004B51D4" w:rsidRDefault="00EC3E8C" w:rsidP="00426C53">
            <w:pPr>
              <w:pStyle w:val="In-tableHeading"/>
              <w:rPr>
                <w:lang w:eastAsia="en-US"/>
              </w:rPr>
            </w:pPr>
            <w:r w:rsidRPr="004B51D4">
              <w:rPr>
                <w:lang w:eastAsia="en-US"/>
              </w:rPr>
              <w:t>Waldenström macroglobulinaemia</w:t>
            </w:r>
          </w:p>
        </w:tc>
        <w:tc>
          <w:tcPr>
            <w:tcW w:w="1006" w:type="pct"/>
            <w:vAlign w:val="center"/>
          </w:tcPr>
          <w:p w14:paraId="04FC574B" w14:textId="77777777" w:rsidR="00EC3E8C" w:rsidRPr="004B51D4" w:rsidRDefault="00EC3E8C" w:rsidP="00426C53">
            <w:pPr>
              <w:pStyle w:val="In-tableHeading"/>
              <w:rPr>
                <w:lang w:eastAsia="en-US"/>
              </w:rPr>
            </w:pPr>
            <w:r w:rsidRPr="004B51D4">
              <w:rPr>
                <w:lang w:eastAsia="en-US"/>
              </w:rPr>
              <w:t>Chronic lymphocytic leukaemia or small lymphocytic lymphoma (</w:t>
            </w:r>
            <w:proofErr w:type="gramStart"/>
            <w:r w:rsidRPr="004B51D4">
              <w:rPr>
                <w:lang w:eastAsia="en-US"/>
              </w:rPr>
              <w:t>first-line</w:t>
            </w:r>
            <w:proofErr w:type="gramEnd"/>
            <w:r w:rsidRPr="004B51D4">
              <w:rPr>
                <w:lang w:eastAsia="en-US"/>
              </w:rPr>
              <w:t>)</w:t>
            </w:r>
          </w:p>
        </w:tc>
        <w:tc>
          <w:tcPr>
            <w:tcW w:w="1131" w:type="pct"/>
            <w:vAlign w:val="center"/>
          </w:tcPr>
          <w:p w14:paraId="5FAD7B9C" w14:textId="77777777" w:rsidR="00EC3E8C" w:rsidRPr="004B51D4" w:rsidRDefault="00EC3E8C" w:rsidP="00426C53">
            <w:pPr>
              <w:pStyle w:val="In-tableHeading"/>
              <w:rPr>
                <w:lang w:eastAsia="en-US"/>
              </w:rPr>
            </w:pPr>
            <w:r w:rsidRPr="004B51D4">
              <w:rPr>
                <w:lang w:eastAsia="en-US"/>
              </w:rPr>
              <w:t>Chronic lymphocytic leukaemia or small lymphocytic lymphoma (relapsed/refractory)</w:t>
            </w:r>
          </w:p>
        </w:tc>
      </w:tr>
      <w:tr w:rsidR="00EC3E8C" w:rsidRPr="004B51D4" w14:paraId="381E7D50" w14:textId="77777777" w:rsidTr="00762C97">
        <w:tc>
          <w:tcPr>
            <w:tcW w:w="1285" w:type="pct"/>
            <w:vAlign w:val="center"/>
          </w:tcPr>
          <w:p w14:paraId="0C5FBD3E" w14:textId="58F446D6" w:rsidR="00EC3E8C" w:rsidRPr="004B51D4" w:rsidRDefault="00EC3E8C" w:rsidP="00426C53">
            <w:pPr>
              <w:pStyle w:val="TableText0"/>
              <w:rPr>
                <w:lang w:eastAsia="en-US"/>
              </w:rPr>
            </w:pPr>
            <w:r w:rsidRPr="004B51D4">
              <w:rPr>
                <w:lang w:eastAsia="en-US"/>
              </w:rPr>
              <w:t>Proposed effective AEMP: zanubrutinib 160 mg, 60</w:t>
            </w:r>
            <w:r w:rsidR="00297061">
              <w:rPr>
                <w:lang w:eastAsia="en-US"/>
              </w:rPr>
              <w:t xml:space="preserve"> ($)</w:t>
            </w:r>
          </w:p>
        </w:tc>
        <w:tc>
          <w:tcPr>
            <w:tcW w:w="571" w:type="pct"/>
            <w:vAlign w:val="center"/>
          </w:tcPr>
          <w:p w14:paraId="4FEBABCB" w14:textId="77CA2A56" w:rsidR="00EC3E8C" w:rsidRPr="00E865D7" w:rsidRDefault="001B2940" w:rsidP="00426C53">
            <w:pPr>
              <w:pStyle w:val="Tabletext"/>
              <w:jc w:val="center"/>
              <w:rPr>
                <w:rFonts w:ascii="Arial Narrow" w:hAnsi="Arial Narrow"/>
                <w:highlight w:val="darkGray"/>
              </w:rPr>
            </w:pPr>
            <w:r w:rsidRPr="001B2940">
              <w:rPr>
                <w:rFonts w:ascii="Arial Narrow" w:hAnsi="Arial Narrow"/>
                <w:highlight w:val="black"/>
              </w:rPr>
              <w:t>&amp;&amp;&amp;&amp;</w:t>
            </w:r>
          </w:p>
        </w:tc>
        <w:tc>
          <w:tcPr>
            <w:tcW w:w="1006" w:type="pct"/>
            <w:vAlign w:val="center"/>
          </w:tcPr>
          <w:p w14:paraId="1F2A7466" w14:textId="6DBB31C4" w:rsidR="00EC3E8C" w:rsidRPr="00E865D7" w:rsidRDefault="001B2940" w:rsidP="00426C53">
            <w:pPr>
              <w:pStyle w:val="Tabletext"/>
              <w:jc w:val="center"/>
              <w:rPr>
                <w:rFonts w:ascii="Arial Narrow" w:hAnsi="Arial Narrow"/>
                <w:highlight w:val="darkGray"/>
              </w:rPr>
            </w:pPr>
            <w:r w:rsidRPr="001B2940">
              <w:rPr>
                <w:rFonts w:ascii="Arial Narrow" w:hAnsi="Arial Narrow"/>
                <w:highlight w:val="black"/>
              </w:rPr>
              <w:t>&amp;&amp;&amp;&amp;</w:t>
            </w:r>
          </w:p>
        </w:tc>
        <w:tc>
          <w:tcPr>
            <w:tcW w:w="1006" w:type="pct"/>
            <w:vAlign w:val="center"/>
          </w:tcPr>
          <w:p w14:paraId="3AC024E0" w14:textId="2A886892" w:rsidR="00EC3E8C" w:rsidRPr="00E865D7" w:rsidRDefault="001B2940" w:rsidP="00426C53">
            <w:pPr>
              <w:pStyle w:val="Tabletext"/>
              <w:jc w:val="center"/>
              <w:rPr>
                <w:rFonts w:ascii="Arial Narrow" w:hAnsi="Arial Narrow"/>
                <w:highlight w:val="darkGray"/>
              </w:rPr>
            </w:pPr>
            <w:r w:rsidRPr="001B2940">
              <w:rPr>
                <w:rFonts w:ascii="Arial Narrow" w:hAnsi="Arial Narrow"/>
                <w:highlight w:val="black"/>
              </w:rPr>
              <w:t>&amp;&amp;&amp;&amp;</w:t>
            </w:r>
          </w:p>
        </w:tc>
        <w:tc>
          <w:tcPr>
            <w:tcW w:w="1131" w:type="pct"/>
            <w:vAlign w:val="center"/>
          </w:tcPr>
          <w:p w14:paraId="78538B93" w14:textId="4F3E6F70" w:rsidR="00EC3E8C" w:rsidRPr="00E865D7" w:rsidRDefault="001B2940" w:rsidP="00426C53">
            <w:pPr>
              <w:pStyle w:val="Tabletext"/>
              <w:jc w:val="center"/>
              <w:rPr>
                <w:rFonts w:ascii="Arial Narrow" w:hAnsi="Arial Narrow"/>
                <w:highlight w:val="darkGray"/>
              </w:rPr>
            </w:pPr>
            <w:r w:rsidRPr="001B2940">
              <w:rPr>
                <w:rFonts w:ascii="Arial Narrow" w:hAnsi="Arial Narrow"/>
                <w:highlight w:val="black"/>
              </w:rPr>
              <w:t>&amp;&amp;&amp;&amp;</w:t>
            </w:r>
          </w:p>
        </w:tc>
      </w:tr>
      <w:tr w:rsidR="00EC3E8C" w:rsidRPr="004B51D4" w14:paraId="7F52B706" w14:textId="77777777" w:rsidTr="00762C97">
        <w:tc>
          <w:tcPr>
            <w:tcW w:w="1285" w:type="pct"/>
            <w:vAlign w:val="center"/>
          </w:tcPr>
          <w:p w14:paraId="04BA4A19" w14:textId="6A29A107" w:rsidR="00EC3E8C" w:rsidRPr="004B51D4" w:rsidRDefault="00EC3E8C" w:rsidP="00426C53">
            <w:pPr>
              <w:pStyle w:val="TableText0"/>
              <w:rPr>
                <w:lang w:eastAsia="en-US"/>
              </w:rPr>
            </w:pPr>
            <w:r w:rsidRPr="004B51D4">
              <w:rPr>
                <w:lang w:eastAsia="en-US"/>
              </w:rPr>
              <w:t>Special Pricing Arrangement rebate</w:t>
            </w:r>
            <w:r w:rsidRPr="004B51D4">
              <w:rPr>
                <w:vertAlign w:val="superscript"/>
                <w:lang w:eastAsia="en-US"/>
              </w:rPr>
              <w:t>a</w:t>
            </w:r>
            <w:r w:rsidRPr="004B51D4">
              <w:rPr>
                <w:lang w:eastAsia="en-US"/>
              </w:rPr>
              <w:t>: current and proposed</w:t>
            </w:r>
            <w:r w:rsidR="00297061">
              <w:rPr>
                <w:lang w:eastAsia="en-US"/>
              </w:rPr>
              <w:t xml:space="preserve"> (%)</w:t>
            </w:r>
          </w:p>
        </w:tc>
        <w:tc>
          <w:tcPr>
            <w:tcW w:w="571" w:type="pct"/>
            <w:vAlign w:val="center"/>
          </w:tcPr>
          <w:p w14:paraId="79B94100" w14:textId="7BC96F22" w:rsidR="00EC3E8C" w:rsidRPr="00E865D7" w:rsidRDefault="001B2940" w:rsidP="00426C53">
            <w:pPr>
              <w:pStyle w:val="Tabletext"/>
              <w:jc w:val="center"/>
              <w:rPr>
                <w:rFonts w:ascii="Arial Narrow" w:hAnsi="Arial Narrow"/>
                <w:highlight w:val="darkGray"/>
              </w:rPr>
            </w:pPr>
            <w:r w:rsidRPr="001B2940">
              <w:rPr>
                <w:rFonts w:ascii="Arial Narrow" w:hAnsi="Arial Narrow"/>
                <w:highlight w:val="black"/>
              </w:rPr>
              <w:t>&amp;&amp;&amp;&amp;</w:t>
            </w:r>
          </w:p>
        </w:tc>
        <w:tc>
          <w:tcPr>
            <w:tcW w:w="1006" w:type="pct"/>
            <w:vAlign w:val="center"/>
          </w:tcPr>
          <w:p w14:paraId="52FF8560" w14:textId="5A5A0D28" w:rsidR="00EC3E8C" w:rsidRPr="00E865D7" w:rsidRDefault="001B2940" w:rsidP="00426C53">
            <w:pPr>
              <w:pStyle w:val="Tabletext"/>
              <w:jc w:val="center"/>
              <w:rPr>
                <w:rFonts w:ascii="Arial Narrow" w:hAnsi="Arial Narrow"/>
                <w:highlight w:val="darkGray"/>
              </w:rPr>
            </w:pPr>
            <w:r w:rsidRPr="001B2940">
              <w:rPr>
                <w:rFonts w:ascii="Arial Narrow" w:hAnsi="Arial Narrow"/>
                <w:highlight w:val="black"/>
              </w:rPr>
              <w:t>&amp;&amp;&amp;&amp;</w:t>
            </w:r>
          </w:p>
        </w:tc>
        <w:tc>
          <w:tcPr>
            <w:tcW w:w="1006" w:type="pct"/>
            <w:vAlign w:val="center"/>
          </w:tcPr>
          <w:p w14:paraId="2FAC8EC4" w14:textId="5C5C3AAA" w:rsidR="00EC3E8C" w:rsidRPr="00E865D7" w:rsidRDefault="001B2940" w:rsidP="00426C53">
            <w:pPr>
              <w:pStyle w:val="Tabletext"/>
              <w:jc w:val="center"/>
              <w:rPr>
                <w:rFonts w:ascii="Arial Narrow" w:hAnsi="Arial Narrow"/>
                <w:highlight w:val="darkGray"/>
              </w:rPr>
            </w:pPr>
            <w:r w:rsidRPr="001B2940">
              <w:rPr>
                <w:rFonts w:ascii="Arial Narrow" w:hAnsi="Arial Narrow"/>
                <w:highlight w:val="black"/>
              </w:rPr>
              <w:t>&amp;&amp;&amp;&amp;</w:t>
            </w:r>
          </w:p>
        </w:tc>
        <w:tc>
          <w:tcPr>
            <w:tcW w:w="1131" w:type="pct"/>
            <w:vAlign w:val="center"/>
          </w:tcPr>
          <w:p w14:paraId="09EDB558" w14:textId="0CD38B45" w:rsidR="00EC3E8C" w:rsidRPr="00E865D7" w:rsidRDefault="001B2940" w:rsidP="00426C53">
            <w:pPr>
              <w:pStyle w:val="Tabletext"/>
              <w:jc w:val="center"/>
              <w:rPr>
                <w:rFonts w:ascii="Arial Narrow" w:hAnsi="Arial Narrow"/>
                <w:highlight w:val="darkGray"/>
              </w:rPr>
            </w:pPr>
            <w:r w:rsidRPr="001B2940">
              <w:rPr>
                <w:rFonts w:ascii="Arial Narrow" w:hAnsi="Arial Narrow"/>
                <w:color w:val="000000"/>
                <w:highlight w:val="black"/>
              </w:rPr>
              <w:t>&amp;&amp;&amp;&amp;</w:t>
            </w:r>
          </w:p>
        </w:tc>
      </w:tr>
    </w:tbl>
    <w:p w14:paraId="3F61240B" w14:textId="117E7C1B" w:rsidR="00624C09" w:rsidRPr="00624C09" w:rsidRDefault="00624C09" w:rsidP="00624C09">
      <w:pPr>
        <w:keepNext/>
        <w:keepLines/>
        <w:rPr>
          <w:rFonts w:ascii="Arial Narrow" w:eastAsiaTheme="minorHAnsi" w:hAnsi="Arial Narrow" w:cstheme="minorHAnsi"/>
          <w:sz w:val="18"/>
          <w:szCs w:val="18"/>
        </w:rPr>
      </w:pPr>
      <w:r w:rsidRPr="00EF3119">
        <w:rPr>
          <w:rFonts w:ascii="Arial Narrow" w:eastAsiaTheme="minorHAnsi" w:hAnsi="Arial Narrow" w:cstheme="minorHAnsi"/>
          <w:sz w:val="18"/>
          <w:szCs w:val="18"/>
        </w:rPr>
        <w:t xml:space="preserve">Source: </w:t>
      </w:r>
      <w:r w:rsidRPr="00EF3119">
        <w:rPr>
          <w:rFonts w:ascii="Arial Narrow" w:eastAsiaTheme="minorHAnsi" w:hAnsi="Arial Narrow" w:cstheme="minorBidi"/>
          <w:sz w:val="18"/>
          <w:szCs w:val="18"/>
        </w:rPr>
        <w:t xml:space="preserve">Table </w:t>
      </w:r>
      <w:r>
        <w:rPr>
          <w:rFonts w:ascii="Arial Narrow" w:eastAsiaTheme="minorHAnsi" w:hAnsi="Arial Narrow" w:cstheme="minorBidi"/>
          <w:sz w:val="18"/>
          <w:szCs w:val="18"/>
        </w:rPr>
        <w:t xml:space="preserve">33 </w:t>
      </w:r>
      <w:r w:rsidRPr="00EF3119">
        <w:rPr>
          <w:rFonts w:ascii="Arial Narrow" w:eastAsiaTheme="minorHAnsi" w:hAnsi="Arial Narrow" w:cstheme="minorBidi"/>
          <w:sz w:val="18"/>
          <w:szCs w:val="18"/>
        </w:rPr>
        <w:t>of the submission</w:t>
      </w:r>
      <w:r>
        <w:rPr>
          <w:rFonts w:ascii="Arial Narrow" w:eastAsiaTheme="minorHAnsi" w:hAnsi="Arial Narrow" w:cstheme="minorBidi"/>
          <w:sz w:val="18"/>
          <w:szCs w:val="18"/>
        </w:rPr>
        <w:t xml:space="preserve">, </w:t>
      </w:r>
      <w:r w:rsidRPr="00EF3119">
        <w:rPr>
          <w:rFonts w:ascii="Arial Narrow" w:eastAsiaTheme="minorHAnsi" w:hAnsi="Arial Narrow" w:cstheme="minorHAnsi"/>
          <w:sz w:val="18"/>
          <w:szCs w:val="18"/>
        </w:rPr>
        <w:t xml:space="preserve">AEMP = approved ex-manufacturer price </w:t>
      </w:r>
    </w:p>
    <w:p w14:paraId="5C45F8CE" w14:textId="77777777" w:rsidR="00042D76" w:rsidRPr="00A6439B" w:rsidRDefault="00042D76" w:rsidP="00042D76">
      <w:pPr>
        <w:pStyle w:val="4-SubsectionHeading"/>
        <w:rPr>
          <w:lang w:eastAsia="en-US"/>
        </w:rPr>
      </w:pPr>
      <w:r w:rsidRPr="00A6439B">
        <w:rPr>
          <w:lang w:eastAsia="en-US"/>
        </w:rPr>
        <w:t>Estimated PBS usage and financial implications</w:t>
      </w:r>
    </w:p>
    <w:p w14:paraId="0366CDC2" w14:textId="707BBA45" w:rsidR="00042D76" w:rsidRPr="000F3A05" w:rsidRDefault="00042D76" w:rsidP="00042D76">
      <w:pPr>
        <w:pStyle w:val="3-BodyText"/>
      </w:pPr>
      <w:r w:rsidRPr="79900132">
        <w:t xml:space="preserve">The submission adopted a market share approach to estimate the utilisation and financial impact of listing </w:t>
      </w:r>
      <w:r w:rsidR="00FD7CB5">
        <w:t>the</w:t>
      </w:r>
      <w:r w:rsidR="00FD7CB5" w:rsidRPr="001E74D3">
        <w:t xml:space="preserve"> </w:t>
      </w:r>
      <w:r w:rsidR="001E74D3" w:rsidRPr="001E74D3">
        <w:t>160 mg tablet</w:t>
      </w:r>
      <w:r w:rsidRPr="79900132">
        <w:t>.</w:t>
      </w:r>
    </w:p>
    <w:p w14:paraId="2EF6FBF9" w14:textId="4A69B3DD" w:rsidR="00042D76" w:rsidRPr="00670B77" w:rsidRDefault="00042D76" w:rsidP="002E127C">
      <w:pPr>
        <w:pStyle w:val="3-BodyText"/>
        <w:rPr>
          <w:i/>
          <w:iCs/>
        </w:rPr>
      </w:pPr>
      <w:r>
        <w:fldChar w:fldCharType="begin"/>
      </w:r>
      <w:r>
        <w:instrText xml:space="preserve"> REF _Ref189672794 \h </w:instrText>
      </w:r>
      <w:r>
        <w:fldChar w:fldCharType="separate"/>
      </w:r>
      <w:r w:rsidR="004A3DC1">
        <w:rPr>
          <w:b/>
          <w:bCs/>
          <w:lang w:val="en-GB"/>
        </w:rPr>
        <w:t>Error! Reference source not found.</w:t>
      </w:r>
      <w:r>
        <w:fldChar w:fldCharType="end"/>
      </w:r>
      <w:r w:rsidRPr="79900132">
        <w:t xml:space="preserve"> presents the estimated </w:t>
      </w:r>
      <w:r w:rsidR="00FA3B0E">
        <w:t>usage and financial implications</w:t>
      </w:r>
      <w:r w:rsidR="00453D20">
        <w:t xml:space="preserve"> of listing the 160 mg tablet</w:t>
      </w:r>
      <w:r w:rsidRPr="79900132">
        <w:t xml:space="preserve">. </w:t>
      </w:r>
      <w:r w:rsidR="00401DDC" w:rsidRPr="00401DDC">
        <w:t>The submission estimated a nil net financial impact to the PBS/RPBS over a period of six years</w:t>
      </w:r>
      <w:r w:rsidR="00114605">
        <w:t>.</w:t>
      </w:r>
      <w:r w:rsidR="00401DDC">
        <w:t xml:space="preserve"> </w:t>
      </w:r>
      <w:r w:rsidRPr="79900132">
        <w:t>The financial impact to Services Australia will be determined by that agency as part of the post PBAC process.</w:t>
      </w:r>
    </w:p>
    <w:p w14:paraId="70D2EBC2" w14:textId="75F6B8D3" w:rsidR="00FD05C6" w:rsidRPr="00591BEE" w:rsidRDefault="00FD05C6" w:rsidP="00FD05C6">
      <w:pPr>
        <w:pStyle w:val="Caption"/>
        <w:keepNext/>
      </w:pPr>
      <w:bookmarkStart w:id="20" w:name="_Ref191309920"/>
      <w:r>
        <w:t xml:space="preserve">Table </w:t>
      </w:r>
      <w:bookmarkEnd w:id="20"/>
      <w:r w:rsidR="00682A0F">
        <w:t>4</w:t>
      </w:r>
      <w:r>
        <w:t>: E</w:t>
      </w:r>
      <w:r w:rsidRPr="003A65AD">
        <w:t>stimated use and financial implications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Pr>
      <w:tblGrid>
        <w:gridCol w:w="1833"/>
        <w:gridCol w:w="1198"/>
        <w:gridCol w:w="1197"/>
        <w:gridCol w:w="1197"/>
        <w:gridCol w:w="1197"/>
        <w:gridCol w:w="1197"/>
        <w:gridCol w:w="1197"/>
      </w:tblGrid>
      <w:tr w:rsidR="00D8225D" w:rsidRPr="00A6439B" w14:paraId="0026B99F" w14:textId="77777777" w:rsidTr="0016189A">
        <w:trPr>
          <w:cantSplit/>
          <w:tblHeader/>
          <w:jc w:val="center"/>
        </w:trPr>
        <w:tc>
          <w:tcPr>
            <w:tcW w:w="1016" w:type="pct"/>
            <w:vAlign w:val="center"/>
          </w:tcPr>
          <w:p w14:paraId="66AB56A1" w14:textId="77777777" w:rsidR="00FD05C6" w:rsidRPr="00A6439B" w:rsidRDefault="00FD05C6" w:rsidP="002E127C">
            <w:pPr>
              <w:pStyle w:val="TableText0"/>
              <w:keepLines/>
            </w:pPr>
          </w:p>
        </w:tc>
        <w:tc>
          <w:tcPr>
            <w:tcW w:w="664" w:type="pct"/>
            <w:vAlign w:val="center"/>
          </w:tcPr>
          <w:p w14:paraId="562740B8" w14:textId="77777777" w:rsidR="00FD05C6" w:rsidRPr="00A6439B" w:rsidRDefault="00FD05C6" w:rsidP="002E127C">
            <w:pPr>
              <w:pStyle w:val="TableText0"/>
              <w:keepLines/>
              <w:rPr>
                <w:b/>
              </w:rPr>
            </w:pPr>
            <w:r w:rsidRPr="00A6439B">
              <w:rPr>
                <w:b/>
              </w:rPr>
              <w:t>Year 1</w:t>
            </w:r>
          </w:p>
        </w:tc>
        <w:tc>
          <w:tcPr>
            <w:tcW w:w="664" w:type="pct"/>
            <w:vAlign w:val="center"/>
          </w:tcPr>
          <w:p w14:paraId="3AEAB1B4" w14:textId="77777777" w:rsidR="00FD05C6" w:rsidRPr="00A6439B" w:rsidRDefault="00FD05C6" w:rsidP="002E127C">
            <w:pPr>
              <w:pStyle w:val="TableText0"/>
              <w:keepLines/>
              <w:rPr>
                <w:b/>
              </w:rPr>
            </w:pPr>
            <w:r w:rsidRPr="00A6439B">
              <w:rPr>
                <w:b/>
              </w:rPr>
              <w:t>Year 2</w:t>
            </w:r>
          </w:p>
        </w:tc>
        <w:tc>
          <w:tcPr>
            <w:tcW w:w="664" w:type="pct"/>
            <w:vAlign w:val="center"/>
          </w:tcPr>
          <w:p w14:paraId="58B01E94" w14:textId="77777777" w:rsidR="00FD05C6" w:rsidRPr="00A6439B" w:rsidRDefault="00FD05C6" w:rsidP="002E127C">
            <w:pPr>
              <w:pStyle w:val="TableText0"/>
              <w:keepLines/>
              <w:rPr>
                <w:b/>
              </w:rPr>
            </w:pPr>
            <w:r w:rsidRPr="00A6439B">
              <w:rPr>
                <w:b/>
              </w:rPr>
              <w:t>Year 3</w:t>
            </w:r>
          </w:p>
        </w:tc>
        <w:tc>
          <w:tcPr>
            <w:tcW w:w="664" w:type="pct"/>
            <w:vAlign w:val="center"/>
          </w:tcPr>
          <w:p w14:paraId="77920BF3" w14:textId="77777777" w:rsidR="00FD05C6" w:rsidRPr="00A6439B" w:rsidRDefault="00FD05C6" w:rsidP="002E127C">
            <w:pPr>
              <w:pStyle w:val="TableText0"/>
              <w:keepLines/>
              <w:rPr>
                <w:b/>
              </w:rPr>
            </w:pPr>
            <w:r w:rsidRPr="00A6439B">
              <w:rPr>
                <w:b/>
              </w:rPr>
              <w:t>Year 4</w:t>
            </w:r>
          </w:p>
        </w:tc>
        <w:tc>
          <w:tcPr>
            <w:tcW w:w="664" w:type="pct"/>
            <w:vAlign w:val="center"/>
          </w:tcPr>
          <w:p w14:paraId="38E1509B" w14:textId="77777777" w:rsidR="00FD05C6" w:rsidRPr="00A6439B" w:rsidRDefault="00FD05C6" w:rsidP="002E127C">
            <w:pPr>
              <w:pStyle w:val="TableText0"/>
              <w:keepLines/>
              <w:rPr>
                <w:b/>
              </w:rPr>
            </w:pPr>
            <w:r w:rsidRPr="00A6439B">
              <w:rPr>
                <w:b/>
              </w:rPr>
              <w:t>Year 5</w:t>
            </w:r>
          </w:p>
        </w:tc>
        <w:tc>
          <w:tcPr>
            <w:tcW w:w="664" w:type="pct"/>
          </w:tcPr>
          <w:p w14:paraId="36DE105E" w14:textId="77777777" w:rsidR="00FD05C6" w:rsidRPr="00A6439B" w:rsidRDefault="00FD05C6" w:rsidP="002E127C">
            <w:pPr>
              <w:pStyle w:val="TableText0"/>
              <w:keepLines/>
              <w:rPr>
                <w:b/>
              </w:rPr>
            </w:pPr>
            <w:r w:rsidRPr="00A6439B">
              <w:rPr>
                <w:b/>
              </w:rPr>
              <w:t>Year 6</w:t>
            </w:r>
          </w:p>
        </w:tc>
      </w:tr>
      <w:tr w:rsidR="00FD05C6" w:rsidRPr="00A6439B" w14:paraId="2160EAD1" w14:textId="77777777" w:rsidTr="0016189A">
        <w:trPr>
          <w:cantSplit/>
          <w:jc w:val="center"/>
        </w:trPr>
        <w:tc>
          <w:tcPr>
            <w:tcW w:w="5000" w:type="pct"/>
            <w:gridSpan w:val="7"/>
            <w:vAlign w:val="center"/>
          </w:tcPr>
          <w:p w14:paraId="68ABC993" w14:textId="77777777" w:rsidR="00FD05C6" w:rsidRPr="00A6439B" w:rsidRDefault="00FD05C6" w:rsidP="002E127C">
            <w:pPr>
              <w:pStyle w:val="TableText0"/>
              <w:keepLines/>
              <w:rPr>
                <w:b/>
                <w:color w:val="000000"/>
              </w:rPr>
            </w:pPr>
            <w:r w:rsidRPr="00A6439B">
              <w:rPr>
                <w:b/>
                <w:color w:val="000000"/>
              </w:rPr>
              <w:t>Estimated extent of use</w:t>
            </w:r>
          </w:p>
        </w:tc>
      </w:tr>
      <w:tr w:rsidR="00D8225D" w:rsidRPr="00A6439B" w14:paraId="55B25452" w14:textId="77777777" w:rsidTr="0016189A">
        <w:trPr>
          <w:cantSplit/>
          <w:jc w:val="center"/>
        </w:trPr>
        <w:tc>
          <w:tcPr>
            <w:tcW w:w="1016" w:type="pct"/>
            <w:vAlign w:val="center"/>
          </w:tcPr>
          <w:p w14:paraId="1E1D10B2" w14:textId="77777777" w:rsidR="00E552E7" w:rsidRPr="00A6439B" w:rsidRDefault="00E552E7" w:rsidP="00E552E7">
            <w:pPr>
              <w:pStyle w:val="TableText0"/>
              <w:keepLines/>
              <w:rPr>
                <w:vertAlign w:val="superscript"/>
              </w:rPr>
            </w:pPr>
            <w:r w:rsidRPr="00A6439B">
              <w:t xml:space="preserve">Number of scripts </w:t>
            </w:r>
          </w:p>
        </w:tc>
        <w:tc>
          <w:tcPr>
            <w:tcW w:w="664" w:type="pct"/>
            <w:tcBorders>
              <w:top w:val="single" w:sz="4" w:space="0" w:color="auto"/>
              <w:left w:val="single" w:sz="4" w:space="0" w:color="auto"/>
              <w:bottom w:val="single" w:sz="4" w:space="0" w:color="auto"/>
              <w:right w:val="single" w:sz="4" w:space="0" w:color="auto"/>
            </w:tcBorders>
            <w:vAlign w:val="center"/>
          </w:tcPr>
          <w:p w14:paraId="5C163C0D" w14:textId="543A5994" w:rsidR="00E552E7" w:rsidRPr="00E865D7" w:rsidRDefault="001B2940" w:rsidP="00E552E7">
            <w:pPr>
              <w:pStyle w:val="TableText0"/>
              <w:keepLines/>
              <w:jc w:val="right"/>
              <w:rPr>
                <w:highlight w:val="darkGray"/>
              </w:rPr>
            </w:pPr>
            <w:r w:rsidRPr="001B2940">
              <w:rPr>
                <w:highlight w:val="black"/>
              </w:rPr>
              <w:t>&amp;&amp;&amp;&amp;</w:t>
            </w:r>
            <w:r w:rsidR="004B1083" w:rsidRPr="00E865D7">
              <w:rPr>
                <w:vertAlign w:val="superscript"/>
              </w:rPr>
              <w:t>1</w:t>
            </w:r>
            <w:r w:rsidRPr="001B2940">
              <w:t xml:space="preserve"> </w:t>
            </w:r>
          </w:p>
        </w:tc>
        <w:tc>
          <w:tcPr>
            <w:tcW w:w="664" w:type="pct"/>
            <w:tcBorders>
              <w:top w:val="single" w:sz="4" w:space="0" w:color="auto"/>
              <w:left w:val="nil"/>
              <w:bottom w:val="single" w:sz="4" w:space="0" w:color="auto"/>
              <w:right w:val="single" w:sz="4" w:space="0" w:color="auto"/>
            </w:tcBorders>
            <w:vAlign w:val="center"/>
          </w:tcPr>
          <w:p w14:paraId="5C0AB230" w14:textId="489A1EE4" w:rsidR="00E552E7" w:rsidRPr="00E865D7" w:rsidRDefault="001B2940" w:rsidP="00E552E7">
            <w:pPr>
              <w:pStyle w:val="TableText0"/>
              <w:keepLines/>
              <w:jc w:val="right"/>
              <w:rPr>
                <w:highlight w:val="darkGray"/>
              </w:rPr>
            </w:pPr>
            <w:r w:rsidRPr="001B2940">
              <w:rPr>
                <w:highlight w:val="black"/>
              </w:rPr>
              <w:t>&amp;&amp;&amp;&amp;</w:t>
            </w:r>
            <w:r w:rsidR="004B1083">
              <w:rPr>
                <w:vertAlign w:val="superscript"/>
              </w:rPr>
              <w:t>2</w:t>
            </w:r>
            <w:r w:rsidRPr="001B2940">
              <w:t xml:space="preserve"> </w:t>
            </w:r>
          </w:p>
        </w:tc>
        <w:tc>
          <w:tcPr>
            <w:tcW w:w="664" w:type="pct"/>
            <w:tcBorders>
              <w:top w:val="single" w:sz="4" w:space="0" w:color="auto"/>
              <w:left w:val="nil"/>
              <w:bottom w:val="single" w:sz="4" w:space="0" w:color="auto"/>
              <w:right w:val="single" w:sz="4" w:space="0" w:color="auto"/>
            </w:tcBorders>
            <w:vAlign w:val="center"/>
          </w:tcPr>
          <w:p w14:paraId="2162B1C2" w14:textId="21D4E9F7" w:rsidR="00E552E7" w:rsidRPr="00E865D7" w:rsidRDefault="001B2940" w:rsidP="00E552E7">
            <w:pPr>
              <w:pStyle w:val="TableText0"/>
              <w:keepLines/>
              <w:jc w:val="right"/>
              <w:rPr>
                <w:highlight w:val="darkGray"/>
              </w:rPr>
            </w:pPr>
            <w:r w:rsidRPr="001B2940">
              <w:rPr>
                <w:highlight w:val="black"/>
              </w:rPr>
              <w:t>&amp;&amp;&amp;&amp;</w:t>
            </w:r>
            <w:r w:rsidR="004B1083">
              <w:rPr>
                <w:vertAlign w:val="superscript"/>
              </w:rPr>
              <w:t>3</w:t>
            </w:r>
            <w:r w:rsidRPr="001B2940">
              <w:t xml:space="preserve"> </w:t>
            </w:r>
          </w:p>
        </w:tc>
        <w:tc>
          <w:tcPr>
            <w:tcW w:w="664" w:type="pct"/>
            <w:tcBorders>
              <w:top w:val="single" w:sz="4" w:space="0" w:color="auto"/>
              <w:left w:val="nil"/>
              <w:bottom w:val="single" w:sz="4" w:space="0" w:color="auto"/>
              <w:right w:val="single" w:sz="4" w:space="0" w:color="auto"/>
            </w:tcBorders>
            <w:vAlign w:val="center"/>
          </w:tcPr>
          <w:p w14:paraId="624A1C8B" w14:textId="793B3859" w:rsidR="00E552E7" w:rsidRPr="00E865D7" w:rsidRDefault="001B2940" w:rsidP="00E552E7">
            <w:pPr>
              <w:pStyle w:val="TableText0"/>
              <w:keepLines/>
              <w:jc w:val="right"/>
              <w:rPr>
                <w:highlight w:val="darkGray"/>
              </w:rPr>
            </w:pPr>
            <w:r w:rsidRPr="001B2940">
              <w:rPr>
                <w:highlight w:val="black"/>
              </w:rPr>
              <w:t>&amp;&amp;&amp;&amp;</w:t>
            </w:r>
            <w:r w:rsidR="004B1083">
              <w:rPr>
                <w:vertAlign w:val="superscript"/>
              </w:rPr>
              <w:t>3</w:t>
            </w:r>
            <w:r w:rsidRPr="001B2940">
              <w:t xml:space="preserve"> </w:t>
            </w:r>
          </w:p>
        </w:tc>
        <w:tc>
          <w:tcPr>
            <w:tcW w:w="664" w:type="pct"/>
            <w:tcBorders>
              <w:top w:val="single" w:sz="4" w:space="0" w:color="auto"/>
              <w:left w:val="nil"/>
              <w:bottom w:val="single" w:sz="4" w:space="0" w:color="auto"/>
              <w:right w:val="single" w:sz="4" w:space="0" w:color="auto"/>
            </w:tcBorders>
            <w:vAlign w:val="center"/>
          </w:tcPr>
          <w:p w14:paraId="5035DBC2" w14:textId="0A53B4AB" w:rsidR="00E552E7" w:rsidRPr="00E865D7" w:rsidRDefault="001B2940" w:rsidP="00E552E7">
            <w:pPr>
              <w:pStyle w:val="TableText0"/>
              <w:keepLines/>
              <w:jc w:val="right"/>
              <w:rPr>
                <w:highlight w:val="darkGray"/>
              </w:rPr>
            </w:pPr>
            <w:r w:rsidRPr="001B2940">
              <w:rPr>
                <w:highlight w:val="black"/>
              </w:rPr>
              <w:t>&amp;&amp;&amp;&amp;</w:t>
            </w:r>
            <w:r w:rsidR="004B1083">
              <w:rPr>
                <w:vertAlign w:val="superscript"/>
              </w:rPr>
              <w:t>3</w:t>
            </w:r>
            <w:r w:rsidRPr="001B2940">
              <w:t xml:space="preserve"> </w:t>
            </w:r>
          </w:p>
        </w:tc>
        <w:tc>
          <w:tcPr>
            <w:tcW w:w="664" w:type="pct"/>
            <w:tcBorders>
              <w:top w:val="single" w:sz="4" w:space="0" w:color="auto"/>
              <w:left w:val="nil"/>
              <w:bottom w:val="single" w:sz="4" w:space="0" w:color="auto"/>
              <w:right w:val="single" w:sz="4" w:space="0" w:color="auto"/>
            </w:tcBorders>
            <w:vAlign w:val="center"/>
          </w:tcPr>
          <w:p w14:paraId="3D3C8475" w14:textId="5BB93D5B" w:rsidR="00E552E7" w:rsidRPr="00E865D7" w:rsidRDefault="001B2940" w:rsidP="00E552E7">
            <w:pPr>
              <w:pStyle w:val="TableText0"/>
              <w:keepLines/>
              <w:jc w:val="right"/>
              <w:rPr>
                <w:highlight w:val="darkGray"/>
              </w:rPr>
            </w:pPr>
            <w:r w:rsidRPr="001B2940">
              <w:rPr>
                <w:highlight w:val="black"/>
              </w:rPr>
              <w:t>&amp;&amp;&amp;&amp;</w:t>
            </w:r>
            <w:r w:rsidR="004B1083">
              <w:rPr>
                <w:vertAlign w:val="superscript"/>
              </w:rPr>
              <w:t>3</w:t>
            </w:r>
            <w:r w:rsidRPr="001B2940">
              <w:t xml:space="preserve"> </w:t>
            </w:r>
          </w:p>
        </w:tc>
      </w:tr>
      <w:tr w:rsidR="00FD05C6" w:rsidRPr="00A6439B" w14:paraId="4AD424EB" w14:textId="77777777" w:rsidTr="0016189A">
        <w:trPr>
          <w:cantSplit/>
          <w:jc w:val="center"/>
        </w:trPr>
        <w:tc>
          <w:tcPr>
            <w:tcW w:w="5000" w:type="pct"/>
            <w:gridSpan w:val="7"/>
            <w:vAlign w:val="center"/>
          </w:tcPr>
          <w:p w14:paraId="3559A322" w14:textId="77777777" w:rsidR="00FD05C6" w:rsidRPr="00CC5890" w:rsidRDefault="00FD05C6" w:rsidP="002E127C">
            <w:pPr>
              <w:pStyle w:val="TableText0"/>
              <w:keepLines/>
              <w:rPr>
                <w:b/>
                <w:color w:val="000000"/>
              </w:rPr>
            </w:pPr>
            <w:r w:rsidRPr="00CC5890">
              <w:rPr>
                <w:b/>
                <w:color w:val="000000"/>
              </w:rPr>
              <w:t xml:space="preserve">Estimated financial implications </w:t>
            </w:r>
          </w:p>
        </w:tc>
      </w:tr>
      <w:tr w:rsidR="00D8225D" w:rsidRPr="00A6439B" w14:paraId="42DA43A8" w14:textId="77777777" w:rsidTr="0016189A">
        <w:trPr>
          <w:cantSplit/>
          <w:jc w:val="center"/>
        </w:trPr>
        <w:tc>
          <w:tcPr>
            <w:tcW w:w="1016" w:type="pct"/>
          </w:tcPr>
          <w:p w14:paraId="479935D8" w14:textId="491EC6E5" w:rsidR="00C847F5" w:rsidRPr="00A6439B" w:rsidRDefault="00C847F5" w:rsidP="00C847F5">
            <w:pPr>
              <w:pStyle w:val="TableText0"/>
              <w:keepLines/>
            </w:pPr>
            <w:r w:rsidRPr="00AC5315">
              <w:t>New PBS listing</w:t>
            </w:r>
            <w:r w:rsidR="000A6B91">
              <w:t xml:space="preserve"> ($)</w:t>
            </w:r>
          </w:p>
        </w:tc>
        <w:tc>
          <w:tcPr>
            <w:tcW w:w="664" w:type="pct"/>
            <w:tcBorders>
              <w:top w:val="single" w:sz="4" w:space="0" w:color="auto"/>
              <w:left w:val="single" w:sz="4" w:space="0" w:color="auto"/>
              <w:bottom w:val="single" w:sz="4" w:space="0" w:color="auto"/>
              <w:right w:val="single" w:sz="4" w:space="0" w:color="auto"/>
            </w:tcBorders>
            <w:vAlign w:val="center"/>
          </w:tcPr>
          <w:p w14:paraId="5BB37D94" w14:textId="2EF1D4B9" w:rsidR="00C847F5" w:rsidRPr="00E865D7" w:rsidRDefault="001B2940" w:rsidP="00C847F5">
            <w:pPr>
              <w:pStyle w:val="TableText0"/>
              <w:keepLines/>
              <w:jc w:val="right"/>
              <w:rPr>
                <w:highlight w:val="darkGray"/>
              </w:rPr>
            </w:pPr>
            <w:r w:rsidRPr="001B2940">
              <w:rPr>
                <w:highlight w:val="black"/>
              </w:rPr>
              <w:t>&amp;&amp;&amp;&amp;</w:t>
            </w:r>
            <w:r w:rsidR="000A6B91">
              <w:rPr>
                <w:vertAlign w:val="superscript"/>
              </w:rPr>
              <w:t>4</w:t>
            </w:r>
          </w:p>
        </w:tc>
        <w:tc>
          <w:tcPr>
            <w:tcW w:w="664" w:type="pct"/>
            <w:tcBorders>
              <w:top w:val="single" w:sz="4" w:space="0" w:color="auto"/>
              <w:left w:val="nil"/>
              <w:bottom w:val="single" w:sz="4" w:space="0" w:color="auto"/>
              <w:right w:val="single" w:sz="4" w:space="0" w:color="auto"/>
            </w:tcBorders>
            <w:vAlign w:val="center"/>
          </w:tcPr>
          <w:p w14:paraId="0FE57601" w14:textId="0F1003E6" w:rsidR="00C847F5" w:rsidRPr="00E865D7" w:rsidRDefault="001B2940" w:rsidP="00C847F5">
            <w:pPr>
              <w:pStyle w:val="TableText0"/>
              <w:keepLines/>
              <w:jc w:val="right"/>
              <w:rPr>
                <w:highlight w:val="darkGray"/>
              </w:rPr>
            </w:pPr>
            <w:r w:rsidRPr="001B2940">
              <w:rPr>
                <w:highlight w:val="black"/>
              </w:rPr>
              <w:t>&amp;&amp;&amp;&amp;</w:t>
            </w:r>
            <w:r w:rsidR="000A6B91">
              <w:rPr>
                <w:vertAlign w:val="superscript"/>
              </w:rPr>
              <w:t>5</w:t>
            </w:r>
          </w:p>
        </w:tc>
        <w:tc>
          <w:tcPr>
            <w:tcW w:w="664" w:type="pct"/>
            <w:tcBorders>
              <w:top w:val="single" w:sz="4" w:space="0" w:color="auto"/>
              <w:left w:val="nil"/>
              <w:bottom w:val="single" w:sz="4" w:space="0" w:color="auto"/>
              <w:right w:val="single" w:sz="4" w:space="0" w:color="auto"/>
            </w:tcBorders>
            <w:vAlign w:val="center"/>
          </w:tcPr>
          <w:p w14:paraId="70ECB2AB" w14:textId="5E6D3DCD" w:rsidR="00C847F5" w:rsidRPr="00E865D7" w:rsidRDefault="001B2940" w:rsidP="00C847F5">
            <w:pPr>
              <w:pStyle w:val="TableText0"/>
              <w:keepLines/>
              <w:jc w:val="right"/>
              <w:rPr>
                <w:highlight w:val="darkGray"/>
              </w:rPr>
            </w:pPr>
            <w:r w:rsidRPr="001B2940">
              <w:rPr>
                <w:highlight w:val="black"/>
              </w:rPr>
              <w:t>&amp;&amp;&amp;&amp;</w:t>
            </w:r>
            <w:r w:rsidR="000A6B91">
              <w:rPr>
                <w:vertAlign w:val="superscript"/>
              </w:rPr>
              <w:t>5</w:t>
            </w:r>
          </w:p>
        </w:tc>
        <w:tc>
          <w:tcPr>
            <w:tcW w:w="664" w:type="pct"/>
            <w:tcBorders>
              <w:top w:val="single" w:sz="4" w:space="0" w:color="auto"/>
              <w:left w:val="nil"/>
              <w:bottom w:val="single" w:sz="4" w:space="0" w:color="auto"/>
              <w:right w:val="single" w:sz="4" w:space="0" w:color="auto"/>
            </w:tcBorders>
            <w:vAlign w:val="center"/>
          </w:tcPr>
          <w:p w14:paraId="438F2DB3" w14:textId="4060A6F9" w:rsidR="00C847F5" w:rsidRPr="00E865D7" w:rsidRDefault="001B2940" w:rsidP="00C847F5">
            <w:pPr>
              <w:pStyle w:val="TableText0"/>
              <w:keepLines/>
              <w:jc w:val="right"/>
              <w:rPr>
                <w:highlight w:val="darkGray"/>
              </w:rPr>
            </w:pPr>
            <w:r w:rsidRPr="001B2940">
              <w:rPr>
                <w:highlight w:val="black"/>
              </w:rPr>
              <w:t>&amp;&amp;&amp;&amp;</w:t>
            </w:r>
            <w:r w:rsidR="000A6B91">
              <w:rPr>
                <w:vertAlign w:val="superscript"/>
              </w:rPr>
              <w:t>5</w:t>
            </w:r>
          </w:p>
        </w:tc>
        <w:tc>
          <w:tcPr>
            <w:tcW w:w="664" w:type="pct"/>
            <w:tcBorders>
              <w:top w:val="single" w:sz="4" w:space="0" w:color="auto"/>
              <w:left w:val="nil"/>
              <w:bottom w:val="single" w:sz="4" w:space="0" w:color="auto"/>
              <w:right w:val="single" w:sz="4" w:space="0" w:color="auto"/>
            </w:tcBorders>
            <w:vAlign w:val="center"/>
          </w:tcPr>
          <w:p w14:paraId="66D9154D" w14:textId="2F7687DA" w:rsidR="00C847F5" w:rsidRPr="00E865D7" w:rsidRDefault="001B2940" w:rsidP="00C847F5">
            <w:pPr>
              <w:pStyle w:val="TableText0"/>
              <w:keepLines/>
              <w:jc w:val="right"/>
              <w:rPr>
                <w:highlight w:val="darkGray"/>
              </w:rPr>
            </w:pPr>
            <w:r w:rsidRPr="001B2940">
              <w:rPr>
                <w:highlight w:val="black"/>
              </w:rPr>
              <w:t>&amp;&amp;&amp;&amp;</w:t>
            </w:r>
            <w:r w:rsidR="000A6B91">
              <w:rPr>
                <w:vertAlign w:val="superscript"/>
              </w:rPr>
              <w:t>5</w:t>
            </w:r>
          </w:p>
        </w:tc>
        <w:tc>
          <w:tcPr>
            <w:tcW w:w="664" w:type="pct"/>
            <w:tcBorders>
              <w:top w:val="single" w:sz="4" w:space="0" w:color="auto"/>
              <w:left w:val="nil"/>
              <w:bottom w:val="single" w:sz="4" w:space="0" w:color="auto"/>
              <w:right w:val="single" w:sz="4" w:space="0" w:color="auto"/>
            </w:tcBorders>
            <w:vAlign w:val="center"/>
          </w:tcPr>
          <w:p w14:paraId="31130CAE" w14:textId="380E1D9A" w:rsidR="00C847F5" w:rsidRPr="00E865D7" w:rsidRDefault="001B2940" w:rsidP="00C847F5">
            <w:pPr>
              <w:pStyle w:val="TableText0"/>
              <w:keepLines/>
              <w:jc w:val="right"/>
              <w:rPr>
                <w:highlight w:val="darkGray"/>
              </w:rPr>
            </w:pPr>
            <w:r w:rsidRPr="001B2940">
              <w:rPr>
                <w:highlight w:val="black"/>
              </w:rPr>
              <w:t>&amp;&amp;&amp;&amp;</w:t>
            </w:r>
            <w:r w:rsidR="000A6B91">
              <w:rPr>
                <w:vertAlign w:val="superscript"/>
              </w:rPr>
              <w:t>5</w:t>
            </w:r>
          </w:p>
        </w:tc>
      </w:tr>
      <w:tr w:rsidR="00D8225D" w:rsidRPr="00A6439B" w14:paraId="455A0C28" w14:textId="77777777" w:rsidTr="0016189A">
        <w:trPr>
          <w:cantSplit/>
          <w:jc w:val="center"/>
        </w:trPr>
        <w:tc>
          <w:tcPr>
            <w:tcW w:w="1016" w:type="pct"/>
          </w:tcPr>
          <w:p w14:paraId="4A6252B5" w14:textId="368E74EF" w:rsidR="00BD128C" w:rsidRPr="00A6439B" w:rsidRDefault="00BD128C" w:rsidP="00BD128C">
            <w:pPr>
              <w:pStyle w:val="TableText0"/>
              <w:keepLines/>
            </w:pPr>
            <w:r w:rsidRPr="00AC5315">
              <w:t>Changed PBS listing</w:t>
            </w:r>
            <w:r w:rsidR="000A6B91">
              <w:t xml:space="preserve"> ($)</w:t>
            </w:r>
          </w:p>
        </w:tc>
        <w:tc>
          <w:tcPr>
            <w:tcW w:w="664" w:type="pct"/>
          </w:tcPr>
          <w:p w14:paraId="390BB8F4" w14:textId="5CA1DD2D" w:rsidR="00BD128C" w:rsidRPr="00CC5890" w:rsidRDefault="00BD128C" w:rsidP="00BD128C">
            <w:pPr>
              <w:pStyle w:val="TableText0"/>
              <w:keepLines/>
              <w:jc w:val="right"/>
            </w:pPr>
            <w:r w:rsidRPr="00CC5890">
              <w:t>-</w:t>
            </w:r>
            <w:r w:rsidR="001B2940" w:rsidRPr="001B2940">
              <w:rPr>
                <w:highlight w:val="black"/>
              </w:rPr>
              <w:t>&amp;&amp;&amp;&amp;</w:t>
            </w:r>
            <w:r w:rsidR="000A6B91">
              <w:rPr>
                <w:vertAlign w:val="superscript"/>
              </w:rPr>
              <w:t>4</w:t>
            </w:r>
          </w:p>
        </w:tc>
        <w:tc>
          <w:tcPr>
            <w:tcW w:w="664" w:type="pct"/>
          </w:tcPr>
          <w:p w14:paraId="11C34242" w14:textId="781E7ED0" w:rsidR="00BD128C" w:rsidRPr="00CC5890" w:rsidRDefault="00BD128C" w:rsidP="00BD128C">
            <w:pPr>
              <w:pStyle w:val="TableText0"/>
              <w:keepLines/>
              <w:jc w:val="right"/>
            </w:pPr>
            <w:r w:rsidRPr="00CC5890">
              <w:t>-</w:t>
            </w:r>
            <w:r w:rsidR="001B2940" w:rsidRPr="001B2940">
              <w:rPr>
                <w:highlight w:val="black"/>
              </w:rPr>
              <w:t>&amp;&amp;&amp;&amp;</w:t>
            </w:r>
            <w:r w:rsidR="000A6B91">
              <w:rPr>
                <w:vertAlign w:val="superscript"/>
              </w:rPr>
              <w:t>5</w:t>
            </w:r>
          </w:p>
        </w:tc>
        <w:tc>
          <w:tcPr>
            <w:tcW w:w="664" w:type="pct"/>
          </w:tcPr>
          <w:p w14:paraId="0AD19ABF" w14:textId="5D1043A4" w:rsidR="00BD128C" w:rsidRPr="00CC5890" w:rsidRDefault="00BD128C" w:rsidP="00BD128C">
            <w:pPr>
              <w:pStyle w:val="TableText0"/>
              <w:keepLines/>
              <w:jc w:val="right"/>
            </w:pPr>
            <w:r w:rsidRPr="00CC5890">
              <w:t>-</w:t>
            </w:r>
            <w:r w:rsidR="001B2940" w:rsidRPr="001B2940">
              <w:rPr>
                <w:highlight w:val="black"/>
              </w:rPr>
              <w:t>&amp;&amp;&amp;&amp;</w:t>
            </w:r>
            <w:r w:rsidR="000A6B91">
              <w:rPr>
                <w:vertAlign w:val="superscript"/>
              </w:rPr>
              <w:t>5</w:t>
            </w:r>
          </w:p>
        </w:tc>
        <w:tc>
          <w:tcPr>
            <w:tcW w:w="664" w:type="pct"/>
          </w:tcPr>
          <w:p w14:paraId="262A50C7" w14:textId="1586B566" w:rsidR="00BD128C" w:rsidRPr="00CC5890" w:rsidRDefault="00BD128C" w:rsidP="00BD128C">
            <w:pPr>
              <w:pStyle w:val="TableText0"/>
              <w:keepLines/>
              <w:jc w:val="right"/>
            </w:pPr>
            <w:r w:rsidRPr="00CC5890">
              <w:t>-</w:t>
            </w:r>
            <w:r w:rsidR="001B2940" w:rsidRPr="001B2940">
              <w:rPr>
                <w:highlight w:val="black"/>
              </w:rPr>
              <w:t>&amp;&amp;&amp;&amp;</w:t>
            </w:r>
            <w:r w:rsidR="000A6B91">
              <w:rPr>
                <w:vertAlign w:val="superscript"/>
              </w:rPr>
              <w:t>5</w:t>
            </w:r>
          </w:p>
        </w:tc>
        <w:tc>
          <w:tcPr>
            <w:tcW w:w="664" w:type="pct"/>
          </w:tcPr>
          <w:p w14:paraId="4069AF65" w14:textId="05040EF3" w:rsidR="00BD128C" w:rsidRPr="00CC5890" w:rsidRDefault="00BD128C" w:rsidP="00BD128C">
            <w:pPr>
              <w:pStyle w:val="TableText0"/>
              <w:keepLines/>
              <w:jc w:val="right"/>
            </w:pPr>
            <w:r w:rsidRPr="00CC5890">
              <w:t>-</w:t>
            </w:r>
            <w:r w:rsidR="001B2940" w:rsidRPr="001B2940">
              <w:rPr>
                <w:highlight w:val="black"/>
              </w:rPr>
              <w:t>&amp;&amp;&amp;&amp;</w:t>
            </w:r>
            <w:r w:rsidR="000A6B91">
              <w:rPr>
                <w:vertAlign w:val="superscript"/>
              </w:rPr>
              <w:t>5</w:t>
            </w:r>
          </w:p>
        </w:tc>
        <w:tc>
          <w:tcPr>
            <w:tcW w:w="664" w:type="pct"/>
          </w:tcPr>
          <w:p w14:paraId="317A8C03" w14:textId="23F465E5" w:rsidR="00BD128C" w:rsidRPr="00CC5890" w:rsidRDefault="00BD128C" w:rsidP="00BD128C">
            <w:pPr>
              <w:pStyle w:val="TableText0"/>
              <w:keepLines/>
              <w:jc w:val="right"/>
            </w:pPr>
            <w:r w:rsidRPr="00CC5890">
              <w:t>-</w:t>
            </w:r>
            <w:r w:rsidR="001B2940" w:rsidRPr="001B2940">
              <w:rPr>
                <w:highlight w:val="black"/>
              </w:rPr>
              <w:t>&amp;&amp;&amp;&amp;</w:t>
            </w:r>
            <w:r w:rsidR="000A6B91">
              <w:rPr>
                <w:vertAlign w:val="superscript"/>
              </w:rPr>
              <w:t>5</w:t>
            </w:r>
          </w:p>
        </w:tc>
      </w:tr>
      <w:tr w:rsidR="00D8225D" w:rsidRPr="00A6439B" w14:paraId="7C3C5376" w14:textId="77777777" w:rsidTr="0016189A">
        <w:trPr>
          <w:cantSplit/>
          <w:jc w:val="center"/>
        </w:trPr>
        <w:tc>
          <w:tcPr>
            <w:tcW w:w="1016" w:type="pct"/>
          </w:tcPr>
          <w:p w14:paraId="2A9135CC" w14:textId="77777777" w:rsidR="00FD05C6" w:rsidRPr="001078F2" w:rsidRDefault="00FD05C6" w:rsidP="002E127C">
            <w:pPr>
              <w:pStyle w:val="TableText0"/>
              <w:keepLines/>
              <w:rPr>
                <w:b/>
                <w:bCs w:val="0"/>
              </w:rPr>
            </w:pPr>
            <w:r w:rsidRPr="001078F2">
              <w:rPr>
                <w:b/>
                <w:bCs w:val="0"/>
              </w:rPr>
              <w:t>Net cost to PBS</w:t>
            </w:r>
          </w:p>
        </w:tc>
        <w:tc>
          <w:tcPr>
            <w:tcW w:w="664" w:type="pct"/>
          </w:tcPr>
          <w:p w14:paraId="1FC98FBB" w14:textId="77777777" w:rsidR="00FD05C6" w:rsidRPr="00CC5890" w:rsidRDefault="00FD05C6" w:rsidP="002E127C">
            <w:pPr>
              <w:pStyle w:val="TableText0"/>
              <w:keepLines/>
              <w:jc w:val="right"/>
              <w:rPr>
                <w:b/>
                <w:bCs w:val="0"/>
              </w:rPr>
            </w:pPr>
            <w:r w:rsidRPr="00CC5890">
              <w:rPr>
                <w:b/>
                <w:bCs w:val="0"/>
              </w:rPr>
              <w:t>$0</w:t>
            </w:r>
          </w:p>
        </w:tc>
        <w:tc>
          <w:tcPr>
            <w:tcW w:w="664" w:type="pct"/>
          </w:tcPr>
          <w:p w14:paraId="129BAA64" w14:textId="77777777" w:rsidR="00FD05C6" w:rsidRPr="00CC5890" w:rsidRDefault="00FD05C6" w:rsidP="002E127C">
            <w:pPr>
              <w:pStyle w:val="TableText0"/>
              <w:keepLines/>
              <w:jc w:val="right"/>
              <w:rPr>
                <w:b/>
                <w:bCs w:val="0"/>
              </w:rPr>
            </w:pPr>
            <w:r w:rsidRPr="00CC5890">
              <w:rPr>
                <w:b/>
                <w:bCs w:val="0"/>
              </w:rPr>
              <w:t>$0</w:t>
            </w:r>
          </w:p>
        </w:tc>
        <w:tc>
          <w:tcPr>
            <w:tcW w:w="664" w:type="pct"/>
          </w:tcPr>
          <w:p w14:paraId="78E46D4E" w14:textId="77777777" w:rsidR="00FD05C6" w:rsidRPr="00CC5890" w:rsidRDefault="00FD05C6" w:rsidP="002E127C">
            <w:pPr>
              <w:pStyle w:val="TableText0"/>
              <w:keepLines/>
              <w:jc w:val="right"/>
              <w:rPr>
                <w:b/>
                <w:bCs w:val="0"/>
              </w:rPr>
            </w:pPr>
            <w:r w:rsidRPr="00CC5890">
              <w:rPr>
                <w:b/>
                <w:bCs w:val="0"/>
              </w:rPr>
              <w:t>$0</w:t>
            </w:r>
          </w:p>
        </w:tc>
        <w:tc>
          <w:tcPr>
            <w:tcW w:w="664" w:type="pct"/>
          </w:tcPr>
          <w:p w14:paraId="6E424544" w14:textId="77777777" w:rsidR="00FD05C6" w:rsidRPr="00CC5890" w:rsidRDefault="00FD05C6" w:rsidP="002E127C">
            <w:pPr>
              <w:pStyle w:val="TableText0"/>
              <w:keepLines/>
              <w:jc w:val="right"/>
              <w:rPr>
                <w:b/>
                <w:bCs w:val="0"/>
              </w:rPr>
            </w:pPr>
            <w:r w:rsidRPr="00CC5890">
              <w:rPr>
                <w:b/>
                <w:bCs w:val="0"/>
              </w:rPr>
              <w:t>$0</w:t>
            </w:r>
          </w:p>
        </w:tc>
        <w:tc>
          <w:tcPr>
            <w:tcW w:w="664" w:type="pct"/>
          </w:tcPr>
          <w:p w14:paraId="7F682C53" w14:textId="77777777" w:rsidR="00FD05C6" w:rsidRPr="00CC5890" w:rsidRDefault="00FD05C6" w:rsidP="002E127C">
            <w:pPr>
              <w:pStyle w:val="TableText0"/>
              <w:keepLines/>
              <w:jc w:val="right"/>
              <w:rPr>
                <w:b/>
                <w:bCs w:val="0"/>
              </w:rPr>
            </w:pPr>
            <w:r w:rsidRPr="00CC5890">
              <w:rPr>
                <w:b/>
                <w:bCs w:val="0"/>
              </w:rPr>
              <w:t>$0</w:t>
            </w:r>
          </w:p>
        </w:tc>
        <w:tc>
          <w:tcPr>
            <w:tcW w:w="664" w:type="pct"/>
          </w:tcPr>
          <w:p w14:paraId="5A795846" w14:textId="77777777" w:rsidR="00FD05C6" w:rsidRPr="00CC5890" w:rsidRDefault="00FD05C6" w:rsidP="002E127C">
            <w:pPr>
              <w:pStyle w:val="TableText0"/>
              <w:keepLines/>
              <w:jc w:val="right"/>
              <w:rPr>
                <w:b/>
                <w:bCs w:val="0"/>
              </w:rPr>
            </w:pPr>
            <w:r w:rsidRPr="00CC5890">
              <w:rPr>
                <w:b/>
                <w:bCs w:val="0"/>
              </w:rPr>
              <w:t>$0</w:t>
            </w:r>
          </w:p>
        </w:tc>
      </w:tr>
      <w:tr w:rsidR="00D8225D" w:rsidRPr="00A6439B" w14:paraId="27567BC1" w14:textId="77777777" w:rsidTr="0016189A">
        <w:trPr>
          <w:cantSplit/>
          <w:jc w:val="center"/>
        </w:trPr>
        <w:tc>
          <w:tcPr>
            <w:tcW w:w="1016" w:type="pct"/>
          </w:tcPr>
          <w:p w14:paraId="315AD47F" w14:textId="0147E2E4" w:rsidR="0082097C" w:rsidRPr="00A6439B" w:rsidRDefault="0082097C" w:rsidP="0082097C">
            <w:pPr>
              <w:pStyle w:val="TableText0"/>
              <w:keepLines/>
            </w:pPr>
            <w:r w:rsidRPr="00AC5315">
              <w:t>New RPBS listing</w:t>
            </w:r>
            <w:r w:rsidR="00D8225D">
              <w:t xml:space="preserve"> ($)</w:t>
            </w:r>
          </w:p>
        </w:tc>
        <w:tc>
          <w:tcPr>
            <w:tcW w:w="664" w:type="pct"/>
            <w:tcBorders>
              <w:top w:val="single" w:sz="4" w:space="0" w:color="auto"/>
              <w:left w:val="single" w:sz="4" w:space="0" w:color="auto"/>
              <w:bottom w:val="single" w:sz="4" w:space="0" w:color="auto"/>
              <w:right w:val="single" w:sz="4" w:space="0" w:color="auto"/>
            </w:tcBorders>
            <w:vAlign w:val="center"/>
          </w:tcPr>
          <w:p w14:paraId="0496E515" w14:textId="7D15D275" w:rsidR="0082097C" w:rsidRPr="00E865D7" w:rsidRDefault="001B2940" w:rsidP="0082097C">
            <w:pPr>
              <w:pStyle w:val="TableText0"/>
              <w:keepLines/>
              <w:jc w:val="right"/>
              <w:rPr>
                <w:highlight w:val="darkGray"/>
                <w:vertAlign w:val="superscript"/>
              </w:rPr>
            </w:pPr>
            <w:r w:rsidRPr="001B2940">
              <w:rPr>
                <w:highlight w:val="black"/>
              </w:rPr>
              <w:t>&amp;&amp;&amp;&amp;</w:t>
            </w:r>
            <w:r w:rsidR="00C65616" w:rsidRPr="00E865D7">
              <w:rPr>
                <w:vertAlign w:val="superscript"/>
              </w:rPr>
              <w:t>6</w:t>
            </w:r>
          </w:p>
        </w:tc>
        <w:tc>
          <w:tcPr>
            <w:tcW w:w="664" w:type="pct"/>
            <w:tcBorders>
              <w:top w:val="single" w:sz="4" w:space="0" w:color="auto"/>
              <w:left w:val="nil"/>
              <w:bottom w:val="single" w:sz="4" w:space="0" w:color="auto"/>
              <w:right w:val="single" w:sz="4" w:space="0" w:color="auto"/>
            </w:tcBorders>
            <w:vAlign w:val="center"/>
          </w:tcPr>
          <w:p w14:paraId="2BDEFB0C" w14:textId="7E5EB2B4" w:rsidR="0082097C" w:rsidRPr="00E865D7" w:rsidRDefault="001B2940" w:rsidP="0082097C">
            <w:pPr>
              <w:pStyle w:val="TableText0"/>
              <w:keepLines/>
              <w:jc w:val="right"/>
              <w:rPr>
                <w:highlight w:val="darkGray"/>
              </w:rPr>
            </w:pPr>
            <w:r w:rsidRPr="001B2940">
              <w:rPr>
                <w:highlight w:val="black"/>
              </w:rPr>
              <w:t>&amp;&amp;&amp;&amp;</w:t>
            </w:r>
            <w:r w:rsidR="00D8225D" w:rsidRPr="00656ABF">
              <w:rPr>
                <w:vertAlign w:val="superscript"/>
              </w:rPr>
              <w:t>6</w:t>
            </w:r>
          </w:p>
        </w:tc>
        <w:tc>
          <w:tcPr>
            <w:tcW w:w="664" w:type="pct"/>
            <w:tcBorders>
              <w:top w:val="single" w:sz="4" w:space="0" w:color="auto"/>
              <w:left w:val="nil"/>
              <w:bottom w:val="single" w:sz="4" w:space="0" w:color="auto"/>
              <w:right w:val="single" w:sz="4" w:space="0" w:color="auto"/>
            </w:tcBorders>
            <w:vAlign w:val="center"/>
          </w:tcPr>
          <w:p w14:paraId="2451B97A" w14:textId="569C78F6" w:rsidR="0082097C" w:rsidRPr="00E865D7" w:rsidRDefault="001B2940" w:rsidP="0082097C">
            <w:pPr>
              <w:pStyle w:val="TableText0"/>
              <w:keepLines/>
              <w:jc w:val="right"/>
              <w:rPr>
                <w:highlight w:val="darkGray"/>
              </w:rPr>
            </w:pPr>
            <w:r w:rsidRPr="001B2940">
              <w:rPr>
                <w:highlight w:val="black"/>
              </w:rPr>
              <w:t>&amp;&amp;&amp;&amp;</w:t>
            </w:r>
            <w:r w:rsidR="00D8225D" w:rsidRPr="00656ABF">
              <w:rPr>
                <w:vertAlign w:val="superscript"/>
              </w:rPr>
              <w:t>6</w:t>
            </w:r>
          </w:p>
        </w:tc>
        <w:tc>
          <w:tcPr>
            <w:tcW w:w="664" w:type="pct"/>
            <w:tcBorders>
              <w:top w:val="single" w:sz="4" w:space="0" w:color="auto"/>
              <w:left w:val="nil"/>
              <w:bottom w:val="single" w:sz="4" w:space="0" w:color="auto"/>
              <w:right w:val="single" w:sz="4" w:space="0" w:color="auto"/>
            </w:tcBorders>
            <w:vAlign w:val="center"/>
          </w:tcPr>
          <w:p w14:paraId="6E45470C" w14:textId="6F24635B" w:rsidR="0082097C" w:rsidRPr="00E865D7" w:rsidRDefault="001B2940" w:rsidP="0082097C">
            <w:pPr>
              <w:pStyle w:val="TableText0"/>
              <w:keepLines/>
              <w:jc w:val="right"/>
              <w:rPr>
                <w:highlight w:val="darkGray"/>
              </w:rPr>
            </w:pPr>
            <w:r w:rsidRPr="001B2940">
              <w:rPr>
                <w:highlight w:val="black"/>
              </w:rPr>
              <w:t>&amp;&amp;&amp;&amp;</w:t>
            </w:r>
            <w:r w:rsidR="00D8225D" w:rsidRPr="00656ABF">
              <w:rPr>
                <w:vertAlign w:val="superscript"/>
              </w:rPr>
              <w:t>6</w:t>
            </w:r>
          </w:p>
        </w:tc>
        <w:tc>
          <w:tcPr>
            <w:tcW w:w="664" w:type="pct"/>
            <w:tcBorders>
              <w:top w:val="single" w:sz="4" w:space="0" w:color="auto"/>
              <w:left w:val="nil"/>
              <w:bottom w:val="single" w:sz="4" w:space="0" w:color="auto"/>
              <w:right w:val="single" w:sz="4" w:space="0" w:color="auto"/>
            </w:tcBorders>
            <w:vAlign w:val="center"/>
          </w:tcPr>
          <w:p w14:paraId="72C38D5E" w14:textId="658AAEEA" w:rsidR="0082097C" w:rsidRPr="00E865D7" w:rsidRDefault="001B2940" w:rsidP="0082097C">
            <w:pPr>
              <w:pStyle w:val="TableText0"/>
              <w:keepLines/>
              <w:jc w:val="right"/>
              <w:rPr>
                <w:highlight w:val="darkGray"/>
              </w:rPr>
            </w:pPr>
            <w:r w:rsidRPr="001B2940">
              <w:rPr>
                <w:highlight w:val="black"/>
              </w:rPr>
              <w:t>&amp;&amp;&amp;&amp;</w:t>
            </w:r>
            <w:r w:rsidR="00D8225D" w:rsidRPr="00656ABF">
              <w:rPr>
                <w:vertAlign w:val="superscript"/>
              </w:rPr>
              <w:t>6</w:t>
            </w:r>
          </w:p>
        </w:tc>
        <w:tc>
          <w:tcPr>
            <w:tcW w:w="664" w:type="pct"/>
            <w:tcBorders>
              <w:top w:val="single" w:sz="4" w:space="0" w:color="auto"/>
              <w:left w:val="nil"/>
              <w:bottom w:val="single" w:sz="4" w:space="0" w:color="auto"/>
              <w:right w:val="single" w:sz="4" w:space="0" w:color="auto"/>
            </w:tcBorders>
            <w:vAlign w:val="center"/>
          </w:tcPr>
          <w:p w14:paraId="531352A6" w14:textId="0AEB657E" w:rsidR="0082097C" w:rsidRPr="00E865D7" w:rsidRDefault="001B2940" w:rsidP="0082097C">
            <w:pPr>
              <w:pStyle w:val="TableText0"/>
              <w:keepLines/>
              <w:jc w:val="right"/>
              <w:rPr>
                <w:highlight w:val="darkGray"/>
              </w:rPr>
            </w:pPr>
            <w:r w:rsidRPr="001B2940">
              <w:rPr>
                <w:highlight w:val="black"/>
              </w:rPr>
              <w:t>&amp;&amp;&amp;&amp;</w:t>
            </w:r>
            <w:r w:rsidR="00D8225D" w:rsidRPr="00656ABF">
              <w:rPr>
                <w:vertAlign w:val="superscript"/>
              </w:rPr>
              <w:t>6</w:t>
            </w:r>
          </w:p>
        </w:tc>
      </w:tr>
      <w:tr w:rsidR="00D8225D" w:rsidRPr="00A6439B" w14:paraId="6E2B8E56" w14:textId="77777777" w:rsidTr="0016189A">
        <w:trPr>
          <w:cantSplit/>
          <w:jc w:val="center"/>
        </w:trPr>
        <w:tc>
          <w:tcPr>
            <w:tcW w:w="1016" w:type="pct"/>
          </w:tcPr>
          <w:p w14:paraId="3BD65F99" w14:textId="10BD682D" w:rsidR="003D4354" w:rsidRPr="00A6439B" w:rsidRDefault="003D4354" w:rsidP="003D4354">
            <w:pPr>
              <w:pStyle w:val="TableText0"/>
              <w:keepLines/>
            </w:pPr>
            <w:r w:rsidRPr="00AC5315">
              <w:t>Changed RPBS listing</w:t>
            </w:r>
            <w:r w:rsidR="00D8225D">
              <w:t xml:space="preserve"> ($)</w:t>
            </w:r>
          </w:p>
        </w:tc>
        <w:tc>
          <w:tcPr>
            <w:tcW w:w="664" w:type="pct"/>
            <w:tcBorders>
              <w:top w:val="single" w:sz="4" w:space="0" w:color="auto"/>
              <w:left w:val="single" w:sz="4" w:space="0" w:color="auto"/>
              <w:bottom w:val="single" w:sz="4" w:space="0" w:color="auto"/>
              <w:right w:val="single" w:sz="4" w:space="0" w:color="auto"/>
            </w:tcBorders>
            <w:vAlign w:val="center"/>
          </w:tcPr>
          <w:p w14:paraId="2A1E4B2C" w14:textId="5EA624AF" w:rsidR="003D4354" w:rsidRPr="00CC5890" w:rsidRDefault="003D4354" w:rsidP="003D4354">
            <w:pPr>
              <w:pStyle w:val="TableText0"/>
              <w:keepLines/>
              <w:jc w:val="right"/>
            </w:pPr>
            <w:r w:rsidRPr="00CC5890">
              <w:t>-</w:t>
            </w:r>
            <w:r w:rsidR="001B2940" w:rsidRPr="001B2940">
              <w:rPr>
                <w:highlight w:val="black"/>
              </w:rPr>
              <w:t>&amp;&amp;&amp;&amp;</w:t>
            </w:r>
            <w:r w:rsidR="00C65616" w:rsidRPr="00656ABF">
              <w:rPr>
                <w:vertAlign w:val="superscript"/>
              </w:rPr>
              <w:t>6</w:t>
            </w:r>
          </w:p>
        </w:tc>
        <w:tc>
          <w:tcPr>
            <w:tcW w:w="664" w:type="pct"/>
            <w:tcBorders>
              <w:top w:val="single" w:sz="4" w:space="0" w:color="auto"/>
              <w:left w:val="nil"/>
              <w:bottom w:val="single" w:sz="4" w:space="0" w:color="auto"/>
              <w:right w:val="single" w:sz="4" w:space="0" w:color="auto"/>
            </w:tcBorders>
            <w:vAlign w:val="center"/>
          </w:tcPr>
          <w:p w14:paraId="6736A19C" w14:textId="1EFDC771" w:rsidR="003D4354" w:rsidRPr="00CC5890" w:rsidRDefault="003D4354" w:rsidP="003D4354">
            <w:pPr>
              <w:pStyle w:val="TableText0"/>
              <w:keepLines/>
              <w:jc w:val="right"/>
            </w:pPr>
            <w:r w:rsidRPr="00CC5890">
              <w:t>-</w:t>
            </w:r>
            <w:r w:rsidR="001B2940" w:rsidRPr="001B2940">
              <w:rPr>
                <w:highlight w:val="black"/>
              </w:rPr>
              <w:t>&amp;&amp;&amp;&amp;</w:t>
            </w:r>
            <w:r w:rsidR="00D8225D" w:rsidRPr="00656ABF">
              <w:rPr>
                <w:vertAlign w:val="superscript"/>
              </w:rPr>
              <w:t>6</w:t>
            </w:r>
          </w:p>
        </w:tc>
        <w:tc>
          <w:tcPr>
            <w:tcW w:w="664" w:type="pct"/>
            <w:tcBorders>
              <w:top w:val="single" w:sz="4" w:space="0" w:color="auto"/>
              <w:left w:val="nil"/>
              <w:bottom w:val="single" w:sz="4" w:space="0" w:color="auto"/>
              <w:right w:val="single" w:sz="4" w:space="0" w:color="auto"/>
            </w:tcBorders>
            <w:vAlign w:val="center"/>
          </w:tcPr>
          <w:p w14:paraId="35E2DA94" w14:textId="0913D811" w:rsidR="003D4354" w:rsidRPr="00CC5890" w:rsidRDefault="003D4354" w:rsidP="003D4354">
            <w:pPr>
              <w:pStyle w:val="TableText0"/>
              <w:keepLines/>
              <w:jc w:val="right"/>
            </w:pPr>
            <w:r w:rsidRPr="00CC5890">
              <w:t>-</w:t>
            </w:r>
            <w:r w:rsidR="001B2940" w:rsidRPr="001B2940">
              <w:rPr>
                <w:highlight w:val="black"/>
              </w:rPr>
              <w:t>&amp;&amp;&amp;&amp;</w:t>
            </w:r>
            <w:r w:rsidR="00D8225D" w:rsidRPr="00656ABF">
              <w:rPr>
                <w:vertAlign w:val="superscript"/>
              </w:rPr>
              <w:t>6</w:t>
            </w:r>
          </w:p>
        </w:tc>
        <w:tc>
          <w:tcPr>
            <w:tcW w:w="664" w:type="pct"/>
            <w:tcBorders>
              <w:top w:val="single" w:sz="4" w:space="0" w:color="auto"/>
              <w:left w:val="nil"/>
              <w:bottom w:val="single" w:sz="4" w:space="0" w:color="auto"/>
              <w:right w:val="single" w:sz="4" w:space="0" w:color="auto"/>
            </w:tcBorders>
            <w:vAlign w:val="center"/>
          </w:tcPr>
          <w:p w14:paraId="5AE831BC" w14:textId="227AEED1" w:rsidR="003D4354" w:rsidRPr="00CC5890" w:rsidRDefault="003D4354" w:rsidP="003D4354">
            <w:pPr>
              <w:pStyle w:val="TableText0"/>
              <w:keepLines/>
              <w:jc w:val="right"/>
            </w:pPr>
            <w:r w:rsidRPr="00CC5890">
              <w:t>-</w:t>
            </w:r>
            <w:r w:rsidR="001B2940" w:rsidRPr="001B2940">
              <w:rPr>
                <w:highlight w:val="black"/>
              </w:rPr>
              <w:t>&amp;&amp;&amp;&amp;</w:t>
            </w:r>
            <w:r w:rsidR="00D8225D" w:rsidRPr="00656ABF">
              <w:rPr>
                <w:vertAlign w:val="superscript"/>
              </w:rPr>
              <w:t>6</w:t>
            </w:r>
          </w:p>
        </w:tc>
        <w:tc>
          <w:tcPr>
            <w:tcW w:w="664" w:type="pct"/>
            <w:tcBorders>
              <w:top w:val="single" w:sz="4" w:space="0" w:color="auto"/>
              <w:left w:val="nil"/>
              <w:bottom w:val="single" w:sz="4" w:space="0" w:color="auto"/>
              <w:right w:val="single" w:sz="4" w:space="0" w:color="auto"/>
            </w:tcBorders>
            <w:vAlign w:val="center"/>
          </w:tcPr>
          <w:p w14:paraId="18C8EE90" w14:textId="6A6340F5" w:rsidR="003D4354" w:rsidRPr="00CC5890" w:rsidRDefault="003D4354" w:rsidP="003D4354">
            <w:pPr>
              <w:pStyle w:val="TableText0"/>
              <w:keepLines/>
              <w:jc w:val="right"/>
            </w:pPr>
            <w:r w:rsidRPr="00CC5890">
              <w:t>-</w:t>
            </w:r>
            <w:r w:rsidR="001B2940" w:rsidRPr="001B2940">
              <w:rPr>
                <w:highlight w:val="black"/>
              </w:rPr>
              <w:t>&amp;&amp;&amp;&amp;</w:t>
            </w:r>
            <w:r w:rsidR="00D8225D" w:rsidRPr="00656ABF">
              <w:rPr>
                <w:vertAlign w:val="superscript"/>
              </w:rPr>
              <w:t>6</w:t>
            </w:r>
          </w:p>
        </w:tc>
        <w:tc>
          <w:tcPr>
            <w:tcW w:w="664" w:type="pct"/>
            <w:tcBorders>
              <w:top w:val="single" w:sz="4" w:space="0" w:color="auto"/>
              <w:left w:val="nil"/>
              <w:bottom w:val="single" w:sz="4" w:space="0" w:color="auto"/>
              <w:right w:val="single" w:sz="4" w:space="0" w:color="auto"/>
            </w:tcBorders>
            <w:vAlign w:val="center"/>
          </w:tcPr>
          <w:p w14:paraId="6F74C80D" w14:textId="6825C455" w:rsidR="003D4354" w:rsidRPr="00CC5890" w:rsidRDefault="003D4354" w:rsidP="003D4354">
            <w:pPr>
              <w:pStyle w:val="TableText0"/>
              <w:keepLines/>
              <w:jc w:val="right"/>
            </w:pPr>
            <w:r w:rsidRPr="00CC5890">
              <w:t>-</w:t>
            </w:r>
            <w:r w:rsidR="001B2940" w:rsidRPr="001B2940">
              <w:rPr>
                <w:highlight w:val="black"/>
              </w:rPr>
              <w:t>&amp;&amp;&amp;&amp;</w:t>
            </w:r>
            <w:r w:rsidR="00D8225D" w:rsidRPr="00656ABF">
              <w:rPr>
                <w:vertAlign w:val="superscript"/>
              </w:rPr>
              <w:t>6</w:t>
            </w:r>
          </w:p>
        </w:tc>
      </w:tr>
      <w:tr w:rsidR="00D8225D" w:rsidRPr="00A6439B" w14:paraId="5AC1CA84" w14:textId="77777777" w:rsidTr="0016189A">
        <w:trPr>
          <w:cantSplit/>
          <w:jc w:val="center"/>
        </w:trPr>
        <w:tc>
          <w:tcPr>
            <w:tcW w:w="1016" w:type="pct"/>
          </w:tcPr>
          <w:p w14:paraId="18005D93" w14:textId="77777777" w:rsidR="00FD05C6" w:rsidRPr="001078F2" w:rsidRDefault="00FD05C6" w:rsidP="002E127C">
            <w:pPr>
              <w:pStyle w:val="TableText0"/>
              <w:keepLines/>
              <w:rPr>
                <w:b/>
                <w:bCs w:val="0"/>
              </w:rPr>
            </w:pPr>
            <w:r w:rsidRPr="001078F2">
              <w:rPr>
                <w:b/>
                <w:bCs w:val="0"/>
              </w:rPr>
              <w:t>Net cost to RPBS</w:t>
            </w:r>
          </w:p>
        </w:tc>
        <w:tc>
          <w:tcPr>
            <w:tcW w:w="664" w:type="pct"/>
          </w:tcPr>
          <w:p w14:paraId="61128C45" w14:textId="77777777" w:rsidR="00FD05C6" w:rsidRPr="00CA0ED5" w:rsidRDefault="00FD05C6" w:rsidP="002E127C">
            <w:pPr>
              <w:pStyle w:val="TableText0"/>
              <w:keepLines/>
              <w:jc w:val="right"/>
              <w:rPr>
                <w:b/>
                <w:bCs w:val="0"/>
              </w:rPr>
            </w:pPr>
            <w:r w:rsidRPr="00CA0ED5">
              <w:rPr>
                <w:b/>
                <w:bCs w:val="0"/>
              </w:rPr>
              <w:t>$0</w:t>
            </w:r>
          </w:p>
        </w:tc>
        <w:tc>
          <w:tcPr>
            <w:tcW w:w="664" w:type="pct"/>
          </w:tcPr>
          <w:p w14:paraId="1F9C11EE" w14:textId="77777777" w:rsidR="00FD05C6" w:rsidRPr="00CA0ED5" w:rsidRDefault="00FD05C6" w:rsidP="002E127C">
            <w:pPr>
              <w:pStyle w:val="TableText0"/>
              <w:keepLines/>
              <w:jc w:val="right"/>
              <w:rPr>
                <w:b/>
                <w:bCs w:val="0"/>
              </w:rPr>
            </w:pPr>
            <w:r w:rsidRPr="00CA0ED5">
              <w:rPr>
                <w:b/>
                <w:bCs w:val="0"/>
              </w:rPr>
              <w:t>$0</w:t>
            </w:r>
          </w:p>
        </w:tc>
        <w:tc>
          <w:tcPr>
            <w:tcW w:w="664" w:type="pct"/>
          </w:tcPr>
          <w:p w14:paraId="4168894A" w14:textId="77777777" w:rsidR="00FD05C6" w:rsidRPr="00CA0ED5" w:rsidRDefault="00FD05C6" w:rsidP="002E127C">
            <w:pPr>
              <w:pStyle w:val="TableText0"/>
              <w:keepLines/>
              <w:jc w:val="right"/>
              <w:rPr>
                <w:b/>
                <w:bCs w:val="0"/>
              </w:rPr>
            </w:pPr>
            <w:r w:rsidRPr="00CA0ED5">
              <w:rPr>
                <w:b/>
                <w:bCs w:val="0"/>
              </w:rPr>
              <w:t>$0</w:t>
            </w:r>
          </w:p>
        </w:tc>
        <w:tc>
          <w:tcPr>
            <w:tcW w:w="664" w:type="pct"/>
          </w:tcPr>
          <w:p w14:paraId="6267ADB4" w14:textId="77777777" w:rsidR="00FD05C6" w:rsidRPr="00CA0ED5" w:rsidRDefault="00FD05C6" w:rsidP="002E127C">
            <w:pPr>
              <w:pStyle w:val="TableText0"/>
              <w:keepLines/>
              <w:jc w:val="right"/>
              <w:rPr>
                <w:b/>
                <w:bCs w:val="0"/>
              </w:rPr>
            </w:pPr>
            <w:r w:rsidRPr="00CA0ED5">
              <w:rPr>
                <w:b/>
                <w:bCs w:val="0"/>
              </w:rPr>
              <w:t>$0</w:t>
            </w:r>
          </w:p>
        </w:tc>
        <w:tc>
          <w:tcPr>
            <w:tcW w:w="664" w:type="pct"/>
          </w:tcPr>
          <w:p w14:paraId="3E7FB9B8" w14:textId="77777777" w:rsidR="00FD05C6" w:rsidRPr="00CA0ED5" w:rsidRDefault="00FD05C6" w:rsidP="002E127C">
            <w:pPr>
              <w:pStyle w:val="TableText0"/>
              <w:keepLines/>
              <w:jc w:val="right"/>
              <w:rPr>
                <w:b/>
                <w:bCs w:val="0"/>
              </w:rPr>
            </w:pPr>
            <w:r w:rsidRPr="00CA0ED5">
              <w:rPr>
                <w:b/>
                <w:bCs w:val="0"/>
              </w:rPr>
              <w:t>$0</w:t>
            </w:r>
          </w:p>
        </w:tc>
        <w:tc>
          <w:tcPr>
            <w:tcW w:w="664" w:type="pct"/>
          </w:tcPr>
          <w:p w14:paraId="45048DD4" w14:textId="77777777" w:rsidR="00FD05C6" w:rsidRPr="00CA0ED5" w:rsidRDefault="00FD05C6" w:rsidP="002E127C">
            <w:pPr>
              <w:pStyle w:val="TableText0"/>
              <w:keepLines/>
              <w:jc w:val="right"/>
              <w:rPr>
                <w:b/>
                <w:bCs w:val="0"/>
              </w:rPr>
            </w:pPr>
            <w:r w:rsidRPr="00CA0ED5">
              <w:rPr>
                <w:b/>
                <w:bCs w:val="0"/>
              </w:rPr>
              <w:t>$0</w:t>
            </w:r>
          </w:p>
        </w:tc>
      </w:tr>
      <w:tr w:rsidR="00FD05C6" w:rsidRPr="00A6439B" w14:paraId="5AD31649" w14:textId="77777777" w:rsidTr="0016189A">
        <w:trPr>
          <w:cantSplit/>
          <w:jc w:val="center"/>
        </w:trPr>
        <w:tc>
          <w:tcPr>
            <w:tcW w:w="5000" w:type="pct"/>
            <w:gridSpan w:val="7"/>
            <w:vAlign w:val="center"/>
          </w:tcPr>
          <w:p w14:paraId="57831540" w14:textId="77777777" w:rsidR="00FD05C6" w:rsidRPr="00BC4AC3" w:rsidRDefault="00FD05C6" w:rsidP="00CA0ED5">
            <w:pPr>
              <w:pStyle w:val="TableText0"/>
              <w:keepLines/>
            </w:pPr>
            <w:r w:rsidRPr="00BC4AC3">
              <w:t>Net financial implications</w:t>
            </w:r>
          </w:p>
        </w:tc>
      </w:tr>
      <w:tr w:rsidR="00D8225D" w:rsidRPr="00A6439B" w14:paraId="53C41479" w14:textId="77777777" w:rsidTr="0016189A">
        <w:trPr>
          <w:cantSplit/>
          <w:jc w:val="center"/>
        </w:trPr>
        <w:tc>
          <w:tcPr>
            <w:tcW w:w="1016" w:type="pct"/>
            <w:vAlign w:val="center"/>
          </w:tcPr>
          <w:p w14:paraId="6F0AC6C8" w14:textId="77777777" w:rsidR="00FD05C6" w:rsidRPr="00A6439B" w:rsidRDefault="00FD05C6" w:rsidP="002E127C">
            <w:pPr>
              <w:pStyle w:val="TableText0"/>
              <w:keepLines/>
            </w:pPr>
            <w:r w:rsidRPr="00A6439B">
              <w:t>Net cost to PBS/RPBS</w:t>
            </w:r>
          </w:p>
        </w:tc>
        <w:tc>
          <w:tcPr>
            <w:tcW w:w="664" w:type="pct"/>
          </w:tcPr>
          <w:p w14:paraId="0B78E5D0" w14:textId="77777777" w:rsidR="00FD05C6" w:rsidRPr="00CA0ED5" w:rsidRDefault="00FD05C6" w:rsidP="002E127C">
            <w:pPr>
              <w:pStyle w:val="TableText0"/>
              <w:keepLines/>
              <w:jc w:val="right"/>
              <w:rPr>
                <w:b/>
                <w:bCs w:val="0"/>
              </w:rPr>
            </w:pPr>
            <w:r w:rsidRPr="00CA0ED5">
              <w:rPr>
                <w:b/>
                <w:bCs w:val="0"/>
              </w:rPr>
              <w:t>$0</w:t>
            </w:r>
          </w:p>
        </w:tc>
        <w:tc>
          <w:tcPr>
            <w:tcW w:w="664" w:type="pct"/>
          </w:tcPr>
          <w:p w14:paraId="3815197B" w14:textId="77777777" w:rsidR="00FD05C6" w:rsidRPr="00CA0ED5" w:rsidRDefault="00FD05C6" w:rsidP="002E127C">
            <w:pPr>
              <w:pStyle w:val="TableText0"/>
              <w:keepLines/>
              <w:jc w:val="right"/>
              <w:rPr>
                <w:b/>
                <w:bCs w:val="0"/>
              </w:rPr>
            </w:pPr>
            <w:r w:rsidRPr="00CA0ED5">
              <w:rPr>
                <w:b/>
                <w:bCs w:val="0"/>
              </w:rPr>
              <w:t>$0</w:t>
            </w:r>
          </w:p>
        </w:tc>
        <w:tc>
          <w:tcPr>
            <w:tcW w:w="664" w:type="pct"/>
          </w:tcPr>
          <w:p w14:paraId="1C7F5103" w14:textId="77777777" w:rsidR="00FD05C6" w:rsidRPr="00CA0ED5" w:rsidRDefault="00FD05C6" w:rsidP="002E127C">
            <w:pPr>
              <w:pStyle w:val="TableText0"/>
              <w:keepLines/>
              <w:jc w:val="right"/>
              <w:rPr>
                <w:b/>
                <w:bCs w:val="0"/>
              </w:rPr>
            </w:pPr>
            <w:r w:rsidRPr="00CA0ED5">
              <w:rPr>
                <w:b/>
                <w:bCs w:val="0"/>
              </w:rPr>
              <w:t>$0</w:t>
            </w:r>
          </w:p>
        </w:tc>
        <w:tc>
          <w:tcPr>
            <w:tcW w:w="664" w:type="pct"/>
          </w:tcPr>
          <w:p w14:paraId="5B53A4F3" w14:textId="77777777" w:rsidR="00FD05C6" w:rsidRPr="00CA0ED5" w:rsidRDefault="00FD05C6" w:rsidP="002E127C">
            <w:pPr>
              <w:pStyle w:val="TableText0"/>
              <w:keepLines/>
              <w:jc w:val="right"/>
              <w:rPr>
                <w:b/>
                <w:bCs w:val="0"/>
              </w:rPr>
            </w:pPr>
            <w:r w:rsidRPr="00CA0ED5">
              <w:rPr>
                <w:b/>
                <w:bCs w:val="0"/>
              </w:rPr>
              <w:t>$0</w:t>
            </w:r>
          </w:p>
        </w:tc>
        <w:tc>
          <w:tcPr>
            <w:tcW w:w="664" w:type="pct"/>
          </w:tcPr>
          <w:p w14:paraId="32EBD558" w14:textId="77777777" w:rsidR="00FD05C6" w:rsidRPr="00CA0ED5" w:rsidRDefault="00FD05C6" w:rsidP="002E127C">
            <w:pPr>
              <w:pStyle w:val="TableText0"/>
              <w:keepLines/>
              <w:jc w:val="right"/>
              <w:rPr>
                <w:b/>
                <w:bCs w:val="0"/>
              </w:rPr>
            </w:pPr>
            <w:r w:rsidRPr="00CA0ED5">
              <w:rPr>
                <w:b/>
                <w:bCs w:val="0"/>
              </w:rPr>
              <w:t>$0</w:t>
            </w:r>
          </w:p>
        </w:tc>
        <w:tc>
          <w:tcPr>
            <w:tcW w:w="664" w:type="pct"/>
          </w:tcPr>
          <w:p w14:paraId="1C646D5C" w14:textId="77777777" w:rsidR="00FD05C6" w:rsidRPr="00CA0ED5" w:rsidRDefault="00FD05C6" w:rsidP="002E127C">
            <w:pPr>
              <w:pStyle w:val="TableText0"/>
              <w:keepLines/>
              <w:jc w:val="right"/>
              <w:rPr>
                <w:b/>
                <w:bCs w:val="0"/>
              </w:rPr>
            </w:pPr>
            <w:r w:rsidRPr="00CA0ED5">
              <w:rPr>
                <w:b/>
                <w:bCs w:val="0"/>
              </w:rPr>
              <w:t>$0</w:t>
            </w:r>
          </w:p>
        </w:tc>
      </w:tr>
    </w:tbl>
    <w:p w14:paraId="4BA80DDB" w14:textId="2C39410E" w:rsidR="00C65616" w:rsidRDefault="00FD05C6" w:rsidP="004B1083">
      <w:pPr>
        <w:pStyle w:val="TableFigureFooter"/>
        <w:jc w:val="left"/>
        <w:rPr>
          <w:i/>
          <w:iCs/>
        </w:rPr>
      </w:pPr>
      <w:r w:rsidRPr="00B81554">
        <w:t>Source: Submission’s financial model spreadsheet.</w:t>
      </w:r>
      <w:r w:rsidR="00D0550B" w:rsidRPr="00D0550B">
        <w:rPr>
          <w:rFonts w:ascii="Calibri" w:hAnsi="Calibri" w:cs="Times New Roman"/>
          <w:snapToGrid/>
          <w:sz w:val="24"/>
          <w:szCs w:val="24"/>
        </w:rPr>
        <w:t xml:space="preserve"> </w:t>
      </w:r>
      <w:r w:rsidR="00D0550B" w:rsidRPr="00D0550B">
        <w:t>Abbreviations: PBS = Pharmaceutical Benefits Scheme; RPBS = Repatriation Pharmaceutical Benefits Scheme</w:t>
      </w:r>
      <w:r w:rsidR="004B1083">
        <w:br/>
      </w:r>
      <w:r w:rsidR="004B1083">
        <w:rPr>
          <w:i/>
          <w:iCs/>
        </w:rPr>
        <w:t xml:space="preserve">The </w:t>
      </w:r>
      <w:r w:rsidR="000A6B91">
        <w:rPr>
          <w:i/>
          <w:iCs/>
        </w:rPr>
        <w:t>redacted values correspond to the following ranges:</w:t>
      </w:r>
      <w:r w:rsidR="000A6B91">
        <w:rPr>
          <w:i/>
          <w:iCs/>
        </w:rPr>
        <w:br/>
      </w:r>
      <w:r w:rsidR="000A6B91" w:rsidRPr="00E865D7">
        <w:rPr>
          <w:i/>
          <w:iCs/>
          <w:vertAlign w:val="superscript"/>
        </w:rPr>
        <w:t xml:space="preserve">1 </w:t>
      </w:r>
      <w:r w:rsidR="000A6B91">
        <w:rPr>
          <w:i/>
          <w:iCs/>
        </w:rPr>
        <w:t>10,000 to &lt; 20,000</w:t>
      </w:r>
      <w:r w:rsidR="000A6B91">
        <w:rPr>
          <w:i/>
          <w:iCs/>
        </w:rPr>
        <w:br/>
      </w:r>
      <w:r w:rsidR="000A6B91" w:rsidRPr="00E865D7">
        <w:rPr>
          <w:i/>
          <w:iCs/>
          <w:vertAlign w:val="superscript"/>
        </w:rPr>
        <w:t>2</w:t>
      </w:r>
      <w:r w:rsidR="000A6B91">
        <w:rPr>
          <w:i/>
          <w:iCs/>
        </w:rPr>
        <w:t xml:space="preserve"> 20,000 to &lt; 30,000</w:t>
      </w:r>
      <w:r w:rsidR="000A6B91">
        <w:rPr>
          <w:i/>
          <w:iCs/>
        </w:rPr>
        <w:br/>
      </w:r>
      <w:r w:rsidR="000A6B91" w:rsidRPr="00E865D7">
        <w:rPr>
          <w:i/>
          <w:iCs/>
          <w:vertAlign w:val="superscript"/>
        </w:rPr>
        <w:t>3</w:t>
      </w:r>
      <w:r w:rsidR="000A6B91">
        <w:rPr>
          <w:i/>
          <w:iCs/>
        </w:rPr>
        <w:t xml:space="preserve"> 30,000 to &lt; 40,000</w:t>
      </w:r>
    </w:p>
    <w:p w14:paraId="24524CB0" w14:textId="644843A0" w:rsidR="00FD05C6" w:rsidRPr="00E865D7" w:rsidRDefault="00C65616" w:rsidP="00E865D7">
      <w:pPr>
        <w:pStyle w:val="TableFigureFooter"/>
        <w:jc w:val="left"/>
        <w:rPr>
          <w:i/>
          <w:iCs/>
        </w:rPr>
      </w:pPr>
      <w:r>
        <w:rPr>
          <w:i/>
          <w:iCs/>
          <w:vertAlign w:val="superscript"/>
        </w:rPr>
        <w:t xml:space="preserve">4 </w:t>
      </w:r>
      <w:r>
        <w:rPr>
          <w:i/>
          <w:iCs/>
        </w:rPr>
        <w:t>$70 million to &lt; $80 million</w:t>
      </w:r>
      <w:r w:rsidR="000A6B91">
        <w:rPr>
          <w:i/>
          <w:iCs/>
        </w:rPr>
        <w:br/>
      </w:r>
      <w:r w:rsidR="000A6B91" w:rsidRPr="00E865D7">
        <w:rPr>
          <w:i/>
          <w:iCs/>
          <w:vertAlign w:val="superscript"/>
        </w:rPr>
        <w:t>5</w:t>
      </w:r>
      <w:r w:rsidR="000A6B91">
        <w:rPr>
          <w:i/>
          <w:iCs/>
          <w:vertAlign w:val="superscript"/>
        </w:rPr>
        <w:t xml:space="preserve"> </w:t>
      </w:r>
      <w:r w:rsidR="000A6B91">
        <w:rPr>
          <w:i/>
          <w:iCs/>
        </w:rPr>
        <w:t>$200 million to &lt; $300 million</w:t>
      </w:r>
      <w:r>
        <w:rPr>
          <w:i/>
          <w:iCs/>
        </w:rPr>
        <w:br/>
      </w:r>
      <w:r w:rsidRPr="00E865D7">
        <w:rPr>
          <w:i/>
          <w:iCs/>
          <w:vertAlign w:val="superscript"/>
        </w:rPr>
        <w:t xml:space="preserve">6 </w:t>
      </w:r>
      <w:r w:rsidRPr="00E865D7">
        <w:rPr>
          <w:i/>
          <w:iCs/>
        </w:rPr>
        <w:t>$</w:t>
      </w:r>
      <w:r w:rsidR="00D8225D" w:rsidRPr="00E865D7">
        <w:rPr>
          <w:i/>
          <w:iCs/>
        </w:rPr>
        <w:t>0 to &lt; $10 million</w:t>
      </w:r>
    </w:p>
    <w:p w14:paraId="43429B06" w14:textId="0AE5975F" w:rsidR="00BB298A" w:rsidRPr="005204C5" w:rsidRDefault="00BB298A" w:rsidP="0079250E">
      <w:pPr>
        <w:pStyle w:val="3-BodyText"/>
        <w:rPr>
          <w:iCs/>
        </w:rPr>
      </w:pPr>
      <w:bookmarkStart w:id="21" w:name="_Hlk206495726"/>
      <w:r w:rsidRPr="005204C5">
        <w:rPr>
          <w:iCs/>
          <w:lang w:eastAsia="en-US"/>
        </w:rPr>
        <w:t xml:space="preserve">As a Category </w:t>
      </w:r>
      <w:r w:rsidR="00482C63" w:rsidRPr="005204C5">
        <w:rPr>
          <w:iCs/>
          <w:lang w:eastAsia="en-US"/>
        </w:rPr>
        <w:t>4</w:t>
      </w:r>
      <w:r w:rsidRPr="005204C5">
        <w:rPr>
          <w:iCs/>
          <w:lang w:eastAsia="en-US"/>
        </w:rPr>
        <w:t xml:space="preserve"> submission, no evaluation of the clinical evidence was undertaken</w:t>
      </w:r>
      <w:bookmarkEnd w:id="21"/>
      <w:r w:rsidRPr="005204C5">
        <w:rPr>
          <w:iCs/>
        </w:rPr>
        <w:t>.</w:t>
      </w:r>
    </w:p>
    <w:p w14:paraId="62E66308" w14:textId="77777777" w:rsidR="0087526C" w:rsidRPr="0087526C" w:rsidRDefault="0087526C" w:rsidP="0087526C">
      <w:pPr>
        <w:keepNext/>
        <w:numPr>
          <w:ilvl w:val="0"/>
          <w:numId w:val="2"/>
        </w:numPr>
        <w:spacing w:before="240" w:after="120"/>
        <w:jc w:val="left"/>
        <w:outlineLvl w:val="0"/>
        <w:rPr>
          <w:rFonts w:asciiTheme="minorHAnsi" w:hAnsiTheme="minorHAnsi" w:cs="Arial"/>
          <w:b/>
          <w:snapToGrid w:val="0"/>
          <w:sz w:val="32"/>
          <w:szCs w:val="32"/>
        </w:rPr>
      </w:pPr>
      <w:r w:rsidRPr="0087526C">
        <w:rPr>
          <w:rFonts w:asciiTheme="minorHAnsi" w:hAnsiTheme="minorHAnsi" w:cs="Arial"/>
          <w:b/>
          <w:snapToGrid w:val="0"/>
          <w:sz w:val="32"/>
          <w:szCs w:val="32"/>
        </w:rPr>
        <w:t>PBAC Outcome</w:t>
      </w:r>
    </w:p>
    <w:p w14:paraId="20D6EBD9" w14:textId="59828758" w:rsidR="002E02C5" w:rsidRPr="002E02C5" w:rsidRDefault="002E02C5" w:rsidP="002E02C5">
      <w:pPr>
        <w:pStyle w:val="3-BodyText"/>
        <w:rPr>
          <w:snapToGrid w:val="0"/>
        </w:rPr>
      </w:pPr>
      <w:bookmarkStart w:id="22" w:name="_Hlk111543188"/>
      <w:r w:rsidRPr="00CB6B2E">
        <w:t>The</w:t>
      </w:r>
      <w:r w:rsidRPr="00CB6B2E">
        <w:rPr>
          <w:snapToGrid w:val="0"/>
        </w:rPr>
        <w:t xml:space="preserve"> PBAC recommended </w:t>
      </w:r>
      <w:r w:rsidR="00F60DFE">
        <w:rPr>
          <w:snapToGrid w:val="0"/>
        </w:rPr>
        <w:t xml:space="preserve">the </w:t>
      </w:r>
      <w:r w:rsidRPr="002E02C5">
        <w:rPr>
          <w:snapToGrid w:val="0"/>
        </w:rPr>
        <w:t>list</w:t>
      </w:r>
      <w:r w:rsidR="00F60DFE">
        <w:rPr>
          <w:snapToGrid w:val="0"/>
        </w:rPr>
        <w:t>ing</w:t>
      </w:r>
      <w:r w:rsidR="005C4933">
        <w:rPr>
          <w:snapToGrid w:val="0"/>
        </w:rPr>
        <w:t xml:space="preserve"> of </w:t>
      </w:r>
      <w:r w:rsidRPr="002E02C5">
        <w:rPr>
          <w:snapToGrid w:val="0"/>
        </w:rPr>
        <w:t>zanubrutinib (Brukinsa®) 160 mg tablet</w:t>
      </w:r>
      <w:r w:rsidR="005C4933">
        <w:rPr>
          <w:snapToGrid w:val="0"/>
        </w:rPr>
        <w:t xml:space="preserve"> on the PBS</w:t>
      </w:r>
      <w:r w:rsidRPr="002E02C5">
        <w:rPr>
          <w:snapToGrid w:val="0"/>
        </w:rPr>
        <w:t xml:space="preserve"> under the same circumstances as the PBS-listed 80 mg capsule on a cost-minimisation basis.</w:t>
      </w:r>
    </w:p>
    <w:p w14:paraId="0789B9A3" w14:textId="5F78E3C1" w:rsidR="002E02C5" w:rsidRDefault="00A515FF" w:rsidP="002E02C5">
      <w:pPr>
        <w:pStyle w:val="3-BodyText"/>
      </w:pPr>
      <w:r>
        <w:t xml:space="preserve">The PBAC advised the equi-effective </w:t>
      </w:r>
      <w:r w:rsidR="00302A45" w:rsidRPr="00302A45">
        <w:t xml:space="preserve">daily dose of 320 mg </w:t>
      </w:r>
      <w:r w:rsidR="00D05BD3">
        <w:t xml:space="preserve">to be </w:t>
      </w:r>
      <w:r w:rsidR="00302A45" w:rsidRPr="00302A45">
        <w:t xml:space="preserve">2 x 160 mg tablets </w:t>
      </w:r>
      <w:r w:rsidR="00FA1F50">
        <w:t>is</w:t>
      </w:r>
      <w:r w:rsidR="00FA1F50" w:rsidRPr="00302A45">
        <w:t xml:space="preserve"> </w:t>
      </w:r>
      <w:r w:rsidR="00302A45" w:rsidRPr="00302A45">
        <w:t>equal to 4 x 80 mg capsules</w:t>
      </w:r>
      <w:r w:rsidR="002E02C5" w:rsidRPr="00CB6B2E">
        <w:t>.</w:t>
      </w:r>
    </w:p>
    <w:p w14:paraId="4F33C2C1" w14:textId="3BF5B101" w:rsidR="00C61E92" w:rsidRPr="00A033A7" w:rsidRDefault="008858E8" w:rsidP="008858E8">
      <w:pPr>
        <w:pStyle w:val="3-BodyText"/>
        <w:rPr>
          <w:lang w:val="en-GB"/>
        </w:rPr>
      </w:pPr>
      <w:r w:rsidRPr="005204C5">
        <w:rPr>
          <w:snapToGrid w:val="0"/>
          <w:lang w:val="en-GB" w:eastAsia="en-US"/>
        </w:rPr>
        <w:t xml:space="preserve">The PBAC </w:t>
      </w:r>
      <w:r w:rsidR="000E3020">
        <w:rPr>
          <w:snapToGrid w:val="0"/>
          <w:lang w:val="en-GB" w:eastAsia="en-US"/>
        </w:rPr>
        <w:t xml:space="preserve">advised that </w:t>
      </w:r>
      <w:r w:rsidR="00123613">
        <w:rPr>
          <w:snapToGrid w:val="0"/>
          <w:lang w:val="en-GB" w:eastAsia="en-US"/>
        </w:rPr>
        <w:t xml:space="preserve">its </w:t>
      </w:r>
      <w:r w:rsidR="00955C0B">
        <w:rPr>
          <w:snapToGrid w:val="0"/>
          <w:lang w:val="en-GB" w:eastAsia="en-US"/>
        </w:rPr>
        <w:t xml:space="preserve">July 2021, </w:t>
      </w:r>
      <w:r w:rsidR="00123613">
        <w:rPr>
          <w:snapToGrid w:val="0"/>
          <w:lang w:val="en-GB" w:eastAsia="en-US"/>
        </w:rPr>
        <w:t>March</w:t>
      </w:r>
      <w:r w:rsidR="00CB773B">
        <w:rPr>
          <w:snapToGrid w:val="0"/>
          <w:lang w:val="en-GB" w:eastAsia="en-US"/>
        </w:rPr>
        <w:t xml:space="preserve"> 2022</w:t>
      </w:r>
      <w:r w:rsidR="00955C0B">
        <w:rPr>
          <w:snapToGrid w:val="0"/>
          <w:lang w:val="en-GB" w:eastAsia="en-US"/>
        </w:rPr>
        <w:t>,</w:t>
      </w:r>
      <w:r w:rsidR="00CB773B">
        <w:rPr>
          <w:snapToGrid w:val="0"/>
          <w:lang w:val="en-GB" w:eastAsia="en-US"/>
        </w:rPr>
        <w:t xml:space="preserve"> and March 2023 pricing </w:t>
      </w:r>
      <w:r w:rsidR="001116C5">
        <w:rPr>
          <w:snapToGrid w:val="0"/>
          <w:lang w:val="en-GB" w:eastAsia="en-US"/>
        </w:rPr>
        <w:t>advice</w:t>
      </w:r>
      <w:r w:rsidR="008F31DB">
        <w:rPr>
          <w:snapToGrid w:val="0"/>
          <w:lang w:val="en-GB" w:eastAsia="en-US"/>
        </w:rPr>
        <w:t xml:space="preserve"> for </w:t>
      </w:r>
      <w:r w:rsidR="003F1256">
        <w:rPr>
          <w:snapToGrid w:val="0"/>
          <w:lang w:eastAsia="en-US"/>
        </w:rPr>
        <w:t>z</w:t>
      </w:r>
      <w:r w:rsidR="008F31DB">
        <w:rPr>
          <w:snapToGrid w:val="0"/>
          <w:lang w:eastAsia="en-US"/>
        </w:rPr>
        <w:t xml:space="preserve">anubrutinib </w:t>
      </w:r>
      <w:r w:rsidR="003F1256">
        <w:rPr>
          <w:snapToGrid w:val="0"/>
          <w:lang w:eastAsia="en-US"/>
        </w:rPr>
        <w:t xml:space="preserve">80 mg </w:t>
      </w:r>
      <w:r w:rsidR="003F1256">
        <w:rPr>
          <w:snapToGrid w:val="0"/>
          <w:lang w:val="en-GB" w:eastAsia="en-US"/>
        </w:rPr>
        <w:t>(</w:t>
      </w:r>
      <w:r w:rsidR="001532C7">
        <w:rPr>
          <w:snapToGrid w:val="0"/>
          <w:lang w:val="en-GB" w:eastAsia="en-US"/>
        </w:rPr>
        <w:t>see paragraph</w:t>
      </w:r>
      <w:r w:rsidR="008F31DB">
        <w:rPr>
          <w:snapToGrid w:val="0"/>
          <w:lang w:val="en-GB" w:eastAsia="en-US"/>
        </w:rPr>
        <w:t xml:space="preserve"> 5.4) </w:t>
      </w:r>
      <w:r w:rsidR="00C24995">
        <w:rPr>
          <w:snapToGrid w:val="0"/>
          <w:lang w:val="en-GB" w:eastAsia="en-US"/>
        </w:rPr>
        <w:t>should apply</w:t>
      </w:r>
      <w:r w:rsidR="008F31DB">
        <w:rPr>
          <w:snapToGrid w:val="0"/>
          <w:lang w:val="en-GB" w:eastAsia="en-US"/>
        </w:rPr>
        <w:t xml:space="preserve"> to </w:t>
      </w:r>
      <w:r w:rsidR="003F1256">
        <w:rPr>
          <w:snapToGrid w:val="0"/>
          <w:lang w:eastAsia="en-US"/>
        </w:rPr>
        <w:t>z</w:t>
      </w:r>
      <w:r w:rsidR="003F1256" w:rsidRPr="003F1256">
        <w:rPr>
          <w:snapToGrid w:val="0"/>
          <w:lang w:eastAsia="en-US"/>
        </w:rPr>
        <w:t xml:space="preserve">anubrutinib </w:t>
      </w:r>
      <w:r w:rsidR="003F1256">
        <w:rPr>
          <w:snapToGrid w:val="0"/>
          <w:lang w:eastAsia="en-US"/>
        </w:rPr>
        <w:t>160</w:t>
      </w:r>
      <w:r w:rsidR="003F1256" w:rsidRPr="003F1256">
        <w:rPr>
          <w:snapToGrid w:val="0"/>
          <w:lang w:eastAsia="en-US"/>
        </w:rPr>
        <w:t xml:space="preserve"> mg</w:t>
      </w:r>
      <w:r w:rsidR="003F1256">
        <w:rPr>
          <w:snapToGrid w:val="0"/>
          <w:lang w:eastAsia="en-US"/>
        </w:rPr>
        <w:t>.</w:t>
      </w:r>
    </w:p>
    <w:p w14:paraId="7C022732" w14:textId="1A19F9E2" w:rsidR="003B6843" w:rsidRPr="00F81EB8" w:rsidRDefault="003B6843" w:rsidP="003B6843">
      <w:pPr>
        <w:widowControl w:val="0"/>
        <w:numPr>
          <w:ilvl w:val="1"/>
          <w:numId w:val="2"/>
        </w:numPr>
        <w:spacing w:after="120"/>
        <w:rPr>
          <w:rFonts w:asciiTheme="minorHAnsi" w:hAnsiTheme="minorHAnsi" w:cs="Arial"/>
          <w:snapToGrid w:val="0"/>
        </w:rPr>
      </w:pPr>
      <w:r w:rsidRPr="00460143">
        <w:rPr>
          <w:rFonts w:cstheme="minorHAnsi"/>
        </w:rPr>
        <w:t>The PBAC considered</w:t>
      </w:r>
      <w:r>
        <w:rPr>
          <w:rFonts w:cstheme="minorHAnsi"/>
        </w:rPr>
        <w:t xml:space="preserve"> the utilisation and financial estimates, and the estimated net financial impact to the PBS/RPBS over the first six years of listing, to be reasonable, based on the assumption that </w:t>
      </w:r>
      <w:r w:rsidR="003F4CF6" w:rsidRPr="003F4CF6">
        <w:rPr>
          <w:rFonts w:cstheme="minorHAnsi"/>
        </w:rPr>
        <w:t xml:space="preserve">zanubrutinib 160 mg tablet </w:t>
      </w:r>
      <w:r>
        <w:rPr>
          <w:rFonts w:cstheme="minorHAnsi"/>
        </w:rPr>
        <w:t xml:space="preserve">is expected </w:t>
      </w:r>
      <w:r w:rsidRPr="00460143">
        <w:rPr>
          <w:rFonts w:cstheme="minorHAnsi"/>
        </w:rPr>
        <w:t xml:space="preserve">to only substitute for </w:t>
      </w:r>
      <w:r w:rsidR="003F4CF6">
        <w:rPr>
          <w:rFonts w:asciiTheme="minorHAnsi" w:hAnsiTheme="minorHAnsi" w:cs="Arial"/>
          <w:snapToGrid w:val="0"/>
        </w:rPr>
        <w:t xml:space="preserve">zanubrutinib 80 </w:t>
      </w:r>
      <w:r w:rsidR="003F4CF6" w:rsidRPr="00F401DB">
        <w:rPr>
          <w:rFonts w:asciiTheme="minorHAnsi" w:hAnsiTheme="minorHAnsi" w:cs="Arial"/>
          <w:snapToGrid w:val="0"/>
        </w:rPr>
        <w:t xml:space="preserve">mg </w:t>
      </w:r>
      <w:r w:rsidR="003F4CF6">
        <w:rPr>
          <w:rFonts w:asciiTheme="minorHAnsi" w:hAnsiTheme="minorHAnsi" w:cs="Arial"/>
          <w:snapToGrid w:val="0"/>
        </w:rPr>
        <w:t>capsule</w:t>
      </w:r>
      <w:r w:rsidRPr="00460143">
        <w:rPr>
          <w:rFonts w:cstheme="minorHAnsi"/>
        </w:rPr>
        <w:t>.</w:t>
      </w:r>
      <w:r w:rsidR="00C92688">
        <w:rPr>
          <w:rFonts w:cstheme="minorHAnsi"/>
        </w:rPr>
        <w:t xml:space="preserve"> </w:t>
      </w:r>
    </w:p>
    <w:p w14:paraId="3A4CBE62" w14:textId="77987204" w:rsidR="0019456D" w:rsidRPr="00460143" w:rsidRDefault="0019456D" w:rsidP="0019456D">
      <w:pPr>
        <w:widowControl w:val="0"/>
        <w:numPr>
          <w:ilvl w:val="1"/>
          <w:numId w:val="2"/>
        </w:numPr>
        <w:spacing w:after="120"/>
      </w:pPr>
      <w:r w:rsidRPr="00460143">
        <w:t xml:space="preserve">The PBAC noted that its recommendation was on a cost-minimisation basis and advised that, because </w:t>
      </w:r>
      <w:r w:rsidR="00615ABF" w:rsidRPr="00615ABF">
        <w:t>zanubrutinib 160 mg tablet</w:t>
      </w:r>
      <w:r w:rsidRPr="00460143">
        <w:t xml:space="preserve"> is not expected to provide a substantial and clinically relevant improvement in efficacy, or reduction of toxicity, over </w:t>
      </w:r>
      <w:r w:rsidR="009B7FBE">
        <w:rPr>
          <w:rFonts w:asciiTheme="minorHAnsi" w:hAnsiTheme="minorHAnsi" w:cs="Arial"/>
          <w:snapToGrid w:val="0"/>
        </w:rPr>
        <w:t xml:space="preserve">zanubrutinib 80 </w:t>
      </w:r>
      <w:r w:rsidR="009B7FBE" w:rsidRPr="00F401DB">
        <w:rPr>
          <w:rFonts w:asciiTheme="minorHAnsi" w:hAnsiTheme="minorHAnsi" w:cs="Arial"/>
          <w:snapToGrid w:val="0"/>
        </w:rPr>
        <w:t xml:space="preserve">mg </w:t>
      </w:r>
      <w:r w:rsidR="009B7FBE">
        <w:rPr>
          <w:rFonts w:asciiTheme="minorHAnsi" w:hAnsiTheme="minorHAnsi" w:cs="Arial"/>
          <w:snapToGrid w:val="0"/>
        </w:rPr>
        <w:t>capsule</w:t>
      </w:r>
      <w:r w:rsidRPr="00460143">
        <w:t xml:space="preserve">, </w:t>
      </w:r>
      <w:r>
        <w:t>or</w:t>
      </w:r>
      <w:r w:rsidRPr="00460143">
        <w:t xml:space="preserve"> not expected to address a high and urgent unmet clinical need given the presence of an alternative therapy, the criteria prescribed by the </w:t>
      </w:r>
      <w:r w:rsidRPr="00460143">
        <w:rPr>
          <w:i/>
          <w:iCs/>
        </w:rPr>
        <w:t>National Health (Pharmaceuticals and Vaccines – Cost Recovery) Regulations 2022</w:t>
      </w:r>
      <w:r w:rsidRPr="00460143">
        <w:t xml:space="preserve"> for Pricing Pathway</w:t>
      </w:r>
      <w:r>
        <w:t> </w:t>
      </w:r>
      <w:r w:rsidRPr="00460143">
        <w:t>A were not met.</w:t>
      </w:r>
    </w:p>
    <w:p w14:paraId="2D3091C4" w14:textId="5A62242E" w:rsidR="0019456D" w:rsidRPr="00F81EB8" w:rsidRDefault="0019456D" w:rsidP="0019456D">
      <w:pPr>
        <w:widowControl w:val="0"/>
        <w:numPr>
          <w:ilvl w:val="1"/>
          <w:numId w:val="2"/>
        </w:numPr>
        <w:spacing w:after="120"/>
      </w:pPr>
      <w:r w:rsidRPr="00F81EB8">
        <w:t>The PBAC noted that this submission is not eligible for an Independent Review because it received a positive recommendation.</w:t>
      </w:r>
      <w:r w:rsidR="00C92688">
        <w:t xml:space="preserve"> </w:t>
      </w:r>
    </w:p>
    <w:bookmarkEnd w:id="22"/>
    <w:p w14:paraId="0DCB2FC1" w14:textId="631687CD" w:rsidR="0087526C" w:rsidRPr="0087526C" w:rsidRDefault="0087526C" w:rsidP="0087526C">
      <w:pPr>
        <w:spacing w:before="240"/>
        <w:rPr>
          <w:rFonts w:asciiTheme="minorHAnsi" w:hAnsiTheme="minorHAnsi" w:cs="Arial"/>
          <w:b/>
          <w:bCs/>
          <w:snapToGrid w:val="0"/>
          <w:lang w:val="en-GB"/>
        </w:rPr>
      </w:pPr>
      <w:r w:rsidRPr="0087526C">
        <w:rPr>
          <w:rFonts w:asciiTheme="minorHAnsi" w:hAnsiTheme="minorHAnsi" w:cs="Arial"/>
          <w:b/>
          <w:bCs/>
          <w:snapToGrid w:val="0"/>
          <w:lang w:val="en-GB"/>
        </w:rPr>
        <w:t>Outcome</w:t>
      </w:r>
      <w:r w:rsidR="00E71262">
        <w:rPr>
          <w:rFonts w:asciiTheme="minorHAnsi" w:hAnsiTheme="minorHAnsi" w:cs="Arial"/>
          <w:b/>
          <w:bCs/>
          <w:snapToGrid w:val="0"/>
          <w:lang w:val="en-GB"/>
        </w:rPr>
        <w:t>:</w:t>
      </w:r>
    </w:p>
    <w:p w14:paraId="0DDD9F1E" w14:textId="4CF2A279" w:rsidR="0087526C" w:rsidRPr="00E71262" w:rsidRDefault="0087526C" w:rsidP="0087526C">
      <w:pPr>
        <w:rPr>
          <w:rFonts w:asciiTheme="minorHAnsi" w:hAnsiTheme="minorHAnsi" w:cs="Arial"/>
          <w:bCs/>
          <w:snapToGrid w:val="0"/>
          <w:lang w:val="en-GB"/>
        </w:rPr>
      </w:pPr>
      <w:r w:rsidRPr="0087526C">
        <w:rPr>
          <w:rFonts w:asciiTheme="minorHAnsi" w:hAnsiTheme="minorHAnsi" w:cs="Arial"/>
          <w:bCs/>
          <w:snapToGrid w:val="0"/>
          <w:lang w:val="en-GB"/>
        </w:rPr>
        <w:t>Recommended</w:t>
      </w:r>
    </w:p>
    <w:p w14:paraId="06DEA431" w14:textId="77777777" w:rsidR="004621C0" w:rsidRPr="0087526C" w:rsidRDefault="004621C0" w:rsidP="004621C0">
      <w:pPr>
        <w:pStyle w:val="2-SectionHeading"/>
      </w:pPr>
      <w:r w:rsidRPr="0087526C">
        <w:t>Recommended listing</w:t>
      </w:r>
    </w:p>
    <w:p w14:paraId="57520ADB" w14:textId="2B4BCD0C" w:rsidR="005A669A" w:rsidRPr="00691803" w:rsidRDefault="008E7C0B" w:rsidP="00A334CF">
      <w:pPr>
        <w:ind w:left="720" w:hanging="720"/>
        <w:rPr>
          <w:rFonts w:asciiTheme="minorHAnsi" w:hAnsiTheme="minorHAnsi"/>
        </w:rPr>
      </w:pPr>
      <w:r w:rsidRPr="00691803">
        <w:rPr>
          <w:rFonts w:asciiTheme="minorHAnsi" w:hAnsiTheme="minorHAnsi"/>
        </w:rPr>
        <w:t>7</w:t>
      </w:r>
      <w:r w:rsidR="0027095A" w:rsidRPr="00691803">
        <w:rPr>
          <w:rFonts w:asciiTheme="minorHAnsi" w:hAnsiTheme="minorHAnsi"/>
        </w:rPr>
        <w:t>.1</w:t>
      </w:r>
      <w:r w:rsidR="0027095A" w:rsidRPr="00691803">
        <w:rPr>
          <w:rFonts w:asciiTheme="minorHAnsi" w:hAnsiTheme="minorHAnsi"/>
        </w:rPr>
        <w:tab/>
      </w:r>
      <w:r w:rsidR="003D6FF8" w:rsidRPr="00691803">
        <w:rPr>
          <w:rFonts w:asciiTheme="minorHAnsi" w:hAnsiTheme="minorHAnsi"/>
        </w:rPr>
        <w:t>Pending</w:t>
      </w:r>
      <w:r w:rsidR="00891894" w:rsidRPr="00691803">
        <w:rPr>
          <w:rFonts w:asciiTheme="minorHAnsi" w:hAnsiTheme="minorHAnsi"/>
        </w:rPr>
        <w:t xml:space="preserve"> implementation</w:t>
      </w:r>
      <w:r w:rsidR="003D6FF8" w:rsidRPr="00691803">
        <w:rPr>
          <w:rFonts w:asciiTheme="minorHAnsi" w:hAnsiTheme="minorHAnsi"/>
        </w:rPr>
        <w:t xml:space="preserve"> timing of t</w:t>
      </w:r>
      <w:r w:rsidR="006F3D89" w:rsidRPr="00691803">
        <w:rPr>
          <w:rFonts w:asciiTheme="minorHAnsi" w:hAnsiTheme="minorHAnsi"/>
        </w:rPr>
        <w:t xml:space="preserve">he PBAC’s July 2025 </w:t>
      </w:r>
      <w:r w:rsidR="00DB4F34" w:rsidRPr="00691803">
        <w:rPr>
          <w:rFonts w:asciiTheme="minorHAnsi" w:hAnsiTheme="minorHAnsi"/>
        </w:rPr>
        <w:t xml:space="preserve">recommendations regarding nurse practitioner prescribing </w:t>
      </w:r>
      <w:r w:rsidR="00321206" w:rsidRPr="00691803">
        <w:rPr>
          <w:rFonts w:asciiTheme="minorHAnsi" w:hAnsiTheme="minorHAnsi"/>
        </w:rPr>
        <w:t xml:space="preserve">of </w:t>
      </w:r>
      <w:r w:rsidR="004631F2" w:rsidRPr="00691803">
        <w:rPr>
          <w:rFonts w:asciiTheme="minorHAnsi" w:hAnsiTheme="minorHAnsi"/>
        </w:rPr>
        <w:t>haematology medicines</w:t>
      </w:r>
      <w:r w:rsidR="004449C4" w:rsidRPr="00691803">
        <w:rPr>
          <w:rFonts w:asciiTheme="minorHAnsi" w:hAnsiTheme="minorHAnsi"/>
        </w:rPr>
        <w:t xml:space="preserve"> (item 9.01 of the July 2025 meeting)</w:t>
      </w:r>
      <w:r w:rsidR="004631F2" w:rsidRPr="00691803">
        <w:rPr>
          <w:rFonts w:asciiTheme="minorHAnsi" w:hAnsiTheme="minorHAnsi"/>
        </w:rPr>
        <w:t xml:space="preserve">, </w:t>
      </w:r>
      <w:r w:rsidR="00232EBE" w:rsidRPr="00691803">
        <w:rPr>
          <w:rFonts w:asciiTheme="minorHAnsi" w:hAnsiTheme="minorHAnsi"/>
        </w:rPr>
        <w:t>if</w:t>
      </w:r>
      <w:r w:rsidR="00C37BD3" w:rsidRPr="00691803">
        <w:rPr>
          <w:rFonts w:asciiTheme="minorHAnsi" w:hAnsiTheme="minorHAnsi"/>
        </w:rPr>
        <w:t xml:space="preserve"> this </w:t>
      </w:r>
      <w:r w:rsidR="002A3367" w:rsidRPr="00691803">
        <w:rPr>
          <w:rFonts w:asciiTheme="minorHAnsi" w:hAnsiTheme="minorHAnsi"/>
        </w:rPr>
        <w:t xml:space="preserve">November 2025 recommendation to list the new </w:t>
      </w:r>
      <w:r w:rsidR="00381B37" w:rsidRPr="00691803">
        <w:rPr>
          <w:rFonts w:asciiTheme="minorHAnsi" w:hAnsiTheme="minorHAnsi"/>
        </w:rPr>
        <w:t>zanubru</w:t>
      </w:r>
      <w:r w:rsidR="005B28AD" w:rsidRPr="00691803">
        <w:rPr>
          <w:rFonts w:asciiTheme="minorHAnsi" w:hAnsiTheme="minorHAnsi"/>
        </w:rPr>
        <w:t xml:space="preserve">tinib </w:t>
      </w:r>
      <w:r w:rsidR="00F53636" w:rsidRPr="00691803">
        <w:rPr>
          <w:rFonts w:asciiTheme="minorHAnsi" w:hAnsiTheme="minorHAnsi"/>
        </w:rPr>
        <w:t xml:space="preserve">strength proceeds to implementation before </w:t>
      </w:r>
      <w:r w:rsidR="00327F27" w:rsidRPr="00691803">
        <w:rPr>
          <w:rFonts w:asciiTheme="minorHAnsi" w:hAnsiTheme="minorHAnsi"/>
        </w:rPr>
        <w:t>the July 2025 recommendation</w:t>
      </w:r>
      <w:r w:rsidR="007A3AC9" w:rsidRPr="00691803">
        <w:rPr>
          <w:rFonts w:asciiTheme="minorHAnsi" w:hAnsiTheme="minorHAnsi"/>
        </w:rPr>
        <w:t xml:space="preserve"> concerning nurse practitioners,</w:t>
      </w:r>
      <w:r w:rsidR="00C92688">
        <w:rPr>
          <w:rFonts w:asciiTheme="minorHAnsi" w:hAnsiTheme="minorHAnsi"/>
        </w:rPr>
        <w:t xml:space="preserve"> </w:t>
      </w:r>
      <w:r w:rsidR="007A3AC9" w:rsidRPr="00691803">
        <w:rPr>
          <w:rFonts w:asciiTheme="minorHAnsi" w:hAnsiTheme="minorHAnsi"/>
        </w:rPr>
        <w:t>a</w:t>
      </w:r>
      <w:r w:rsidR="005A669A" w:rsidRPr="00691803">
        <w:rPr>
          <w:rFonts w:asciiTheme="minorHAnsi" w:hAnsiTheme="minorHAnsi"/>
        </w:rPr>
        <w:t>dd</w:t>
      </w:r>
      <w:r w:rsidR="00404143" w:rsidRPr="00691803">
        <w:rPr>
          <w:rFonts w:asciiTheme="minorHAnsi" w:hAnsiTheme="minorHAnsi"/>
        </w:rPr>
        <w:t xml:space="preserve"> the new </w:t>
      </w:r>
      <w:r w:rsidR="00603D47" w:rsidRPr="00691803">
        <w:rPr>
          <w:rFonts w:asciiTheme="minorHAnsi" w:hAnsiTheme="minorHAnsi"/>
        </w:rPr>
        <w:t>160 mg strength as follows</w:t>
      </w:r>
      <w:r w:rsidR="00331B1C" w:rsidRPr="00691803">
        <w:rPr>
          <w:rFonts w:asciiTheme="minorHAnsi" w:hAnsiTheme="minorHAnsi"/>
        </w:rPr>
        <w:t>:</w:t>
      </w:r>
    </w:p>
    <w:p w14:paraId="542E40A0" w14:textId="77777777" w:rsidR="00331B1C" w:rsidRDefault="00331B1C">
      <w:pPr>
        <w:jc w:val="left"/>
        <w:rPr>
          <w:rFonts w:asciiTheme="minorHAnsi" w:hAnsiTheme="minorHAnsi"/>
          <w:sz w:val="22"/>
          <w:szCs w:val="22"/>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Pr>
      <w:tblGrid>
        <w:gridCol w:w="2541"/>
        <w:gridCol w:w="1267"/>
        <w:gridCol w:w="1266"/>
        <w:gridCol w:w="1267"/>
        <w:gridCol w:w="847"/>
        <w:gridCol w:w="1878"/>
      </w:tblGrid>
      <w:tr w:rsidR="00B66715" w:rsidRPr="00BF3A09" w14:paraId="31BD1F9B" w14:textId="77777777" w:rsidTr="00E865D7">
        <w:trPr>
          <w:cantSplit/>
          <w:trHeight w:val="174"/>
        </w:trPr>
        <w:tc>
          <w:tcPr>
            <w:tcW w:w="5000" w:type="pct"/>
            <w:gridSpan w:val="6"/>
            <w:tcBorders>
              <w:top w:val="single" w:sz="4" w:space="0" w:color="auto"/>
              <w:left w:val="single" w:sz="4" w:space="0" w:color="auto"/>
              <w:bottom w:val="single" w:sz="4" w:space="0" w:color="auto"/>
              <w:right w:val="single" w:sz="4" w:space="0" w:color="auto"/>
            </w:tcBorders>
          </w:tcPr>
          <w:p w14:paraId="29F4DC88" w14:textId="49D708FB" w:rsidR="00AB0C65" w:rsidRPr="00B44B1B" w:rsidRDefault="00B66715" w:rsidP="00A8282E">
            <w:pPr>
              <w:keepNext/>
              <w:ind w:left="-57"/>
              <w:rPr>
                <w:rFonts w:ascii="Arial Narrow" w:hAnsi="Arial Narrow" w:cs="Arial"/>
                <w:sz w:val="20"/>
                <w:szCs w:val="20"/>
              </w:rPr>
            </w:pPr>
            <w:r w:rsidRPr="00BF3A09">
              <w:rPr>
                <w:rFonts w:ascii="Arial Narrow" w:hAnsi="Arial Narrow" w:cs="Arial"/>
                <w:b/>
                <w:sz w:val="20"/>
                <w:szCs w:val="20"/>
              </w:rPr>
              <w:t xml:space="preserve">Category / Program: </w:t>
            </w:r>
            <w:r w:rsidRPr="00BF3A09">
              <w:rPr>
                <w:rFonts w:ascii="Arial Narrow" w:hAnsi="Arial Narrow" w:cs="Arial"/>
                <w:sz w:val="20"/>
                <w:szCs w:val="20"/>
              </w:rPr>
              <w:t>GENERAL – General Schedule (Code GE)</w:t>
            </w:r>
          </w:p>
        </w:tc>
      </w:tr>
      <w:tr w:rsidR="00B66715" w:rsidRPr="00BF3A09" w14:paraId="60010BAA" w14:textId="77777777" w:rsidTr="00E865D7">
        <w:trPr>
          <w:cantSplit/>
          <w:trHeight w:val="361"/>
        </w:trPr>
        <w:tc>
          <w:tcPr>
            <w:tcW w:w="1401" w:type="pct"/>
          </w:tcPr>
          <w:p w14:paraId="3F723AC0" w14:textId="77777777" w:rsidR="00B66715" w:rsidRPr="00BF3A09" w:rsidRDefault="00B66715" w:rsidP="00A8282E">
            <w:pPr>
              <w:keepNext/>
              <w:ind w:left="-57"/>
              <w:rPr>
                <w:rFonts w:ascii="Arial Narrow" w:hAnsi="Arial Narrow" w:cs="Arial"/>
                <w:b/>
                <w:bCs/>
                <w:sz w:val="20"/>
                <w:szCs w:val="20"/>
              </w:rPr>
            </w:pPr>
            <w:r w:rsidRPr="00BF3A09">
              <w:rPr>
                <w:rFonts w:ascii="Arial Narrow" w:hAnsi="Arial Narrow" w:cs="Arial"/>
                <w:b/>
                <w:bCs/>
                <w:sz w:val="20"/>
                <w:szCs w:val="20"/>
              </w:rPr>
              <w:t>MEDICINAL PRODUCT</w:t>
            </w:r>
          </w:p>
          <w:p w14:paraId="1C44AF7E" w14:textId="77777777" w:rsidR="00B66715" w:rsidRPr="00BF3A09" w:rsidRDefault="00B66715" w:rsidP="00A8282E">
            <w:pPr>
              <w:keepNext/>
              <w:ind w:left="-57"/>
              <w:rPr>
                <w:rFonts w:ascii="Arial Narrow" w:hAnsi="Arial Narrow" w:cs="Arial"/>
                <w:b/>
                <w:sz w:val="20"/>
                <w:szCs w:val="20"/>
              </w:rPr>
            </w:pPr>
            <w:r w:rsidRPr="00BF3A09">
              <w:rPr>
                <w:rFonts w:ascii="Arial Narrow" w:hAnsi="Arial Narrow" w:cs="Arial"/>
                <w:b/>
                <w:bCs/>
                <w:sz w:val="20"/>
                <w:szCs w:val="20"/>
              </w:rPr>
              <w:t>medicinal product pack</w:t>
            </w:r>
          </w:p>
        </w:tc>
        <w:tc>
          <w:tcPr>
            <w:tcW w:w="699" w:type="pct"/>
          </w:tcPr>
          <w:p w14:paraId="120D4327" w14:textId="77777777" w:rsidR="00B66715" w:rsidRPr="00BF3A09" w:rsidRDefault="00B66715" w:rsidP="00A8282E">
            <w:pPr>
              <w:keepNext/>
              <w:jc w:val="center"/>
              <w:rPr>
                <w:rFonts w:ascii="Arial Narrow" w:hAnsi="Arial Narrow" w:cs="Arial"/>
                <w:b/>
                <w:sz w:val="20"/>
                <w:szCs w:val="20"/>
              </w:rPr>
            </w:pPr>
            <w:r w:rsidRPr="00BF3A09">
              <w:rPr>
                <w:rFonts w:ascii="Arial Narrow" w:hAnsi="Arial Narrow" w:cs="Arial"/>
                <w:b/>
                <w:sz w:val="20"/>
                <w:szCs w:val="20"/>
              </w:rPr>
              <w:t>PBS item code</w:t>
            </w:r>
          </w:p>
        </w:tc>
        <w:tc>
          <w:tcPr>
            <w:tcW w:w="698" w:type="pct"/>
          </w:tcPr>
          <w:p w14:paraId="21D5E27F" w14:textId="77777777" w:rsidR="00B66715" w:rsidRPr="00BF3A09" w:rsidRDefault="00B66715" w:rsidP="00A8282E">
            <w:pPr>
              <w:keepNext/>
              <w:jc w:val="center"/>
              <w:rPr>
                <w:rFonts w:ascii="Arial Narrow" w:hAnsi="Arial Narrow" w:cs="Arial"/>
                <w:b/>
                <w:sz w:val="20"/>
                <w:szCs w:val="20"/>
              </w:rPr>
            </w:pPr>
            <w:r w:rsidRPr="00BF3A09">
              <w:rPr>
                <w:rFonts w:ascii="Arial Narrow" w:hAnsi="Arial Narrow" w:cs="Arial"/>
                <w:b/>
                <w:sz w:val="20"/>
                <w:szCs w:val="20"/>
              </w:rPr>
              <w:t>Max. qty packs</w:t>
            </w:r>
          </w:p>
        </w:tc>
        <w:tc>
          <w:tcPr>
            <w:tcW w:w="699" w:type="pct"/>
          </w:tcPr>
          <w:p w14:paraId="255EE5E0" w14:textId="77777777" w:rsidR="00B66715" w:rsidRPr="00BF3A09" w:rsidRDefault="00B66715" w:rsidP="00A8282E">
            <w:pPr>
              <w:keepNext/>
              <w:jc w:val="center"/>
              <w:rPr>
                <w:rFonts w:ascii="Arial Narrow" w:hAnsi="Arial Narrow" w:cs="Arial"/>
                <w:b/>
                <w:sz w:val="20"/>
                <w:szCs w:val="20"/>
              </w:rPr>
            </w:pPr>
            <w:r w:rsidRPr="00BF3A09">
              <w:rPr>
                <w:rFonts w:ascii="Arial Narrow" w:hAnsi="Arial Narrow" w:cs="Arial"/>
                <w:b/>
                <w:sz w:val="20"/>
                <w:szCs w:val="20"/>
              </w:rPr>
              <w:t>Max. qty units</w:t>
            </w:r>
          </w:p>
        </w:tc>
        <w:tc>
          <w:tcPr>
            <w:tcW w:w="467" w:type="pct"/>
          </w:tcPr>
          <w:p w14:paraId="44A57DA5" w14:textId="77777777" w:rsidR="00B66715" w:rsidRPr="00BF3A09" w:rsidRDefault="00B66715" w:rsidP="00A8282E">
            <w:pPr>
              <w:keepNext/>
              <w:ind w:left="-108"/>
              <w:jc w:val="center"/>
              <w:rPr>
                <w:rFonts w:ascii="Arial Narrow" w:hAnsi="Arial Narrow" w:cs="Arial"/>
                <w:b/>
                <w:sz w:val="20"/>
                <w:szCs w:val="20"/>
              </w:rPr>
            </w:pPr>
            <w:r w:rsidRPr="00BF3A09">
              <w:rPr>
                <w:rFonts w:ascii="Arial Narrow" w:hAnsi="Arial Narrow" w:cs="Arial"/>
                <w:b/>
                <w:sz w:val="20"/>
                <w:szCs w:val="20"/>
              </w:rPr>
              <w:t>№.of Rpts</w:t>
            </w:r>
          </w:p>
        </w:tc>
        <w:tc>
          <w:tcPr>
            <w:tcW w:w="1036" w:type="pct"/>
          </w:tcPr>
          <w:p w14:paraId="1BD1F06B" w14:textId="77777777" w:rsidR="00B66715" w:rsidRPr="00BF3A09" w:rsidRDefault="00B66715" w:rsidP="00A8282E">
            <w:pPr>
              <w:keepNext/>
              <w:jc w:val="center"/>
              <w:rPr>
                <w:rFonts w:ascii="Arial Narrow" w:hAnsi="Arial Narrow" w:cs="Arial"/>
                <w:b/>
                <w:sz w:val="20"/>
                <w:szCs w:val="20"/>
                <w:lang w:val="fr-FR"/>
              </w:rPr>
            </w:pPr>
            <w:r w:rsidRPr="00BF3A09">
              <w:rPr>
                <w:rFonts w:ascii="Arial Narrow" w:hAnsi="Arial Narrow" w:cs="Arial"/>
                <w:b/>
                <w:sz w:val="20"/>
                <w:szCs w:val="20"/>
              </w:rPr>
              <w:t>Available brands</w:t>
            </w:r>
          </w:p>
        </w:tc>
      </w:tr>
      <w:tr w:rsidR="00B66715" w:rsidRPr="00BF3A09" w14:paraId="076BBA0E" w14:textId="77777777" w:rsidTr="00E865D7">
        <w:trPr>
          <w:cantSplit/>
          <w:trHeight w:val="224"/>
        </w:trPr>
        <w:tc>
          <w:tcPr>
            <w:tcW w:w="5000" w:type="pct"/>
            <w:gridSpan w:val="6"/>
          </w:tcPr>
          <w:p w14:paraId="23296DF3" w14:textId="77777777" w:rsidR="00B66715" w:rsidRPr="00BF3A09" w:rsidRDefault="00B66715" w:rsidP="00A8282E">
            <w:pPr>
              <w:keepNext/>
              <w:ind w:left="-57"/>
              <w:rPr>
                <w:rFonts w:ascii="Arial Narrow" w:hAnsi="Arial Narrow" w:cs="Arial"/>
                <w:sz w:val="20"/>
                <w:szCs w:val="20"/>
              </w:rPr>
            </w:pPr>
            <w:r w:rsidRPr="00BF3A09">
              <w:rPr>
                <w:rFonts w:ascii="Arial Narrow" w:hAnsi="Arial Narrow" w:cs="Arial"/>
                <w:sz w:val="20"/>
                <w:szCs w:val="20"/>
              </w:rPr>
              <w:t>ZANUBRUTINIB</w:t>
            </w:r>
          </w:p>
        </w:tc>
      </w:tr>
      <w:tr w:rsidR="00B66715" w:rsidRPr="00BF3A09" w14:paraId="63633298" w14:textId="77777777" w:rsidTr="00E865D7">
        <w:trPr>
          <w:cantSplit/>
          <w:trHeight w:val="351"/>
        </w:trPr>
        <w:tc>
          <w:tcPr>
            <w:tcW w:w="1401" w:type="pct"/>
          </w:tcPr>
          <w:p w14:paraId="4ACD5618" w14:textId="77777777" w:rsidR="00B66715" w:rsidRPr="00BF3A09" w:rsidRDefault="00B66715" w:rsidP="00A8282E">
            <w:pPr>
              <w:keepNext/>
              <w:ind w:left="-57"/>
              <w:contextualSpacing/>
              <w:rPr>
                <w:rFonts w:ascii="Arial Narrow" w:hAnsi="Arial Narrow" w:cs="Arial"/>
                <w:sz w:val="20"/>
                <w:szCs w:val="20"/>
              </w:rPr>
            </w:pPr>
            <w:r w:rsidRPr="00910276">
              <w:rPr>
                <w:rFonts w:ascii="Arial Narrow" w:hAnsi="Arial Narrow" w:cs="Arial"/>
                <w:bCs/>
                <w:snapToGrid w:val="0"/>
                <w:sz w:val="20"/>
                <w:szCs w:val="20"/>
              </w:rPr>
              <w:t xml:space="preserve">zanubrutinib </w:t>
            </w:r>
            <w:r>
              <w:rPr>
                <w:rFonts w:ascii="Arial Narrow" w:hAnsi="Arial Narrow" w:cs="Arial"/>
                <w:bCs/>
                <w:snapToGrid w:val="0"/>
                <w:sz w:val="20"/>
                <w:szCs w:val="20"/>
              </w:rPr>
              <w:t>160</w:t>
            </w:r>
            <w:r w:rsidRPr="00910276">
              <w:rPr>
                <w:rFonts w:ascii="Arial Narrow" w:hAnsi="Arial Narrow" w:cs="Arial"/>
                <w:bCs/>
                <w:snapToGrid w:val="0"/>
                <w:sz w:val="20"/>
                <w:szCs w:val="20"/>
              </w:rPr>
              <w:t xml:space="preserve"> mg </w:t>
            </w:r>
            <w:r>
              <w:rPr>
                <w:rFonts w:ascii="Arial Narrow" w:hAnsi="Arial Narrow" w:cs="Arial"/>
                <w:bCs/>
                <w:snapToGrid w:val="0"/>
                <w:sz w:val="20"/>
                <w:szCs w:val="20"/>
              </w:rPr>
              <w:t>tablet</w:t>
            </w:r>
            <w:r w:rsidRPr="00910276">
              <w:rPr>
                <w:rFonts w:ascii="Arial Narrow" w:hAnsi="Arial Narrow" w:cs="Arial"/>
                <w:bCs/>
                <w:snapToGrid w:val="0"/>
                <w:sz w:val="20"/>
                <w:szCs w:val="20"/>
              </w:rPr>
              <w:t xml:space="preserve">, </w:t>
            </w:r>
            <w:r>
              <w:rPr>
                <w:rFonts w:ascii="Arial Narrow" w:hAnsi="Arial Narrow" w:cs="Arial"/>
                <w:bCs/>
                <w:snapToGrid w:val="0"/>
                <w:sz w:val="20"/>
                <w:szCs w:val="20"/>
              </w:rPr>
              <w:t>60</w:t>
            </w:r>
            <w:r w:rsidRPr="00910276">
              <w:rPr>
                <w:rFonts w:ascii="Arial Narrow" w:hAnsi="Arial Narrow" w:cs="Arial"/>
                <w:bCs/>
                <w:snapToGrid w:val="0"/>
                <w:sz w:val="20"/>
                <w:szCs w:val="20"/>
              </w:rPr>
              <w:t xml:space="preserve"> </w:t>
            </w:r>
          </w:p>
        </w:tc>
        <w:tc>
          <w:tcPr>
            <w:tcW w:w="699" w:type="pct"/>
          </w:tcPr>
          <w:p w14:paraId="616C5F77" w14:textId="4448A092" w:rsidR="00B66715" w:rsidRPr="008C5D43" w:rsidRDefault="00B66715" w:rsidP="00A8282E">
            <w:pPr>
              <w:keepNext/>
              <w:contextualSpacing/>
              <w:jc w:val="center"/>
              <w:rPr>
                <w:rFonts w:ascii="Arial Narrow" w:hAnsi="Arial Narrow" w:cs="Arial"/>
                <w:bCs/>
                <w:snapToGrid w:val="0"/>
                <w:sz w:val="20"/>
                <w:szCs w:val="20"/>
              </w:rPr>
            </w:pPr>
            <w:r w:rsidRPr="008C5D43">
              <w:rPr>
                <w:rFonts w:ascii="Arial Narrow" w:hAnsi="Arial Narrow" w:cs="Arial"/>
                <w:bCs/>
                <w:snapToGrid w:val="0"/>
                <w:sz w:val="20"/>
                <w:szCs w:val="20"/>
              </w:rPr>
              <w:t>NEW</w:t>
            </w:r>
            <w:r w:rsidR="00AB0C65" w:rsidRPr="008C5D43">
              <w:rPr>
                <w:rFonts w:ascii="Arial Narrow" w:hAnsi="Arial Narrow" w:cs="Arial"/>
                <w:bCs/>
                <w:snapToGrid w:val="0"/>
                <w:sz w:val="20"/>
                <w:szCs w:val="20"/>
              </w:rPr>
              <w:t xml:space="preserve"> 3</w:t>
            </w:r>
          </w:p>
          <w:p w14:paraId="426CBA99" w14:textId="63359BA8" w:rsidR="00976530" w:rsidRPr="00B85FC0" w:rsidRDefault="00A076CD" w:rsidP="00A8282E">
            <w:pPr>
              <w:keepNext/>
              <w:contextualSpacing/>
              <w:jc w:val="center"/>
              <w:rPr>
                <w:rFonts w:ascii="Arial Narrow" w:hAnsi="Arial Narrow" w:cs="Arial"/>
                <w:bCs/>
                <w:i/>
                <w:iCs/>
                <w:snapToGrid w:val="0"/>
                <w:sz w:val="12"/>
                <w:szCs w:val="12"/>
              </w:rPr>
            </w:pPr>
            <w:r w:rsidRPr="008C5D43">
              <w:rPr>
                <w:rFonts w:ascii="Arial Narrow" w:hAnsi="Arial Narrow" w:cs="Arial"/>
                <w:bCs/>
                <w:snapToGrid w:val="0"/>
                <w:sz w:val="12"/>
                <w:szCs w:val="12"/>
              </w:rPr>
              <w:t>MP</w:t>
            </w:r>
          </w:p>
        </w:tc>
        <w:tc>
          <w:tcPr>
            <w:tcW w:w="698" w:type="pct"/>
          </w:tcPr>
          <w:p w14:paraId="603F5E4A" w14:textId="77777777" w:rsidR="00B66715" w:rsidRPr="00BF3A09" w:rsidRDefault="00B66715" w:rsidP="00A8282E">
            <w:pPr>
              <w:keepNext/>
              <w:contextualSpacing/>
              <w:jc w:val="center"/>
              <w:rPr>
                <w:rFonts w:ascii="Arial Narrow" w:hAnsi="Arial Narrow" w:cs="Arial"/>
                <w:sz w:val="20"/>
                <w:szCs w:val="20"/>
              </w:rPr>
            </w:pPr>
            <w:r w:rsidRPr="00910276">
              <w:rPr>
                <w:rFonts w:ascii="Arial Narrow" w:hAnsi="Arial Narrow" w:cs="Arial"/>
                <w:bCs/>
                <w:snapToGrid w:val="0"/>
                <w:sz w:val="20"/>
                <w:szCs w:val="20"/>
              </w:rPr>
              <w:t>1</w:t>
            </w:r>
          </w:p>
        </w:tc>
        <w:tc>
          <w:tcPr>
            <w:tcW w:w="699" w:type="pct"/>
          </w:tcPr>
          <w:p w14:paraId="7A112D7F" w14:textId="77777777" w:rsidR="00B66715" w:rsidRPr="00BF3A09" w:rsidRDefault="00B66715" w:rsidP="00A8282E">
            <w:pPr>
              <w:keepNext/>
              <w:contextualSpacing/>
              <w:jc w:val="center"/>
              <w:rPr>
                <w:rFonts w:ascii="Arial Narrow" w:hAnsi="Arial Narrow" w:cs="Arial"/>
                <w:sz w:val="20"/>
                <w:szCs w:val="20"/>
              </w:rPr>
            </w:pPr>
            <w:r>
              <w:rPr>
                <w:rFonts w:ascii="Arial Narrow" w:hAnsi="Arial Narrow" w:cs="Arial"/>
                <w:bCs/>
                <w:snapToGrid w:val="0"/>
                <w:sz w:val="20"/>
                <w:szCs w:val="20"/>
              </w:rPr>
              <w:t>60</w:t>
            </w:r>
          </w:p>
        </w:tc>
        <w:tc>
          <w:tcPr>
            <w:tcW w:w="467" w:type="pct"/>
          </w:tcPr>
          <w:p w14:paraId="000B6191" w14:textId="77777777" w:rsidR="00B66715" w:rsidRPr="00BF3A09" w:rsidRDefault="00B66715" w:rsidP="00A8282E">
            <w:pPr>
              <w:keepNext/>
              <w:contextualSpacing/>
              <w:jc w:val="center"/>
              <w:rPr>
                <w:rFonts w:ascii="Arial Narrow" w:hAnsi="Arial Narrow" w:cs="Arial"/>
                <w:sz w:val="20"/>
                <w:szCs w:val="20"/>
              </w:rPr>
            </w:pPr>
            <w:r w:rsidRPr="00910276">
              <w:rPr>
                <w:rFonts w:ascii="Arial Narrow" w:hAnsi="Arial Narrow" w:cs="Arial"/>
                <w:bCs/>
                <w:snapToGrid w:val="0"/>
                <w:sz w:val="20"/>
                <w:szCs w:val="20"/>
              </w:rPr>
              <w:t>5</w:t>
            </w:r>
          </w:p>
        </w:tc>
        <w:tc>
          <w:tcPr>
            <w:tcW w:w="1036" w:type="pct"/>
          </w:tcPr>
          <w:p w14:paraId="4FAAB80A" w14:textId="77777777" w:rsidR="00B66715" w:rsidRPr="00BF3A09" w:rsidRDefault="00B66715" w:rsidP="00A8282E">
            <w:pPr>
              <w:keepNext/>
              <w:contextualSpacing/>
              <w:rPr>
                <w:rFonts w:ascii="Arial Narrow" w:eastAsia="MS Gothic" w:hAnsi="Arial Narrow" w:cs="Arial"/>
                <w:bCs/>
                <w:sz w:val="20"/>
                <w:szCs w:val="20"/>
              </w:rPr>
            </w:pPr>
            <w:r w:rsidRPr="00910276">
              <w:rPr>
                <w:rFonts w:ascii="Arial Narrow" w:hAnsi="Arial Narrow" w:cs="Arial"/>
                <w:bCs/>
                <w:snapToGrid w:val="0"/>
                <w:sz w:val="20"/>
                <w:szCs w:val="20"/>
              </w:rPr>
              <w:t>Brukinsa</w:t>
            </w:r>
          </w:p>
        </w:tc>
      </w:tr>
      <w:tr w:rsidR="00B66715" w:rsidRPr="00BF3A09" w14:paraId="2C8AC4AA" w14:textId="77777777" w:rsidTr="00E865D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5006B641" w14:textId="77777777" w:rsidR="00B66715" w:rsidRPr="00BF3A09" w:rsidRDefault="00B66715" w:rsidP="00A8282E">
            <w:pPr>
              <w:keepNext/>
              <w:rPr>
                <w:rFonts w:ascii="Arial Narrow" w:hAnsi="Arial Narrow" w:cs="Arial"/>
                <w:sz w:val="20"/>
                <w:szCs w:val="20"/>
              </w:rPr>
            </w:pPr>
          </w:p>
        </w:tc>
      </w:tr>
      <w:tr w:rsidR="00B66715" w:rsidRPr="00BF3A09" w14:paraId="4E15A0C2" w14:textId="77777777" w:rsidTr="00E865D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62A77A8F" w14:textId="56CB43AF" w:rsidR="00AB0C65" w:rsidRPr="00CF0A32" w:rsidRDefault="00A076CD" w:rsidP="00A8282E">
            <w:pPr>
              <w:keepNext/>
              <w:rPr>
                <w:rFonts w:ascii="Arial Narrow" w:hAnsi="Arial Narrow" w:cs="Arial"/>
                <w:b/>
                <w:bCs/>
                <w:sz w:val="20"/>
                <w:szCs w:val="20"/>
              </w:rPr>
            </w:pPr>
            <w:r w:rsidRPr="00A076CD">
              <w:rPr>
                <w:rFonts w:ascii="Arial Narrow" w:hAnsi="Arial Narrow" w:cs="Arial"/>
                <w:b/>
                <w:bCs/>
                <w:sz w:val="20"/>
                <w:szCs w:val="20"/>
              </w:rPr>
              <w:t>Restriction Summary 1</w:t>
            </w:r>
            <w:r w:rsidR="007806DA">
              <w:rPr>
                <w:rFonts w:ascii="Arial Narrow" w:hAnsi="Arial Narrow" w:cs="Arial"/>
                <w:b/>
                <w:bCs/>
                <w:sz w:val="20"/>
                <w:szCs w:val="20"/>
              </w:rPr>
              <w:t>4</w:t>
            </w:r>
            <w:r w:rsidR="002131D0">
              <w:rPr>
                <w:rFonts w:ascii="Arial Narrow" w:hAnsi="Arial Narrow" w:cs="Arial"/>
                <w:b/>
                <w:bCs/>
                <w:sz w:val="20"/>
                <w:szCs w:val="20"/>
              </w:rPr>
              <w:t>337</w:t>
            </w:r>
            <w:r w:rsidRPr="00A076CD">
              <w:rPr>
                <w:rFonts w:ascii="Arial Narrow" w:hAnsi="Arial Narrow" w:cs="Arial"/>
                <w:b/>
                <w:bCs/>
                <w:sz w:val="20"/>
                <w:szCs w:val="20"/>
              </w:rPr>
              <w:t>/ Treatment of Concept: 1</w:t>
            </w:r>
            <w:r w:rsidR="007806DA">
              <w:rPr>
                <w:rFonts w:ascii="Arial Narrow" w:hAnsi="Arial Narrow" w:cs="Arial"/>
                <w:b/>
                <w:bCs/>
                <w:sz w:val="20"/>
                <w:szCs w:val="20"/>
              </w:rPr>
              <w:t>4</w:t>
            </w:r>
            <w:r w:rsidR="002131D0">
              <w:rPr>
                <w:rFonts w:ascii="Arial Narrow" w:hAnsi="Arial Narrow" w:cs="Arial"/>
                <w:b/>
                <w:bCs/>
                <w:sz w:val="20"/>
                <w:szCs w:val="20"/>
              </w:rPr>
              <w:t>337</w:t>
            </w:r>
            <w:r w:rsidR="00AB0C65">
              <w:rPr>
                <w:rFonts w:ascii="Arial Narrow" w:hAnsi="Arial Narrow" w:cs="Arial"/>
                <w:b/>
                <w:bCs/>
                <w:sz w:val="20"/>
                <w:szCs w:val="20"/>
              </w:rPr>
              <w:t>: Authority Required</w:t>
            </w:r>
          </w:p>
        </w:tc>
      </w:tr>
      <w:tr w:rsidR="00756DBC" w:rsidRPr="00BF3A09" w14:paraId="28F62F68" w14:textId="77777777" w:rsidTr="00E865D7">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569EE64E" w14:textId="77777777" w:rsidR="00756DBC" w:rsidRPr="00BF3A09" w:rsidRDefault="00756DBC" w:rsidP="00A8282E">
            <w:pPr>
              <w:keepNext/>
              <w:rPr>
                <w:rFonts w:ascii="Arial Narrow" w:hAnsi="Arial Narrow" w:cs="Arial"/>
                <w:sz w:val="20"/>
                <w:szCs w:val="20"/>
              </w:rPr>
            </w:pPr>
            <w:r w:rsidRPr="00BF3A09">
              <w:rPr>
                <w:rFonts w:ascii="Arial Narrow" w:hAnsi="Arial Narrow" w:cs="Arial"/>
                <w:b/>
                <w:bCs/>
                <w:sz w:val="20"/>
                <w:szCs w:val="20"/>
              </w:rPr>
              <w:t>Indication:</w:t>
            </w:r>
            <w:r w:rsidRPr="00BF3A09">
              <w:rPr>
                <w:rFonts w:ascii="Arial Narrow" w:hAnsi="Arial Narrow" w:cs="Arial"/>
                <w:sz w:val="20"/>
                <w:szCs w:val="20"/>
              </w:rPr>
              <w:t xml:space="preserve"> Chronic lymphocytic leukaemia (CLL) or small lymphocytic lymphoma (SLL)</w:t>
            </w:r>
          </w:p>
        </w:tc>
      </w:tr>
      <w:tr w:rsidR="00756DBC" w:rsidRPr="00BF3A09" w14:paraId="16048478" w14:textId="77777777" w:rsidTr="00E865D7">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0A5C67BD" w14:textId="7A384630" w:rsidR="00756DBC" w:rsidRPr="00BF3A09" w:rsidRDefault="00756DBC" w:rsidP="00A8282E">
            <w:pPr>
              <w:keepNext/>
              <w:rPr>
                <w:rFonts w:ascii="Arial Narrow" w:hAnsi="Arial Narrow" w:cs="Arial"/>
                <w:sz w:val="20"/>
                <w:szCs w:val="20"/>
              </w:rPr>
            </w:pPr>
            <w:r w:rsidRPr="00BF3A09">
              <w:rPr>
                <w:rFonts w:ascii="Arial Narrow" w:hAnsi="Arial Narrow" w:cs="Arial"/>
                <w:b/>
                <w:bCs/>
                <w:sz w:val="20"/>
                <w:szCs w:val="20"/>
              </w:rPr>
              <w:t>Treatment Phase:</w:t>
            </w:r>
            <w:r w:rsidRPr="00BF3A09">
              <w:rPr>
                <w:rFonts w:ascii="Arial Narrow" w:hAnsi="Arial Narrow" w:cs="Arial"/>
                <w:sz w:val="20"/>
                <w:szCs w:val="20"/>
              </w:rPr>
              <w:t xml:space="preserve"> First line drug treatment of this indication</w:t>
            </w:r>
          </w:p>
        </w:tc>
      </w:tr>
      <w:tr w:rsidR="00756DBC" w:rsidRPr="00BF3A09" w14:paraId="244A0C63" w14:textId="77777777" w:rsidTr="00E865D7">
        <w:tblPrEx>
          <w:tblCellMar>
            <w:top w:w="15" w:type="dxa"/>
            <w:left w:w="15" w:type="dxa"/>
            <w:bottom w:w="15" w:type="dxa"/>
            <w:right w:w="15" w:type="dxa"/>
          </w:tblCellMar>
          <w:tblLook w:val="04A0" w:firstRow="1" w:lastRow="0" w:firstColumn="1" w:lastColumn="0" w:noHBand="0" w:noVBand="1"/>
        </w:tblPrEx>
        <w:trPr>
          <w:trHeight w:val="264"/>
        </w:trPr>
        <w:tc>
          <w:tcPr>
            <w:tcW w:w="5000" w:type="pct"/>
            <w:gridSpan w:val="6"/>
            <w:vAlign w:val="center"/>
            <w:hideMark/>
          </w:tcPr>
          <w:p w14:paraId="4267D458" w14:textId="77777777" w:rsidR="00756DBC" w:rsidRPr="00BF3A09" w:rsidRDefault="00756DBC" w:rsidP="00A8282E">
            <w:pPr>
              <w:keepNext/>
              <w:rPr>
                <w:rFonts w:ascii="Arial Narrow" w:hAnsi="Arial Narrow" w:cs="Arial"/>
                <w:sz w:val="20"/>
                <w:szCs w:val="20"/>
              </w:rPr>
            </w:pPr>
            <w:r w:rsidRPr="00BF3A09">
              <w:rPr>
                <w:rFonts w:ascii="Arial Narrow" w:hAnsi="Arial Narrow" w:cs="Arial"/>
                <w:b/>
                <w:bCs/>
                <w:sz w:val="20"/>
                <w:szCs w:val="20"/>
              </w:rPr>
              <w:t xml:space="preserve">Clinical criteria: </w:t>
            </w:r>
          </w:p>
        </w:tc>
      </w:tr>
      <w:tr w:rsidR="00756DBC" w:rsidRPr="00BF3A09" w14:paraId="3D5C44CB" w14:textId="77777777" w:rsidTr="00E865D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9625B7B" w14:textId="7AB8E33E" w:rsidR="00756DBC" w:rsidRPr="00BF3A09" w:rsidRDefault="00756DBC" w:rsidP="00A8282E">
            <w:pPr>
              <w:keepNext/>
              <w:rPr>
                <w:rFonts w:ascii="Arial Narrow" w:hAnsi="Arial Narrow" w:cs="Arial"/>
                <w:sz w:val="20"/>
                <w:szCs w:val="20"/>
              </w:rPr>
            </w:pPr>
            <w:r w:rsidRPr="00BF3A09">
              <w:rPr>
                <w:rFonts w:ascii="Arial Narrow" w:hAnsi="Arial Narrow" w:cs="Arial"/>
                <w:sz w:val="20"/>
                <w:szCs w:val="20"/>
              </w:rPr>
              <w:t xml:space="preserve">The condition must be untreated with drug treatment at the time of the first dose of this drug; </w:t>
            </w:r>
            <w:r>
              <w:rPr>
                <w:rFonts w:ascii="Arial Narrow" w:hAnsi="Arial Narrow" w:cs="Arial"/>
                <w:sz w:val="20"/>
                <w:szCs w:val="20"/>
              </w:rPr>
              <w:t>or</w:t>
            </w:r>
          </w:p>
        </w:tc>
      </w:tr>
      <w:tr w:rsidR="00756DBC" w:rsidRPr="00BF3A09" w14:paraId="60474E86" w14:textId="77777777" w:rsidTr="00E865D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6A29CA6B" w14:textId="77777777" w:rsidR="00756DBC" w:rsidRPr="00BF3A09" w:rsidRDefault="00756DBC" w:rsidP="00A8282E">
            <w:pPr>
              <w:keepNext/>
              <w:rPr>
                <w:rFonts w:ascii="Arial Narrow" w:hAnsi="Arial Narrow" w:cs="Arial"/>
                <w:sz w:val="20"/>
                <w:szCs w:val="20"/>
              </w:rPr>
            </w:pPr>
            <w:r w:rsidRPr="00BF3A09">
              <w:rPr>
                <w:rFonts w:ascii="Arial Narrow" w:hAnsi="Arial Narrow" w:cs="Arial"/>
                <w:sz w:val="20"/>
                <w:szCs w:val="20"/>
              </w:rPr>
              <w:t>Patient must have developed an intolerance of a severity necessitating permanent treatment withdrawal following use of another drug PBS-indicated as first-line drug treatment of CLL/SLL</w:t>
            </w:r>
          </w:p>
        </w:tc>
      </w:tr>
      <w:tr w:rsidR="00756DBC" w:rsidRPr="00BF3A09" w14:paraId="3F4ECDB8" w14:textId="77777777" w:rsidTr="00E865D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B560D73" w14:textId="77777777" w:rsidR="00756DBC" w:rsidRPr="00BF3A09" w:rsidRDefault="00756DBC" w:rsidP="00A8282E">
            <w:pPr>
              <w:keepNext/>
              <w:rPr>
                <w:rFonts w:ascii="Arial Narrow" w:hAnsi="Arial Narrow" w:cs="Arial"/>
                <w:b/>
                <w:bCs/>
                <w:sz w:val="20"/>
                <w:szCs w:val="20"/>
              </w:rPr>
            </w:pPr>
            <w:r w:rsidRPr="00BF3A09">
              <w:rPr>
                <w:rFonts w:ascii="Arial Narrow" w:hAnsi="Arial Narrow" w:cs="Arial"/>
                <w:b/>
                <w:bCs/>
                <w:sz w:val="20"/>
                <w:szCs w:val="20"/>
              </w:rPr>
              <w:t>AND</w:t>
            </w:r>
          </w:p>
        </w:tc>
      </w:tr>
      <w:tr w:rsidR="00756DBC" w:rsidRPr="00BF3A09" w14:paraId="30C8F241" w14:textId="77777777" w:rsidTr="00E865D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BD4763D" w14:textId="77777777" w:rsidR="00756DBC" w:rsidRPr="00BF3A09" w:rsidRDefault="00756DBC" w:rsidP="00A8282E">
            <w:pPr>
              <w:keepNext/>
              <w:rPr>
                <w:rFonts w:ascii="Arial Narrow" w:hAnsi="Arial Narrow" w:cs="Arial"/>
                <w:b/>
                <w:bCs/>
                <w:sz w:val="20"/>
                <w:szCs w:val="20"/>
              </w:rPr>
            </w:pPr>
            <w:r w:rsidRPr="00BF3A09">
              <w:rPr>
                <w:rFonts w:ascii="Arial Narrow" w:hAnsi="Arial Narrow" w:cs="Arial"/>
                <w:b/>
                <w:bCs/>
                <w:sz w:val="20"/>
                <w:szCs w:val="20"/>
              </w:rPr>
              <w:t>Clinical criteria:</w:t>
            </w:r>
          </w:p>
        </w:tc>
      </w:tr>
      <w:tr w:rsidR="00756DBC" w:rsidRPr="00BF3A09" w14:paraId="5D8293D2" w14:textId="77777777" w:rsidTr="00E865D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1A62268" w14:textId="77777777" w:rsidR="00756DBC" w:rsidRPr="00BF3A09" w:rsidRDefault="00756DBC" w:rsidP="00A8282E">
            <w:pPr>
              <w:keepNext/>
              <w:rPr>
                <w:rFonts w:ascii="Arial Narrow" w:hAnsi="Arial Narrow" w:cs="Arial"/>
                <w:b/>
                <w:bCs/>
                <w:sz w:val="20"/>
                <w:szCs w:val="20"/>
              </w:rPr>
            </w:pPr>
            <w:r w:rsidRPr="00BF3A09">
              <w:rPr>
                <w:rFonts w:ascii="Arial Narrow" w:hAnsi="Arial Narrow" w:cs="Arial"/>
                <w:sz w:val="20"/>
                <w:szCs w:val="20"/>
              </w:rPr>
              <w:t>The treatment must only be prescribed for patients with active disease in accordance with the International Workshop on CLL (iwCLL) guidance (latest version) in relation to when to prescribe drug treatment for this condition</w:t>
            </w:r>
          </w:p>
        </w:tc>
      </w:tr>
      <w:tr w:rsidR="00756DBC" w:rsidRPr="00BF3A09" w14:paraId="3AFB3E55" w14:textId="77777777" w:rsidTr="00E865D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0F834BAF" w14:textId="77777777" w:rsidR="00756DBC" w:rsidRPr="00BF3A09" w:rsidRDefault="00756DBC" w:rsidP="00A8282E">
            <w:pPr>
              <w:keepNext/>
              <w:rPr>
                <w:rFonts w:ascii="Arial Narrow" w:hAnsi="Arial Narrow" w:cs="Arial"/>
                <w:b/>
                <w:bCs/>
                <w:sz w:val="20"/>
                <w:szCs w:val="20"/>
              </w:rPr>
            </w:pPr>
            <w:r w:rsidRPr="00BF3A09">
              <w:rPr>
                <w:rFonts w:ascii="Arial Narrow" w:hAnsi="Arial Narrow" w:cs="Arial"/>
                <w:b/>
                <w:bCs/>
                <w:sz w:val="20"/>
                <w:szCs w:val="20"/>
              </w:rPr>
              <w:t>AND</w:t>
            </w:r>
          </w:p>
        </w:tc>
      </w:tr>
      <w:tr w:rsidR="00756DBC" w:rsidRPr="00BF3A09" w14:paraId="46F2B154" w14:textId="77777777" w:rsidTr="00E865D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4E5FA967" w14:textId="77777777" w:rsidR="00756DBC" w:rsidRPr="00BF3A09" w:rsidRDefault="00756DBC" w:rsidP="00A8282E">
            <w:pPr>
              <w:keepNext/>
              <w:rPr>
                <w:rFonts w:ascii="Arial Narrow" w:hAnsi="Arial Narrow" w:cs="Arial"/>
                <w:b/>
                <w:bCs/>
                <w:sz w:val="20"/>
                <w:szCs w:val="20"/>
              </w:rPr>
            </w:pPr>
            <w:r w:rsidRPr="00BF3A09">
              <w:rPr>
                <w:rFonts w:ascii="Arial Narrow" w:hAnsi="Arial Narrow" w:cs="Arial"/>
                <w:b/>
                <w:bCs/>
                <w:sz w:val="20"/>
                <w:szCs w:val="20"/>
              </w:rPr>
              <w:t>Clinical criteria:</w:t>
            </w:r>
          </w:p>
        </w:tc>
      </w:tr>
      <w:tr w:rsidR="00756DBC" w:rsidRPr="00BF3A09" w14:paraId="10AD0B35" w14:textId="77777777" w:rsidTr="00E865D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2B8B0E37" w14:textId="77777777" w:rsidR="00756DBC" w:rsidRPr="00BF3A09" w:rsidRDefault="00756DBC" w:rsidP="00A8282E">
            <w:pPr>
              <w:keepNext/>
              <w:rPr>
                <w:rFonts w:ascii="Arial Narrow" w:hAnsi="Arial Narrow" w:cs="Arial"/>
                <w:sz w:val="20"/>
                <w:szCs w:val="20"/>
              </w:rPr>
            </w:pPr>
            <w:r w:rsidRPr="00BF3A09">
              <w:rPr>
                <w:rFonts w:ascii="Arial Narrow" w:hAnsi="Arial Narrow" w:cs="Arial"/>
                <w:sz w:val="20"/>
                <w:szCs w:val="20"/>
              </w:rPr>
              <w:t>The treatment must be the sole PBS-subsidised systemic anti-cancer therapy for this PBS indication.</w:t>
            </w:r>
          </w:p>
        </w:tc>
      </w:tr>
      <w:tr w:rsidR="00756DBC" w:rsidRPr="00BF3A09" w14:paraId="089E5A66" w14:textId="77777777" w:rsidTr="00E865D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4984D9A5" w14:textId="77777777" w:rsidR="00756DBC" w:rsidRPr="00BF3A09" w:rsidRDefault="00756DBC" w:rsidP="00A8282E">
            <w:pPr>
              <w:keepNext/>
              <w:rPr>
                <w:rFonts w:ascii="Arial Narrow" w:hAnsi="Arial Narrow" w:cs="Arial"/>
                <w:b/>
                <w:bCs/>
                <w:sz w:val="20"/>
                <w:szCs w:val="20"/>
              </w:rPr>
            </w:pPr>
            <w:r w:rsidRPr="00BF3A09">
              <w:rPr>
                <w:rFonts w:ascii="Arial Narrow" w:hAnsi="Arial Narrow" w:cs="Arial"/>
                <w:b/>
                <w:bCs/>
                <w:sz w:val="20"/>
                <w:szCs w:val="20"/>
              </w:rPr>
              <w:t>Treatment criteria:</w:t>
            </w:r>
          </w:p>
        </w:tc>
      </w:tr>
      <w:tr w:rsidR="00756DBC" w:rsidRPr="00BF3A09" w14:paraId="06BD6094" w14:textId="77777777" w:rsidTr="00E865D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6DF90EE5" w14:textId="18D5AC01" w:rsidR="00756DBC" w:rsidRPr="00BF3A09" w:rsidRDefault="00756DBC" w:rsidP="00A8282E">
            <w:pPr>
              <w:keepNext/>
              <w:rPr>
                <w:rFonts w:ascii="Arial Narrow" w:hAnsi="Arial Narrow" w:cs="Arial"/>
                <w:sz w:val="20"/>
                <w:szCs w:val="20"/>
              </w:rPr>
            </w:pPr>
            <w:r w:rsidRPr="00BF3A09">
              <w:rPr>
                <w:rFonts w:ascii="Arial Narrow" w:hAnsi="Arial Narrow" w:cs="Arial"/>
                <w:sz w:val="20"/>
                <w:szCs w:val="20"/>
              </w:rPr>
              <w:t xml:space="preserve">Patient must be undergoing initial treatment with this drug – this is the first prescription for this drug; </w:t>
            </w:r>
            <w:r>
              <w:rPr>
                <w:rFonts w:ascii="Arial Narrow" w:hAnsi="Arial Narrow" w:cs="Arial"/>
                <w:sz w:val="20"/>
                <w:szCs w:val="20"/>
              </w:rPr>
              <w:t>or</w:t>
            </w:r>
          </w:p>
        </w:tc>
      </w:tr>
      <w:tr w:rsidR="00756DBC" w:rsidRPr="00BF3A09" w14:paraId="38C5A61F" w14:textId="77777777" w:rsidTr="00E865D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6033A81F" w14:textId="77777777" w:rsidR="00756DBC" w:rsidRPr="00BF3A09" w:rsidRDefault="00756DBC" w:rsidP="00A8282E">
            <w:pPr>
              <w:keepNext/>
              <w:rPr>
                <w:rFonts w:ascii="Arial Narrow" w:hAnsi="Arial Narrow" w:cs="Arial"/>
                <w:sz w:val="20"/>
                <w:szCs w:val="20"/>
              </w:rPr>
            </w:pPr>
            <w:r w:rsidRPr="00BF3A09">
              <w:rPr>
                <w:rFonts w:ascii="Arial Narrow" w:hAnsi="Arial Narrow" w:cs="Arial"/>
                <w:sz w:val="20"/>
                <w:szCs w:val="20"/>
              </w:rPr>
              <w:t>Patient must be undergoing continuing treatment with this drug – the condition has not progressed whilst the patient has actively been on this drug</w:t>
            </w:r>
          </w:p>
        </w:tc>
      </w:tr>
    </w:tbl>
    <w:p w14:paraId="46041AA7" w14:textId="77777777" w:rsidR="006E0D9B" w:rsidRDefault="006E0D9B" w:rsidP="00E24ECC">
      <w:pPr>
        <w:rPr>
          <w:b/>
          <w:i/>
        </w:rPr>
      </w:pPr>
    </w:p>
    <w:p w14:paraId="5BA70EA7" w14:textId="77777777" w:rsidR="00A9110C" w:rsidRPr="00211A9E" w:rsidRDefault="00A9110C" w:rsidP="00A9110C">
      <w:pPr>
        <w:rPr>
          <w:b/>
          <w:i/>
        </w:rPr>
      </w:pPr>
      <w:r w:rsidRPr="00E24ECC">
        <w:rPr>
          <w:b/>
          <w:i/>
        </w:rPr>
        <w:t>This restriction may be subject to further review. Should there be any changes made to the restriction the sponsor will be informed. </w:t>
      </w:r>
    </w:p>
    <w:p w14:paraId="30963647" w14:textId="77777777" w:rsidR="00A9110C" w:rsidRDefault="00A9110C" w:rsidP="00E24ECC">
      <w:pPr>
        <w:rPr>
          <w:b/>
          <w:i/>
        </w:rPr>
      </w:pPr>
    </w:p>
    <w:p w14:paraId="426945C9" w14:textId="77777777" w:rsidR="00A9110C" w:rsidRDefault="00A9110C" w:rsidP="00E24ECC">
      <w:pPr>
        <w:rPr>
          <w:b/>
          <w:i/>
        </w:rPr>
      </w:pPr>
    </w:p>
    <w:p w14:paraId="339FA271" w14:textId="246AB839" w:rsidR="008D1C8B" w:rsidRDefault="00BC137E" w:rsidP="008C5D43">
      <w:pPr>
        <w:ind w:left="720" w:hanging="720"/>
        <w:rPr>
          <w:bCs/>
          <w:iCs/>
        </w:rPr>
      </w:pPr>
      <w:r>
        <w:rPr>
          <w:bCs/>
          <w:iCs/>
        </w:rPr>
        <w:t>7.2</w:t>
      </w:r>
      <w:r>
        <w:rPr>
          <w:bCs/>
          <w:iCs/>
        </w:rPr>
        <w:tab/>
      </w:r>
      <w:r w:rsidR="00706E0A">
        <w:rPr>
          <w:bCs/>
          <w:iCs/>
        </w:rPr>
        <w:t xml:space="preserve">Should this November 2025 recommendation be implemented at the same time or after the July 2025 </w:t>
      </w:r>
      <w:r w:rsidR="00F644D7">
        <w:rPr>
          <w:bCs/>
          <w:iCs/>
        </w:rPr>
        <w:t xml:space="preserve">recommendation </w:t>
      </w:r>
      <w:r w:rsidR="007B2FA5">
        <w:rPr>
          <w:bCs/>
          <w:iCs/>
        </w:rPr>
        <w:t>concerning nurse practitioner prescribing</w:t>
      </w:r>
      <w:r w:rsidR="00E45549">
        <w:rPr>
          <w:bCs/>
          <w:iCs/>
        </w:rPr>
        <w:t xml:space="preserve"> is implemented, then implement in line </w:t>
      </w:r>
      <w:r w:rsidR="00E7697C">
        <w:rPr>
          <w:bCs/>
          <w:iCs/>
        </w:rPr>
        <w:t>with the July 2025 recommendation</w:t>
      </w:r>
      <w:r w:rsidR="001A216B">
        <w:rPr>
          <w:bCs/>
          <w:iCs/>
        </w:rPr>
        <w:t xml:space="preserve"> (item 9.01)</w:t>
      </w:r>
      <w:r w:rsidR="009D2721">
        <w:rPr>
          <w:bCs/>
          <w:iCs/>
        </w:rPr>
        <w:t xml:space="preserve"> which will </w:t>
      </w:r>
      <w:r w:rsidR="00F307F4">
        <w:rPr>
          <w:bCs/>
          <w:iCs/>
        </w:rPr>
        <w:t>a</w:t>
      </w:r>
      <w:r w:rsidR="007C1F57">
        <w:rPr>
          <w:bCs/>
          <w:iCs/>
        </w:rPr>
        <w:t>dd</w:t>
      </w:r>
      <w:r w:rsidR="00F307F4">
        <w:rPr>
          <w:bCs/>
          <w:iCs/>
        </w:rPr>
        <w:t xml:space="preserve"> the prescriber type of ‘NP’ for nurse practitioners to the</w:t>
      </w:r>
      <w:r w:rsidR="007C1F57">
        <w:rPr>
          <w:bCs/>
          <w:iCs/>
        </w:rPr>
        <w:t xml:space="preserve"> prescribing rule as well as</w:t>
      </w:r>
      <w:r w:rsidR="00F307F4">
        <w:rPr>
          <w:bCs/>
          <w:iCs/>
        </w:rPr>
        <w:t xml:space="preserve"> </w:t>
      </w:r>
      <w:r w:rsidR="000610A5">
        <w:rPr>
          <w:bCs/>
          <w:iCs/>
        </w:rPr>
        <w:t>insert</w:t>
      </w:r>
      <w:r w:rsidR="009D2721">
        <w:rPr>
          <w:bCs/>
          <w:iCs/>
        </w:rPr>
        <w:t xml:space="preserve"> the</w:t>
      </w:r>
      <w:r w:rsidR="00B02C31">
        <w:rPr>
          <w:bCs/>
          <w:iCs/>
        </w:rPr>
        <w:t xml:space="preserve"> following concepts</w:t>
      </w:r>
      <w:r w:rsidR="006931AE">
        <w:rPr>
          <w:bCs/>
          <w:iCs/>
        </w:rPr>
        <w:t xml:space="preserve"> to specify the conditions applying to nurse practitioners</w:t>
      </w:r>
      <w:r w:rsidR="000B62EB">
        <w:rPr>
          <w:bCs/>
          <w:iCs/>
        </w:rPr>
        <w:t>:</w:t>
      </w:r>
    </w:p>
    <w:p w14:paraId="361E13A8" w14:textId="77777777" w:rsidR="00885A97" w:rsidRDefault="00885A97" w:rsidP="00E24ECC">
      <w:pPr>
        <w:rPr>
          <w:bCs/>
          <w:iCs/>
        </w:rPr>
      </w:pPr>
    </w:p>
    <w:p w14:paraId="24ABCCC7" w14:textId="5F229536" w:rsidR="00B2541C" w:rsidRDefault="00B2541C" w:rsidP="00A9110C">
      <w:pPr>
        <w:keepNext/>
        <w:rPr>
          <w:bCs/>
          <w:iCs/>
        </w:rPr>
      </w:pPr>
      <w:r>
        <w:rPr>
          <w:bCs/>
          <w:iCs/>
        </w:rPr>
        <w:t>Treatment phase: Initial treatment (where it appears):</w:t>
      </w:r>
    </w:p>
    <w:p w14:paraId="46C91D26" w14:textId="77777777" w:rsidR="00C435E4" w:rsidRPr="008C5D43" w:rsidRDefault="00C435E4" w:rsidP="00A9110C">
      <w:pPr>
        <w:keepNext/>
        <w:pBdr>
          <w:top w:val="single" w:sz="4" w:space="1" w:color="auto"/>
          <w:left w:val="single" w:sz="4" w:space="4" w:color="auto"/>
          <w:bottom w:val="single" w:sz="4" w:space="1" w:color="auto"/>
          <w:right w:val="single" w:sz="4" w:space="4" w:color="auto"/>
          <w:between w:val="single" w:sz="4" w:space="1" w:color="auto"/>
          <w:bar w:val="single" w:sz="4" w:color="auto"/>
        </w:pBdr>
        <w:ind w:left="284"/>
        <w:rPr>
          <w:rFonts w:ascii="Arial Narrow" w:hAnsi="Arial Narrow"/>
          <w:b/>
          <w:iCs/>
          <w:sz w:val="20"/>
          <w:szCs w:val="20"/>
        </w:rPr>
      </w:pPr>
      <w:r w:rsidRPr="008C5D43">
        <w:rPr>
          <w:rFonts w:ascii="Arial Narrow" w:hAnsi="Arial Narrow"/>
          <w:b/>
          <w:iCs/>
          <w:sz w:val="20"/>
          <w:szCs w:val="20"/>
        </w:rPr>
        <w:t>Treatment criteria:</w:t>
      </w:r>
    </w:p>
    <w:p w14:paraId="3909F13D" w14:textId="51D48545" w:rsidR="00C435E4" w:rsidRPr="008C5D43" w:rsidRDefault="00C435E4" w:rsidP="00A9110C">
      <w:pPr>
        <w:keepNext/>
        <w:pBdr>
          <w:top w:val="single" w:sz="4" w:space="1" w:color="auto"/>
          <w:left w:val="single" w:sz="4" w:space="4" w:color="auto"/>
          <w:bottom w:val="single" w:sz="4" w:space="1" w:color="auto"/>
          <w:right w:val="single" w:sz="4" w:space="4" w:color="auto"/>
          <w:between w:val="single" w:sz="4" w:space="1" w:color="auto"/>
          <w:bar w:val="single" w:sz="4" w:color="auto"/>
        </w:pBdr>
        <w:ind w:left="284"/>
        <w:rPr>
          <w:rFonts w:ascii="Arial Narrow" w:hAnsi="Arial Narrow"/>
          <w:bCs/>
          <w:iCs/>
          <w:sz w:val="20"/>
          <w:szCs w:val="20"/>
        </w:rPr>
      </w:pPr>
      <w:r w:rsidRPr="008C5D43">
        <w:rPr>
          <w:rFonts w:ascii="Arial Narrow" w:hAnsi="Arial Narrow"/>
          <w:bCs/>
          <w:iCs/>
          <w:sz w:val="20"/>
          <w:szCs w:val="20"/>
        </w:rPr>
        <w:t>Must be treated by a medical practitioner</w:t>
      </w:r>
    </w:p>
    <w:p w14:paraId="15AC8F76" w14:textId="77777777" w:rsidR="00B2541C" w:rsidRDefault="00B2541C" w:rsidP="00E24ECC">
      <w:pPr>
        <w:rPr>
          <w:bCs/>
          <w:iCs/>
        </w:rPr>
      </w:pPr>
    </w:p>
    <w:p w14:paraId="4142BA7E" w14:textId="728B88CA" w:rsidR="00EE1EE4" w:rsidRDefault="00B2541C" w:rsidP="00E24ECC">
      <w:pPr>
        <w:rPr>
          <w:bCs/>
          <w:iCs/>
        </w:rPr>
      </w:pPr>
      <w:r>
        <w:rPr>
          <w:bCs/>
          <w:iCs/>
        </w:rPr>
        <w:t>Treatment phase: Continuing treatment (where it appears):</w:t>
      </w:r>
    </w:p>
    <w:p w14:paraId="5933E948" w14:textId="77777777" w:rsidR="00E76E41" w:rsidRPr="008C5D43" w:rsidRDefault="00E76E41" w:rsidP="00D439A7">
      <w:pPr>
        <w:pBdr>
          <w:top w:val="single" w:sz="4" w:space="1" w:color="auto"/>
          <w:left w:val="single" w:sz="4" w:space="4" w:color="auto"/>
          <w:bottom w:val="single" w:sz="4" w:space="1" w:color="auto"/>
          <w:right w:val="single" w:sz="4" w:space="4" w:color="auto"/>
          <w:between w:val="single" w:sz="4" w:space="1" w:color="auto"/>
          <w:bar w:val="single" w:sz="4" w:color="auto"/>
        </w:pBdr>
        <w:ind w:left="284"/>
        <w:rPr>
          <w:rFonts w:ascii="Arial Narrow" w:hAnsi="Arial Narrow"/>
          <w:b/>
          <w:iCs/>
          <w:sz w:val="20"/>
          <w:szCs w:val="20"/>
        </w:rPr>
      </w:pPr>
      <w:r w:rsidRPr="008C5D43">
        <w:rPr>
          <w:rFonts w:ascii="Arial Narrow" w:hAnsi="Arial Narrow"/>
          <w:b/>
          <w:iCs/>
          <w:sz w:val="20"/>
          <w:szCs w:val="20"/>
        </w:rPr>
        <w:t>Treatment criteria:</w:t>
      </w:r>
    </w:p>
    <w:p w14:paraId="49DCCE72" w14:textId="6A194FDF" w:rsidR="00EE1EE4" w:rsidRPr="008C5D43" w:rsidRDefault="00E76E41" w:rsidP="00D439A7">
      <w:pPr>
        <w:pBdr>
          <w:top w:val="single" w:sz="4" w:space="1" w:color="auto"/>
          <w:left w:val="single" w:sz="4" w:space="4" w:color="auto"/>
          <w:bottom w:val="single" w:sz="4" w:space="1" w:color="auto"/>
          <w:right w:val="single" w:sz="4" w:space="4" w:color="auto"/>
          <w:between w:val="single" w:sz="4" w:space="1" w:color="auto"/>
          <w:bar w:val="single" w:sz="4" w:color="auto"/>
        </w:pBdr>
        <w:ind w:left="284"/>
        <w:rPr>
          <w:rFonts w:ascii="Arial Narrow" w:hAnsi="Arial Narrow"/>
          <w:bCs/>
          <w:iCs/>
          <w:sz w:val="20"/>
          <w:szCs w:val="20"/>
        </w:rPr>
      </w:pPr>
      <w:r w:rsidRPr="008C5D43">
        <w:rPr>
          <w:rFonts w:ascii="Arial Narrow" w:hAnsi="Arial Narrow"/>
          <w:bCs/>
          <w:iCs/>
          <w:sz w:val="20"/>
          <w:szCs w:val="20"/>
        </w:rPr>
        <w:t>Must be treated by a medical practitioner; or</w:t>
      </w:r>
    </w:p>
    <w:p w14:paraId="7605FDC3" w14:textId="070D8C5D" w:rsidR="00E76E41" w:rsidRPr="008C5D43" w:rsidRDefault="00E76E41" w:rsidP="00D439A7">
      <w:pPr>
        <w:pBdr>
          <w:top w:val="single" w:sz="4" w:space="1" w:color="auto"/>
          <w:left w:val="single" w:sz="4" w:space="4" w:color="auto"/>
          <w:bottom w:val="single" w:sz="4" w:space="1" w:color="auto"/>
          <w:right w:val="single" w:sz="4" w:space="4" w:color="auto"/>
          <w:between w:val="single" w:sz="4" w:space="1" w:color="auto"/>
          <w:bar w:val="single" w:sz="4" w:color="auto"/>
        </w:pBdr>
        <w:ind w:left="284"/>
        <w:rPr>
          <w:rFonts w:ascii="Arial Narrow" w:hAnsi="Arial Narrow"/>
          <w:bCs/>
          <w:iCs/>
          <w:sz w:val="20"/>
          <w:szCs w:val="20"/>
        </w:rPr>
      </w:pPr>
      <w:r w:rsidRPr="008C5D43">
        <w:rPr>
          <w:rFonts w:ascii="Arial Narrow" w:hAnsi="Arial Narrow"/>
          <w:bCs/>
          <w:iCs/>
          <w:sz w:val="20"/>
          <w:szCs w:val="20"/>
        </w:rPr>
        <w:t>Must be treated by a nurse practitioner where both of the following are occurring: (i) patient care is being shared with a medical practitioner, (ii) the prescription continues existing therapy with this medicine.</w:t>
      </w:r>
    </w:p>
    <w:p w14:paraId="46055EA2" w14:textId="77777777" w:rsidR="00B2541C" w:rsidRDefault="00B2541C" w:rsidP="00E24ECC">
      <w:pPr>
        <w:rPr>
          <w:bCs/>
          <w:iCs/>
        </w:rPr>
      </w:pPr>
    </w:p>
    <w:p w14:paraId="39445F59" w14:textId="45F559C4" w:rsidR="00B34E59" w:rsidRDefault="0080762F" w:rsidP="00E24ECC">
      <w:pPr>
        <w:rPr>
          <w:bCs/>
          <w:iCs/>
        </w:rPr>
      </w:pPr>
      <w:r>
        <w:rPr>
          <w:bCs/>
          <w:iCs/>
        </w:rPr>
        <w:t xml:space="preserve">Initial versus Continuing treatment agnostic </w:t>
      </w:r>
      <w:r w:rsidR="00B34E59">
        <w:rPr>
          <w:bCs/>
          <w:iCs/>
        </w:rPr>
        <w:t>listings</w:t>
      </w:r>
      <w:r w:rsidR="000B3376">
        <w:rPr>
          <w:bCs/>
          <w:iCs/>
        </w:rPr>
        <w:t xml:space="preserve"> (i.e. no mention of initial or continuing)</w:t>
      </w:r>
      <w:r w:rsidR="00B34E59">
        <w:rPr>
          <w:bCs/>
          <w:iCs/>
        </w:rPr>
        <w:t>:</w:t>
      </w:r>
    </w:p>
    <w:p w14:paraId="2DB822BE" w14:textId="77777777" w:rsidR="000B3376" w:rsidRPr="004D35F2" w:rsidRDefault="000B3376" w:rsidP="00D439A7">
      <w:pPr>
        <w:pBdr>
          <w:top w:val="single" w:sz="4" w:space="1" w:color="auto"/>
          <w:left w:val="single" w:sz="4" w:space="4" w:color="auto"/>
          <w:bottom w:val="single" w:sz="4" w:space="1" w:color="auto"/>
          <w:right w:val="single" w:sz="4" w:space="4" w:color="auto"/>
          <w:between w:val="single" w:sz="4" w:space="1" w:color="auto"/>
          <w:bar w:val="single" w:sz="4" w:color="auto"/>
        </w:pBdr>
        <w:ind w:left="284"/>
        <w:rPr>
          <w:rFonts w:ascii="Arial Narrow" w:hAnsi="Arial Narrow"/>
          <w:b/>
          <w:iCs/>
          <w:sz w:val="20"/>
          <w:szCs w:val="20"/>
        </w:rPr>
      </w:pPr>
      <w:r w:rsidRPr="004D35F2">
        <w:rPr>
          <w:rFonts w:ascii="Arial Narrow" w:hAnsi="Arial Narrow"/>
          <w:b/>
          <w:iCs/>
          <w:sz w:val="20"/>
          <w:szCs w:val="20"/>
        </w:rPr>
        <w:t>Treatment criteria:</w:t>
      </w:r>
    </w:p>
    <w:p w14:paraId="0C19AB98" w14:textId="51BF3340" w:rsidR="000B3376" w:rsidRPr="004D35F2" w:rsidRDefault="000B3376" w:rsidP="00D439A7">
      <w:pPr>
        <w:pBdr>
          <w:top w:val="single" w:sz="4" w:space="1" w:color="auto"/>
          <w:left w:val="single" w:sz="4" w:space="4" w:color="auto"/>
          <w:bottom w:val="single" w:sz="4" w:space="1" w:color="auto"/>
          <w:right w:val="single" w:sz="4" w:space="4" w:color="auto"/>
          <w:between w:val="single" w:sz="4" w:space="1" w:color="auto"/>
          <w:bar w:val="single" w:sz="4" w:color="auto"/>
        </w:pBdr>
        <w:ind w:left="284"/>
        <w:rPr>
          <w:rFonts w:ascii="Arial Narrow" w:hAnsi="Arial Narrow"/>
          <w:bCs/>
          <w:iCs/>
          <w:sz w:val="20"/>
          <w:szCs w:val="20"/>
        </w:rPr>
      </w:pPr>
      <w:r w:rsidRPr="004D35F2">
        <w:rPr>
          <w:rFonts w:ascii="Arial Narrow" w:hAnsi="Arial Narrow"/>
          <w:bCs/>
          <w:iCs/>
          <w:sz w:val="20"/>
          <w:szCs w:val="20"/>
        </w:rPr>
        <w:t>Must be treated by a medical practitioner; or</w:t>
      </w:r>
    </w:p>
    <w:p w14:paraId="4FD88E28" w14:textId="01BBDC27" w:rsidR="000B3376" w:rsidRPr="004D35F2" w:rsidRDefault="000B3376" w:rsidP="00D439A7">
      <w:pPr>
        <w:pBdr>
          <w:top w:val="single" w:sz="4" w:space="1" w:color="auto"/>
          <w:left w:val="single" w:sz="4" w:space="4" w:color="auto"/>
          <w:bottom w:val="single" w:sz="4" w:space="1" w:color="auto"/>
          <w:right w:val="single" w:sz="4" w:space="4" w:color="auto"/>
          <w:between w:val="single" w:sz="4" w:space="1" w:color="auto"/>
          <w:bar w:val="single" w:sz="4" w:color="auto"/>
        </w:pBdr>
        <w:ind w:left="284"/>
        <w:rPr>
          <w:rFonts w:ascii="Arial Narrow" w:hAnsi="Arial Narrow"/>
          <w:bCs/>
          <w:iCs/>
          <w:sz w:val="20"/>
          <w:szCs w:val="20"/>
        </w:rPr>
      </w:pPr>
      <w:r w:rsidRPr="004D35F2">
        <w:rPr>
          <w:rFonts w:ascii="Arial Narrow" w:hAnsi="Arial Narrow"/>
          <w:bCs/>
          <w:iCs/>
          <w:sz w:val="20"/>
          <w:szCs w:val="20"/>
        </w:rPr>
        <w:t>Must be treated by a nurse practitioner where both of the following are occurring: (i) patient care is being shared with a medical practitioner, (ii) the prescription continues existing therapy with this medicine.</w:t>
      </w:r>
    </w:p>
    <w:p w14:paraId="0BC672C8" w14:textId="77777777" w:rsidR="008D1C8B" w:rsidRDefault="008D1C8B" w:rsidP="00E24ECC">
      <w:pPr>
        <w:rPr>
          <w:b/>
          <w:i/>
        </w:rPr>
      </w:pPr>
    </w:p>
    <w:p w14:paraId="79D585A4" w14:textId="77777777" w:rsidR="00471D20" w:rsidRPr="00471D20" w:rsidRDefault="00471D20" w:rsidP="00E865D7">
      <w:pPr>
        <w:pStyle w:val="2-SectionHeading"/>
      </w:pPr>
      <w:r w:rsidRPr="00471D20">
        <w:t>Context for Decision</w:t>
      </w:r>
    </w:p>
    <w:p w14:paraId="0F74D44D" w14:textId="77777777" w:rsidR="00471D20" w:rsidRPr="00471D20" w:rsidRDefault="00471D20" w:rsidP="00E865D7">
      <w:pPr>
        <w:ind w:left="709"/>
        <w:jc w:val="left"/>
        <w:rPr>
          <w:rFonts w:cs="Calibri"/>
        </w:rPr>
      </w:pPr>
      <w:r w:rsidRPr="00471D20">
        <w:rPr>
          <w:rFonts w:cs="Calibri"/>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0013ADC" w14:textId="77777777" w:rsidR="00471D20" w:rsidRPr="00471D20" w:rsidRDefault="00471D20" w:rsidP="00E865D7">
      <w:pPr>
        <w:pStyle w:val="2-SectionHeading"/>
      </w:pPr>
      <w:r w:rsidRPr="00471D20">
        <w:t>Sponsor’s Comment</w:t>
      </w:r>
    </w:p>
    <w:p w14:paraId="7FBB70C9" w14:textId="77777777" w:rsidR="00471D20" w:rsidRPr="00471D20" w:rsidRDefault="00471D20" w:rsidP="00E865D7">
      <w:pPr>
        <w:spacing w:before="120" w:after="120"/>
        <w:ind w:left="709"/>
        <w:jc w:val="left"/>
        <w:rPr>
          <w:rFonts w:cs="Calibri"/>
        </w:rPr>
      </w:pPr>
      <w:r w:rsidRPr="00471D20">
        <w:rPr>
          <w:rFonts w:cs="Calibri"/>
        </w:rPr>
        <w:t>The sponsor had no comment.</w:t>
      </w:r>
    </w:p>
    <w:p w14:paraId="68B8C1B8" w14:textId="77777777" w:rsidR="00075CFA" w:rsidRDefault="00075CFA" w:rsidP="00E24ECC">
      <w:pPr>
        <w:rPr>
          <w:b/>
          <w:i/>
        </w:rPr>
      </w:pPr>
    </w:p>
    <w:sectPr w:rsidR="00075CFA"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5B71E" w14:textId="77777777" w:rsidR="00C61831" w:rsidRDefault="00C61831">
      <w:r>
        <w:separator/>
      </w:r>
    </w:p>
    <w:p w14:paraId="53DEDF47" w14:textId="77777777" w:rsidR="00C61831" w:rsidRDefault="00C61831"/>
  </w:endnote>
  <w:endnote w:type="continuationSeparator" w:id="0">
    <w:p w14:paraId="337A086E" w14:textId="77777777" w:rsidR="00C61831" w:rsidRDefault="00C61831">
      <w:r>
        <w:continuationSeparator/>
      </w:r>
    </w:p>
    <w:p w14:paraId="6BA24584" w14:textId="77777777" w:rsidR="00C61831" w:rsidRDefault="00C61831"/>
  </w:endnote>
  <w:endnote w:type="continuationNotice" w:id="1">
    <w:p w14:paraId="1B1F06A6" w14:textId="77777777" w:rsidR="00C61831" w:rsidRDefault="00C61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abon">
    <w:altName w:val="Cambria"/>
    <w:charset w:val="00"/>
    <w:family w:val="roman"/>
    <w:pitch w:val="variable"/>
    <w:sig w:usb0="00000001"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2F6CEE4E" w:rsidR="009C26AA" w:rsidRPr="005A3173" w:rsidRDefault="001B5D0A"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4" behindDoc="0" locked="0" layoutInCell="1" allowOverlap="1" wp14:anchorId="00FEFFA8" wp14:editId="658676C8">
                    <wp:simplePos x="635" y="635"/>
                    <wp:positionH relativeFrom="page">
                      <wp:align>center</wp:align>
                    </wp:positionH>
                    <wp:positionV relativeFrom="page">
                      <wp:align>bottom</wp:align>
                    </wp:positionV>
                    <wp:extent cx="622300" cy="376555"/>
                    <wp:effectExtent l="0" t="0" r="6350" b="0"/>
                    <wp:wrapNone/>
                    <wp:docPr id="2004415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4C3E86" w14:textId="31077711" w:rsidR="001B5D0A" w:rsidRPr="001B5D0A" w:rsidRDefault="001B5D0A" w:rsidP="001B5D0A">
                                <w:pPr>
                                  <w:rPr>
                                    <w:rFonts w:ascii="Aptos" w:eastAsia="Aptos" w:hAnsi="Aptos" w:cs="Aptos"/>
                                    <w:noProof/>
                                    <w:color w:val="FF0000"/>
                                  </w:rPr>
                                </w:pPr>
                                <w:r w:rsidRPr="001B5D0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EFFA8"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3D4C3E86" w14:textId="31077711" w:rsidR="001B5D0A" w:rsidRPr="001B5D0A" w:rsidRDefault="001B5D0A" w:rsidP="001B5D0A">
                          <w:pPr>
                            <w:rPr>
                              <w:rFonts w:ascii="Aptos" w:eastAsia="Aptos" w:hAnsi="Aptos" w:cs="Aptos"/>
                              <w:noProof/>
                              <w:color w:val="FF0000"/>
                            </w:rPr>
                          </w:pPr>
                          <w:r w:rsidRPr="001B5D0A">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5C22F771" w:rsidR="009C26AA" w:rsidRPr="00D429EC" w:rsidRDefault="001B5D0A"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58245" behindDoc="0" locked="0" layoutInCell="1" allowOverlap="1" wp14:anchorId="447BA010" wp14:editId="104889D1">
              <wp:simplePos x="635" y="635"/>
              <wp:positionH relativeFrom="page">
                <wp:align>center</wp:align>
              </wp:positionH>
              <wp:positionV relativeFrom="page">
                <wp:align>bottom</wp:align>
              </wp:positionV>
              <wp:extent cx="622300" cy="376555"/>
              <wp:effectExtent l="0" t="0" r="6350" b="0"/>
              <wp:wrapNone/>
              <wp:docPr id="8856448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A2BB4B" w14:textId="45F80A95" w:rsidR="001B5D0A" w:rsidRPr="001B5D0A" w:rsidRDefault="001B5D0A" w:rsidP="001B5D0A">
                          <w:pPr>
                            <w:rPr>
                              <w:rFonts w:ascii="Aptos" w:eastAsia="Aptos" w:hAnsi="Aptos" w:cs="Aptos"/>
                              <w:noProof/>
                              <w:color w:val="FF0000"/>
                            </w:rPr>
                          </w:pPr>
                          <w:r w:rsidRPr="001B5D0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7BA010"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8A2BB4B" w14:textId="45F80A95" w:rsidR="001B5D0A" w:rsidRPr="001B5D0A" w:rsidRDefault="001B5D0A" w:rsidP="001B5D0A">
                    <w:pPr>
                      <w:rPr>
                        <w:rFonts w:ascii="Aptos" w:eastAsia="Aptos" w:hAnsi="Aptos" w:cs="Aptos"/>
                        <w:noProof/>
                        <w:color w:val="FF0000"/>
                      </w:rPr>
                    </w:pPr>
                    <w:r w:rsidRPr="001B5D0A">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6DF4" w14:textId="729E4C45" w:rsidR="001B5D0A" w:rsidRDefault="001B5D0A">
    <w:pPr>
      <w:pStyle w:val="Footer"/>
    </w:pPr>
    <w:r>
      <w:rPr>
        <w:noProof/>
      </w:rPr>
      <mc:AlternateContent>
        <mc:Choice Requires="wps">
          <w:drawing>
            <wp:anchor distT="0" distB="0" distL="0" distR="0" simplePos="0" relativeHeight="251658243" behindDoc="0" locked="0" layoutInCell="1" allowOverlap="1" wp14:anchorId="3DE0F345" wp14:editId="53913D59">
              <wp:simplePos x="635" y="635"/>
              <wp:positionH relativeFrom="page">
                <wp:align>center</wp:align>
              </wp:positionH>
              <wp:positionV relativeFrom="page">
                <wp:align>bottom</wp:align>
              </wp:positionV>
              <wp:extent cx="622300" cy="376555"/>
              <wp:effectExtent l="0" t="0" r="6350" b="0"/>
              <wp:wrapNone/>
              <wp:docPr id="12201999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C54DFC" w14:textId="2D4DBCFA" w:rsidR="001B5D0A" w:rsidRPr="001B5D0A" w:rsidRDefault="001B5D0A" w:rsidP="001B5D0A">
                          <w:pPr>
                            <w:rPr>
                              <w:rFonts w:ascii="Aptos" w:eastAsia="Aptos" w:hAnsi="Aptos" w:cs="Aptos"/>
                              <w:noProof/>
                              <w:color w:val="FF0000"/>
                            </w:rPr>
                          </w:pPr>
                          <w:r w:rsidRPr="001B5D0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E0F345"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75C54DFC" w14:textId="2D4DBCFA" w:rsidR="001B5D0A" w:rsidRPr="001B5D0A" w:rsidRDefault="001B5D0A" w:rsidP="001B5D0A">
                    <w:pPr>
                      <w:rPr>
                        <w:rFonts w:ascii="Aptos" w:eastAsia="Aptos" w:hAnsi="Aptos" w:cs="Aptos"/>
                        <w:noProof/>
                        <w:color w:val="FF0000"/>
                      </w:rPr>
                    </w:pPr>
                    <w:r w:rsidRPr="001B5D0A">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C214" w14:textId="77777777" w:rsidR="00C61831" w:rsidRDefault="00C61831">
      <w:r>
        <w:separator/>
      </w:r>
    </w:p>
    <w:p w14:paraId="7C68519A" w14:textId="77777777" w:rsidR="00C61831" w:rsidRDefault="00C61831"/>
  </w:footnote>
  <w:footnote w:type="continuationSeparator" w:id="0">
    <w:p w14:paraId="73BD7668" w14:textId="77777777" w:rsidR="00C61831" w:rsidRDefault="00C61831">
      <w:r>
        <w:continuationSeparator/>
      </w:r>
    </w:p>
    <w:p w14:paraId="46746ED0" w14:textId="77777777" w:rsidR="00C61831" w:rsidRDefault="00C61831"/>
  </w:footnote>
  <w:footnote w:type="continuationNotice" w:id="1">
    <w:p w14:paraId="5CF3DF04" w14:textId="77777777" w:rsidR="00C61831" w:rsidRDefault="00C61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1A9AF82B" w:rsidR="009C26AA" w:rsidRPr="00A06225" w:rsidRDefault="001B5D0A">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462F50E1" wp14:editId="0FCDDEB7">
                    <wp:simplePos x="635" y="635"/>
                    <wp:positionH relativeFrom="page">
                      <wp:align>center</wp:align>
                    </wp:positionH>
                    <wp:positionV relativeFrom="page">
                      <wp:align>top</wp:align>
                    </wp:positionV>
                    <wp:extent cx="622300" cy="376555"/>
                    <wp:effectExtent l="0" t="0" r="6350" b="4445"/>
                    <wp:wrapNone/>
                    <wp:docPr id="4601384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22AA9F" w14:textId="4BF85886" w:rsidR="001B5D0A" w:rsidRPr="001B5D0A" w:rsidRDefault="001B5D0A" w:rsidP="001B5D0A">
                                <w:pPr>
                                  <w:rPr>
                                    <w:rFonts w:ascii="Aptos" w:eastAsia="Aptos" w:hAnsi="Aptos" w:cs="Aptos"/>
                                    <w:noProof/>
                                    <w:color w:val="FF0000"/>
                                  </w:rPr>
                                </w:pPr>
                                <w:r w:rsidRPr="001B5D0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2F50E1"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B22AA9F" w14:textId="4BF85886" w:rsidR="001B5D0A" w:rsidRPr="001B5D0A" w:rsidRDefault="001B5D0A" w:rsidP="001B5D0A">
                          <w:pPr>
                            <w:rPr>
                              <w:rFonts w:ascii="Aptos" w:eastAsia="Aptos" w:hAnsi="Aptos" w:cs="Aptos"/>
                              <w:noProof/>
                              <w:color w:val="FF0000"/>
                            </w:rPr>
                          </w:pPr>
                          <w:r w:rsidRPr="001B5D0A">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36F5F690" w:rsidR="00C56D78" w:rsidRPr="00C56D78" w:rsidRDefault="001B5D0A"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58242" behindDoc="0" locked="0" layoutInCell="1" allowOverlap="1" wp14:anchorId="5BA2AA56" wp14:editId="167025CD">
              <wp:simplePos x="635" y="635"/>
              <wp:positionH relativeFrom="page">
                <wp:align>center</wp:align>
              </wp:positionH>
              <wp:positionV relativeFrom="page">
                <wp:align>top</wp:align>
              </wp:positionV>
              <wp:extent cx="622300" cy="376555"/>
              <wp:effectExtent l="0" t="0" r="6350" b="4445"/>
              <wp:wrapNone/>
              <wp:docPr id="7778774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96365AC" w14:textId="55404F99" w:rsidR="001B5D0A" w:rsidRPr="001B5D0A" w:rsidRDefault="001B5D0A" w:rsidP="001B5D0A">
                          <w:pPr>
                            <w:rPr>
                              <w:rFonts w:ascii="Aptos" w:eastAsia="Aptos" w:hAnsi="Aptos" w:cs="Aptos"/>
                              <w:noProof/>
                              <w:color w:val="FF0000"/>
                            </w:rPr>
                          </w:pPr>
                          <w:r w:rsidRPr="001B5D0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A2AA56"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96365AC" w14:textId="55404F99" w:rsidR="001B5D0A" w:rsidRPr="001B5D0A" w:rsidRDefault="001B5D0A" w:rsidP="001B5D0A">
                    <w:pPr>
                      <w:rPr>
                        <w:rFonts w:ascii="Aptos" w:eastAsia="Aptos" w:hAnsi="Aptos" w:cs="Aptos"/>
                        <w:noProof/>
                        <w:color w:val="FF0000"/>
                      </w:rPr>
                    </w:pPr>
                    <w:r w:rsidRPr="001B5D0A">
                      <w:rPr>
                        <w:rFonts w:ascii="Aptos" w:eastAsia="Aptos" w:hAnsi="Aptos" w:cs="Aptos"/>
                        <w:noProof/>
                        <w:color w:val="FF0000"/>
                      </w:rPr>
                      <w:t>OFFICIAL</w:t>
                    </w:r>
                  </w:p>
                </w:txbxContent>
              </v:textbox>
              <w10:wrap anchorx="page" anchory="page"/>
            </v:shape>
          </w:pict>
        </mc:Fallback>
      </mc:AlternateContent>
    </w:r>
    <w:r w:rsidR="00297061">
      <w:rPr>
        <w:rFonts w:asciiTheme="minorHAnsi" w:eastAsiaTheme="minorEastAsia" w:hAnsiTheme="minorHAnsi" w:cstheme="minorHAnsi"/>
        <w:i/>
        <w:noProof/>
        <w:color w:val="808080"/>
      </w:rPr>
      <w:t>Public Summary Document</w:t>
    </w:r>
    <w:r w:rsidR="001840CF" w:rsidRPr="001840CF">
      <w:rPr>
        <w:rFonts w:asciiTheme="minorHAnsi" w:eastAsiaTheme="minorEastAsia" w:hAnsiTheme="minorHAnsi" w:cstheme="minorHAnsi"/>
        <w:i/>
        <w:color w:val="808080"/>
      </w:rPr>
      <w:t xml:space="preserve"> </w:t>
    </w:r>
    <w:r w:rsidR="00CC2224">
      <w:rPr>
        <w:rFonts w:asciiTheme="minorHAnsi" w:eastAsiaTheme="minorEastAsia" w:hAnsiTheme="minorHAnsi" w:cstheme="minorHAnsi"/>
        <w:i/>
        <w:color w:val="808080"/>
      </w:rPr>
      <w:t xml:space="preserve">– </w:t>
    </w:r>
    <w:r w:rsidR="00A962A4">
      <w:rPr>
        <w:rFonts w:asciiTheme="minorHAnsi" w:eastAsiaTheme="minorEastAsia" w:hAnsiTheme="minorHAnsi" w:cstheme="minorHAnsi"/>
        <w:i/>
        <w:color w:val="808080"/>
      </w:rPr>
      <w:t>November</w:t>
    </w:r>
    <w:r w:rsidR="00C56D78">
      <w:rPr>
        <w:rFonts w:asciiTheme="minorHAnsi" w:eastAsiaTheme="minorEastAsia" w:hAnsiTheme="minorHAnsi" w:cstheme="minorHAnsi"/>
        <w:i/>
        <w:color w:val="808080"/>
      </w:rPr>
      <w:t xml:space="preserve"> 202</w:t>
    </w:r>
    <w:r w:rsidR="00A962A4">
      <w:rPr>
        <w:rFonts w:asciiTheme="minorHAnsi" w:eastAsiaTheme="minorEastAsia" w:hAnsiTheme="minorHAnsi" w:cstheme="minorHAnsi"/>
        <w:i/>
        <w:color w:val="808080"/>
      </w:rPr>
      <w:t>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C184" w14:textId="6663FE14" w:rsidR="001B5D0A" w:rsidRDefault="001B5D0A">
    <w:pPr>
      <w:pStyle w:val="Header"/>
    </w:pPr>
    <w:r>
      <w:rPr>
        <w:noProof/>
      </w:rPr>
      <mc:AlternateContent>
        <mc:Choice Requires="wps">
          <w:drawing>
            <wp:anchor distT="0" distB="0" distL="0" distR="0" simplePos="0" relativeHeight="251658240" behindDoc="0" locked="0" layoutInCell="1" allowOverlap="1" wp14:anchorId="2517306A" wp14:editId="2AC1E909">
              <wp:simplePos x="635" y="635"/>
              <wp:positionH relativeFrom="page">
                <wp:align>center</wp:align>
              </wp:positionH>
              <wp:positionV relativeFrom="page">
                <wp:align>top</wp:align>
              </wp:positionV>
              <wp:extent cx="622300" cy="376555"/>
              <wp:effectExtent l="0" t="0" r="6350" b="4445"/>
              <wp:wrapNone/>
              <wp:docPr id="15892484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0B4DF8" w14:textId="29BAE6FB" w:rsidR="001B5D0A" w:rsidRPr="001B5D0A" w:rsidRDefault="001B5D0A" w:rsidP="001B5D0A">
                          <w:pPr>
                            <w:rPr>
                              <w:rFonts w:ascii="Aptos" w:eastAsia="Aptos" w:hAnsi="Aptos" w:cs="Aptos"/>
                              <w:noProof/>
                              <w:color w:val="FF0000"/>
                            </w:rPr>
                          </w:pPr>
                          <w:r w:rsidRPr="001B5D0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17306A"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010B4DF8" w14:textId="29BAE6FB" w:rsidR="001B5D0A" w:rsidRPr="001B5D0A" w:rsidRDefault="001B5D0A" w:rsidP="001B5D0A">
                    <w:pPr>
                      <w:rPr>
                        <w:rFonts w:ascii="Aptos" w:eastAsia="Aptos" w:hAnsi="Aptos" w:cs="Aptos"/>
                        <w:noProof/>
                        <w:color w:val="FF0000"/>
                      </w:rPr>
                    </w:pPr>
                    <w:r w:rsidRPr="001B5D0A">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53291E"/>
    <w:multiLevelType w:val="hybridMultilevel"/>
    <w:tmpl w:val="206298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EB2CF8"/>
    <w:multiLevelType w:val="hybridMultilevel"/>
    <w:tmpl w:val="E154E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04A43C2"/>
    <w:multiLevelType w:val="hybridMultilevel"/>
    <w:tmpl w:val="7E308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2" w15:restartNumberingAfterBreak="0">
    <w:nsid w:val="464F11D1"/>
    <w:multiLevelType w:val="multilevel"/>
    <w:tmpl w:val="4D2AC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7648B9"/>
    <w:multiLevelType w:val="hybridMultilevel"/>
    <w:tmpl w:val="41F249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9E35B8"/>
    <w:multiLevelType w:val="multilevel"/>
    <w:tmpl w:val="1CF67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272E69"/>
    <w:multiLevelType w:val="multilevel"/>
    <w:tmpl w:val="5782A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84D033C"/>
    <w:multiLevelType w:val="multilevel"/>
    <w:tmpl w:val="92A4057E"/>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10"/>
  </w:num>
  <w:num w:numId="2" w16cid:durableId="957570559">
    <w:abstractNumId w:val="22"/>
  </w:num>
  <w:num w:numId="3" w16cid:durableId="1159004663">
    <w:abstractNumId w:val="18"/>
  </w:num>
  <w:num w:numId="4" w16cid:durableId="418600173">
    <w:abstractNumId w:val="23"/>
  </w:num>
  <w:num w:numId="5" w16cid:durableId="1279799443">
    <w:abstractNumId w:val="14"/>
  </w:num>
  <w:num w:numId="6" w16cid:durableId="495537779">
    <w:abstractNumId w:val="11"/>
  </w:num>
  <w:num w:numId="7" w16cid:durableId="1468400811">
    <w:abstractNumId w:val="0"/>
  </w:num>
  <w:num w:numId="8" w16cid:durableId="1915313393">
    <w:abstractNumId w:val="20"/>
  </w:num>
  <w:num w:numId="9" w16cid:durableId="1103570019">
    <w:abstractNumId w:val="8"/>
  </w:num>
  <w:num w:numId="10" w16cid:durableId="2041346921">
    <w:abstractNumId w:val="22"/>
  </w:num>
  <w:num w:numId="11" w16cid:durableId="16798917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4117282">
    <w:abstractNumId w:val="5"/>
  </w:num>
  <w:num w:numId="13" w16cid:durableId="1932009559">
    <w:abstractNumId w:val="22"/>
  </w:num>
  <w:num w:numId="14" w16cid:durableId="1020741352">
    <w:abstractNumId w:val="22"/>
  </w:num>
  <w:num w:numId="15" w16cid:durableId="2427618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413273">
    <w:abstractNumId w:val="13"/>
  </w:num>
  <w:num w:numId="17" w16cid:durableId="1569418770">
    <w:abstractNumId w:val="2"/>
  </w:num>
  <w:num w:numId="18" w16cid:durableId="705176722">
    <w:abstractNumId w:val="1"/>
  </w:num>
  <w:num w:numId="19" w16cid:durableId="1926569401">
    <w:abstractNumId w:val="6"/>
  </w:num>
  <w:num w:numId="20" w16cid:durableId="1979457665">
    <w:abstractNumId w:val="7"/>
  </w:num>
  <w:num w:numId="21" w16cid:durableId="2038313566">
    <w:abstractNumId w:val="4"/>
  </w:num>
  <w:num w:numId="22" w16cid:durableId="209997201">
    <w:abstractNumId w:val="21"/>
  </w:num>
  <w:num w:numId="23" w16cid:durableId="408699874">
    <w:abstractNumId w:val="16"/>
  </w:num>
  <w:num w:numId="24" w16cid:durableId="129744317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7901372">
    <w:abstractNumId w:val="9"/>
  </w:num>
  <w:num w:numId="26" w16cid:durableId="2131583159">
    <w:abstractNumId w:val="3"/>
  </w:num>
  <w:num w:numId="27" w16cid:durableId="12621803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9420813">
    <w:abstractNumId w:val="15"/>
    <w:lvlOverride w:ilvl="0">
      <w:startOverride w:val="1"/>
    </w:lvlOverride>
  </w:num>
  <w:num w:numId="29" w16cid:durableId="730276436">
    <w:abstractNumId w:val="12"/>
    <w:lvlOverride w:ilvl="0">
      <w:startOverride w:val="2"/>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5C8"/>
    <w:rsid w:val="0000080A"/>
    <w:rsid w:val="0000096D"/>
    <w:rsid w:val="00000C7E"/>
    <w:rsid w:val="00000FF0"/>
    <w:rsid w:val="00001302"/>
    <w:rsid w:val="00001663"/>
    <w:rsid w:val="000025AD"/>
    <w:rsid w:val="0000326C"/>
    <w:rsid w:val="0000335D"/>
    <w:rsid w:val="00003956"/>
    <w:rsid w:val="00003EC5"/>
    <w:rsid w:val="000061D4"/>
    <w:rsid w:val="00006782"/>
    <w:rsid w:val="0000724A"/>
    <w:rsid w:val="000077A6"/>
    <w:rsid w:val="00011097"/>
    <w:rsid w:val="0001179A"/>
    <w:rsid w:val="00011A59"/>
    <w:rsid w:val="00014C1A"/>
    <w:rsid w:val="00014D69"/>
    <w:rsid w:val="00016A41"/>
    <w:rsid w:val="0002120F"/>
    <w:rsid w:val="000214D1"/>
    <w:rsid w:val="00021F20"/>
    <w:rsid w:val="000240A7"/>
    <w:rsid w:val="00024232"/>
    <w:rsid w:val="0002464A"/>
    <w:rsid w:val="000253BE"/>
    <w:rsid w:val="00025A04"/>
    <w:rsid w:val="0002693D"/>
    <w:rsid w:val="00026965"/>
    <w:rsid w:val="00027A58"/>
    <w:rsid w:val="0003050E"/>
    <w:rsid w:val="0003106B"/>
    <w:rsid w:val="000319AA"/>
    <w:rsid w:val="0003243E"/>
    <w:rsid w:val="00032B10"/>
    <w:rsid w:val="00032C5F"/>
    <w:rsid w:val="000335B9"/>
    <w:rsid w:val="00033BD6"/>
    <w:rsid w:val="00033C58"/>
    <w:rsid w:val="00034552"/>
    <w:rsid w:val="00034905"/>
    <w:rsid w:val="00035013"/>
    <w:rsid w:val="000364DC"/>
    <w:rsid w:val="000366A4"/>
    <w:rsid w:val="000366FA"/>
    <w:rsid w:val="00037906"/>
    <w:rsid w:val="00040A30"/>
    <w:rsid w:val="000414C9"/>
    <w:rsid w:val="0004193E"/>
    <w:rsid w:val="00041A49"/>
    <w:rsid w:val="000421A1"/>
    <w:rsid w:val="0004240E"/>
    <w:rsid w:val="000425A2"/>
    <w:rsid w:val="00042B20"/>
    <w:rsid w:val="00042D76"/>
    <w:rsid w:val="00043C12"/>
    <w:rsid w:val="00044E52"/>
    <w:rsid w:val="00044EC4"/>
    <w:rsid w:val="00045E26"/>
    <w:rsid w:val="00046903"/>
    <w:rsid w:val="00046D92"/>
    <w:rsid w:val="00047247"/>
    <w:rsid w:val="000514B5"/>
    <w:rsid w:val="000521ED"/>
    <w:rsid w:val="0005322E"/>
    <w:rsid w:val="00053726"/>
    <w:rsid w:val="000546CF"/>
    <w:rsid w:val="00054E2B"/>
    <w:rsid w:val="00054EA3"/>
    <w:rsid w:val="00055007"/>
    <w:rsid w:val="00055A8E"/>
    <w:rsid w:val="000565A8"/>
    <w:rsid w:val="00056E83"/>
    <w:rsid w:val="00056F32"/>
    <w:rsid w:val="00060B97"/>
    <w:rsid w:val="00060E64"/>
    <w:rsid w:val="000610A5"/>
    <w:rsid w:val="000610AD"/>
    <w:rsid w:val="000621AB"/>
    <w:rsid w:val="0006243E"/>
    <w:rsid w:val="00062C03"/>
    <w:rsid w:val="00062E88"/>
    <w:rsid w:val="00063BC5"/>
    <w:rsid w:val="00066193"/>
    <w:rsid w:val="00066755"/>
    <w:rsid w:val="000677D6"/>
    <w:rsid w:val="00067864"/>
    <w:rsid w:val="000702EB"/>
    <w:rsid w:val="000703C0"/>
    <w:rsid w:val="00071A5B"/>
    <w:rsid w:val="00072730"/>
    <w:rsid w:val="0007337F"/>
    <w:rsid w:val="00074320"/>
    <w:rsid w:val="00075CFA"/>
    <w:rsid w:val="000763D5"/>
    <w:rsid w:val="00076C38"/>
    <w:rsid w:val="00077143"/>
    <w:rsid w:val="000771A9"/>
    <w:rsid w:val="00077DF7"/>
    <w:rsid w:val="0008050C"/>
    <w:rsid w:val="00080998"/>
    <w:rsid w:val="00082169"/>
    <w:rsid w:val="000834BE"/>
    <w:rsid w:val="00083F01"/>
    <w:rsid w:val="000841E6"/>
    <w:rsid w:val="000848DB"/>
    <w:rsid w:val="00084E7B"/>
    <w:rsid w:val="00086376"/>
    <w:rsid w:val="000865EF"/>
    <w:rsid w:val="00087C4C"/>
    <w:rsid w:val="00087E15"/>
    <w:rsid w:val="00090169"/>
    <w:rsid w:val="00090FAC"/>
    <w:rsid w:val="00091339"/>
    <w:rsid w:val="000918CB"/>
    <w:rsid w:val="00091B06"/>
    <w:rsid w:val="00093198"/>
    <w:rsid w:val="0009346B"/>
    <w:rsid w:val="00094012"/>
    <w:rsid w:val="00094810"/>
    <w:rsid w:val="000951C4"/>
    <w:rsid w:val="00095ADA"/>
    <w:rsid w:val="00095F3A"/>
    <w:rsid w:val="000964A3"/>
    <w:rsid w:val="000969AD"/>
    <w:rsid w:val="00096D03"/>
    <w:rsid w:val="000975FB"/>
    <w:rsid w:val="000A02F8"/>
    <w:rsid w:val="000A1038"/>
    <w:rsid w:val="000A3546"/>
    <w:rsid w:val="000A38A9"/>
    <w:rsid w:val="000A3AA2"/>
    <w:rsid w:val="000A42EF"/>
    <w:rsid w:val="000A44B2"/>
    <w:rsid w:val="000A4DDB"/>
    <w:rsid w:val="000A52F6"/>
    <w:rsid w:val="000A58B8"/>
    <w:rsid w:val="000A59BF"/>
    <w:rsid w:val="000A68F8"/>
    <w:rsid w:val="000A6B91"/>
    <w:rsid w:val="000A78B8"/>
    <w:rsid w:val="000B032C"/>
    <w:rsid w:val="000B1BB6"/>
    <w:rsid w:val="000B1DF5"/>
    <w:rsid w:val="000B3376"/>
    <w:rsid w:val="000B44C3"/>
    <w:rsid w:val="000B518A"/>
    <w:rsid w:val="000B558D"/>
    <w:rsid w:val="000B5A89"/>
    <w:rsid w:val="000B5F4C"/>
    <w:rsid w:val="000B62EB"/>
    <w:rsid w:val="000B65F6"/>
    <w:rsid w:val="000B6EE7"/>
    <w:rsid w:val="000B7767"/>
    <w:rsid w:val="000B7A00"/>
    <w:rsid w:val="000C1AFF"/>
    <w:rsid w:val="000C2354"/>
    <w:rsid w:val="000C3E81"/>
    <w:rsid w:val="000C3F72"/>
    <w:rsid w:val="000C4E9F"/>
    <w:rsid w:val="000C5646"/>
    <w:rsid w:val="000C5740"/>
    <w:rsid w:val="000C5F95"/>
    <w:rsid w:val="000C6996"/>
    <w:rsid w:val="000C7C46"/>
    <w:rsid w:val="000D09E9"/>
    <w:rsid w:val="000D113F"/>
    <w:rsid w:val="000D12E8"/>
    <w:rsid w:val="000D23BA"/>
    <w:rsid w:val="000D2D60"/>
    <w:rsid w:val="000D3900"/>
    <w:rsid w:val="000D3D1B"/>
    <w:rsid w:val="000D46EB"/>
    <w:rsid w:val="000D4F18"/>
    <w:rsid w:val="000D52A6"/>
    <w:rsid w:val="000D55C1"/>
    <w:rsid w:val="000D627E"/>
    <w:rsid w:val="000D7060"/>
    <w:rsid w:val="000E19B7"/>
    <w:rsid w:val="000E20FC"/>
    <w:rsid w:val="000E3020"/>
    <w:rsid w:val="000E3168"/>
    <w:rsid w:val="000E3C1D"/>
    <w:rsid w:val="000E3DFB"/>
    <w:rsid w:val="000E3F82"/>
    <w:rsid w:val="000E40B2"/>
    <w:rsid w:val="000E4A39"/>
    <w:rsid w:val="000E5EA1"/>
    <w:rsid w:val="000E681E"/>
    <w:rsid w:val="000E696B"/>
    <w:rsid w:val="000E7E52"/>
    <w:rsid w:val="000E7E90"/>
    <w:rsid w:val="000EE1C7"/>
    <w:rsid w:val="000F0003"/>
    <w:rsid w:val="000F09F5"/>
    <w:rsid w:val="000F184F"/>
    <w:rsid w:val="000F3384"/>
    <w:rsid w:val="000F3438"/>
    <w:rsid w:val="000F3A2D"/>
    <w:rsid w:val="000F4E6A"/>
    <w:rsid w:val="000F6ABB"/>
    <w:rsid w:val="000F6E7E"/>
    <w:rsid w:val="000F7354"/>
    <w:rsid w:val="000F7689"/>
    <w:rsid w:val="000F7C27"/>
    <w:rsid w:val="0010044F"/>
    <w:rsid w:val="00100BFB"/>
    <w:rsid w:val="001011FC"/>
    <w:rsid w:val="00101361"/>
    <w:rsid w:val="00101ABE"/>
    <w:rsid w:val="00101C18"/>
    <w:rsid w:val="00102202"/>
    <w:rsid w:val="00102700"/>
    <w:rsid w:val="00102A78"/>
    <w:rsid w:val="00103118"/>
    <w:rsid w:val="00103915"/>
    <w:rsid w:val="00103F1B"/>
    <w:rsid w:val="001041DA"/>
    <w:rsid w:val="00104227"/>
    <w:rsid w:val="001043B9"/>
    <w:rsid w:val="001053D5"/>
    <w:rsid w:val="00105965"/>
    <w:rsid w:val="00107409"/>
    <w:rsid w:val="001107BF"/>
    <w:rsid w:val="001116C5"/>
    <w:rsid w:val="00111F92"/>
    <w:rsid w:val="00112A81"/>
    <w:rsid w:val="00113601"/>
    <w:rsid w:val="00113649"/>
    <w:rsid w:val="00113D5C"/>
    <w:rsid w:val="00114483"/>
    <w:rsid w:val="00114549"/>
    <w:rsid w:val="00114605"/>
    <w:rsid w:val="00116B03"/>
    <w:rsid w:val="00120350"/>
    <w:rsid w:val="00120AA6"/>
    <w:rsid w:val="00121C69"/>
    <w:rsid w:val="00122FBA"/>
    <w:rsid w:val="00123613"/>
    <w:rsid w:val="001236CE"/>
    <w:rsid w:val="001239DB"/>
    <w:rsid w:val="00123A3B"/>
    <w:rsid w:val="0012417C"/>
    <w:rsid w:val="00124220"/>
    <w:rsid w:val="00124BF2"/>
    <w:rsid w:val="00125837"/>
    <w:rsid w:val="0012597F"/>
    <w:rsid w:val="001267E1"/>
    <w:rsid w:val="00126B19"/>
    <w:rsid w:val="00126D3A"/>
    <w:rsid w:val="0012749D"/>
    <w:rsid w:val="0012777E"/>
    <w:rsid w:val="00127A23"/>
    <w:rsid w:val="001306A5"/>
    <w:rsid w:val="00130918"/>
    <w:rsid w:val="00130BCD"/>
    <w:rsid w:val="001311AE"/>
    <w:rsid w:val="00131318"/>
    <w:rsid w:val="00132059"/>
    <w:rsid w:val="00133B97"/>
    <w:rsid w:val="00134994"/>
    <w:rsid w:val="00134FC0"/>
    <w:rsid w:val="001351F8"/>
    <w:rsid w:val="0013612D"/>
    <w:rsid w:val="001366C2"/>
    <w:rsid w:val="00136C17"/>
    <w:rsid w:val="001400EC"/>
    <w:rsid w:val="00140B74"/>
    <w:rsid w:val="00140CFC"/>
    <w:rsid w:val="00140D94"/>
    <w:rsid w:val="001421FD"/>
    <w:rsid w:val="00142395"/>
    <w:rsid w:val="0014250D"/>
    <w:rsid w:val="00142714"/>
    <w:rsid w:val="00144305"/>
    <w:rsid w:val="00144B73"/>
    <w:rsid w:val="00144CD8"/>
    <w:rsid w:val="00144D09"/>
    <w:rsid w:val="00144E06"/>
    <w:rsid w:val="001452ED"/>
    <w:rsid w:val="00145653"/>
    <w:rsid w:val="001475F6"/>
    <w:rsid w:val="00147D84"/>
    <w:rsid w:val="00151CBD"/>
    <w:rsid w:val="00152929"/>
    <w:rsid w:val="00153009"/>
    <w:rsid w:val="001532C7"/>
    <w:rsid w:val="001533C3"/>
    <w:rsid w:val="00153EDD"/>
    <w:rsid w:val="001549C1"/>
    <w:rsid w:val="00154B3F"/>
    <w:rsid w:val="00156C8D"/>
    <w:rsid w:val="00160F4D"/>
    <w:rsid w:val="0016189A"/>
    <w:rsid w:val="00162BDD"/>
    <w:rsid w:val="00162D4E"/>
    <w:rsid w:val="00163329"/>
    <w:rsid w:val="0016422E"/>
    <w:rsid w:val="00164365"/>
    <w:rsid w:val="00164623"/>
    <w:rsid w:val="00164F70"/>
    <w:rsid w:val="001652DE"/>
    <w:rsid w:val="001653EC"/>
    <w:rsid w:val="00165B64"/>
    <w:rsid w:val="001661F3"/>
    <w:rsid w:val="00167325"/>
    <w:rsid w:val="001675A3"/>
    <w:rsid w:val="00167A53"/>
    <w:rsid w:val="00167C39"/>
    <w:rsid w:val="00170C4D"/>
    <w:rsid w:val="00171368"/>
    <w:rsid w:val="00173CB0"/>
    <w:rsid w:val="00174138"/>
    <w:rsid w:val="00174EB8"/>
    <w:rsid w:val="001755B3"/>
    <w:rsid w:val="001756CB"/>
    <w:rsid w:val="00175787"/>
    <w:rsid w:val="00175BCE"/>
    <w:rsid w:val="0017607F"/>
    <w:rsid w:val="00176B9D"/>
    <w:rsid w:val="00177EA4"/>
    <w:rsid w:val="00180713"/>
    <w:rsid w:val="00180720"/>
    <w:rsid w:val="001818F1"/>
    <w:rsid w:val="00181D43"/>
    <w:rsid w:val="001830CE"/>
    <w:rsid w:val="001836E3"/>
    <w:rsid w:val="00183804"/>
    <w:rsid w:val="001840CF"/>
    <w:rsid w:val="00184659"/>
    <w:rsid w:val="00185394"/>
    <w:rsid w:val="001860E5"/>
    <w:rsid w:val="0018643B"/>
    <w:rsid w:val="00190DD4"/>
    <w:rsid w:val="0019164C"/>
    <w:rsid w:val="00192136"/>
    <w:rsid w:val="00192249"/>
    <w:rsid w:val="00192F8B"/>
    <w:rsid w:val="00192FAA"/>
    <w:rsid w:val="00193592"/>
    <w:rsid w:val="00193E3B"/>
    <w:rsid w:val="0019456D"/>
    <w:rsid w:val="00194D25"/>
    <w:rsid w:val="00196307"/>
    <w:rsid w:val="00197ADD"/>
    <w:rsid w:val="00197C70"/>
    <w:rsid w:val="00197F03"/>
    <w:rsid w:val="001A06AA"/>
    <w:rsid w:val="001A0886"/>
    <w:rsid w:val="001A0D10"/>
    <w:rsid w:val="001A1349"/>
    <w:rsid w:val="001A216B"/>
    <w:rsid w:val="001A33EA"/>
    <w:rsid w:val="001A3615"/>
    <w:rsid w:val="001A38AD"/>
    <w:rsid w:val="001A4413"/>
    <w:rsid w:val="001A4C4F"/>
    <w:rsid w:val="001A5577"/>
    <w:rsid w:val="001A5A2B"/>
    <w:rsid w:val="001A76FB"/>
    <w:rsid w:val="001B017F"/>
    <w:rsid w:val="001B0B79"/>
    <w:rsid w:val="001B19EA"/>
    <w:rsid w:val="001B2940"/>
    <w:rsid w:val="001B2B1C"/>
    <w:rsid w:val="001B2BBC"/>
    <w:rsid w:val="001B2BCD"/>
    <w:rsid w:val="001B30E3"/>
    <w:rsid w:val="001B3A40"/>
    <w:rsid w:val="001B3FFE"/>
    <w:rsid w:val="001B5129"/>
    <w:rsid w:val="001B5D0A"/>
    <w:rsid w:val="001B69AC"/>
    <w:rsid w:val="001B7D4B"/>
    <w:rsid w:val="001C0B4C"/>
    <w:rsid w:val="001C0EA6"/>
    <w:rsid w:val="001C0EC4"/>
    <w:rsid w:val="001C1195"/>
    <w:rsid w:val="001C12AE"/>
    <w:rsid w:val="001C1AA1"/>
    <w:rsid w:val="001C1D77"/>
    <w:rsid w:val="001C1E84"/>
    <w:rsid w:val="001C20E1"/>
    <w:rsid w:val="001C2A0F"/>
    <w:rsid w:val="001C2AC2"/>
    <w:rsid w:val="001C2E42"/>
    <w:rsid w:val="001C34EB"/>
    <w:rsid w:val="001C4588"/>
    <w:rsid w:val="001D1F5F"/>
    <w:rsid w:val="001D20BB"/>
    <w:rsid w:val="001D304D"/>
    <w:rsid w:val="001D4591"/>
    <w:rsid w:val="001D50E0"/>
    <w:rsid w:val="001D595B"/>
    <w:rsid w:val="001E06D2"/>
    <w:rsid w:val="001E0A38"/>
    <w:rsid w:val="001E0B2E"/>
    <w:rsid w:val="001E17C4"/>
    <w:rsid w:val="001E2563"/>
    <w:rsid w:val="001E2A47"/>
    <w:rsid w:val="001E2D65"/>
    <w:rsid w:val="001E35EA"/>
    <w:rsid w:val="001E37E0"/>
    <w:rsid w:val="001E450A"/>
    <w:rsid w:val="001E4565"/>
    <w:rsid w:val="001E4F08"/>
    <w:rsid w:val="001E74D3"/>
    <w:rsid w:val="001E7D0C"/>
    <w:rsid w:val="001F005B"/>
    <w:rsid w:val="001F0266"/>
    <w:rsid w:val="001F1850"/>
    <w:rsid w:val="001F1B71"/>
    <w:rsid w:val="001F1FBF"/>
    <w:rsid w:val="001F2311"/>
    <w:rsid w:val="001F2B80"/>
    <w:rsid w:val="001F2F1C"/>
    <w:rsid w:val="001F3189"/>
    <w:rsid w:val="001F4601"/>
    <w:rsid w:val="001F74CC"/>
    <w:rsid w:val="001F7E63"/>
    <w:rsid w:val="00200BEA"/>
    <w:rsid w:val="002019FE"/>
    <w:rsid w:val="00201CA4"/>
    <w:rsid w:val="00201FB8"/>
    <w:rsid w:val="00203FAC"/>
    <w:rsid w:val="00204CDD"/>
    <w:rsid w:val="00205065"/>
    <w:rsid w:val="00205143"/>
    <w:rsid w:val="00205F29"/>
    <w:rsid w:val="0020760C"/>
    <w:rsid w:val="00207E4F"/>
    <w:rsid w:val="00211A9E"/>
    <w:rsid w:val="00212275"/>
    <w:rsid w:val="002131D0"/>
    <w:rsid w:val="002133FB"/>
    <w:rsid w:val="00213CFB"/>
    <w:rsid w:val="002142E4"/>
    <w:rsid w:val="0021553C"/>
    <w:rsid w:val="0021557B"/>
    <w:rsid w:val="002157C2"/>
    <w:rsid w:val="00216B87"/>
    <w:rsid w:val="002174FD"/>
    <w:rsid w:val="00217B89"/>
    <w:rsid w:val="00217BE1"/>
    <w:rsid w:val="002206D5"/>
    <w:rsid w:val="00221361"/>
    <w:rsid w:val="002214B9"/>
    <w:rsid w:val="00222680"/>
    <w:rsid w:val="00223370"/>
    <w:rsid w:val="00224D1E"/>
    <w:rsid w:val="00224EF4"/>
    <w:rsid w:val="00225299"/>
    <w:rsid w:val="00225D76"/>
    <w:rsid w:val="00226022"/>
    <w:rsid w:val="00226611"/>
    <w:rsid w:val="00227BC5"/>
    <w:rsid w:val="002301A4"/>
    <w:rsid w:val="002307F9"/>
    <w:rsid w:val="00230F63"/>
    <w:rsid w:val="00231405"/>
    <w:rsid w:val="002318C6"/>
    <w:rsid w:val="00232A48"/>
    <w:rsid w:val="00232EBE"/>
    <w:rsid w:val="0023321B"/>
    <w:rsid w:val="00233C41"/>
    <w:rsid w:val="00234252"/>
    <w:rsid w:val="0023466E"/>
    <w:rsid w:val="00235682"/>
    <w:rsid w:val="00237AC6"/>
    <w:rsid w:val="002418D5"/>
    <w:rsid w:val="00242AB2"/>
    <w:rsid w:val="00242B64"/>
    <w:rsid w:val="00242BFD"/>
    <w:rsid w:val="002430CE"/>
    <w:rsid w:val="00244139"/>
    <w:rsid w:val="002441E6"/>
    <w:rsid w:val="00244366"/>
    <w:rsid w:val="00244490"/>
    <w:rsid w:val="00244BEC"/>
    <w:rsid w:val="00245444"/>
    <w:rsid w:val="00245B9C"/>
    <w:rsid w:val="00245CB2"/>
    <w:rsid w:val="00246500"/>
    <w:rsid w:val="00246954"/>
    <w:rsid w:val="00250874"/>
    <w:rsid w:val="00250FC4"/>
    <w:rsid w:val="00251A4F"/>
    <w:rsid w:val="00251B85"/>
    <w:rsid w:val="00252587"/>
    <w:rsid w:val="00252F06"/>
    <w:rsid w:val="00253499"/>
    <w:rsid w:val="00253FFE"/>
    <w:rsid w:val="002551A4"/>
    <w:rsid w:val="002554E2"/>
    <w:rsid w:val="00257664"/>
    <w:rsid w:val="00257A7E"/>
    <w:rsid w:val="00257D6F"/>
    <w:rsid w:val="00260165"/>
    <w:rsid w:val="00261E25"/>
    <w:rsid w:val="002620DC"/>
    <w:rsid w:val="002624F8"/>
    <w:rsid w:val="00262738"/>
    <w:rsid w:val="00263512"/>
    <w:rsid w:val="00265151"/>
    <w:rsid w:val="00265C2C"/>
    <w:rsid w:val="00266509"/>
    <w:rsid w:val="00267098"/>
    <w:rsid w:val="00267A93"/>
    <w:rsid w:val="00267F6C"/>
    <w:rsid w:val="0027095A"/>
    <w:rsid w:val="00270BDC"/>
    <w:rsid w:val="002713A6"/>
    <w:rsid w:val="00271BA1"/>
    <w:rsid w:val="00271C09"/>
    <w:rsid w:val="00272B07"/>
    <w:rsid w:val="00272BEA"/>
    <w:rsid w:val="00272DE5"/>
    <w:rsid w:val="0027345A"/>
    <w:rsid w:val="00273AC5"/>
    <w:rsid w:val="002753AA"/>
    <w:rsid w:val="002762FA"/>
    <w:rsid w:val="00276BE3"/>
    <w:rsid w:val="00277505"/>
    <w:rsid w:val="00277873"/>
    <w:rsid w:val="00277C96"/>
    <w:rsid w:val="0028158C"/>
    <w:rsid w:val="00282244"/>
    <w:rsid w:val="002823B6"/>
    <w:rsid w:val="00290C03"/>
    <w:rsid w:val="00290D15"/>
    <w:rsid w:val="00290D46"/>
    <w:rsid w:val="00292392"/>
    <w:rsid w:val="00292630"/>
    <w:rsid w:val="00292E3B"/>
    <w:rsid w:val="002933A8"/>
    <w:rsid w:val="00294274"/>
    <w:rsid w:val="00294509"/>
    <w:rsid w:val="0029458F"/>
    <w:rsid w:val="00295D04"/>
    <w:rsid w:val="002960F3"/>
    <w:rsid w:val="002962B3"/>
    <w:rsid w:val="00297061"/>
    <w:rsid w:val="00297A63"/>
    <w:rsid w:val="002A018F"/>
    <w:rsid w:val="002A0E04"/>
    <w:rsid w:val="002A0ECD"/>
    <w:rsid w:val="002A104C"/>
    <w:rsid w:val="002A1EF7"/>
    <w:rsid w:val="002A2AE0"/>
    <w:rsid w:val="002A2B7B"/>
    <w:rsid w:val="002A2D0B"/>
    <w:rsid w:val="002A2F16"/>
    <w:rsid w:val="002A2F74"/>
    <w:rsid w:val="002A3367"/>
    <w:rsid w:val="002A494D"/>
    <w:rsid w:val="002A4960"/>
    <w:rsid w:val="002A5201"/>
    <w:rsid w:val="002A585E"/>
    <w:rsid w:val="002A5B1A"/>
    <w:rsid w:val="002A636A"/>
    <w:rsid w:val="002A755F"/>
    <w:rsid w:val="002A7F70"/>
    <w:rsid w:val="002B0AE0"/>
    <w:rsid w:val="002B0B2B"/>
    <w:rsid w:val="002B128A"/>
    <w:rsid w:val="002B1AE6"/>
    <w:rsid w:val="002B1D51"/>
    <w:rsid w:val="002B2DE8"/>
    <w:rsid w:val="002B30F8"/>
    <w:rsid w:val="002B388A"/>
    <w:rsid w:val="002B388D"/>
    <w:rsid w:val="002B3BFE"/>
    <w:rsid w:val="002B3C1A"/>
    <w:rsid w:val="002B3EE6"/>
    <w:rsid w:val="002B41C2"/>
    <w:rsid w:val="002B4C2A"/>
    <w:rsid w:val="002B5108"/>
    <w:rsid w:val="002B5596"/>
    <w:rsid w:val="002B77D7"/>
    <w:rsid w:val="002C002D"/>
    <w:rsid w:val="002C0763"/>
    <w:rsid w:val="002C0E9D"/>
    <w:rsid w:val="002C12AD"/>
    <w:rsid w:val="002C212F"/>
    <w:rsid w:val="002C2F35"/>
    <w:rsid w:val="002C33FB"/>
    <w:rsid w:val="002C34D9"/>
    <w:rsid w:val="002C43E7"/>
    <w:rsid w:val="002C50FA"/>
    <w:rsid w:val="002C52CD"/>
    <w:rsid w:val="002C5850"/>
    <w:rsid w:val="002C619A"/>
    <w:rsid w:val="002C6AA9"/>
    <w:rsid w:val="002C7485"/>
    <w:rsid w:val="002C7CDA"/>
    <w:rsid w:val="002C7E98"/>
    <w:rsid w:val="002D0933"/>
    <w:rsid w:val="002D1788"/>
    <w:rsid w:val="002D1FBD"/>
    <w:rsid w:val="002D2641"/>
    <w:rsid w:val="002D283A"/>
    <w:rsid w:val="002D2FDE"/>
    <w:rsid w:val="002D3D59"/>
    <w:rsid w:val="002D4184"/>
    <w:rsid w:val="002D420F"/>
    <w:rsid w:val="002D43B8"/>
    <w:rsid w:val="002D4543"/>
    <w:rsid w:val="002D5310"/>
    <w:rsid w:val="002D715F"/>
    <w:rsid w:val="002D7276"/>
    <w:rsid w:val="002D72B5"/>
    <w:rsid w:val="002E022A"/>
    <w:rsid w:val="002E02C5"/>
    <w:rsid w:val="002E0C78"/>
    <w:rsid w:val="002E1037"/>
    <w:rsid w:val="002E127C"/>
    <w:rsid w:val="002E3153"/>
    <w:rsid w:val="002E35E3"/>
    <w:rsid w:val="002E3FD4"/>
    <w:rsid w:val="002E4536"/>
    <w:rsid w:val="002E4A02"/>
    <w:rsid w:val="002E51C8"/>
    <w:rsid w:val="002E5292"/>
    <w:rsid w:val="002E5DEF"/>
    <w:rsid w:val="002E72CA"/>
    <w:rsid w:val="002E75DD"/>
    <w:rsid w:val="002F0789"/>
    <w:rsid w:val="002F1496"/>
    <w:rsid w:val="002F1D07"/>
    <w:rsid w:val="002F1F7D"/>
    <w:rsid w:val="002F2341"/>
    <w:rsid w:val="002F328F"/>
    <w:rsid w:val="002F32F3"/>
    <w:rsid w:val="002F5C5B"/>
    <w:rsid w:val="002F600D"/>
    <w:rsid w:val="002F6D51"/>
    <w:rsid w:val="002F6F0F"/>
    <w:rsid w:val="002F7E47"/>
    <w:rsid w:val="003006B0"/>
    <w:rsid w:val="00300AD6"/>
    <w:rsid w:val="00300B1B"/>
    <w:rsid w:val="003019D0"/>
    <w:rsid w:val="003019DE"/>
    <w:rsid w:val="00301E00"/>
    <w:rsid w:val="00302A45"/>
    <w:rsid w:val="00302FC7"/>
    <w:rsid w:val="0030311E"/>
    <w:rsid w:val="0030337C"/>
    <w:rsid w:val="0030361D"/>
    <w:rsid w:val="0030389F"/>
    <w:rsid w:val="00303CFE"/>
    <w:rsid w:val="00304F1F"/>
    <w:rsid w:val="00305038"/>
    <w:rsid w:val="0030578A"/>
    <w:rsid w:val="00305874"/>
    <w:rsid w:val="003064AF"/>
    <w:rsid w:val="003079F1"/>
    <w:rsid w:val="00307C1E"/>
    <w:rsid w:val="00307DC6"/>
    <w:rsid w:val="00310A8B"/>
    <w:rsid w:val="00310B68"/>
    <w:rsid w:val="003110BC"/>
    <w:rsid w:val="003122FA"/>
    <w:rsid w:val="00312CA7"/>
    <w:rsid w:val="00312F75"/>
    <w:rsid w:val="003146EF"/>
    <w:rsid w:val="003160D2"/>
    <w:rsid w:val="003171F9"/>
    <w:rsid w:val="003173FC"/>
    <w:rsid w:val="00317C6C"/>
    <w:rsid w:val="00320B80"/>
    <w:rsid w:val="00320CD3"/>
    <w:rsid w:val="00321206"/>
    <w:rsid w:val="003214A7"/>
    <w:rsid w:val="003215FF"/>
    <w:rsid w:val="00322646"/>
    <w:rsid w:val="00322667"/>
    <w:rsid w:val="003245C5"/>
    <w:rsid w:val="0032563B"/>
    <w:rsid w:val="0032607C"/>
    <w:rsid w:val="00326E79"/>
    <w:rsid w:val="0032748A"/>
    <w:rsid w:val="00327BC9"/>
    <w:rsid w:val="00327F27"/>
    <w:rsid w:val="003301B1"/>
    <w:rsid w:val="00331189"/>
    <w:rsid w:val="00331B1C"/>
    <w:rsid w:val="00331BD2"/>
    <w:rsid w:val="00331C9D"/>
    <w:rsid w:val="00331D7B"/>
    <w:rsid w:val="0033263D"/>
    <w:rsid w:val="00332BE6"/>
    <w:rsid w:val="00333070"/>
    <w:rsid w:val="003330DF"/>
    <w:rsid w:val="00334E69"/>
    <w:rsid w:val="0033518A"/>
    <w:rsid w:val="00335535"/>
    <w:rsid w:val="0033567B"/>
    <w:rsid w:val="00335F76"/>
    <w:rsid w:val="00336484"/>
    <w:rsid w:val="003367EF"/>
    <w:rsid w:val="003372D9"/>
    <w:rsid w:val="003401E0"/>
    <w:rsid w:val="00341580"/>
    <w:rsid w:val="00341AE4"/>
    <w:rsid w:val="003425CA"/>
    <w:rsid w:val="00343FB7"/>
    <w:rsid w:val="00344198"/>
    <w:rsid w:val="003476EE"/>
    <w:rsid w:val="003478A4"/>
    <w:rsid w:val="003507FA"/>
    <w:rsid w:val="0035202E"/>
    <w:rsid w:val="003522BF"/>
    <w:rsid w:val="00352F1C"/>
    <w:rsid w:val="00353753"/>
    <w:rsid w:val="003541DD"/>
    <w:rsid w:val="00355020"/>
    <w:rsid w:val="00356E5B"/>
    <w:rsid w:val="00356FF7"/>
    <w:rsid w:val="0036022B"/>
    <w:rsid w:val="0036024A"/>
    <w:rsid w:val="00360887"/>
    <w:rsid w:val="00360A79"/>
    <w:rsid w:val="0036128F"/>
    <w:rsid w:val="00361960"/>
    <w:rsid w:val="0036249F"/>
    <w:rsid w:val="00365750"/>
    <w:rsid w:val="0036718C"/>
    <w:rsid w:val="00367C53"/>
    <w:rsid w:val="00370073"/>
    <w:rsid w:val="00370308"/>
    <w:rsid w:val="00371246"/>
    <w:rsid w:val="0037192F"/>
    <w:rsid w:val="003734A0"/>
    <w:rsid w:val="003736C9"/>
    <w:rsid w:val="00374680"/>
    <w:rsid w:val="00374F8D"/>
    <w:rsid w:val="00375468"/>
    <w:rsid w:val="003773CF"/>
    <w:rsid w:val="00377BB8"/>
    <w:rsid w:val="00377C4E"/>
    <w:rsid w:val="00380995"/>
    <w:rsid w:val="00381AA9"/>
    <w:rsid w:val="00381B37"/>
    <w:rsid w:val="00383B77"/>
    <w:rsid w:val="00384371"/>
    <w:rsid w:val="003844FD"/>
    <w:rsid w:val="00384988"/>
    <w:rsid w:val="00385E81"/>
    <w:rsid w:val="003872CF"/>
    <w:rsid w:val="003874CB"/>
    <w:rsid w:val="00390305"/>
    <w:rsid w:val="00390A21"/>
    <w:rsid w:val="00392548"/>
    <w:rsid w:val="0039258B"/>
    <w:rsid w:val="00392D4D"/>
    <w:rsid w:val="00392E97"/>
    <w:rsid w:val="0039337A"/>
    <w:rsid w:val="00396E08"/>
    <w:rsid w:val="003970DD"/>
    <w:rsid w:val="0039782C"/>
    <w:rsid w:val="00397F98"/>
    <w:rsid w:val="003A13A6"/>
    <w:rsid w:val="003A2165"/>
    <w:rsid w:val="003A2C1A"/>
    <w:rsid w:val="003A3330"/>
    <w:rsid w:val="003A3AF3"/>
    <w:rsid w:val="003A3BF4"/>
    <w:rsid w:val="003A3FD4"/>
    <w:rsid w:val="003A586A"/>
    <w:rsid w:val="003A5B4A"/>
    <w:rsid w:val="003A5D95"/>
    <w:rsid w:val="003A6510"/>
    <w:rsid w:val="003A74E2"/>
    <w:rsid w:val="003A7AEE"/>
    <w:rsid w:val="003B0ABE"/>
    <w:rsid w:val="003B0D3A"/>
    <w:rsid w:val="003B2302"/>
    <w:rsid w:val="003B23C5"/>
    <w:rsid w:val="003B2A75"/>
    <w:rsid w:val="003B350E"/>
    <w:rsid w:val="003B40D4"/>
    <w:rsid w:val="003B49B2"/>
    <w:rsid w:val="003B5D89"/>
    <w:rsid w:val="003B6124"/>
    <w:rsid w:val="003B6843"/>
    <w:rsid w:val="003B7960"/>
    <w:rsid w:val="003B7DCF"/>
    <w:rsid w:val="003B7E74"/>
    <w:rsid w:val="003C0462"/>
    <w:rsid w:val="003C0908"/>
    <w:rsid w:val="003C093A"/>
    <w:rsid w:val="003C0CFA"/>
    <w:rsid w:val="003C1ACA"/>
    <w:rsid w:val="003C1BF0"/>
    <w:rsid w:val="003C1ECF"/>
    <w:rsid w:val="003C1EFA"/>
    <w:rsid w:val="003C2FB5"/>
    <w:rsid w:val="003C48E2"/>
    <w:rsid w:val="003C6891"/>
    <w:rsid w:val="003C7128"/>
    <w:rsid w:val="003C76AD"/>
    <w:rsid w:val="003D139F"/>
    <w:rsid w:val="003D13F8"/>
    <w:rsid w:val="003D24C5"/>
    <w:rsid w:val="003D4354"/>
    <w:rsid w:val="003D4594"/>
    <w:rsid w:val="003D4AC4"/>
    <w:rsid w:val="003D5433"/>
    <w:rsid w:val="003D571B"/>
    <w:rsid w:val="003D63B7"/>
    <w:rsid w:val="003D6B47"/>
    <w:rsid w:val="003D6EF1"/>
    <w:rsid w:val="003D6FF8"/>
    <w:rsid w:val="003D74C5"/>
    <w:rsid w:val="003E03CF"/>
    <w:rsid w:val="003E1507"/>
    <w:rsid w:val="003E1774"/>
    <w:rsid w:val="003E2511"/>
    <w:rsid w:val="003E281C"/>
    <w:rsid w:val="003E4374"/>
    <w:rsid w:val="003E468B"/>
    <w:rsid w:val="003E4C00"/>
    <w:rsid w:val="003E62BD"/>
    <w:rsid w:val="003E658D"/>
    <w:rsid w:val="003E7686"/>
    <w:rsid w:val="003E7CB0"/>
    <w:rsid w:val="003F044F"/>
    <w:rsid w:val="003F0C3A"/>
    <w:rsid w:val="003F1256"/>
    <w:rsid w:val="003F15F0"/>
    <w:rsid w:val="003F194F"/>
    <w:rsid w:val="003F2AD9"/>
    <w:rsid w:val="003F30E1"/>
    <w:rsid w:val="003F3228"/>
    <w:rsid w:val="003F3886"/>
    <w:rsid w:val="003F4CF6"/>
    <w:rsid w:val="003F5C8C"/>
    <w:rsid w:val="003F63CE"/>
    <w:rsid w:val="003F775A"/>
    <w:rsid w:val="003F7A2D"/>
    <w:rsid w:val="00400042"/>
    <w:rsid w:val="00400E55"/>
    <w:rsid w:val="0040128E"/>
    <w:rsid w:val="00401640"/>
    <w:rsid w:val="00401DDC"/>
    <w:rsid w:val="0040216B"/>
    <w:rsid w:val="00404143"/>
    <w:rsid w:val="00404852"/>
    <w:rsid w:val="00405299"/>
    <w:rsid w:val="0040590E"/>
    <w:rsid w:val="00406F8B"/>
    <w:rsid w:val="004077E6"/>
    <w:rsid w:val="00407BF5"/>
    <w:rsid w:val="00407CC8"/>
    <w:rsid w:val="0041011A"/>
    <w:rsid w:val="004116FB"/>
    <w:rsid w:val="00411D3A"/>
    <w:rsid w:val="00413DEC"/>
    <w:rsid w:val="00414F0C"/>
    <w:rsid w:val="00415069"/>
    <w:rsid w:val="004151B7"/>
    <w:rsid w:val="00415B0F"/>
    <w:rsid w:val="00417703"/>
    <w:rsid w:val="00420400"/>
    <w:rsid w:val="00422A1E"/>
    <w:rsid w:val="00423E78"/>
    <w:rsid w:val="004252EC"/>
    <w:rsid w:val="00425402"/>
    <w:rsid w:val="0042592A"/>
    <w:rsid w:val="00425DC2"/>
    <w:rsid w:val="00426C53"/>
    <w:rsid w:val="00427CE0"/>
    <w:rsid w:val="0043001A"/>
    <w:rsid w:val="00430A97"/>
    <w:rsid w:val="00430D39"/>
    <w:rsid w:val="0043116C"/>
    <w:rsid w:val="0043155A"/>
    <w:rsid w:val="0043189C"/>
    <w:rsid w:val="00432023"/>
    <w:rsid w:val="00432EBF"/>
    <w:rsid w:val="004353D3"/>
    <w:rsid w:val="0043568C"/>
    <w:rsid w:val="00436761"/>
    <w:rsid w:val="00436815"/>
    <w:rsid w:val="00442C91"/>
    <w:rsid w:val="004449C4"/>
    <w:rsid w:val="00444E9D"/>
    <w:rsid w:val="00445C51"/>
    <w:rsid w:val="004465BD"/>
    <w:rsid w:val="00446938"/>
    <w:rsid w:val="00450921"/>
    <w:rsid w:val="0045275E"/>
    <w:rsid w:val="004528FA"/>
    <w:rsid w:val="00452A6C"/>
    <w:rsid w:val="00453D20"/>
    <w:rsid w:val="00455140"/>
    <w:rsid w:val="00460A52"/>
    <w:rsid w:val="004610DC"/>
    <w:rsid w:val="00461231"/>
    <w:rsid w:val="00461A44"/>
    <w:rsid w:val="004621C0"/>
    <w:rsid w:val="00462D26"/>
    <w:rsid w:val="004631F2"/>
    <w:rsid w:val="0046368B"/>
    <w:rsid w:val="0046385A"/>
    <w:rsid w:val="00463FC0"/>
    <w:rsid w:val="00464039"/>
    <w:rsid w:val="004648B6"/>
    <w:rsid w:val="0046642D"/>
    <w:rsid w:val="004665E7"/>
    <w:rsid w:val="00466ADA"/>
    <w:rsid w:val="0046728A"/>
    <w:rsid w:val="0046737B"/>
    <w:rsid w:val="00467F68"/>
    <w:rsid w:val="004702BB"/>
    <w:rsid w:val="00471911"/>
    <w:rsid w:val="00471D20"/>
    <w:rsid w:val="0047211D"/>
    <w:rsid w:val="004728D7"/>
    <w:rsid w:val="004740B3"/>
    <w:rsid w:val="0047494B"/>
    <w:rsid w:val="0047530A"/>
    <w:rsid w:val="004760C6"/>
    <w:rsid w:val="00476245"/>
    <w:rsid w:val="004773C4"/>
    <w:rsid w:val="00477A9B"/>
    <w:rsid w:val="00477B50"/>
    <w:rsid w:val="00480CFA"/>
    <w:rsid w:val="00482516"/>
    <w:rsid w:val="00482AE4"/>
    <w:rsid w:val="00482C63"/>
    <w:rsid w:val="00483035"/>
    <w:rsid w:val="00484068"/>
    <w:rsid w:val="004857CE"/>
    <w:rsid w:val="00485850"/>
    <w:rsid w:val="00485940"/>
    <w:rsid w:val="00486C95"/>
    <w:rsid w:val="004877C2"/>
    <w:rsid w:val="00487A46"/>
    <w:rsid w:val="004904B9"/>
    <w:rsid w:val="00491236"/>
    <w:rsid w:val="00491EDC"/>
    <w:rsid w:val="004928E1"/>
    <w:rsid w:val="00492D8D"/>
    <w:rsid w:val="0049380D"/>
    <w:rsid w:val="00496662"/>
    <w:rsid w:val="00497C0F"/>
    <w:rsid w:val="004A1431"/>
    <w:rsid w:val="004A2484"/>
    <w:rsid w:val="004A2A45"/>
    <w:rsid w:val="004A2D3E"/>
    <w:rsid w:val="004A354F"/>
    <w:rsid w:val="004A3612"/>
    <w:rsid w:val="004A378E"/>
    <w:rsid w:val="004A3DC1"/>
    <w:rsid w:val="004A442E"/>
    <w:rsid w:val="004A5A5D"/>
    <w:rsid w:val="004A5A85"/>
    <w:rsid w:val="004A7047"/>
    <w:rsid w:val="004A71D1"/>
    <w:rsid w:val="004A7C5B"/>
    <w:rsid w:val="004B1083"/>
    <w:rsid w:val="004B1372"/>
    <w:rsid w:val="004B1845"/>
    <w:rsid w:val="004B2348"/>
    <w:rsid w:val="004B2489"/>
    <w:rsid w:val="004B2E01"/>
    <w:rsid w:val="004B2E98"/>
    <w:rsid w:val="004B32F1"/>
    <w:rsid w:val="004B4E4E"/>
    <w:rsid w:val="004B51D4"/>
    <w:rsid w:val="004B525D"/>
    <w:rsid w:val="004B5640"/>
    <w:rsid w:val="004B6084"/>
    <w:rsid w:val="004BCF29"/>
    <w:rsid w:val="004C0206"/>
    <w:rsid w:val="004C03D0"/>
    <w:rsid w:val="004C0847"/>
    <w:rsid w:val="004C1010"/>
    <w:rsid w:val="004C1BD7"/>
    <w:rsid w:val="004C1BF2"/>
    <w:rsid w:val="004C239C"/>
    <w:rsid w:val="004C2A29"/>
    <w:rsid w:val="004C2F66"/>
    <w:rsid w:val="004C31FE"/>
    <w:rsid w:val="004C524C"/>
    <w:rsid w:val="004C5EDD"/>
    <w:rsid w:val="004C5FFA"/>
    <w:rsid w:val="004C691D"/>
    <w:rsid w:val="004C6C07"/>
    <w:rsid w:val="004C6FF8"/>
    <w:rsid w:val="004C70FC"/>
    <w:rsid w:val="004C78B0"/>
    <w:rsid w:val="004C7E15"/>
    <w:rsid w:val="004C7EC6"/>
    <w:rsid w:val="004D2CD1"/>
    <w:rsid w:val="004D35DD"/>
    <w:rsid w:val="004D365C"/>
    <w:rsid w:val="004D3B5A"/>
    <w:rsid w:val="004D4FF6"/>
    <w:rsid w:val="004D5ADD"/>
    <w:rsid w:val="004D5CC4"/>
    <w:rsid w:val="004D5D5B"/>
    <w:rsid w:val="004E0CC3"/>
    <w:rsid w:val="004E4C3B"/>
    <w:rsid w:val="004E692D"/>
    <w:rsid w:val="004E7230"/>
    <w:rsid w:val="004E7D87"/>
    <w:rsid w:val="004E7DDB"/>
    <w:rsid w:val="004F019A"/>
    <w:rsid w:val="004F24EC"/>
    <w:rsid w:val="004F2553"/>
    <w:rsid w:val="004F306A"/>
    <w:rsid w:val="004F32D9"/>
    <w:rsid w:val="004F38F6"/>
    <w:rsid w:val="004F3DCB"/>
    <w:rsid w:val="004F6869"/>
    <w:rsid w:val="004F7001"/>
    <w:rsid w:val="004F7684"/>
    <w:rsid w:val="0050010A"/>
    <w:rsid w:val="005001D3"/>
    <w:rsid w:val="00501278"/>
    <w:rsid w:val="00501554"/>
    <w:rsid w:val="00501994"/>
    <w:rsid w:val="005027E3"/>
    <w:rsid w:val="00502AFE"/>
    <w:rsid w:val="00502E64"/>
    <w:rsid w:val="00503208"/>
    <w:rsid w:val="00503AD7"/>
    <w:rsid w:val="00503E89"/>
    <w:rsid w:val="00504548"/>
    <w:rsid w:val="00504702"/>
    <w:rsid w:val="00504886"/>
    <w:rsid w:val="005049E8"/>
    <w:rsid w:val="00504E0C"/>
    <w:rsid w:val="00504E13"/>
    <w:rsid w:val="0050553C"/>
    <w:rsid w:val="0050596A"/>
    <w:rsid w:val="00505ACA"/>
    <w:rsid w:val="0050744E"/>
    <w:rsid w:val="005104F4"/>
    <w:rsid w:val="005109D4"/>
    <w:rsid w:val="0051230A"/>
    <w:rsid w:val="00512861"/>
    <w:rsid w:val="00512FAE"/>
    <w:rsid w:val="0051342C"/>
    <w:rsid w:val="00514229"/>
    <w:rsid w:val="005147A7"/>
    <w:rsid w:val="00514A9D"/>
    <w:rsid w:val="00514CD7"/>
    <w:rsid w:val="005167EC"/>
    <w:rsid w:val="00516B02"/>
    <w:rsid w:val="00516F20"/>
    <w:rsid w:val="005170DA"/>
    <w:rsid w:val="005204C5"/>
    <w:rsid w:val="005207D0"/>
    <w:rsid w:val="00520D6A"/>
    <w:rsid w:val="00522DB6"/>
    <w:rsid w:val="00523013"/>
    <w:rsid w:val="00523FF6"/>
    <w:rsid w:val="005250F9"/>
    <w:rsid w:val="0052604B"/>
    <w:rsid w:val="005260B4"/>
    <w:rsid w:val="005264A7"/>
    <w:rsid w:val="00526B7A"/>
    <w:rsid w:val="00526EF7"/>
    <w:rsid w:val="0052792D"/>
    <w:rsid w:val="005312F5"/>
    <w:rsid w:val="005318D0"/>
    <w:rsid w:val="005319B2"/>
    <w:rsid w:val="00532402"/>
    <w:rsid w:val="00532C74"/>
    <w:rsid w:val="0053319E"/>
    <w:rsid w:val="00533239"/>
    <w:rsid w:val="005344DD"/>
    <w:rsid w:val="00534E2E"/>
    <w:rsid w:val="00534FC9"/>
    <w:rsid w:val="00535133"/>
    <w:rsid w:val="00535C17"/>
    <w:rsid w:val="005374DE"/>
    <w:rsid w:val="0054064C"/>
    <w:rsid w:val="00542A16"/>
    <w:rsid w:val="00542BBA"/>
    <w:rsid w:val="00544552"/>
    <w:rsid w:val="00545130"/>
    <w:rsid w:val="00545583"/>
    <w:rsid w:val="00546B36"/>
    <w:rsid w:val="0054752E"/>
    <w:rsid w:val="0055012E"/>
    <w:rsid w:val="0055286A"/>
    <w:rsid w:val="00552FCC"/>
    <w:rsid w:val="00553F64"/>
    <w:rsid w:val="00555745"/>
    <w:rsid w:val="00555A3E"/>
    <w:rsid w:val="0055631C"/>
    <w:rsid w:val="00556610"/>
    <w:rsid w:val="00556673"/>
    <w:rsid w:val="00556EBE"/>
    <w:rsid w:val="00557021"/>
    <w:rsid w:val="00557D29"/>
    <w:rsid w:val="00557D4F"/>
    <w:rsid w:val="00560A47"/>
    <w:rsid w:val="0056122E"/>
    <w:rsid w:val="00561EB0"/>
    <w:rsid w:val="00563352"/>
    <w:rsid w:val="0056385F"/>
    <w:rsid w:val="0056484E"/>
    <w:rsid w:val="00564DFE"/>
    <w:rsid w:val="00565999"/>
    <w:rsid w:val="00565A24"/>
    <w:rsid w:val="0056656E"/>
    <w:rsid w:val="005668A4"/>
    <w:rsid w:val="00567D8A"/>
    <w:rsid w:val="00567E8F"/>
    <w:rsid w:val="00570231"/>
    <w:rsid w:val="005714B7"/>
    <w:rsid w:val="005750E9"/>
    <w:rsid w:val="005764CD"/>
    <w:rsid w:val="0057703E"/>
    <w:rsid w:val="00577C4D"/>
    <w:rsid w:val="00580532"/>
    <w:rsid w:val="00580FED"/>
    <w:rsid w:val="005812A3"/>
    <w:rsid w:val="005813C3"/>
    <w:rsid w:val="00581913"/>
    <w:rsid w:val="00581932"/>
    <w:rsid w:val="00581D7B"/>
    <w:rsid w:val="00583002"/>
    <w:rsid w:val="005856E2"/>
    <w:rsid w:val="00585886"/>
    <w:rsid w:val="005867A2"/>
    <w:rsid w:val="00587F19"/>
    <w:rsid w:val="005903BB"/>
    <w:rsid w:val="00593893"/>
    <w:rsid w:val="00593F90"/>
    <w:rsid w:val="005945C3"/>
    <w:rsid w:val="0059558E"/>
    <w:rsid w:val="005963BB"/>
    <w:rsid w:val="0059645C"/>
    <w:rsid w:val="00596D37"/>
    <w:rsid w:val="00596E32"/>
    <w:rsid w:val="00597795"/>
    <w:rsid w:val="005A0A37"/>
    <w:rsid w:val="005A0CC4"/>
    <w:rsid w:val="005A15D2"/>
    <w:rsid w:val="005A1AEE"/>
    <w:rsid w:val="005A3173"/>
    <w:rsid w:val="005A3223"/>
    <w:rsid w:val="005A3DA3"/>
    <w:rsid w:val="005A3EB0"/>
    <w:rsid w:val="005A52C4"/>
    <w:rsid w:val="005A5516"/>
    <w:rsid w:val="005A63A1"/>
    <w:rsid w:val="005A669A"/>
    <w:rsid w:val="005A769B"/>
    <w:rsid w:val="005A7C27"/>
    <w:rsid w:val="005B0486"/>
    <w:rsid w:val="005B1032"/>
    <w:rsid w:val="005B12CC"/>
    <w:rsid w:val="005B1473"/>
    <w:rsid w:val="005B28AD"/>
    <w:rsid w:val="005B36FA"/>
    <w:rsid w:val="005B39BA"/>
    <w:rsid w:val="005B576E"/>
    <w:rsid w:val="005B7C70"/>
    <w:rsid w:val="005C1B21"/>
    <w:rsid w:val="005C4933"/>
    <w:rsid w:val="005C4B65"/>
    <w:rsid w:val="005C4F73"/>
    <w:rsid w:val="005C6344"/>
    <w:rsid w:val="005C74E5"/>
    <w:rsid w:val="005D03AB"/>
    <w:rsid w:val="005D061F"/>
    <w:rsid w:val="005D2C89"/>
    <w:rsid w:val="005D401D"/>
    <w:rsid w:val="005D448E"/>
    <w:rsid w:val="005D5017"/>
    <w:rsid w:val="005D5708"/>
    <w:rsid w:val="005D63FA"/>
    <w:rsid w:val="005D643D"/>
    <w:rsid w:val="005D6847"/>
    <w:rsid w:val="005D698E"/>
    <w:rsid w:val="005D73C7"/>
    <w:rsid w:val="005D7B40"/>
    <w:rsid w:val="005E0050"/>
    <w:rsid w:val="005E0C2D"/>
    <w:rsid w:val="005E0D82"/>
    <w:rsid w:val="005E0F59"/>
    <w:rsid w:val="005E1333"/>
    <w:rsid w:val="005E23D8"/>
    <w:rsid w:val="005E24EB"/>
    <w:rsid w:val="005E3136"/>
    <w:rsid w:val="005E3138"/>
    <w:rsid w:val="005E3CDA"/>
    <w:rsid w:val="005E507D"/>
    <w:rsid w:val="005E7E9E"/>
    <w:rsid w:val="005F0AD0"/>
    <w:rsid w:val="005F0C3F"/>
    <w:rsid w:val="005F108A"/>
    <w:rsid w:val="005F14E0"/>
    <w:rsid w:val="005F25A4"/>
    <w:rsid w:val="005F37D5"/>
    <w:rsid w:val="005F3BC8"/>
    <w:rsid w:val="005F4D09"/>
    <w:rsid w:val="005F58CD"/>
    <w:rsid w:val="005F5DAD"/>
    <w:rsid w:val="005F7604"/>
    <w:rsid w:val="005F76D6"/>
    <w:rsid w:val="005F7F5B"/>
    <w:rsid w:val="00600A18"/>
    <w:rsid w:val="00601667"/>
    <w:rsid w:val="00601A91"/>
    <w:rsid w:val="00602063"/>
    <w:rsid w:val="00602BA3"/>
    <w:rsid w:val="00603D47"/>
    <w:rsid w:val="00604450"/>
    <w:rsid w:val="00605B63"/>
    <w:rsid w:val="00605F05"/>
    <w:rsid w:val="00605F9A"/>
    <w:rsid w:val="0060606B"/>
    <w:rsid w:val="00606442"/>
    <w:rsid w:val="00606A7B"/>
    <w:rsid w:val="00606EED"/>
    <w:rsid w:val="00607C48"/>
    <w:rsid w:val="00607DDB"/>
    <w:rsid w:val="0061201C"/>
    <w:rsid w:val="00612A95"/>
    <w:rsid w:val="00612E34"/>
    <w:rsid w:val="00614159"/>
    <w:rsid w:val="006141D4"/>
    <w:rsid w:val="0061451E"/>
    <w:rsid w:val="006157B3"/>
    <w:rsid w:val="006158A3"/>
    <w:rsid w:val="00615ABF"/>
    <w:rsid w:val="00616C5F"/>
    <w:rsid w:val="00616DAC"/>
    <w:rsid w:val="00617092"/>
    <w:rsid w:val="00617725"/>
    <w:rsid w:val="00617C00"/>
    <w:rsid w:val="00620E6E"/>
    <w:rsid w:val="00621A60"/>
    <w:rsid w:val="00621EA3"/>
    <w:rsid w:val="00622B17"/>
    <w:rsid w:val="0062316F"/>
    <w:rsid w:val="0062371B"/>
    <w:rsid w:val="00624574"/>
    <w:rsid w:val="00624C09"/>
    <w:rsid w:val="006256B9"/>
    <w:rsid w:val="006263BF"/>
    <w:rsid w:val="0062748A"/>
    <w:rsid w:val="00630546"/>
    <w:rsid w:val="006305A5"/>
    <w:rsid w:val="00630A2C"/>
    <w:rsid w:val="00632180"/>
    <w:rsid w:val="00632798"/>
    <w:rsid w:val="0063437B"/>
    <w:rsid w:val="006349F2"/>
    <w:rsid w:val="00634A75"/>
    <w:rsid w:val="0063682E"/>
    <w:rsid w:val="00636D93"/>
    <w:rsid w:val="00640088"/>
    <w:rsid w:val="00640D16"/>
    <w:rsid w:val="00642672"/>
    <w:rsid w:val="006427AC"/>
    <w:rsid w:val="00642DA8"/>
    <w:rsid w:val="006436CD"/>
    <w:rsid w:val="006451BF"/>
    <w:rsid w:val="00646B0E"/>
    <w:rsid w:val="00650976"/>
    <w:rsid w:val="00651169"/>
    <w:rsid w:val="00651611"/>
    <w:rsid w:val="00651D9D"/>
    <w:rsid w:val="00652BDC"/>
    <w:rsid w:val="00652F26"/>
    <w:rsid w:val="00653D69"/>
    <w:rsid w:val="006552E6"/>
    <w:rsid w:val="006554A1"/>
    <w:rsid w:val="00655794"/>
    <w:rsid w:val="006565BC"/>
    <w:rsid w:val="00656F2F"/>
    <w:rsid w:val="00657011"/>
    <w:rsid w:val="00657C63"/>
    <w:rsid w:val="00661371"/>
    <w:rsid w:val="00661CBC"/>
    <w:rsid w:val="0066288B"/>
    <w:rsid w:val="00662B85"/>
    <w:rsid w:val="00663EE9"/>
    <w:rsid w:val="00664316"/>
    <w:rsid w:val="00664987"/>
    <w:rsid w:val="006656F8"/>
    <w:rsid w:val="006670B3"/>
    <w:rsid w:val="006670BE"/>
    <w:rsid w:val="00670A76"/>
    <w:rsid w:val="00670B77"/>
    <w:rsid w:val="00670C0D"/>
    <w:rsid w:val="006711AA"/>
    <w:rsid w:val="00672B57"/>
    <w:rsid w:val="00673F1F"/>
    <w:rsid w:val="00675622"/>
    <w:rsid w:val="00675DEB"/>
    <w:rsid w:val="00675DF8"/>
    <w:rsid w:val="00676088"/>
    <w:rsid w:val="0067747D"/>
    <w:rsid w:val="00681191"/>
    <w:rsid w:val="00681460"/>
    <w:rsid w:val="0068175F"/>
    <w:rsid w:val="006818D5"/>
    <w:rsid w:val="00681CA4"/>
    <w:rsid w:val="00682A0F"/>
    <w:rsid w:val="00683A76"/>
    <w:rsid w:val="0068436F"/>
    <w:rsid w:val="00686559"/>
    <w:rsid w:val="00687494"/>
    <w:rsid w:val="0069039D"/>
    <w:rsid w:val="006906DB"/>
    <w:rsid w:val="00690A20"/>
    <w:rsid w:val="00690B2B"/>
    <w:rsid w:val="00690D08"/>
    <w:rsid w:val="0069179E"/>
    <w:rsid w:val="00691803"/>
    <w:rsid w:val="00691900"/>
    <w:rsid w:val="00691A2C"/>
    <w:rsid w:val="00691E6C"/>
    <w:rsid w:val="00692DC4"/>
    <w:rsid w:val="006931AE"/>
    <w:rsid w:val="00693425"/>
    <w:rsid w:val="0069342D"/>
    <w:rsid w:val="00693DFB"/>
    <w:rsid w:val="0069412B"/>
    <w:rsid w:val="0069434F"/>
    <w:rsid w:val="00694FD5"/>
    <w:rsid w:val="0069501D"/>
    <w:rsid w:val="00696129"/>
    <w:rsid w:val="00697B45"/>
    <w:rsid w:val="00697CF2"/>
    <w:rsid w:val="006A12A5"/>
    <w:rsid w:val="006A1620"/>
    <w:rsid w:val="006A2515"/>
    <w:rsid w:val="006A40B5"/>
    <w:rsid w:val="006A43FD"/>
    <w:rsid w:val="006A572D"/>
    <w:rsid w:val="006A5E20"/>
    <w:rsid w:val="006A60A3"/>
    <w:rsid w:val="006A762F"/>
    <w:rsid w:val="006B0D94"/>
    <w:rsid w:val="006B16B6"/>
    <w:rsid w:val="006B3A8F"/>
    <w:rsid w:val="006B3DC9"/>
    <w:rsid w:val="006B485D"/>
    <w:rsid w:val="006B7DDA"/>
    <w:rsid w:val="006B7E06"/>
    <w:rsid w:val="006C0C45"/>
    <w:rsid w:val="006C2806"/>
    <w:rsid w:val="006C311D"/>
    <w:rsid w:val="006C334C"/>
    <w:rsid w:val="006C3CE1"/>
    <w:rsid w:val="006C4385"/>
    <w:rsid w:val="006C5F92"/>
    <w:rsid w:val="006C6C10"/>
    <w:rsid w:val="006C708E"/>
    <w:rsid w:val="006C72D1"/>
    <w:rsid w:val="006D0BB5"/>
    <w:rsid w:val="006D0D8A"/>
    <w:rsid w:val="006D14E7"/>
    <w:rsid w:val="006D2A5D"/>
    <w:rsid w:val="006D3D32"/>
    <w:rsid w:val="006D401B"/>
    <w:rsid w:val="006D4086"/>
    <w:rsid w:val="006D4444"/>
    <w:rsid w:val="006D4B7B"/>
    <w:rsid w:val="006D5166"/>
    <w:rsid w:val="006D5927"/>
    <w:rsid w:val="006D6493"/>
    <w:rsid w:val="006D686B"/>
    <w:rsid w:val="006D6EC7"/>
    <w:rsid w:val="006D7B05"/>
    <w:rsid w:val="006D7E45"/>
    <w:rsid w:val="006E0D9B"/>
    <w:rsid w:val="006E0FA9"/>
    <w:rsid w:val="006E1143"/>
    <w:rsid w:val="006E1179"/>
    <w:rsid w:val="006E197C"/>
    <w:rsid w:val="006E1BCD"/>
    <w:rsid w:val="006E271E"/>
    <w:rsid w:val="006E2732"/>
    <w:rsid w:val="006E59CD"/>
    <w:rsid w:val="006E6C9A"/>
    <w:rsid w:val="006E6D84"/>
    <w:rsid w:val="006E7C43"/>
    <w:rsid w:val="006F00ED"/>
    <w:rsid w:val="006F026F"/>
    <w:rsid w:val="006F0A71"/>
    <w:rsid w:val="006F1576"/>
    <w:rsid w:val="006F1C6B"/>
    <w:rsid w:val="006F2ECE"/>
    <w:rsid w:val="006F3238"/>
    <w:rsid w:val="006F3D89"/>
    <w:rsid w:val="006F40C2"/>
    <w:rsid w:val="006F4BBA"/>
    <w:rsid w:val="006F5125"/>
    <w:rsid w:val="006F531B"/>
    <w:rsid w:val="006F679D"/>
    <w:rsid w:val="006F6D41"/>
    <w:rsid w:val="006F6F4B"/>
    <w:rsid w:val="006F733D"/>
    <w:rsid w:val="00700765"/>
    <w:rsid w:val="00700B33"/>
    <w:rsid w:val="00702959"/>
    <w:rsid w:val="00702B6F"/>
    <w:rsid w:val="007030B4"/>
    <w:rsid w:val="00703B86"/>
    <w:rsid w:val="00704069"/>
    <w:rsid w:val="007047CB"/>
    <w:rsid w:val="00704DEF"/>
    <w:rsid w:val="00706772"/>
    <w:rsid w:val="00706A2F"/>
    <w:rsid w:val="00706E0A"/>
    <w:rsid w:val="0070718E"/>
    <w:rsid w:val="00707E52"/>
    <w:rsid w:val="00710259"/>
    <w:rsid w:val="0071031F"/>
    <w:rsid w:val="00710737"/>
    <w:rsid w:val="00711EDE"/>
    <w:rsid w:val="0071340B"/>
    <w:rsid w:val="00713C50"/>
    <w:rsid w:val="0071436D"/>
    <w:rsid w:val="00714D57"/>
    <w:rsid w:val="00714E1B"/>
    <w:rsid w:val="0071508D"/>
    <w:rsid w:val="00715BBB"/>
    <w:rsid w:val="00715C77"/>
    <w:rsid w:val="00715F93"/>
    <w:rsid w:val="007174BB"/>
    <w:rsid w:val="0072025D"/>
    <w:rsid w:val="00721AFB"/>
    <w:rsid w:val="00723328"/>
    <w:rsid w:val="007237DE"/>
    <w:rsid w:val="007242FA"/>
    <w:rsid w:val="00724D47"/>
    <w:rsid w:val="0072502E"/>
    <w:rsid w:val="0073137C"/>
    <w:rsid w:val="007338F3"/>
    <w:rsid w:val="007339F9"/>
    <w:rsid w:val="007340B9"/>
    <w:rsid w:val="007353D3"/>
    <w:rsid w:val="00735573"/>
    <w:rsid w:val="007364C0"/>
    <w:rsid w:val="00736D52"/>
    <w:rsid w:val="0073736F"/>
    <w:rsid w:val="00737721"/>
    <w:rsid w:val="007377E1"/>
    <w:rsid w:val="0074156B"/>
    <w:rsid w:val="00741619"/>
    <w:rsid w:val="00741A85"/>
    <w:rsid w:val="00742885"/>
    <w:rsid w:val="00744DBC"/>
    <w:rsid w:val="0074549E"/>
    <w:rsid w:val="007467BF"/>
    <w:rsid w:val="00746C4A"/>
    <w:rsid w:val="00747092"/>
    <w:rsid w:val="007477FF"/>
    <w:rsid w:val="007526E6"/>
    <w:rsid w:val="00752891"/>
    <w:rsid w:val="00754231"/>
    <w:rsid w:val="00754B65"/>
    <w:rsid w:val="00754C16"/>
    <w:rsid w:val="00754C18"/>
    <w:rsid w:val="00754DF9"/>
    <w:rsid w:val="007555E8"/>
    <w:rsid w:val="00755CC5"/>
    <w:rsid w:val="00756DBC"/>
    <w:rsid w:val="007623EA"/>
    <w:rsid w:val="00762862"/>
    <w:rsid w:val="00762C97"/>
    <w:rsid w:val="00762D7B"/>
    <w:rsid w:val="0076420C"/>
    <w:rsid w:val="00764428"/>
    <w:rsid w:val="00764872"/>
    <w:rsid w:val="00765D2E"/>
    <w:rsid w:val="007702B6"/>
    <w:rsid w:val="00771D07"/>
    <w:rsid w:val="00772649"/>
    <w:rsid w:val="00772F5D"/>
    <w:rsid w:val="00773815"/>
    <w:rsid w:val="00773BE3"/>
    <w:rsid w:val="00773C9E"/>
    <w:rsid w:val="007740F7"/>
    <w:rsid w:val="007743DD"/>
    <w:rsid w:val="00774E2C"/>
    <w:rsid w:val="00774E9A"/>
    <w:rsid w:val="0077503C"/>
    <w:rsid w:val="0077518D"/>
    <w:rsid w:val="007753C2"/>
    <w:rsid w:val="00776068"/>
    <w:rsid w:val="007806DA"/>
    <w:rsid w:val="007811B5"/>
    <w:rsid w:val="007821C4"/>
    <w:rsid w:val="007838B8"/>
    <w:rsid w:val="007849AC"/>
    <w:rsid w:val="00785779"/>
    <w:rsid w:val="00785F7E"/>
    <w:rsid w:val="007864AC"/>
    <w:rsid w:val="00787FD8"/>
    <w:rsid w:val="007908C1"/>
    <w:rsid w:val="007915BA"/>
    <w:rsid w:val="00791844"/>
    <w:rsid w:val="007923E4"/>
    <w:rsid w:val="0079250E"/>
    <w:rsid w:val="00792C5F"/>
    <w:rsid w:val="007935A9"/>
    <w:rsid w:val="00793CE9"/>
    <w:rsid w:val="00794462"/>
    <w:rsid w:val="00796667"/>
    <w:rsid w:val="00797068"/>
    <w:rsid w:val="007977B8"/>
    <w:rsid w:val="007979BD"/>
    <w:rsid w:val="007979F9"/>
    <w:rsid w:val="00797C2E"/>
    <w:rsid w:val="007A0052"/>
    <w:rsid w:val="007A1ED2"/>
    <w:rsid w:val="007A3AC9"/>
    <w:rsid w:val="007A3C23"/>
    <w:rsid w:val="007A3D8E"/>
    <w:rsid w:val="007A4198"/>
    <w:rsid w:val="007A5C88"/>
    <w:rsid w:val="007A5EE8"/>
    <w:rsid w:val="007A62BA"/>
    <w:rsid w:val="007A6A2F"/>
    <w:rsid w:val="007A7B1F"/>
    <w:rsid w:val="007B024E"/>
    <w:rsid w:val="007B06BB"/>
    <w:rsid w:val="007B2353"/>
    <w:rsid w:val="007B2FA5"/>
    <w:rsid w:val="007B3BAF"/>
    <w:rsid w:val="007B3CE6"/>
    <w:rsid w:val="007B3DDC"/>
    <w:rsid w:val="007B54FD"/>
    <w:rsid w:val="007B554C"/>
    <w:rsid w:val="007B7136"/>
    <w:rsid w:val="007B72A6"/>
    <w:rsid w:val="007B751B"/>
    <w:rsid w:val="007C0086"/>
    <w:rsid w:val="007C02A7"/>
    <w:rsid w:val="007C06D2"/>
    <w:rsid w:val="007C08E0"/>
    <w:rsid w:val="007C0F57"/>
    <w:rsid w:val="007C1401"/>
    <w:rsid w:val="007C1CA9"/>
    <w:rsid w:val="007C1F57"/>
    <w:rsid w:val="007C232A"/>
    <w:rsid w:val="007C285B"/>
    <w:rsid w:val="007C2A29"/>
    <w:rsid w:val="007C2F4B"/>
    <w:rsid w:val="007C35B7"/>
    <w:rsid w:val="007C40B6"/>
    <w:rsid w:val="007C5975"/>
    <w:rsid w:val="007C648E"/>
    <w:rsid w:val="007C702D"/>
    <w:rsid w:val="007C729F"/>
    <w:rsid w:val="007C72AD"/>
    <w:rsid w:val="007C7E4D"/>
    <w:rsid w:val="007C7F75"/>
    <w:rsid w:val="007D1A6F"/>
    <w:rsid w:val="007D4C53"/>
    <w:rsid w:val="007D503D"/>
    <w:rsid w:val="007D59E7"/>
    <w:rsid w:val="007D5F2A"/>
    <w:rsid w:val="007D6170"/>
    <w:rsid w:val="007D6685"/>
    <w:rsid w:val="007D7BE6"/>
    <w:rsid w:val="007D7C1D"/>
    <w:rsid w:val="007E051C"/>
    <w:rsid w:val="007E07AC"/>
    <w:rsid w:val="007E1014"/>
    <w:rsid w:val="007E10C3"/>
    <w:rsid w:val="007E12F8"/>
    <w:rsid w:val="007E14EB"/>
    <w:rsid w:val="007E1673"/>
    <w:rsid w:val="007E1D28"/>
    <w:rsid w:val="007E4564"/>
    <w:rsid w:val="007E490F"/>
    <w:rsid w:val="007E5FA8"/>
    <w:rsid w:val="007E6156"/>
    <w:rsid w:val="007E6533"/>
    <w:rsid w:val="007E6B6A"/>
    <w:rsid w:val="007E718B"/>
    <w:rsid w:val="007F0021"/>
    <w:rsid w:val="007F1007"/>
    <w:rsid w:val="007F23C0"/>
    <w:rsid w:val="007F2641"/>
    <w:rsid w:val="007F4084"/>
    <w:rsid w:val="007F44CE"/>
    <w:rsid w:val="007F489B"/>
    <w:rsid w:val="007F5C39"/>
    <w:rsid w:val="007F61F9"/>
    <w:rsid w:val="007F7A80"/>
    <w:rsid w:val="007F7C36"/>
    <w:rsid w:val="007F7F45"/>
    <w:rsid w:val="007F7FDE"/>
    <w:rsid w:val="0080001F"/>
    <w:rsid w:val="0080076D"/>
    <w:rsid w:val="00801958"/>
    <w:rsid w:val="00801D86"/>
    <w:rsid w:val="00803082"/>
    <w:rsid w:val="00803D76"/>
    <w:rsid w:val="00804BB2"/>
    <w:rsid w:val="008055AF"/>
    <w:rsid w:val="008057CD"/>
    <w:rsid w:val="008066B8"/>
    <w:rsid w:val="00806796"/>
    <w:rsid w:val="0080748E"/>
    <w:rsid w:val="0080762F"/>
    <w:rsid w:val="008079F4"/>
    <w:rsid w:val="00807C18"/>
    <w:rsid w:val="00810167"/>
    <w:rsid w:val="008104D0"/>
    <w:rsid w:val="00810850"/>
    <w:rsid w:val="00810E49"/>
    <w:rsid w:val="00811CC0"/>
    <w:rsid w:val="0081218E"/>
    <w:rsid w:val="00814276"/>
    <w:rsid w:val="008151D6"/>
    <w:rsid w:val="00815D25"/>
    <w:rsid w:val="00816322"/>
    <w:rsid w:val="0081769C"/>
    <w:rsid w:val="0081795A"/>
    <w:rsid w:val="00817EED"/>
    <w:rsid w:val="00817F64"/>
    <w:rsid w:val="00820803"/>
    <w:rsid w:val="0082097C"/>
    <w:rsid w:val="00821527"/>
    <w:rsid w:val="008218D6"/>
    <w:rsid w:val="00821F91"/>
    <w:rsid w:val="00821FEF"/>
    <w:rsid w:val="00822096"/>
    <w:rsid w:val="00822162"/>
    <w:rsid w:val="008225CE"/>
    <w:rsid w:val="00822696"/>
    <w:rsid w:val="00822EAC"/>
    <w:rsid w:val="00823ECB"/>
    <w:rsid w:val="00823F4E"/>
    <w:rsid w:val="00825A6C"/>
    <w:rsid w:val="0082617E"/>
    <w:rsid w:val="008268BB"/>
    <w:rsid w:val="00826A5C"/>
    <w:rsid w:val="00826F6D"/>
    <w:rsid w:val="00827097"/>
    <w:rsid w:val="008276E6"/>
    <w:rsid w:val="00827BAC"/>
    <w:rsid w:val="008306F3"/>
    <w:rsid w:val="008308EB"/>
    <w:rsid w:val="00830E40"/>
    <w:rsid w:val="00831B88"/>
    <w:rsid w:val="0083211B"/>
    <w:rsid w:val="00832D9A"/>
    <w:rsid w:val="00833F30"/>
    <w:rsid w:val="008342D9"/>
    <w:rsid w:val="008348F5"/>
    <w:rsid w:val="00834DCA"/>
    <w:rsid w:val="008350C4"/>
    <w:rsid w:val="0083577F"/>
    <w:rsid w:val="00835C62"/>
    <w:rsid w:val="008365B6"/>
    <w:rsid w:val="008367F6"/>
    <w:rsid w:val="008368A1"/>
    <w:rsid w:val="00837B7F"/>
    <w:rsid w:val="00840DCF"/>
    <w:rsid w:val="00840EF7"/>
    <w:rsid w:val="00840F1F"/>
    <w:rsid w:val="008410D1"/>
    <w:rsid w:val="00841513"/>
    <w:rsid w:val="00842055"/>
    <w:rsid w:val="0084333D"/>
    <w:rsid w:val="008434EA"/>
    <w:rsid w:val="0084355F"/>
    <w:rsid w:val="008438E9"/>
    <w:rsid w:val="00843CD6"/>
    <w:rsid w:val="00843DF1"/>
    <w:rsid w:val="00844C0A"/>
    <w:rsid w:val="00844FD0"/>
    <w:rsid w:val="0084548A"/>
    <w:rsid w:val="00846056"/>
    <w:rsid w:val="00846577"/>
    <w:rsid w:val="0084681F"/>
    <w:rsid w:val="00847D08"/>
    <w:rsid w:val="00847D9F"/>
    <w:rsid w:val="00847EC0"/>
    <w:rsid w:val="0085008A"/>
    <w:rsid w:val="0085037E"/>
    <w:rsid w:val="00851457"/>
    <w:rsid w:val="00851706"/>
    <w:rsid w:val="00852086"/>
    <w:rsid w:val="0085224C"/>
    <w:rsid w:val="008522E1"/>
    <w:rsid w:val="008527C4"/>
    <w:rsid w:val="00853270"/>
    <w:rsid w:val="0085338A"/>
    <w:rsid w:val="00854506"/>
    <w:rsid w:val="008554E8"/>
    <w:rsid w:val="00855A1B"/>
    <w:rsid w:val="00855FD6"/>
    <w:rsid w:val="00856DDD"/>
    <w:rsid w:val="00860233"/>
    <w:rsid w:val="008611C6"/>
    <w:rsid w:val="00861CB9"/>
    <w:rsid w:val="00862C32"/>
    <w:rsid w:val="00863E68"/>
    <w:rsid w:val="00863ED9"/>
    <w:rsid w:val="00864036"/>
    <w:rsid w:val="008647B5"/>
    <w:rsid w:val="00864A11"/>
    <w:rsid w:val="008655A0"/>
    <w:rsid w:val="00865B90"/>
    <w:rsid w:val="00865C5E"/>
    <w:rsid w:val="00866ACD"/>
    <w:rsid w:val="00867D64"/>
    <w:rsid w:val="00867D85"/>
    <w:rsid w:val="00872E8F"/>
    <w:rsid w:val="00873F31"/>
    <w:rsid w:val="008749B1"/>
    <w:rsid w:val="00874EAB"/>
    <w:rsid w:val="0087526C"/>
    <w:rsid w:val="00875DCB"/>
    <w:rsid w:val="00876FBF"/>
    <w:rsid w:val="0087755A"/>
    <w:rsid w:val="00877D56"/>
    <w:rsid w:val="00880F87"/>
    <w:rsid w:val="00881027"/>
    <w:rsid w:val="0088137F"/>
    <w:rsid w:val="008816B4"/>
    <w:rsid w:val="00882085"/>
    <w:rsid w:val="00883188"/>
    <w:rsid w:val="00884A0C"/>
    <w:rsid w:val="00885704"/>
    <w:rsid w:val="008858E8"/>
    <w:rsid w:val="00885A97"/>
    <w:rsid w:val="00885BE9"/>
    <w:rsid w:val="00886AA9"/>
    <w:rsid w:val="00886ACA"/>
    <w:rsid w:val="00886B01"/>
    <w:rsid w:val="00886EC9"/>
    <w:rsid w:val="008902F4"/>
    <w:rsid w:val="0089031E"/>
    <w:rsid w:val="00890FAF"/>
    <w:rsid w:val="0089109A"/>
    <w:rsid w:val="0089166D"/>
    <w:rsid w:val="00891894"/>
    <w:rsid w:val="00891F7D"/>
    <w:rsid w:val="00892940"/>
    <w:rsid w:val="00893D5C"/>
    <w:rsid w:val="0089460B"/>
    <w:rsid w:val="008973D4"/>
    <w:rsid w:val="0089768C"/>
    <w:rsid w:val="00897965"/>
    <w:rsid w:val="00897BA2"/>
    <w:rsid w:val="00897D58"/>
    <w:rsid w:val="00897F22"/>
    <w:rsid w:val="008A0B39"/>
    <w:rsid w:val="008A129B"/>
    <w:rsid w:val="008A13C0"/>
    <w:rsid w:val="008A17A3"/>
    <w:rsid w:val="008A1956"/>
    <w:rsid w:val="008A198E"/>
    <w:rsid w:val="008A1E85"/>
    <w:rsid w:val="008A2419"/>
    <w:rsid w:val="008A341C"/>
    <w:rsid w:val="008A4937"/>
    <w:rsid w:val="008A50F1"/>
    <w:rsid w:val="008A59D9"/>
    <w:rsid w:val="008A5D33"/>
    <w:rsid w:val="008A643E"/>
    <w:rsid w:val="008A6819"/>
    <w:rsid w:val="008A77C7"/>
    <w:rsid w:val="008A7BB7"/>
    <w:rsid w:val="008B007A"/>
    <w:rsid w:val="008B0829"/>
    <w:rsid w:val="008B0C61"/>
    <w:rsid w:val="008B2EC0"/>
    <w:rsid w:val="008B4EBC"/>
    <w:rsid w:val="008B6DCF"/>
    <w:rsid w:val="008C0E24"/>
    <w:rsid w:val="008C4D49"/>
    <w:rsid w:val="008C5084"/>
    <w:rsid w:val="008C55D5"/>
    <w:rsid w:val="008C5D43"/>
    <w:rsid w:val="008D0531"/>
    <w:rsid w:val="008D0945"/>
    <w:rsid w:val="008D1409"/>
    <w:rsid w:val="008D15CC"/>
    <w:rsid w:val="008D1729"/>
    <w:rsid w:val="008D1B5C"/>
    <w:rsid w:val="008D1C8B"/>
    <w:rsid w:val="008D24BE"/>
    <w:rsid w:val="008D2933"/>
    <w:rsid w:val="008D35CD"/>
    <w:rsid w:val="008D3C82"/>
    <w:rsid w:val="008D4183"/>
    <w:rsid w:val="008D447E"/>
    <w:rsid w:val="008D6745"/>
    <w:rsid w:val="008D6ACF"/>
    <w:rsid w:val="008D6DEA"/>
    <w:rsid w:val="008D7A24"/>
    <w:rsid w:val="008D7A41"/>
    <w:rsid w:val="008E0347"/>
    <w:rsid w:val="008E039B"/>
    <w:rsid w:val="008E069E"/>
    <w:rsid w:val="008E0DED"/>
    <w:rsid w:val="008E1085"/>
    <w:rsid w:val="008E1780"/>
    <w:rsid w:val="008E1D33"/>
    <w:rsid w:val="008E240E"/>
    <w:rsid w:val="008E2C72"/>
    <w:rsid w:val="008E2F06"/>
    <w:rsid w:val="008E3680"/>
    <w:rsid w:val="008E3B5A"/>
    <w:rsid w:val="008E41FF"/>
    <w:rsid w:val="008E4AF5"/>
    <w:rsid w:val="008E4F87"/>
    <w:rsid w:val="008E5870"/>
    <w:rsid w:val="008E77E4"/>
    <w:rsid w:val="008E7C0B"/>
    <w:rsid w:val="008F0213"/>
    <w:rsid w:val="008F07ED"/>
    <w:rsid w:val="008F11F8"/>
    <w:rsid w:val="008F1434"/>
    <w:rsid w:val="008F14DF"/>
    <w:rsid w:val="008F2BB9"/>
    <w:rsid w:val="008F31DB"/>
    <w:rsid w:val="008F32F3"/>
    <w:rsid w:val="008F3D6A"/>
    <w:rsid w:val="008F3E2B"/>
    <w:rsid w:val="008F42A6"/>
    <w:rsid w:val="008F467A"/>
    <w:rsid w:val="008F4B13"/>
    <w:rsid w:val="008F54C3"/>
    <w:rsid w:val="008F7355"/>
    <w:rsid w:val="00900D53"/>
    <w:rsid w:val="009014B0"/>
    <w:rsid w:val="00902184"/>
    <w:rsid w:val="009023DC"/>
    <w:rsid w:val="009027C5"/>
    <w:rsid w:val="00903E92"/>
    <w:rsid w:val="00904413"/>
    <w:rsid w:val="009067B7"/>
    <w:rsid w:val="00906E7A"/>
    <w:rsid w:val="00906E7F"/>
    <w:rsid w:val="009076FF"/>
    <w:rsid w:val="0090775A"/>
    <w:rsid w:val="00907DFD"/>
    <w:rsid w:val="00910276"/>
    <w:rsid w:val="00910A8D"/>
    <w:rsid w:val="00913C99"/>
    <w:rsid w:val="009144FB"/>
    <w:rsid w:val="009154BA"/>
    <w:rsid w:val="00917D69"/>
    <w:rsid w:val="00920B6D"/>
    <w:rsid w:val="0092226E"/>
    <w:rsid w:val="0092268E"/>
    <w:rsid w:val="009232FA"/>
    <w:rsid w:val="00923A90"/>
    <w:rsid w:val="00924004"/>
    <w:rsid w:val="0092554C"/>
    <w:rsid w:val="00926560"/>
    <w:rsid w:val="009269CC"/>
    <w:rsid w:val="00926B15"/>
    <w:rsid w:val="00926F60"/>
    <w:rsid w:val="00930291"/>
    <w:rsid w:val="00930937"/>
    <w:rsid w:val="00930AB7"/>
    <w:rsid w:val="00931338"/>
    <w:rsid w:val="009318A0"/>
    <w:rsid w:val="009324A6"/>
    <w:rsid w:val="00933B7D"/>
    <w:rsid w:val="00933E6C"/>
    <w:rsid w:val="00934CFC"/>
    <w:rsid w:val="0093535B"/>
    <w:rsid w:val="00935A6E"/>
    <w:rsid w:val="00935D2B"/>
    <w:rsid w:val="009373C0"/>
    <w:rsid w:val="009374C3"/>
    <w:rsid w:val="00937958"/>
    <w:rsid w:val="00940529"/>
    <w:rsid w:val="009406E5"/>
    <w:rsid w:val="00941050"/>
    <w:rsid w:val="00941602"/>
    <w:rsid w:val="00942160"/>
    <w:rsid w:val="0094346F"/>
    <w:rsid w:val="00943E2F"/>
    <w:rsid w:val="009448AE"/>
    <w:rsid w:val="00945261"/>
    <w:rsid w:val="00946527"/>
    <w:rsid w:val="00946921"/>
    <w:rsid w:val="00947257"/>
    <w:rsid w:val="00947343"/>
    <w:rsid w:val="00950329"/>
    <w:rsid w:val="0095146F"/>
    <w:rsid w:val="00951F2D"/>
    <w:rsid w:val="00952760"/>
    <w:rsid w:val="00952839"/>
    <w:rsid w:val="0095324F"/>
    <w:rsid w:val="0095344C"/>
    <w:rsid w:val="009534A3"/>
    <w:rsid w:val="009534C7"/>
    <w:rsid w:val="0095387B"/>
    <w:rsid w:val="00955C0B"/>
    <w:rsid w:val="00955C20"/>
    <w:rsid w:val="009562BA"/>
    <w:rsid w:val="00957944"/>
    <w:rsid w:val="009602C5"/>
    <w:rsid w:val="009604AD"/>
    <w:rsid w:val="0096103A"/>
    <w:rsid w:val="009614CD"/>
    <w:rsid w:val="009618F8"/>
    <w:rsid w:val="00962223"/>
    <w:rsid w:val="0096252B"/>
    <w:rsid w:val="009637A2"/>
    <w:rsid w:val="00963B12"/>
    <w:rsid w:val="009641BE"/>
    <w:rsid w:val="009644D9"/>
    <w:rsid w:val="00964A9F"/>
    <w:rsid w:val="00964C22"/>
    <w:rsid w:val="009652B2"/>
    <w:rsid w:val="00966D0D"/>
    <w:rsid w:val="00967732"/>
    <w:rsid w:val="0096783C"/>
    <w:rsid w:val="00967BD9"/>
    <w:rsid w:val="00970023"/>
    <w:rsid w:val="00970FDB"/>
    <w:rsid w:val="00971ED0"/>
    <w:rsid w:val="009722B3"/>
    <w:rsid w:val="00972B0C"/>
    <w:rsid w:val="00973E24"/>
    <w:rsid w:val="00973E47"/>
    <w:rsid w:val="009742DB"/>
    <w:rsid w:val="00974BB1"/>
    <w:rsid w:val="00974C21"/>
    <w:rsid w:val="00974D5F"/>
    <w:rsid w:val="00975948"/>
    <w:rsid w:val="0097594A"/>
    <w:rsid w:val="00975D99"/>
    <w:rsid w:val="00976530"/>
    <w:rsid w:val="009772FD"/>
    <w:rsid w:val="00977428"/>
    <w:rsid w:val="00977BF3"/>
    <w:rsid w:val="009803E4"/>
    <w:rsid w:val="00980B0E"/>
    <w:rsid w:val="00982503"/>
    <w:rsid w:val="00982B39"/>
    <w:rsid w:val="009836A3"/>
    <w:rsid w:val="00984770"/>
    <w:rsid w:val="00984C58"/>
    <w:rsid w:val="009855A8"/>
    <w:rsid w:val="00985659"/>
    <w:rsid w:val="00985CBE"/>
    <w:rsid w:val="00985D1A"/>
    <w:rsid w:val="00986B1C"/>
    <w:rsid w:val="009870F7"/>
    <w:rsid w:val="00990838"/>
    <w:rsid w:val="00990A40"/>
    <w:rsid w:val="00990CF8"/>
    <w:rsid w:val="009913F4"/>
    <w:rsid w:val="00991782"/>
    <w:rsid w:val="00991DFC"/>
    <w:rsid w:val="00991F38"/>
    <w:rsid w:val="00993088"/>
    <w:rsid w:val="009937F7"/>
    <w:rsid w:val="0099424E"/>
    <w:rsid w:val="0099465B"/>
    <w:rsid w:val="009949C9"/>
    <w:rsid w:val="009951A1"/>
    <w:rsid w:val="00996069"/>
    <w:rsid w:val="009964DC"/>
    <w:rsid w:val="00997A43"/>
    <w:rsid w:val="00997A44"/>
    <w:rsid w:val="009A0307"/>
    <w:rsid w:val="009A0CDD"/>
    <w:rsid w:val="009A0F80"/>
    <w:rsid w:val="009A2673"/>
    <w:rsid w:val="009A2DA5"/>
    <w:rsid w:val="009A3168"/>
    <w:rsid w:val="009A4621"/>
    <w:rsid w:val="009A49A9"/>
    <w:rsid w:val="009A4BDF"/>
    <w:rsid w:val="009A5D04"/>
    <w:rsid w:val="009A6005"/>
    <w:rsid w:val="009A61CA"/>
    <w:rsid w:val="009A7809"/>
    <w:rsid w:val="009B0062"/>
    <w:rsid w:val="009B091F"/>
    <w:rsid w:val="009B0C64"/>
    <w:rsid w:val="009B0F67"/>
    <w:rsid w:val="009B1327"/>
    <w:rsid w:val="009B1C19"/>
    <w:rsid w:val="009B208A"/>
    <w:rsid w:val="009B2756"/>
    <w:rsid w:val="009B3D56"/>
    <w:rsid w:val="009B3F8C"/>
    <w:rsid w:val="009B533B"/>
    <w:rsid w:val="009B546B"/>
    <w:rsid w:val="009B7FBE"/>
    <w:rsid w:val="009C0393"/>
    <w:rsid w:val="009C26AA"/>
    <w:rsid w:val="009C2BFC"/>
    <w:rsid w:val="009C39A3"/>
    <w:rsid w:val="009C3EE6"/>
    <w:rsid w:val="009C429F"/>
    <w:rsid w:val="009C703C"/>
    <w:rsid w:val="009D0C29"/>
    <w:rsid w:val="009D0D4E"/>
    <w:rsid w:val="009D206E"/>
    <w:rsid w:val="009D2721"/>
    <w:rsid w:val="009D2A00"/>
    <w:rsid w:val="009D2BBD"/>
    <w:rsid w:val="009D33FD"/>
    <w:rsid w:val="009D3894"/>
    <w:rsid w:val="009D3CAA"/>
    <w:rsid w:val="009D49A5"/>
    <w:rsid w:val="009D507A"/>
    <w:rsid w:val="009D56EA"/>
    <w:rsid w:val="009D6532"/>
    <w:rsid w:val="009D714D"/>
    <w:rsid w:val="009D71FD"/>
    <w:rsid w:val="009D7B10"/>
    <w:rsid w:val="009E06F0"/>
    <w:rsid w:val="009E0755"/>
    <w:rsid w:val="009E10AD"/>
    <w:rsid w:val="009E18F3"/>
    <w:rsid w:val="009E1F6C"/>
    <w:rsid w:val="009E2588"/>
    <w:rsid w:val="009E2E8E"/>
    <w:rsid w:val="009E3C3B"/>
    <w:rsid w:val="009E3CDC"/>
    <w:rsid w:val="009E40E1"/>
    <w:rsid w:val="009E4DFA"/>
    <w:rsid w:val="009E62A4"/>
    <w:rsid w:val="009F0386"/>
    <w:rsid w:val="009F0B8F"/>
    <w:rsid w:val="009F0EFA"/>
    <w:rsid w:val="009F0FC5"/>
    <w:rsid w:val="009F1048"/>
    <w:rsid w:val="009F1288"/>
    <w:rsid w:val="009F172A"/>
    <w:rsid w:val="009F3119"/>
    <w:rsid w:val="009F4E46"/>
    <w:rsid w:val="009F52BA"/>
    <w:rsid w:val="009F5B65"/>
    <w:rsid w:val="009F5D6B"/>
    <w:rsid w:val="009F5F2E"/>
    <w:rsid w:val="009F642C"/>
    <w:rsid w:val="009F662A"/>
    <w:rsid w:val="009F778C"/>
    <w:rsid w:val="00A01432"/>
    <w:rsid w:val="00A0167A"/>
    <w:rsid w:val="00A01980"/>
    <w:rsid w:val="00A030AE"/>
    <w:rsid w:val="00A033A7"/>
    <w:rsid w:val="00A03D42"/>
    <w:rsid w:val="00A041C9"/>
    <w:rsid w:val="00A0537A"/>
    <w:rsid w:val="00A06085"/>
    <w:rsid w:val="00A06225"/>
    <w:rsid w:val="00A066E6"/>
    <w:rsid w:val="00A071D3"/>
    <w:rsid w:val="00A076CD"/>
    <w:rsid w:val="00A07F41"/>
    <w:rsid w:val="00A103C6"/>
    <w:rsid w:val="00A110D1"/>
    <w:rsid w:val="00A114A4"/>
    <w:rsid w:val="00A11C0F"/>
    <w:rsid w:val="00A12587"/>
    <w:rsid w:val="00A125F0"/>
    <w:rsid w:val="00A128E6"/>
    <w:rsid w:val="00A13CC4"/>
    <w:rsid w:val="00A144D3"/>
    <w:rsid w:val="00A14BF8"/>
    <w:rsid w:val="00A16D4C"/>
    <w:rsid w:val="00A17CF0"/>
    <w:rsid w:val="00A17EA7"/>
    <w:rsid w:val="00A17F18"/>
    <w:rsid w:val="00A203CF"/>
    <w:rsid w:val="00A21D7D"/>
    <w:rsid w:val="00A22AC3"/>
    <w:rsid w:val="00A22B68"/>
    <w:rsid w:val="00A22BE3"/>
    <w:rsid w:val="00A2351E"/>
    <w:rsid w:val="00A23F3F"/>
    <w:rsid w:val="00A24067"/>
    <w:rsid w:val="00A24A4B"/>
    <w:rsid w:val="00A24D84"/>
    <w:rsid w:val="00A2549C"/>
    <w:rsid w:val="00A25B63"/>
    <w:rsid w:val="00A26511"/>
    <w:rsid w:val="00A2744D"/>
    <w:rsid w:val="00A306F6"/>
    <w:rsid w:val="00A30D16"/>
    <w:rsid w:val="00A32131"/>
    <w:rsid w:val="00A326DB"/>
    <w:rsid w:val="00A334CF"/>
    <w:rsid w:val="00A33ABF"/>
    <w:rsid w:val="00A33EB7"/>
    <w:rsid w:val="00A34E6C"/>
    <w:rsid w:val="00A34FD0"/>
    <w:rsid w:val="00A35C55"/>
    <w:rsid w:val="00A361EA"/>
    <w:rsid w:val="00A36398"/>
    <w:rsid w:val="00A36717"/>
    <w:rsid w:val="00A36CC1"/>
    <w:rsid w:val="00A37C8D"/>
    <w:rsid w:val="00A4020E"/>
    <w:rsid w:val="00A40493"/>
    <w:rsid w:val="00A408E8"/>
    <w:rsid w:val="00A40FB5"/>
    <w:rsid w:val="00A416FA"/>
    <w:rsid w:val="00A41EAD"/>
    <w:rsid w:val="00A4210B"/>
    <w:rsid w:val="00A42826"/>
    <w:rsid w:val="00A429B3"/>
    <w:rsid w:val="00A440F3"/>
    <w:rsid w:val="00A44EC1"/>
    <w:rsid w:val="00A4514F"/>
    <w:rsid w:val="00A466BD"/>
    <w:rsid w:val="00A46A28"/>
    <w:rsid w:val="00A4715B"/>
    <w:rsid w:val="00A510E4"/>
    <w:rsid w:val="00A51109"/>
    <w:rsid w:val="00A515FF"/>
    <w:rsid w:val="00A51F8C"/>
    <w:rsid w:val="00A526F7"/>
    <w:rsid w:val="00A5273B"/>
    <w:rsid w:val="00A53A9D"/>
    <w:rsid w:val="00A55FEE"/>
    <w:rsid w:val="00A56304"/>
    <w:rsid w:val="00A56419"/>
    <w:rsid w:val="00A56B0B"/>
    <w:rsid w:val="00A57422"/>
    <w:rsid w:val="00A578E3"/>
    <w:rsid w:val="00A62C1A"/>
    <w:rsid w:val="00A63CA2"/>
    <w:rsid w:val="00A6426D"/>
    <w:rsid w:val="00A6439B"/>
    <w:rsid w:val="00A665C1"/>
    <w:rsid w:val="00A66CB7"/>
    <w:rsid w:val="00A67076"/>
    <w:rsid w:val="00A67270"/>
    <w:rsid w:val="00A673A4"/>
    <w:rsid w:val="00A677F9"/>
    <w:rsid w:val="00A7001A"/>
    <w:rsid w:val="00A70503"/>
    <w:rsid w:val="00A70622"/>
    <w:rsid w:val="00A70977"/>
    <w:rsid w:val="00A70D58"/>
    <w:rsid w:val="00A71B3E"/>
    <w:rsid w:val="00A736D4"/>
    <w:rsid w:val="00A744F9"/>
    <w:rsid w:val="00A7455D"/>
    <w:rsid w:val="00A74FA4"/>
    <w:rsid w:val="00A753A1"/>
    <w:rsid w:val="00A769F0"/>
    <w:rsid w:val="00A77613"/>
    <w:rsid w:val="00A77B87"/>
    <w:rsid w:val="00A77E01"/>
    <w:rsid w:val="00A801AD"/>
    <w:rsid w:val="00A81851"/>
    <w:rsid w:val="00A8282E"/>
    <w:rsid w:val="00A82E32"/>
    <w:rsid w:val="00A8390C"/>
    <w:rsid w:val="00A842D7"/>
    <w:rsid w:val="00A84F90"/>
    <w:rsid w:val="00A862B0"/>
    <w:rsid w:val="00A86AE0"/>
    <w:rsid w:val="00A86D0A"/>
    <w:rsid w:val="00A907F1"/>
    <w:rsid w:val="00A909CF"/>
    <w:rsid w:val="00A90F9D"/>
    <w:rsid w:val="00A9110C"/>
    <w:rsid w:val="00A912B0"/>
    <w:rsid w:val="00A91362"/>
    <w:rsid w:val="00A9151C"/>
    <w:rsid w:val="00A91855"/>
    <w:rsid w:val="00A919C6"/>
    <w:rsid w:val="00A927F8"/>
    <w:rsid w:val="00A928BD"/>
    <w:rsid w:val="00A92B69"/>
    <w:rsid w:val="00A92B6C"/>
    <w:rsid w:val="00A92C60"/>
    <w:rsid w:val="00A92D61"/>
    <w:rsid w:val="00A936B6"/>
    <w:rsid w:val="00A962A4"/>
    <w:rsid w:val="00A97418"/>
    <w:rsid w:val="00A97DE9"/>
    <w:rsid w:val="00A97F06"/>
    <w:rsid w:val="00AA12CD"/>
    <w:rsid w:val="00AA1D6B"/>
    <w:rsid w:val="00AA21EF"/>
    <w:rsid w:val="00AA2347"/>
    <w:rsid w:val="00AA24E9"/>
    <w:rsid w:val="00AA2824"/>
    <w:rsid w:val="00AA32B2"/>
    <w:rsid w:val="00AA3BDC"/>
    <w:rsid w:val="00AA3F88"/>
    <w:rsid w:val="00AA4D1C"/>
    <w:rsid w:val="00AA52FD"/>
    <w:rsid w:val="00AA5D40"/>
    <w:rsid w:val="00AA6492"/>
    <w:rsid w:val="00AA7006"/>
    <w:rsid w:val="00AB081A"/>
    <w:rsid w:val="00AB0C65"/>
    <w:rsid w:val="00AB1AFE"/>
    <w:rsid w:val="00AB3138"/>
    <w:rsid w:val="00AB315A"/>
    <w:rsid w:val="00AB33FF"/>
    <w:rsid w:val="00AB3AEE"/>
    <w:rsid w:val="00AB4684"/>
    <w:rsid w:val="00AB4E0D"/>
    <w:rsid w:val="00AB56E2"/>
    <w:rsid w:val="00AB5856"/>
    <w:rsid w:val="00AB6224"/>
    <w:rsid w:val="00AB6836"/>
    <w:rsid w:val="00AB6A80"/>
    <w:rsid w:val="00AB7890"/>
    <w:rsid w:val="00AC047E"/>
    <w:rsid w:val="00AC081D"/>
    <w:rsid w:val="00AC0C6F"/>
    <w:rsid w:val="00AC0CD4"/>
    <w:rsid w:val="00AC1266"/>
    <w:rsid w:val="00AC193C"/>
    <w:rsid w:val="00AC2011"/>
    <w:rsid w:val="00AC30C1"/>
    <w:rsid w:val="00AC4222"/>
    <w:rsid w:val="00AC4DE5"/>
    <w:rsid w:val="00AC5206"/>
    <w:rsid w:val="00AC5FE3"/>
    <w:rsid w:val="00AC6B25"/>
    <w:rsid w:val="00AC6DB1"/>
    <w:rsid w:val="00AC742C"/>
    <w:rsid w:val="00AD095B"/>
    <w:rsid w:val="00AD2F9D"/>
    <w:rsid w:val="00AD3106"/>
    <w:rsid w:val="00AD3A1E"/>
    <w:rsid w:val="00AD4322"/>
    <w:rsid w:val="00AD5308"/>
    <w:rsid w:val="00AD5842"/>
    <w:rsid w:val="00AD6719"/>
    <w:rsid w:val="00AD74E4"/>
    <w:rsid w:val="00AE11A5"/>
    <w:rsid w:val="00AE13E2"/>
    <w:rsid w:val="00AE22D3"/>
    <w:rsid w:val="00AE2827"/>
    <w:rsid w:val="00AE346E"/>
    <w:rsid w:val="00AE3AD0"/>
    <w:rsid w:val="00AE416A"/>
    <w:rsid w:val="00AE5987"/>
    <w:rsid w:val="00AE5A49"/>
    <w:rsid w:val="00AE688C"/>
    <w:rsid w:val="00AF03E6"/>
    <w:rsid w:val="00AF11D8"/>
    <w:rsid w:val="00AF42FF"/>
    <w:rsid w:val="00AF5867"/>
    <w:rsid w:val="00AF62DF"/>
    <w:rsid w:val="00AF68CC"/>
    <w:rsid w:val="00AF70D7"/>
    <w:rsid w:val="00B00086"/>
    <w:rsid w:val="00B004DC"/>
    <w:rsid w:val="00B004EE"/>
    <w:rsid w:val="00B00ADE"/>
    <w:rsid w:val="00B00AF1"/>
    <w:rsid w:val="00B00CD0"/>
    <w:rsid w:val="00B00E7F"/>
    <w:rsid w:val="00B01FF4"/>
    <w:rsid w:val="00B02C31"/>
    <w:rsid w:val="00B0326D"/>
    <w:rsid w:val="00B0540E"/>
    <w:rsid w:val="00B06037"/>
    <w:rsid w:val="00B06478"/>
    <w:rsid w:val="00B06AD5"/>
    <w:rsid w:val="00B07158"/>
    <w:rsid w:val="00B07533"/>
    <w:rsid w:val="00B07CFB"/>
    <w:rsid w:val="00B07D5F"/>
    <w:rsid w:val="00B1059E"/>
    <w:rsid w:val="00B116DF"/>
    <w:rsid w:val="00B1257B"/>
    <w:rsid w:val="00B12806"/>
    <w:rsid w:val="00B1316A"/>
    <w:rsid w:val="00B13AD1"/>
    <w:rsid w:val="00B13E44"/>
    <w:rsid w:val="00B145D5"/>
    <w:rsid w:val="00B149BA"/>
    <w:rsid w:val="00B14A36"/>
    <w:rsid w:val="00B14E8D"/>
    <w:rsid w:val="00B15A2E"/>
    <w:rsid w:val="00B16273"/>
    <w:rsid w:val="00B164B4"/>
    <w:rsid w:val="00B170A5"/>
    <w:rsid w:val="00B1725F"/>
    <w:rsid w:val="00B176C8"/>
    <w:rsid w:val="00B17EE5"/>
    <w:rsid w:val="00B205AA"/>
    <w:rsid w:val="00B2100A"/>
    <w:rsid w:val="00B21A91"/>
    <w:rsid w:val="00B21BC8"/>
    <w:rsid w:val="00B22E84"/>
    <w:rsid w:val="00B233AD"/>
    <w:rsid w:val="00B23E25"/>
    <w:rsid w:val="00B2541C"/>
    <w:rsid w:val="00B25F75"/>
    <w:rsid w:val="00B263D3"/>
    <w:rsid w:val="00B26B3F"/>
    <w:rsid w:val="00B2778F"/>
    <w:rsid w:val="00B30A59"/>
    <w:rsid w:val="00B31FE8"/>
    <w:rsid w:val="00B327E2"/>
    <w:rsid w:val="00B334A6"/>
    <w:rsid w:val="00B33635"/>
    <w:rsid w:val="00B3464C"/>
    <w:rsid w:val="00B347AA"/>
    <w:rsid w:val="00B34E59"/>
    <w:rsid w:val="00B37A23"/>
    <w:rsid w:val="00B37CF8"/>
    <w:rsid w:val="00B40240"/>
    <w:rsid w:val="00B42AF4"/>
    <w:rsid w:val="00B43E90"/>
    <w:rsid w:val="00B44199"/>
    <w:rsid w:val="00B44308"/>
    <w:rsid w:val="00B44851"/>
    <w:rsid w:val="00B44B1B"/>
    <w:rsid w:val="00B45722"/>
    <w:rsid w:val="00B45FE1"/>
    <w:rsid w:val="00B460F4"/>
    <w:rsid w:val="00B46343"/>
    <w:rsid w:val="00B467DC"/>
    <w:rsid w:val="00B46BC3"/>
    <w:rsid w:val="00B47A0B"/>
    <w:rsid w:val="00B47A88"/>
    <w:rsid w:val="00B47B10"/>
    <w:rsid w:val="00B50EDD"/>
    <w:rsid w:val="00B51E09"/>
    <w:rsid w:val="00B52303"/>
    <w:rsid w:val="00B529E4"/>
    <w:rsid w:val="00B5373A"/>
    <w:rsid w:val="00B5392A"/>
    <w:rsid w:val="00B539EF"/>
    <w:rsid w:val="00B556B8"/>
    <w:rsid w:val="00B56118"/>
    <w:rsid w:val="00B566E1"/>
    <w:rsid w:val="00B56AFB"/>
    <w:rsid w:val="00B572BE"/>
    <w:rsid w:val="00B60208"/>
    <w:rsid w:val="00B602F6"/>
    <w:rsid w:val="00B60755"/>
    <w:rsid w:val="00B60ED3"/>
    <w:rsid w:val="00B61562"/>
    <w:rsid w:val="00B6274C"/>
    <w:rsid w:val="00B62EC1"/>
    <w:rsid w:val="00B63251"/>
    <w:rsid w:val="00B63FA4"/>
    <w:rsid w:val="00B64A96"/>
    <w:rsid w:val="00B64F97"/>
    <w:rsid w:val="00B6533B"/>
    <w:rsid w:val="00B653A3"/>
    <w:rsid w:val="00B65EF4"/>
    <w:rsid w:val="00B65FC6"/>
    <w:rsid w:val="00B66715"/>
    <w:rsid w:val="00B6773F"/>
    <w:rsid w:val="00B70EB3"/>
    <w:rsid w:val="00B71867"/>
    <w:rsid w:val="00B72906"/>
    <w:rsid w:val="00B74F48"/>
    <w:rsid w:val="00B7525E"/>
    <w:rsid w:val="00B75433"/>
    <w:rsid w:val="00B75F70"/>
    <w:rsid w:val="00B760FB"/>
    <w:rsid w:val="00B764E0"/>
    <w:rsid w:val="00B76765"/>
    <w:rsid w:val="00B767AB"/>
    <w:rsid w:val="00B801BA"/>
    <w:rsid w:val="00B804E2"/>
    <w:rsid w:val="00B80D50"/>
    <w:rsid w:val="00B812D6"/>
    <w:rsid w:val="00B82041"/>
    <w:rsid w:val="00B82D7F"/>
    <w:rsid w:val="00B836B9"/>
    <w:rsid w:val="00B83F81"/>
    <w:rsid w:val="00B846E6"/>
    <w:rsid w:val="00B84ACD"/>
    <w:rsid w:val="00B84D5C"/>
    <w:rsid w:val="00B856BC"/>
    <w:rsid w:val="00B85AF6"/>
    <w:rsid w:val="00B85FC0"/>
    <w:rsid w:val="00B8622B"/>
    <w:rsid w:val="00B864F0"/>
    <w:rsid w:val="00B8650B"/>
    <w:rsid w:val="00B86D56"/>
    <w:rsid w:val="00B87544"/>
    <w:rsid w:val="00B87931"/>
    <w:rsid w:val="00B87F36"/>
    <w:rsid w:val="00B91A88"/>
    <w:rsid w:val="00B92E46"/>
    <w:rsid w:val="00B941ED"/>
    <w:rsid w:val="00B9532D"/>
    <w:rsid w:val="00B956ED"/>
    <w:rsid w:val="00B96000"/>
    <w:rsid w:val="00B96613"/>
    <w:rsid w:val="00B974E5"/>
    <w:rsid w:val="00B9787C"/>
    <w:rsid w:val="00BA2068"/>
    <w:rsid w:val="00BA2DA8"/>
    <w:rsid w:val="00BA347C"/>
    <w:rsid w:val="00BA4C79"/>
    <w:rsid w:val="00BA4C98"/>
    <w:rsid w:val="00BA4D84"/>
    <w:rsid w:val="00BA5060"/>
    <w:rsid w:val="00BA5921"/>
    <w:rsid w:val="00BA5CBD"/>
    <w:rsid w:val="00BA63BA"/>
    <w:rsid w:val="00BA765B"/>
    <w:rsid w:val="00BA7947"/>
    <w:rsid w:val="00BB0C94"/>
    <w:rsid w:val="00BB120A"/>
    <w:rsid w:val="00BB1638"/>
    <w:rsid w:val="00BB26ED"/>
    <w:rsid w:val="00BB298A"/>
    <w:rsid w:val="00BB3469"/>
    <w:rsid w:val="00BB5C49"/>
    <w:rsid w:val="00BB6240"/>
    <w:rsid w:val="00BB6285"/>
    <w:rsid w:val="00BB67A2"/>
    <w:rsid w:val="00BB69F5"/>
    <w:rsid w:val="00BB6E48"/>
    <w:rsid w:val="00BB765A"/>
    <w:rsid w:val="00BB7AE9"/>
    <w:rsid w:val="00BB7EC3"/>
    <w:rsid w:val="00BC04B1"/>
    <w:rsid w:val="00BC0606"/>
    <w:rsid w:val="00BC137E"/>
    <w:rsid w:val="00BC271D"/>
    <w:rsid w:val="00BC4627"/>
    <w:rsid w:val="00BC470E"/>
    <w:rsid w:val="00BC47BF"/>
    <w:rsid w:val="00BC4AC3"/>
    <w:rsid w:val="00BC4B9A"/>
    <w:rsid w:val="00BD02C3"/>
    <w:rsid w:val="00BD0F20"/>
    <w:rsid w:val="00BD128C"/>
    <w:rsid w:val="00BD13EE"/>
    <w:rsid w:val="00BD1CCA"/>
    <w:rsid w:val="00BD1D70"/>
    <w:rsid w:val="00BD3119"/>
    <w:rsid w:val="00BD7483"/>
    <w:rsid w:val="00BD784C"/>
    <w:rsid w:val="00BE020A"/>
    <w:rsid w:val="00BE044D"/>
    <w:rsid w:val="00BE13DF"/>
    <w:rsid w:val="00BE1BEE"/>
    <w:rsid w:val="00BE1EF0"/>
    <w:rsid w:val="00BE25D7"/>
    <w:rsid w:val="00BE3ED8"/>
    <w:rsid w:val="00BE4409"/>
    <w:rsid w:val="00BE44A5"/>
    <w:rsid w:val="00BE50D1"/>
    <w:rsid w:val="00BE5A95"/>
    <w:rsid w:val="00BE6935"/>
    <w:rsid w:val="00BF004B"/>
    <w:rsid w:val="00BF092C"/>
    <w:rsid w:val="00BF21D1"/>
    <w:rsid w:val="00BF27A0"/>
    <w:rsid w:val="00BF310B"/>
    <w:rsid w:val="00BF3A09"/>
    <w:rsid w:val="00BF40E6"/>
    <w:rsid w:val="00BF4964"/>
    <w:rsid w:val="00BF4CB6"/>
    <w:rsid w:val="00BF4D41"/>
    <w:rsid w:val="00BF51E1"/>
    <w:rsid w:val="00BF5C36"/>
    <w:rsid w:val="00BF5D23"/>
    <w:rsid w:val="00BF6ADC"/>
    <w:rsid w:val="00BF6CBD"/>
    <w:rsid w:val="00BF73CC"/>
    <w:rsid w:val="00C00BB9"/>
    <w:rsid w:val="00C00D5D"/>
    <w:rsid w:val="00C00DA7"/>
    <w:rsid w:val="00C0292C"/>
    <w:rsid w:val="00C02C1B"/>
    <w:rsid w:val="00C02EB2"/>
    <w:rsid w:val="00C034FB"/>
    <w:rsid w:val="00C04C0F"/>
    <w:rsid w:val="00C04CDE"/>
    <w:rsid w:val="00C059D5"/>
    <w:rsid w:val="00C064E2"/>
    <w:rsid w:val="00C068A6"/>
    <w:rsid w:val="00C07320"/>
    <w:rsid w:val="00C102C0"/>
    <w:rsid w:val="00C10BAD"/>
    <w:rsid w:val="00C11453"/>
    <w:rsid w:val="00C1181A"/>
    <w:rsid w:val="00C11DEA"/>
    <w:rsid w:val="00C12768"/>
    <w:rsid w:val="00C12D70"/>
    <w:rsid w:val="00C1409C"/>
    <w:rsid w:val="00C147C9"/>
    <w:rsid w:val="00C14CF4"/>
    <w:rsid w:val="00C152DB"/>
    <w:rsid w:val="00C16218"/>
    <w:rsid w:val="00C16724"/>
    <w:rsid w:val="00C16858"/>
    <w:rsid w:val="00C16CC6"/>
    <w:rsid w:val="00C2149F"/>
    <w:rsid w:val="00C21B09"/>
    <w:rsid w:val="00C233EA"/>
    <w:rsid w:val="00C2490D"/>
    <w:rsid w:val="00C24995"/>
    <w:rsid w:val="00C25EFF"/>
    <w:rsid w:val="00C2673A"/>
    <w:rsid w:val="00C27020"/>
    <w:rsid w:val="00C27340"/>
    <w:rsid w:val="00C278CD"/>
    <w:rsid w:val="00C27B58"/>
    <w:rsid w:val="00C27C1C"/>
    <w:rsid w:val="00C3166C"/>
    <w:rsid w:val="00C33186"/>
    <w:rsid w:val="00C33272"/>
    <w:rsid w:val="00C3407A"/>
    <w:rsid w:val="00C35996"/>
    <w:rsid w:val="00C35F14"/>
    <w:rsid w:val="00C36B4D"/>
    <w:rsid w:val="00C370E8"/>
    <w:rsid w:val="00C37A81"/>
    <w:rsid w:val="00C37BD3"/>
    <w:rsid w:val="00C40902"/>
    <w:rsid w:val="00C413F4"/>
    <w:rsid w:val="00C417FA"/>
    <w:rsid w:val="00C42BCD"/>
    <w:rsid w:val="00C42F65"/>
    <w:rsid w:val="00C435E4"/>
    <w:rsid w:val="00C43E0D"/>
    <w:rsid w:val="00C43E4C"/>
    <w:rsid w:val="00C4485F"/>
    <w:rsid w:val="00C44DED"/>
    <w:rsid w:val="00C44E66"/>
    <w:rsid w:val="00C456DE"/>
    <w:rsid w:val="00C45B4D"/>
    <w:rsid w:val="00C46C13"/>
    <w:rsid w:val="00C4747E"/>
    <w:rsid w:val="00C5151E"/>
    <w:rsid w:val="00C51FE4"/>
    <w:rsid w:val="00C52256"/>
    <w:rsid w:val="00C524EF"/>
    <w:rsid w:val="00C52882"/>
    <w:rsid w:val="00C5342C"/>
    <w:rsid w:val="00C53B2B"/>
    <w:rsid w:val="00C53F9C"/>
    <w:rsid w:val="00C54421"/>
    <w:rsid w:val="00C547F5"/>
    <w:rsid w:val="00C54F3F"/>
    <w:rsid w:val="00C55505"/>
    <w:rsid w:val="00C56D78"/>
    <w:rsid w:val="00C57465"/>
    <w:rsid w:val="00C60272"/>
    <w:rsid w:val="00C603D4"/>
    <w:rsid w:val="00C6172E"/>
    <w:rsid w:val="00C61831"/>
    <w:rsid w:val="00C61E92"/>
    <w:rsid w:val="00C61EE1"/>
    <w:rsid w:val="00C6256A"/>
    <w:rsid w:val="00C62BBD"/>
    <w:rsid w:val="00C6308A"/>
    <w:rsid w:val="00C63FDA"/>
    <w:rsid w:val="00C64EBC"/>
    <w:rsid w:val="00C65616"/>
    <w:rsid w:val="00C664D2"/>
    <w:rsid w:val="00C669F4"/>
    <w:rsid w:val="00C66CA2"/>
    <w:rsid w:val="00C67228"/>
    <w:rsid w:val="00C677E1"/>
    <w:rsid w:val="00C70E6E"/>
    <w:rsid w:val="00C710E2"/>
    <w:rsid w:val="00C71C3F"/>
    <w:rsid w:val="00C7257A"/>
    <w:rsid w:val="00C73A35"/>
    <w:rsid w:val="00C7409E"/>
    <w:rsid w:val="00C74D6D"/>
    <w:rsid w:val="00C76690"/>
    <w:rsid w:val="00C76B50"/>
    <w:rsid w:val="00C76E76"/>
    <w:rsid w:val="00C774AF"/>
    <w:rsid w:val="00C77891"/>
    <w:rsid w:val="00C77B74"/>
    <w:rsid w:val="00C77BE9"/>
    <w:rsid w:val="00C81DEF"/>
    <w:rsid w:val="00C82062"/>
    <w:rsid w:val="00C829A9"/>
    <w:rsid w:val="00C82A84"/>
    <w:rsid w:val="00C847F5"/>
    <w:rsid w:val="00C8746C"/>
    <w:rsid w:val="00C87520"/>
    <w:rsid w:val="00C87531"/>
    <w:rsid w:val="00C87B80"/>
    <w:rsid w:val="00C87D49"/>
    <w:rsid w:val="00C90111"/>
    <w:rsid w:val="00C90330"/>
    <w:rsid w:val="00C91449"/>
    <w:rsid w:val="00C91F89"/>
    <w:rsid w:val="00C92688"/>
    <w:rsid w:val="00C92699"/>
    <w:rsid w:val="00C928EB"/>
    <w:rsid w:val="00C92D10"/>
    <w:rsid w:val="00C92F79"/>
    <w:rsid w:val="00C9399D"/>
    <w:rsid w:val="00C95200"/>
    <w:rsid w:val="00C96EC0"/>
    <w:rsid w:val="00CA01F8"/>
    <w:rsid w:val="00CA06F9"/>
    <w:rsid w:val="00CA0ED5"/>
    <w:rsid w:val="00CA11AD"/>
    <w:rsid w:val="00CA14BB"/>
    <w:rsid w:val="00CA230C"/>
    <w:rsid w:val="00CA48D9"/>
    <w:rsid w:val="00CA79C9"/>
    <w:rsid w:val="00CA79EB"/>
    <w:rsid w:val="00CA7FD8"/>
    <w:rsid w:val="00CB1193"/>
    <w:rsid w:val="00CB14CF"/>
    <w:rsid w:val="00CB3399"/>
    <w:rsid w:val="00CB358A"/>
    <w:rsid w:val="00CB4767"/>
    <w:rsid w:val="00CB493D"/>
    <w:rsid w:val="00CB4D79"/>
    <w:rsid w:val="00CB517C"/>
    <w:rsid w:val="00CB5889"/>
    <w:rsid w:val="00CB5DB4"/>
    <w:rsid w:val="00CB67B6"/>
    <w:rsid w:val="00CB773B"/>
    <w:rsid w:val="00CB7ADA"/>
    <w:rsid w:val="00CC057B"/>
    <w:rsid w:val="00CC2224"/>
    <w:rsid w:val="00CC23DF"/>
    <w:rsid w:val="00CC3B97"/>
    <w:rsid w:val="00CC5651"/>
    <w:rsid w:val="00CC5890"/>
    <w:rsid w:val="00CC6EFC"/>
    <w:rsid w:val="00CD0AF7"/>
    <w:rsid w:val="00CD1D9D"/>
    <w:rsid w:val="00CD2195"/>
    <w:rsid w:val="00CD2A33"/>
    <w:rsid w:val="00CD2BF4"/>
    <w:rsid w:val="00CD357C"/>
    <w:rsid w:val="00CD4A8C"/>
    <w:rsid w:val="00CD6257"/>
    <w:rsid w:val="00CD7C0B"/>
    <w:rsid w:val="00CD7D0D"/>
    <w:rsid w:val="00CD7D0E"/>
    <w:rsid w:val="00CE0E2B"/>
    <w:rsid w:val="00CE10C4"/>
    <w:rsid w:val="00CE190B"/>
    <w:rsid w:val="00CE2343"/>
    <w:rsid w:val="00CE265B"/>
    <w:rsid w:val="00CE27B5"/>
    <w:rsid w:val="00CE2BDF"/>
    <w:rsid w:val="00CE6C95"/>
    <w:rsid w:val="00CE6D24"/>
    <w:rsid w:val="00CE6DAF"/>
    <w:rsid w:val="00CE7AFD"/>
    <w:rsid w:val="00CF076C"/>
    <w:rsid w:val="00CF0A32"/>
    <w:rsid w:val="00CF0F9E"/>
    <w:rsid w:val="00CF25A2"/>
    <w:rsid w:val="00CF2F58"/>
    <w:rsid w:val="00CF35D7"/>
    <w:rsid w:val="00CF362C"/>
    <w:rsid w:val="00CF39E0"/>
    <w:rsid w:val="00CF410A"/>
    <w:rsid w:val="00CF47B8"/>
    <w:rsid w:val="00CF49EC"/>
    <w:rsid w:val="00CF6EF6"/>
    <w:rsid w:val="00CF7528"/>
    <w:rsid w:val="00CF7FDE"/>
    <w:rsid w:val="00D012AF"/>
    <w:rsid w:val="00D01868"/>
    <w:rsid w:val="00D020FE"/>
    <w:rsid w:val="00D0321E"/>
    <w:rsid w:val="00D03423"/>
    <w:rsid w:val="00D05457"/>
    <w:rsid w:val="00D0550B"/>
    <w:rsid w:val="00D05BD3"/>
    <w:rsid w:val="00D05FD8"/>
    <w:rsid w:val="00D069EB"/>
    <w:rsid w:val="00D07A8A"/>
    <w:rsid w:val="00D106E1"/>
    <w:rsid w:val="00D10713"/>
    <w:rsid w:val="00D10E31"/>
    <w:rsid w:val="00D11199"/>
    <w:rsid w:val="00D11A9E"/>
    <w:rsid w:val="00D126ED"/>
    <w:rsid w:val="00D12D92"/>
    <w:rsid w:val="00D14047"/>
    <w:rsid w:val="00D1455A"/>
    <w:rsid w:val="00D14573"/>
    <w:rsid w:val="00D1492A"/>
    <w:rsid w:val="00D14A70"/>
    <w:rsid w:val="00D15930"/>
    <w:rsid w:val="00D15B69"/>
    <w:rsid w:val="00D15B75"/>
    <w:rsid w:val="00D1612F"/>
    <w:rsid w:val="00D167C0"/>
    <w:rsid w:val="00D207EA"/>
    <w:rsid w:val="00D211FB"/>
    <w:rsid w:val="00D21344"/>
    <w:rsid w:val="00D22093"/>
    <w:rsid w:val="00D24472"/>
    <w:rsid w:val="00D2696A"/>
    <w:rsid w:val="00D274D8"/>
    <w:rsid w:val="00D30106"/>
    <w:rsid w:val="00D30737"/>
    <w:rsid w:val="00D31150"/>
    <w:rsid w:val="00D3138B"/>
    <w:rsid w:val="00D31FCE"/>
    <w:rsid w:val="00D3280C"/>
    <w:rsid w:val="00D3406A"/>
    <w:rsid w:val="00D34B0A"/>
    <w:rsid w:val="00D34D24"/>
    <w:rsid w:val="00D35AA4"/>
    <w:rsid w:val="00D36524"/>
    <w:rsid w:val="00D4087E"/>
    <w:rsid w:val="00D40B11"/>
    <w:rsid w:val="00D41339"/>
    <w:rsid w:val="00D42864"/>
    <w:rsid w:val="00D429EC"/>
    <w:rsid w:val="00D43959"/>
    <w:rsid w:val="00D439A7"/>
    <w:rsid w:val="00D43C03"/>
    <w:rsid w:val="00D441F1"/>
    <w:rsid w:val="00D443B9"/>
    <w:rsid w:val="00D4572C"/>
    <w:rsid w:val="00D469B2"/>
    <w:rsid w:val="00D47DF9"/>
    <w:rsid w:val="00D5173E"/>
    <w:rsid w:val="00D518A4"/>
    <w:rsid w:val="00D51CB1"/>
    <w:rsid w:val="00D52B24"/>
    <w:rsid w:val="00D52EAA"/>
    <w:rsid w:val="00D52ECF"/>
    <w:rsid w:val="00D536A6"/>
    <w:rsid w:val="00D53F0C"/>
    <w:rsid w:val="00D53F69"/>
    <w:rsid w:val="00D5411A"/>
    <w:rsid w:val="00D54B09"/>
    <w:rsid w:val="00D55D5F"/>
    <w:rsid w:val="00D56F44"/>
    <w:rsid w:val="00D56FBB"/>
    <w:rsid w:val="00D6168B"/>
    <w:rsid w:val="00D6243E"/>
    <w:rsid w:val="00D62850"/>
    <w:rsid w:val="00D62D6E"/>
    <w:rsid w:val="00D62FD9"/>
    <w:rsid w:val="00D63B32"/>
    <w:rsid w:val="00D64A20"/>
    <w:rsid w:val="00D65658"/>
    <w:rsid w:val="00D65792"/>
    <w:rsid w:val="00D660BD"/>
    <w:rsid w:val="00D66ED7"/>
    <w:rsid w:val="00D675D5"/>
    <w:rsid w:val="00D67EB2"/>
    <w:rsid w:val="00D70349"/>
    <w:rsid w:val="00D7066D"/>
    <w:rsid w:val="00D71A88"/>
    <w:rsid w:val="00D72B6F"/>
    <w:rsid w:val="00D741EB"/>
    <w:rsid w:val="00D74CEA"/>
    <w:rsid w:val="00D74E62"/>
    <w:rsid w:val="00D7679C"/>
    <w:rsid w:val="00D77998"/>
    <w:rsid w:val="00D77C10"/>
    <w:rsid w:val="00D80345"/>
    <w:rsid w:val="00D817A9"/>
    <w:rsid w:val="00D820F3"/>
    <w:rsid w:val="00D8225D"/>
    <w:rsid w:val="00D83605"/>
    <w:rsid w:val="00D84659"/>
    <w:rsid w:val="00D8476C"/>
    <w:rsid w:val="00D84934"/>
    <w:rsid w:val="00D85758"/>
    <w:rsid w:val="00D866EB"/>
    <w:rsid w:val="00D867F3"/>
    <w:rsid w:val="00D86C52"/>
    <w:rsid w:val="00D871F6"/>
    <w:rsid w:val="00D87D1A"/>
    <w:rsid w:val="00D87D46"/>
    <w:rsid w:val="00D906DA"/>
    <w:rsid w:val="00D91271"/>
    <w:rsid w:val="00D919F5"/>
    <w:rsid w:val="00D91C07"/>
    <w:rsid w:val="00D93422"/>
    <w:rsid w:val="00D93AAB"/>
    <w:rsid w:val="00D945EF"/>
    <w:rsid w:val="00D945F6"/>
    <w:rsid w:val="00D94F03"/>
    <w:rsid w:val="00D95161"/>
    <w:rsid w:val="00D95C23"/>
    <w:rsid w:val="00DA0701"/>
    <w:rsid w:val="00DA0A82"/>
    <w:rsid w:val="00DA0D14"/>
    <w:rsid w:val="00DA1FC9"/>
    <w:rsid w:val="00DA2CB5"/>
    <w:rsid w:val="00DA32AE"/>
    <w:rsid w:val="00DA358F"/>
    <w:rsid w:val="00DA383E"/>
    <w:rsid w:val="00DA4BAC"/>
    <w:rsid w:val="00DA5F23"/>
    <w:rsid w:val="00DA6121"/>
    <w:rsid w:val="00DA65E8"/>
    <w:rsid w:val="00DA722E"/>
    <w:rsid w:val="00DA792A"/>
    <w:rsid w:val="00DB0151"/>
    <w:rsid w:val="00DB0160"/>
    <w:rsid w:val="00DB0439"/>
    <w:rsid w:val="00DB04D7"/>
    <w:rsid w:val="00DB094C"/>
    <w:rsid w:val="00DB1D09"/>
    <w:rsid w:val="00DB4F34"/>
    <w:rsid w:val="00DB50E1"/>
    <w:rsid w:val="00DB5FD6"/>
    <w:rsid w:val="00DB624C"/>
    <w:rsid w:val="00DC0566"/>
    <w:rsid w:val="00DC05E1"/>
    <w:rsid w:val="00DC1392"/>
    <w:rsid w:val="00DC1499"/>
    <w:rsid w:val="00DC16CF"/>
    <w:rsid w:val="00DC2C3E"/>
    <w:rsid w:val="00DC3137"/>
    <w:rsid w:val="00DC3A71"/>
    <w:rsid w:val="00DC4880"/>
    <w:rsid w:val="00DC4D82"/>
    <w:rsid w:val="00DC5537"/>
    <w:rsid w:val="00DC581F"/>
    <w:rsid w:val="00DC5DE1"/>
    <w:rsid w:val="00DC5E7C"/>
    <w:rsid w:val="00DC5E90"/>
    <w:rsid w:val="00DC5FA6"/>
    <w:rsid w:val="00DC6EC3"/>
    <w:rsid w:val="00DC7199"/>
    <w:rsid w:val="00DC72F2"/>
    <w:rsid w:val="00DC732A"/>
    <w:rsid w:val="00DC7A38"/>
    <w:rsid w:val="00DD01CC"/>
    <w:rsid w:val="00DD04D7"/>
    <w:rsid w:val="00DD0BE9"/>
    <w:rsid w:val="00DD1ED2"/>
    <w:rsid w:val="00DD26F9"/>
    <w:rsid w:val="00DD350E"/>
    <w:rsid w:val="00DD39D6"/>
    <w:rsid w:val="00DD42AB"/>
    <w:rsid w:val="00DD4B4C"/>
    <w:rsid w:val="00DD5614"/>
    <w:rsid w:val="00DD5E9D"/>
    <w:rsid w:val="00DD73CD"/>
    <w:rsid w:val="00DD74AD"/>
    <w:rsid w:val="00DD7D7E"/>
    <w:rsid w:val="00DE06AF"/>
    <w:rsid w:val="00DE2788"/>
    <w:rsid w:val="00DE2DC4"/>
    <w:rsid w:val="00DE4697"/>
    <w:rsid w:val="00DE4E27"/>
    <w:rsid w:val="00DE53C6"/>
    <w:rsid w:val="00DE6D27"/>
    <w:rsid w:val="00DE76EA"/>
    <w:rsid w:val="00DE7881"/>
    <w:rsid w:val="00DE78CA"/>
    <w:rsid w:val="00DF01F8"/>
    <w:rsid w:val="00DF021D"/>
    <w:rsid w:val="00DF14EE"/>
    <w:rsid w:val="00DF1B8A"/>
    <w:rsid w:val="00DF217D"/>
    <w:rsid w:val="00DF2433"/>
    <w:rsid w:val="00DF26A7"/>
    <w:rsid w:val="00DF3277"/>
    <w:rsid w:val="00DF580E"/>
    <w:rsid w:val="00DF6A31"/>
    <w:rsid w:val="00DF7407"/>
    <w:rsid w:val="00DF77A1"/>
    <w:rsid w:val="00DF7919"/>
    <w:rsid w:val="00E002D7"/>
    <w:rsid w:val="00E0207E"/>
    <w:rsid w:val="00E02A64"/>
    <w:rsid w:val="00E02AE6"/>
    <w:rsid w:val="00E02E7C"/>
    <w:rsid w:val="00E03912"/>
    <w:rsid w:val="00E04748"/>
    <w:rsid w:val="00E04CB8"/>
    <w:rsid w:val="00E060AF"/>
    <w:rsid w:val="00E071C1"/>
    <w:rsid w:val="00E078D9"/>
    <w:rsid w:val="00E07C3B"/>
    <w:rsid w:val="00E10293"/>
    <w:rsid w:val="00E103A0"/>
    <w:rsid w:val="00E1043F"/>
    <w:rsid w:val="00E1157E"/>
    <w:rsid w:val="00E11F44"/>
    <w:rsid w:val="00E12D47"/>
    <w:rsid w:val="00E13E60"/>
    <w:rsid w:val="00E15627"/>
    <w:rsid w:val="00E15665"/>
    <w:rsid w:val="00E163F5"/>
    <w:rsid w:val="00E164B3"/>
    <w:rsid w:val="00E16910"/>
    <w:rsid w:val="00E16FA2"/>
    <w:rsid w:val="00E20530"/>
    <w:rsid w:val="00E20791"/>
    <w:rsid w:val="00E21164"/>
    <w:rsid w:val="00E21EB6"/>
    <w:rsid w:val="00E22D58"/>
    <w:rsid w:val="00E235F8"/>
    <w:rsid w:val="00E2382E"/>
    <w:rsid w:val="00E239E2"/>
    <w:rsid w:val="00E24E09"/>
    <w:rsid w:val="00E24ECC"/>
    <w:rsid w:val="00E25039"/>
    <w:rsid w:val="00E27234"/>
    <w:rsid w:val="00E277E9"/>
    <w:rsid w:val="00E30A20"/>
    <w:rsid w:val="00E30FE1"/>
    <w:rsid w:val="00E33765"/>
    <w:rsid w:val="00E346FD"/>
    <w:rsid w:val="00E34709"/>
    <w:rsid w:val="00E3495C"/>
    <w:rsid w:val="00E34E4D"/>
    <w:rsid w:val="00E35A53"/>
    <w:rsid w:val="00E36D10"/>
    <w:rsid w:val="00E37048"/>
    <w:rsid w:val="00E410C8"/>
    <w:rsid w:val="00E42BDB"/>
    <w:rsid w:val="00E4318F"/>
    <w:rsid w:val="00E43730"/>
    <w:rsid w:val="00E4382C"/>
    <w:rsid w:val="00E45549"/>
    <w:rsid w:val="00E47425"/>
    <w:rsid w:val="00E47626"/>
    <w:rsid w:val="00E47D0C"/>
    <w:rsid w:val="00E50083"/>
    <w:rsid w:val="00E50F18"/>
    <w:rsid w:val="00E51A9C"/>
    <w:rsid w:val="00E52015"/>
    <w:rsid w:val="00E524A9"/>
    <w:rsid w:val="00E53F1A"/>
    <w:rsid w:val="00E54683"/>
    <w:rsid w:val="00E552E7"/>
    <w:rsid w:val="00E5726D"/>
    <w:rsid w:val="00E57274"/>
    <w:rsid w:val="00E57EEB"/>
    <w:rsid w:val="00E6107A"/>
    <w:rsid w:val="00E613C2"/>
    <w:rsid w:val="00E62D94"/>
    <w:rsid w:val="00E62DF5"/>
    <w:rsid w:val="00E62ECC"/>
    <w:rsid w:val="00E64520"/>
    <w:rsid w:val="00E6498E"/>
    <w:rsid w:val="00E64F37"/>
    <w:rsid w:val="00E65091"/>
    <w:rsid w:val="00E65393"/>
    <w:rsid w:val="00E65E54"/>
    <w:rsid w:val="00E661C7"/>
    <w:rsid w:val="00E66679"/>
    <w:rsid w:val="00E71262"/>
    <w:rsid w:val="00E72D2F"/>
    <w:rsid w:val="00E732C4"/>
    <w:rsid w:val="00E7388D"/>
    <w:rsid w:val="00E74E41"/>
    <w:rsid w:val="00E75151"/>
    <w:rsid w:val="00E75F24"/>
    <w:rsid w:val="00E7697C"/>
    <w:rsid w:val="00E76E41"/>
    <w:rsid w:val="00E80155"/>
    <w:rsid w:val="00E80752"/>
    <w:rsid w:val="00E8134B"/>
    <w:rsid w:val="00E814C2"/>
    <w:rsid w:val="00E81E0D"/>
    <w:rsid w:val="00E81F28"/>
    <w:rsid w:val="00E82089"/>
    <w:rsid w:val="00E848C0"/>
    <w:rsid w:val="00E84BB8"/>
    <w:rsid w:val="00E84C93"/>
    <w:rsid w:val="00E865D7"/>
    <w:rsid w:val="00E86F92"/>
    <w:rsid w:val="00E87FC4"/>
    <w:rsid w:val="00E90137"/>
    <w:rsid w:val="00E91281"/>
    <w:rsid w:val="00E91B96"/>
    <w:rsid w:val="00E91C9A"/>
    <w:rsid w:val="00E92C21"/>
    <w:rsid w:val="00E92F2E"/>
    <w:rsid w:val="00E92FC4"/>
    <w:rsid w:val="00E935DA"/>
    <w:rsid w:val="00E93C95"/>
    <w:rsid w:val="00E93D1E"/>
    <w:rsid w:val="00E941A1"/>
    <w:rsid w:val="00E94F8C"/>
    <w:rsid w:val="00E95CE3"/>
    <w:rsid w:val="00E95F9A"/>
    <w:rsid w:val="00E96E99"/>
    <w:rsid w:val="00E97E0B"/>
    <w:rsid w:val="00EA0856"/>
    <w:rsid w:val="00EA0C09"/>
    <w:rsid w:val="00EA1DC4"/>
    <w:rsid w:val="00EA2090"/>
    <w:rsid w:val="00EA252F"/>
    <w:rsid w:val="00EA26C5"/>
    <w:rsid w:val="00EA2825"/>
    <w:rsid w:val="00EA5027"/>
    <w:rsid w:val="00EA64C2"/>
    <w:rsid w:val="00EA6518"/>
    <w:rsid w:val="00EA71A2"/>
    <w:rsid w:val="00EA7253"/>
    <w:rsid w:val="00EA7466"/>
    <w:rsid w:val="00EA799A"/>
    <w:rsid w:val="00EA7EDE"/>
    <w:rsid w:val="00EB0B63"/>
    <w:rsid w:val="00EB0EB5"/>
    <w:rsid w:val="00EB1936"/>
    <w:rsid w:val="00EB297A"/>
    <w:rsid w:val="00EB3545"/>
    <w:rsid w:val="00EB37BE"/>
    <w:rsid w:val="00EB3F2B"/>
    <w:rsid w:val="00EB4BAE"/>
    <w:rsid w:val="00EB5088"/>
    <w:rsid w:val="00EB6985"/>
    <w:rsid w:val="00EB7210"/>
    <w:rsid w:val="00EB7BB4"/>
    <w:rsid w:val="00EC2726"/>
    <w:rsid w:val="00EC3D79"/>
    <w:rsid w:val="00EC3E8C"/>
    <w:rsid w:val="00EC575E"/>
    <w:rsid w:val="00EC681C"/>
    <w:rsid w:val="00EC71CE"/>
    <w:rsid w:val="00EC7B87"/>
    <w:rsid w:val="00ED0D4D"/>
    <w:rsid w:val="00ED1644"/>
    <w:rsid w:val="00ED2593"/>
    <w:rsid w:val="00ED28ED"/>
    <w:rsid w:val="00ED3709"/>
    <w:rsid w:val="00ED432F"/>
    <w:rsid w:val="00ED496B"/>
    <w:rsid w:val="00ED5675"/>
    <w:rsid w:val="00ED6C72"/>
    <w:rsid w:val="00ED6E34"/>
    <w:rsid w:val="00ED7D55"/>
    <w:rsid w:val="00ED7D9C"/>
    <w:rsid w:val="00EE00A7"/>
    <w:rsid w:val="00EE0A1C"/>
    <w:rsid w:val="00EE14C9"/>
    <w:rsid w:val="00EE1EE4"/>
    <w:rsid w:val="00EE2F77"/>
    <w:rsid w:val="00EE3158"/>
    <w:rsid w:val="00EE31A2"/>
    <w:rsid w:val="00EE3291"/>
    <w:rsid w:val="00EE4329"/>
    <w:rsid w:val="00EE6203"/>
    <w:rsid w:val="00EF0069"/>
    <w:rsid w:val="00EF02BD"/>
    <w:rsid w:val="00EF1A8E"/>
    <w:rsid w:val="00EF229C"/>
    <w:rsid w:val="00EF2BA2"/>
    <w:rsid w:val="00EF3119"/>
    <w:rsid w:val="00EF3C52"/>
    <w:rsid w:val="00EF3DA2"/>
    <w:rsid w:val="00EF3FB8"/>
    <w:rsid w:val="00EF44A0"/>
    <w:rsid w:val="00EF4580"/>
    <w:rsid w:val="00EF4FED"/>
    <w:rsid w:val="00EF5F45"/>
    <w:rsid w:val="00EF6441"/>
    <w:rsid w:val="00EF6843"/>
    <w:rsid w:val="00EF6941"/>
    <w:rsid w:val="00EF6FB3"/>
    <w:rsid w:val="00F0068B"/>
    <w:rsid w:val="00F007C6"/>
    <w:rsid w:val="00F0172E"/>
    <w:rsid w:val="00F02046"/>
    <w:rsid w:val="00F02D13"/>
    <w:rsid w:val="00F04754"/>
    <w:rsid w:val="00F050BD"/>
    <w:rsid w:val="00F05657"/>
    <w:rsid w:val="00F0590E"/>
    <w:rsid w:val="00F05AB0"/>
    <w:rsid w:val="00F05CD2"/>
    <w:rsid w:val="00F06301"/>
    <w:rsid w:val="00F0723C"/>
    <w:rsid w:val="00F110BB"/>
    <w:rsid w:val="00F12C74"/>
    <w:rsid w:val="00F13214"/>
    <w:rsid w:val="00F1559A"/>
    <w:rsid w:val="00F17ED6"/>
    <w:rsid w:val="00F20676"/>
    <w:rsid w:val="00F209E2"/>
    <w:rsid w:val="00F21644"/>
    <w:rsid w:val="00F22020"/>
    <w:rsid w:val="00F2398F"/>
    <w:rsid w:val="00F24EA5"/>
    <w:rsid w:val="00F25578"/>
    <w:rsid w:val="00F25707"/>
    <w:rsid w:val="00F258E5"/>
    <w:rsid w:val="00F25AE6"/>
    <w:rsid w:val="00F25B9C"/>
    <w:rsid w:val="00F265B1"/>
    <w:rsid w:val="00F2675A"/>
    <w:rsid w:val="00F26CC6"/>
    <w:rsid w:val="00F26D80"/>
    <w:rsid w:val="00F300BC"/>
    <w:rsid w:val="00F302A3"/>
    <w:rsid w:val="00F305FA"/>
    <w:rsid w:val="00F307F4"/>
    <w:rsid w:val="00F30920"/>
    <w:rsid w:val="00F30E9D"/>
    <w:rsid w:val="00F3263C"/>
    <w:rsid w:val="00F32A09"/>
    <w:rsid w:val="00F3334E"/>
    <w:rsid w:val="00F34C05"/>
    <w:rsid w:val="00F34CA0"/>
    <w:rsid w:val="00F3573A"/>
    <w:rsid w:val="00F35924"/>
    <w:rsid w:val="00F36CCB"/>
    <w:rsid w:val="00F374E5"/>
    <w:rsid w:val="00F37B93"/>
    <w:rsid w:val="00F37BAD"/>
    <w:rsid w:val="00F37ECA"/>
    <w:rsid w:val="00F37FF9"/>
    <w:rsid w:val="00F401DB"/>
    <w:rsid w:val="00F40A1C"/>
    <w:rsid w:val="00F42452"/>
    <w:rsid w:val="00F43300"/>
    <w:rsid w:val="00F435CF"/>
    <w:rsid w:val="00F43AD6"/>
    <w:rsid w:val="00F43AF2"/>
    <w:rsid w:val="00F43C7D"/>
    <w:rsid w:val="00F44037"/>
    <w:rsid w:val="00F45216"/>
    <w:rsid w:val="00F47565"/>
    <w:rsid w:val="00F4765E"/>
    <w:rsid w:val="00F5007E"/>
    <w:rsid w:val="00F508F6"/>
    <w:rsid w:val="00F50EC4"/>
    <w:rsid w:val="00F50F75"/>
    <w:rsid w:val="00F51BE9"/>
    <w:rsid w:val="00F52232"/>
    <w:rsid w:val="00F527B1"/>
    <w:rsid w:val="00F52DC2"/>
    <w:rsid w:val="00F53636"/>
    <w:rsid w:val="00F54AF9"/>
    <w:rsid w:val="00F550CF"/>
    <w:rsid w:val="00F553D2"/>
    <w:rsid w:val="00F5580C"/>
    <w:rsid w:val="00F55859"/>
    <w:rsid w:val="00F569C0"/>
    <w:rsid w:val="00F56A2D"/>
    <w:rsid w:val="00F57A6D"/>
    <w:rsid w:val="00F6044B"/>
    <w:rsid w:val="00F60DFE"/>
    <w:rsid w:val="00F62F19"/>
    <w:rsid w:val="00F638CC"/>
    <w:rsid w:val="00F63FBC"/>
    <w:rsid w:val="00F644D7"/>
    <w:rsid w:val="00F6463E"/>
    <w:rsid w:val="00F64C9E"/>
    <w:rsid w:val="00F64CC1"/>
    <w:rsid w:val="00F64FC8"/>
    <w:rsid w:val="00F67742"/>
    <w:rsid w:val="00F708B1"/>
    <w:rsid w:val="00F72317"/>
    <w:rsid w:val="00F731D7"/>
    <w:rsid w:val="00F73373"/>
    <w:rsid w:val="00F73DC1"/>
    <w:rsid w:val="00F741DE"/>
    <w:rsid w:val="00F75BB8"/>
    <w:rsid w:val="00F76705"/>
    <w:rsid w:val="00F76F58"/>
    <w:rsid w:val="00F77037"/>
    <w:rsid w:val="00F77714"/>
    <w:rsid w:val="00F7E5AC"/>
    <w:rsid w:val="00F80475"/>
    <w:rsid w:val="00F80621"/>
    <w:rsid w:val="00F80E6E"/>
    <w:rsid w:val="00F81390"/>
    <w:rsid w:val="00F81AC7"/>
    <w:rsid w:val="00F81F7A"/>
    <w:rsid w:val="00F8247A"/>
    <w:rsid w:val="00F82E5C"/>
    <w:rsid w:val="00F83E86"/>
    <w:rsid w:val="00F83F58"/>
    <w:rsid w:val="00F845BB"/>
    <w:rsid w:val="00F85206"/>
    <w:rsid w:val="00F85ECC"/>
    <w:rsid w:val="00F86BB3"/>
    <w:rsid w:val="00F87C7A"/>
    <w:rsid w:val="00F87CEA"/>
    <w:rsid w:val="00F87FD8"/>
    <w:rsid w:val="00F9265D"/>
    <w:rsid w:val="00F939EF"/>
    <w:rsid w:val="00F944E2"/>
    <w:rsid w:val="00F95B46"/>
    <w:rsid w:val="00F95E92"/>
    <w:rsid w:val="00F9629A"/>
    <w:rsid w:val="00F9749D"/>
    <w:rsid w:val="00F97B65"/>
    <w:rsid w:val="00F97EFC"/>
    <w:rsid w:val="00FA0621"/>
    <w:rsid w:val="00FA0B04"/>
    <w:rsid w:val="00FA0C7C"/>
    <w:rsid w:val="00FA1BDD"/>
    <w:rsid w:val="00FA1F50"/>
    <w:rsid w:val="00FA2C08"/>
    <w:rsid w:val="00FA305C"/>
    <w:rsid w:val="00FA32D1"/>
    <w:rsid w:val="00FA3335"/>
    <w:rsid w:val="00FA3872"/>
    <w:rsid w:val="00FA3B0E"/>
    <w:rsid w:val="00FA462E"/>
    <w:rsid w:val="00FA4DD5"/>
    <w:rsid w:val="00FA4E70"/>
    <w:rsid w:val="00FA5883"/>
    <w:rsid w:val="00FA5919"/>
    <w:rsid w:val="00FA6055"/>
    <w:rsid w:val="00FA6446"/>
    <w:rsid w:val="00FA6ED7"/>
    <w:rsid w:val="00FA761D"/>
    <w:rsid w:val="00FA7A40"/>
    <w:rsid w:val="00FA7AD2"/>
    <w:rsid w:val="00FB0787"/>
    <w:rsid w:val="00FB099A"/>
    <w:rsid w:val="00FB0B39"/>
    <w:rsid w:val="00FB17AE"/>
    <w:rsid w:val="00FB1BDD"/>
    <w:rsid w:val="00FB2FD0"/>
    <w:rsid w:val="00FB322F"/>
    <w:rsid w:val="00FB442F"/>
    <w:rsid w:val="00FB7755"/>
    <w:rsid w:val="00FC0B5D"/>
    <w:rsid w:val="00FC118C"/>
    <w:rsid w:val="00FC1929"/>
    <w:rsid w:val="00FC2AB3"/>
    <w:rsid w:val="00FC2F92"/>
    <w:rsid w:val="00FC401A"/>
    <w:rsid w:val="00FC56D5"/>
    <w:rsid w:val="00FC5B46"/>
    <w:rsid w:val="00FC5E2C"/>
    <w:rsid w:val="00FC7CA2"/>
    <w:rsid w:val="00FD05C6"/>
    <w:rsid w:val="00FD1D4F"/>
    <w:rsid w:val="00FD24BF"/>
    <w:rsid w:val="00FD3B6E"/>
    <w:rsid w:val="00FD4140"/>
    <w:rsid w:val="00FD46BD"/>
    <w:rsid w:val="00FD57EB"/>
    <w:rsid w:val="00FD5EA5"/>
    <w:rsid w:val="00FD6438"/>
    <w:rsid w:val="00FD6D8E"/>
    <w:rsid w:val="00FD7CB5"/>
    <w:rsid w:val="00FE0663"/>
    <w:rsid w:val="00FE0E94"/>
    <w:rsid w:val="00FE17B1"/>
    <w:rsid w:val="00FE369C"/>
    <w:rsid w:val="00FE3CD9"/>
    <w:rsid w:val="00FE4356"/>
    <w:rsid w:val="00FE51E3"/>
    <w:rsid w:val="00FE6C45"/>
    <w:rsid w:val="00FE750C"/>
    <w:rsid w:val="00FF00BD"/>
    <w:rsid w:val="00FF067C"/>
    <w:rsid w:val="00FF0B13"/>
    <w:rsid w:val="00FF0BD6"/>
    <w:rsid w:val="00FF1672"/>
    <w:rsid w:val="00FF1ED4"/>
    <w:rsid w:val="00FF26EF"/>
    <w:rsid w:val="00FF2801"/>
    <w:rsid w:val="00FF32EB"/>
    <w:rsid w:val="00FF4326"/>
    <w:rsid w:val="00FF6046"/>
    <w:rsid w:val="00FF799B"/>
    <w:rsid w:val="012A7082"/>
    <w:rsid w:val="0143FC8B"/>
    <w:rsid w:val="01472274"/>
    <w:rsid w:val="01BAC867"/>
    <w:rsid w:val="01F980DA"/>
    <w:rsid w:val="0203096E"/>
    <w:rsid w:val="0254441C"/>
    <w:rsid w:val="027651D5"/>
    <w:rsid w:val="02D69A5F"/>
    <w:rsid w:val="02E816C3"/>
    <w:rsid w:val="031E1DC9"/>
    <w:rsid w:val="032394EB"/>
    <w:rsid w:val="033B2F40"/>
    <w:rsid w:val="03EC1DC5"/>
    <w:rsid w:val="0437B5A4"/>
    <w:rsid w:val="04519E29"/>
    <w:rsid w:val="049F3952"/>
    <w:rsid w:val="04A12F4E"/>
    <w:rsid w:val="04CCA6C7"/>
    <w:rsid w:val="04DBE9EA"/>
    <w:rsid w:val="05182518"/>
    <w:rsid w:val="051D99F9"/>
    <w:rsid w:val="054F9133"/>
    <w:rsid w:val="05595AEE"/>
    <w:rsid w:val="05B612E3"/>
    <w:rsid w:val="0605216C"/>
    <w:rsid w:val="063EE9F7"/>
    <w:rsid w:val="0654EEAE"/>
    <w:rsid w:val="069F379E"/>
    <w:rsid w:val="076CEE75"/>
    <w:rsid w:val="07C0423F"/>
    <w:rsid w:val="08185FB9"/>
    <w:rsid w:val="082A09EB"/>
    <w:rsid w:val="0842A4AD"/>
    <w:rsid w:val="089BC592"/>
    <w:rsid w:val="09113D73"/>
    <w:rsid w:val="091E5831"/>
    <w:rsid w:val="0952FD6C"/>
    <w:rsid w:val="0A0C7AE1"/>
    <w:rsid w:val="0A1B8711"/>
    <w:rsid w:val="0A663D94"/>
    <w:rsid w:val="0ABE0D64"/>
    <w:rsid w:val="0B01838C"/>
    <w:rsid w:val="0B1BF5E7"/>
    <w:rsid w:val="0BC71542"/>
    <w:rsid w:val="0BEBD75F"/>
    <w:rsid w:val="0C57BD91"/>
    <w:rsid w:val="0CF130DF"/>
    <w:rsid w:val="0CFE1DFD"/>
    <w:rsid w:val="0D4FC7CF"/>
    <w:rsid w:val="0D8AB046"/>
    <w:rsid w:val="0DC4E36E"/>
    <w:rsid w:val="0DD90E7F"/>
    <w:rsid w:val="0E02C968"/>
    <w:rsid w:val="0E5E506F"/>
    <w:rsid w:val="0E5EAEB0"/>
    <w:rsid w:val="0E69BF70"/>
    <w:rsid w:val="0F54C5CB"/>
    <w:rsid w:val="0F5CF529"/>
    <w:rsid w:val="0F8142D3"/>
    <w:rsid w:val="0FC31246"/>
    <w:rsid w:val="0FD94F3E"/>
    <w:rsid w:val="100E1CA7"/>
    <w:rsid w:val="1023E0F9"/>
    <w:rsid w:val="10ADFF8E"/>
    <w:rsid w:val="117A5358"/>
    <w:rsid w:val="1272477B"/>
    <w:rsid w:val="12B95C68"/>
    <w:rsid w:val="13561144"/>
    <w:rsid w:val="143DE2FD"/>
    <w:rsid w:val="14DAB417"/>
    <w:rsid w:val="14E3099B"/>
    <w:rsid w:val="14F07869"/>
    <w:rsid w:val="15107A79"/>
    <w:rsid w:val="1559BAC6"/>
    <w:rsid w:val="1574A144"/>
    <w:rsid w:val="15821ACA"/>
    <w:rsid w:val="162998A6"/>
    <w:rsid w:val="169B6DF0"/>
    <w:rsid w:val="17391F3D"/>
    <w:rsid w:val="17E4D295"/>
    <w:rsid w:val="17FD5F39"/>
    <w:rsid w:val="18657CF4"/>
    <w:rsid w:val="18EC6E8B"/>
    <w:rsid w:val="193B396D"/>
    <w:rsid w:val="19890FA6"/>
    <w:rsid w:val="19936C84"/>
    <w:rsid w:val="19B44400"/>
    <w:rsid w:val="19E12D92"/>
    <w:rsid w:val="19F2311B"/>
    <w:rsid w:val="19F7AA11"/>
    <w:rsid w:val="1A094F03"/>
    <w:rsid w:val="1A0D3C6A"/>
    <w:rsid w:val="1A2D1BE7"/>
    <w:rsid w:val="1A41D4BC"/>
    <w:rsid w:val="1A8A0C43"/>
    <w:rsid w:val="1B0BFFE7"/>
    <w:rsid w:val="1B16A004"/>
    <w:rsid w:val="1B3F1BC0"/>
    <w:rsid w:val="1B4DABE9"/>
    <w:rsid w:val="1B7046B0"/>
    <w:rsid w:val="1D4E7C25"/>
    <w:rsid w:val="1D6033D6"/>
    <w:rsid w:val="1DDBDA0D"/>
    <w:rsid w:val="1E382E8C"/>
    <w:rsid w:val="1E50DB8F"/>
    <w:rsid w:val="1E938E64"/>
    <w:rsid w:val="1EAFF635"/>
    <w:rsid w:val="1EC0BB44"/>
    <w:rsid w:val="1F3EECBD"/>
    <w:rsid w:val="1F4DB17C"/>
    <w:rsid w:val="1F6866A4"/>
    <w:rsid w:val="1FB6E350"/>
    <w:rsid w:val="1FF3162D"/>
    <w:rsid w:val="2009EB8A"/>
    <w:rsid w:val="20A3A2DF"/>
    <w:rsid w:val="210F5AF1"/>
    <w:rsid w:val="212CBC64"/>
    <w:rsid w:val="220FAA4B"/>
    <w:rsid w:val="221A09CF"/>
    <w:rsid w:val="229C083C"/>
    <w:rsid w:val="231C3354"/>
    <w:rsid w:val="23638582"/>
    <w:rsid w:val="238CC620"/>
    <w:rsid w:val="24078687"/>
    <w:rsid w:val="242155D8"/>
    <w:rsid w:val="244B8CF8"/>
    <w:rsid w:val="245EA845"/>
    <w:rsid w:val="24638F80"/>
    <w:rsid w:val="24C0A041"/>
    <w:rsid w:val="24C69561"/>
    <w:rsid w:val="24CA5046"/>
    <w:rsid w:val="24F49182"/>
    <w:rsid w:val="255C46D4"/>
    <w:rsid w:val="258FC8A2"/>
    <w:rsid w:val="26615FE7"/>
    <w:rsid w:val="2678B15D"/>
    <w:rsid w:val="26A424EE"/>
    <w:rsid w:val="26F6F44A"/>
    <w:rsid w:val="270A72D5"/>
    <w:rsid w:val="27349C45"/>
    <w:rsid w:val="27394882"/>
    <w:rsid w:val="27EF6E72"/>
    <w:rsid w:val="2872F9DB"/>
    <w:rsid w:val="28B27485"/>
    <w:rsid w:val="29365BD7"/>
    <w:rsid w:val="29882150"/>
    <w:rsid w:val="29E0E709"/>
    <w:rsid w:val="2A4004ED"/>
    <w:rsid w:val="2A9E61F5"/>
    <w:rsid w:val="2AA490C3"/>
    <w:rsid w:val="2AB480AD"/>
    <w:rsid w:val="2AC262A9"/>
    <w:rsid w:val="2B8D5B09"/>
    <w:rsid w:val="2C4C1D68"/>
    <w:rsid w:val="2C7C3DFB"/>
    <w:rsid w:val="2CF39D8E"/>
    <w:rsid w:val="2D470254"/>
    <w:rsid w:val="2DECC312"/>
    <w:rsid w:val="2E4579D6"/>
    <w:rsid w:val="2EDE927A"/>
    <w:rsid w:val="2EF0545B"/>
    <w:rsid w:val="2FC97F8A"/>
    <w:rsid w:val="2FF52265"/>
    <w:rsid w:val="300EDF22"/>
    <w:rsid w:val="3079EB0D"/>
    <w:rsid w:val="307D714D"/>
    <w:rsid w:val="3093AC95"/>
    <w:rsid w:val="30E8B387"/>
    <w:rsid w:val="313567C7"/>
    <w:rsid w:val="3186051F"/>
    <w:rsid w:val="31C1265F"/>
    <w:rsid w:val="321F658F"/>
    <w:rsid w:val="325FA2AA"/>
    <w:rsid w:val="32FFC29C"/>
    <w:rsid w:val="3320F36F"/>
    <w:rsid w:val="340D0A3D"/>
    <w:rsid w:val="343A4F58"/>
    <w:rsid w:val="34E7EA92"/>
    <w:rsid w:val="35075C87"/>
    <w:rsid w:val="356C9CCD"/>
    <w:rsid w:val="35C213A9"/>
    <w:rsid w:val="363425FC"/>
    <w:rsid w:val="373C6128"/>
    <w:rsid w:val="378309CC"/>
    <w:rsid w:val="37C1F8E8"/>
    <w:rsid w:val="37F1A014"/>
    <w:rsid w:val="3805C0E7"/>
    <w:rsid w:val="38168071"/>
    <w:rsid w:val="387359F9"/>
    <w:rsid w:val="393376D2"/>
    <w:rsid w:val="395463D1"/>
    <w:rsid w:val="398863F1"/>
    <w:rsid w:val="3A20C143"/>
    <w:rsid w:val="3A4C135D"/>
    <w:rsid w:val="3BA095AD"/>
    <w:rsid w:val="3BE58320"/>
    <w:rsid w:val="3C1EF052"/>
    <w:rsid w:val="3C1FF5EA"/>
    <w:rsid w:val="3C492A70"/>
    <w:rsid w:val="3C5B558C"/>
    <w:rsid w:val="3CA23FB3"/>
    <w:rsid w:val="3CA9FA60"/>
    <w:rsid w:val="3DF8C082"/>
    <w:rsid w:val="3E279070"/>
    <w:rsid w:val="3EDC23CB"/>
    <w:rsid w:val="3F374712"/>
    <w:rsid w:val="40771079"/>
    <w:rsid w:val="40930EF5"/>
    <w:rsid w:val="4110CDB4"/>
    <w:rsid w:val="41476727"/>
    <w:rsid w:val="41F1CAA5"/>
    <w:rsid w:val="42691D0F"/>
    <w:rsid w:val="426DEF05"/>
    <w:rsid w:val="42D989C4"/>
    <w:rsid w:val="42DF0C89"/>
    <w:rsid w:val="4372D6C2"/>
    <w:rsid w:val="443448FB"/>
    <w:rsid w:val="44505BFC"/>
    <w:rsid w:val="450F5A46"/>
    <w:rsid w:val="4526B02B"/>
    <w:rsid w:val="456C4AA2"/>
    <w:rsid w:val="4641A0D0"/>
    <w:rsid w:val="46D2C6E1"/>
    <w:rsid w:val="46FA7D49"/>
    <w:rsid w:val="4735100E"/>
    <w:rsid w:val="4741AC04"/>
    <w:rsid w:val="475433D6"/>
    <w:rsid w:val="47AFEA1B"/>
    <w:rsid w:val="47C79A49"/>
    <w:rsid w:val="47DCEAF8"/>
    <w:rsid w:val="47F36B2F"/>
    <w:rsid w:val="482B539F"/>
    <w:rsid w:val="483DA525"/>
    <w:rsid w:val="4873567A"/>
    <w:rsid w:val="48E16583"/>
    <w:rsid w:val="48F582C0"/>
    <w:rsid w:val="49078175"/>
    <w:rsid w:val="491D719A"/>
    <w:rsid w:val="495D9BBE"/>
    <w:rsid w:val="496A03F9"/>
    <w:rsid w:val="49B7B512"/>
    <w:rsid w:val="49C0D175"/>
    <w:rsid w:val="4A74A1FA"/>
    <w:rsid w:val="4AA4E602"/>
    <w:rsid w:val="4AE86C22"/>
    <w:rsid w:val="4B1F7177"/>
    <w:rsid w:val="4B32C665"/>
    <w:rsid w:val="4BE27586"/>
    <w:rsid w:val="4C8B405E"/>
    <w:rsid w:val="4CA1DC5D"/>
    <w:rsid w:val="4CA8BA21"/>
    <w:rsid w:val="4D21EA56"/>
    <w:rsid w:val="4DA14906"/>
    <w:rsid w:val="4DD74500"/>
    <w:rsid w:val="4E6282E5"/>
    <w:rsid w:val="4EE3854C"/>
    <w:rsid w:val="4EF2CA84"/>
    <w:rsid w:val="4F28A562"/>
    <w:rsid w:val="4F3D872D"/>
    <w:rsid w:val="5057B658"/>
    <w:rsid w:val="50BCAB2F"/>
    <w:rsid w:val="50F1C25A"/>
    <w:rsid w:val="5114F491"/>
    <w:rsid w:val="517C50E5"/>
    <w:rsid w:val="51A107A9"/>
    <w:rsid w:val="521C1C44"/>
    <w:rsid w:val="5236E0FE"/>
    <w:rsid w:val="527036B1"/>
    <w:rsid w:val="53044900"/>
    <w:rsid w:val="53229BC9"/>
    <w:rsid w:val="533309B9"/>
    <w:rsid w:val="53B39A2E"/>
    <w:rsid w:val="5437C768"/>
    <w:rsid w:val="54C17BA2"/>
    <w:rsid w:val="553311EF"/>
    <w:rsid w:val="5534B8DD"/>
    <w:rsid w:val="55ACD1A0"/>
    <w:rsid w:val="56AFA43F"/>
    <w:rsid w:val="56B5A21C"/>
    <w:rsid w:val="572EC795"/>
    <w:rsid w:val="574E78F6"/>
    <w:rsid w:val="5802BA21"/>
    <w:rsid w:val="588EF316"/>
    <w:rsid w:val="58963761"/>
    <w:rsid w:val="58BD3563"/>
    <w:rsid w:val="59185BFB"/>
    <w:rsid w:val="59392E2A"/>
    <w:rsid w:val="593F501C"/>
    <w:rsid w:val="5950CB87"/>
    <w:rsid w:val="5A05D725"/>
    <w:rsid w:val="5ADD90BE"/>
    <w:rsid w:val="5B1E38D7"/>
    <w:rsid w:val="5B9D8C93"/>
    <w:rsid w:val="5C002F2F"/>
    <w:rsid w:val="5C434156"/>
    <w:rsid w:val="5CB076C8"/>
    <w:rsid w:val="5D5832E9"/>
    <w:rsid w:val="5D80A09E"/>
    <w:rsid w:val="5DC1C88E"/>
    <w:rsid w:val="5DCC4ADA"/>
    <w:rsid w:val="5DF2A876"/>
    <w:rsid w:val="5E030E1A"/>
    <w:rsid w:val="5E46D3FC"/>
    <w:rsid w:val="5EACEEBD"/>
    <w:rsid w:val="5EBDDC85"/>
    <w:rsid w:val="5EC2713B"/>
    <w:rsid w:val="5F8C18FC"/>
    <w:rsid w:val="600E03FD"/>
    <w:rsid w:val="60E0C5EB"/>
    <w:rsid w:val="61C1E203"/>
    <w:rsid w:val="61E776C5"/>
    <w:rsid w:val="6238D218"/>
    <w:rsid w:val="628CB478"/>
    <w:rsid w:val="62AD93BA"/>
    <w:rsid w:val="6310D1AC"/>
    <w:rsid w:val="63555756"/>
    <w:rsid w:val="63A974C9"/>
    <w:rsid w:val="644E444D"/>
    <w:rsid w:val="64BFCFFB"/>
    <w:rsid w:val="65573E26"/>
    <w:rsid w:val="65AD35BA"/>
    <w:rsid w:val="65C2D45A"/>
    <w:rsid w:val="65EEB804"/>
    <w:rsid w:val="662CB38E"/>
    <w:rsid w:val="662E7C25"/>
    <w:rsid w:val="66545C33"/>
    <w:rsid w:val="6657D135"/>
    <w:rsid w:val="668EE860"/>
    <w:rsid w:val="66D9E62A"/>
    <w:rsid w:val="66E8E023"/>
    <w:rsid w:val="6728F4B3"/>
    <w:rsid w:val="673BE400"/>
    <w:rsid w:val="678E8113"/>
    <w:rsid w:val="679A2E96"/>
    <w:rsid w:val="67B6BAF7"/>
    <w:rsid w:val="67C47236"/>
    <w:rsid w:val="6832872A"/>
    <w:rsid w:val="68E0347C"/>
    <w:rsid w:val="6942F15A"/>
    <w:rsid w:val="6956685D"/>
    <w:rsid w:val="699B3EBB"/>
    <w:rsid w:val="69A75F21"/>
    <w:rsid w:val="69A7D5B7"/>
    <w:rsid w:val="69B6FAA6"/>
    <w:rsid w:val="69E38494"/>
    <w:rsid w:val="6A2AAF49"/>
    <w:rsid w:val="6BAD574D"/>
    <w:rsid w:val="6CA77350"/>
    <w:rsid w:val="6CFB73CD"/>
    <w:rsid w:val="6D56386C"/>
    <w:rsid w:val="6FDF28CE"/>
    <w:rsid w:val="70971A32"/>
    <w:rsid w:val="709A626A"/>
    <w:rsid w:val="71409E27"/>
    <w:rsid w:val="716D6D8F"/>
    <w:rsid w:val="717F194B"/>
    <w:rsid w:val="71BEF7B0"/>
    <w:rsid w:val="71D7ACF8"/>
    <w:rsid w:val="7280446D"/>
    <w:rsid w:val="72E12F28"/>
    <w:rsid w:val="731BA24E"/>
    <w:rsid w:val="737675FE"/>
    <w:rsid w:val="73C929CD"/>
    <w:rsid w:val="73E7CF48"/>
    <w:rsid w:val="74324C3E"/>
    <w:rsid w:val="7447A405"/>
    <w:rsid w:val="74504FAA"/>
    <w:rsid w:val="7538A4A8"/>
    <w:rsid w:val="75B5D97D"/>
    <w:rsid w:val="75B9CE48"/>
    <w:rsid w:val="764DA178"/>
    <w:rsid w:val="7774B13E"/>
    <w:rsid w:val="77B642A1"/>
    <w:rsid w:val="78063D85"/>
    <w:rsid w:val="78168F3E"/>
    <w:rsid w:val="78E271BD"/>
    <w:rsid w:val="78E93C4E"/>
    <w:rsid w:val="78F85AB9"/>
    <w:rsid w:val="79607974"/>
    <w:rsid w:val="79BD532C"/>
    <w:rsid w:val="79E941EA"/>
    <w:rsid w:val="7A3DE86F"/>
    <w:rsid w:val="7AC577A0"/>
    <w:rsid w:val="7AD6838E"/>
    <w:rsid w:val="7B180F93"/>
    <w:rsid w:val="7B1B6DA9"/>
    <w:rsid w:val="7B349606"/>
    <w:rsid w:val="7C146AC9"/>
    <w:rsid w:val="7C41F2AF"/>
    <w:rsid w:val="7C63B7C1"/>
    <w:rsid w:val="7C73E7A8"/>
    <w:rsid w:val="7C7878ED"/>
    <w:rsid w:val="7C960344"/>
    <w:rsid w:val="7CAA02F1"/>
    <w:rsid w:val="7CB36886"/>
    <w:rsid w:val="7CDEBC17"/>
    <w:rsid w:val="7CE85850"/>
    <w:rsid w:val="7D61AEBC"/>
    <w:rsid w:val="7D98DA3E"/>
    <w:rsid w:val="7DAC400C"/>
    <w:rsid w:val="7E303FD3"/>
    <w:rsid w:val="7E3EF267"/>
    <w:rsid w:val="7E519472"/>
    <w:rsid w:val="7E77EEEF"/>
    <w:rsid w:val="7E784689"/>
    <w:rsid w:val="7E9A54A9"/>
    <w:rsid w:val="7EB836C6"/>
    <w:rsid w:val="7EC82DEF"/>
    <w:rsid w:val="7F47C472"/>
    <w:rsid w:val="7F62B786"/>
    <w:rsid w:val="7F9CF9A3"/>
    <w:rsid w:val="7FA82C29"/>
    <w:rsid w:val="7FC15486"/>
    <w:rsid w:val="7FEA75B8"/>
    <w:rsid w:val="7FF775F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376"/>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Tabellengitternetz 9pt,Source table_,NICE instructions,PBAC table,new style,MSD Table Grid,HTAtableplain,Lash Style Table,HealthConsult,Head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Figure_name,Numbered Indented Text,Bullet- First level,List NUmber,Listenabsatz1,lp1,Style 2,Styl moj"/>
    <w:link w:val="ListParagraphChar"/>
    <w:uiPriority w:val="34"/>
    <w:qFormat/>
    <w:rsid w:val="00D86C52"/>
    <w:pPr>
      <w:numPr>
        <w:numId w:val="9"/>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Figure_name Char,Numbered Indented Text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Bayer Caption,IB Caption,Medical Caption,CSR Caption,CAPTION,Caption2,Caption Char1 Char,Caption Char Char Char,Caption Char1 Char Char Char,Caption Char Char Char Char Char,Caption Char Char1 Char,Caption Char1 Char1,- H17,Table Caption,! Q,c,."/>
    <w:basedOn w:val="Normal"/>
    <w:next w:val="Normal"/>
    <w:link w:val="CaptionChar"/>
    <w:uiPriority w:val="35"/>
    <w:unhideWhenUsed/>
    <w:qFormat/>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2"/>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7"/>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normaltextrun">
    <w:name w:val="normaltextrun"/>
    <w:basedOn w:val="DefaultParagraphFont"/>
    <w:rsid w:val="00144B73"/>
  </w:style>
  <w:style w:type="character" w:customStyle="1" w:styleId="FontItalics">
    <w:name w:val="Font Italics"/>
    <w:basedOn w:val="DefaultParagraphFont"/>
    <w:uiPriority w:val="1"/>
    <w:qFormat/>
    <w:rsid w:val="002B388D"/>
    <w:rPr>
      <w:rFonts w:ascii="Sabon" w:hAnsi="Sabon"/>
      <w:i/>
      <w:sz w:val="22"/>
    </w:rPr>
  </w:style>
  <w:style w:type="paragraph" w:customStyle="1" w:styleId="BeiGenebody">
    <w:name w:val="BeiGene body"/>
    <w:basedOn w:val="Normal"/>
    <w:link w:val="BeiGenebodyChar"/>
    <w:qFormat/>
    <w:rsid w:val="00A466BD"/>
    <w:pPr>
      <w:spacing w:after="200" w:line="276" w:lineRule="auto"/>
      <w:jc w:val="left"/>
    </w:pPr>
    <w:rPr>
      <w:rFonts w:eastAsiaTheme="majorEastAsia" w:cstheme="majorBidi"/>
      <w:sz w:val="22"/>
      <w:szCs w:val="22"/>
      <w:lang w:eastAsia="en-US" w:bidi="en-US"/>
    </w:rPr>
  </w:style>
  <w:style w:type="character" w:customStyle="1" w:styleId="BeiGenebodyChar">
    <w:name w:val="BeiGene body Char"/>
    <w:basedOn w:val="DefaultParagraphFont"/>
    <w:link w:val="BeiGenebody"/>
    <w:rsid w:val="00A466BD"/>
    <w:rPr>
      <w:rFonts w:ascii="Calibri" w:eastAsiaTheme="majorEastAsia" w:hAnsi="Calibri" w:cstheme="majorBidi"/>
      <w:sz w:val="22"/>
      <w:szCs w:val="22"/>
      <w:lang w:eastAsia="en-US" w:bidi="en-US"/>
    </w:rPr>
  </w:style>
  <w:style w:type="paragraph" w:customStyle="1" w:styleId="Tablebold">
    <w:name w:val="Table bold"/>
    <w:basedOn w:val="Tabletext"/>
    <w:uiPriority w:val="99"/>
    <w:qFormat/>
    <w:rsid w:val="00355020"/>
    <w:pPr>
      <w:keepNext/>
      <w:spacing w:before="60" w:after="60"/>
      <w:jc w:val="left"/>
    </w:pPr>
    <w:rPr>
      <w:rFonts w:ascii="Verdana" w:eastAsia="Calibri" w:hAnsi="Verdana"/>
      <w:b/>
      <w:sz w:val="18"/>
      <w:szCs w:val="22"/>
    </w:rPr>
  </w:style>
  <w:style w:type="character" w:customStyle="1" w:styleId="CaptionChar">
    <w:name w:val="Caption Char"/>
    <w:aliases w:val="Bayer Caption Char,IB Caption Char,Medical Caption Char,CSR Caption Char,CAPTION Char,Caption2 Char,Caption Char1 Char Char,Caption Char Char Char Char,Caption Char1 Char Char Char Char,Caption Char Char Char Char Char Char,- H17 Char"/>
    <w:basedOn w:val="DefaultParagraphFont"/>
    <w:link w:val="Caption"/>
    <w:uiPriority w:val="35"/>
    <w:rsid w:val="00355020"/>
    <w:rPr>
      <w:rFonts w:ascii="Arial Narrow" w:hAnsi="Arial Narrow"/>
      <w:b/>
      <w:iCs/>
      <w:color w:val="000000" w:themeColor="text1"/>
      <w:szCs w:val="18"/>
    </w:rPr>
  </w:style>
  <w:style w:type="character" w:customStyle="1" w:styleId="BeiGeneexplanatorynotefootnoteChar">
    <w:name w:val="BeiGene explanatory note/footnote Char"/>
    <w:basedOn w:val="DefaultParagraphFont"/>
    <w:link w:val="BeiGeneexplanatorynotefootnote"/>
    <w:rsid w:val="00355020"/>
    <w:rPr>
      <w:rFonts w:asciiTheme="minorHAnsi" w:hAnsiTheme="minorHAnsi"/>
      <w:kern w:val="28"/>
      <w:sz w:val="16"/>
      <w:szCs w:val="24"/>
      <w:lang w:eastAsia="en-GB"/>
    </w:rPr>
  </w:style>
  <w:style w:type="paragraph" w:customStyle="1" w:styleId="BeiGeneexplanatorynotefootnote">
    <w:name w:val="BeiGene explanatory note/footnote"/>
    <w:basedOn w:val="Normal"/>
    <w:link w:val="BeiGeneexplanatorynotefootnoteChar"/>
    <w:qFormat/>
    <w:rsid w:val="00355020"/>
    <w:pPr>
      <w:spacing w:before="60" w:after="360"/>
      <w:contextualSpacing/>
      <w:jc w:val="left"/>
    </w:pPr>
    <w:rPr>
      <w:rFonts w:asciiTheme="minorHAnsi" w:hAnsiTheme="minorHAnsi"/>
      <w:kern w:val="28"/>
      <w:sz w:val="16"/>
      <w:lang w:eastAsia="en-GB"/>
    </w:rPr>
  </w:style>
  <w:style w:type="table" w:customStyle="1" w:styleId="HeaderTable1">
    <w:name w:val="Header Table1"/>
    <w:basedOn w:val="TableNormal"/>
    <w:next w:val="TableGrid"/>
    <w:uiPriority w:val="39"/>
    <w:rsid w:val="004B51D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1numbered">
    <w:name w:val="COM H1 numbered"/>
    <w:next w:val="Normal"/>
    <w:qFormat/>
    <w:rsid w:val="00891F7D"/>
    <w:pPr>
      <w:keepNext/>
      <w:snapToGrid w:val="0"/>
      <w:spacing w:before="240" w:after="120"/>
      <w:ind w:left="720" w:hanging="720"/>
      <w:outlineLvl w:val="0"/>
    </w:pPr>
    <w:rPr>
      <w:rFonts w:asciiTheme="minorHAnsi" w:hAnsiTheme="minorHAnsi" w:cs="Arial"/>
      <w:b/>
      <w:sz w:val="32"/>
      <w:szCs w:val="32"/>
    </w:rPr>
  </w:style>
  <w:style w:type="paragraph" w:customStyle="1" w:styleId="COMexecsumnumberedpara">
    <w:name w:val="COM exec sum numbered para"/>
    <w:basedOn w:val="ListParagraph"/>
    <w:qFormat/>
    <w:rsid w:val="00891F7D"/>
    <w:pPr>
      <w:numPr>
        <w:numId w:val="0"/>
      </w:numPr>
      <w:tabs>
        <w:tab w:val="num" w:pos="360"/>
      </w:tabs>
      <w:snapToGrid w:val="0"/>
      <w:spacing w:before="0"/>
      <w:ind w:left="720" w:hanging="720"/>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053">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0426393">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44011823">
      <w:bodyDiv w:val="1"/>
      <w:marLeft w:val="0"/>
      <w:marRight w:val="0"/>
      <w:marTop w:val="0"/>
      <w:marBottom w:val="0"/>
      <w:divBdr>
        <w:top w:val="none" w:sz="0" w:space="0" w:color="auto"/>
        <w:left w:val="none" w:sz="0" w:space="0" w:color="auto"/>
        <w:bottom w:val="none" w:sz="0" w:space="0" w:color="auto"/>
        <w:right w:val="none" w:sz="0" w:space="0" w:color="auto"/>
      </w:divBdr>
    </w:div>
    <w:div w:id="243533521">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07437791">
      <w:bodyDiv w:val="1"/>
      <w:marLeft w:val="0"/>
      <w:marRight w:val="0"/>
      <w:marTop w:val="0"/>
      <w:marBottom w:val="0"/>
      <w:divBdr>
        <w:top w:val="none" w:sz="0" w:space="0" w:color="auto"/>
        <w:left w:val="none" w:sz="0" w:space="0" w:color="auto"/>
        <w:bottom w:val="none" w:sz="0" w:space="0" w:color="auto"/>
        <w:right w:val="none" w:sz="0" w:space="0" w:color="auto"/>
      </w:divBdr>
    </w:div>
    <w:div w:id="376707145">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7106828">
      <w:bodyDiv w:val="1"/>
      <w:marLeft w:val="0"/>
      <w:marRight w:val="0"/>
      <w:marTop w:val="0"/>
      <w:marBottom w:val="0"/>
      <w:divBdr>
        <w:top w:val="none" w:sz="0" w:space="0" w:color="auto"/>
        <w:left w:val="none" w:sz="0" w:space="0" w:color="auto"/>
        <w:bottom w:val="none" w:sz="0" w:space="0" w:color="auto"/>
        <w:right w:val="none" w:sz="0" w:space="0" w:color="auto"/>
      </w:divBdr>
    </w:div>
    <w:div w:id="872304716">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91448616">
      <w:bodyDiv w:val="1"/>
      <w:marLeft w:val="0"/>
      <w:marRight w:val="0"/>
      <w:marTop w:val="0"/>
      <w:marBottom w:val="0"/>
      <w:divBdr>
        <w:top w:val="none" w:sz="0" w:space="0" w:color="auto"/>
        <w:left w:val="none" w:sz="0" w:space="0" w:color="auto"/>
        <w:bottom w:val="none" w:sz="0" w:space="0" w:color="auto"/>
        <w:right w:val="none" w:sz="0" w:space="0" w:color="auto"/>
      </w:divBdr>
    </w:div>
    <w:div w:id="1102992106">
      <w:bodyDiv w:val="1"/>
      <w:marLeft w:val="0"/>
      <w:marRight w:val="0"/>
      <w:marTop w:val="0"/>
      <w:marBottom w:val="0"/>
      <w:divBdr>
        <w:top w:val="none" w:sz="0" w:space="0" w:color="auto"/>
        <w:left w:val="none" w:sz="0" w:space="0" w:color="auto"/>
        <w:bottom w:val="none" w:sz="0" w:space="0" w:color="auto"/>
        <w:right w:val="none" w:sz="0" w:space="0" w:color="auto"/>
      </w:divBdr>
    </w:div>
    <w:div w:id="1143504518">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34067965">
      <w:bodyDiv w:val="1"/>
      <w:marLeft w:val="0"/>
      <w:marRight w:val="0"/>
      <w:marTop w:val="0"/>
      <w:marBottom w:val="0"/>
      <w:divBdr>
        <w:top w:val="none" w:sz="0" w:space="0" w:color="auto"/>
        <w:left w:val="none" w:sz="0" w:space="0" w:color="auto"/>
        <w:bottom w:val="none" w:sz="0" w:space="0" w:color="auto"/>
        <w:right w:val="none" w:sz="0" w:space="0" w:color="auto"/>
      </w:divBdr>
    </w:div>
    <w:div w:id="1463424388">
      <w:bodyDiv w:val="1"/>
      <w:marLeft w:val="0"/>
      <w:marRight w:val="0"/>
      <w:marTop w:val="0"/>
      <w:marBottom w:val="0"/>
      <w:divBdr>
        <w:top w:val="none" w:sz="0" w:space="0" w:color="auto"/>
        <w:left w:val="none" w:sz="0" w:space="0" w:color="auto"/>
        <w:bottom w:val="none" w:sz="0" w:space="0" w:color="auto"/>
        <w:right w:val="none" w:sz="0" w:space="0" w:color="auto"/>
      </w:divBdr>
    </w:div>
    <w:div w:id="1530605205">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33946608">
      <w:bodyDiv w:val="1"/>
      <w:marLeft w:val="0"/>
      <w:marRight w:val="0"/>
      <w:marTop w:val="0"/>
      <w:marBottom w:val="0"/>
      <w:divBdr>
        <w:top w:val="none" w:sz="0" w:space="0" w:color="auto"/>
        <w:left w:val="none" w:sz="0" w:space="0" w:color="auto"/>
        <w:bottom w:val="none" w:sz="0" w:space="0" w:color="auto"/>
        <w:right w:val="none" w:sz="0" w:space="0" w:color="auto"/>
      </w:divBdr>
    </w:div>
    <w:div w:id="168836110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28410403">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85071407">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00170633">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0674C-4985-406C-8C9C-10CD5FD4048D}">
  <ds:schemaRefs>
    <ds:schemaRef ds:uri="http://www.w3.org/XML/1998/namespace"/>
    <ds:schemaRef ds:uri="7f856f8d-13b3-495a-9a4b-41f8182eda4c"/>
    <ds:schemaRef ds:uri="http://purl.org/dc/dcmitype/"/>
    <ds:schemaRef ds:uri="http://schemas.microsoft.com/office/2006/documentManagement/types"/>
    <ds:schemaRef ds:uri="http://purl.org/dc/elements/1.1/"/>
    <ds:schemaRef ds:uri="72f95629-adac-4ec1-8738-e1cec852b92b"/>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3.xml><?xml version="1.0" encoding="utf-8"?>
<ds:datastoreItem xmlns:ds="http://schemas.openxmlformats.org/officeDocument/2006/customXml" ds:itemID="{8646771B-98E2-41DC-851A-CDABFD171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A7EEA-C2D6-4323-AE23-CCB7FE3F3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2565</Words>
  <Characters>13959</Characters>
  <Application>Microsoft Office Word</Application>
  <DocSecurity>0</DocSecurity>
  <Lines>410</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2026-02-26T01:29:00Z</dcterms:created>
  <dcterms:modified xsi:type="dcterms:W3CDTF">2026-02-26T01:31:00Z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5eba01d2,1b6d27eb,2e5d77c7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48bac5e1,7778f35c,34c9de4f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2025-11-27T03:29:04Z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da1e1f26-74ab-47b8-84a9-f5816ba83a70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