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022B" w14:textId="4D0B83A4" w:rsidR="00D01842" w:rsidRDefault="00682957" w:rsidP="00682957">
      <w:pPr>
        <w:pStyle w:val="1-MainHeading"/>
      </w:pPr>
      <w:r>
        <w:t>6.08</w:t>
      </w:r>
      <w:r>
        <w:tab/>
        <w:t>VEDOLIZUMAB,</w:t>
      </w:r>
      <w:r>
        <w:br/>
        <w:t>Powder for injection 300 mg,</w:t>
      </w:r>
      <w:r>
        <w:br/>
        <w:t>Entyvio®,</w:t>
      </w:r>
      <w:r>
        <w:br/>
        <w:t>Takeda Pharmaceuticals Australia Pty Ltd</w:t>
      </w:r>
    </w:p>
    <w:p w14:paraId="5F4D54C1" w14:textId="261523A4" w:rsidR="00E11F44" w:rsidRPr="004D0075" w:rsidRDefault="007E490F" w:rsidP="00290EDF">
      <w:pPr>
        <w:pStyle w:val="2-SectionHeading"/>
        <w:rPr>
          <w:rFonts w:cstheme="minorHAnsi"/>
          <w:color w:val="FF0000"/>
        </w:rPr>
      </w:pPr>
      <w:r w:rsidRPr="00290EDF">
        <w:t>Purpose</w:t>
      </w:r>
      <w:r w:rsidRPr="004D0075">
        <w:t xml:space="preserve"> of </w:t>
      </w:r>
      <w:r w:rsidR="00FA0B04" w:rsidRPr="004D0075">
        <w:t>Submission</w:t>
      </w:r>
    </w:p>
    <w:p w14:paraId="3E4B7A73" w14:textId="65594F34" w:rsidR="00065B39" w:rsidRPr="004D0075" w:rsidRDefault="00682957" w:rsidP="000A40F0">
      <w:pPr>
        <w:pStyle w:val="3-BodyText"/>
        <w:rPr>
          <w:rFonts w:cstheme="minorHAnsi"/>
          <w:snapToGrid w:val="0"/>
          <w:szCs w:val="24"/>
        </w:rPr>
      </w:pPr>
      <w:r w:rsidRPr="004D0075">
        <w:t>Th</w:t>
      </w:r>
      <w:r>
        <w:t>e</w:t>
      </w:r>
      <w:r w:rsidRPr="004D0075">
        <w:t xml:space="preserve"> </w:t>
      </w:r>
      <w:r w:rsidR="00612640" w:rsidRPr="004D0075">
        <w:t xml:space="preserve">Category 3 submission </w:t>
      </w:r>
      <w:r w:rsidRPr="004D0075">
        <w:t>s</w:t>
      </w:r>
      <w:r>
        <w:t>ought</w:t>
      </w:r>
      <w:r w:rsidRPr="004D0075">
        <w:t xml:space="preserve"> </w:t>
      </w:r>
      <w:r w:rsidR="00612640" w:rsidRPr="004D0075">
        <w:t>to add a dose</w:t>
      </w:r>
      <w:r w:rsidR="00612640" w:rsidRPr="004D0075">
        <w:noBreakHyphen/>
        <w:t>escalation option to the current maintenance treatment listings of vedolizumab (Entyvio®) intravenous injection (IV) 300 mg for adults with moderate to severe ulcerative colitis (MSUC) and severe Crohn disease (CD)</w:t>
      </w:r>
      <w:r w:rsidR="0008788B">
        <w:t>, increasing the dose frequency from 8-weekly dosing (Q8W) to 4-weekly dosing (Q4W).</w:t>
      </w:r>
    </w:p>
    <w:p w14:paraId="4DE14684" w14:textId="07ACD434" w:rsidR="00F8345B" w:rsidRPr="004D0075" w:rsidRDefault="00F8345B" w:rsidP="000A40F0">
      <w:pPr>
        <w:pStyle w:val="3-BodyText"/>
        <w:rPr>
          <w:rFonts w:cstheme="minorHAnsi"/>
          <w:snapToGrid w:val="0"/>
          <w:szCs w:val="24"/>
        </w:rPr>
      </w:pPr>
      <w:r w:rsidRPr="004D0075">
        <w:rPr>
          <w:rFonts w:cstheme="minorHAnsi"/>
          <w:snapToGrid w:val="0"/>
          <w:szCs w:val="24"/>
        </w:rPr>
        <w:t>The submission propose</w:t>
      </w:r>
      <w:r w:rsidR="00EB1D6B" w:rsidRPr="004D0075">
        <w:rPr>
          <w:rFonts w:cstheme="minorHAnsi"/>
          <w:snapToGrid w:val="0"/>
          <w:szCs w:val="24"/>
        </w:rPr>
        <w:t>d</w:t>
      </w:r>
      <w:r w:rsidRPr="004D0075">
        <w:rPr>
          <w:rFonts w:cstheme="minorHAnsi"/>
          <w:snapToGrid w:val="0"/>
          <w:szCs w:val="24"/>
        </w:rPr>
        <w:t xml:space="preserve"> </w:t>
      </w:r>
      <w:r w:rsidR="00583F4F" w:rsidRPr="004D0075">
        <w:rPr>
          <w:rFonts w:cstheme="minorHAnsi"/>
          <w:snapToGrid w:val="0"/>
          <w:szCs w:val="24"/>
        </w:rPr>
        <w:t xml:space="preserve">an </w:t>
      </w:r>
      <w:r w:rsidRPr="004D0075">
        <w:rPr>
          <w:rFonts w:cstheme="minorHAnsi"/>
          <w:snapToGrid w:val="0"/>
          <w:szCs w:val="24"/>
        </w:rPr>
        <w:t>a</w:t>
      </w:r>
      <w:r w:rsidR="00187730" w:rsidRPr="004D0075">
        <w:rPr>
          <w:rFonts w:cstheme="minorHAnsi"/>
          <w:snapToGrid w:val="0"/>
          <w:szCs w:val="24"/>
        </w:rPr>
        <w:t>mendment to the current</w:t>
      </w:r>
      <w:r w:rsidRPr="004D0075">
        <w:rPr>
          <w:rFonts w:cstheme="minorHAnsi"/>
          <w:snapToGrid w:val="0"/>
          <w:szCs w:val="24"/>
        </w:rPr>
        <w:t xml:space="preserve"> Special Pricing Arrangement (SPA) to </w:t>
      </w:r>
      <w:r w:rsidR="00624F6E">
        <w:rPr>
          <w:rFonts w:cstheme="minorHAnsi"/>
          <w:snapToGrid w:val="0"/>
          <w:szCs w:val="24"/>
        </w:rPr>
        <w:t>offset</w:t>
      </w:r>
      <w:r w:rsidR="00624F6E" w:rsidRPr="004D0075">
        <w:rPr>
          <w:rFonts w:cstheme="minorHAnsi"/>
          <w:snapToGrid w:val="0"/>
          <w:szCs w:val="24"/>
        </w:rPr>
        <w:t xml:space="preserve"> </w:t>
      </w:r>
      <w:r w:rsidRPr="004D0075">
        <w:rPr>
          <w:rFonts w:cstheme="minorHAnsi"/>
          <w:snapToGrid w:val="0"/>
          <w:szCs w:val="24"/>
        </w:rPr>
        <w:t xml:space="preserve">the net budget impact </w:t>
      </w:r>
      <w:r w:rsidR="005E3152" w:rsidRPr="004D0075">
        <w:rPr>
          <w:rFonts w:cstheme="minorHAnsi"/>
          <w:snapToGrid w:val="0"/>
          <w:szCs w:val="24"/>
        </w:rPr>
        <w:t xml:space="preserve">of </w:t>
      </w:r>
      <w:r w:rsidR="009E2F66" w:rsidRPr="004D0075">
        <w:rPr>
          <w:rFonts w:cstheme="minorHAnsi"/>
          <w:snapToGrid w:val="0"/>
          <w:szCs w:val="24"/>
        </w:rPr>
        <w:t xml:space="preserve">doses </w:t>
      </w:r>
      <w:r w:rsidR="005E3152" w:rsidRPr="004D0075">
        <w:rPr>
          <w:rFonts w:cstheme="minorHAnsi"/>
          <w:snapToGrid w:val="0"/>
          <w:szCs w:val="24"/>
        </w:rPr>
        <w:t xml:space="preserve">additional </w:t>
      </w:r>
      <w:r w:rsidR="009E2F66" w:rsidRPr="004D0075">
        <w:rPr>
          <w:rFonts w:cstheme="minorHAnsi"/>
          <w:snapToGrid w:val="0"/>
          <w:szCs w:val="24"/>
        </w:rPr>
        <w:t>to Q8W</w:t>
      </w:r>
      <w:r w:rsidRPr="004D0075">
        <w:rPr>
          <w:rFonts w:cstheme="minorHAnsi"/>
          <w:snapToGrid w:val="0"/>
          <w:szCs w:val="24"/>
        </w:rPr>
        <w:t>.</w:t>
      </w:r>
    </w:p>
    <w:p w14:paraId="3D1D4320" w14:textId="5D6FEB35" w:rsidR="007E490F" w:rsidRPr="004D0075" w:rsidRDefault="007E490F" w:rsidP="001F2311">
      <w:pPr>
        <w:pStyle w:val="2-SectionHeading"/>
        <w:numPr>
          <w:ilvl w:val="0"/>
          <w:numId w:val="2"/>
        </w:numPr>
      </w:pPr>
      <w:r w:rsidRPr="004D0075">
        <w:t>Background</w:t>
      </w:r>
    </w:p>
    <w:p w14:paraId="5B46B375" w14:textId="45765EDB" w:rsidR="005D18D4" w:rsidRPr="004D0075" w:rsidRDefault="00C4326E" w:rsidP="005D18D4">
      <w:pPr>
        <w:pStyle w:val="3-BodyText"/>
      </w:pPr>
      <w:r>
        <w:t xml:space="preserve">At the time of consideration, </w:t>
      </w:r>
      <w:r w:rsidR="00315F1E">
        <w:t>v</w:t>
      </w:r>
      <w:r w:rsidR="005D18D4" w:rsidRPr="004D0075">
        <w:t xml:space="preserve">edolizumab 300 mg IV injection </w:t>
      </w:r>
      <w:r w:rsidR="00315F1E">
        <w:t>wa</w:t>
      </w:r>
      <w:r w:rsidR="005D18D4" w:rsidRPr="004D0075">
        <w:t xml:space="preserve">s the only IV form of vedolizumab on the PBS and </w:t>
      </w:r>
      <w:r w:rsidR="00315F1E">
        <w:t>wa</w:t>
      </w:r>
      <w:r w:rsidR="005D18D4" w:rsidRPr="004D0075">
        <w:t xml:space="preserve">s listed as </w:t>
      </w:r>
      <w:r w:rsidR="005D18D4" w:rsidRPr="004D0075" w:rsidDel="000F5856">
        <w:t xml:space="preserve">an </w:t>
      </w:r>
      <w:r w:rsidR="005D18D4" w:rsidRPr="004D0075">
        <w:t>Authority Required (Telephone) S100 HSD listing</w:t>
      </w:r>
      <w:r w:rsidR="000F5856" w:rsidRPr="004D0075">
        <w:t>s</w:t>
      </w:r>
      <w:r w:rsidR="005D18D4" w:rsidRPr="004D0075">
        <w:t xml:space="preserve"> for MSUC, severe CD and chronic pouchitis.</w:t>
      </w:r>
    </w:p>
    <w:p w14:paraId="364858D4" w14:textId="147A1F48" w:rsidR="00962B24" w:rsidRPr="004D0075" w:rsidRDefault="00D36D18" w:rsidP="00962B24">
      <w:pPr>
        <w:pStyle w:val="3-BodyText"/>
      </w:pPr>
      <w:r w:rsidRPr="004D0075">
        <w:t>The PBS listings of vedolizumab include</w:t>
      </w:r>
      <w:r w:rsidR="00315F1E">
        <w:t>d</w:t>
      </w:r>
      <w:r w:rsidRPr="004D0075">
        <w:t xml:space="preserve"> IV induction/maintenance and </w:t>
      </w:r>
      <w:r w:rsidR="004F2D6E" w:rsidRPr="004D0075">
        <w:t>subcutaneous (SC)</w:t>
      </w:r>
      <w:r w:rsidRPr="004D0075">
        <w:t xml:space="preserve"> maintenance. </w:t>
      </w:r>
      <w:r w:rsidR="005B4D30">
        <w:t xml:space="preserve">The treatment algorithm was such that patients stable on Q8W IV maintenance could transition to 2-weekly (Q2W) </w:t>
      </w:r>
      <w:r w:rsidR="00A74CF1">
        <w:t>SC maintenance.</w:t>
      </w:r>
      <w:r w:rsidR="005B4D30">
        <w:t xml:space="preserve"> </w:t>
      </w:r>
      <w:r w:rsidRPr="004D0075">
        <w:t xml:space="preserve">The submission </w:t>
      </w:r>
      <w:r w:rsidR="00315F1E">
        <w:t>sought</w:t>
      </w:r>
      <w:r w:rsidR="00315F1E" w:rsidRPr="004D0075">
        <w:t xml:space="preserve"> </w:t>
      </w:r>
      <w:r w:rsidRPr="004D0075">
        <w:t>Q4W maintenance as an escalation option</w:t>
      </w:r>
      <w:r w:rsidR="00A74CF1">
        <w:t xml:space="preserve"> to Q8W IV </w:t>
      </w:r>
      <w:r w:rsidR="00853968">
        <w:t>maintenance</w:t>
      </w:r>
      <w:r w:rsidRPr="004D0075">
        <w:t>.</w:t>
      </w:r>
    </w:p>
    <w:p w14:paraId="33C2C319" w14:textId="66DF215F" w:rsidR="007E490F" w:rsidRPr="00F91A6A" w:rsidRDefault="007E490F" w:rsidP="00691A2C">
      <w:pPr>
        <w:pStyle w:val="4-SubsectionHeading"/>
        <w:rPr>
          <w:iCs/>
        </w:rPr>
      </w:pPr>
      <w:r w:rsidRPr="00F91A6A">
        <w:rPr>
          <w:iCs/>
        </w:rPr>
        <w:t>Registration status</w:t>
      </w:r>
    </w:p>
    <w:p w14:paraId="58F938BB" w14:textId="5FE6CD7C" w:rsidR="008C7E64" w:rsidRPr="004D0075" w:rsidRDefault="009B25E7" w:rsidP="00622ADC">
      <w:pPr>
        <w:pStyle w:val="3-BodyText"/>
        <w:spacing w:before="0" w:after="0"/>
      </w:pPr>
      <w:r w:rsidRPr="004D0075">
        <w:t>Vedolizumab</w:t>
      </w:r>
      <w:r w:rsidR="007E490F" w:rsidRPr="004D0075">
        <w:t xml:space="preserve"> was</w:t>
      </w:r>
      <w:r w:rsidR="00853968">
        <w:t xml:space="preserve"> Therapeutic Goods Administration</w:t>
      </w:r>
      <w:r w:rsidR="007E490F" w:rsidRPr="004D0075">
        <w:t xml:space="preserve"> </w:t>
      </w:r>
      <w:r w:rsidR="00853968">
        <w:t>(</w:t>
      </w:r>
      <w:r w:rsidR="007E490F" w:rsidRPr="00474FCE">
        <w:t>TGA</w:t>
      </w:r>
      <w:r w:rsidR="00853968">
        <w:t>)</w:t>
      </w:r>
      <w:r w:rsidR="007E490F" w:rsidRPr="00474FCE">
        <w:t xml:space="preserve"> registered on </w:t>
      </w:r>
      <w:r w:rsidR="00940ED5" w:rsidRPr="00474FCE">
        <w:t>27</w:t>
      </w:r>
      <w:r w:rsidRPr="00474FCE">
        <w:t xml:space="preserve"> June 2014</w:t>
      </w:r>
      <w:r w:rsidR="007E490F" w:rsidRPr="004D0075">
        <w:t xml:space="preserve"> for</w:t>
      </w:r>
      <w:r w:rsidR="009D7DC1" w:rsidRPr="004D0075">
        <w:t xml:space="preserve"> the</w:t>
      </w:r>
      <w:r w:rsidR="008C7E64" w:rsidRPr="004D0075">
        <w:t>:</w:t>
      </w:r>
    </w:p>
    <w:p w14:paraId="2DF1C12C" w14:textId="4FD309D2" w:rsidR="00622ADC" w:rsidRPr="004D0075" w:rsidRDefault="00230AD1" w:rsidP="000541D4">
      <w:pPr>
        <w:pStyle w:val="ListParagraph"/>
        <w:spacing w:before="0" w:after="0"/>
      </w:pPr>
      <w:r w:rsidRPr="004D0075">
        <w:t xml:space="preserve">Treatment of adult patients with </w:t>
      </w:r>
      <w:r w:rsidR="005976D4" w:rsidRPr="004D0075">
        <w:t>MSUC</w:t>
      </w:r>
      <w:r w:rsidRPr="004D0075">
        <w:t xml:space="preserve"> who have had an inadequate</w:t>
      </w:r>
      <w:r w:rsidR="00703340" w:rsidRPr="004D0075">
        <w:t xml:space="preserve"> or lost</w:t>
      </w:r>
      <w:r w:rsidRPr="004D0075">
        <w:t xml:space="preserve"> response to, or are intolerant to</w:t>
      </w:r>
      <w:r w:rsidR="00EF108B" w:rsidRPr="004D0075">
        <w:t>,</w:t>
      </w:r>
      <w:r w:rsidRPr="004D0075">
        <w:t xml:space="preserve"> either conventional therapy or a tumour necrosis factor-alpha (TNF-alpha) antagonist.</w:t>
      </w:r>
    </w:p>
    <w:p w14:paraId="3E80AE8E" w14:textId="2415EF44" w:rsidR="00622ADC" w:rsidRPr="004D0075" w:rsidRDefault="00230AD1" w:rsidP="000541D4">
      <w:pPr>
        <w:pStyle w:val="ListParagraph"/>
        <w:spacing w:before="0" w:after="0"/>
      </w:pPr>
      <w:r w:rsidRPr="004D0075">
        <w:t xml:space="preserve">Treatment of adult patients with moderate to severe </w:t>
      </w:r>
      <w:r w:rsidR="005976D4" w:rsidRPr="004D0075">
        <w:t>CD</w:t>
      </w:r>
      <w:r w:rsidRPr="004D0075">
        <w:t xml:space="preserve"> who have had an inadequate </w:t>
      </w:r>
      <w:r w:rsidR="00EF108B" w:rsidRPr="004D0075">
        <w:t xml:space="preserve">or </w:t>
      </w:r>
      <w:r w:rsidRPr="004D0075">
        <w:t xml:space="preserve">response </w:t>
      </w:r>
      <w:r w:rsidR="00EF108B" w:rsidRPr="004D0075">
        <w:t>to</w:t>
      </w:r>
      <w:r w:rsidRPr="004D0075">
        <w:t>, or are intolerant to</w:t>
      </w:r>
      <w:r w:rsidR="00EF108B" w:rsidRPr="004D0075">
        <w:t>,</w:t>
      </w:r>
      <w:r w:rsidRPr="004D0075">
        <w:t xml:space="preserve"> either conventional therapy or a tumour necrosis factor-alpha (TNF-alpha) antagonist.</w:t>
      </w:r>
    </w:p>
    <w:p w14:paraId="36B6D0EF" w14:textId="326654AC" w:rsidR="00BF3318" w:rsidRPr="004D0075" w:rsidRDefault="009D7DC1" w:rsidP="00891718">
      <w:pPr>
        <w:pStyle w:val="ListParagraph"/>
        <w:spacing w:before="0"/>
      </w:pPr>
      <w:r w:rsidRPr="004D0075">
        <w:t>T</w:t>
      </w:r>
      <w:r w:rsidR="00230AD1" w:rsidRPr="004D0075">
        <w:t xml:space="preserve">reatment of adult patients with moderate to severe chronic pouchitis, who have undergone proctocolectomy and ileal pouch anal anastomosis for ulcerative </w:t>
      </w:r>
      <w:r w:rsidR="00EF108B" w:rsidRPr="004D0075">
        <w:t>colitis and</w:t>
      </w:r>
      <w:r w:rsidR="00230AD1" w:rsidRPr="004D0075">
        <w:t xml:space="preserve"> have had an inadequate response with or lost response to antibiotic therapy.</w:t>
      </w:r>
    </w:p>
    <w:p w14:paraId="5AC1BA6B" w14:textId="7CF3CD5F" w:rsidR="00277D1D" w:rsidRPr="00474FCE" w:rsidRDefault="001B291B" w:rsidP="00277D1D">
      <w:pPr>
        <w:pStyle w:val="3-BodyText"/>
      </w:pPr>
      <w:r w:rsidRPr="00474FCE">
        <w:rPr>
          <w:rFonts w:eastAsiaTheme="minorEastAsia" w:cstheme="minorHAnsi"/>
        </w:rPr>
        <w:lastRenderedPageBreak/>
        <w:t>The TGA registration state</w:t>
      </w:r>
      <w:r w:rsidR="00BF5C3F">
        <w:rPr>
          <w:rFonts w:eastAsiaTheme="minorEastAsia" w:cstheme="minorHAnsi"/>
        </w:rPr>
        <w:t>d</w:t>
      </w:r>
      <w:r w:rsidRPr="00474FCE">
        <w:rPr>
          <w:rFonts w:eastAsiaTheme="minorEastAsia" w:cstheme="minorHAnsi"/>
        </w:rPr>
        <w:t xml:space="preserve"> that patients who experience a loss of clinical response on Q8W treatment may benefit from Q4W treatment, with the response to be reassessed after 12 to 14 weeks and treatment to be discontinued if no clinical benefit is seen.</w:t>
      </w:r>
    </w:p>
    <w:p w14:paraId="0094486E" w14:textId="6CE588D3" w:rsidR="007E490F" w:rsidRPr="00F91A6A" w:rsidRDefault="007E490F" w:rsidP="00691A2C">
      <w:pPr>
        <w:pStyle w:val="4-SubsectionHeading"/>
        <w:rPr>
          <w:iCs/>
        </w:rPr>
      </w:pPr>
      <w:r w:rsidRPr="00F91A6A">
        <w:rPr>
          <w:iCs/>
        </w:rPr>
        <w:t>Previous PBAC consideration</w:t>
      </w:r>
    </w:p>
    <w:p w14:paraId="20F30116" w14:textId="72DDF668" w:rsidR="00397D46" w:rsidRPr="004D0075" w:rsidRDefault="00397D46" w:rsidP="00397D46">
      <w:pPr>
        <w:pStyle w:val="3-BodyText"/>
      </w:pPr>
      <w:r w:rsidRPr="004D0075">
        <w:t>At its March 2015 meeting, the PBAC recommended listing vedolizumab IV for the treatment of MSUC and severe CD on the basis that maintenance treatment would be Q8W</w:t>
      </w:r>
      <w:r w:rsidR="008A0105" w:rsidRPr="004D0075">
        <w:t xml:space="preserve"> and that patients who did not respond to treatment during induction or maintenance would no longer be eligible for subsidy</w:t>
      </w:r>
      <w:r w:rsidR="0079511A" w:rsidRPr="004D0075">
        <w:t xml:space="preserve"> (Q8W ineligible patients)</w:t>
      </w:r>
      <w:r w:rsidRPr="004D0075">
        <w:t>. Vedolizumab IV was subsequently listed on 1 August 2015.</w:t>
      </w:r>
    </w:p>
    <w:p w14:paraId="1A11AC92" w14:textId="318937F5" w:rsidR="00E25A14" w:rsidRPr="004D0075" w:rsidRDefault="00E25A14" w:rsidP="00B02DCD">
      <w:pPr>
        <w:pStyle w:val="3-BodyText"/>
      </w:pPr>
      <w:r w:rsidRPr="004D0075">
        <w:t xml:space="preserve">At its March 2024 meeting, the PBAC recommended </w:t>
      </w:r>
      <w:r w:rsidR="00B165A0" w:rsidRPr="004D0075">
        <w:t>listing</w:t>
      </w:r>
      <w:r w:rsidR="00ED0B16" w:rsidRPr="004D0075">
        <w:t xml:space="preserve"> </w:t>
      </w:r>
      <w:r w:rsidR="003B167D" w:rsidRPr="004D0075">
        <w:t>a</w:t>
      </w:r>
      <w:r w:rsidR="00705A19">
        <w:t>n additional induction dose</w:t>
      </w:r>
      <w:r w:rsidR="007E5BAB">
        <w:t xml:space="preserve"> at</w:t>
      </w:r>
      <w:r w:rsidR="003B167D" w:rsidRPr="004D0075">
        <w:t xml:space="preserve"> </w:t>
      </w:r>
      <w:r w:rsidR="002A1E2C" w:rsidRPr="004D0075">
        <w:t>w</w:t>
      </w:r>
      <w:r w:rsidRPr="004D0075">
        <w:t>eek</w:t>
      </w:r>
      <w:r w:rsidR="002A1E2C" w:rsidRPr="004D0075">
        <w:rPr>
          <w:rFonts w:ascii="Cambria Math" w:hAnsi="Cambria Math" w:cs="Cambria Math"/>
        </w:rPr>
        <w:t xml:space="preserve"> </w:t>
      </w:r>
      <w:r w:rsidRPr="004D0075">
        <w:t xml:space="preserve">10 </w:t>
      </w:r>
      <w:r w:rsidR="007E5BAB">
        <w:t xml:space="preserve">of the induction phase </w:t>
      </w:r>
      <w:r w:rsidR="00ED0B16" w:rsidRPr="004D0075">
        <w:t xml:space="preserve">for the treatment of </w:t>
      </w:r>
      <w:r w:rsidRPr="004D0075">
        <w:t xml:space="preserve">CD on </w:t>
      </w:r>
      <w:r w:rsidR="00ED0B16" w:rsidRPr="004D0075">
        <w:t xml:space="preserve">the basis that </w:t>
      </w:r>
      <w:r w:rsidR="00E17259">
        <w:t xml:space="preserve">some patients required it to achieve an adequate response to induction and that </w:t>
      </w:r>
      <w:r w:rsidR="00ED0B16" w:rsidRPr="004D0075">
        <w:t xml:space="preserve">it </w:t>
      </w:r>
      <w:r w:rsidR="008301D4" w:rsidRPr="004D0075">
        <w:t>wa</w:t>
      </w:r>
      <w:r w:rsidR="00ED0B16" w:rsidRPr="004D0075">
        <w:t>s</w:t>
      </w:r>
      <w:r w:rsidR="00363A79" w:rsidRPr="004D0075">
        <w:t xml:space="preserve"> ma</w:t>
      </w:r>
      <w:r w:rsidR="00B165A0" w:rsidRPr="004D0075">
        <w:t>de to be</w:t>
      </w:r>
      <w:r w:rsidR="00ED0B16" w:rsidRPr="004D0075">
        <w:t xml:space="preserve"> </w:t>
      </w:r>
      <w:r w:rsidRPr="004D0075">
        <w:t>cost</w:t>
      </w:r>
      <w:r w:rsidRPr="004D0075">
        <w:rPr>
          <w:rFonts w:ascii="Cambria Math" w:hAnsi="Cambria Math" w:cs="Cambria Math"/>
        </w:rPr>
        <w:t>‑</w:t>
      </w:r>
      <w:r w:rsidRPr="004D0075">
        <w:t>neutral.</w:t>
      </w:r>
      <w:r w:rsidR="00A569C6" w:rsidRPr="004D0075">
        <w:t xml:space="preserve"> The Department implemented</w:t>
      </w:r>
      <w:r w:rsidR="007E7DE9">
        <w:t xml:space="preserve"> the cost neutrality</w:t>
      </w:r>
      <w:r w:rsidR="00A569C6" w:rsidRPr="004D0075">
        <w:t xml:space="preserve"> via</w:t>
      </w:r>
      <w:r w:rsidR="00545870" w:rsidRPr="004D0075">
        <w:t xml:space="preserve"> a</w:t>
      </w:r>
      <w:r w:rsidR="007E7DE9">
        <w:t>n amendment to the SPA</w:t>
      </w:r>
      <w:r w:rsidR="00545870" w:rsidRPr="004D0075">
        <w:t xml:space="preserve"> rebate </w:t>
      </w:r>
      <w:r w:rsidR="007E7DE9">
        <w:t xml:space="preserve">to accommodate the uptake of the </w:t>
      </w:r>
      <w:r w:rsidR="00202B77" w:rsidRPr="004D0075">
        <w:t>w</w:t>
      </w:r>
      <w:r w:rsidR="00545870" w:rsidRPr="004D0075">
        <w:t>eek</w:t>
      </w:r>
      <w:r w:rsidR="00202B77" w:rsidRPr="004D0075">
        <w:t xml:space="preserve"> </w:t>
      </w:r>
      <w:r w:rsidR="00545870" w:rsidRPr="004D0075">
        <w:t>10 dose</w:t>
      </w:r>
      <w:r w:rsidR="007E7DE9">
        <w:t>s</w:t>
      </w:r>
      <w:r w:rsidR="00545870" w:rsidRPr="004D0075">
        <w:t>.</w:t>
      </w:r>
    </w:p>
    <w:p w14:paraId="56C938A2" w14:textId="2911A185" w:rsidR="007E490F" w:rsidRPr="004D0075" w:rsidRDefault="00BC0045" w:rsidP="00B02DCD">
      <w:pPr>
        <w:pStyle w:val="3-BodyText"/>
      </w:pPr>
      <w:r w:rsidRPr="004D0075">
        <w:t xml:space="preserve">The PBAC has not previously considered </w:t>
      </w:r>
      <w:r w:rsidR="00163B9C" w:rsidRPr="004D0075">
        <w:t>Q4W</w:t>
      </w:r>
      <w:r w:rsidR="00BF618F">
        <w:t xml:space="preserve"> maintenance</w:t>
      </w:r>
      <w:r w:rsidR="00163B9C" w:rsidRPr="004D0075">
        <w:t xml:space="preserve"> </w:t>
      </w:r>
      <w:r w:rsidR="007E490F" w:rsidRPr="004D0075">
        <w:t xml:space="preserve">for </w:t>
      </w:r>
      <w:r w:rsidRPr="004D0075">
        <w:t xml:space="preserve">the treatment of </w:t>
      </w:r>
      <w:r w:rsidR="008301D4" w:rsidRPr="004D0075">
        <w:t>MSUC or severe CD</w:t>
      </w:r>
      <w:r w:rsidR="007E490F" w:rsidRPr="004D0075">
        <w:t>.</w:t>
      </w:r>
    </w:p>
    <w:p w14:paraId="1B8790B6" w14:textId="08548E1B" w:rsidR="00964A9F" w:rsidRPr="004D0075" w:rsidRDefault="00964A9F" w:rsidP="00964A9F">
      <w:pPr>
        <w:pStyle w:val="2-SectionHeading"/>
      </w:pPr>
      <w:r w:rsidRPr="004D0075">
        <w:t>Requested listing</w:t>
      </w:r>
    </w:p>
    <w:p w14:paraId="6D83EF86" w14:textId="20027B9E" w:rsidR="00430AB5" w:rsidRPr="002A19AE" w:rsidRDefault="00FC5E95">
      <w:pPr>
        <w:pStyle w:val="3-BodyText"/>
      </w:pPr>
      <w:r w:rsidRPr="002A19AE">
        <w:t xml:space="preserve">The submission requested </w:t>
      </w:r>
      <w:r w:rsidR="54E774A6" w:rsidRPr="002A19AE">
        <w:t xml:space="preserve">new </w:t>
      </w:r>
      <w:r w:rsidR="00650036" w:rsidRPr="002A19AE">
        <w:t>balance of supply</w:t>
      </w:r>
      <w:r w:rsidR="00B30E3B" w:rsidRPr="002A19AE">
        <w:t xml:space="preserve"> restrictions</w:t>
      </w:r>
      <w:r w:rsidR="00650036" w:rsidRPr="002A19AE">
        <w:t xml:space="preserve"> </w:t>
      </w:r>
      <w:r w:rsidR="00264703" w:rsidRPr="002A19AE">
        <w:t xml:space="preserve">to </w:t>
      </w:r>
      <w:r w:rsidR="00B7711A" w:rsidRPr="002A19AE">
        <w:t>allow Q4W</w:t>
      </w:r>
      <w:r w:rsidR="6578F8CF" w:rsidRPr="002A19AE">
        <w:t xml:space="preserve"> </w:t>
      </w:r>
      <w:r w:rsidR="007E2012" w:rsidRPr="002A19AE">
        <w:t>treatment to</w:t>
      </w:r>
      <w:r w:rsidR="00264703" w:rsidRPr="002A19AE">
        <w:t xml:space="preserve"> </w:t>
      </w:r>
      <w:r w:rsidR="005807F9" w:rsidRPr="002A19AE">
        <w:t xml:space="preserve">patients </w:t>
      </w:r>
      <w:r w:rsidR="00264703" w:rsidRPr="002A19AE">
        <w:t>who</w:t>
      </w:r>
      <w:r w:rsidR="00C54779" w:rsidRPr="002A19AE">
        <w:t>,</w:t>
      </w:r>
      <w:r w:rsidR="00264703" w:rsidRPr="002A19AE">
        <w:t xml:space="preserve"> </w:t>
      </w:r>
      <w:r w:rsidR="00227FCC" w:rsidRPr="002A19AE">
        <w:t>in the prescriber’s opinion</w:t>
      </w:r>
      <w:r w:rsidR="00C54779" w:rsidRPr="002A19AE">
        <w:t>,</w:t>
      </w:r>
      <w:r w:rsidR="00227FCC" w:rsidRPr="002A19AE">
        <w:t xml:space="preserve"> would </w:t>
      </w:r>
      <w:r w:rsidR="009D084C" w:rsidRPr="002A19AE">
        <w:t xml:space="preserve">not </w:t>
      </w:r>
      <w:r w:rsidR="00227FCC" w:rsidRPr="002A19AE">
        <w:t xml:space="preserve">be </w:t>
      </w:r>
      <w:r w:rsidR="009D084C" w:rsidRPr="002A19AE">
        <w:t xml:space="preserve">sufficiently maintained </w:t>
      </w:r>
      <w:r w:rsidR="00264703" w:rsidRPr="002A19AE">
        <w:t>on Q8W</w:t>
      </w:r>
      <w:r w:rsidR="152EA1E6" w:rsidRPr="002A19AE">
        <w:t xml:space="preserve"> dosing</w:t>
      </w:r>
      <w:r w:rsidR="00670656" w:rsidRPr="002A19AE">
        <w:t xml:space="preserve">, and </w:t>
      </w:r>
      <w:r w:rsidR="00105E3E" w:rsidRPr="002A19AE">
        <w:t xml:space="preserve">new </w:t>
      </w:r>
      <w:r w:rsidR="00670656" w:rsidRPr="002A19AE">
        <w:t>continuing restrictions for patients who</w:t>
      </w:r>
      <w:r w:rsidR="0009378E">
        <w:t>,</w:t>
      </w:r>
      <w:r w:rsidR="00670656" w:rsidRPr="002A19AE">
        <w:t xml:space="preserve"> in the prescriber’s opinion</w:t>
      </w:r>
      <w:r w:rsidR="00C54779" w:rsidRPr="002A19AE">
        <w:t>,</w:t>
      </w:r>
      <w:r w:rsidR="00670656" w:rsidRPr="002A19AE">
        <w:t xml:space="preserve"> require</w:t>
      </w:r>
      <w:r w:rsidR="00105E3E" w:rsidRPr="002A19AE">
        <w:t xml:space="preserve"> ongoing</w:t>
      </w:r>
      <w:r w:rsidR="00670656" w:rsidRPr="002A19AE">
        <w:t xml:space="preserve"> Q4W</w:t>
      </w:r>
      <w:r w:rsidR="00105E3E" w:rsidRPr="002A19AE">
        <w:t xml:space="preserve"> treatment</w:t>
      </w:r>
      <w:r w:rsidR="005215A0" w:rsidRPr="002A19AE">
        <w:t>.</w:t>
      </w:r>
      <w:r w:rsidR="00C54779" w:rsidRPr="002A19AE">
        <w:t xml:space="preserve"> </w:t>
      </w:r>
      <w:r w:rsidR="00A7752D" w:rsidRPr="002A19AE">
        <w:t>The</w:t>
      </w:r>
      <w:r w:rsidR="00A7752D" w:rsidRPr="002A19AE" w:rsidDel="00AD65EB">
        <w:t xml:space="preserve"> </w:t>
      </w:r>
      <w:r w:rsidR="00AD65EB" w:rsidRPr="002A19AE">
        <w:t>s</w:t>
      </w:r>
      <w:r w:rsidR="00EA63E2" w:rsidRPr="002A19AE">
        <w:t>ubmission’s</w:t>
      </w:r>
      <w:r w:rsidR="00AD65EB" w:rsidRPr="002A19AE">
        <w:t xml:space="preserve"> </w:t>
      </w:r>
      <w:r w:rsidR="00A7752D" w:rsidRPr="002A19AE">
        <w:t xml:space="preserve">proposed listings for Q4W dosing are provided below. </w:t>
      </w:r>
      <w:r w:rsidR="00717BED" w:rsidRPr="002A19AE">
        <w:t xml:space="preserve">Only the </w:t>
      </w:r>
      <w:r w:rsidR="008701B0" w:rsidRPr="002A19AE">
        <w:t xml:space="preserve">restriction wording that </w:t>
      </w:r>
      <w:r w:rsidR="009E43C2">
        <w:t>differed from the existing listing</w:t>
      </w:r>
      <w:r w:rsidR="00430AB5" w:rsidRPr="002A19AE">
        <w:t xml:space="preserve"> </w:t>
      </w:r>
      <w:r w:rsidR="009E43C2">
        <w:t>was</w:t>
      </w:r>
      <w:r w:rsidR="00430AB5" w:rsidRPr="002A19AE">
        <w:t xml:space="preserve"> included in this section</w:t>
      </w:r>
      <w:r w:rsidR="00A96B5A" w:rsidRPr="002A19AE">
        <w:t>.</w:t>
      </w:r>
      <w:r w:rsidR="002A261D" w:rsidRPr="002A19AE">
        <w:t xml:space="preserve"> </w:t>
      </w:r>
      <w:r w:rsidR="00A4068C" w:rsidRPr="002A19AE">
        <w:t xml:space="preserve">No changes were proposed to the </w:t>
      </w:r>
      <w:r w:rsidR="00A45885" w:rsidRPr="002A19AE">
        <w:t>program (s100 HSD), prescriber type</w:t>
      </w:r>
      <w:r w:rsidR="001875DF" w:rsidRPr="002A19AE">
        <w:t>s,</w:t>
      </w:r>
      <w:r w:rsidR="009D4109" w:rsidRPr="002A19AE">
        <w:t xml:space="preserve"> or</w:t>
      </w:r>
      <w:r w:rsidR="001875DF" w:rsidRPr="002A19AE">
        <w:t xml:space="preserve"> authority level</w:t>
      </w:r>
      <w:r w:rsidR="009D4109" w:rsidRPr="002A19AE">
        <w:t xml:space="preserve"> and type.</w:t>
      </w:r>
    </w:p>
    <w:p w14:paraId="02B48237" w14:textId="3E926532" w:rsidR="00A25205" w:rsidRPr="00A85C4E" w:rsidRDefault="00A25205" w:rsidP="009C1EA9">
      <w:pPr>
        <w:pStyle w:val="5-SubsectionSubheading"/>
        <w:rPr>
          <w:rFonts w:ascii="Arial Narrow" w:hAnsi="Arial Narrow" w:cstheme="minorHAnsi"/>
          <w:sz w:val="20"/>
          <w:szCs w:val="20"/>
        </w:rPr>
      </w:pPr>
      <w:r w:rsidRPr="00A85C4E">
        <w:rPr>
          <w:rFonts w:ascii="Arial Narrow" w:hAnsi="Arial Narrow"/>
          <w:sz w:val="20"/>
          <w:szCs w:val="20"/>
        </w:rPr>
        <w:t>Moderate to severe ulcerative colitis</w:t>
      </w:r>
      <w:r w:rsidR="00DB1589" w:rsidRPr="00A85C4E">
        <w:rPr>
          <w:rFonts w:ascii="Arial Narrow" w:hAnsi="Arial Narrow"/>
          <w:sz w:val="20"/>
          <w:szCs w:val="20"/>
        </w:rPr>
        <w:t xml:space="preserve"> </w:t>
      </w:r>
      <w:r w:rsidR="00B722FC">
        <w:rPr>
          <w:rFonts w:ascii="Arial Narrow" w:hAnsi="Arial Narrow"/>
          <w:sz w:val="20"/>
          <w:szCs w:val="20"/>
        </w:rPr>
        <w:t>- B</w:t>
      </w:r>
      <w:r w:rsidR="00DB1589" w:rsidRPr="00A85C4E">
        <w:rPr>
          <w:rFonts w:ascii="Arial Narrow" w:hAnsi="Arial Narrow"/>
          <w:sz w:val="20"/>
          <w:szCs w:val="20"/>
        </w:rPr>
        <w:t xml:space="preserve">alance of </w:t>
      </w:r>
      <w:r w:rsidR="00B722FC">
        <w:rPr>
          <w:rFonts w:ascii="Arial Narrow" w:hAnsi="Arial Narrow"/>
          <w:sz w:val="20"/>
          <w:szCs w:val="20"/>
        </w:rPr>
        <w:t>S</w:t>
      </w:r>
      <w:r w:rsidR="00DB1589" w:rsidRPr="00A85C4E">
        <w:rPr>
          <w:rFonts w:ascii="Arial Narrow" w:hAnsi="Arial Narrow"/>
          <w:sz w:val="20"/>
          <w:szCs w:val="20"/>
        </w:rPr>
        <w:t>upply</w:t>
      </w:r>
      <w:r w:rsidR="00B722FC">
        <w:rPr>
          <w:rFonts w:ascii="Arial Narrow" w:hAnsi="Arial Narrow"/>
          <w:sz w:val="20"/>
          <w:szCs w:val="20"/>
        </w:rPr>
        <w:t xml:space="preserve"> (BoS)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Balance of Supply (BoS)"/>
      </w:tblPr>
      <w:tblGrid>
        <w:gridCol w:w="3680"/>
        <w:gridCol w:w="1069"/>
        <w:gridCol w:w="812"/>
        <w:gridCol w:w="811"/>
        <w:gridCol w:w="812"/>
        <w:gridCol w:w="1882"/>
      </w:tblGrid>
      <w:tr w:rsidR="00EE7121" w:rsidRPr="004D0075" w14:paraId="7C15D026" w14:textId="77777777" w:rsidTr="00B254A1">
        <w:trPr>
          <w:cantSplit/>
          <w:trHeight w:val="20"/>
        </w:trPr>
        <w:tc>
          <w:tcPr>
            <w:tcW w:w="3681" w:type="dxa"/>
            <w:vAlign w:val="center"/>
          </w:tcPr>
          <w:p w14:paraId="14D2D120" w14:textId="77777777" w:rsidR="005678CC" w:rsidRPr="004D0075" w:rsidRDefault="005678CC" w:rsidP="00415D1C">
            <w:pPr>
              <w:keepLines/>
              <w:rPr>
                <w:rFonts w:ascii="Arial Narrow" w:hAnsi="Arial Narrow" w:cs="Arial"/>
                <w:b/>
                <w:bCs/>
                <w:sz w:val="20"/>
                <w:szCs w:val="20"/>
              </w:rPr>
            </w:pPr>
            <w:r w:rsidRPr="004D0075">
              <w:rPr>
                <w:rFonts w:ascii="Arial Narrow" w:hAnsi="Arial Narrow" w:cs="Arial"/>
                <w:b/>
                <w:bCs/>
                <w:sz w:val="20"/>
                <w:szCs w:val="20"/>
              </w:rPr>
              <w:t>MEDICINAL PRODUCT</w:t>
            </w:r>
          </w:p>
          <w:p w14:paraId="76AD6701" w14:textId="77777777" w:rsidR="005678CC" w:rsidRPr="004D0075" w:rsidRDefault="005678CC" w:rsidP="00415D1C">
            <w:pPr>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1069" w:type="dxa"/>
            <w:vAlign w:val="center"/>
          </w:tcPr>
          <w:p w14:paraId="75557BE9" w14:textId="77777777" w:rsidR="005678CC" w:rsidRPr="004D0075" w:rsidRDefault="005678CC" w:rsidP="00415D1C">
            <w:pPr>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6B7F7EDF" w14:textId="77777777" w:rsidR="005678CC" w:rsidRPr="004D0075" w:rsidRDefault="005678CC" w:rsidP="00415D1C">
            <w:pPr>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15331A24" w14:textId="77777777" w:rsidR="005678CC" w:rsidRPr="004D0075" w:rsidRDefault="005678CC" w:rsidP="00415D1C">
            <w:pPr>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647E848F" w14:textId="77777777" w:rsidR="005678CC" w:rsidRPr="004D0075" w:rsidRDefault="005678CC" w:rsidP="00415D1C">
            <w:pPr>
              <w:keepLines/>
              <w:jc w:val="center"/>
              <w:rPr>
                <w:rFonts w:ascii="Arial Narrow" w:hAnsi="Arial Narrow" w:cs="Arial"/>
                <w:b/>
                <w:sz w:val="20"/>
                <w:szCs w:val="20"/>
              </w:rPr>
            </w:pPr>
            <w:r w:rsidRPr="004D0075">
              <w:rPr>
                <w:rFonts w:ascii="Arial Narrow" w:hAnsi="Arial Narrow" w:cs="Arial"/>
                <w:b/>
                <w:sz w:val="20"/>
                <w:szCs w:val="20"/>
              </w:rPr>
              <w:t>№.of</w:t>
            </w:r>
          </w:p>
          <w:p w14:paraId="64B0459A" w14:textId="77777777" w:rsidR="005678CC" w:rsidRPr="004D0075" w:rsidRDefault="005678CC" w:rsidP="00415D1C">
            <w:pPr>
              <w:keepLines/>
              <w:jc w:val="center"/>
              <w:rPr>
                <w:rFonts w:ascii="Arial Narrow" w:hAnsi="Arial Narrow" w:cs="Arial"/>
                <w:b/>
                <w:sz w:val="20"/>
                <w:szCs w:val="20"/>
              </w:rPr>
            </w:pPr>
            <w:r w:rsidRPr="004D0075">
              <w:rPr>
                <w:rFonts w:ascii="Arial Narrow" w:hAnsi="Arial Narrow" w:cs="Arial"/>
                <w:b/>
                <w:sz w:val="20"/>
                <w:szCs w:val="20"/>
              </w:rPr>
              <w:t>Rpts</w:t>
            </w:r>
          </w:p>
        </w:tc>
        <w:tc>
          <w:tcPr>
            <w:tcW w:w="1882" w:type="dxa"/>
            <w:vAlign w:val="center"/>
          </w:tcPr>
          <w:p w14:paraId="596B151D" w14:textId="77777777" w:rsidR="005678CC" w:rsidRPr="004D0075" w:rsidRDefault="005678CC" w:rsidP="00415D1C">
            <w:pPr>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5678CC" w:rsidRPr="004D0075" w14:paraId="6ED19A06" w14:textId="77777777" w:rsidTr="00B254A1">
        <w:trPr>
          <w:cantSplit/>
          <w:trHeight w:val="20"/>
        </w:trPr>
        <w:tc>
          <w:tcPr>
            <w:tcW w:w="9067" w:type="dxa"/>
            <w:gridSpan w:val="6"/>
            <w:vAlign w:val="center"/>
          </w:tcPr>
          <w:p w14:paraId="6BDF411B" w14:textId="6AB2D21A" w:rsidR="005678CC" w:rsidRPr="004D0075" w:rsidRDefault="00D94812" w:rsidP="00415D1C">
            <w:pPr>
              <w:keepLines/>
              <w:rPr>
                <w:rFonts w:ascii="Arial Narrow" w:hAnsi="Arial Narrow" w:cs="Arial"/>
                <w:sz w:val="20"/>
                <w:szCs w:val="20"/>
              </w:rPr>
            </w:pPr>
            <w:r w:rsidRPr="004D0075">
              <w:rPr>
                <w:rFonts w:ascii="Arial Narrow" w:hAnsi="Arial Narrow" w:cs="Arial"/>
                <w:sz w:val="20"/>
                <w:szCs w:val="20"/>
              </w:rPr>
              <w:t>V</w:t>
            </w:r>
            <w:r w:rsidR="001337A1" w:rsidRPr="004D0075">
              <w:rPr>
                <w:rFonts w:ascii="Arial Narrow" w:hAnsi="Arial Narrow" w:cs="Arial"/>
                <w:sz w:val="20"/>
                <w:szCs w:val="20"/>
              </w:rPr>
              <w:t>EDOLIZUMAB</w:t>
            </w:r>
          </w:p>
        </w:tc>
      </w:tr>
      <w:tr w:rsidR="00EE7121" w:rsidRPr="004D0075" w14:paraId="46A7B976" w14:textId="77777777" w:rsidTr="00B254A1">
        <w:trPr>
          <w:cantSplit/>
          <w:trHeight w:val="20"/>
        </w:trPr>
        <w:tc>
          <w:tcPr>
            <w:tcW w:w="3681" w:type="dxa"/>
            <w:vAlign w:val="center"/>
          </w:tcPr>
          <w:p w14:paraId="7A0EC3B3" w14:textId="1A82C287" w:rsidR="005678CC" w:rsidRPr="004D0075" w:rsidRDefault="00D94812" w:rsidP="00415D1C">
            <w:pPr>
              <w:keepLines/>
              <w:rPr>
                <w:rFonts w:ascii="Arial Narrow" w:hAnsi="Arial Narrow" w:cs="Arial"/>
                <w:sz w:val="20"/>
                <w:szCs w:val="20"/>
              </w:rPr>
            </w:pPr>
            <w:r w:rsidRPr="004D0075">
              <w:rPr>
                <w:rFonts w:ascii="Arial Narrow" w:hAnsi="Arial Narrow" w:cs="Arial"/>
                <w:sz w:val="20"/>
                <w:szCs w:val="20"/>
              </w:rPr>
              <w:t xml:space="preserve">vedolizumab 300mg </w:t>
            </w:r>
            <w:r w:rsidR="001337A1" w:rsidRPr="004D0075">
              <w:rPr>
                <w:rFonts w:ascii="Arial Narrow" w:hAnsi="Arial Narrow" w:cs="Arial"/>
                <w:sz w:val="20"/>
                <w:szCs w:val="20"/>
              </w:rPr>
              <w:t>injection, 1 vial</w:t>
            </w:r>
          </w:p>
        </w:tc>
        <w:tc>
          <w:tcPr>
            <w:tcW w:w="1069" w:type="dxa"/>
            <w:vAlign w:val="center"/>
          </w:tcPr>
          <w:p w14:paraId="23769D0B" w14:textId="258A54A8" w:rsidR="005678CC" w:rsidRPr="004D0075" w:rsidRDefault="00D94812" w:rsidP="00415D1C">
            <w:pPr>
              <w:keepLines/>
              <w:jc w:val="center"/>
              <w:rPr>
                <w:rFonts w:ascii="Arial Narrow" w:hAnsi="Arial Narrow" w:cs="Arial"/>
                <w:sz w:val="20"/>
                <w:szCs w:val="20"/>
              </w:rPr>
            </w:pPr>
            <w:r w:rsidRPr="004D0075">
              <w:rPr>
                <w:rFonts w:ascii="Arial Narrow" w:hAnsi="Arial Narrow" w:cs="Arial"/>
                <w:sz w:val="20"/>
                <w:szCs w:val="20"/>
              </w:rPr>
              <w:t>NEW</w:t>
            </w:r>
            <w:r w:rsidR="001337A1" w:rsidRPr="004D0075">
              <w:rPr>
                <w:rFonts w:ascii="Arial Narrow" w:hAnsi="Arial Narrow" w:cs="Arial"/>
                <w:sz w:val="20"/>
                <w:szCs w:val="20"/>
              </w:rPr>
              <w:t xml:space="preserve"> (public)</w:t>
            </w:r>
          </w:p>
        </w:tc>
        <w:tc>
          <w:tcPr>
            <w:tcW w:w="812" w:type="dxa"/>
            <w:vAlign w:val="center"/>
          </w:tcPr>
          <w:p w14:paraId="187381F2" w14:textId="77777777" w:rsidR="005678CC" w:rsidRPr="004D0075" w:rsidRDefault="005678CC" w:rsidP="00415D1C">
            <w:pPr>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224CD750" w14:textId="1A458B48" w:rsidR="005678CC" w:rsidRPr="004D0075" w:rsidRDefault="00D94812" w:rsidP="00415D1C">
            <w:pPr>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78ECECF4" w14:textId="668E7B5F" w:rsidR="005678CC" w:rsidRPr="004D0075" w:rsidRDefault="001A2BFF" w:rsidP="00415D1C">
            <w:pPr>
              <w:keepLines/>
              <w:jc w:val="center"/>
              <w:rPr>
                <w:rFonts w:ascii="Arial Narrow" w:hAnsi="Arial Narrow" w:cs="Arial"/>
                <w:sz w:val="20"/>
                <w:szCs w:val="20"/>
              </w:rPr>
            </w:pPr>
            <w:r w:rsidRPr="004D0075">
              <w:rPr>
                <w:rFonts w:ascii="Arial Narrow" w:hAnsi="Arial Narrow" w:cs="Arial"/>
                <w:sz w:val="20"/>
                <w:szCs w:val="20"/>
              </w:rPr>
              <w:t>2</w:t>
            </w:r>
          </w:p>
        </w:tc>
        <w:tc>
          <w:tcPr>
            <w:tcW w:w="1882" w:type="dxa"/>
            <w:vAlign w:val="center"/>
          </w:tcPr>
          <w:p w14:paraId="344B4520" w14:textId="297F0725" w:rsidR="005678CC" w:rsidRPr="004D0075" w:rsidRDefault="004F0BC1" w:rsidP="00415D1C">
            <w:pPr>
              <w:keepLines/>
              <w:rPr>
                <w:rFonts w:ascii="Arial Narrow" w:hAnsi="Arial Narrow" w:cs="Arial"/>
                <w:sz w:val="20"/>
                <w:szCs w:val="20"/>
              </w:rPr>
            </w:pPr>
            <w:r w:rsidRPr="004D0075">
              <w:rPr>
                <w:rFonts w:ascii="Arial Narrow" w:hAnsi="Arial Narrow" w:cs="Arial"/>
                <w:sz w:val="20"/>
                <w:szCs w:val="20"/>
              </w:rPr>
              <w:t>Entyvio</w:t>
            </w:r>
          </w:p>
        </w:tc>
      </w:tr>
      <w:tr w:rsidR="00EE7121" w:rsidRPr="004D0075" w14:paraId="2D34BE60" w14:textId="77777777" w:rsidTr="00B254A1">
        <w:trPr>
          <w:cantSplit/>
          <w:trHeight w:val="20"/>
        </w:trPr>
        <w:tc>
          <w:tcPr>
            <w:tcW w:w="3681" w:type="dxa"/>
            <w:vAlign w:val="center"/>
          </w:tcPr>
          <w:p w14:paraId="264D23DA" w14:textId="7D919E44" w:rsidR="001337A1" w:rsidRPr="004D0075" w:rsidRDefault="001337A1" w:rsidP="001337A1">
            <w:pPr>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1069" w:type="dxa"/>
            <w:vAlign w:val="center"/>
          </w:tcPr>
          <w:p w14:paraId="7100B2AA" w14:textId="77777777" w:rsidR="001337A1" w:rsidRPr="004D0075" w:rsidRDefault="001337A1" w:rsidP="001337A1">
            <w:pPr>
              <w:keepLines/>
              <w:jc w:val="center"/>
              <w:rPr>
                <w:rFonts w:ascii="Arial Narrow" w:hAnsi="Arial Narrow" w:cs="Arial"/>
                <w:sz w:val="20"/>
                <w:szCs w:val="20"/>
              </w:rPr>
            </w:pPr>
            <w:r w:rsidRPr="004D0075">
              <w:rPr>
                <w:rFonts w:ascii="Arial Narrow" w:hAnsi="Arial Narrow" w:cs="Arial"/>
                <w:sz w:val="20"/>
                <w:szCs w:val="20"/>
              </w:rPr>
              <w:t>NEW</w:t>
            </w:r>
          </w:p>
          <w:p w14:paraId="786538F6" w14:textId="684E8BDA" w:rsidR="001337A1" w:rsidRPr="004D0075" w:rsidRDefault="001337A1" w:rsidP="001337A1">
            <w:pPr>
              <w:keepLines/>
              <w:jc w:val="center"/>
              <w:rPr>
                <w:rFonts w:ascii="Arial Narrow" w:hAnsi="Arial Narrow" w:cs="Arial"/>
                <w:sz w:val="20"/>
                <w:szCs w:val="20"/>
              </w:rPr>
            </w:pPr>
            <w:r w:rsidRPr="004D0075">
              <w:rPr>
                <w:rFonts w:ascii="Arial Narrow" w:hAnsi="Arial Narrow" w:cs="Arial"/>
                <w:sz w:val="20"/>
                <w:szCs w:val="20"/>
              </w:rPr>
              <w:t>(private)</w:t>
            </w:r>
          </w:p>
        </w:tc>
        <w:tc>
          <w:tcPr>
            <w:tcW w:w="812" w:type="dxa"/>
            <w:vAlign w:val="center"/>
          </w:tcPr>
          <w:p w14:paraId="5E471C3E" w14:textId="22B86720" w:rsidR="001337A1" w:rsidRPr="004D0075" w:rsidRDefault="001337A1" w:rsidP="001337A1">
            <w:pPr>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69135F7F" w14:textId="1758FBB6" w:rsidR="001337A1" w:rsidRPr="004D0075" w:rsidRDefault="001337A1" w:rsidP="001337A1">
            <w:pPr>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27437756" w14:textId="7B1D3998" w:rsidR="001337A1" w:rsidRPr="004D0075" w:rsidRDefault="001A2BFF" w:rsidP="001337A1">
            <w:pPr>
              <w:keepLines/>
              <w:jc w:val="center"/>
              <w:rPr>
                <w:rFonts w:ascii="Arial Narrow" w:hAnsi="Arial Narrow" w:cs="Arial"/>
                <w:sz w:val="20"/>
                <w:szCs w:val="20"/>
              </w:rPr>
            </w:pPr>
            <w:r w:rsidRPr="004D0075">
              <w:rPr>
                <w:rFonts w:ascii="Arial Narrow" w:hAnsi="Arial Narrow" w:cs="Arial"/>
                <w:sz w:val="20"/>
                <w:szCs w:val="20"/>
              </w:rPr>
              <w:t>2</w:t>
            </w:r>
          </w:p>
        </w:tc>
        <w:tc>
          <w:tcPr>
            <w:tcW w:w="1882" w:type="dxa"/>
            <w:vAlign w:val="center"/>
          </w:tcPr>
          <w:p w14:paraId="6245DCCE" w14:textId="3582C198" w:rsidR="001337A1" w:rsidRPr="004D0075" w:rsidRDefault="001337A1" w:rsidP="001337A1">
            <w:pPr>
              <w:keepLines/>
              <w:rPr>
                <w:rFonts w:ascii="Arial Narrow" w:hAnsi="Arial Narrow" w:cs="Arial"/>
                <w:sz w:val="20"/>
                <w:szCs w:val="20"/>
              </w:rPr>
            </w:pPr>
            <w:r w:rsidRPr="004D0075">
              <w:rPr>
                <w:rFonts w:ascii="Arial Narrow" w:hAnsi="Arial Narrow" w:cs="Arial"/>
                <w:sz w:val="20"/>
                <w:szCs w:val="20"/>
              </w:rPr>
              <w:t>Entyvio</w:t>
            </w:r>
          </w:p>
        </w:tc>
      </w:tr>
      <w:tr w:rsidR="004B728E" w:rsidRPr="004D0075" w14:paraId="16966B81" w14:textId="77777777" w:rsidTr="00B254A1">
        <w:tblPrEx>
          <w:tblCellMar>
            <w:top w:w="15" w:type="dxa"/>
            <w:bottom w:w="15" w:type="dxa"/>
          </w:tblCellMar>
        </w:tblPrEx>
        <w:trPr>
          <w:cantSplit/>
          <w:trHeight w:val="20"/>
        </w:trPr>
        <w:tc>
          <w:tcPr>
            <w:tcW w:w="9067" w:type="dxa"/>
            <w:gridSpan w:val="6"/>
            <w:vAlign w:val="center"/>
          </w:tcPr>
          <w:p w14:paraId="7A9739EE" w14:textId="16E666FD" w:rsidR="004B728E" w:rsidRPr="004D0075" w:rsidRDefault="004B728E" w:rsidP="001337A1">
            <w:pPr>
              <w:rPr>
                <w:rFonts w:ascii="Arial Narrow" w:hAnsi="Arial Narrow"/>
                <w:sz w:val="20"/>
                <w:szCs w:val="20"/>
              </w:rPr>
            </w:pPr>
            <w:r w:rsidRPr="004D0075">
              <w:rPr>
                <w:rFonts w:ascii="Arial Narrow" w:hAnsi="Arial Narrow"/>
                <w:b/>
                <w:bCs/>
                <w:sz w:val="20"/>
                <w:szCs w:val="20"/>
              </w:rPr>
              <w:t xml:space="preserve">Indication: </w:t>
            </w:r>
            <w:r w:rsidR="008943F8" w:rsidRPr="004D0075">
              <w:rPr>
                <w:rFonts w:ascii="Arial Narrow" w:hAnsi="Arial Narrow"/>
                <w:sz w:val="20"/>
                <w:szCs w:val="20"/>
              </w:rPr>
              <w:t>Moderate to severe ulcerative colitis</w:t>
            </w:r>
          </w:p>
        </w:tc>
      </w:tr>
      <w:tr w:rsidR="004B728E" w:rsidRPr="004D0075" w14:paraId="3160E17C" w14:textId="77777777" w:rsidTr="00B254A1">
        <w:tblPrEx>
          <w:tblCellMar>
            <w:top w:w="15" w:type="dxa"/>
            <w:bottom w:w="15" w:type="dxa"/>
          </w:tblCellMar>
        </w:tblPrEx>
        <w:trPr>
          <w:cantSplit/>
          <w:trHeight w:val="20"/>
        </w:trPr>
        <w:tc>
          <w:tcPr>
            <w:tcW w:w="9067" w:type="dxa"/>
            <w:gridSpan w:val="6"/>
            <w:vAlign w:val="center"/>
            <w:hideMark/>
          </w:tcPr>
          <w:p w14:paraId="71C1C2F3" w14:textId="7862C49C" w:rsidR="004B728E" w:rsidRPr="004D0075" w:rsidRDefault="004B728E" w:rsidP="001337A1">
            <w:pPr>
              <w:rPr>
                <w:rFonts w:ascii="Arial Narrow" w:hAnsi="Arial Narrow"/>
                <w:sz w:val="20"/>
                <w:szCs w:val="20"/>
              </w:rPr>
            </w:pPr>
            <w:r w:rsidRPr="004D0075">
              <w:rPr>
                <w:rFonts w:ascii="Arial Narrow" w:hAnsi="Arial Narrow"/>
                <w:b/>
                <w:bCs/>
                <w:sz w:val="20"/>
                <w:szCs w:val="20"/>
              </w:rPr>
              <w:t>Treatment Phase:</w:t>
            </w:r>
            <w:r w:rsidRPr="004D0075">
              <w:rPr>
                <w:rFonts w:ascii="Arial Narrow" w:hAnsi="Arial Narrow"/>
                <w:sz w:val="20"/>
                <w:szCs w:val="20"/>
              </w:rPr>
              <w:t xml:space="preserve"> Balance of supply (every 4 weeks)</w:t>
            </w:r>
          </w:p>
        </w:tc>
      </w:tr>
      <w:tr w:rsidR="004B728E" w:rsidRPr="004D0075" w14:paraId="3B6CBD4D" w14:textId="77777777" w:rsidTr="00B254A1">
        <w:tblPrEx>
          <w:tblCellMar>
            <w:top w:w="15" w:type="dxa"/>
            <w:bottom w:w="15" w:type="dxa"/>
          </w:tblCellMar>
        </w:tblPrEx>
        <w:trPr>
          <w:cantSplit/>
          <w:trHeight w:val="20"/>
        </w:trPr>
        <w:tc>
          <w:tcPr>
            <w:tcW w:w="9067" w:type="dxa"/>
            <w:gridSpan w:val="6"/>
            <w:vAlign w:val="center"/>
            <w:hideMark/>
          </w:tcPr>
          <w:p w14:paraId="7F4CABEE" w14:textId="16C032B7" w:rsidR="004B728E" w:rsidRPr="004D0075" w:rsidRDefault="004B728E" w:rsidP="001337A1">
            <w:pPr>
              <w:rPr>
                <w:rFonts w:ascii="Arial Narrow" w:hAnsi="Arial Narrow"/>
                <w:sz w:val="20"/>
                <w:szCs w:val="20"/>
              </w:rPr>
            </w:pPr>
            <w:r w:rsidRPr="004D0075">
              <w:rPr>
                <w:rFonts w:ascii="Arial Narrow" w:hAnsi="Arial Narrow"/>
                <w:b/>
                <w:bCs/>
                <w:sz w:val="20"/>
                <w:szCs w:val="20"/>
              </w:rPr>
              <w:t>Clinical criteria:</w:t>
            </w:r>
          </w:p>
        </w:tc>
      </w:tr>
      <w:tr w:rsidR="004B728E" w:rsidRPr="004D0075" w14:paraId="64100E90" w14:textId="77777777" w:rsidTr="00B254A1">
        <w:tblPrEx>
          <w:tblCellMar>
            <w:top w:w="15" w:type="dxa"/>
            <w:bottom w:w="15" w:type="dxa"/>
          </w:tblCellMar>
        </w:tblPrEx>
        <w:trPr>
          <w:cantSplit/>
          <w:trHeight w:val="20"/>
        </w:trPr>
        <w:tc>
          <w:tcPr>
            <w:tcW w:w="9067" w:type="dxa"/>
            <w:gridSpan w:val="6"/>
            <w:vAlign w:val="center"/>
            <w:hideMark/>
          </w:tcPr>
          <w:p w14:paraId="24762903" w14:textId="7BF99BA4" w:rsidR="004B728E" w:rsidRPr="004D0075" w:rsidRDefault="004B728E" w:rsidP="001337A1">
            <w:pPr>
              <w:jc w:val="left"/>
              <w:rPr>
                <w:rFonts w:ascii="Arial Narrow" w:hAnsi="Arial Narrow"/>
                <w:sz w:val="20"/>
                <w:szCs w:val="20"/>
              </w:rPr>
            </w:pPr>
            <w:r w:rsidRPr="004D0075">
              <w:rPr>
                <w:rFonts w:ascii="Arial Narrow" w:hAnsi="Arial Narrow"/>
                <w:sz w:val="20"/>
                <w:szCs w:val="20"/>
              </w:rPr>
              <w:t>Patient must require therapy with this drug for this condition administered every 4 weeks</w:t>
            </w:r>
          </w:p>
        </w:tc>
      </w:tr>
      <w:tr w:rsidR="004B728E" w:rsidRPr="004D0075" w14:paraId="2BF6458B" w14:textId="77777777" w:rsidTr="00B254A1">
        <w:tblPrEx>
          <w:tblCellMar>
            <w:top w:w="15" w:type="dxa"/>
            <w:bottom w:w="15" w:type="dxa"/>
          </w:tblCellMar>
        </w:tblPrEx>
        <w:trPr>
          <w:cantSplit/>
          <w:trHeight w:val="20"/>
        </w:trPr>
        <w:tc>
          <w:tcPr>
            <w:tcW w:w="9067" w:type="dxa"/>
            <w:gridSpan w:val="6"/>
            <w:vAlign w:val="center"/>
            <w:hideMark/>
          </w:tcPr>
          <w:p w14:paraId="70273A58" w14:textId="4CB13F90" w:rsidR="004B728E" w:rsidRPr="004D0075" w:rsidRDefault="004B728E" w:rsidP="001337A1">
            <w:pPr>
              <w:jc w:val="left"/>
              <w:rPr>
                <w:rFonts w:ascii="Arial Narrow" w:hAnsi="Arial Narrow"/>
                <w:b/>
                <w:bCs/>
                <w:sz w:val="20"/>
                <w:szCs w:val="20"/>
              </w:rPr>
            </w:pPr>
            <w:r w:rsidRPr="004D0075">
              <w:rPr>
                <w:rFonts w:ascii="Arial Narrow" w:hAnsi="Arial Narrow"/>
                <w:b/>
                <w:bCs/>
                <w:sz w:val="20"/>
                <w:szCs w:val="20"/>
              </w:rPr>
              <w:t>AND</w:t>
            </w:r>
          </w:p>
        </w:tc>
      </w:tr>
      <w:tr w:rsidR="004B728E" w:rsidRPr="004D0075" w14:paraId="100679FD" w14:textId="77777777" w:rsidTr="00B254A1">
        <w:tblPrEx>
          <w:tblCellMar>
            <w:top w:w="15" w:type="dxa"/>
            <w:bottom w:w="15" w:type="dxa"/>
          </w:tblCellMar>
        </w:tblPrEx>
        <w:trPr>
          <w:cantSplit/>
          <w:trHeight w:val="20"/>
        </w:trPr>
        <w:tc>
          <w:tcPr>
            <w:tcW w:w="9067" w:type="dxa"/>
            <w:gridSpan w:val="6"/>
            <w:vAlign w:val="center"/>
          </w:tcPr>
          <w:p w14:paraId="7EDD6F5F" w14:textId="6B11A472" w:rsidR="004B728E" w:rsidRPr="004D0075" w:rsidRDefault="004B728E" w:rsidP="001337A1">
            <w:pPr>
              <w:jc w:val="left"/>
              <w:rPr>
                <w:rFonts w:ascii="Arial Narrow" w:hAnsi="Arial Narrow"/>
                <w:b/>
                <w:bCs/>
                <w:sz w:val="20"/>
                <w:szCs w:val="20"/>
              </w:rPr>
            </w:pPr>
            <w:r w:rsidRPr="004D0075">
              <w:rPr>
                <w:rFonts w:ascii="Arial Narrow" w:hAnsi="Arial Narrow"/>
                <w:b/>
                <w:bCs/>
                <w:sz w:val="20"/>
                <w:szCs w:val="20"/>
              </w:rPr>
              <w:t>Clinical criteria:</w:t>
            </w:r>
          </w:p>
        </w:tc>
      </w:tr>
      <w:tr w:rsidR="004B728E" w:rsidRPr="004D0075" w14:paraId="445CFF96" w14:textId="77777777" w:rsidTr="00B254A1">
        <w:tblPrEx>
          <w:tblCellMar>
            <w:top w:w="15" w:type="dxa"/>
            <w:bottom w:w="15" w:type="dxa"/>
          </w:tblCellMar>
        </w:tblPrEx>
        <w:trPr>
          <w:cantSplit/>
          <w:trHeight w:val="20"/>
        </w:trPr>
        <w:tc>
          <w:tcPr>
            <w:tcW w:w="9067" w:type="dxa"/>
            <w:gridSpan w:val="6"/>
            <w:vAlign w:val="center"/>
            <w:hideMark/>
          </w:tcPr>
          <w:p w14:paraId="463D9A80" w14:textId="209C38A2" w:rsidR="004B728E" w:rsidRPr="004D0075" w:rsidRDefault="004B728E" w:rsidP="001337A1">
            <w:pPr>
              <w:jc w:val="left"/>
              <w:rPr>
                <w:rFonts w:ascii="Arial Narrow" w:hAnsi="Arial Narrow"/>
                <w:sz w:val="20"/>
                <w:szCs w:val="20"/>
              </w:rPr>
            </w:pPr>
            <w:r w:rsidRPr="004D0075">
              <w:rPr>
                <w:rFonts w:ascii="Arial Narrow" w:hAnsi="Arial Narrow"/>
                <w:sz w:val="20"/>
                <w:szCs w:val="20"/>
              </w:rPr>
              <w:t xml:space="preserve">Patient must have received insufficient therapy with this drug for this condition under the continuing treatment restriction (allowing for treatment every 8 weeks) </w:t>
            </w:r>
          </w:p>
        </w:tc>
      </w:tr>
    </w:tbl>
    <w:p w14:paraId="0595ECC3" w14:textId="77777777" w:rsidR="00DB1589" w:rsidRPr="004D0075" w:rsidRDefault="00DB1589" w:rsidP="005678CC">
      <w:pPr>
        <w:pStyle w:val="3-BodyText"/>
        <w:numPr>
          <w:ilvl w:val="0"/>
          <w:numId w:val="0"/>
        </w:numPr>
        <w:rPr>
          <w:rFonts w:cstheme="minorHAnsi"/>
        </w:rPr>
      </w:pPr>
    </w:p>
    <w:p w14:paraId="1204A144" w14:textId="3261DBE5" w:rsidR="00DB1589" w:rsidRPr="00B722FC" w:rsidRDefault="00DB1589" w:rsidP="004E6112">
      <w:pPr>
        <w:pStyle w:val="5-SubsectionSubheading"/>
        <w:rPr>
          <w:rFonts w:ascii="Arial Narrow" w:hAnsi="Arial Narrow" w:cstheme="minorHAnsi"/>
          <w:sz w:val="20"/>
          <w:szCs w:val="20"/>
        </w:rPr>
      </w:pPr>
      <w:r w:rsidRPr="00B722FC">
        <w:rPr>
          <w:rFonts w:ascii="Arial Narrow" w:hAnsi="Arial Narrow"/>
          <w:sz w:val="20"/>
          <w:szCs w:val="20"/>
        </w:rPr>
        <w:lastRenderedPageBreak/>
        <w:t xml:space="preserve">Moderate to severe ulcerative colitis </w:t>
      </w:r>
      <w:r w:rsidR="00B722FC">
        <w:rPr>
          <w:rFonts w:ascii="Arial Narrow" w:hAnsi="Arial Narrow"/>
          <w:sz w:val="20"/>
          <w:szCs w:val="20"/>
        </w:rPr>
        <w:t>– C</w:t>
      </w:r>
      <w:r w:rsidRPr="00B722FC">
        <w:rPr>
          <w:rFonts w:ascii="Arial Narrow" w:hAnsi="Arial Narrow"/>
          <w:sz w:val="20"/>
          <w:szCs w:val="20"/>
        </w:rPr>
        <w:t>ontinuing</w:t>
      </w:r>
      <w:r w:rsidR="00B722FC">
        <w:rPr>
          <w:rFonts w:ascii="Arial Narrow" w:hAnsi="Arial Narrow"/>
          <w:sz w:val="20"/>
          <w:szCs w:val="20"/>
        </w:rPr>
        <w:t xml:space="preserve"> Treatment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Continuing Treatment"/>
      </w:tblPr>
      <w:tblGrid>
        <w:gridCol w:w="3680"/>
        <w:gridCol w:w="1069"/>
        <w:gridCol w:w="812"/>
        <w:gridCol w:w="811"/>
        <w:gridCol w:w="812"/>
        <w:gridCol w:w="1882"/>
      </w:tblGrid>
      <w:tr w:rsidR="00DB1589" w:rsidRPr="004D0075" w14:paraId="2B305F29" w14:textId="77777777" w:rsidTr="00B254A1">
        <w:trPr>
          <w:cantSplit/>
          <w:trHeight w:val="20"/>
        </w:trPr>
        <w:tc>
          <w:tcPr>
            <w:tcW w:w="3681" w:type="dxa"/>
            <w:vAlign w:val="center"/>
          </w:tcPr>
          <w:p w14:paraId="4495650B" w14:textId="77777777" w:rsidR="00DB1589" w:rsidRPr="004D0075" w:rsidRDefault="00DB1589" w:rsidP="00944724">
            <w:pPr>
              <w:keepNext/>
              <w:keepLines/>
              <w:rPr>
                <w:rFonts w:ascii="Arial Narrow" w:hAnsi="Arial Narrow" w:cs="Arial"/>
                <w:b/>
                <w:bCs/>
                <w:sz w:val="20"/>
                <w:szCs w:val="20"/>
              </w:rPr>
            </w:pPr>
            <w:r w:rsidRPr="004D0075">
              <w:rPr>
                <w:rFonts w:ascii="Arial Narrow" w:hAnsi="Arial Narrow" w:cs="Arial"/>
                <w:b/>
                <w:bCs/>
                <w:sz w:val="20"/>
                <w:szCs w:val="20"/>
              </w:rPr>
              <w:t>MEDICINAL PRODUCT</w:t>
            </w:r>
          </w:p>
          <w:p w14:paraId="32522E97" w14:textId="77777777" w:rsidR="00DB1589" w:rsidRPr="004D0075" w:rsidRDefault="00DB1589" w:rsidP="00944724">
            <w:pPr>
              <w:keepNext/>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1069" w:type="dxa"/>
            <w:vAlign w:val="center"/>
          </w:tcPr>
          <w:p w14:paraId="15D2174C" w14:textId="77777777" w:rsidR="00DB1589" w:rsidRPr="004D0075" w:rsidRDefault="00DB1589" w:rsidP="00944724">
            <w:pPr>
              <w:keepNext/>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37D47A2E" w14:textId="77777777" w:rsidR="00DB1589" w:rsidRPr="004D0075" w:rsidRDefault="00DB1589" w:rsidP="00944724">
            <w:pPr>
              <w:keepNext/>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6D5FF9B2" w14:textId="77777777" w:rsidR="00DB1589" w:rsidRPr="004D0075" w:rsidRDefault="00DB1589" w:rsidP="00944724">
            <w:pPr>
              <w:keepNext/>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15FB0A57" w14:textId="77777777" w:rsidR="00DB1589" w:rsidRPr="004D0075" w:rsidRDefault="00DB1589" w:rsidP="00944724">
            <w:pPr>
              <w:keepNext/>
              <w:keepLines/>
              <w:jc w:val="center"/>
              <w:rPr>
                <w:rFonts w:ascii="Arial Narrow" w:hAnsi="Arial Narrow" w:cs="Arial"/>
                <w:b/>
                <w:sz w:val="20"/>
                <w:szCs w:val="20"/>
              </w:rPr>
            </w:pPr>
            <w:r w:rsidRPr="004D0075">
              <w:rPr>
                <w:rFonts w:ascii="Arial Narrow" w:hAnsi="Arial Narrow" w:cs="Arial"/>
                <w:b/>
                <w:sz w:val="20"/>
                <w:szCs w:val="20"/>
              </w:rPr>
              <w:t>№.of</w:t>
            </w:r>
          </w:p>
          <w:p w14:paraId="5AC87C01" w14:textId="77777777" w:rsidR="00DB1589" w:rsidRPr="004D0075" w:rsidRDefault="00DB1589" w:rsidP="00944724">
            <w:pPr>
              <w:keepNext/>
              <w:keepLines/>
              <w:jc w:val="center"/>
              <w:rPr>
                <w:rFonts w:ascii="Arial Narrow" w:hAnsi="Arial Narrow" w:cs="Arial"/>
                <w:b/>
                <w:sz w:val="20"/>
                <w:szCs w:val="20"/>
              </w:rPr>
            </w:pPr>
            <w:r w:rsidRPr="004D0075">
              <w:rPr>
                <w:rFonts w:ascii="Arial Narrow" w:hAnsi="Arial Narrow" w:cs="Arial"/>
                <w:b/>
                <w:sz w:val="20"/>
                <w:szCs w:val="20"/>
              </w:rPr>
              <w:t>Rpts</w:t>
            </w:r>
          </w:p>
        </w:tc>
        <w:tc>
          <w:tcPr>
            <w:tcW w:w="1882" w:type="dxa"/>
            <w:vAlign w:val="center"/>
          </w:tcPr>
          <w:p w14:paraId="584A0861" w14:textId="77777777" w:rsidR="00DB1589" w:rsidRPr="004D0075" w:rsidRDefault="00DB1589" w:rsidP="00944724">
            <w:pPr>
              <w:keepNext/>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DB1589" w:rsidRPr="004D0075" w14:paraId="3FD01E46" w14:textId="77777777" w:rsidTr="00B254A1">
        <w:trPr>
          <w:cantSplit/>
          <w:trHeight w:val="20"/>
        </w:trPr>
        <w:tc>
          <w:tcPr>
            <w:tcW w:w="9067" w:type="dxa"/>
            <w:gridSpan w:val="6"/>
            <w:vAlign w:val="center"/>
          </w:tcPr>
          <w:p w14:paraId="79BF6D46" w14:textId="77777777" w:rsidR="00DB1589" w:rsidRPr="004D0075" w:rsidRDefault="00DB1589" w:rsidP="00944724">
            <w:pPr>
              <w:keepNext/>
              <w:keepLines/>
              <w:rPr>
                <w:rFonts w:ascii="Arial Narrow" w:hAnsi="Arial Narrow" w:cs="Arial"/>
                <w:sz w:val="20"/>
                <w:szCs w:val="20"/>
              </w:rPr>
            </w:pPr>
            <w:r w:rsidRPr="004D0075">
              <w:rPr>
                <w:rFonts w:ascii="Arial Narrow" w:hAnsi="Arial Narrow" w:cs="Arial"/>
                <w:sz w:val="20"/>
                <w:szCs w:val="20"/>
              </w:rPr>
              <w:t>VEDOLIZUMAB</w:t>
            </w:r>
          </w:p>
        </w:tc>
      </w:tr>
      <w:tr w:rsidR="00DB1589" w:rsidRPr="004D0075" w14:paraId="73548CE0" w14:textId="77777777" w:rsidTr="00B254A1">
        <w:trPr>
          <w:cantSplit/>
          <w:trHeight w:val="20"/>
        </w:trPr>
        <w:tc>
          <w:tcPr>
            <w:tcW w:w="3681" w:type="dxa"/>
            <w:vAlign w:val="center"/>
          </w:tcPr>
          <w:p w14:paraId="2E264969" w14:textId="77777777" w:rsidR="00DB1589" w:rsidRPr="004D0075" w:rsidRDefault="00DB1589" w:rsidP="00944724">
            <w:pPr>
              <w:keepNext/>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1069" w:type="dxa"/>
            <w:vAlign w:val="center"/>
          </w:tcPr>
          <w:p w14:paraId="0DDAFCCA" w14:textId="77777777" w:rsidR="00DB1589" w:rsidRPr="004D0075" w:rsidRDefault="00DB1589" w:rsidP="00944724">
            <w:pPr>
              <w:keepNext/>
              <w:keepLines/>
              <w:jc w:val="center"/>
              <w:rPr>
                <w:rFonts w:ascii="Arial Narrow" w:hAnsi="Arial Narrow" w:cs="Arial"/>
                <w:sz w:val="20"/>
                <w:szCs w:val="20"/>
              </w:rPr>
            </w:pPr>
            <w:r w:rsidRPr="004D0075">
              <w:rPr>
                <w:rFonts w:ascii="Arial Narrow" w:hAnsi="Arial Narrow" w:cs="Arial"/>
                <w:sz w:val="20"/>
                <w:szCs w:val="20"/>
              </w:rPr>
              <w:t>NEW (public)</w:t>
            </w:r>
          </w:p>
        </w:tc>
        <w:tc>
          <w:tcPr>
            <w:tcW w:w="812" w:type="dxa"/>
            <w:vAlign w:val="center"/>
          </w:tcPr>
          <w:p w14:paraId="25209B57" w14:textId="77777777" w:rsidR="00DB1589" w:rsidRPr="004D0075" w:rsidRDefault="00DB1589" w:rsidP="0094472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6EF416CB" w14:textId="77777777" w:rsidR="00DB1589" w:rsidRPr="004D0075" w:rsidRDefault="00DB1589" w:rsidP="0094472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251B60CF" w14:textId="300A7A62" w:rsidR="00DB1589" w:rsidRPr="004D0075" w:rsidRDefault="001A2BFF" w:rsidP="00944724">
            <w:pPr>
              <w:keepNext/>
              <w:keepLines/>
              <w:jc w:val="center"/>
              <w:rPr>
                <w:rFonts w:ascii="Arial Narrow" w:hAnsi="Arial Narrow" w:cs="Arial"/>
                <w:sz w:val="20"/>
                <w:szCs w:val="20"/>
              </w:rPr>
            </w:pPr>
            <w:r w:rsidRPr="004D0075">
              <w:rPr>
                <w:rFonts w:ascii="Arial Narrow" w:hAnsi="Arial Narrow" w:cs="Arial"/>
                <w:sz w:val="20"/>
                <w:szCs w:val="20"/>
              </w:rPr>
              <w:t>5</w:t>
            </w:r>
          </w:p>
        </w:tc>
        <w:tc>
          <w:tcPr>
            <w:tcW w:w="1882" w:type="dxa"/>
            <w:vAlign w:val="center"/>
          </w:tcPr>
          <w:p w14:paraId="265DB0CE" w14:textId="77777777" w:rsidR="00DB1589" w:rsidRPr="004D0075" w:rsidRDefault="00DB1589" w:rsidP="00944724">
            <w:pPr>
              <w:keepNext/>
              <w:keepLines/>
              <w:rPr>
                <w:rFonts w:ascii="Arial Narrow" w:hAnsi="Arial Narrow" w:cs="Arial"/>
                <w:sz w:val="20"/>
                <w:szCs w:val="20"/>
              </w:rPr>
            </w:pPr>
            <w:r w:rsidRPr="004D0075">
              <w:rPr>
                <w:rFonts w:ascii="Arial Narrow" w:hAnsi="Arial Narrow" w:cs="Arial"/>
                <w:sz w:val="20"/>
                <w:szCs w:val="20"/>
              </w:rPr>
              <w:t>Entyvio</w:t>
            </w:r>
          </w:p>
        </w:tc>
      </w:tr>
      <w:tr w:rsidR="00DB1589" w:rsidRPr="004D0075" w14:paraId="28366A42" w14:textId="77777777" w:rsidTr="00B254A1">
        <w:trPr>
          <w:cantSplit/>
          <w:trHeight w:val="20"/>
        </w:trPr>
        <w:tc>
          <w:tcPr>
            <w:tcW w:w="3681" w:type="dxa"/>
            <w:vAlign w:val="center"/>
          </w:tcPr>
          <w:p w14:paraId="0DAD5681" w14:textId="77777777" w:rsidR="00DB1589" w:rsidRPr="004D0075" w:rsidRDefault="00DB1589" w:rsidP="00944724">
            <w:pPr>
              <w:keepNext/>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1069" w:type="dxa"/>
            <w:vAlign w:val="center"/>
          </w:tcPr>
          <w:p w14:paraId="4DDC4058" w14:textId="77777777" w:rsidR="00DB1589" w:rsidRPr="004D0075" w:rsidRDefault="00DB1589" w:rsidP="00944724">
            <w:pPr>
              <w:keepNext/>
              <w:keepLines/>
              <w:jc w:val="center"/>
              <w:rPr>
                <w:rFonts w:ascii="Arial Narrow" w:hAnsi="Arial Narrow" w:cs="Arial"/>
                <w:sz w:val="20"/>
                <w:szCs w:val="20"/>
              </w:rPr>
            </w:pPr>
            <w:r w:rsidRPr="004D0075">
              <w:rPr>
                <w:rFonts w:ascii="Arial Narrow" w:hAnsi="Arial Narrow" w:cs="Arial"/>
                <w:sz w:val="20"/>
                <w:szCs w:val="20"/>
              </w:rPr>
              <w:t>NEW</w:t>
            </w:r>
          </w:p>
          <w:p w14:paraId="159D53A0" w14:textId="77777777" w:rsidR="00DB1589" w:rsidRPr="004D0075" w:rsidRDefault="00DB1589" w:rsidP="00944724">
            <w:pPr>
              <w:keepNext/>
              <w:keepLines/>
              <w:jc w:val="center"/>
              <w:rPr>
                <w:rFonts w:ascii="Arial Narrow" w:hAnsi="Arial Narrow" w:cs="Arial"/>
                <w:sz w:val="20"/>
                <w:szCs w:val="20"/>
              </w:rPr>
            </w:pPr>
            <w:r w:rsidRPr="004D0075">
              <w:rPr>
                <w:rFonts w:ascii="Arial Narrow" w:hAnsi="Arial Narrow" w:cs="Arial"/>
                <w:sz w:val="20"/>
                <w:szCs w:val="20"/>
              </w:rPr>
              <w:t>(private)</w:t>
            </w:r>
          </w:p>
        </w:tc>
        <w:tc>
          <w:tcPr>
            <w:tcW w:w="812" w:type="dxa"/>
            <w:vAlign w:val="center"/>
          </w:tcPr>
          <w:p w14:paraId="4F9DEAEE" w14:textId="77777777" w:rsidR="00DB1589" w:rsidRPr="004D0075" w:rsidRDefault="00DB1589" w:rsidP="0094472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784A8313" w14:textId="77777777" w:rsidR="00DB1589" w:rsidRPr="004D0075" w:rsidRDefault="00DB1589" w:rsidP="0094472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5D936F34" w14:textId="4C225E65" w:rsidR="00DB1589" w:rsidRPr="004D0075" w:rsidRDefault="001A2BFF" w:rsidP="00944724">
            <w:pPr>
              <w:keepNext/>
              <w:keepLines/>
              <w:jc w:val="center"/>
              <w:rPr>
                <w:rFonts w:ascii="Arial Narrow" w:hAnsi="Arial Narrow" w:cs="Arial"/>
                <w:sz w:val="20"/>
                <w:szCs w:val="20"/>
              </w:rPr>
            </w:pPr>
            <w:r w:rsidRPr="004D0075">
              <w:rPr>
                <w:rFonts w:ascii="Arial Narrow" w:hAnsi="Arial Narrow" w:cs="Arial"/>
                <w:sz w:val="20"/>
                <w:szCs w:val="20"/>
              </w:rPr>
              <w:t>5</w:t>
            </w:r>
          </w:p>
        </w:tc>
        <w:tc>
          <w:tcPr>
            <w:tcW w:w="1882" w:type="dxa"/>
            <w:vAlign w:val="center"/>
          </w:tcPr>
          <w:p w14:paraId="7C1E0F1B" w14:textId="77777777" w:rsidR="00DB1589" w:rsidRPr="004D0075" w:rsidRDefault="00DB1589" w:rsidP="00944724">
            <w:pPr>
              <w:keepNext/>
              <w:keepLines/>
              <w:rPr>
                <w:rFonts w:ascii="Arial Narrow" w:hAnsi="Arial Narrow" w:cs="Arial"/>
                <w:sz w:val="20"/>
                <w:szCs w:val="20"/>
              </w:rPr>
            </w:pPr>
            <w:r w:rsidRPr="004D0075">
              <w:rPr>
                <w:rFonts w:ascii="Arial Narrow" w:hAnsi="Arial Narrow" w:cs="Arial"/>
                <w:sz w:val="20"/>
                <w:szCs w:val="20"/>
              </w:rPr>
              <w:t>Entyvio</w:t>
            </w:r>
          </w:p>
        </w:tc>
      </w:tr>
      <w:tr w:rsidR="00DB1589" w:rsidRPr="004D0075" w14:paraId="1F2B8C2D"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EEE186A" w14:textId="77777777" w:rsidR="00DB1589" w:rsidRPr="004D0075" w:rsidRDefault="00DB1589" w:rsidP="00944724">
            <w:pPr>
              <w:keepNext/>
              <w:rPr>
                <w:rFonts w:ascii="Arial Narrow" w:hAnsi="Arial Narrow"/>
                <w:sz w:val="20"/>
                <w:szCs w:val="20"/>
              </w:rPr>
            </w:pPr>
            <w:r w:rsidRPr="004D0075">
              <w:rPr>
                <w:rFonts w:ascii="Arial Narrow" w:hAnsi="Arial Narrow"/>
                <w:b/>
                <w:bCs/>
                <w:sz w:val="20"/>
                <w:szCs w:val="20"/>
              </w:rPr>
              <w:t xml:space="preserve">Indication: </w:t>
            </w:r>
            <w:r w:rsidRPr="004D0075">
              <w:rPr>
                <w:rFonts w:ascii="Arial Narrow" w:hAnsi="Arial Narrow"/>
                <w:sz w:val="20"/>
                <w:szCs w:val="20"/>
              </w:rPr>
              <w:t>Moderate to severe ulcerative colitis</w:t>
            </w:r>
          </w:p>
        </w:tc>
      </w:tr>
      <w:tr w:rsidR="00DB1589" w:rsidRPr="004D0075" w14:paraId="6AB724FB"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4AD62E0" w14:textId="2EB15F2B" w:rsidR="00DB1589" w:rsidRPr="004D0075" w:rsidRDefault="00DB1589" w:rsidP="00944724">
            <w:pPr>
              <w:keepNext/>
              <w:rPr>
                <w:rFonts w:ascii="Arial Narrow" w:hAnsi="Arial Narrow"/>
                <w:sz w:val="20"/>
                <w:szCs w:val="20"/>
              </w:rPr>
            </w:pPr>
            <w:r w:rsidRPr="004D0075">
              <w:rPr>
                <w:rFonts w:ascii="Arial Narrow" w:hAnsi="Arial Narrow"/>
                <w:b/>
                <w:bCs/>
                <w:sz w:val="20"/>
                <w:szCs w:val="20"/>
              </w:rPr>
              <w:t>Treatment Phase:</w:t>
            </w:r>
            <w:r w:rsidRPr="004D0075">
              <w:rPr>
                <w:rFonts w:ascii="Arial Narrow" w:hAnsi="Arial Narrow"/>
                <w:sz w:val="20"/>
                <w:szCs w:val="20"/>
              </w:rPr>
              <w:t xml:space="preserve"> Continuing treatment (every 4 weeks)</w:t>
            </w:r>
          </w:p>
        </w:tc>
      </w:tr>
      <w:tr w:rsidR="00DB1589" w:rsidRPr="004D0075" w14:paraId="5A09A1B3"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0F12A9D2" w14:textId="77777777" w:rsidR="00DB1589" w:rsidRPr="004D0075" w:rsidRDefault="00DB1589" w:rsidP="00944724">
            <w:pPr>
              <w:keepNext/>
              <w:rPr>
                <w:rFonts w:ascii="Arial Narrow" w:hAnsi="Arial Narrow"/>
                <w:sz w:val="20"/>
                <w:szCs w:val="20"/>
              </w:rPr>
            </w:pPr>
            <w:r w:rsidRPr="004D0075">
              <w:rPr>
                <w:rFonts w:ascii="Arial Narrow" w:hAnsi="Arial Narrow"/>
                <w:b/>
                <w:bCs/>
                <w:sz w:val="20"/>
                <w:szCs w:val="20"/>
              </w:rPr>
              <w:t>Clinical criteria:</w:t>
            </w:r>
          </w:p>
        </w:tc>
      </w:tr>
      <w:tr w:rsidR="00DB1589" w:rsidRPr="004D0075" w14:paraId="479D660E"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3E8D23A6" w14:textId="77777777" w:rsidR="00DB1589" w:rsidRPr="004D0075" w:rsidRDefault="00DB1589" w:rsidP="001A64F4">
            <w:pPr>
              <w:jc w:val="left"/>
              <w:rPr>
                <w:rFonts w:ascii="Arial Narrow" w:hAnsi="Arial Narrow"/>
                <w:sz w:val="20"/>
                <w:szCs w:val="20"/>
              </w:rPr>
            </w:pPr>
            <w:r w:rsidRPr="004D0075">
              <w:rPr>
                <w:rFonts w:ascii="Arial Narrow" w:hAnsi="Arial Narrow"/>
                <w:sz w:val="20"/>
                <w:szCs w:val="20"/>
              </w:rPr>
              <w:t>Patient must require therapy with this drug for this condition administered every 4 weeks</w:t>
            </w:r>
          </w:p>
        </w:tc>
      </w:tr>
      <w:tr w:rsidR="00DB1589" w:rsidRPr="004D0075" w14:paraId="2FE07C1C"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7C60FD40" w14:textId="77777777" w:rsidR="00DB1589" w:rsidRPr="004D0075" w:rsidRDefault="00DB1589" w:rsidP="001A64F4">
            <w:pPr>
              <w:jc w:val="left"/>
              <w:rPr>
                <w:rFonts w:ascii="Arial Narrow" w:hAnsi="Arial Narrow"/>
                <w:b/>
                <w:bCs/>
                <w:sz w:val="20"/>
                <w:szCs w:val="20"/>
              </w:rPr>
            </w:pPr>
            <w:r w:rsidRPr="004D0075">
              <w:rPr>
                <w:rFonts w:ascii="Arial Narrow" w:hAnsi="Arial Narrow"/>
                <w:b/>
                <w:bCs/>
                <w:sz w:val="20"/>
                <w:szCs w:val="20"/>
              </w:rPr>
              <w:t>AND</w:t>
            </w:r>
          </w:p>
        </w:tc>
      </w:tr>
      <w:tr w:rsidR="00DB1589" w:rsidRPr="004D0075" w14:paraId="4A89EE2A"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205FB63" w14:textId="77777777" w:rsidR="00DB1589" w:rsidRPr="004D0075" w:rsidRDefault="00DB1589" w:rsidP="001A64F4">
            <w:pPr>
              <w:jc w:val="left"/>
              <w:rPr>
                <w:rFonts w:ascii="Arial Narrow" w:hAnsi="Arial Narrow"/>
                <w:b/>
                <w:bCs/>
                <w:sz w:val="20"/>
                <w:szCs w:val="20"/>
              </w:rPr>
            </w:pPr>
            <w:r w:rsidRPr="004D0075">
              <w:rPr>
                <w:rFonts w:ascii="Arial Narrow" w:hAnsi="Arial Narrow"/>
                <w:b/>
                <w:bCs/>
                <w:sz w:val="20"/>
                <w:szCs w:val="20"/>
              </w:rPr>
              <w:t>Clinical criteria:</w:t>
            </w:r>
          </w:p>
        </w:tc>
      </w:tr>
      <w:tr w:rsidR="00DB1589" w:rsidRPr="004D0075" w14:paraId="35A75E34"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28829BFF" w14:textId="32ED2CD8" w:rsidR="00DB1589" w:rsidRPr="004D0075" w:rsidRDefault="001674CB" w:rsidP="001A64F4">
            <w:pPr>
              <w:jc w:val="left"/>
              <w:rPr>
                <w:rFonts w:ascii="Arial Narrow" w:hAnsi="Arial Narrow"/>
                <w:sz w:val="20"/>
                <w:szCs w:val="20"/>
              </w:rPr>
            </w:pPr>
            <w:r w:rsidRPr="004D0075">
              <w:rPr>
                <w:rFonts w:ascii="Arial Narrow" w:hAnsi="Arial Narrow"/>
                <w:sz w:val="20"/>
                <w:szCs w:val="20"/>
              </w:rPr>
              <w:t>Patient must have received a balance of supply (every 4 weeks) as their most recent course of PBS-subsidised biological medicine treatment for this condition; OR</w:t>
            </w:r>
          </w:p>
        </w:tc>
      </w:tr>
      <w:tr w:rsidR="001674CB" w:rsidRPr="004D0075" w14:paraId="17C98B47"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7D8EB59" w14:textId="75BEC36D" w:rsidR="001674CB" w:rsidRPr="004D0075" w:rsidRDefault="00191277" w:rsidP="001A64F4">
            <w:pPr>
              <w:jc w:val="left"/>
              <w:rPr>
                <w:rFonts w:ascii="Arial Narrow" w:hAnsi="Arial Narrow"/>
                <w:sz w:val="20"/>
                <w:szCs w:val="20"/>
              </w:rPr>
            </w:pPr>
            <w:r w:rsidRPr="004D0075">
              <w:rPr>
                <w:rFonts w:ascii="Arial Narrow" w:hAnsi="Arial Narrow"/>
                <w:sz w:val="20"/>
                <w:szCs w:val="20"/>
              </w:rPr>
              <w:t xml:space="preserve">Patient must have received this drug administered </w:t>
            </w:r>
            <w:r w:rsidR="005C4205">
              <w:rPr>
                <w:rFonts w:ascii="Arial Narrow" w:hAnsi="Arial Narrow"/>
                <w:sz w:val="20"/>
                <w:szCs w:val="20"/>
              </w:rPr>
              <w:t>e</w:t>
            </w:r>
            <w:r w:rsidRPr="004D0075">
              <w:rPr>
                <w:rFonts w:ascii="Arial Narrow" w:hAnsi="Arial Narrow"/>
                <w:sz w:val="20"/>
                <w:szCs w:val="20"/>
              </w:rPr>
              <w:t>very 4 weeks as their most recent course of PBS-subsidised biological medicine for this condition under the vedolizumab 300 mg IV continuing restriction (Q4W),</w:t>
            </w:r>
          </w:p>
        </w:tc>
      </w:tr>
      <w:tr w:rsidR="00191277" w:rsidRPr="004D0075" w14:paraId="35DA42AE"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157F18B" w14:textId="1C49C21D" w:rsidR="00191277" w:rsidRPr="004D0075" w:rsidRDefault="00191277" w:rsidP="00191277">
            <w:pPr>
              <w:jc w:val="left"/>
              <w:rPr>
                <w:rFonts w:ascii="Arial Narrow" w:hAnsi="Arial Narrow"/>
                <w:sz w:val="20"/>
                <w:szCs w:val="20"/>
              </w:rPr>
            </w:pPr>
            <w:r w:rsidRPr="004D0075">
              <w:rPr>
                <w:rFonts w:ascii="Arial Narrow" w:hAnsi="Arial Narrow"/>
                <w:b/>
                <w:bCs/>
                <w:sz w:val="20"/>
                <w:szCs w:val="20"/>
              </w:rPr>
              <w:t>AND</w:t>
            </w:r>
          </w:p>
        </w:tc>
      </w:tr>
      <w:tr w:rsidR="00191277" w:rsidRPr="004D0075" w14:paraId="57EE77FB"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6280256" w14:textId="54A88EE4" w:rsidR="00191277" w:rsidRPr="004D0075" w:rsidRDefault="00191277" w:rsidP="00191277">
            <w:pPr>
              <w:jc w:val="left"/>
              <w:rPr>
                <w:rFonts w:ascii="Arial Narrow" w:hAnsi="Arial Narrow"/>
                <w:sz w:val="20"/>
                <w:szCs w:val="20"/>
              </w:rPr>
            </w:pPr>
            <w:r w:rsidRPr="004D0075">
              <w:rPr>
                <w:rFonts w:ascii="Arial Narrow" w:hAnsi="Arial Narrow"/>
                <w:b/>
                <w:bCs/>
                <w:sz w:val="20"/>
                <w:szCs w:val="20"/>
              </w:rPr>
              <w:t>Clinical criteria:</w:t>
            </w:r>
          </w:p>
        </w:tc>
      </w:tr>
      <w:tr w:rsidR="00191277" w:rsidRPr="004D0075" w14:paraId="7D26E008"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232AD15" w14:textId="6FC4F502" w:rsidR="00191277" w:rsidRPr="004D0075" w:rsidRDefault="00003323" w:rsidP="001A64F4">
            <w:pPr>
              <w:jc w:val="left"/>
              <w:rPr>
                <w:rFonts w:ascii="Arial Narrow" w:hAnsi="Arial Narrow"/>
                <w:sz w:val="20"/>
                <w:szCs w:val="20"/>
              </w:rPr>
            </w:pPr>
            <w:r w:rsidRPr="004D0075">
              <w:rPr>
                <w:rFonts w:ascii="Arial Narrow" w:hAnsi="Arial Narrow"/>
                <w:sz w:val="20"/>
                <w:szCs w:val="20"/>
              </w:rPr>
              <w:t xml:space="preserve">Patient must have demonstrated or sustained an adequate response to treatment by having a partial Mayo clinic score less than or equal to 2, with no </w:t>
            </w:r>
            <w:r w:rsidR="0055125C" w:rsidRPr="004D0075">
              <w:rPr>
                <w:rFonts w:ascii="Arial Narrow" w:hAnsi="Arial Narrow"/>
                <w:sz w:val="20"/>
                <w:szCs w:val="20"/>
              </w:rPr>
              <w:t>sub score</w:t>
            </w:r>
            <w:r w:rsidRPr="004D0075">
              <w:rPr>
                <w:rFonts w:ascii="Arial Narrow" w:hAnsi="Arial Narrow"/>
                <w:sz w:val="20"/>
                <w:szCs w:val="20"/>
              </w:rPr>
              <w:t xml:space="preserve"> greater than 1 while receiving treatment with this drug.</w:t>
            </w:r>
          </w:p>
        </w:tc>
      </w:tr>
      <w:tr w:rsidR="00003323" w:rsidRPr="004D0075" w14:paraId="49812B9C"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8719C2C" w14:textId="77A30EDC" w:rsidR="00003323" w:rsidRPr="004D0075" w:rsidRDefault="00003323" w:rsidP="00003323">
            <w:pPr>
              <w:jc w:val="left"/>
              <w:rPr>
                <w:rFonts w:ascii="Arial Narrow" w:hAnsi="Arial Narrow"/>
                <w:sz w:val="20"/>
                <w:szCs w:val="20"/>
              </w:rPr>
            </w:pPr>
            <w:r w:rsidRPr="004D0075">
              <w:rPr>
                <w:rFonts w:ascii="Arial Narrow" w:hAnsi="Arial Narrow"/>
                <w:b/>
                <w:bCs/>
                <w:sz w:val="20"/>
                <w:szCs w:val="20"/>
              </w:rPr>
              <w:t>AND</w:t>
            </w:r>
          </w:p>
        </w:tc>
      </w:tr>
      <w:tr w:rsidR="00003323" w:rsidRPr="004D0075" w14:paraId="15B3106A"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854BBBC" w14:textId="457E1159" w:rsidR="00003323" w:rsidRPr="004D0075" w:rsidRDefault="00003323" w:rsidP="00003323">
            <w:pPr>
              <w:jc w:val="left"/>
              <w:rPr>
                <w:rFonts w:ascii="Arial Narrow" w:hAnsi="Arial Narrow"/>
                <w:sz w:val="20"/>
                <w:szCs w:val="20"/>
              </w:rPr>
            </w:pPr>
            <w:r w:rsidRPr="004D0075">
              <w:rPr>
                <w:rFonts w:ascii="Arial Narrow" w:hAnsi="Arial Narrow"/>
                <w:b/>
                <w:bCs/>
                <w:sz w:val="20"/>
                <w:szCs w:val="20"/>
              </w:rPr>
              <w:t>Clinical criteria:</w:t>
            </w:r>
          </w:p>
        </w:tc>
      </w:tr>
      <w:tr w:rsidR="00003323" w:rsidRPr="004D0075" w14:paraId="6DAEC508" w14:textId="77777777" w:rsidTr="00B254A1">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AABD8F3" w14:textId="6ACF9C60" w:rsidR="00003323" w:rsidRPr="004D0075" w:rsidRDefault="001A2BFF" w:rsidP="001A64F4">
            <w:pPr>
              <w:jc w:val="left"/>
              <w:rPr>
                <w:rFonts w:ascii="Arial Narrow" w:hAnsi="Arial Narrow"/>
                <w:sz w:val="20"/>
                <w:szCs w:val="20"/>
              </w:rPr>
            </w:pPr>
            <w:r w:rsidRPr="004D0075">
              <w:rPr>
                <w:rFonts w:ascii="Arial Narrow" w:hAnsi="Arial Narrow"/>
                <w:sz w:val="20"/>
                <w:szCs w:val="20"/>
              </w:rPr>
              <w:t>Patient must not receive more than 24 weeks of treatment under this restriction</w:t>
            </w:r>
          </w:p>
        </w:tc>
      </w:tr>
    </w:tbl>
    <w:p w14:paraId="48E1B63F" w14:textId="77777777" w:rsidR="00DB1589" w:rsidRPr="004D0075" w:rsidRDefault="00DB1589" w:rsidP="005678CC">
      <w:pPr>
        <w:pStyle w:val="3-BodyText"/>
        <w:numPr>
          <w:ilvl w:val="0"/>
          <w:numId w:val="0"/>
        </w:numPr>
        <w:rPr>
          <w:rFonts w:cstheme="minorHAnsi"/>
        </w:rPr>
      </w:pPr>
    </w:p>
    <w:p w14:paraId="1CD0A57C" w14:textId="1AC35A07" w:rsidR="008F5E06" w:rsidRPr="00B722FC" w:rsidRDefault="00A25205" w:rsidP="004E6112">
      <w:pPr>
        <w:pStyle w:val="5-SubsectionSubheading"/>
        <w:rPr>
          <w:rFonts w:ascii="Arial Narrow" w:hAnsi="Arial Narrow" w:cstheme="minorHAnsi"/>
          <w:sz w:val="20"/>
          <w:szCs w:val="20"/>
        </w:rPr>
      </w:pPr>
      <w:r w:rsidRPr="00B722FC">
        <w:rPr>
          <w:rFonts w:ascii="Arial Narrow" w:hAnsi="Arial Narrow"/>
          <w:sz w:val="20"/>
          <w:szCs w:val="20"/>
        </w:rPr>
        <w:t>S</w:t>
      </w:r>
      <w:r w:rsidR="008F5E06" w:rsidRPr="00B722FC">
        <w:rPr>
          <w:rFonts w:ascii="Arial Narrow" w:hAnsi="Arial Narrow"/>
          <w:sz w:val="20"/>
          <w:szCs w:val="20"/>
        </w:rPr>
        <w:t>evere Crohn disease</w:t>
      </w:r>
      <w:r w:rsidR="00DB1589" w:rsidRPr="00B722FC">
        <w:rPr>
          <w:rFonts w:ascii="Arial Narrow" w:hAnsi="Arial Narrow"/>
          <w:sz w:val="20"/>
          <w:szCs w:val="20"/>
        </w:rPr>
        <w:t xml:space="preserve"> </w:t>
      </w:r>
      <w:r w:rsidR="0039711E">
        <w:rPr>
          <w:rFonts w:ascii="Arial Narrow" w:hAnsi="Arial Narrow"/>
          <w:sz w:val="20"/>
          <w:szCs w:val="20"/>
        </w:rPr>
        <w:t>- B</w:t>
      </w:r>
      <w:r w:rsidR="00DB1589" w:rsidRPr="00B722FC">
        <w:rPr>
          <w:rFonts w:ascii="Arial Narrow" w:hAnsi="Arial Narrow"/>
          <w:sz w:val="20"/>
          <w:szCs w:val="20"/>
        </w:rPr>
        <w:t xml:space="preserve">alance of </w:t>
      </w:r>
      <w:r w:rsidR="0039711E">
        <w:rPr>
          <w:rFonts w:ascii="Arial Narrow" w:hAnsi="Arial Narrow"/>
          <w:sz w:val="20"/>
          <w:szCs w:val="20"/>
        </w:rPr>
        <w:t>S</w:t>
      </w:r>
      <w:r w:rsidR="00DB1589" w:rsidRPr="00B722FC">
        <w:rPr>
          <w:rFonts w:ascii="Arial Narrow" w:hAnsi="Arial Narrow"/>
          <w:sz w:val="20"/>
          <w:szCs w:val="20"/>
        </w:rPr>
        <w:t>upply</w:t>
      </w:r>
      <w:r w:rsidR="0039711E">
        <w:rPr>
          <w:rFonts w:ascii="Arial Narrow" w:hAnsi="Arial Narrow"/>
          <w:sz w:val="20"/>
          <w:szCs w:val="20"/>
        </w:rPr>
        <w:t xml:space="preserve"> (BoS)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Severe Crohn disease - Balance of Supply (BoS)"/>
      </w:tblPr>
      <w:tblGrid>
        <w:gridCol w:w="3938"/>
        <w:gridCol w:w="811"/>
        <w:gridCol w:w="812"/>
        <w:gridCol w:w="811"/>
        <w:gridCol w:w="812"/>
        <w:gridCol w:w="1882"/>
      </w:tblGrid>
      <w:tr w:rsidR="005F5DE6" w:rsidRPr="004D0075" w14:paraId="38BE6D67" w14:textId="77777777" w:rsidTr="00B254A1">
        <w:trPr>
          <w:cantSplit/>
          <w:trHeight w:val="20"/>
        </w:trPr>
        <w:tc>
          <w:tcPr>
            <w:tcW w:w="3939" w:type="dxa"/>
            <w:vAlign w:val="center"/>
          </w:tcPr>
          <w:p w14:paraId="79A4A855" w14:textId="77777777" w:rsidR="005F5DE6" w:rsidRPr="004D0075" w:rsidRDefault="005F5DE6" w:rsidP="00415D1C">
            <w:pPr>
              <w:keepLines/>
              <w:rPr>
                <w:rFonts w:ascii="Arial Narrow" w:hAnsi="Arial Narrow" w:cs="Arial"/>
                <w:b/>
                <w:bCs/>
                <w:sz w:val="20"/>
                <w:szCs w:val="20"/>
              </w:rPr>
            </w:pPr>
            <w:r w:rsidRPr="004D0075">
              <w:rPr>
                <w:rFonts w:ascii="Arial Narrow" w:hAnsi="Arial Narrow" w:cs="Arial"/>
                <w:b/>
                <w:bCs/>
                <w:sz w:val="20"/>
                <w:szCs w:val="20"/>
              </w:rPr>
              <w:t>MEDICINAL PRODUCT</w:t>
            </w:r>
          </w:p>
          <w:p w14:paraId="3CDABB7E" w14:textId="77777777" w:rsidR="005F5DE6" w:rsidRPr="004D0075" w:rsidRDefault="005F5DE6" w:rsidP="00415D1C">
            <w:pPr>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811" w:type="dxa"/>
            <w:vAlign w:val="center"/>
          </w:tcPr>
          <w:p w14:paraId="2E5798EE" w14:textId="77777777" w:rsidR="005F5DE6" w:rsidRPr="004D0075" w:rsidRDefault="005F5DE6" w:rsidP="00415D1C">
            <w:pPr>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7192B93A" w14:textId="77777777" w:rsidR="005F5DE6" w:rsidRPr="004D0075" w:rsidRDefault="005F5DE6" w:rsidP="00415D1C">
            <w:pPr>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24D8CCF3" w14:textId="77777777" w:rsidR="005F5DE6" w:rsidRPr="004D0075" w:rsidRDefault="005F5DE6" w:rsidP="00415D1C">
            <w:pPr>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2C3B48E4" w14:textId="77777777" w:rsidR="005F5DE6" w:rsidRPr="004D0075" w:rsidRDefault="005F5DE6" w:rsidP="00415D1C">
            <w:pPr>
              <w:keepLines/>
              <w:jc w:val="center"/>
              <w:rPr>
                <w:rFonts w:ascii="Arial Narrow" w:hAnsi="Arial Narrow" w:cs="Arial"/>
                <w:b/>
                <w:sz w:val="20"/>
                <w:szCs w:val="20"/>
              </w:rPr>
            </w:pPr>
            <w:r w:rsidRPr="004D0075">
              <w:rPr>
                <w:rFonts w:ascii="Arial Narrow" w:hAnsi="Arial Narrow" w:cs="Arial"/>
                <w:b/>
                <w:sz w:val="20"/>
                <w:szCs w:val="20"/>
              </w:rPr>
              <w:t>№.of</w:t>
            </w:r>
          </w:p>
          <w:p w14:paraId="796818A8" w14:textId="77777777" w:rsidR="005F5DE6" w:rsidRPr="004D0075" w:rsidRDefault="005F5DE6" w:rsidP="00415D1C">
            <w:pPr>
              <w:keepLines/>
              <w:jc w:val="center"/>
              <w:rPr>
                <w:rFonts w:ascii="Arial Narrow" w:hAnsi="Arial Narrow" w:cs="Arial"/>
                <w:b/>
                <w:sz w:val="20"/>
                <w:szCs w:val="20"/>
              </w:rPr>
            </w:pPr>
            <w:r w:rsidRPr="004D0075">
              <w:rPr>
                <w:rFonts w:ascii="Arial Narrow" w:hAnsi="Arial Narrow" w:cs="Arial"/>
                <w:b/>
                <w:sz w:val="20"/>
                <w:szCs w:val="20"/>
              </w:rPr>
              <w:t>Rpts</w:t>
            </w:r>
          </w:p>
        </w:tc>
        <w:tc>
          <w:tcPr>
            <w:tcW w:w="1882" w:type="dxa"/>
            <w:vAlign w:val="center"/>
          </w:tcPr>
          <w:p w14:paraId="2986F053" w14:textId="77777777" w:rsidR="005F5DE6" w:rsidRPr="004D0075" w:rsidRDefault="005F5DE6" w:rsidP="00415D1C">
            <w:pPr>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5F5DE6" w:rsidRPr="004D0075" w14:paraId="1FBF5DAD" w14:textId="77777777" w:rsidTr="00B254A1">
        <w:trPr>
          <w:cantSplit/>
          <w:trHeight w:val="20"/>
        </w:trPr>
        <w:tc>
          <w:tcPr>
            <w:tcW w:w="9067" w:type="dxa"/>
            <w:gridSpan w:val="6"/>
            <w:vAlign w:val="center"/>
          </w:tcPr>
          <w:p w14:paraId="7C77ECAB" w14:textId="0605D00F" w:rsidR="005F5DE6" w:rsidRPr="004D0075" w:rsidRDefault="00C53DCC" w:rsidP="00415D1C">
            <w:pPr>
              <w:keepLines/>
              <w:rPr>
                <w:rFonts w:ascii="Arial Narrow" w:hAnsi="Arial Narrow" w:cs="Arial"/>
                <w:sz w:val="20"/>
                <w:szCs w:val="20"/>
              </w:rPr>
            </w:pPr>
            <w:r>
              <w:rPr>
                <w:rFonts w:ascii="Arial Narrow" w:hAnsi="Arial Narrow" w:cs="Arial"/>
                <w:sz w:val="20"/>
                <w:szCs w:val="20"/>
              </w:rPr>
              <w:t>VEDOLIZUMAB</w:t>
            </w:r>
          </w:p>
        </w:tc>
      </w:tr>
      <w:tr w:rsidR="005F5DE6" w:rsidRPr="004D0075" w14:paraId="38CF545F" w14:textId="77777777" w:rsidTr="00B254A1">
        <w:trPr>
          <w:cantSplit/>
          <w:trHeight w:val="20"/>
        </w:trPr>
        <w:tc>
          <w:tcPr>
            <w:tcW w:w="3939" w:type="dxa"/>
            <w:vAlign w:val="center"/>
          </w:tcPr>
          <w:p w14:paraId="0B796B93" w14:textId="77777777" w:rsidR="005F5DE6" w:rsidRPr="004D0075" w:rsidRDefault="005F5DE6" w:rsidP="00415D1C">
            <w:pPr>
              <w:keepLines/>
              <w:rPr>
                <w:rFonts w:ascii="Arial Narrow" w:hAnsi="Arial Narrow" w:cs="Arial"/>
                <w:sz w:val="20"/>
                <w:szCs w:val="20"/>
              </w:rPr>
            </w:pPr>
            <w:r w:rsidRPr="004D0075">
              <w:rPr>
                <w:rFonts w:ascii="Arial Narrow" w:hAnsi="Arial Narrow" w:cs="Arial"/>
                <w:sz w:val="20"/>
                <w:szCs w:val="20"/>
              </w:rPr>
              <w:t>vedolizumab 300mg IV</w:t>
            </w:r>
          </w:p>
        </w:tc>
        <w:tc>
          <w:tcPr>
            <w:tcW w:w="811" w:type="dxa"/>
            <w:vAlign w:val="center"/>
          </w:tcPr>
          <w:p w14:paraId="4C20A2F2" w14:textId="77777777" w:rsidR="005F5DE6" w:rsidRPr="004D0075" w:rsidRDefault="005F5DE6" w:rsidP="00415D1C">
            <w:pPr>
              <w:keepLines/>
              <w:jc w:val="center"/>
              <w:rPr>
                <w:rFonts w:ascii="Arial Narrow" w:hAnsi="Arial Narrow" w:cs="Arial"/>
                <w:sz w:val="20"/>
                <w:szCs w:val="20"/>
              </w:rPr>
            </w:pPr>
            <w:r w:rsidRPr="004D0075">
              <w:rPr>
                <w:rFonts w:ascii="Arial Narrow" w:hAnsi="Arial Narrow" w:cs="Arial"/>
                <w:sz w:val="20"/>
                <w:szCs w:val="20"/>
              </w:rPr>
              <w:t>NEW</w:t>
            </w:r>
          </w:p>
        </w:tc>
        <w:tc>
          <w:tcPr>
            <w:tcW w:w="812" w:type="dxa"/>
            <w:vAlign w:val="center"/>
          </w:tcPr>
          <w:p w14:paraId="1B17EEC4" w14:textId="77777777" w:rsidR="005F5DE6" w:rsidRPr="004D0075" w:rsidRDefault="005F5DE6" w:rsidP="00415D1C">
            <w:pPr>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002F884F" w14:textId="77777777" w:rsidR="005F5DE6" w:rsidRPr="004D0075" w:rsidRDefault="005F5DE6" w:rsidP="00415D1C">
            <w:pPr>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3A8CED88" w14:textId="77777777" w:rsidR="005F5DE6" w:rsidRPr="004D0075" w:rsidRDefault="005F5DE6" w:rsidP="00415D1C">
            <w:pPr>
              <w:keepLines/>
              <w:jc w:val="center"/>
              <w:rPr>
                <w:rFonts w:ascii="Arial Narrow" w:hAnsi="Arial Narrow" w:cs="Arial"/>
                <w:sz w:val="20"/>
                <w:szCs w:val="20"/>
              </w:rPr>
            </w:pPr>
            <w:r w:rsidRPr="004D0075">
              <w:rPr>
                <w:rFonts w:ascii="Arial Narrow" w:hAnsi="Arial Narrow" w:cs="Arial"/>
                <w:sz w:val="20"/>
                <w:szCs w:val="20"/>
              </w:rPr>
              <w:t>2</w:t>
            </w:r>
          </w:p>
        </w:tc>
        <w:tc>
          <w:tcPr>
            <w:tcW w:w="1882" w:type="dxa"/>
            <w:vAlign w:val="center"/>
          </w:tcPr>
          <w:p w14:paraId="4B81420A" w14:textId="77777777" w:rsidR="005F5DE6" w:rsidRPr="004D0075" w:rsidRDefault="005F5DE6" w:rsidP="00415D1C">
            <w:pPr>
              <w:keepLines/>
              <w:rPr>
                <w:rFonts w:ascii="Arial Narrow" w:hAnsi="Arial Narrow" w:cs="Arial"/>
                <w:sz w:val="20"/>
                <w:szCs w:val="20"/>
              </w:rPr>
            </w:pPr>
            <w:r w:rsidRPr="004D0075">
              <w:rPr>
                <w:rFonts w:ascii="Arial Narrow" w:hAnsi="Arial Narrow" w:cs="Arial"/>
                <w:sz w:val="20"/>
                <w:szCs w:val="20"/>
              </w:rPr>
              <w:t>Entyvio</w:t>
            </w:r>
          </w:p>
        </w:tc>
      </w:tr>
      <w:tr w:rsidR="00413757" w:rsidRPr="004D0075" w14:paraId="0FB7740D" w14:textId="77777777" w:rsidTr="00B254A1">
        <w:tblPrEx>
          <w:tblCellMar>
            <w:top w:w="15" w:type="dxa"/>
            <w:bottom w:w="15" w:type="dxa"/>
          </w:tblCellMar>
        </w:tblPrEx>
        <w:trPr>
          <w:cantSplit/>
          <w:trHeight w:val="20"/>
        </w:trPr>
        <w:tc>
          <w:tcPr>
            <w:tcW w:w="9067" w:type="dxa"/>
            <w:gridSpan w:val="6"/>
            <w:vAlign w:val="center"/>
            <w:hideMark/>
          </w:tcPr>
          <w:p w14:paraId="28819ED7" w14:textId="78E4A5C3" w:rsidR="004B728E" w:rsidRPr="004D0075" w:rsidRDefault="004B728E" w:rsidP="00415D1C">
            <w:pPr>
              <w:keepLines/>
              <w:rPr>
                <w:rFonts w:ascii="Arial Narrow" w:hAnsi="Arial Narrow"/>
                <w:color w:val="333333"/>
                <w:sz w:val="20"/>
                <w:szCs w:val="20"/>
              </w:rPr>
            </w:pPr>
            <w:r w:rsidRPr="004D0075">
              <w:rPr>
                <w:rFonts w:ascii="Arial Narrow" w:hAnsi="Arial Narrow"/>
                <w:b/>
                <w:bCs/>
                <w:sz w:val="20"/>
                <w:szCs w:val="20"/>
              </w:rPr>
              <w:t xml:space="preserve">Indication: </w:t>
            </w:r>
            <w:r w:rsidRPr="004D0075">
              <w:rPr>
                <w:rFonts w:ascii="Arial Narrow" w:hAnsi="Arial Narrow"/>
                <w:color w:val="333333"/>
                <w:sz w:val="20"/>
                <w:szCs w:val="20"/>
              </w:rPr>
              <w:t>Severe Crohn disease</w:t>
            </w:r>
          </w:p>
        </w:tc>
      </w:tr>
      <w:tr w:rsidR="00413757" w:rsidRPr="004D0075" w14:paraId="036D58C9" w14:textId="77777777" w:rsidTr="00B254A1">
        <w:tblPrEx>
          <w:tblCellMar>
            <w:top w:w="15" w:type="dxa"/>
            <w:bottom w:w="15" w:type="dxa"/>
          </w:tblCellMar>
        </w:tblPrEx>
        <w:trPr>
          <w:cantSplit/>
          <w:trHeight w:val="20"/>
        </w:trPr>
        <w:tc>
          <w:tcPr>
            <w:tcW w:w="9067" w:type="dxa"/>
            <w:gridSpan w:val="6"/>
            <w:vAlign w:val="center"/>
            <w:hideMark/>
          </w:tcPr>
          <w:p w14:paraId="71AFE190" w14:textId="3F3E9476" w:rsidR="004B728E" w:rsidRPr="004D0075" w:rsidRDefault="004B728E" w:rsidP="00415D1C">
            <w:pPr>
              <w:rPr>
                <w:rFonts w:ascii="Arial Narrow" w:hAnsi="Arial Narrow"/>
                <w:color w:val="000000" w:themeColor="text1"/>
                <w:sz w:val="20"/>
                <w:szCs w:val="20"/>
              </w:rPr>
            </w:pPr>
            <w:r w:rsidRPr="004D0075">
              <w:rPr>
                <w:rFonts w:ascii="Arial Narrow" w:hAnsi="Arial Narrow"/>
                <w:b/>
                <w:bCs/>
                <w:color w:val="000000" w:themeColor="text1"/>
                <w:sz w:val="20"/>
                <w:szCs w:val="20"/>
              </w:rPr>
              <w:t>Treatment Phase:</w:t>
            </w:r>
            <w:r w:rsidRPr="004D0075">
              <w:rPr>
                <w:rFonts w:ascii="Arial Narrow" w:hAnsi="Arial Narrow"/>
                <w:color w:val="000000" w:themeColor="text1"/>
                <w:sz w:val="20"/>
                <w:szCs w:val="20"/>
              </w:rPr>
              <w:t xml:space="preserve"> </w:t>
            </w:r>
            <w:r w:rsidRPr="004D0075">
              <w:rPr>
                <w:rFonts w:ascii="Arial Narrow" w:hAnsi="Arial Narrow"/>
                <w:color w:val="333333"/>
                <w:sz w:val="20"/>
                <w:szCs w:val="20"/>
              </w:rPr>
              <w:t>Balance of supply (every 4 week)</w:t>
            </w:r>
          </w:p>
        </w:tc>
      </w:tr>
      <w:tr w:rsidR="00413757" w:rsidRPr="004D0075" w14:paraId="6EB556D8" w14:textId="77777777" w:rsidTr="00B254A1">
        <w:tblPrEx>
          <w:tblCellMar>
            <w:top w:w="15" w:type="dxa"/>
            <w:bottom w:w="15" w:type="dxa"/>
          </w:tblCellMar>
        </w:tblPrEx>
        <w:trPr>
          <w:cantSplit/>
          <w:trHeight w:val="20"/>
        </w:trPr>
        <w:tc>
          <w:tcPr>
            <w:tcW w:w="9067" w:type="dxa"/>
            <w:gridSpan w:val="6"/>
            <w:vAlign w:val="center"/>
            <w:hideMark/>
          </w:tcPr>
          <w:p w14:paraId="6A0220E8" w14:textId="77777777" w:rsidR="004B728E" w:rsidRPr="004D0075" w:rsidRDefault="004B728E" w:rsidP="00415D1C">
            <w:pPr>
              <w:rPr>
                <w:rFonts w:ascii="Arial Narrow" w:hAnsi="Arial Narrow"/>
                <w:color w:val="000000" w:themeColor="text1"/>
                <w:sz w:val="20"/>
                <w:szCs w:val="20"/>
              </w:rPr>
            </w:pPr>
            <w:r w:rsidRPr="004D0075">
              <w:rPr>
                <w:rFonts w:ascii="Arial Narrow" w:hAnsi="Arial Narrow"/>
                <w:b/>
                <w:bCs/>
                <w:color w:val="000000" w:themeColor="text1"/>
                <w:sz w:val="20"/>
                <w:szCs w:val="20"/>
              </w:rPr>
              <w:t>Clinical criteria:</w:t>
            </w:r>
          </w:p>
        </w:tc>
      </w:tr>
      <w:tr w:rsidR="00413757" w:rsidRPr="004D0075" w14:paraId="35001EC7" w14:textId="77777777" w:rsidTr="00B254A1">
        <w:tblPrEx>
          <w:tblCellMar>
            <w:top w:w="15" w:type="dxa"/>
            <w:bottom w:w="15" w:type="dxa"/>
          </w:tblCellMar>
        </w:tblPrEx>
        <w:trPr>
          <w:cantSplit/>
          <w:trHeight w:val="20"/>
        </w:trPr>
        <w:tc>
          <w:tcPr>
            <w:tcW w:w="9067" w:type="dxa"/>
            <w:gridSpan w:val="6"/>
            <w:vAlign w:val="center"/>
            <w:hideMark/>
          </w:tcPr>
          <w:p w14:paraId="002C0D1F" w14:textId="0F0E1982" w:rsidR="004B728E" w:rsidRPr="004D0075" w:rsidRDefault="004B728E" w:rsidP="00415D1C">
            <w:pPr>
              <w:jc w:val="left"/>
              <w:rPr>
                <w:rFonts w:ascii="Arial Narrow" w:hAnsi="Arial Narrow"/>
                <w:color w:val="000000" w:themeColor="text1"/>
                <w:sz w:val="20"/>
                <w:szCs w:val="20"/>
              </w:rPr>
            </w:pPr>
            <w:r w:rsidRPr="004D0075">
              <w:rPr>
                <w:rFonts w:ascii="Arial Narrow" w:hAnsi="Arial Narrow"/>
                <w:color w:val="333333"/>
                <w:sz w:val="20"/>
                <w:szCs w:val="20"/>
              </w:rPr>
              <w:t>Patient must require therapy with this drug for this condition administered every 4 weeks</w:t>
            </w:r>
          </w:p>
        </w:tc>
      </w:tr>
      <w:tr w:rsidR="00413757" w:rsidRPr="004D0075" w14:paraId="27D6A6BE" w14:textId="77777777" w:rsidTr="00B254A1">
        <w:tblPrEx>
          <w:tblCellMar>
            <w:top w:w="15" w:type="dxa"/>
            <w:bottom w:w="15" w:type="dxa"/>
          </w:tblCellMar>
        </w:tblPrEx>
        <w:trPr>
          <w:cantSplit/>
          <w:trHeight w:val="20"/>
        </w:trPr>
        <w:tc>
          <w:tcPr>
            <w:tcW w:w="9067" w:type="dxa"/>
            <w:gridSpan w:val="6"/>
            <w:vAlign w:val="center"/>
            <w:hideMark/>
          </w:tcPr>
          <w:p w14:paraId="60DA0AA1" w14:textId="77777777" w:rsidR="004B728E" w:rsidRPr="004D0075" w:rsidRDefault="004B728E" w:rsidP="00415D1C">
            <w:pPr>
              <w:jc w:val="left"/>
              <w:rPr>
                <w:rFonts w:ascii="Arial Narrow" w:hAnsi="Arial Narrow"/>
                <w:b/>
                <w:bCs/>
                <w:color w:val="000000" w:themeColor="text1"/>
                <w:sz w:val="20"/>
                <w:szCs w:val="20"/>
              </w:rPr>
            </w:pPr>
            <w:r w:rsidRPr="004D0075">
              <w:rPr>
                <w:rFonts w:ascii="Arial Narrow" w:hAnsi="Arial Narrow"/>
                <w:b/>
                <w:bCs/>
                <w:color w:val="000000" w:themeColor="text1"/>
                <w:sz w:val="20"/>
                <w:szCs w:val="20"/>
              </w:rPr>
              <w:t>AND</w:t>
            </w:r>
          </w:p>
        </w:tc>
      </w:tr>
      <w:tr w:rsidR="00413757" w:rsidRPr="004D0075" w14:paraId="2D44AB91" w14:textId="77777777" w:rsidTr="00B254A1">
        <w:tblPrEx>
          <w:tblCellMar>
            <w:top w:w="15" w:type="dxa"/>
            <w:bottom w:w="15" w:type="dxa"/>
          </w:tblCellMar>
        </w:tblPrEx>
        <w:trPr>
          <w:cantSplit/>
          <w:trHeight w:val="20"/>
        </w:trPr>
        <w:tc>
          <w:tcPr>
            <w:tcW w:w="9067" w:type="dxa"/>
            <w:gridSpan w:val="6"/>
            <w:vAlign w:val="center"/>
          </w:tcPr>
          <w:p w14:paraId="5B2B756D" w14:textId="77777777" w:rsidR="004B728E" w:rsidRPr="004D0075" w:rsidRDefault="004B728E" w:rsidP="00415D1C">
            <w:pPr>
              <w:jc w:val="left"/>
              <w:rPr>
                <w:rFonts w:ascii="Arial Narrow" w:hAnsi="Arial Narrow"/>
                <w:b/>
                <w:bCs/>
                <w:color w:val="000000" w:themeColor="text1"/>
                <w:sz w:val="20"/>
                <w:szCs w:val="20"/>
              </w:rPr>
            </w:pPr>
            <w:r w:rsidRPr="004D0075">
              <w:rPr>
                <w:rFonts w:ascii="Arial Narrow" w:hAnsi="Arial Narrow"/>
                <w:b/>
                <w:bCs/>
                <w:color w:val="000000" w:themeColor="text1"/>
                <w:sz w:val="20"/>
                <w:szCs w:val="20"/>
              </w:rPr>
              <w:t>Clinical criteria:</w:t>
            </w:r>
          </w:p>
        </w:tc>
      </w:tr>
      <w:tr w:rsidR="00413757" w:rsidRPr="004D0075" w14:paraId="384BD09C" w14:textId="77777777" w:rsidTr="00B254A1">
        <w:tblPrEx>
          <w:tblCellMar>
            <w:top w:w="15" w:type="dxa"/>
            <w:bottom w:w="15" w:type="dxa"/>
          </w:tblCellMar>
        </w:tblPrEx>
        <w:trPr>
          <w:cantSplit/>
          <w:trHeight w:val="20"/>
        </w:trPr>
        <w:tc>
          <w:tcPr>
            <w:tcW w:w="9067" w:type="dxa"/>
            <w:gridSpan w:val="6"/>
            <w:vAlign w:val="center"/>
            <w:hideMark/>
          </w:tcPr>
          <w:p w14:paraId="6AB4E1EA" w14:textId="7AA7CA7B" w:rsidR="004B728E" w:rsidRPr="004D0075" w:rsidRDefault="004B728E" w:rsidP="00415D1C">
            <w:pPr>
              <w:jc w:val="left"/>
              <w:rPr>
                <w:rFonts w:ascii="Arial Narrow" w:hAnsi="Arial Narrow"/>
                <w:color w:val="000000" w:themeColor="text1"/>
                <w:sz w:val="20"/>
                <w:szCs w:val="20"/>
              </w:rPr>
            </w:pPr>
            <w:r w:rsidRPr="004D0075">
              <w:rPr>
                <w:rFonts w:ascii="Arial Narrow" w:hAnsi="Arial Narrow"/>
                <w:color w:val="333333"/>
                <w:sz w:val="20"/>
                <w:szCs w:val="20"/>
              </w:rPr>
              <w:t>Patient must have received insufficient therapy with this drug for this condition under the continuing treatment restriction (allowing for treatment every 8 weeks)</w:t>
            </w:r>
          </w:p>
        </w:tc>
      </w:tr>
    </w:tbl>
    <w:p w14:paraId="1801C0B9" w14:textId="7215F444" w:rsidR="002954DC" w:rsidRDefault="002954DC" w:rsidP="004E6112"/>
    <w:p w14:paraId="4F48BEBA" w14:textId="77777777" w:rsidR="002954DC" w:rsidRDefault="002954DC">
      <w:pPr>
        <w:jc w:val="left"/>
      </w:pPr>
      <w:r>
        <w:br w:type="page"/>
      </w:r>
    </w:p>
    <w:p w14:paraId="5C9242B5" w14:textId="77777777" w:rsidR="00DB1589" w:rsidRPr="004D0075" w:rsidRDefault="00DB1589" w:rsidP="004E6112"/>
    <w:p w14:paraId="18205778" w14:textId="5BA15701" w:rsidR="008F5E06" w:rsidRPr="0039711E" w:rsidRDefault="00DB1589" w:rsidP="0095148A">
      <w:pPr>
        <w:pStyle w:val="5-SubsectionSubheading"/>
        <w:rPr>
          <w:rFonts w:ascii="Arial Narrow" w:hAnsi="Arial Narrow"/>
          <w:sz w:val="20"/>
          <w:szCs w:val="20"/>
        </w:rPr>
      </w:pPr>
      <w:r w:rsidRPr="0039711E">
        <w:rPr>
          <w:rFonts w:ascii="Arial Narrow" w:hAnsi="Arial Narrow"/>
          <w:sz w:val="20"/>
          <w:szCs w:val="20"/>
        </w:rPr>
        <w:t>Severe Crohn disease</w:t>
      </w:r>
      <w:r w:rsidR="0039711E">
        <w:rPr>
          <w:rFonts w:ascii="Arial Narrow" w:hAnsi="Arial Narrow"/>
          <w:sz w:val="20"/>
          <w:szCs w:val="20"/>
        </w:rPr>
        <w:t xml:space="preserve"> –</w:t>
      </w:r>
      <w:r w:rsidRPr="0039711E">
        <w:rPr>
          <w:rFonts w:ascii="Arial Narrow" w:hAnsi="Arial Narrow"/>
          <w:sz w:val="20"/>
          <w:szCs w:val="20"/>
        </w:rPr>
        <w:t xml:space="preserve"> </w:t>
      </w:r>
      <w:r w:rsidR="0039711E">
        <w:rPr>
          <w:rFonts w:ascii="Arial Narrow" w:hAnsi="Arial Narrow"/>
          <w:sz w:val="20"/>
          <w:szCs w:val="20"/>
        </w:rPr>
        <w:t>C</w:t>
      </w:r>
      <w:r w:rsidRPr="0039711E">
        <w:rPr>
          <w:rFonts w:ascii="Arial Narrow" w:hAnsi="Arial Narrow"/>
          <w:sz w:val="20"/>
          <w:szCs w:val="20"/>
        </w:rPr>
        <w:t>ontinuing</w:t>
      </w:r>
      <w:r w:rsidR="0039711E">
        <w:rPr>
          <w:rFonts w:ascii="Arial Narrow" w:hAnsi="Arial Narrow"/>
          <w:sz w:val="20"/>
          <w:szCs w:val="20"/>
        </w:rPr>
        <w:t xml:space="preserve"> Treatment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Severe Crohn disease – Continuing Treatment"/>
      </w:tblPr>
      <w:tblGrid>
        <w:gridCol w:w="3938"/>
        <w:gridCol w:w="811"/>
        <w:gridCol w:w="812"/>
        <w:gridCol w:w="811"/>
        <w:gridCol w:w="812"/>
        <w:gridCol w:w="1882"/>
      </w:tblGrid>
      <w:tr w:rsidR="005F2088" w:rsidRPr="004D0075" w14:paraId="6838F9B3" w14:textId="77777777" w:rsidTr="00B254A1">
        <w:trPr>
          <w:cantSplit/>
          <w:trHeight w:val="20"/>
        </w:trPr>
        <w:tc>
          <w:tcPr>
            <w:tcW w:w="3939" w:type="dxa"/>
            <w:vAlign w:val="center"/>
          </w:tcPr>
          <w:p w14:paraId="52C15047" w14:textId="77777777" w:rsidR="005F2088" w:rsidRPr="004D0075" w:rsidRDefault="005F2088" w:rsidP="0095148A">
            <w:pPr>
              <w:keepNext/>
              <w:keepLines/>
              <w:rPr>
                <w:rFonts w:ascii="Arial Narrow" w:hAnsi="Arial Narrow" w:cs="Arial"/>
                <w:b/>
                <w:bCs/>
                <w:sz w:val="20"/>
                <w:szCs w:val="20"/>
              </w:rPr>
            </w:pPr>
            <w:r w:rsidRPr="004D0075">
              <w:rPr>
                <w:rFonts w:ascii="Arial Narrow" w:hAnsi="Arial Narrow" w:cs="Arial"/>
                <w:b/>
                <w:bCs/>
                <w:sz w:val="20"/>
                <w:szCs w:val="20"/>
              </w:rPr>
              <w:t>MEDICINAL PRODUCT</w:t>
            </w:r>
          </w:p>
          <w:p w14:paraId="5D31A30F" w14:textId="77777777" w:rsidR="005F2088" w:rsidRPr="004D0075" w:rsidRDefault="005F2088" w:rsidP="0095148A">
            <w:pPr>
              <w:keepNext/>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811" w:type="dxa"/>
            <w:vAlign w:val="center"/>
          </w:tcPr>
          <w:p w14:paraId="54496C89" w14:textId="77777777" w:rsidR="005F2088" w:rsidRPr="004D0075" w:rsidRDefault="005F2088" w:rsidP="0095148A">
            <w:pPr>
              <w:keepNext/>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1FD5A7CD" w14:textId="77777777" w:rsidR="005F2088" w:rsidRPr="004D0075" w:rsidRDefault="005F2088" w:rsidP="0095148A">
            <w:pPr>
              <w:keepNext/>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629329C1" w14:textId="77777777" w:rsidR="005F2088" w:rsidRPr="004D0075" w:rsidRDefault="005F2088" w:rsidP="0095148A">
            <w:pPr>
              <w:keepNext/>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42B5B97D" w14:textId="77777777" w:rsidR="005F2088" w:rsidRPr="004D0075" w:rsidRDefault="005F2088" w:rsidP="0095148A">
            <w:pPr>
              <w:keepNext/>
              <w:keepLines/>
              <w:jc w:val="center"/>
              <w:rPr>
                <w:rFonts w:ascii="Arial Narrow" w:hAnsi="Arial Narrow" w:cs="Arial"/>
                <w:b/>
                <w:sz w:val="20"/>
                <w:szCs w:val="20"/>
              </w:rPr>
            </w:pPr>
            <w:r w:rsidRPr="004D0075">
              <w:rPr>
                <w:rFonts w:ascii="Arial Narrow" w:hAnsi="Arial Narrow" w:cs="Arial"/>
                <w:b/>
                <w:sz w:val="20"/>
                <w:szCs w:val="20"/>
              </w:rPr>
              <w:t>№.of</w:t>
            </w:r>
          </w:p>
          <w:p w14:paraId="5099CB39" w14:textId="77777777" w:rsidR="005F2088" w:rsidRPr="004D0075" w:rsidRDefault="005F2088" w:rsidP="0095148A">
            <w:pPr>
              <w:keepNext/>
              <w:keepLines/>
              <w:jc w:val="center"/>
              <w:rPr>
                <w:rFonts w:ascii="Arial Narrow" w:hAnsi="Arial Narrow" w:cs="Arial"/>
                <w:b/>
                <w:sz w:val="20"/>
                <w:szCs w:val="20"/>
              </w:rPr>
            </w:pPr>
            <w:r w:rsidRPr="004D0075">
              <w:rPr>
                <w:rFonts w:ascii="Arial Narrow" w:hAnsi="Arial Narrow" w:cs="Arial"/>
                <w:b/>
                <w:sz w:val="20"/>
                <w:szCs w:val="20"/>
              </w:rPr>
              <w:t>Rpts</w:t>
            </w:r>
          </w:p>
        </w:tc>
        <w:tc>
          <w:tcPr>
            <w:tcW w:w="1882" w:type="dxa"/>
            <w:vAlign w:val="center"/>
          </w:tcPr>
          <w:p w14:paraId="3716293E" w14:textId="77777777" w:rsidR="005F2088" w:rsidRPr="004D0075" w:rsidRDefault="005F2088" w:rsidP="0095148A">
            <w:pPr>
              <w:keepNext/>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5F2088" w:rsidRPr="004D0075" w14:paraId="0C6D1CC0" w14:textId="77777777" w:rsidTr="00B254A1">
        <w:trPr>
          <w:cantSplit/>
          <w:trHeight w:val="20"/>
        </w:trPr>
        <w:tc>
          <w:tcPr>
            <w:tcW w:w="9067" w:type="dxa"/>
            <w:gridSpan w:val="6"/>
            <w:vAlign w:val="center"/>
          </w:tcPr>
          <w:p w14:paraId="6CD0417C" w14:textId="4C902C03" w:rsidR="005F2088" w:rsidRPr="004D0075" w:rsidRDefault="00C53DCC" w:rsidP="0095148A">
            <w:pPr>
              <w:keepNext/>
              <w:keepLines/>
              <w:rPr>
                <w:rFonts w:ascii="Arial Narrow" w:hAnsi="Arial Narrow" w:cs="Arial"/>
                <w:sz w:val="20"/>
                <w:szCs w:val="20"/>
              </w:rPr>
            </w:pPr>
            <w:r>
              <w:rPr>
                <w:rFonts w:ascii="Arial Narrow" w:hAnsi="Arial Narrow" w:cs="Arial"/>
                <w:sz w:val="20"/>
                <w:szCs w:val="20"/>
              </w:rPr>
              <w:t>VEDOLIZUMAB</w:t>
            </w:r>
          </w:p>
        </w:tc>
      </w:tr>
      <w:tr w:rsidR="005F2088" w:rsidRPr="004D0075" w14:paraId="4AD42FBA" w14:textId="77777777" w:rsidTr="00B254A1">
        <w:trPr>
          <w:cantSplit/>
          <w:trHeight w:val="20"/>
        </w:trPr>
        <w:tc>
          <w:tcPr>
            <w:tcW w:w="3939" w:type="dxa"/>
            <w:vAlign w:val="center"/>
          </w:tcPr>
          <w:p w14:paraId="50F4980A" w14:textId="77777777" w:rsidR="005F2088" w:rsidRPr="004D0075" w:rsidRDefault="005F2088" w:rsidP="0095148A">
            <w:pPr>
              <w:keepNext/>
              <w:keepLines/>
              <w:rPr>
                <w:rFonts w:ascii="Arial Narrow" w:hAnsi="Arial Narrow" w:cs="Arial"/>
                <w:sz w:val="20"/>
                <w:szCs w:val="20"/>
              </w:rPr>
            </w:pPr>
            <w:r w:rsidRPr="004D0075">
              <w:rPr>
                <w:rFonts w:ascii="Arial Narrow" w:hAnsi="Arial Narrow" w:cs="Arial"/>
                <w:sz w:val="20"/>
                <w:szCs w:val="20"/>
              </w:rPr>
              <w:t>vedolizumab 300mg IV</w:t>
            </w:r>
          </w:p>
        </w:tc>
        <w:tc>
          <w:tcPr>
            <w:tcW w:w="811" w:type="dxa"/>
            <w:vAlign w:val="center"/>
          </w:tcPr>
          <w:p w14:paraId="52798A81" w14:textId="77777777" w:rsidR="005F2088" w:rsidRPr="004D0075" w:rsidRDefault="005F2088" w:rsidP="0095148A">
            <w:pPr>
              <w:keepNext/>
              <w:keepLines/>
              <w:jc w:val="center"/>
              <w:rPr>
                <w:rFonts w:ascii="Arial Narrow" w:hAnsi="Arial Narrow" w:cs="Arial"/>
                <w:sz w:val="20"/>
                <w:szCs w:val="20"/>
              </w:rPr>
            </w:pPr>
            <w:r w:rsidRPr="004D0075">
              <w:rPr>
                <w:rFonts w:ascii="Arial Narrow" w:hAnsi="Arial Narrow" w:cs="Arial"/>
                <w:sz w:val="20"/>
                <w:szCs w:val="20"/>
              </w:rPr>
              <w:t>NEW</w:t>
            </w:r>
          </w:p>
        </w:tc>
        <w:tc>
          <w:tcPr>
            <w:tcW w:w="812" w:type="dxa"/>
            <w:vAlign w:val="center"/>
          </w:tcPr>
          <w:p w14:paraId="1BC34CA9" w14:textId="77777777" w:rsidR="005F2088" w:rsidRPr="004D0075" w:rsidRDefault="005F2088" w:rsidP="0095148A">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2E60A20C" w14:textId="77777777" w:rsidR="005F2088" w:rsidRPr="004D0075" w:rsidRDefault="005F2088" w:rsidP="0095148A">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4C35781B" w14:textId="77777777" w:rsidR="005F2088" w:rsidRPr="004D0075" w:rsidRDefault="005F2088" w:rsidP="0095148A">
            <w:pPr>
              <w:keepNext/>
              <w:keepLines/>
              <w:jc w:val="center"/>
              <w:rPr>
                <w:rFonts w:ascii="Arial Narrow" w:hAnsi="Arial Narrow" w:cs="Arial"/>
                <w:sz w:val="20"/>
                <w:szCs w:val="20"/>
              </w:rPr>
            </w:pPr>
            <w:r w:rsidRPr="004D0075">
              <w:rPr>
                <w:rFonts w:ascii="Arial Narrow" w:hAnsi="Arial Narrow" w:cs="Arial"/>
                <w:sz w:val="20"/>
                <w:szCs w:val="20"/>
              </w:rPr>
              <w:t>5</w:t>
            </w:r>
          </w:p>
        </w:tc>
        <w:tc>
          <w:tcPr>
            <w:tcW w:w="1882" w:type="dxa"/>
            <w:vAlign w:val="center"/>
          </w:tcPr>
          <w:p w14:paraId="3A4D842B" w14:textId="77777777" w:rsidR="005F2088" w:rsidRPr="004D0075" w:rsidRDefault="005F2088" w:rsidP="0095148A">
            <w:pPr>
              <w:keepNext/>
              <w:keepLines/>
              <w:rPr>
                <w:rFonts w:ascii="Arial Narrow" w:hAnsi="Arial Narrow" w:cs="Arial"/>
                <w:sz w:val="20"/>
                <w:szCs w:val="20"/>
              </w:rPr>
            </w:pPr>
            <w:r w:rsidRPr="004D0075">
              <w:rPr>
                <w:rFonts w:ascii="Arial Narrow" w:hAnsi="Arial Narrow" w:cs="Arial"/>
                <w:sz w:val="20"/>
                <w:szCs w:val="20"/>
              </w:rPr>
              <w:t>Entyvio</w:t>
            </w:r>
          </w:p>
        </w:tc>
      </w:tr>
      <w:tr w:rsidR="00413757" w:rsidRPr="004D0075" w14:paraId="7DD129FE" w14:textId="77777777" w:rsidTr="00B254A1">
        <w:tblPrEx>
          <w:tblCellMar>
            <w:top w:w="15" w:type="dxa"/>
            <w:bottom w:w="15" w:type="dxa"/>
          </w:tblCellMar>
        </w:tblPrEx>
        <w:trPr>
          <w:trHeight w:val="20"/>
        </w:trPr>
        <w:tc>
          <w:tcPr>
            <w:tcW w:w="9067" w:type="dxa"/>
            <w:gridSpan w:val="6"/>
            <w:vAlign w:val="center"/>
          </w:tcPr>
          <w:p w14:paraId="6067EA76" w14:textId="712EA5CC" w:rsidR="00A25205" w:rsidRPr="004D0075" w:rsidRDefault="00A25205" w:rsidP="004864B1">
            <w:pPr>
              <w:rPr>
                <w:rFonts w:ascii="Arial Narrow" w:hAnsi="Arial Narrow"/>
                <w:color w:val="333333"/>
                <w:sz w:val="20"/>
                <w:szCs w:val="20"/>
              </w:rPr>
            </w:pPr>
            <w:r w:rsidRPr="004D0075">
              <w:rPr>
                <w:rFonts w:ascii="Arial Narrow" w:hAnsi="Arial Narrow"/>
                <w:b/>
                <w:bCs/>
                <w:sz w:val="20"/>
                <w:szCs w:val="20"/>
              </w:rPr>
              <w:t>Administrative Advice:</w:t>
            </w:r>
          </w:p>
          <w:p w14:paraId="20EB4C0C" w14:textId="4F6F7A2C" w:rsidR="00A25205" w:rsidRPr="004D0075" w:rsidRDefault="00A25205" w:rsidP="004864B1">
            <w:pPr>
              <w:rPr>
                <w:rFonts w:ascii="Arial Narrow" w:hAnsi="Arial Narrow"/>
                <w:color w:val="333333"/>
                <w:sz w:val="20"/>
                <w:szCs w:val="20"/>
              </w:rPr>
            </w:pPr>
            <w:r w:rsidRPr="004D0075">
              <w:rPr>
                <w:rFonts w:ascii="Arial Narrow" w:hAnsi="Arial Narrow"/>
                <w:color w:val="333333"/>
                <w:sz w:val="20"/>
                <w:szCs w:val="20"/>
              </w:rPr>
              <w:t>At the time of the authority application, medical practitioners should request the appropriate number of vials, to provide sufficient for a single infusion of 300 mg vedolizumab per dose. Up to a maximum of 5 repeats will be authorised.</w:t>
            </w:r>
          </w:p>
        </w:tc>
      </w:tr>
      <w:tr w:rsidR="00181D96" w:rsidRPr="004D0075" w14:paraId="43048D0A" w14:textId="77777777" w:rsidTr="00B254A1">
        <w:tblPrEx>
          <w:tblCellMar>
            <w:top w:w="15" w:type="dxa"/>
            <w:bottom w:w="15" w:type="dxa"/>
          </w:tblCellMar>
        </w:tblPrEx>
        <w:trPr>
          <w:cantSplit/>
          <w:trHeight w:val="20"/>
        </w:trPr>
        <w:tc>
          <w:tcPr>
            <w:tcW w:w="9067" w:type="dxa"/>
            <w:gridSpan w:val="6"/>
            <w:vAlign w:val="center"/>
            <w:hideMark/>
          </w:tcPr>
          <w:p w14:paraId="11BE0CFA" w14:textId="4808A37F" w:rsidR="00A25205" w:rsidRPr="004D0075" w:rsidRDefault="00A25205" w:rsidP="00415D1C">
            <w:pPr>
              <w:keepLines/>
              <w:rPr>
                <w:rFonts w:ascii="Arial Narrow" w:hAnsi="Arial Narrow"/>
                <w:color w:val="333333"/>
                <w:sz w:val="20"/>
                <w:szCs w:val="20"/>
              </w:rPr>
            </w:pPr>
            <w:r w:rsidRPr="004D0075">
              <w:rPr>
                <w:rFonts w:ascii="Arial Narrow" w:hAnsi="Arial Narrow"/>
                <w:b/>
                <w:bCs/>
                <w:sz w:val="20"/>
                <w:szCs w:val="20"/>
              </w:rPr>
              <w:t xml:space="preserve">Indication: </w:t>
            </w:r>
            <w:r w:rsidRPr="004D0075">
              <w:rPr>
                <w:rFonts w:ascii="Arial Narrow" w:hAnsi="Arial Narrow"/>
                <w:color w:val="333333"/>
                <w:sz w:val="20"/>
                <w:szCs w:val="20"/>
              </w:rPr>
              <w:t>Severe Crohn’s disease</w:t>
            </w:r>
          </w:p>
        </w:tc>
      </w:tr>
      <w:tr w:rsidR="00181D96" w:rsidRPr="004D0075" w14:paraId="17A76D56" w14:textId="77777777" w:rsidTr="00B254A1">
        <w:tblPrEx>
          <w:tblCellMar>
            <w:top w:w="15" w:type="dxa"/>
            <w:bottom w:w="15" w:type="dxa"/>
          </w:tblCellMar>
        </w:tblPrEx>
        <w:trPr>
          <w:cantSplit/>
          <w:trHeight w:val="20"/>
        </w:trPr>
        <w:tc>
          <w:tcPr>
            <w:tcW w:w="9067" w:type="dxa"/>
            <w:gridSpan w:val="6"/>
            <w:vAlign w:val="center"/>
            <w:hideMark/>
          </w:tcPr>
          <w:p w14:paraId="3EFD54B5" w14:textId="71DF59C7" w:rsidR="00A25205" w:rsidRPr="004D0075" w:rsidRDefault="00A25205" w:rsidP="00415D1C">
            <w:pPr>
              <w:rPr>
                <w:rFonts w:ascii="Arial Narrow" w:hAnsi="Arial Narrow"/>
                <w:color w:val="000000" w:themeColor="text1"/>
                <w:sz w:val="20"/>
                <w:szCs w:val="20"/>
              </w:rPr>
            </w:pPr>
            <w:r w:rsidRPr="004D0075">
              <w:rPr>
                <w:rFonts w:ascii="Arial Narrow" w:hAnsi="Arial Narrow"/>
                <w:b/>
                <w:bCs/>
                <w:color w:val="000000" w:themeColor="text1"/>
                <w:sz w:val="20"/>
                <w:szCs w:val="20"/>
              </w:rPr>
              <w:t>Treatment Phase:</w:t>
            </w:r>
            <w:r w:rsidRPr="004D0075">
              <w:rPr>
                <w:rFonts w:ascii="Arial Narrow" w:hAnsi="Arial Narrow"/>
                <w:color w:val="000000" w:themeColor="text1"/>
                <w:sz w:val="20"/>
                <w:szCs w:val="20"/>
              </w:rPr>
              <w:t xml:space="preserve"> </w:t>
            </w:r>
            <w:r w:rsidRPr="004D0075">
              <w:rPr>
                <w:rFonts w:ascii="Arial Narrow" w:hAnsi="Arial Narrow"/>
                <w:color w:val="333333"/>
                <w:sz w:val="20"/>
                <w:szCs w:val="20"/>
              </w:rPr>
              <w:t>Continuing treatment</w:t>
            </w:r>
          </w:p>
        </w:tc>
      </w:tr>
      <w:tr w:rsidR="00181D96" w:rsidRPr="004D0075" w14:paraId="7F297391" w14:textId="77777777" w:rsidTr="00B254A1">
        <w:tblPrEx>
          <w:tblCellMar>
            <w:top w:w="15" w:type="dxa"/>
            <w:bottom w:w="15" w:type="dxa"/>
          </w:tblCellMar>
        </w:tblPrEx>
        <w:trPr>
          <w:cantSplit/>
          <w:trHeight w:val="20"/>
        </w:trPr>
        <w:tc>
          <w:tcPr>
            <w:tcW w:w="9067" w:type="dxa"/>
            <w:gridSpan w:val="6"/>
            <w:vAlign w:val="center"/>
            <w:hideMark/>
          </w:tcPr>
          <w:p w14:paraId="42C79EF2" w14:textId="77777777" w:rsidR="00A25205" w:rsidRPr="004D0075" w:rsidRDefault="00A25205" w:rsidP="00415D1C">
            <w:pPr>
              <w:rPr>
                <w:rFonts w:ascii="Arial Narrow" w:hAnsi="Arial Narrow"/>
                <w:color w:val="000000" w:themeColor="text1"/>
                <w:sz w:val="20"/>
                <w:szCs w:val="20"/>
              </w:rPr>
            </w:pPr>
            <w:r w:rsidRPr="004D0075">
              <w:rPr>
                <w:rFonts w:ascii="Arial Narrow" w:hAnsi="Arial Narrow"/>
                <w:b/>
                <w:bCs/>
                <w:color w:val="000000" w:themeColor="text1"/>
                <w:sz w:val="20"/>
                <w:szCs w:val="20"/>
              </w:rPr>
              <w:t>Clinical criteria:</w:t>
            </w:r>
          </w:p>
        </w:tc>
      </w:tr>
      <w:tr w:rsidR="00181D96" w:rsidRPr="004D0075" w14:paraId="5AB58236" w14:textId="77777777" w:rsidTr="00B254A1">
        <w:tblPrEx>
          <w:tblCellMar>
            <w:top w:w="15" w:type="dxa"/>
            <w:bottom w:w="15" w:type="dxa"/>
          </w:tblCellMar>
        </w:tblPrEx>
        <w:trPr>
          <w:cantSplit/>
          <w:trHeight w:val="20"/>
        </w:trPr>
        <w:tc>
          <w:tcPr>
            <w:tcW w:w="9067" w:type="dxa"/>
            <w:gridSpan w:val="6"/>
            <w:vAlign w:val="center"/>
            <w:hideMark/>
          </w:tcPr>
          <w:p w14:paraId="1CA0AA64" w14:textId="29E1A47E" w:rsidR="00A25205" w:rsidRPr="004D0075" w:rsidRDefault="00A25205" w:rsidP="00415D1C">
            <w:pPr>
              <w:jc w:val="left"/>
              <w:rPr>
                <w:rFonts w:ascii="Arial Narrow" w:hAnsi="Arial Narrow"/>
                <w:sz w:val="20"/>
                <w:szCs w:val="20"/>
              </w:rPr>
            </w:pPr>
            <w:r w:rsidRPr="004D0075">
              <w:rPr>
                <w:rFonts w:ascii="Arial Narrow" w:hAnsi="Arial Narrow"/>
                <w:color w:val="333333"/>
                <w:sz w:val="20"/>
                <w:szCs w:val="20"/>
              </w:rPr>
              <w:t>Patient must require therapy with this drug for this condition administered every 4 weeks</w:t>
            </w:r>
          </w:p>
        </w:tc>
      </w:tr>
      <w:tr w:rsidR="00181D96" w:rsidRPr="004D0075" w14:paraId="23B40108" w14:textId="77777777" w:rsidTr="00B254A1">
        <w:tblPrEx>
          <w:tblCellMar>
            <w:top w:w="15" w:type="dxa"/>
            <w:bottom w:w="15" w:type="dxa"/>
          </w:tblCellMar>
        </w:tblPrEx>
        <w:trPr>
          <w:cantSplit/>
          <w:trHeight w:val="20"/>
        </w:trPr>
        <w:tc>
          <w:tcPr>
            <w:tcW w:w="9067" w:type="dxa"/>
            <w:gridSpan w:val="6"/>
            <w:vAlign w:val="center"/>
            <w:hideMark/>
          </w:tcPr>
          <w:p w14:paraId="483E93AC" w14:textId="77777777" w:rsidR="00A25205" w:rsidRPr="004D0075" w:rsidRDefault="00A25205" w:rsidP="00415D1C">
            <w:pPr>
              <w:jc w:val="left"/>
              <w:rPr>
                <w:rFonts w:ascii="Arial Narrow" w:hAnsi="Arial Narrow"/>
                <w:b/>
                <w:bCs/>
                <w:sz w:val="20"/>
                <w:szCs w:val="20"/>
              </w:rPr>
            </w:pPr>
            <w:r w:rsidRPr="004D0075">
              <w:rPr>
                <w:rFonts w:ascii="Arial Narrow" w:hAnsi="Arial Narrow"/>
                <w:b/>
                <w:bCs/>
                <w:sz w:val="20"/>
                <w:szCs w:val="20"/>
              </w:rPr>
              <w:t>AND</w:t>
            </w:r>
          </w:p>
        </w:tc>
      </w:tr>
      <w:tr w:rsidR="00181D96" w:rsidRPr="004D0075" w14:paraId="5D962A65" w14:textId="77777777" w:rsidTr="00B254A1">
        <w:tblPrEx>
          <w:tblCellMar>
            <w:top w:w="15" w:type="dxa"/>
            <w:bottom w:w="15" w:type="dxa"/>
          </w:tblCellMar>
        </w:tblPrEx>
        <w:trPr>
          <w:cantSplit/>
          <w:trHeight w:val="20"/>
        </w:trPr>
        <w:tc>
          <w:tcPr>
            <w:tcW w:w="9067" w:type="dxa"/>
            <w:gridSpan w:val="6"/>
            <w:vAlign w:val="center"/>
          </w:tcPr>
          <w:p w14:paraId="3B985232" w14:textId="77777777" w:rsidR="00A25205" w:rsidRPr="004D0075" w:rsidRDefault="00A25205" w:rsidP="00415D1C">
            <w:pPr>
              <w:jc w:val="left"/>
              <w:rPr>
                <w:rFonts w:ascii="Arial Narrow" w:hAnsi="Arial Narrow"/>
                <w:b/>
                <w:bCs/>
                <w:sz w:val="20"/>
                <w:szCs w:val="20"/>
              </w:rPr>
            </w:pPr>
            <w:r w:rsidRPr="004D0075">
              <w:rPr>
                <w:rFonts w:ascii="Arial Narrow" w:hAnsi="Arial Narrow"/>
                <w:b/>
                <w:bCs/>
                <w:sz w:val="20"/>
                <w:szCs w:val="20"/>
              </w:rPr>
              <w:t>Clinical criteria:</w:t>
            </w:r>
          </w:p>
        </w:tc>
      </w:tr>
      <w:tr w:rsidR="00181D96" w:rsidRPr="004D0075" w14:paraId="78E2C454" w14:textId="77777777" w:rsidTr="00B254A1">
        <w:tblPrEx>
          <w:tblCellMar>
            <w:top w:w="15" w:type="dxa"/>
            <w:bottom w:w="15" w:type="dxa"/>
          </w:tblCellMar>
        </w:tblPrEx>
        <w:trPr>
          <w:cantSplit/>
          <w:trHeight w:val="20"/>
        </w:trPr>
        <w:tc>
          <w:tcPr>
            <w:tcW w:w="9067" w:type="dxa"/>
            <w:gridSpan w:val="6"/>
            <w:vAlign w:val="center"/>
            <w:hideMark/>
          </w:tcPr>
          <w:p w14:paraId="4A5D506A" w14:textId="324509A6" w:rsidR="00A25205" w:rsidRPr="004D0075" w:rsidRDefault="00A25205" w:rsidP="00415D1C">
            <w:pPr>
              <w:rPr>
                <w:rFonts w:ascii="Arial Narrow" w:hAnsi="Arial Narrow"/>
                <w:color w:val="333333"/>
                <w:sz w:val="20"/>
                <w:szCs w:val="20"/>
              </w:rPr>
            </w:pPr>
            <w:r w:rsidRPr="004D0075">
              <w:rPr>
                <w:rFonts w:ascii="Arial Narrow" w:hAnsi="Arial Narrow"/>
                <w:color w:val="333333"/>
                <w:sz w:val="20"/>
                <w:szCs w:val="20"/>
              </w:rPr>
              <w:t>Patient must have received a balance of supply (every 4 weeks) as their most recent course of PBS-subsidised biological medicine treatment for this condition; OR</w:t>
            </w:r>
          </w:p>
        </w:tc>
      </w:tr>
      <w:tr w:rsidR="00181D96" w:rsidRPr="004D0075" w14:paraId="1AB91B84" w14:textId="77777777" w:rsidTr="00B254A1">
        <w:tblPrEx>
          <w:tblCellMar>
            <w:top w:w="15" w:type="dxa"/>
            <w:bottom w:w="15" w:type="dxa"/>
          </w:tblCellMar>
        </w:tblPrEx>
        <w:trPr>
          <w:cantSplit/>
          <w:trHeight w:val="20"/>
        </w:trPr>
        <w:tc>
          <w:tcPr>
            <w:tcW w:w="9067" w:type="dxa"/>
            <w:gridSpan w:val="6"/>
            <w:vAlign w:val="center"/>
          </w:tcPr>
          <w:p w14:paraId="4CBD7187" w14:textId="4AFD0061" w:rsidR="00A25205" w:rsidRPr="004D0075" w:rsidRDefault="00A25205" w:rsidP="00415D1C">
            <w:pPr>
              <w:rPr>
                <w:rFonts w:ascii="Arial Narrow" w:hAnsi="Arial Narrow"/>
                <w:sz w:val="20"/>
                <w:szCs w:val="20"/>
              </w:rPr>
            </w:pPr>
            <w:r w:rsidRPr="004D0075">
              <w:rPr>
                <w:rFonts w:ascii="Arial Narrow" w:hAnsi="Arial Narrow"/>
                <w:color w:val="333333"/>
                <w:sz w:val="20"/>
                <w:szCs w:val="20"/>
              </w:rPr>
              <w:t>Patient must have received this drug administered every 4 weeks as their most recent course of PBS-subsidised biological medicine for this condition under the vedolizumab 300 mg IV continuing restriction (Q4W),</w:t>
            </w:r>
          </w:p>
        </w:tc>
      </w:tr>
      <w:tr w:rsidR="00181D96" w:rsidRPr="004D0075" w14:paraId="6B32D3C7" w14:textId="77777777" w:rsidTr="00B254A1">
        <w:tblPrEx>
          <w:tblCellMar>
            <w:top w:w="15" w:type="dxa"/>
            <w:bottom w:w="15" w:type="dxa"/>
          </w:tblCellMar>
        </w:tblPrEx>
        <w:trPr>
          <w:cantSplit/>
          <w:trHeight w:val="20"/>
        </w:trPr>
        <w:tc>
          <w:tcPr>
            <w:tcW w:w="9067" w:type="dxa"/>
            <w:gridSpan w:val="6"/>
            <w:vAlign w:val="center"/>
          </w:tcPr>
          <w:p w14:paraId="1370D89E" w14:textId="77777777" w:rsidR="00A25205" w:rsidRPr="004D0075" w:rsidRDefault="00A25205" w:rsidP="00415D1C">
            <w:pPr>
              <w:rPr>
                <w:rFonts w:ascii="Arial Narrow" w:hAnsi="Arial Narrow"/>
                <w:sz w:val="20"/>
                <w:szCs w:val="20"/>
              </w:rPr>
            </w:pPr>
            <w:r w:rsidRPr="004D0075">
              <w:rPr>
                <w:rFonts w:ascii="Arial Narrow" w:hAnsi="Arial Narrow"/>
                <w:b/>
                <w:bCs/>
                <w:sz w:val="20"/>
                <w:szCs w:val="20"/>
              </w:rPr>
              <w:t>AND</w:t>
            </w:r>
          </w:p>
        </w:tc>
      </w:tr>
      <w:tr w:rsidR="00181D96" w:rsidRPr="004D0075" w14:paraId="07FAE9EF" w14:textId="77777777" w:rsidTr="00B254A1">
        <w:tblPrEx>
          <w:tblCellMar>
            <w:top w:w="15" w:type="dxa"/>
            <w:bottom w:w="15" w:type="dxa"/>
          </w:tblCellMar>
        </w:tblPrEx>
        <w:trPr>
          <w:cantSplit/>
          <w:trHeight w:val="20"/>
        </w:trPr>
        <w:tc>
          <w:tcPr>
            <w:tcW w:w="9067" w:type="dxa"/>
            <w:gridSpan w:val="6"/>
            <w:vAlign w:val="center"/>
          </w:tcPr>
          <w:p w14:paraId="6F4A1455" w14:textId="77777777" w:rsidR="00A25205" w:rsidRPr="004D0075" w:rsidRDefault="00A25205" w:rsidP="00415D1C">
            <w:pPr>
              <w:rPr>
                <w:rFonts w:ascii="Arial Narrow" w:hAnsi="Arial Narrow"/>
                <w:sz w:val="20"/>
                <w:szCs w:val="20"/>
              </w:rPr>
            </w:pPr>
            <w:r w:rsidRPr="004D0075">
              <w:rPr>
                <w:rFonts w:ascii="Arial Narrow" w:hAnsi="Arial Narrow"/>
                <w:b/>
                <w:bCs/>
                <w:sz w:val="20"/>
                <w:szCs w:val="20"/>
              </w:rPr>
              <w:t>Clinical criteria:</w:t>
            </w:r>
          </w:p>
        </w:tc>
      </w:tr>
      <w:tr w:rsidR="00181D96" w:rsidRPr="004D0075" w14:paraId="58ABAE23" w14:textId="77777777" w:rsidTr="00B254A1">
        <w:tblPrEx>
          <w:tblCellMar>
            <w:top w:w="15" w:type="dxa"/>
            <w:bottom w:w="15" w:type="dxa"/>
          </w:tblCellMar>
        </w:tblPrEx>
        <w:trPr>
          <w:cantSplit/>
          <w:trHeight w:val="20"/>
        </w:trPr>
        <w:tc>
          <w:tcPr>
            <w:tcW w:w="9067" w:type="dxa"/>
            <w:gridSpan w:val="6"/>
            <w:vAlign w:val="center"/>
          </w:tcPr>
          <w:p w14:paraId="0667D6E4" w14:textId="5EF894FB" w:rsidR="00A25205" w:rsidRPr="004D0075" w:rsidRDefault="00A25205" w:rsidP="00415D1C">
            <w:pPr>
              <w:rPr>
                <w:rFonts w:ascii="Arial Narrow" w:hAnsi="Arial Narrow"/>
                <w:color w:val="333333"/>
                <w:sz w:val="20"/>
                <w:szCs w:val="20"/>
              </w:rPr>
            </w:pPr>
            <w:r w:rsidRPr="004D0075">
              <w:rPr>
                <w:rFonts w:ascii="Arial Narrow" w:hAnsi="Arial Narrow"/>
                <w:color w:val="333333"/>
                <w:sz w:val="20"/>
                <w:szCs w:val="20"/>
              </w:rPr>
              <w:t>Patient must have an adequate response to this drug defined as a reduction in Crohn Disease Activity Index (CDAI) Score to a level no greater than 150 if assessed by CDAI or if affected by extensive small intestine disease; OR</w:t>
            </w:r>
          </w:p>
        </w:tc>
      </w:tr>
      <w:tr w:rsidR="00181D96" w:rsidRPr="004D0075" w14:paraId="30E0C962" w14:textId="77777777" w:rsidTr="00B254A1">
        <w:tblPrEx>
          <w:tblCellMar>
            <w:top w:w="15" w:type="dxa"/>
            <w:bottom w:w="15" w:type="dxa"/>
          </w:tblCellMar>
        </w:tblPrEx>
        <w:trPr>
          <w:cantSplit/>
          <w:trHeight w:val="20"/>
        </w:trPr>
        <w:tc>
          <w:tcPr>
            <w:tcW w:w="9067" w:type="dxa"/>
            <w:gridSpan w:val="6"/>
            <w:vAlign w:val="center"/>
          </w:tcPr>
          <w:p w14:paraId="50A04E18" w14:textId="2A3CB314" w:rsidR="00A25205" w:rsidRPr="004D0075" w:rsidRDefault="00A25205" w:rsidP="00415D1C">
            <w:pPr>
              <w:rPr>
                <w:rFonts w:ascii="Arial Narrow" w:hAnsi="Arial Narrow"/>
                <w:sz w:val="20"/>
                <w:szCs w:val="20"/>
              </w:rPr>
            </w:pPr>
            <w:r w:rsidRPr="004D0075">
              <w:rPr>
                <w:rFonts w:ascii="Arial Narrow" w:hAnsi="Arial Narrow"/>
                <w:color w:val="333333"/>
                <w:sz w:val="20"/>
                <w:szCs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181D96" w:rsidRPr="004D0075" w14:paraId="5B142DBF" w14:textId="77777777" w:rsidTr="00B254A1">
        <w:tblPrEx>
          <w:tblCellMar>
            <w:top w:w="15" w:type="dxa"/>
            <w:bottom w:w="15" w:type="dxa"/>
          </w:tblCellMar>
        </w:tblPrEx>
        <w:trPr>
          <w:cantSplit/>
          <w:trHeight w:val="20"/>
        </w:trPr>
        <w:tc>
          <w:tcPr>
            <w:tcW w:w="9067" w:type="dxa"/>
            <w:gridSpan w:val="6"/>
            <w:vAlign w:val="center"/>
          </w:tcPr>
          <w:p w14:paraId="0F73731F" w14:textId="43E31835" w:rsidR="00A25205" w:rsidRPr="004D0075" w:rsidRDefault="00A25205" w:rsidP="00415D1C">
            <w:pPr>
              <w:rPr>
                <w:rFonts w:ascii="Arial Narrow" w:hAnsi="Arial Narrow"/>
                <w:b/>
                <w:bCs/>
                <w:sz w:val="20"/>
                <w:szCs w:val="20"/>
              </w:rPr>
            </w:pPr>
            <w:r w:rsidRPr="004D0075">
              <w:rPr>
                <w:rFonts w:ascii="Arial Narrow" w:hAnsi="Arial Narrow"/>
                <w:b/>
                <w:bCs/>
                <w:sz w:val="20"/>
                <w:szCs w:val="20"/>
              </w:rPr>
              <w:t>AND</w:t>
            </w:r>
          </w:p>
        </w:tc>
      </w:tr>
      <w:tr w:rsidR="00181D96" w:rsidRPr="004D0075" w14:paraId="0D6550A0" w14:textId="77777777" w:rsidTr="00B254A1">
        <w:tblPrEx>
          <w:tblCellMar>
            <w:top w:w="15" w:type="dxa"/>
            <w:bottom w:w="15" w:type="dxa"/>
          </w:tblCellMar>
        </w:tblPrEx>
        <w:trPr>
          <w:cantSplit/>
          <w:trHeight w:val="20"/>
        </w:trPr>
        <w:tc>
          <w:tcPr>
            <w:tcW w:w="9067" w:type="dxa"/>
            <w:gridSpan w:val="6"/>
            <w:vAlign w:val="center"/>
          </w:tcPr>
          <w:p w14:paraId="551B24F3" w14:textId="77777777" w:rsidR="00A25205" w:rsidRPr="004D0075" w:rsidRDefault="00A25205" w:rsidP="00415D1C">
            <w:pPr>
              <w:rPr>
                <w:rFonts w:ascii="Arial Narrow" w:hAnsi="Arial Narrow"/>
                <w:sz w:val="20"/>
                <w:szCs w:val="20"/>
              </w:rPr>
            </w:pPr>
            <w:r w:rsidRPr="004D0075">
              <w:rPr>
                <w:rFonts w:ascii="Arial Narrow" w:hAnsi="Arial Narrow"/>
                <w:b/>
                <w:bCs/>
                <w:sz w:val="20"/>
                <w:szCs w:val="20"/>
              </w:rPr>
              <w:t>Clinical criteria:</w:t>
            </w:r>
          </w:p>
        </w:tc>
      </w:tr>
      <w:tr w:rsidR="00181D96" w:rsidRPr="004D0075" w14:paraId="04EA0FEA" w14:textId="77777777" w:rsidTr="00B254A1">
        <w:tblPrEx>
          <w:tblCellMar>
            <w:top w:w="15" w:type="dxa"/>
            <w:bottom w:w="15" w:type="dxa"/>
          </w:tblCellMar>
        </w:tblPrEx>
        <w:trPr>
          <w:cantSplit/>
          <w:trHeight w:val="20"/>
        </w:trPr>
        <w:tc>
          <w:tcPr>
            <w:tcW w:w="9067" w:type="dxa"/>
            <w:gridSpan w:val="6"/>
            <w:vAlign w:val="center"/>
          </w:tcPr>
          <w:p w14:paraId="6D55855C" w14:textId="5EAB2B58" w:rsidR="00A25205" w:rsidRPr="004D0075" w:rsidRDefault="00A25205" w:rsidP="00415D1C">
            <w:pPr>
              <w:rPr>
                <w:rFonts w:ascii="Arial Narrow" w:hAnsi="Arial Narrow"/>
                <w:sz w:val="20"/>
                <w:szCs w:val="20"/>
              </w:rPr>
            </w:pPr>
            <w:r w:rsidRPr="004D0075">
              <w:rPr>
                <w:rFonts w:ascii="Arial Narrow" w:hAnsi="Arial Narrow"/>
                <w:color w:val="333333"/>
                <w:sz w:val="20"/>
                <w:szCs w:val="20"/>
              </w:rPr>
              <w:t>Patient must not receive more than 24 weeks of treatment under this restriction</w:t>
            </w:r>
          </w:p>
        </w:tc>
      </w:tr>
      <w:tr w:rsidR="00181D96" w:rsidRPr="004D0075" w14:paraId="0D998DB8" w14:textId="77777777" w:rsidTr="00B254A1">
        <w:tblPrEx>
          <w:tblCellMar>
            <w:top w:w="15" w:type="dxa"/>
            <w:bottom w:w="15" w:type="dxa"/>
          </w:tblCellMar>
        </w:tblPrEx>
        <w:trPr>
          <w:cantSplit/>
          <w:trHeight w:val="20"/>
        </w:trPr>
        <w:tc>
          <w:tcPr>
            <w:tcW w:w="9067" w:type="dxa"/>
            <w:gridSpan w:val="6"/>
            <w:vAlign w:val="center"/>
            <w:hideMark/>
          </w:tcPr>
          <w:p w14:paraId="7B33CF03" w14:textId="77777777" w:rsidR="00A25205" w:rsidRPr="004D0075" w:rsidRDefault="00A25205" w:rsidP="00415D1C">
            <w:pPr>
              <w:rPr>
                <w:rFonts w:ascii="Arial Narrow" w:hAnsi="Arial Narrow"/>
                <w:sz w:val="20"/>
                <w:szCs w:val="20"/>
              </w:rPr>
            </w:pPr>
            <w:r w:rsidRPr="004D0075">
              <w:rPr>
                <w:rFonts w:ascii="Arial Narrow" w:hAnsi="Arial Narrow"/>
                <w:b/>
                <w:bCs/>
                <w:sz w:val="20"/>
                <w:szCs w:val="20"/>
              </w:rPr>
              <w:t>Population criteria:</w:t>
            </w:r>
          </w:p>
        </w:tc>
      </w:tr>
      <w:tr w:rsidR="00181D96" w:rsidRPr="004D0075" w14:paraId="08C59E1B" w14:textId="77777777" w:rsidTr="00B254A1">
        <w:tblPrEx>
          <w:tblCellMar>
            <w:top w:w="15" w:type="dxa"/>
            <w:bottom w:w="15" w:type="dxa"/>
          </w:tblCellMar>
        </w:tblPrEx>
        <w:trPr>
          <w:cantSplit/>
          <w:trHeight w:val="20"/>
        </w:trPr>
        <w:tc>
          <w:tcPr>
            <w:tcW w:w="9067" w:type="dxa"/>
            <w:gridSpan w:val="6"/>
            <w:vAlign w:val="center"/>
            <w:hideMark/>
          </w:tcPr>
          <w:p w14:paraId="6C68BA72" w14:textId="56B9B829" w:rsidR="00A25205" w:rsidRPr="004D0075" w:rsidRDefault="00A25205" w:rsidP="00EC5974">
            <w:pPr>
              <w:rPr>
                <w:rFonts w:ascii="Arial Narrow" w:hAnsi="Arial Narrow"/>
                <w:color w:val="333333"/>
                <w:sz w:val="20"/>
                <w:szCs w:val="20"/>
              </w:rPr>
            </w:pPr>
            <w:r w:rsidRPr="004D0075">
              <w:rPr>
                <w:rFonts w:ascii="Arial Narrow" w:hAnsi="Arial Narrow"/>
                <w:color w:val="333333"/>
                <w:sz w:val="20"/>
                <w:szCs w:val="20"/>
              </w:rPr>
              <w:t>Patient must be aged 18 years or older.</w:t>
            </w:r>
          </w:p>
        </w:tc>
      </w:tr>
    </w:tbl>
    <w:p w14:paraId="3E3A32B6" w14:textId="7F3AACA8" w:rsidR="00E30018" w:rsidRPr="004D0075" w:rsidRDefault="00C72B2A" w:rsidP="00AA4152">
      <w:pPr>
        <w:pStyle w:val="3-BodyText"/>
      </w:pPr>
      <w:r w:rsidRPr="004D0075">
        <w:t xml:space="preserve">While the proposed balance of supply restriction only </w:t>
      </w:r>
      <w:r w:rsidR="00E24944" w:rsidRPr="004D0075">
        <w:t>refer</w:t>
      </w:r>
      <w:r w:rsidR="00E24944">
        <w:t>red</w:t>
      </w:r>
      <w:r w:rsidR="00E24944" w:rsidRPr="004D0075">
        <w:t xml:space="preserve"> </w:t>
      </w:r>
      <w:r w:rsidRPr="004D0075">
        <w:t>to insufficient therapy, the submission stated that escalation to Q4W treatment is to maintain an adequate response to vedolizumab IV maintenance therapy, and the proposed continuing restriction outlines the clinical endpoints for adequate response to Q4W treatment.</w:t>
      </w:r>
      <w:r w:rsidR="00FD7A2C" w:rsidRPr="004D0075">
        <w:rPr>
          <w:rFonts w:cs="Calibri"/>
        </w:rPr>
        <w:t xml:space="preserve"> </w:t>
      </w:r>
      <w:r w:rsidR="0029399E" w:rsidRPr="004D0075">
        <w:rPr>
          <w:rFonts w:cs="Calibri"/>
        </w:rPr>
        <w:t xml:space="preserve">The submission did not present any direct randomised trial to support escalation specifically in patients </w:t>
      </w:r>
      <w:r w:rsidR="008B7464" w:rsidRPr="004D0075">
        <w:rPr>
          <w:rFonts w:cs="Calibri"/>
        </w:rPr>
        <w:t>who have had</w:t>
      </w:r>
      <w:r w:rsidR="0029399E" w:rsidRPr="004D0075">
        <w:rPr>
          <w:rFonts w:cs="Calibri"/>
        </w:rPr>
        <w:t xml:space="preserve"> an </w:t>
      </w:r>
      <w:r w:rsidR="008B7464" w:rsidRPr="004D0075">
        <w:rPr>
          <w:rFonts w:cs="Calibri"/>
        </w:rPr>
        <w:t>in</w:t>
      </w:r>
      <w:r w:rsidR="0029399E" w:rsidRPr="004D0075">
        <w:rPr>
          <w:rFonts w:cs="Calibri"/>
        </w:rPr>
        <w:t xml:space="preserve">adequate response on Q8W treatment but instead drew its </w:t>
      </w:r>
      <w:r w:rsidR="00097522" w:rsidRPr="004D0075">
        <w:rPr>
          <w:rFonts w:cs="Calibri"/>
        </w:rPr>
        <w:t>justification from observed equivalence in</w:t>
      </w:r>
      <w:r w:rsidR="00754758" w:rsidRPr="004D0075">
        <w:rPr>
          <w:rFonts w:cs="Calibri"/>
        </w:rPr>
        <w:t xml:space="preserve"> </w:t>
      </w:r>
      <w:r w:rsidR="00840FA8" w:rsidRPr="004D0075">
        <w:rPr>
          <w:rFonts w:cs="Calibri"/>
        </w:rPr>
        <w:t xml:space="preserve">outcomes at week 52 in </w:t>
      </w:r>
      <w:r w:rsidR="00754758" w:rsidRPr="004D0075">
        <w:rPr>
          <w:rFonts w:cs="Calibri"/>
        </w:rPr>
        <w:t>the</w:t>
      </w:r>
      <w:r w:rsidR="003D59D7" w:rsidRPr="004D0075">
        <w:rPr>
          <w:rFonts w:eastAsiaTheme="minorEastAsia" w:cstheme="minorHAnsi"/>
        </w:rPr>
        <w:t xml:space="preserve"> GEMINI I/II trial maintenance arms and </w:t>
      </w:r>
      <w:r w:rsidR="00754758" w:rsidRPr="004D0075">
        <w:rPr>
          <w:rFonts w:eastAsiaTheme="minorEastAsia" w:cstheme="minorHAnsi"/>
        </w:rPr>
        <w:t>observed clinical practice</w:t>
      </w:r>
      <w:r w:rsidR="003D59D7" w:rsidRPr="004D0075">
        <w:rPr>
          <w:rFonts w:eastAsiaTheme="minorEastAsia" w:cstheme="minorHAnsi"/>
        </w:rPr>
        <w:t xml:space="preserve"> from </w:t>
      </w:r>
      <w:r w:rsidR="00754758" w:rsidRPr="004D0075">
        <w:rPr>
          <w:rFonts w:eastAsiaTheme="minorEastAsia" w:cstheme="minorHAnsi"/>
        </w:rPr>
        <w:t>its</w:t>
      </w:r>
      <w:r w:rsidR="003D59D7" w:rsidRPr="004D0075">
        <w:rPr>
          <w:rFonts w:eastAsiaTheme="minorEastAsia" w:cstheme="minorHAnsi"/>
        </w:rPr>
        <w:t xml:space="preserve"> access program</w:t>
      </w:r>
      <w:r w:rsidR="00754758" w:rsidRPr="004D0075">
        <w:rPr>
          <w:rFonts w:eastAsiaTheme="minorEastAsia" w:cstheme="minorHAnsi"/>
        </w:rPr>
        <w:t>.</w:t>
      </w:r>
      <w:r w:rsidR="00097522" w:rsidRPr="004D0075">
        <w:rPr>
          <w:rFonts w:cs="Calibri"/>
        </w:rPr>
        <w:t xml:space="preserve"> </w:t>
      </w:r>
      <w:r w:rsidR="00A74D1B" w:rsidRPr="004D0075">
        <w:rPr>
          <w:rFonts w:cs="Calibri"/>
        </w:rPr>
        <w:t xml:space="preserve">The submission noted that the </w:t>
      </w:r>
      <w:r w:rsidR="00ED24ED" w:rsidRPr="004D0075">
        <w:rPr>
          <w:rFonts w:cs="Calibri"/>
        </w:rPr>
        <w:t>Intention-to-Treat (</w:t>
      </w:r>
      <w:r w:rsidR="00A74D1B" w:rsidRPr="004D0075">
        <w:rPr>
          <w:rFonts w:cs="Calibri"/>
        </w:rPr>
        <w:t>ITT</w:t>
      </w:r>
      <w:r w:rsidR="00ED24ED" w:rsidRPr="004D0075">
        <w:rPr>
          <w:rFonts w:cs="Calibri"/>
        </w:rPr>
        <w:t>)</w:t>
      </w:r>
      <w:r w:rsidR="00A74D1B" w:rsidRPr="004D0075">
        <w:rPr>
          <w:rFonts w:cs="Calibri"/>
        </w:rPr>
        <w:t xml:space="preserve"> population from the trials </w:t>
      </w:r>
      <w:r w:rsidR="007556F2" w:rsidRPr="004D0075">
        <w:rPr>
          <w:rFonts w:cs="Calibri"/>
        </w:rPr>
        <w:t xml:space="preserve">are those who may otherwise </w:t>
      </w:r>
      <w:r w:rsidR="00473C41" w:rsidRPr="004D0075">
        <w:rPr>
          <w:rFonts w:cs="Calibri"/>
        </w:rPr>
        <w:t>have lost response</w:t>
      </w:r>
      <w:r w:rsidR="006F41D8" w:rsidRPr="004D0075">
        <w:rPr>
          <w:rFonts w:cs="Calibri"/>
        </w:rPr>
        <w:t xml:space="preserve"> if returned</w:t>
      </w:r>
      <w:r w:rsidR="00FA262B" w:rsidRPr="004D0075">
        <w:rPr>
          <w:rFonts w:cs="Calibri"/>
        </w:rPr>
        <w:t xml:space="preserve"> to Q8W treatment</w:t>
      </w:r>
      <w:r w:rsidR="00DE7C03" w:rsidRPr="004D0075">
        <w:rPr>
          <w:rFonts w:cs="Calibri"/>
        </w:rPr>
        <w:t xml:space="preserve"> (Q8W ineligible)</w:t>
      </w:r>
      <w:r w:rsidR="00FA262B" w:rsidRPr="004D0075">
        <w:rPr>
          <w:rFonts w:cs="Calibri"/>
        </w:rPr>
        <w:t xml:space="preserve">. </w:t>
      </w:r>
      <w:r w:rsidR="00A75C35" w:rsidRPr="004D0075">
        <w:rPr>
          <w:rFonts w:cs="Calibri"/>
        </w:rPr>
        <w:t xml:space="preserve">The TGA Product Information </w:t>
      </w:r>
      <w:r w:rsidR="00C10E84" w:rsidRPr="004D0075">
        <w:rPr>
          <w:rFonts w:cs="Calibri"/>
        </w:rPr>
        <w:t xml:space="preserve">(PI) </w:t>
      </w:r>
      <w:r w:rsidR="00A75C35" w:rsidRPr="004D0075">
        <w:rPr>
          <w:rFonts w:cs="Calibri"/>
        </w:rPr>
        <w:t xml:space="preserve">states that patients </w:t>
      </w:r>
      <w:r w:rsidR="00A75C35" w:rsidRPr="004D0075">
        <w:rPr>
          <w:rFonts w:eastAsiaTheme="minorEastAsia" w:cstheme="minorHAnsi"/>
        </w:rPr>
        <w:t>may clinically benefit from Q4W treatment</w:t>
      </w:r>
      <w:r w:rsidR="00A75C35" w:rsidRPr="004D0075" w:rsidDel="00C72B2A">
        <w:t xml:space="preserve"> </w:t>
      </w:r>
      <w:r w:rsidR="00A75C35" w:rsidRPr="004D0075">
        <w:t xml:space="preserve">and that </w:t>
      </w:r>
      <w:r w:rsidR="00AA4325" w:rsidRPr="004D0075">
        <w:t xml:space="preserve">patients </w:t>
      </w:r>
      <w:r w:rsidR="001126B2" w:rsidRPr="004D0075">
        <w:t xml:space="preserve">reassessed after 12-14 weeks of Q4W treatment </w:t>
      </w:r>
      <w:r w:rsidR="00AA4325" w:rsidRPr="004D0075">
        <w:t>should not continue treat</w:t>
      </w:r>
      <w:r w:rsidR="001126B2" w:rsidRPr="004D0075">
        <w:t>ment if clinical benefit is not demonstrated.</w:t>
      </w:r>
      <w:r w:rsidR="008010AB" w:rsidRPr="004D0075">
        <w:t xml:space="preserve"> While </w:t>
      </w:r>
      <w:r w:rsidR="007B2F2C" w:rsidRPr="004D0075">
        <w:lastRenderedPageBreak/>
        <w:t xml:space="preserve">dose escalation may be clinically reasonable in this population, </w:t>
      </w:r>
      <w:r w:rsidR="00A9515B" w:rsidRPr="004D0075">
        <w:rPr>
          <w:rFonts w:cs="Calibri"/>
        </w:rPr>
        <w:t xml:space="preserve">the </w:t>
      </w:r>
      <w:r w:rsidR="00CE4398" w:rsidRPr="004D0075">
        <w:rPr>
          <w:rFonts w:cs="Calibri"/>
        </w:rPr>
        <w:t xml:space="preserve">balance of supply restriction </w:t>
      </w:r>
      <w:r w:rsidR="00ED0C8C">
        <w:rPr>
          <w:rFonts w:cs="Calibri"/>
        </w:rPr>
        <w:t>wa</w:t>
      </w:r>
      <w:r w:rsidR="00ED0C8C" w:rsidRPr="004D0075">
        <w:rPr>
          <w:rFonts w:cs="Calibri"/>
        </w:rPr>
        <w:t xml:space="preserve">s </w:t>
      </w:r>
      <w:r w:rsidR="00CE4398" w:rsidRPr="004D0075">
        <w:rPr>
          <w:rFonts w:cs="Calibri"/>
        </w:rPr>
        <w:t xml:space="preserve">not explicit </w:t>
      </w:r>
      <w:r w:rsidR="005F4BEC" w:rsidRPr="004D0075">
        <w:rPr>
          <w:rFonts w:cs="Calibri"/>
        </w:rPr>
        <w:t>about</w:t>
      </w:r>
      <w:r w:rsidR="00BB2F98" w:rsidRPr="004D0075">
        <w:rPr>
          <w:rFonts w:cs="Calibri"/>
        </w:rPr>
        <w:t xml:space="preserve"> what</w:t>
      </w:r>
      <w:r w:rsidR="00C47F1E">
        <w:rPr>
          <w:rFonts w:cs="Calibri"/>
        </w:rPr>
        <w:t xml:space="preserve"> the</w:t>
      </w:r>
      <w:r w:rsidR="00BB2F98" w:rsidRPr="004D0075">
        <w:rPr>
          <w:rFonts w:cs="Calibri"/>
        </w:rPr>
        <w:t xml:space="preserve"> </w:t>
      </w:r>
      <w:r w:rsidR="00243D9D">
        <w:rPr>
          <w:rFonts w:cs="Calibri"/>
        </w:rPr>
        <w:t>definition of</w:t>
      </w:r>
      <w:r w:rsidR="00414895" w:rsidRPr="004D0075">
        <w:rPr>
          <w:rFonts w:cs="Calibri"/>
        </w:rPr>
        <w:t xml:space="preserve"> insufficient therapy</w:t>
      </w:r>
      <w:r w:rsidR="00C47F1E">
        <w:rPr>
          <w:rFonts w:cs="Calibri"/>
        </w:rPr>
        <w:t xml:space="preserve"> is</w:t>
      </w:r>
      <w:r w:rsidR="0044489E">
        <w:rPr>
          <w:rFonts w:cs="Calibri"/>
        </w:rPr>
        <w:t>,</w:t>
      </w:r>
      <w:r w:rsidR="006D5700">
        <w:rPr>
          <w:rFonts w:cs="Calibri"/>
        </w:rPr>
        <w:t xml:space="preserve"> nor</w:t>
      </w:r>
      <w:r w:rsidR="008E7D27">
        <w:rPr>
          <w:rFonts w:cs="Calibri"/>
        </w:rPr>
        <w:t xml:space="preserve"> the clinical parameters for escalation</w:t>
      </w:r>
      <w:r w:rsidR="00D15645">
        <w:rPr>
          <w:rFonts w:cs="Calibri"/>
        </w:rPr>
        <w:t xml:space="preserve">. </w:t>
      </w:r>
      <w:r w:rsidR="00AA4152" w:rsidRPr="0047345E">
        <w:rPr>
          <w:rFonts w:ascii="Calibri" w:hAnsi="Calibri" w:cs="Calibri"/>
          <w:color w:val="000000"/>
        </w:rPr>
        <w:t xml:space="preserve">The pre-PBAC response clarified that the proposed restrictions aim to exclude Q8W-ineligible patients, shifting away from the submission's suggestion that these are the intended </w:t>
      </w:r>
      <w:r w:rsidR="00B8529D">
        <w:rPr>
          <w:rFonts w:ascii="Calibri" w:hAnsi="Calibri" w:cs="Calibri"/>
          <w:color w:val="000000"/>
        </w:rPr>
        <w:t>population</w:t>
      </w:r>
      <w:r w:rsidR="00AA4152" w:rsidRPr="0047345E">
        <w:rPr>
          <w:rFonts w:ascii="Calibri" w:hAnsi="Calibri" w:cs="Calibri"/>
          <w:color w:val="000000"/>
        </w:rPr>
        <w:t xml:space="preserve">. It explains that escalation </w:t>
      </w:r>
      <w:r w:rsidR="00B8529D">
        <w:rPr>
          <w:rFonts w:ascii="Calibri" w:hAnsi="Calibri" w:cs="Calibri"/>
          <w:color w:val="000000"/>
        </w:rPr>
        <w:t>is for</w:t>
      </w:r>
      <w:r w:rsidR="00AA4152" w:rsidRPr="0047345E">
        <w:rPr>
          <w:rFonts w:ascii="Calibri" w:hAnsi="Calibri" w:cs="Calibri"/>
          <w:color w:val="000000"/>
        </w:rPr>
        <w:t xml:space="preserve"> patients at risk of losing response to Q8W therapy and </w:t>
      </w:r>
      <w:r w:rsidR="009E536B">
        <w:rPr>
          <w:rFonts w:ascii="Calibri" w:hAnsi="Calibri" w:cs="Calibri"/>
          <w:color w:val="000000"/>
        </w:rPr>
        <w:t>would</w:t>
      </w:r>
      <w:r w:rsidR="00AA4152" w:rsidRPr="0047345E">
        <w:rPr>
          <w:rFonts w:ascii="Calibri" w:hAnsi="Calibri" w:cs="Calibri"/>
          <w:color w:val="000000"/>
        </w:rPr>
        <w:t xml:space="preserve"> occur before they </w:t>
      </w:r>
      <w:r w:rsidR="009E536B">
        <w:rPr>
          <w:rFonts w:ascii="Calibri" w:hAnsi="Calibri" w:cs="Calibri"/>
          <w:color w:val="000000"/>
        </w:rPr>
        <w:t>no longer</w:t>
      </w:r>
      <w:r w:rsidR="00AA4152" w:rsidRPr="0047345E">
        <w:rPr>
          <w:rFonts w:ascii="Calibri" w:hAnsi="Calibri" w:cs="Calibri"/>
          <w:color w:val="000000"/>
        </w:rPr>
        <w:t xml:space="preserve"> meet </w:t>
      </w:r>
      <w:r w:rsidR="009E536B">
        <w:rPr>
          <w:rFonts w:ascii="Calibri" w:hAnsi="Calibri" w:cs="Calibri"/>
          <w:color w:val="000000"/>
        </w:rPr>
        <w:t xml:space="preserve">the </w:t>
      </w:r>
      <w:r w:rsidR="00AA4152" w:rsidRPr="0047345E">
        <w:rPr>
          <w:rFonts w:ascii="Calibri" w:hAnsi="Calibri" w:cs="Calibri"/>
          <w:color w:val="000000"/>
        </w:rPr>
        <w:t>adequate response criteria.</w:t>
      </w:r>
      <w:r w:rsidR="00AA4152">
        <w:rPr>
          <w:rFonts w:ascii="Calibri" w:hAnsi="Calibri" w:cs="Calibri"/>
          <w:color w:val="000000"/>
        </w:rPr>
        <w:t xml:space="preserve"> </w:t>
      </w:r>
      <w:r w:rsidR="009E536B">
        <w:rPr>
          <w:rFonts w:ascii="Calibri" w:hAnsi="Calibri" w:cs="Calibri"/>
          <w:color w:val="000000"/>
        </w:rPr>
        <w:t>However, the pre</w:t>
      </w:r>
      <w:r w:rsidR="000D3D50">
        <w:rPr>
          <w:rFonts w:ascii="Calibri" w:hAnsi="Calibri" w:cs="Calibri"/>
          <w:color w:val="000000"/>
        </w:rPr>
        <w:noBreakHyphen/>
      </w:r>
      <w:r w:rsidR="009E536B">
        <w:rPr>
          <w:rFonts w:ascii="Calibri" w:hAnsi="Calibri" w:cs="Calibri"/>
          <w:color w:val="000000"/>
        </w:rPr>
        <w:t>PBAC</w:t>
      </w:r>
      <w:r w:rsidR="000D3D50">
        <w:rPr>
          <w:rFonts w:ascii="Calibri" w:hAnsi="Calibri" w:cs="Calibri"/>
          <w:color w:val="000000"/>
        </w:rPr>
        <w:t> </w:t>
      </w:r>
      <w:r w:rsidR="009E536B">
        <w:rPr>
          <w:rFonts w:ascii="Calibri" w:hAnsi="Calibri" w:cs="Calibri"/>
          <w:color w:val="000000"/>
        </w:rPr>
        <w:t xml:space="preserve">response did not specify what </w:t>
      </w:r>
      <w:r w:rsidR="008B2421">
        <w:rPr>
          <w:rFonts w:ascii="Calibri" w:hAnsi="Calibri" w:cs="Calibri"/>
          <w:color w:val="000000"/>
        </w:rPr>
        <w:t>would constitute a sufficient loss of response to justify escalation.</w:t>
      </w:r>
    </w:p>
    <w:p w14:paraId="083A931E" w14:textId="5049BDA2" w:rsidR="0373B717" w:rsidRPr="004D0075" w:rsidRDefault="0BE120D2" w:rsidP="44985F1D">
      <w:pPr>
        <w:pStyle w:val="3-BodyText"/>
        <w:rPr>
          <w:rFonts w:cs="Calibri"/>
        </w:rPr>
      </w:pPr>
      <w:r w:rsidRPr="004D0075">
        <w:rPr>
          <w:rFonts w:cs="Calibri"/>
        </w:rPr>
        <w:t>The submission</w:t>
      </w:r>
      <w:r w:rsidR="054A30AB" w:rsidRPr="004D0075">
        <w:rPr>
          <w:rFonts w:cs="Calibri"/>
        </w:rPr>
        <w:t xml:space="preserve"> did not specify if ongoing eligibility for Q4W </w:t>
      </w:r>
      <w:r w:rsidR="00B761B7" w:rsidRPr="004D0075">
        <w:rPr>
          <w:rFonts w:cs="Calibri"/>
        </w:rPr>
        <w:t xml:space="preserve">treatment </w:t>
      </w:r>
      <w:r w:rsidR="054A30AB" w:rsidRPr="004D0075">
        <w:rPr>
          <w:rFonts w:cs="Calibri"/>
        </w:rPr>
        <w:t>should be contingent on demonstrating response</w:t>
      </w:r>
      <w:r w:rsidR="00CA27D3" w:rsidRPr="004D0075">
        <w:rPr>
          <w:rFonts w:cs="Calibri"/>
        </w:rPr>
        <w:t xml:space="preserve"> to therapy</w:t>
      </w:r>
      <w:r w:rsidR="054A30AB" w:rsidRPr="004D0075">
        <w:rPr>
          <w:rFonts w:cs="Calibri"/>
        </w:rPr>
        <w:t xml:space="preserve"> at a fixed interval after escalation, or only at the end</w:t>
      </w:r>
      <w:r w:rsidRPr="004D0075">
        <w:rPr>
          <w:rFonts w:cs="Calibri"/>
        </w:rPr>
        <w:t xml:space="preserve"> of the 24-week maintenance course</w:t>
      </w:r>
      <w:r w:rsidR="6CEF6E74" w:rsidRPr="004D0075">
        <w:rPr>
          <w:rFonts w:cs="Calibri"/>
        </w:rPr>
        <w:t xml:space="preserve"> in which dose escalation occurred</w:t>
      </w:r>
      <w:r w:rsidRPr="004D0075">
        <w:rPr>
          <w:rFonts w:cs="Calibri"/>
        </w:rPr>
        <w:t xml:space="preserve">. </w:t>
      </w:r>
      <w:r w:rsidR="00EF4630" w:rsidRPr="004D0075">
        <w:rPr>
          <w:rFonts w:cs="Calibri"/>
        </w:rPr>
        <w:t xml:space="preserve">The TGA </w:t>
      </w:r>
      <w:r w:rsidR="0083156B" w:rsidRPr="004D0075">
        <w:rPr>
          <w:rFonts w:cs="Calibri"/>
        </w:rPr>
        <w:t>PI</w:t>
      </w:r>
      <w:r w:rsidR="00EF4630" w:rsidRPr="004D0075">
        <w:rPr>
          <w:rFonts w:cs="Calibri"/>
        </w:rPr>
        <w:t xml:space="preserve"> </w:t>
      </w:r>
      <w:r w:rsidR="009D4C81" w:rsidRPr="004D0075">
        <w:rPr>
          <w:rFonts w:cs="Calibri"/>
        </w:rPr>
        <w:t>requires reassessment 12-14</w:t>
      </w:r>
      <w:r w:rsidR="00086085" w:rsidRPr="004D0075">
        <w:rPr>
          <w:rFonts w:cs="Calibri"/>
        </w:rPr>
        <w:t xml:space="preserve"> weeks</w:t>
      </w:r>
      <w:r w:rsidR="002C0F49" w:rsidRPr="004D0075">
        <w:rPr>
          <w:rFonts w:cs="Calibri"/>
        </w:rPr>
        <w:t xml:space="preserve"> after dose escalation takes place</w:t>
      </w:r>
      <w:r w:rsidR="009D05E9" w:rsidRPr="004D0075">
        <w:rPr>
          <w:rFonts w:cs="Calibri"/>
        </w:rPr>
        <w:t>.</w:t>
      </w:r>
      <w:r w:rsidR="002019E5" w:rsidRPr="004D0075">
        <w:rPr>
          <w:rFonts w:cs="Calibri"/>
        </w:rPr>
        <w:t xml:space="preserve"> The restriction wording </w:t>
      </w:r>
      <w:r w:rsidR="004959A0">
        <w:rPr>
          <w:rFonts w:cs="Calibri"/>
        </w:rPr>
        <w:t>could</w:t>
      </w:r>
      <w:r w:rsidR="004959A0" w:rsidRPr="004D0075">
        <w:rPr>
          <w:rFonts w:cs="Calibri"/>
        </w:rPr>
        <w:t xml:space="preserve"> </w:t>
      </w:r>
      <w:r w:rsidR="002019E5" w:rsidRPr="004D0075">
        <w:rPr>
          <w:rFonts w:cs="Calibri"/>
        </w:rPr>
        <w:t xml:space="preserve">be amended such that </w:t>
      </w:r>
      <w:r w:rsidR="00515BDB" w:rsidRPr="004D0075">
        <w:rPr>
          <w:rFonts w:cs="Calibri"/>
        </w:rPr>
        <w:t>the balance of supply</w:t>
      </w:r>
      <w:r w:rsidR="00621DFB" w:rsidRPr="004D0075">
        <w:rPr>
          <w:rFonts w:cs="Calibri"/>
        </w:rPr>
        <w:t xml:space="preserve"> restriction</w:t>
      </w:r>
      <w:r w:rsidR="00515BDB" w:rsidRPr="004D0075">
        <w:rPr>
          <w:rFonts w:cs="Calibri"/>
        </w:rPr>
        <w:t xml:space="preserve"> for dose escalation</w:t>
      </w:r>
      <w:r w:rsidR="00621DFB" w:rsidRPr="004D0075">
        <w:rPr>
          <w:rFonts w:cs="Calibri"/>
        </w:rPr>
        <w:t xml:space="preserve"> only allows supply sufficient to 14 weeks.</w:t>
      </w:r>
    </w:p>
    <w:p w14:paraId="168260D2" w14:textId="63789D3D" w:rsidR="00023AE4" w:rsidRPr="004D0075" w:rsidRDefault="00023AE4" w:rsidP="00023AE4">
      <w:pPr>
        <w:pStyle w:val="3-BodyText"/>
      </w:pPr>
      <w:r w:rsidRPr="004D0075">
        <w:rPr>
          <w:rFonts w:cs="Calibri"/>
        </w:rPr>
        <w:t>The submission did not specify how to handle the cancellation of remaining Q8W scripts when a patient transitions to Q4W</w:t>
      </w:r>
      <w:r w:rsidR="00843403" w:rsidRPr="004D0075">
        <w:rPr>
          <w:rFonts w:cs="Calibri"/>
        </w:rPr>
        <w:t xml:space="preserve"> </w:t>
      </w:r>
      <w:r w:rsidR="00B761B7" w:rsidRPr="004D0075">
        <w:rPr>
          <w:rFonts w:cs="Calibri"/>
        </w:rPr>
        <w:t xml:space="preserve">treatment </w:t>
      </w:r>
      <w:r w:rsidR="00843403" w:rsidRPr="004D0075">
        <w:rPr>
          <w:rFonts w:cs="Calibri"/>
        </w:rPr>
        <w:t xml:space="preserve">nor </w:t>
      </w:r>
      <w:r w:rsidR="00027132" w:rsidRPr="004D0075">
        <w:rPr>
          <w:rFonts w:cs="Calibri"/>
        </w:rPr>
        <w:t>did the proposed restrictions address</w:t>
      </w:r>
      <w:r w:rsidR="00843403" w:rsidRPr="004D0075">
        <w:rPr>
          <w:rFonts w:cs="Calibri"/>
        </w:rPr>
        <w:t xml:space="preserve"> </w:t>
      </w:r>
      <w:r w:rsidR="00625889" w:rsidRPr="004D0075">
        <w:rPr>
          <w:rFonts w:cs="Calibri"/>
        </w:rPr>
        <w:t>patients not transitioning back to Q8W</w:t>
      </w:r>
      <w:r w:rsidR="00CA3730" w:rsidRPr="004D0075">
        <w:rPr>
          <w:rFonts w:cs="Calibri"/>
        </w:rPr>
        <w:t xml:space="preserve"> </w:t>
      </w:r>
      <w:r w:rsidR="00B761B7" w:rsidRPr="004D0075">
        <w:rPr>
          <w:rFonts w:cs="Calibri"/>
        </w:rPr>
        <w:t xml:space="preserve">treatment </w:t>
      </w:r>
      <w:r w:rsidR="00CA3730" w:rsidRPr="004D0075">
        <w:rPr>
          <w:rFonts w:cs="Calibri"/>
        </w:rPr>
        <w:t xml:space="preserve">despite </w:t>
      </w:r>
      <w:r w:rsidR="00C0689B" w:rsidRPr="004D0075">
        <w:rPr>
          <w:rFonts w:cs="Calibri"/>
        </w:rPr>
        <w:t>indicat</w:t>
      </w:r>
      <w:r w:rsidR="00CA3730" w:rsidRPr="004D0075">
        <w:rPr>
          <w:rFonts w:cs="Calibri"/>
        </w:rPr>
        <w:t>ing</w:t>
      </w:r>
      <w:r w:rsidR="00C0689B" w:rsidRPr="004D0075">
        <w:rPr>
          <w:rFonts w:cs="Calibri"/>
        </w:rPr>
        <w:t xml:space="preserve"> that </w:t>
      </w:r>
      <w:r w:rsidR="002C6359" w:rsidRPr="004D0075">
        <w:rPr>
          <w:rFonts w:cs="Calibri"/>
        </w:rPr>
        <w:t xml:space="preserve">the intended population would be </w:t>
      </w:r>
      <w:r w:rsidR="00B90E0D">
        <w:rPr>
          <w:rFonts w:cs="Calibri"/>
        </w:rPr>
        <w:t>t</w:t>
      </w:r>
      <w:r w:rsidR="0097698D">
        <w:rPr>
          <w:rFonts w:cs="Calibri"/>
        </w:rPr>
        <w:t xml:space="preserve">hose who </w:t>
      </w:r>
      <w:r w:rsidR="00A801E3">
        <w:rPr>
          <w:rFonts w:cs="Calibri"/>
        </w:rPr>
        <w:t>would become</w:t>
      </w:r>
      <w:r w:rsidR="0097698D">
        <w:rPr>
          <w:rFonts w:cs="Calibri"/>
        </w:rPr>
        <w:t xml:space="preserve"> </w:t>
      </w:r>
      <w:r w:rsidR="002C6359" w:rsidRPr="004D0075">
        <w:rPr>
          <w:rFonts w:cs="Calibri"/>
        </w:rPr>
        <w:t>Q8W ineligible</w:t>
      </w:r>
      <w:r w:rsidR="004B37E0" w:rsidRPr="004D0075">
        <w:rPr>
          <w:rFonts w:cs="Calibri"/>
        </w:rPr>
        <w:t>.</w:t>
      </w:r>
      <w:r w:rsidRPr="004D0075">
        <w:rPr>
          <w:rFonts w:cs="Calibri"/>
        </w:rPr>
        <w:t xml:space="preserve"> Patients who dose escalate early in the maintenance period may have 1-2</w:t>
      </w:r>
      <w:r w:rsidR="005A0EF3">
        <w:rPr>
          <w:rFonts w:cs="Calibri"/>
        </w:rPr>
        <w:t xml:space="preserve"> Q8W</w:t>
      </w:r>
      <w:r w:rsidRPr="004D0075">
        <w:rPr>
          <w:rFonts w:cs="Calibri"/>
        </w:rPr>
        <w:t xml:space="preserve"> repeats remaining</w:t>
      </w:r>
      <w:r w:rsidR="004936EB">
        <w:rPr>
          <w:rFonts w:cs="Calibri"/>
        </w:rPr>
        <w:t>,</w:t>
      </w:r>
      <w:r w:rsidRPr="004D0075">
        <w:rPr>
          <w:rFonts w:cs="Calibri"/>
        </w:rPr>
        <w:t xml:space="preserve"> and having these </w:t>
      </w:r>
      <w:r w:rsidR="005A0EF3">
        <w:rPr>
          <w:rFonts w:cs="Calibri"/>
        </w:rPr>
        <w:t>dispensed in</w:t>
      </w:r>
      <w:r w:rsidR="005A0EF3" w:rsidRPr="004D0075">
        <w:rPr>
          <w:rFonts w:cs="Calibri"/>
        </w:rPr>
        <w:t xml:space="preserve"> </w:t>
      </w:r>
      <w:r w:rsidRPr="004D0075">
        <w:rPr>
          <w:rFonts w:cs="Calibri"/>
        </w:rPr>
        <w:t xml:space="preserve">addition to </w:t>
      </w:r>
      <w:r w:rsidR="005A0EF3">
        <w:rPr>
          <w:rFonts w:cs="Calibri"/>
        </w:rPr>
        <w:t>the</w:t>
      </w:r>
      <w:r w:rsidRPr="004D0075">
        <w:rPr>
          <w:rFonts w:cs="Calibri"/>
        </w:rPr>
        <w:t xml:space="preserve"> new Q4W prescription </w:t>
      </w:r>
      <w:r w:rsidR="00625889" w:rsidRPr="004D0075">
        <w:rPr>
          <w:rFonts w:cs="Calibri"/>
        </w:rPr>
        <w:t>may be outside the cost-effective use of the Q8W restriction</w:t>
      </w:r>
      <w:r w:rsidRPr="004D0075">
        <w:rPr>
          <w:rFonts w:cs="Calibri"/>
        </w:rPr>
        <w:t>.</w:t>
      </w:r>
    </w:p>
    <w:p w14:paraId="4282CF1B" w14:textId="600EC49B" w:rsidR="48AABA94" w:rsidRPr="004D0075" w:rsidRDefault="010B7CDB" w:rsidP="004826D3">
      <w:pPr>
        <w:pStyle w:val="3-BodyText"/>
        <w:keepNext/>
        <w:keepLines/>
        <w:spacing w:line="259" w:lineRule="auto"/>
        <w:rPr>
          <w:rFonts w:ascii="Calibri" w:eastAsia="Calibri" w:hAnsi="Calibri" w:cs="Calibri"/>
        </w:rPr>
      </w:pPr>
      <w:bookmarkStart w:id="0" w:name="_Ref211963922"/>
      <w:r w:rsidRPr="004D0075">
        <w:rPr>
          <w:rFonts w:cs="Calibri"/>
        </w:rPr>
        <w:t>The submission stated that</w:t>
      </w:r>
      <w:r w:rsidRPr="004D0075">
        <w:rPr>
          <w:rFonts w:ascii="Calibri" w:eastAsia="Calibri" w:hAnsi="Calibri" w:cs="Calibri"/>
        </w:rPr>
        <w:t xml:space="preserve"> </w:t>
      </w:r>
      <w:r w:rsidRPr="004D0075">
        <w:t>vedolizumab SC 108 mg, administered every two weeks</w:t>
      </w:r>
      <w:r w:rsidRPr="004D0075">
        <w:rPr>
          <w:rFonts w:ascii="Calibri" w:eastAsia="Calibri" w:hAnsi="Calibri" w:cs="Calibri"/>
        </w:rPr>
        <w:t xml:space="preserve"> (Q2W) </w:t>
      </w:r>
      <w:r w:rsidRPr="004D0075">
        <w:rPr>
          <w:rFonts w:cs="Calibri"/>
        </w:rPr>
        <w:t>as</w:t>
      </w:r>
      <w:r w:rsidRPr="004D0075">
        <w:rPr>
          <w:rFonts w:ascii="Calibri" w:eastAsia="Calibri" w:hAnsi="Calibri" w:cs="Calibri"/>
        </w:rPr>
        <w:t xml:space="preserve"> another maintenance regimen, is not </w:t>
      </w:r>
      <w:r w:rsidR="00274C7E" w:rsidRPr="004D0075">
        <w:rPr>
          <w:rFonts w:ascii="Calibri" w:eastAsia="Calibri" w:hAnsi="Calibri" w:cs="Calibri"/>
        </w:rPr>
        <w:t xml:space="preserve">being proposed as </w:t>
      </w:r>
      <w:r w:rsidRPr="004D0075">
        <w:rPr>
          <w:rFonts w:ascii="Calibri" w:eastAsia="Calibri" w:hAnsi="Calibri" w:cs="Calibri"/>
        </w:rPr>
        <w:t xml:space="preserve">an option </w:t>
      </w:r>
      <w:r w:rsidR="08C9F2AA" w:rsidRPr="004D0075">
        <w:rPr>
          <w:rFonts w:ascii="Calibri" w:eastAsia="Calibri" w:hAnsi="Calibri" w:cs="Calibri"/>
        </w:rPr>
        <w:t>for</w:t>
      </w:r>
      <w:r w:rsidRPr="004D0075">
        <w:rPr>
          <w:rFonts w:ascii="Calibri" w:eastAsia="Calibri" w:hAnsi="Calibri" w:cs="Calibri"/>
        </w:rPr>
        <w:t xml:space="preserve"> patients who escalate to vedolizumab Q4W</w:t>
      </w:r>
      <w:r w:rsidR="00B761B7" w:rsidRPr="004D0075">
        <w:rPr>
          <w:rFonts w:ascii="Calibri" w:eastAsia="Calibri" w:hAnsi="Calibri" w:cs="Calibri"/>
        </w:rPr>
        <w:t xml:space="preserve"> treatment</w:t>
      </w:r>
      <w:r w:rsidR="3BFFC382" w:rsidRPr="004D0075">
        <w:rPr>
          <w:rFonts w:ascii="Calibri" w:eastAsia="Calibri" w:hAnsi="Calibri" w:cs="Calibri"/>
        </w:rPr>
        <w:t>.</w:t>
      </w:r>
      <w:r w:rsidRPr="004D0075">
        <w:rPr>
          <w:rFonts w:ascii="Calibri" w:eastAsia="Calibri" w:hAnsi="Calibri" w:cs="Calibri"/>
        </w:rPr>
        <w:t xml:space="preserve"> </w:t>
      </w:r>
      <w:r w:rsidR="000D6AF5" w:rsidRPr="004D0075">
        <w:rPr>
          <w:rFonts w:ascii="Calibri" w:eastAsia="Calibri" w:hAnsi="Calibri" w:cs="Calibri"/>
        </w:rPr>
        <w:t xml:space="preserve">Only patients </w:t>
      </w:r>
      <w:r w:rsidRPr="004D0075">
        <w:rPr>
          <w:rFonts w:ascii="Calibri" w:eastAsia="Calibri" w:hAnsi="Calibri" w:cs="Calibri"/>
        </w:rPr>
        <w:t xml:space="preserve">who are well controlled after vedolizumab IV induction or vedolizumab Q8W are candidates for switching to the vedolizumab SC regimen. </w:t>
      </w:r>
      <w:r w:rsidR="0033286E">
        <w:rPr>
          <w:rFonts w:ascii="Calibri" w:eastAsia="Calibri" w:hAnsi="Calibri" w:cs="Calibri"/>
        </w:rPr>
        <w:t xml:space="preserve">While the pre-PBAC response stated that the sponsor was not opposed to </w:t>
      </w:r>
      <w:r w:rsidR="002D6D4D">
        <w:rPr>
          <w:rFonts w:ascii="Calibri" w:eastAsia="Calibri" w:hAnsi="Calibri" w:cs="Calibri"/>
        </w:rPr>
        <w:t xml:space="preserve">SC maintenance after Q4W maintenance, no evidence was provided to support the </w:t>
      </w:r>
      <w:r w:rsidR="00AD6CEC">
        <w:rPr>
          <w:rFonts w:ascii="Calibri" w:eastAsia="Calibri" w:hAnsi="Calibri" w:cs="Calibri"/>
        </w:rPr>
        <w:t>clinical effectiveness or the equi-effective dosing in the submission nor the pre-PBAC response.</w:t>
      </w:r>
      <w:r w:rsidR="002D6D4D">
        <w:rPr>
          <w:rFonts w:ascii="Calibri" w:eastAsia="Calibri" w:hAnsi="Calibri" w:cs="Calibri"/>
        </w:rPr>
        <w:t xml:space="preserve"> </w:t>
      </w:r>
      <w:r w:rsidR="3AE90105" w:rsidRPr="004D0075">
        <w:rPr>
          <w:rFonts w:ascii="Calibri" w:eastAsia="Calibri" w:hAnsi="Calibri" w:cs="Calibri"/>
        </w:rPr>
        <w:t xml:space="preserve">Flow-on changes to </w:t>
      </w:r>
      <w:r w:rsidR="00BA0C0E">
        <w:rPr>
          <w:rFonts w:ascii="Calibri" w:eastAsia="Calibri" w:hAnsi="Calibri" w:cs="Calibri"/>
        </w:rPr>
        <w:t xml:space="preserve">the </w:t>
      </w:r>
      <w:r w:rsidR="3AE90105" w:rsidRPr="004D0075">
        <w:rPr>
          <w:rFonts w:ascii="Calibri" w:eastAsia="Calibri" w:hAnsi="Calibri" w:cs="Calibri"/>
        </w:rPr>
        <w:t>vedolizumab SC 108 mg</w:t>
      </w:r>
      <w:r w:rsidR="131DE816" w:rsidRPr="004D0075">
        <w:rPr>
          <w:rFonts w:ascii="Calibri" w:eastAsia="Calibri" w:hAnsi="Calibri" w:cs="Calibri"/>
        </w:rPr>
        <w:t xml:space="preserve"> listing</w:t>
      </w:r>
      <w:r w:rsidR="00BA0C0E">
        <w:rPr>
          <w:rFonts w:ascii="Calibri" w:eastAsia="Calibri" w:hAnsi="Calibri" w:cs="Calibri"/>
        </w:rPr>
        <w:t xml:space="preserve"> for</w:t>
      </w:r>
      <w:r w:rsidR="00BA0C0E" w:rsidRPr="004D0075">
        <w:rPr>
          <w:rFonts w:ascii="Calibri" w:eastAsia="Calibri" w:hAnsi="Calibri" w:cs="Calibri"/>
        </w:rPr>
        <w:t xml:space="preserve"> </w:t>
      </w:r>
      <w:r w:rsidR="131DE816" w:rsidRPr="004D0075">
        <w:rPr>
          <w:rFonts w:ascii="Calibri" w:eastAsia="Calibri" w:hAnsi="Calibri" w:cs="Calibri"/>
        </w:rPr>
        <w:t>‘</w:t>
      </w:r>
      <w:r w:rsidR="496A2537" w:rsidRPr="004D0075">
        <w:rPr>
          <w:rFonts w:ascii="Calibri" w:eastAsia="Calibri" w:hAnsi="Calibri" w:cs="Calibri"/>
        </w:rPr>
        <w:t xml:space="preserve">Continuing treatment with subcutaneous form or switching from intravenous form to subcutaneous </w:t>
      </w:r>
      <w:r w:rsidR="131DE816" w:rsidRPr="004D0075">
        <w:rPr>
          <w:rFonts w:ascii="Calibri" w:eastAsia="Calibri" w:hAnsi="Calibri" w:cs="Calibri"/>
        </w:rPr>
        <w:t>form</w:t>
      </w:r>
      <w:r w:rsidR="3C9BADC2" w:rsidRPr="004D0075">
        <w:rPr>
          <w:rFonts w:ascii="Calibri" w:eastAsia="Calibri" w:hAnsi="Calibri" w:cs="Calibri"/>
        </w:rPr>
        <w:t>’</w:t>
      </w:r>
      <w:r w:rsidR="3AE90105" w:rsidRPr="004D0075">
        <w:rPr>
          <w:rFonts w:ascii="Calibri" w:eastAsia="Calibri" w:hAnsi="Calibri" w:cs="Calibri"/>
        </w:rPr>
        <w:t xml:space="preserve"> </w:t>
      </w:r>
      <w:r w:rsidR="492D4DFD" w:rsidRPr="004D0075">
        <w:rPr>
          <w:rFonts w:ascii="Calibri" w:eastAsia="Calibri" w:hAnsi="Calibri" w:cs="Calibri"/>
        </w:rPr>
        <w:t xml:space="preserve">might be required </w:t>
      </w:r>
      <w:r w:rsidR="32D11987" w:rsidRPr="004D0075">
        <w:rPr>
          <w:rFonts w:ascii="Calibri" w:eastAsia="Calibri" w:hAnsi="Calibri" w:cs="Calibri"/>
        </w:rPr>
        <w:t xml:space="preserve">to limit access to </w:t>
      </w:r>
      <w:r w:rsidR="006E067A" w:rsidRPr="004D0075">
        <w:rPr>
          <w:rFonts w:ascii="Calibri" w:eastAsia="Calibri" w:hAnsi="Calibri" w:cs="Calibri"/>
        </w:rPr>
        <w:t xml:space="preserve">stable </w:t>
      </w:r>
      <w:r w:rsidR="42673286" w:rsidRPr="004D0075">
        <w:rPr>
          <w:rFonts w:ascii="Calibri" w:eastAsia="Calibri" w:hAnsi="Calibri" w:cs="Calibri"/>
        </w:rPr>
        <w:t>IV induction</w:t>
      </w:r>
      <w:r w:rsidR="006E067A" w:rsidRPr="004D0075">
        <w:rPr>
          <w:rFonts w:ascii="Calibri" w:eastAsia="Calibri" w:hAnsi="Calibri" w:cs="Calibri"/>
        </w:rPr>
        <w:t xml:space="preserve"> responders</w:t>
      </w:r>
      <w:r w:rsidR="42673286" w:rsidRPr="004D0075">
        <w:rPr>
          <w:rFonts w:ascii="Calibri" w:eastAsia="Calibri" w:hAnsi="Calibri" w:cs="Calibri"/>
        </w:rPr>
        <w:t xml:space="preserve"> or </w:t>
      </w:r>
      <w:r w:rsidR="32D11987" w:rsidRPr="004D0075">
        <w:rPr>
          <w:rFonts w:ascii="Calibri" w:eastAsia="Calibri" w:hAnsi="Calibri" w:cs="Calibri"/>
        </w:rPr>
        <w:t xml:space="preserve">IV Q8W </w:t>
      </w:r>
      <w:r w:rsidR="2081D67D" w:rsidRPr="004D0075">
        <w:rPr>
          <w:rFonts w:ascii="Calibri" w:eastAsia="Calibri" w:hAnsi="Calibri" w:cs="Calibri"/>
        </w:rPr>
        <w:t xml:space="preserve">maintenance </w:t>
      </w:r>
      <w:r w:rsidR="0086772D" w:rsidRPr="004D0075">
        <w:rPr>
          <w:rFonts w:ascii="Calibri" w:eastAsia="Calibri" w:hAnsi="Calibri" w:cs="Calibri"/>
        </w:rPr>
        <w:t>responders</w:t>
      </w:r>
      <w:r w:rsidR="492D4DFD" w:rsidRPr="004D0075">
        <w:rPr>
          <w:rFonts w:ascii="Calibri" w:eastAsia="Calibri" w:hAnsi="Calibri" w:cs="Calibri"/>
        </w:rPr>
        <w:t>.</w:t>
      </w:r>
      <w:bookmarkEnd w:id="0"/>
    </w:p>
    <w:p w14:paraId="70CB021C" w14:textId="102B981B" w:rsidR="006B5144" w:rsidRDefault="009C59BC" w:rsidP="00845746">
      <w:pPr>
        <w:pStyle w:val="3-BodyText"/>
      </w:pPr>
      <w:r w:rsidRPr="004D0075">
        <w:rPr>
          <w:rFonts w:cs="Calibri"/>
        </w:rPr>
        <w:t xml:space="preserve">The submission proposed new </w:t>
      </w:r>
      <w:r w:rsidR="00B67E05" w:rsidRPr="004D0075">
        <w:rPr>
          <w:rFonts w:cs="Calibri"/>
        </w:rPr>
        <w:t xml:space="preserve">separate </w:t>
      </w:r>
      <w:r w:rsidRPr="004D0075">
        <w:rPr>
          <w:rFonts w:cs="Calibri"/>
        </w:rPr>
        <w:t>restrictions for Q4W dose escalation and maintenance/continuing treatment; however, the Secretariat’s review noted</w:t>
      </w:r>
      <w:r w:rsidR="00B67E05" w:rsidRPr="004D0075">
        <w:rPr>
          <w:rFonts w:cs="Calibri"/>
        </w:rPr>
        <w:t xml:space="preserve"> the</w:t>
      </w:r>
      <w:r w:rsidRPr="004D0075">
        <w:rPr>
          <w:rFonts w:cs="Calibri"/>
        </w:rPr>
        <w:t xml:space="preserve"> dose escalation logic can be achieved by amending the existing Q8W restrictions to include Q4W dosing, and new restrictions may not be necessary.</w:t>
      </w:r>
      <w:r w:rsidR="00C903CD">
        <w:rPr>
          <w:rFonts w:cs="Calibri"/>
        </w:rPr>
        <w:t xml:space="preserve"> It was noted that </w:t>
      </w:r>
      <w:r w:rsidR="00140C86">
        <w:rPr>
          <w:rFonts w:cs="Calibri"/>
        </w:rPr>
        <w:t xml:space="preserve">administratively it is better for prescribers to </w:t>
      </w:r>
      <w:r w:rsidR="004B2125">
        <w:rPr>
          <w:rFonts w:cs="Calibri"/>
        </w:rPr>
        <w:t xml:space="preserve">be able to use the one restriction, however, </w:t>
      </w:r>
      <w:r w:rsidR="005F419E">
        <w:rPr>
          <w:rFonts w:cs="Calibri"/>
        </w:rPr>
        <w:t>to implement the SPA effectively</w:t>
      </w:r>
      <w:r w:rsidR="00DF42BB">
        <w:rPr>
          <w:rFonts w:cs="Calibri"/>
        </w:rPr>
        <w:t>, a separate listing would be required.</w:t>
      </w:r>
      <w:r w:rsidRPr="004D0075">
        <w:rPr>
          <w:rFonts w:cs="Calibri"/>
        </w:rPr>
        <w:t xml:space="preserve"> Further discussion in the economic analysis</w:t>
      </w:r>
      <w:r w:rsidR="00776754">
        <w:rPr>
          <w:rFonts w:cs="Calibri"/>
        </w:rPr>
        <w:t xml:space="preserve">, </w:t>
      </w:r>
      <w:r w:rsidRPr="004D0075">
        <w:rPr>
          <w:rFonts w:cs="Calibri"/>
        </w:rPr>
        <w:t xml:space="preserve">estimated usage and financial implications section may inform how the restriction </w:t>
      </w:r>
      <w:r w:rsidR="00A816FA">
        <w:rPr>
          <w:rFonts w:cs="Calibri"/>
        </w:rPr>
        <w:t>would</w:t>
      </w:r>
      <w:r w:rsidR="00A816FA" w:rsidRPr="004D0075">
        <w:rPr>
          <w:rFonts w:cs="Calibri"/>
        </w:rPr>
        <w:t xml:space="preserve"> </w:t>
      </w:r>
      <w:r w:rsidRPr="004D0075">
        <w:rPr>
          <w:rFonts w:cs="Calibri"/>
        </w:rPr>
        <w:t xml:space="preserve">need to be structured to </w:t>
      </w:r>
      <w:r w:rsidR="00B67E05" w:rsidRPr="004D0075">
        <w:rPr>
          <w:rFonts w:cs="Calibri"/>
        </w:rPr>
        <w:lastRenderedPageBreak/>
        <w:t>ensure cost-neutrality.</w:t>
      </w:r>
      <w:r w:rsidR="00F62DD0" w:rsidRPr="002A19AE">
        <w:t xml:space="preserve"> </w:t>
      </w:r>
      <w:r w:rsidR="00DF42BB">
        <w:t>At the time of consideration, the Secretariat had</w:t>
      </w:r>
      <w:r w:rsidR="00F62DD0" w:rsidRPr="002A19AE">
        <w:t xml:space="preserve"> proposed </w:t>
      </w:r>
      <w:r w:rsidR="00F62DD0">
        <w:t xml:space="preserve">amendments to </w:t>
      </w:r>
      <w:r w:rsidR="001A188B">
        <w:t xml:space="preserve">the </w:t>
      </w:r>
      <w:r w:rsidR="00F62DD0">
        <w:t>existing restrictions</w:t>
      </w:r>
      <w:r w:rsidR="00F62DD0" w:rsidRPr="002A19AE">
        <w:t xml:space="preserve"> </w:t>
      </w:r>
      <w:r w:rsidR="002169BA">
        <w:t>to include</w:t>
      </w:r>
      <w:r w:rsidR="00F62DD0" w:rsidRPr="002A19AE">
        <w:t xml:space="preserve"> Q4W dosing</w:t>
      </w:r>
      <w:r w:rsidR="00532516">
        <w:t xml:space="preserve"> (shown</w:t>
      </w:r>
      <w:r w:rsidR="00F62DD0" w:rsidRPr="002A19AE">
        <w:t xml:space="preserve"> below</w:t>
      </w:r>
      <w:r w:rsidR="00532516">
        <w:t>)</w:t>
      </w:r>
      <w:r w:rsidR="00F62DD0" w:rsidRPr="002A19AE">
        <w:t xml:space="preserve">. Only the restriction wording that </w:t>
      </w:r>
      <w:r w:rsidR="009F3158">
        <w:t>would differ from the existing restrictions</w:t>
      </w:r>
      <w:r w:rsidR="00F62DD0" w:rsidRPr="002A19AE">
        <w:t xml:space="preserve"> has been included in this section. </w:t>
      </w:r>
    </w:p>
    <w:p w14:paraId="02385212" w14:textId="77777777" w:rsidR="00DC707C" w:rsidRPr="0081115A" w:rsidRDefault="00DC707C" w:rsidP="000D07F1">
      <w:pPr>
        <w:keepNext/>
        <w:rPr>
          <w:rFonts w:ascii="Arial Narrow" w:hAnsi="Arial Narrow"/>
          <w:b/>
          <w:bCs/>
          <w:sz w:val="20"/>
          <w:szCs w:val="20"/>
        </w:rPr>
      </w:pPr>
      <w:r w:rsidRPr="0081115A">
        <w:rPr>
          <w:rFonts w:ascii="Arial Narrow" w:hAnsi="Arial Narrow"/>
          <w:b/>
          <w:bCs/>
          <w:sz w:val="20"/>
          <w:szCs w:val="20"/>
        </w:rPr>
        <w:t>Moderate to severe ulcerative colitis – Balance of Supply (BOS) – 10384M &amp; 10198G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posed amendments to requested listing - Moderate to severe ulcerative colitis – Balance of Supply (BOS) – 10384M &amp; 10198G"/>
      </w:tblPr>
      <w:tblGrid>
        <w:gridCol w:w="1271"/>
        <w:gridCol w:w="2552"/>
        <w:gridCol w:w="927"/>
        <w:gridCol w:w="812"/>
        <w:gridCol w:w="811"/>
        <w:gridCol w:w="812"/>
        <w:gridCol w:w="1831"/>
      </w:tblGrid>
      <w:tr w:rsidR="00DC707C" w:rsidRPr="004D0075" w14:paraId="46EC389C" w14:textId="77777777">
        <w:trPr>
          <w:cantSplit/>
          <w:trHeight w:val="20"/>
        </w:trPr>
        <w:tc>
          <w:tcPr>
            <w:tcW w:w="3823" w:type="dxa"/>
            <w:gridSpan w:val="2"/>
            <w:vAlign w:val="center"/>
          </w:tcPr>
          <w:p w14:paraId="45B12AC5" w14:textId="77777777" w:rsidR="00DC707C" w:rsidRPr="004D0075" w:rsidRDefault="00DC707C">
            <w:pPr>
              <w:keepLines/>
              <w:rPr>
                <w:rFonts w:ascii="Arial Narrow" w:hAnsi="Arial Narrow" w:cs="Arial"/>
                <w:b/>
                <w:bCs/>
                <w:sz w:val="20"/>
                <w:szCs w:val="20"/>
              </w:rPr>
            </w:pPr>
            <w:r w:rsidRPr="004D0075">
              <w:rPr>
                <w:rFonts w:ascii="Arial Narrow" w:hAnsi="Arial Narrow" w:cs="Arial"/>
                <w:b/>
                <w:bCs/>
                <w:sz w:val="20"/>
                <w:szCs w:val="20"/>
              </w:rPr>
              <w:t>MEDICINAL PRODUCT</w:t>
            </w:r>
          </w:p>
          <w:p w14:paraId="38C2A42E" w14:textId="77777777" w:rsidR="00DC707C" w:rsidRPr="004D0075" w:rsidRDefault="00DC707C">
            <w:pPr>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927" w:type="dxa"/>
            <w:vAlign w:val="center"/>
          </w:tcPr>
          <w:p w14:paraId="1E2156AC" w14:textId="77777777" w:rsidR="00DC707C" w:rsidRPr="004D0075" w:rsidRDefault="00DC707C">
            <w:pPr>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0006D5C9" w14:textId="77777777" w:rsidR="00DC707C" w:rsidRPr="004D0075" w:rsidRDefault="00DC707C">
            <w:pPr>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21443692" w14:textId="77777777" w:rsidR="00DC707C" w:rsidRPr="004D0075" w:rsidRDefault="00DC707C">
            <w:pPr>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50EE3B82" w14:textId="77777777" w:rsidR="00DC707C" w:rsidRPr="004D0075" w:rsidRDefault="00DC707C">
            <w:pPr>
              <w:keepLines/>
              <w:jc w:val="center"/>
              <w:rPr>
                <w:rFonts w:ascii="Arial Narrow" w:hAnsi="Arial Narrow" w:cs="Arial"/>
                <w:b/>
                <w:sz w:val="20"/>
                <w:szCs w:val="20"/>
              </w:rPr>
            </w:pPr>
            <w:r w:rsidRPr="004D0075">
              <w:rPr>
                <w:rFonts w:ascii="Arial Narrow" w:hAnsi="Arial Narrow" w:cs="Arial"/>
                <w:b/>
                <w:sz w:val="20"/>
                <w:szCs w:val="20"/>
              </w:rPr>
              <w:t>№.of</w:t>
            </w:r>
          </w:p>
          <w:p w14:paraId="5E6DC1BE" w14:textId="77777777" w:rsidR="00DC707C" w:rsidRPr="004D0075" w:rsidRDefault="00DC707C">
            <w:pPr>
              <w:keepLines/>
              <w:jc w:val="center"/>
              <w:rPr>
                <w:rFonts w:ascii="Arial Narrow" w:hAnsi="Arial Narrow" w:cs="Arial"/>
                <w:b/>
                <w:sz w:val="20"/>
                <w:szCs w:val="20"/>
              </w:rPr>
            </w:pPr>
            <w:r w:rsidRPr="004D0075">
              <w:rPr>
                <w:rFonts w:ascii="Arial Narrow" w:hAnsi="Arial Narrow" w:cs="Arial"/>
                <w:b/>
                <w:sz w:val="20"/>
                <w:szCs w:val="20"/>
              </w:rPr>
              <w:t>Rpts</w:t>
            </w:r>
          </w:p>
        </w:tc>
        <w:tc>
          <w:tcPr>
            <w:tcW w:w="1831" w:type="dxa"/>
            <w:vAlign w:val="center"/>
          </w:tcPr>
          <w:p w14:paraId="33AE75DC" w14:textId="77777777" w:rsidR="00DC707C" w:rsidRPr="004D0075" w:rsidRDefault="00DC707C">
            <w:pPr>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DC707C" w:rsidRPr="004D0075" w14:paraId="36FA2324" w14:textId="77777777">
        <w:trPr>
          <w:cantSplit/>
          <w:trHeight w:val="20"/>
        </w:trPr>
        <w:tc>
          <w:tcPr>
            <w:tcW w:w="9016" w:type="dxa"/>
            <w:gridSpan w:val="7"/>
            <w:vAlign w:val="center"/>
          </w:tcPr>
          <w:p w14:paraId="6F44A1A5"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 xml:space="preserve">VEDOLIZUMAB </w:t>
            </w:r>
          </w:p>
        </w:tc>
      </w:tr>
      <w:tr w:rsidR="00DC707C" w:rsidRPr="004D0075" w14:paraId="49A1C3F9" w14:textId="77777777">
        <w:trPr>
          <w:cantSplit/>
          <w:trHeight w:val="20"/>
        </w:trPr>
        <w:tc>
          <w:tcPr>
            <w:tcW w:w="3823" w:type="dxa"/>
            <w:gridSpan w:val="2"/>
            <w:vAlign w:val="center"/>
          </w:tcPr>
          <w:p w14:paraId="3522DAA5"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152AB91F"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10384M (public)</w:t>
            </w:r>
          </w:p>
        </w:tc>
        <w:tc>
          <w:tcPr>
            <w:tcW w:w="812" w:type="dxa"/>
            <w:vAlign w:val="center"/>
          </w:tcPr>
          <w:p w14:paraId="230C9130"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342A9762"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60FE663D"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1AA5119F"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353A187C" w14:textId="77777777">
        <w:trPr>
          <w:cantSplit/>
          <w:trHeight w:val="20"/>
        </w:trPr>
        <w:tc>
          <w:tcPr>
            <w:tcW w:w="3823" w:type="dxa"/>
            <w:gridSpan w:val="2"/>
            <w:vAlign w:val="center"/>
          </w:tcPr>
          <w:p w14:paraId="5DE7FEAC"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2821F6CF"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10398G</w:t>
            </w:r>
          </w:p>
          <w:p w14:paraId="3A063360" w14:textId="77777777" w:rsidR="00DC707C" w:rsidRPr="004D0075" w:rsidRDefault="00DC707C">
            <w:pPr>
              <w:keepLines/>
              <w:jc w:val="center"/>
              <w:rPr>
                <w:rFonts w:ascii="Arial Narrow" w:hAnsi="Arial Narrow"/>
                <w:sz w:val="20"/>
                <w:szCs w:val="20"/>
              </w:rPr>
            </w:pPr>
            <w:r w:rsidRPr="004D0075">
              <w:rPr>
                <w:rFonts w:ascii="Arial Narrow" w:hAnsi="Arial Narrow" w:cs="Arial"/>
                <w:sz w:val="20"/>
                <w:szCs w:val="20"/>
              </w:rPr>
              <w:t>(private)</w:t>
            </w:r>
          </w:p>
        </w:tc>
        <w:tc>
          <w:tcPr>
            <w:tcW w:w="812" w:type="dxa"/>
            <w:vAlign w:val="center"/>
          </w:tcPr>
          <w:p w14:paraId="1AEDAAFE"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2AC57FD5"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75C5D2A3"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412EA343"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31EFF5EE"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0CA0A0B" w14:textId="77777777" w:rsidR="00DC707C" w:rsidRPr="004D0075" w:rsidRDefault="00DC707C">
            <w:pPr>
              <w:rPr>
                <w:rFonts w:ascii="Arial Narrow" w:hAnsi="Arial Narrow" w:cs="Arial"/>
                <w:sz w:val="20"/>
                <w:szCs w:val="20"/>
              </w:rPr>
            </w:pPr>
          </w:p>
        </w:tc>
      </w:tr>
      <w:tr w:rsidR="00DC707C" w:rsidRPr="004D0075" w14:paraId="53D5B7F8"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DBA6C33" w14:textId="77777777" w:rsidR="00DC707C" w:rsidRPr="004D0075" w:rsidRDefault="00DC707C">
            <w:pPr>
              <w:keepLines/>
              <w:rPr>
                <w:rFonts w:ascii="Arial Narrow" w:hAnsi="Arial Narrow" w:cs="Arial"/>
                <w:b/>
                <w:sz w:val="20"/>
                <w:szCs w:val="20"/>
              </w:rPr>
            </w:pPr>
            <w:r w:rsidRPr="004D0075">
              <w:rPr>
                <w:rFonts w:ascii="Arial Narrow" w:hAnsi="Arial Narrow"/>
                <w:b/>
                <w:sz w:val="20"/>
                <w:szCs w:val="20"/>
              </w:rPr>
              <w:t>Restriction Summary 15842 / Treatment of Concept: 15909: Authority Required</w:t>
            </w:r>
          </w:p>
        </w:tc>
      </w:tr>
      <w:tr w:rsidR="00DC707C" w:rsidRPr="004D0075" w14:paraId="6C322905" w14:textId="77777777">
        <w:tblPrEx>
          <w:tblCellMar>
            <w:top w:w="15" w:type="dxa"/>
            <w:bottom w:w="15" w:type="dxa"/>
          </w:tblCellMar>
          <w:tblLook w:val="04A0" w:firstRow="1" w:lastRow="0" w:firstColumn="1" w:lastColumn="0" w:noHBand="0" w:noVBand="1"/>
        </w:tblPrEx>
        <w:trPr>
          <w:cantSplit/>
          <w:trHeight w:val="20"/>
        </w:trPr>
        <w:tc>
          <w:tcPr>
            <w:tcW w:w="1271" w:type="dxa"/>
          </w:tcPr>
          <w:p w14:paraId="48FF7DF5" w14:textId="77777777" w:rsidR="00DC707C" w:rsidRPr="00333DCC" w:rsidRDefault="00DC707C">
            <w:pPr>
              <w:jc w:val="center"/>
              <w:rPr>
                <w:rFonts w:ascii="Arial Narrow" w:hAnsi="Arial Narrow"/>
                <w:i/>
                <w:iCs/>
                <w:sz w:val="20"/>
                <w:szCs w:val="20"/>
              </w:rPr>
            </w:pPr>
            <w:r w:rsidRPr="00333DCC">
              <w:rPr>
                <w:rFonts w:ascii="Arial Narrow" w:eastAsia="Aptos" w:hAnsi="Arial Narrow" w:cs="Aptos"/>
                <w:i/>
                <w:iCs/>
                <w:sz w:val="20"/>
                <w:szCs w:val="20"/>
                <w14:ligatures w14:val="standardContextual"/>
              </w:rPr>
              <w:t>[New]</w:t>
            </w:r>
          </w:p>
        </w:tc>
        <w:tc>
          <w:tcPr>
            <w:tcW w:w="7745" w:type="dxa"/>
            <w:gridSpan w:val="6"/>
          </w:tcPr>
          <w:p w14:paraId="0C900A2E" w14:textId="77777777" w:rsidR="00DC707C" w:rsidRPr="00333DCC" w:rsidRDefault="00DC707C">
            <w:pPr>
              <w:rPr>
                <w:rFonts w:ascii="Arial Narrow" w:eastAsia="Aptos" w:hAnsi="Arial Narrow" w:cs="Aptos"/>
                <w:i/>
                <w:iCs/>
                <w:sz w:val="20"/>
                <w:szCs w:val="20"/>
                <w14:ligatures w14:val="standardContextual"/>
              </w:rPr>
            </w:pPr>
            <w:r w:rsidRPr="00333DCC">
              <w:rPr>
                <w:rFonts w:ascii="Arial Narrow" w:eastAsia="Aptos" w:hAnsi="Arial Narrow" w:cs="Aptos"/>
                <w:b/>
                <w:bCs/>
                <w:i/>
                <w:iCs/>
                <w:sz w:val="20"/>
                <w:szCs w:val="20"/>
                <w14:ligatures w14:val="standardContextual"/>
              </w:rPr>
              <w:t>Prescribing Instructions</w:t>
            </w:r>
            <w:r w:rsidRPr="00333DCC">
              <w:rPr>
                <w:rFonts w:ascii="Arial Narrow" w:eastAsia="Aptos" w:hAnsi="Arial Narrow" w:cs="Aptos"/>
                <w:i/>
                <w:iCs/>
                <w:sz w:val="20"/>
                <w:szCs w:val="20"/>
                <w14:ligatures w14:val="standardContextual"/>
              </w:rPr>
              <w:t xml:space="preserve">: At the time of the authority application, medical practitioners should request the appropriate maximum number of repeats to complete 24 weeks treatment: </w:t>
            </w:r>
          </w:p>
          <w:p w14:paraId="0CE348F3" w14:textId="77777777" w:rsidR="00DC707C" w:rsidRPr="00333DCC" w:rsidRDefault="00DC707C" w:rsidP="00DC707C">
            <w:pPr>
              <w:numPr>
                <w:ilvl w:val="0"/>
                <w:numId w:val="42"/>
              </w:numPr>
              <w:jc w:val="left"/>
              <w:rPr>
                <w:rFonts w:ascii="Arial Narrow" w:hAnsi="Arial Narrow" w:cs="Aptos"/>
                <w:i/>
                <w:iCs/>
                <w:sz w:val="20"/>
                <w:szCs w:val="20"/>
                <w14:ligatures w14:val="standardContextual"/>
              </w:rPr>
            </w:pPr>
            <w:r w:rsidRPr="00333DCC">
              <w:rPr>
                <w:rFonts w:ascii="Arial Narrow" w:hAnsi="Arial Narrow" w:cs="Aptos"/>
                <w:i/>
                <w:iCs/>
                <w:sz w:val="20"/>
                <w:szCs w:val="20"/>
                <w14:ligatures w14:val="standardContextual"/>
              </w:rPr>
              <w:t>Where dosing is to be administered every 8 weeks for continuing treatment following the induction/initial doses – up to a maximum of 2 repeats may be requested</w:t>
            </w:r>
          </w:p>
          <w:p w14:paraId="06725BA3" w14:textId="77777777" w:rsidR="00DC707C" w:rsidRPr="00333DCC" w:rsidRDefault="00DC707C" w:rsidP="00DC707C">
            <w:pPr>
              <w:numPr>
                <w:ilvl w:val="0"/>
                <w:numId w:val="42"/>
              </w:numPr>
              <w:jc w:val="left"/>
              <w:rPr>
                <w:rFonts w:ascii="Arial Narrow" w:hAnsi="Arial Narrow" w:cs="Aptos"/>
                <w:i/>
                <w:iCs/>
                <w:sz w:val="20"/>
                <w:szCs w:val="20"/>
                <w14:ligatures w14:val="standardContextual"/>
              </w:rPr>
            </w:pPr>
            <w:r w:rsidRPr="00333DCC">
              <w:rPr>
                <w:rFonts w:ascii="Arial Narrow" w:hAnsi="Arial Narrow" w:cs="Aptos"/>
                <w:i/>
                <w:iCs/>
                <w:sz w:val="20"/>
                <w:szCs w:val="20"/>
                <w14:ligatures w14:val="standardContextual"/>
              </w:rPr>
              <w:t>Where a patient is dose escalating from 8 weekly to 4 weekly dosing during continuing treatment, a maximum of 3 repeats may be requested to complete 24 weeks treatment for the first course of continuing treatment.  </w:t>
            </w:r>
          </w:p>
        </w:tc>
      </w:tr>
      <w:tr w:rsidR="00DC707C" w:rsidRPr="004D0075" w14:paraId="1DC86FE2" w14:textId="77777777">
        <w:tblPrEx>
          <w:tblCellMar>
            <w:top w:w="15" w:type="dxa"/>
            <w:bottom w:w="15" w:type="dxa"/>
          </w:tblCellMar>
          <w:tblLook w:val="04A0" w:firstRow="1" w:lastRow="0" w:firstColumn="1" w:lastColumn="0" w:noHBand="0" w:noVBand="1"/>
        </w:tblPrEx>
        <w:trPr>
          <w:cantSplit/>
          <w:trHeight w:val="20"/>
        </w:trPr>
        <w:tc>
          <w:tcPr>
            <w:tcW w:w="1271" w:type="dxa"/>
          </w:tcPr>
          <w:p w14:paraId="5B5C967B" w14:textId="77777777" w:rsidR="00DC707C" w:rsidRPr="00333DCC" w:rsidRDefault="00DC707C">
            <w:pPr>
              <w:jc w:val="center"/>
              <w:rPr>
                <w:rFonts w:ascii="Arial Narrow" w:hAnsi="Arial Narrow"/>
                <w:i/>
                <w:iCs/>
                <w:sz w:val="20"/>
                <w:szCs w:val="20"/>
              </w:rPr>
            </w:pPr>
            <w:r w:rsidRPr="00333DCC">
              <w:rPr>
                <w:rFonts w:ascii="Arial Narrow" w:eastAsia="Aptos" w:hAnsi="Arial Narrow" w:cs="Aptos"/>
                <w:i/>
                <w:iCs/>
                <w:sz w:val="20"/>
                <w:szCs w:val="20"/>
                <w14:ligatures w14:val="standardContextual"/>
              </w:rPr>
              <w:t>[33089]</w:t>
            </w:r>
          </w:p>
        </w:tc>
        <w:tc>
          <w:tcPr>
            <w:tcW w:w="7745" w:type="dxa"/>
            <w:gridSpan w:val="6"/>
          </w:tcPr>
          <w:p w14:paraId="0A05DBA8" w14:textId="77777777" w:rsidR="00DC707C" w:rsidRPr="00333DCC" w:rsidRDefault="00DC707C">
            <w:pPr>
              <w:rPr>
                <w:rFonts w:ascii="Arial Narrow" w:eastAsia="Aptos" w:hAnsi="Arial Narrow" w:cs="Aptos"/>
                <w:b/>
                <w:bCs/>
                <w:i/>
                <w:iCs/>
                <w:sz w:val="20"/>
                <w:szCs w:val="20"/>
              </w:rPr>
            </w:pPr>
            <w:r w:rsidRPr="00333DCC">
              <w:rPr>
                <w:rFonts w:ascii="Arial Narrow" w:eastAsia="Aptos" w:hAnsi="Arial Narrow" w:cs="Aptos"/>
                <w:b/>
                <w:bCs/>
                <w:i/>
                <w:iCs/>
                <w:sz w:val="20"/>
                <w:szCs w:val="20"/>
                <w14:ligatures w14:val="standardContextual"/>
              </w:rPr>
              <w:t xml:space="preserve">Prescribing Instructions: </w:t>
            </w:r>
            <w:r w:rsidRPr="00333DCC">
              <w:rPr>
                <w:rFonts w:ascii="Arial Narrow" w:eastAsia="Aptos" w:hAnsi="Arial Narrow" w:cs="Aptos"/>
                <w:i/>
                <w:iCs/>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bl>
    <w:p w14:paraId="2D78FF41" w14:textId="77777777" w:rsidR="00DC707C" w:rsidRDefault="00DC707C" w:rsidP="00DC707C">
      <w:pPr>
        <w:rPr>
          <w:rFonts w:ascii="Arial Narrow" w:hAnsi="Arial Narrow"/>
          <w:szCs w:val="20"/>
        </w:rPr>
      </w:pPr>
    </w:p>
    <w:p w14:paraId="15E52566" w14:textId="77777777" w:rsidR="00DC707C" w:rsidRPr="00FC55AF" w:rsidRDefault="00DC707C" w:rsidP="006B5144">
      <w:pPr>
        <w:keepNext/>
        <w:rPr>
          <w:rFonts w:ascii="Arial Narrow" w:hAnsi="Arial Narrow"/>
          <w:b/>
          <w:bCs/>
          <w:sz w:val="20"/>
          <w:szCs w:val="20"/>
        </w:rPr>
      </w:pPr>
      <w:r w:rsidRPr="00FC55AF">
        <w:rPr>
          <w:rFonts w:ascii="Arial Narrow" w:hAnsi="Arial Narrow"/>
          <w:b/>
          <w:bCs/>
          <w:sz w:val="20"/>
          <w:szCs w:val="20"/>
        </w:rPr>
        <w:t>Moderate to severe ulcerative colitis – Continuing Treatment – 10384M &amp; 10398G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posed amendment to requested listing - Moderate to severe ulcerative colitis – Continuing Treatment – 10384M &amp; 10398G"/>
      </w:tblPr>
      <w:tblGrid>
        <w:gridCol w:w="1271"/>
        <w:gridCol w:w="2552"/>
        <w:gridCol w:w="927"/>
        <w:gridCol w:w="812"/>
        <w:gridCol w:w="811"/>
        <w:gridCol w:w="812"/>
        <w:gridCol w:w="1831"/>
      </w:tblGrid>
      <w:tr w:rsidR="00DC707C" w:rsidRPr="004D0075" w14:paraId="4B794DBA" w14:textId="77777777">
        <w:trPr>
          <w:cantSplit/>
          <w:trHeight w:val="20"/>
        </w:trPr>
        <w:tc>
          <w:tcPr>
            <w:tcW w:w="3823" w:type="dxa"/>
            <w:gridSpan w:val="2"/>
            <w:vAlign w:val="center"/>
          </w:tcPr>
          <w:p w14:paraId="12D88A28" w14:textId="77777777" w:rsidR="00DC707C" w:rsidRPr="004D0075" w:rsidRDefault="00DC707C" w:rsidP="006B5144">
            <w:pPr>
              <w:keepNext/>
              <w:keepLines/>
              <w:rPr>
                <w:rFonts w:ascii="Arial Narrow" w:hAnsi="Arial Narrow" w:cs="Arial"/>
                <w:b/>
                <w:bCs/>
                <w:sz w:val="20"/>
                <w:szCs w:val="20"/>
              </w:rPr>
            </w:pPr>
            <w:r w:rsidRPr="004D0075">
              <w:rPr>
                <w:rFonts w:ascii="Arial Narrow" w:hAnsi="Arial Narrow" w:cs="Arial"/>
                <w:b/>
                <w:bCs/>
                <w:sz w:val="20"/>
                <w:szCs w:val="20"/>
              </w:rPr>
              <w:t>MEDICINAL PRODUCT</w:t>
            </w:r>
          </w:p>
          <w:p w14:paraId="1838DAAE" w14:textId="77777777" w:rsidR="00DC707C" w:rsidRPr="004D0075" w:rsidRDefault="00DC707C" w:rsidP="006B5144">
            <w:pPr>
              <w:keepNext/>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927" w:type="dxa"/>
            <w:vAlign w:val="center"/>
          </w:tcPr>
          <w:p w14:paraId="5829F6E3"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5CF14CB6"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3018D1B0"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4331122C"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№.of</w:t>
            </w:r>
          </w:p>
          <w:p w14:paraId="4C92F587"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Rpts</w:t>
            </w:r>
          </w:p>
        </w:tc>
        <w:tc>
          <w:tcPr>
            <w:tcW w:w="1831" w:type="dxa"/>
            <w:vAlign w:val="center"/>
          </w:tcPr>
          <w:p w14:paraId="3CE22A30" w14:textId="77777777" w:rsidR="00DC707C" w:rsidRPr="004D0075" w:rsidRDefault="00DC707C" w:rsidP="006B5144">
            <w:pPr>
              <w:keepNext/>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DC707C" w:rsidRPr="004D0075" w14:paraId="46BF1FF7" w14:textId="77777777">
        <w:trPr>
          <w:cantSplit/>
          <w:trHeight w:val="20"/>
        </w:trPr>
        <w:tc>
          <w:tcPr>
            <w:tcW w:w="9016" w:type="dxa"/>
            <w:gridSpan w:val="7"/>
            <w:vAlign w:val="center"/>
          </w:tcPr>
          <w:p w14:paraId="07A7ADB1"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 xml:space="preserve">VEDOLIZUMAB </w:t>
            </w:r>
          </w:p>
        </w:tc>
      </w:tr>
      <w:tr w:rsidR="00DC707C" w:rsidRPr="004D0075" w14:paraId="7BAF0331" w14:textId="77777777">
        <w:trPr>
          <w:cantSplit/>
          <w:trHeight w:val="20"/>
        </w:trPr>
        <w:tc>
          <w:tcPr>
            <w:tcW w:w="3823" w:type="dxa"/>
            <w:gridSpan w:val="2"/>
            <w:vAlign w:val="center"/>
          </w:tcPr>
          <w:p w14:paraId="2D3A1734"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289902E1"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10384M (public)</w:t>
            </w:r>
          </w:p>
        </w:tc>
        <w:tc>
          <w:tcPr>
            <w:tcW w:w="812" w:type="dxa"/>
            <w:vAlign w:val="center"/>
          </w:tcPr>
          <w:p w14:paraId="1110352D"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35D4C51B"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3E9A7AC5"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4764A8DD"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2C4A666B" w14:textId="77777777">
        <w:trPr>
          <w:cantSplit/>
          <w:trHeight w:val="20"/>
        </w:trPr>
        <w:tc>
          <w:tcPr>
            <w:tcW w:w="3823" w:type="dxa"/>
            <w:gridSpan w:val="2"/>
            <w:vAlign w:val="center"/>
          </w:tcPr>
          <w:p w14:paraId="041A7800"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067A3B98"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10398G</w:t>
            </w:r>
          </w:p>
          <w:p w14:paraId="1A4CF469" w14:textId="77777777" w:rsidR="00DC707C" w:rsidRPr="004D0075" w:rsidRDefault="00DC707C">
            <w:pPr>
              <w:keepLines/>
              <w:jc w:val="center"/>
              <w:rPr>
                <w:rFonts w:ascii="Arial Narrow" w:hAnsi="Arial Narrow"/>
                <w:sz w:val="20"/>
                <w:szCs w:val="20"/>
              </w:rPr>
            </w:pPr>
            <w:r w:rsidRPr="004D0075">
              <w:rPr>
                <w:rFonts w:ascii="Arial Narrow" w:hAnsi="Arial Narrow" w:cs="Arial"/>
                <w:sz w:val="20"/>
                <w:szCs w:val="20"/>
              </w:rPr>
              <w:t>(private)</w:t>
            </w:r>
          </w:p>
        </w:tc>
        <w:tc>
          <w:tcPr>
            <w:tcW w:w="812" w:type="dxa"/>
            <w:vAlign w:val="center"/>
          </w:tcPr>
          <w:p w14:paraId="154930D8" w14:textId="77777777" w:rsidR="00DC707C" w:rsidRPr="004D0075" w:rsidRDefault="00DC707C">
            <w:pPr>
              <w:keepLines/>
              <w:jc w:val="center"/>
              <w:rPr>
                <w:rStyle w:val="CommentReference"/>
              </w:rPr>
            </w:pPr>
            <w:r w:rsidRPr="004D0075">
              <w:rPr>
                <w:rFonts w:ascii="Arial Narrow" w:hAnsi="Arial Narrow" w:cs="Arial"/>
                <w:sz w:val="20"/>
                <w:szCs w:val="20"/>
              </w:rPr>
              <w:t>1</w:t>
            </w:r>
          </w:p>
        </w:tc>
        <w:tc>
          <w:tcPr>
            <w:tcW w:w="811" w:type="dxa"/>
            <w:vAlign w:val="center"/>
          </w:tcPr>
          <w:p w14:paraId="33E399FF"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3D97A913" w14:textId="77777777" w:rsidR="00DC707C" w:rsidRPr="004D0075" w:rsidRDefault="00DC707C">
            <w:pPr>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7E3E04C8" w14:textId="77777777" w:rsidR="00DC707C" w:rsidRPr="004D0075" w:rsidRDefault="00DC707C">
            <w:pPr>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0721BEE3"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D47D0CB" w14:textId="77777777" w:rsidR="00DC707C" w:rsidRPr="004D0075" w:rsidRDefault="00DC707C">
            <w:pPr>
              <w:rPr>
                <w:rFonts w:ascii="Arial Narrow" w:hAnsi="Arial Narrow" w:cs="Arial"/>
                <w:sz w:val="20"/>
                <w:szCs w:val="20"/>
              </w:rPr>
            </w:pPr>
          </w:p>
        </w:tc>
      </w:tr>
      <w:tr w:rsidR="00DC707C" w:rsidRPr="004D0075" w14:paraId="2DA7A8C7"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4A4B45A" w14:textId="77777777" w:rsidR="00DC707C" w:rsidRPr="004D0075" w:rsidRDefault="00DC707C">
            <w:pPr>
              <w:keepLines/>
              <w:rPr>
                <w:rFonts w:ascii="Arial Narrow" w:hAnsi="Arial Narrow" w:cs="Arial"/>
                <w:b/>
                <w:sz w:val="20"/>
                <w:szCs w:val="20"/>
              </w:rPr>
            </w:pPr>
            <w:r w:rsidRPr="004D0075">
              <w:rPr>
                <w:rFonts w:ascii="Arial Narrow" w:hAnsi="Arial Narrow"/>
                <w:b/>
                <w:sz w:val="20"/>
                <w:szCs w:val="20"/>
              </w:rPr>
              <w:t>Restriction Summary 15841 / Treatment of Concept: 15923: Authority Required</w:t>
            </w:r>
          </w:p>
        </w:tc>
      </w:tr>
      <w:tr w:rsidR="00DC707C" w:rsidRPr="004D0075" w14:paraId="2D095518" w14:textId="77777777">
        <w:tblPrEx>
          <w:tblCellMar>
            <w:top w:w="15" w:type="dxa"/>
            <w:bottom w:w="15" w:type="dxa"/>
          </w:tblCellMar>
          <w:tblLook w:val="04A0" w:firstRow="1" w:lastRow="0" w:firstColumn="1" w:lastColumn="0" w:noHBand="0" w:noVBand="1"/>
        </w:tblPrEx>
        <w:trPr>
          <w:cantSplit/>
          <w:trHeight w:val="20"/>
        </w:trPr>
        <w:tc>
          <w:tcPr>
            <w:tcW w:w="1271" w:type="dxa"/>
          </w:tcPr>
          <w:p w14:paraId="1402AA18" w14:textId="77777777" w:rsidR="00DC707C" w:rsidRPr="004D0075" w:rsidRDefault="00DC707C">
            <w:pPr>
              <w:jc w:val="center"/>
              <w:rPr>
                <w:rFonts w:ascii="Arial Narrow" w:hAnsi="Arial Narrow"/>
                <w:strike/>
                <w:sz w:val="20"/>
                <w:szCs w:val="20"/>
              </w:rPr>
            </w:pPr>
            <w:r w:rsidRPr="004D0075">
              <w:rPr>
                <w:rFonts w:ascii="Arial Narrow" w:hAnsi="Arial Narrow"/>
                <w:strike/>
                <w:sz w:val="20"/>
                <w:szCs w:val="20"/>
              </w:rPr>
              <w:t>17047</w:t>
            </w:r>
          </w:p>
          <w:p w14:paraId="45441F5A" w14:textId="77777777" w:rsidR="00DC707C" w:rsidRPr="007E4ACF" w:rsidRDefault="00DC707C">
            <w:pPr>
              <w:jc w:val="center"/>
              <w:rPr>
                <w:rFonts w:ascii="Arial Narrow" w:hAnsi="Arial Narrow"/>
                <w:i/>
                <w:iCs/>
                <w:sz w:val="20"/>
                <w:szCs w:val="20"/>
              </w:rPr>
            </w:pPr>
            <w:r w:rsidRPr="007E4ACF">
              <w:rPr>
                <w:rFonts w:ascii="Arial Narrow" w:hAnsi="Arial Narrow"/>
                <w:i/>
                <w:iCs/>
                <w:sz w:val="20"/>
                <w:szCs w:val="20"/>
              </w:rPr>
              <w:t>[New]</w:t>
            </w:r>
          </w:p>
        </w:tc>
        <w:tc>
          <w:tcPr>
            <w:tcW w:w="7745" w:type="dxa"/>
            <w:gridSpan w:val="6"/>
          </w:tcPr>
          <w:p w14:paraId="6173A838" w14:textId="77777777" w:rsidR="00DC707C" w:rsidRPr="004D0075" w:rsidRDefault="00DC707C">
            <w:pPr>
              <w:rPr>
                <w:rFonts w:ascii="Arial Narrow" w:eastAsia="Aptos" w:hAnsi="Arial Narrow" w:cs="Aptos"/>
                <w:sz w:val="20"/>
                <w:szCs w:val="20"/>
                <w14:ligatures w14:val="standardContextual"/>
              </w:rPr>
            </w:pPr>
            <w:r w:rsidRPr="004D0075">
              <w:rPr>
                <w:rFonts w:ascii="Arial Narrow" w:hAnsi="Arial Narrow"/>
                <w:b/>
                <w:bCs/>
                <w:sz w:val="20"/>
                <w:szCs w:val="20"/>
              </w:rPr>
              <w:t xml:space="preserve">Prescribing Instructions: </w:t>
            </w:r>
            <w:r w:rsidRPr="004D0075">
              <w:rPr>
                <w:rFonts w:ascii="Arial Narrow" w:hAnsi="Arial Narrow"/>
                <w:sz w:val="20"/>
                <w:szCs w:val="20"/>
              </w:rPr>
              <w:t>Patients are eligible to receive continuing treatment with this drug in courses of up to 24 weeks providing they continue to sustain a response</w:t>
            </w:r>
            <w:r w:rsidRPr="007E4ACF">
              <w:rPr>
                <w:rFonts w:ascii="Arial Narrow" w:hAnsi="Arial Narrow"/>
                <w:i/>
                <w:iCs/>
                <w:sz w:val="20"/>
                <w:szCs w:val="20"/>
              </w:rPr>
              <w:t xml:space="preserve">, </w:t>
            </w:r>
            <w:r w:rsidRPr="007E4ACF">
              <w:rPr>
                <w:rFonts w:ascii="Arial Narrow" w:eastAsia="Aptos" w:hAnsi="Arial Narrow" w:cs="Aptos"/>
                <w:i/>
                <w:iCs/>
                <w:sz w:val="20"/>
                <w:szCs w:val="20"/>
                <w14:ligatures w14:val="standardContextual"/>
              </w:rPr>
              <w:t>with either the 4 weekly or 8 weekly dosing regimen.</w:t>
            </w:r>
          </w:p>
        </w:tc>
      </w:tr>
      <w:tr w:rsidR="00DC707C" w:rsidRPr="004D0075" w14:paraId="0C8AEE81" w14:textId="77777777">
        <w:tblPrEx>
          <w:tblCellMar>
            <w:top w:w="15" w:type="dxa"/>
            <w:bottom w:w="15" w:type="dxa"/>
          </w:tblCellMar>
          <w:tblLook w:val="04A0" w:firstRow="1" w:lastRow="0" w:firstColumn="1" w:lastColumn="0" w:noHBand="0" w:noVBand="1"/>
        </w:tblPrEx>
        <w:trPr>
          <w:cantSplit/>
          <w:trHeight w:val="20"/>
        </w:trPr>
        <w:tc>
          <w:tcPr>
            <w:tcW w:w="1271" w:type="dxa"/>
          </w:tcPr>
          <w:p w14:paraId="5A125102" w14:textId="77777777" w:rsidR="00DC707C" w:rsidRPr="004D0075" w:rsidRDefault="00DC707C">
            <w:pPr>
              <w:jc w:val="center"/>
              <w:rPr>
                <w:rFonts w:ascii="Arial Narrow" w:hAnsi="Arial Narrow"/>
                <w:strike/>
                <w:sz w:val="20"/>
                <w:szCs w:val="20"/>
              </w:rPr>
            </w:pPr>
            <w:r w:rsidRPr="004D0075">
              <w:rPr>
                <w:rFonts w:ascii="Arial Narrow" w:hAnsi="Arial Narrow"/>
                <w:strike/>
                <w:sz w:val="20"/>
                <w:szCs w:val="20"/>
              </w:rPr>
              <w:t>15040</w:t>
            </w:r>
          </w:p>
          <w:p w14:paraId="0BBAAB06" w14:textId="77777777" w:rsidR="00DC707C" w:rsidRPr="007E4ACF" w:rsidRDefault="00DC707C">
            <w:pPr>
              <w:jc w:val="center"/>
              <w:rPr>
                <w:rFonts w:ascii="Arial Narrow" w:hAnsi="Arial Narrow"/>
                <w:i/>
                <w:iCs/>
                <w:sz w:val="20"/>
                <w:szCs w:val="20"/>
              </w:rPr>
            </w:pPr>
            <w:r w:rsidRPr="007E4ACF">
              <w:rPr>
                <w:rFonts w:ascii="Arial Narrow" w:hAnsi="Arial Narrow"/>
                <w:i/>
                <w:iCs/>
                <w:sz w:val="20"/>
                <w:szCs w:val="20"/>
              </w:rPr>
              <w:t>[New]</w:t>
            </w:r>
          </w:p>
        </w:tc>
        <w:tc>
          <w:tcPr>
            <w:tcW w:w="7745" w:type="dxa"/>
            <w:gridSpan w:val="6"/>
          </w:tcPr>
          <w:p w14:paraId="133FAADF" w14:textId="77777777" w:rsidR="00DC707C" w:rsidRPr="004D0075" w:rsidRDefault="00DC707C">
            <w:pPr>
              <w:rPr>
                <w:rFonts w:ascii="Arial Narrow" w:eastAsia="Aptos" w:hAnsi="Arial Narrow" w:cs="Aptos"/>
                <w:color w:val="FF0000"/>
                <w:sz w:val="20"/>
                <w:szCs w:val="20"/>
                <w14:ligatures w14:val="standardContextual"/>
              </w:rPr>
            </w:pPr>
            <w:r w:rsidRPr="004D0075">
              <w:rPr>
                <w:rFonts w:ascii="Arial Narrow" w:hAnsi="Arial Narrow"/>
                <w:b/>
                <w:bCs/>
                <w:sz w:val="20"/>
                <w:szCs w:val="20"/>
              </w:rPr>
              <w:t xml:space="preserve">Prescribing Instructions: </w:t>
            </w:r>
            <w:r w:rsidRPr="004D0075">
              <w:rPr>
                <w:rFonts w:ascii="Arial Narrow" w:hAnsi="Arial Narrow"/>
                <w:sz w:val="20"/>
                <w:szCs w:val="20"/>
              </w:rPr>
              <w:t xml:space="preserve">Up to a maximum of 2 repeats will be authorised </w:t>
            </w:r>
            <w:r w:rsidRPr="007E4ACF">
              <w:rPr>
                <w:rFonts w:ascii="Arial Narrow" w:eastAsia="Aptos" w:hAnsi="Arial Narrow" w:cs="Aptos"/>
                <w:i/>
                <w:iCs/>
                <w:sz w:val="20"/>
                <w:szCs w:val="20"/>
                <w14:ligatures w14:val="standardContextual"/>
              </w:rPr>
              <w:t xml:space="preserve">where dosing is administered every 8 weeks. OR Up to a maximum of 5 repeats will be authorised where dosing is administered every 4 weeks. </w:t>
            </w:r>
          </w:p>
        </w:tc>
      </w:tr>
      <w:tr w:rsidR="00DC707C" w:rsidRPr="004D0075" w14:paraId="600ADBF5" w14:textId="77777777">
        <w:tblPrEx>
          <w:tblCellMar>
            <w:top w:w="15" w:type="dxa"/>
            <w:bottom w:w="15" w:type="dxa"/>
          </w:tblCellMar>
          <w:tblLook w:val="04A0" w:firstRow="1" w:lastRow="0" w:firstColumn="1" w:lastColumn="0" w:noHBand="0" w:noVBand="1"/>
        </w:tblPrEx>
        <w:trPr>
          <w:cantSplit/>
          <w:trHeight w:val="20"/>
        </w:trPr>
        <w:tc>
          <w:tcPr>
            <w:tcW w:w="1271" w:type="dxa"/>
          </w:tcPr>
          <w:p w14:paraId="48EC74E6" w14:textId="77777777" w:rsidR="00DC707C" w:rsidRPr="007E4ACF" w:rsidRDefault="00DC707C">
            <w:pPr>
              <w:jc w:val="center"/>
              <w:rPr>
                <w:rFonts w:ascii="Arial Narrow" w:hAnsi="Arial Narrow"/>
                <w:i/>
                <w:iCs/>
                <w:strike/>
                <w:sz w:val="20"/>
                <w:szCs w:val="20"/>
              </w:rPr>
            </w:pPr>
            <w:r w:rsidRPr="007E4ACF">
              <w:rPr>
                <w:rFonts w:ascii="Arial Narrow" w:eastAsia="Aptos" w:hAnsi="Arial Narrow" w:cs="Aptos"/>
                <w:i/>
                <w:iCs/>
                <w:sz w:val="20"/>
                <w:szCs w:val="20"/>
                <w14:ligatures w14:val="standardContextual"/>
              </w:rPr>
              <w:t>[New]</w:t>
            </w:r>
          </w:p>
        </w:tc>
        <w:tc>
          <w:tcPr>
            <w:tcW w:w="7745" w:type="dxa"/>
            <w:gridSpan w:val="6"/>
          </w:tcPr>
          <w:p w14:paraId="324D7193" w14:textId="77777777" w:rsidR="00DC707C" w:rsidRPr="007E4ACF" w:rsidRDefault="00DC707C">
            <w:pPr>
              <w:rPr>
                <w:rFonts w:ascii="Arial Narrow" w:eastAsia="Aptos" w:hAnsi="Arial Narrow" w:cs="Aptos"/>
                <w:b/>
                <w:bCs/>
                <w:i/>
                <w:iCs/>
                <w:color w:val="FF0000"/>
                <w:sz w:val="20"/>
                <w:szCs w:val="20"/>
                <w14:ligatures w14:val="standardContextual"/>
              </w:rPr>
            </w:pPr>
            <w:r w:rsidRPr="007E4ACF">
              <w:rPr>
                <w:rFonts w:ascii="Arial Narrow" w:eastAsia="Aptos" w:hAnsi="Arial Narrow" w:cs="Aptos"/>
                <w:b/>
                <w:bCs/>
                <w:i/>
                <w:iCs/>
                <w:sz w:val="20"/>
                <w:szCs w:val="20"/>
                <w14:ligatures w14:val="standardContextual"/>
              </w:rPr>
              <w:t>Prescribing Instructions:</w:t>
            </w:r>
            <w:r w:rsidRPr="007E4ACF">
              <w:rPr>
                <w:rFonts w:ascii="Arial Narrow" w:eastAsia="Aptos" w:hAnsi="Arial Narrow" w:cs="Aptos"/>
                <w:b/>
                <w:bCs/>
                <w:i/>
                <w:iCs/>
                <w:szCs w:val="20"/>
              </w:rPr>
              <w:t xml:space="preserve"> </w:t>
            </w:r>
            <w:r w:rsidRPr="007E4ACF">
              <w:rPr>
                <w:rFonts w:ascii="Arial Narrow" w:eastAsia="Aptos" w:hAnsi="Arial Narrow" w:cs="Aptos"/>
                <w:i/>
                <w:iCs/>
                <w:sz w:val="20"/>
                <w:szCs w:val="20"/>
                <w14:ligatures w14:val="standardContextual"/>
              </w:rPr>
              <w:t xml:space="preserve">If fewer than 2 repeats (for 8 weekly dosing), or fewer than 5 repeats (for 4 weekly dosing) are requested at the time of the application, authority approvals for sufficient repeats to complete 24 weeks treatment may be requested through the Balance of Supply treatment phase PBS restriction. </w:t>
            </w:r>
          </w:p>
        </w:tc>
      </w:tr>
    </w:tbl>
    <w:p w14:paraId="1BA531C1" w14:textId="77777777" w:rsidR="00DC707C" w:rsidRDefault="00DC707C" w:rsidP="00DC707C">
      <w:pPr>
        <w:rPr>
          <w:rFonts w:ascii="Arial Narrow" w:hAnsi="Arial Narrow"/>
          <w:szCs w:val="20"/>
        </w:rPr>
      </w:pPr>
    </w:p>
    <w:p w14:paraId="2B72743C" w14:textId="77777777" w:rsidR="00DC707C" w:rsidRPr="00FC55AF" w:rsidRDefault="00DC707C" w:rsidP="000D07F1">
      <w:pPr>
        <w:keepNext/>
        <w:rPr>
          <w:rFonts w:ascii="Arial Narrow" w:hAnsi="Arial Narrow"/>
          <w:b/>
          <w:bCs/>
          <w:sz w:val="20"/>
          <w:szCs w:val="20"/>
        </w:rPr>
      </w:pPr>
      <w:r w:rsidRPr="00FC55AF">
        <w:rPr>
          <w:rFonts w:ascii="Arial Narrow" w:hAnsi="Arial Narrow"/>
          <w:b/>
          <w:bCs/>
          <w:sz w:val="20"/>
          <w:szCs w:val="20"/>
        </w:rPr>
        <w:lastRenderedPageBreak/>
        <w:t>Severe Crohn disease – Balance of Supply (BoS) – 10390W &amp; 10415E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posed amendment to requested listing - Severe Crohn disease – Balance of Supply (BoS) – 10390W &amp; 10415E"/>
      </w:tblPr>
      <w:tblGrid>
        <w:gridCol w:w="1271"/>
        <w:gridCol w:w="2552"/>
        <w:gridCol w:w="927"/>
        <w:gridCol w:w="812"/>
        <w:gridCol w:w="811"/>
        <w:gridCol w:w="812"/>
        <w:gridCol w:w="1831"/>
      </w:tblGrid>
      <w:tr w:rsidR="00DC707C" w:rsidRPr="004D0075" w14:paraId="60685244" w14:textId="77777777">
        <w:trPr>
          <w:cantSplit/>
          <w:trHeight w:val="20"/>
        </w:trPr>
        <w:tc>
          <w:tcPr>
            <w:tcW w:w="3823" w:type="dxa"/>
            <w:gridSpan w:val="2"/>
            <w:vAlign w:val="center"/>
          </w:tcPr>
          <w:p w14:paraId="60E1E156" w14:textId="77777777" w:rsidR="00DC707C" w:rsidRPr="004D0075" w:rsidRDefault="00DC707C" w:rsidP="000D07F1">
            <w:pPr>
              <w:keepNext/>
              <w:keepLines/>
              <w:rPr>
                <w:rFonts w:ascii="Arial Narrow" w:hAnsi="Arial Narrow" w:cs="Arial"/>
                <w:b/>
                <w:bCs/>
                <w:sz w:val="20"/>
                <w:szCs w:val="20"/>
              </w:rPr>
            </w:pPr>
            <w:r w:rsidRPr="004D0075">
              <w:rPr>
                <w:rFonts w:ascii="Arial Narrow" w:hAnsi="Arial Narrow" w:cs="Arial"/>
                <w:b/>
                <w:bCs/>
                <w:sz w:val="20"/>
                <w:szCs w:val="20"/>
              </w:rPr>
              <w:t>MEDICINAL PRODUCT</w:t>
            </w:r>
          </w:p>
          <w:p w14:paraId="548E7B47" w14:textId="77777777" w:rsidR="00DC707C" w:rsidRPr="004D0075" w:rsidRDefault="00DC707C" w:rsidP="000D07F1">
            <w:pPr>
              <w:keepNext/>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927" w:type="dxa"/>
            <w:vAlign w:val="center"/>
          </w:tcPr>
          <w:p w14:paraId="791C473A" w14:textId="77777777" w:rsidR="00DC707C" w:rsidRPr="004D0075" w:rsidRDefault="00DC707C" w:rsidP="000D07F1">
            <w:pPr>
              <w:keepNext/>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4CE5869D" w14:textId="77777777" w:rsidR="00DC707C" w:rsidRPr="004D0075" w:rsidRDefault="00DC707C" w:rsidP="000D07F1">
            <w:pPr>
              <w:keepNext/>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1C6A0955" w14:textId="77777777" w:rsidR="00DC707C" w:rsidRPr="004D0075" w:rsidRDefault="00DC707C" w:rsidP="000D07F1">
            <w:pPr>
              <w:keepNext/>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2AF4C29E" w14:textId="77777777" w:rsidR="00DC707C" w:rsidRPr="004D0075" w:rsidRDefault="00DC707C" w:rsidP="000D07F1">
            <w:pPr>
              <w:keepNext/>
              <w:keepLines/>
              <w:jc w:val="center"/>
              <w:rPr>
                <w:rFonts w:ascii="Arial Narrow" w:hAnsi="Arial Narrow" w:cs="Arial"/>
                <w:b/>
                <w:sz w:val="20"/>
                <w:szCs w:val="20"/>
              </w:rPr>
            </w:pPr>
            <w:r w:rsidRPr="004D0075">
              <w:rPr>
                <w:rFonts w:ascii="Arial Narrow" w:hAnsi="Arial Narrow" w:cs="Arial"/>
                <w:b/>
                <w:sz w:val="20"/>
                <w:szCs w:val="20"/>
              </w:rPr>
              <w:t>№.of</w:t>
            </w:r>
          </w:p>
          <w:p w14:paraId="0ADAFED8" w14:textId="77777777" w:rsidR="00DC707C" w:rsidRPr="004D0075" w:rsidRDefault="00DC707C" w:rsidP="000D07F1">
            <w:pPr>
              <w:keepNext/>
              <w:keepLines/>
              <w:jc w:val="center"/>
              <w:rPr>
                <w:rFonts w:ascii="Arial Narrow" w:hAnsi="Arial Narrow" w:cs="Arial"/>
                <w:b/>
                <w:sz w:val="20"/>
                <w:szCs w:val="20"/>
              </w:rPr>
            </w:pPr>
            <w:r w:rsidRPr="004D0075">
              <w:rPr>
                <w:rFonts w:ascii="Arial Narrow" w:hAnsi="Arial Narrow" w:cs="Arial"/>
                <w:b/>
                <w:sz w:val="20"/>
                <w:szCs w:val="20"/>
              </w:rPr>
              <w:t>Rpts</w:t>
            </w:r>
          </w:p>
        </w:tc>
        <w:tc>
          <w:tcPr>
            <w:tcW w:w="1831" w:type="dxa"/>
            <w:vAlign w:val="center"/>
          </w:tcPr>
          <w:p w14:paraId="0E6F56F9" w14:textId="77777777" w:rsidR="00DC707C" w:rsidRPr="004D0075" w:rsidRDefault="00DC707C" w:rsidP="000D07F1">
            <w:pPr>
              <w:keepNext/>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DC707C" w:rsidRPr="004D0075" w14:paraId="44A4F0B1" w14:textId="77777777">
        <w:trPr>
          <w:cantSplit/>
          <w:trHeight w:val="20"/>
        </w:trPr>
        <w:tc>
          <w:tcPr>
            <w:tcW w:w="9016" w:type="dxa"/>
            <w:gridSpan w:val="7"/>
            <w:vAlign w:val="center"/>
          </w:tcPr>
          <w:p w14:paraId="1D28E34E" w14:textId="77777777" w:rsidR="00DC707C" w:rsidRPr="004D0075" w:rsidRDefault="00DC707C" w:rsidP="000D07F1">
            <w:pPr>
              <w:keepNext/>
              <w:keepLines/>
              <w:rPr>
                <w:rFonts w:ascii="Arial Narrow" w:hAnsi="Arial Narrow" w:cs="Arial"/>
                <w:sz w:val="20"/>
                <w:szCs w:val="20"/>
              </w:rPr>
            </w:pPr>
            <w:r w:rsidRPr="004D0075">
              <w:rPr>
                <w:rFonts w:ascii="Arial Narrow" w:hAnsi="Arial Narrow" w:cs="Arial"/>
                <w:sz w:val="20"/>
                <w:szCs w:val="20"/>
              </w:rPr>
              <w:t xml:space="preserve">VEDOLIZUMAB </w:t>
            </w:r>
          </w:p>
        </w:tc>
      </w:tr>
      <w:tr w:rsidR="00DC707C" w:rsidRPr="004D0075" w14:paraId="30DD8E04" w14:textId="77777777">
        <w:trPr>
          <w:cantSplit/>
          <w:trHeight w:val="20"/>
        </w:trPr>
        <w:tc>
          <w:tcPr>
            <w:tcW w:w="3823" w:type="dxa"/>
            <w:gridSpan w:val="2"/>
            <w:vAlign w:val="center"/>
          </w:tcPr>
          <w:p w14:paraId="06B2897A" w14:textId="77777777" w:rsidR="00DC707C" w:rsidRPr="004D0075" w:rsidRDefault="00DC707C" w:rsidP="000D07F1">
            <w:pPr>
              <w:keepNext/>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0A50B243" w14:textId="77777777" w:rsidR="00DC707C" w:rsidRPr="004D0075" w:rsidRDefault="00DC707C" w:rsidP="000D07F1">
            <w:pPr>
              <w:keepNext/>
              <w:keepLines/>
              <w:jc w:val="center"/>
              <w:rPr>
                <w:rFonts w:ascii="Arial Narrow" w:hAnsi="Arial Narrow"/>
                <w:sz w:val="20"/>
                <w:szCs w:val="20"/>
              </w:rPr>
            </w:pPr>
            <w:r w:rsidRPr="004D0075">
              <w:rPr>
                <w:rFonts w:ascii="Arial Narrow" w:hAnsi="Arial Narrow" w:cs="Arial"/>
                <w:sz w:val="20"/>
                <w:szCs w:val="20"/>
              </w:rPr>
              <w:t>10390W (public)</w:t>
            </w:r>
          </w:p>
        </w:tc>
        <w:tc>
          <w:tcPr>
            <w:tcW w:w="812" w:type="dxa"/>
            <w:vAlign w:val="center"/>
          </w:tcPr>
          <w:p w14:paraId="54D37CDF" w14:textId="77777777" w:rsidR="00DC707C" w:rsidRPr="004D0075" w:rsidRDefault="00DC707C" w:rsidP="000D07F1">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506A4A42" w14:textId="77777777" w:rsidR="00DC707C" w:rsidRPr="004D0075" w:rsidRDefault="00DC707C" w:rsidP="000D07F1">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18AF9840" w14:textId="77777777" w:rsidR="00DC707C" w:rsidRPr="004D0075" w:rsidRDefault="00DC707C" w:rsidP="000D07F1">
            <w:pPr>
              <w:keepNext/>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237093A9" w14:textId="77777777" w:rsidR="00DC707C" w:rsidRPr="004D0075" w:rsidRDefault="00DC707C" w:rsidP="000D07F1">
            <w:pPr>
              <w:keepNext/>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05351CF1" w14:textId="77777777">
        <w:trPr>
          <w:cantSplit/>
          <w:trHeight w:val="20"/>
        </w:trPr>
        <w:tc>
          <w:tcPr>
            <w:tcW w:w="3823" w:type="dxa"/>
            <w:gridSpan w:val="2"/>
            <w:vAlign w:val="center"/>
          </w:tcPr>
          <w:p w14:paraId="3E9DFE34" w14:textId="77777777" w:rsidR="00DC707C" w:rsidRPr="004D0075" w:rsidRDefault="00DC707C" w:rsidP="000D07F1">
            <w:pPr>
              <w:keepNext/>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4E2DE70F" w14:textId="77777777" w:rsidR="00DC707C" w:rsidRPr="004D0075" w:rsidRDefault="00DC707C" w:rsidP="000D07F1">
            <w:pPr>
              <w:keepNext/>
              <w:keepLines/>
              <w:jc w:val="center"/>
              <w:rPr>
                <w:rFonts w:ascii="Arial Narrow" w:hAnsi="Arial Narrow" w:cs="Arial"/>
                <w:sz w:val="20"/>
                <w:szCs w:val="20"/>
              </w:rPr>
            </w:pPr>
            <w:r w:rsidRPr="004D0075">
              <w:rPr>
                <w:rFonts w:ascii="Arial Narrow" w:hAnsi="Arial Narrow" w:cs="Arial"/>
                <w:sz w:val="20"/>
                <w:szCs w:val="20"/>
              </w:rPr>
              <w:t>10415E</w:t>
            </w:r>
          </w:p>
          <w:p w14:paraId="5205FFF1" w14:textId="77777777" w:rsidR="00DC707C" w:rsidRPr="004D0075" w:rsidRDefault="00DC707C" w:rsidP="000D07F1">
            <w:pPr>
              <w:keepNext/>
              <w:keepLines/>
              <w:jc w:val="center"/>
              <w:rPr>
                <w:rFonts w:ascii="Arial Narrow" w:hAnsi="Arial Narrow"/>
                <w:sz w:val="20"/>
                <w:szCs w:val="20"/>
              </w:rPr>
            </w:pPr>
            <w:r w:rsidRPr="004D0075">
              <w:rPr>
                <w:rFonts w:ascii="Arial Narrow" w:hAnsi="Arial Narrow" w:cs="Arial"/>
                <w:sz w:val="20"/>
                <w:szCs w:val="20"/>
              </w:rPr>
              <w:t>(private)</w:t>
            </w:r>
          </w:p>
        </w:tc>
        <w:tc>
          <w:tcPr>
            <w:tcW w:w="812" w:type="dxa"/>
            <w:vAlign w:val="center"/>
          </w:tcPr>
          <w:p w14:paraId="4B38A40E" w14:textId="77777777" w:rsidR="00DC707C" w:rsidRPr="004D0075" w:rsidRDefault="00DC707C" w:rsidP="000D07F1">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56FA8F51" w14:textId="77777777" w:rsidR="00DC707C" w:rsidRPr="004D0075" w:rsidRDefault="00DC707C" w:rsidP="000D07F1">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6558F548" w14:textId="77777777" w:rsidR="00DC707C" w:rsidRPr="004D0075" w:rsidRDefault="00DC707C" w:rsidP="000D07F1">
            <w:pPr>
              <w:keepNext/>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20C6C9B6" w14:textId="77777777" w:rsidR="00DC707C" w:rsidRPr="004D0075" w:rsidRDefault="00DC707C" w:rsidP="000D07F1">
            <w:pPr>
              <w:keepNext/>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6D342FEF"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1A40A83" w14:textId="77777777" w:rsidR="00DC707C" w:rsidRPr="004D0075" w:rsidRDefault="00DC707C" w:rsidP="000D07F1">
            <w:pPr>
              <w:keepNext/>
              <w:rPr>
                <w:rFonts w:ascii="Arial Narrow" w:hAnsi="Arial Narrow" w:cs="Arial"/>
                <w:sz w:val="20"/>
                <w:szCs w:val="20"/>
              </w:rPr>
            </w:pPr>
          </w:p>
        </w:tc>
      </w:tr>
      <w:tr w:rsidR="00DC707C" w:rsidRPr="004D0075" w14:paraId="0E7C0950"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61FD6B1" w14:textId="77777777" w:rsidR="00DC707C" w:rsidRPr="004D0075" w:rsidRDefault="00DC707C" w:rsidP="000D07F1">
            <w:pPr>
              <w:keepNext/>
              <w:keepLines/>
              <w:rPr>
                <w:rFonts w:ascii="Arial Narrow" w:hAnsi="Arial Narrow" w:cs="Arial"/>
                <w:b/>
                <w:sz w:val="20"/>
                <w:szCs w:val="20"/>
              </w:rPr>
            </w:pPr>
            <w:r w:rsidRPr="004D0075">
              <w:rPr>
                <w:rFonts w:ascii="Arial Narrow" w:hAnsi="Arial Narrow"/>
                <w:b/>
                <w:sz w:val="20"/>
                <w:szCs w:val="20"/>
              </w:rPr>
              <w:t>Restriction Summary 15868 / Treatment of Concept: 15840: Authority Required</w:t>
            </w:r>
          </w:p>
        </w:tc>
      </w:tr>
      <w:tr w:rsidR="00DC707C" w:rsidRPr="004D0075" w14:paraId="6DD1A457" w14:textId="77777777">
        <w:tblPrEx>
          <w:tblCellMar>
            <w:top w:w="15" w:type="dxa"/>
            <w:bottom w:w="15" w:type="dxa"/>
          </w:tblCellMar>
          <w:tblLook w:val="04A0" w:firstRow="1" w:lastRow="0" w:firstColumn="1" w:lastColumn="0" w:noHBand="0" w:noVBand="1"/>
        </w:tblPrEx>
        <w:trPr>
          <w:cantSplit/>
          <w:trHeight w:val="20"/>
        </w:trPr>
        <w:tc>
          <w:tcPr>
            <w:tcW w:w="1271" w:type="dxa"/>
          </w:tcPr>
          <w:p w14:paraId="477E00B4" w14:textId="77777777" w:rsidR="00DC707C" w:rsidRPr="007E4ACF" w:rsidRDefault="00DC707C">
            <w:pPr>
              <w:jc w:val="center"/>
              <w:rPr>
                <w:rFonts w:ascii="Arial Narrow" w:hAnsi="Arial Narrow"/>
                <w:i/>
                <w:iCs/>
                <w:sz w:val="20"/>
                <w:szCs w:val="20"/>
              </w:rPr>
            </w:pPr>
            <w:r w:rsidRPr="007E4ACF">
              <w:rPr>
                <w:rFonts w:ascii="Arial Narrow" w:eastAsia="Aptos" w:hAnsi="Arial Narrow" w:cs="Aptos"/>
                <w:i/>
                <w:iCs/>
                <w:sz w:val="20"/>
                <w:szCs w:val="20"/>
                <w14:ligatures w14:val="standardContextual"/>
              </w:rPr>
              <w:t>[New]</w:t>
            </w:r>
          </w:p>
        </w:tc>
        <w:tc>
          <w:tcPr>
            <w:tcW w:w="7745" w:type="dxa"/>
            <w:gridSpan w:val="6"/>
          </w:tcPr>
          <w:p w14:paraId="47EDCD89" w14:textId="77777777" w:rsidR="00DC707C" w:rsidRPr="007E4ACF" w:rsidRDefault="00DC707C">
            <w:pPr>
              <w:rPr>
                <w:rFonts w:ascii="Arial Narrow" w:eastAsia="Aptos" w:hAnsi="Arial Narrow" w:cs="Aptos"/>
                <w:i/>
                <w:iCs/>
                <w:sz w:val="20"/>
                <w:szCs w:val="20"/>
                <w14:ligatures w14:val="standardContextual"/>
              </w:rPr>
            </w:pPr>
            <w:r w:rsidRPr="007E4ACF">
              <w:rPr>
                <w:rFonts w:ascii="Arial Narrow" w:eastAsia="Aptos" w:hAnsi="Arial Narrow" w:cs="Aptos"/>
                <w:b/>
                <w:bCs/>
                <w:i/>
                <w:iCs/>
                <w:sz w:val="20"/>
                <w:szCs w:val="20"/>
                <w14:ligatures w14:val="standardContextual"/>
              </w:rPr>
              <w:t>Prescribing Instructions</w:t>
            </w:r>
            <w:r w:rsidRPr="007E4ACF">
              <w:rPr>
                <w:rFonts w:ascii="Arial Narrow" w:eastAsia="Aptos" w:hAnsi="Arial Narrow" w:cs="Aptos"/>
                <w:i/>
                <w:iCs/>
                <w:sz w:val="20"/>
                <w:szCs w:val="20"/>
                <w14:ligatures w14:val="standardContextual"/>
              </w:rPr>
              <w:t xml:space="preserve">: At the time of the authority application, medical practitioners should request the appropriate maximum number of repeats to complete 24 weeks treatment: </w:t>
            </w:r>
          </w:p>
          <w:p w14:paraId="08F2D9F0" w14:textId="77777777" w:rsidR="00DC707C" w:rsidRPr="007E4ACF" w:rsidRDefault="00DC707C" w:rsidP="00DC707C">
            <w:pPr>
              <w:numPr>
                <w:ilvl w:val="0"/>
                <w:numId w:val="42"/>
              </w:numPr>
              <w:jc w:val="left"/>
              <w:rPr>
                <w:rFonts w:ascii="Arial Narrow" w:hAnsi="Arial Narrow" w:cs="Aptos"/>
                <w:i/>
                <w:iCs/>
                <w:sz w:val="20"/>
                <w:szCs w:val="20"/>
                <w14:ligatures w14:val="standardContextual"/>
              </w:rPr>
            </w:pPr>
            <w:r w:rsidRPr="007E4ACF">
              <w:rPr>
                <w:rFonts w:ascii="Arial Narrow" w:hAnsi="Arial Narrow" w:cs="Aptos"/>
                <w:i/>
                <w:iCs/>
                <w:sz w:val="20"/>
                <w:szCs w:val="20"/>
                <w14:ligatures w14:val="standardContextual"/>
              </w:rPr>
              <w:t>Where dosing is to be administered every 8 weeks for continuing treatment following the induction/initial doses – up to a maximum of 2 repeats may be requested</w:t>
            </w:r>
          </w:p>
          <w:p w14:paraId="679F8581" w14:textId="77777777" w:rsidR="00DC707C" w:rsidRPr="007E4ACF" w:rsidRDefault="00DC707C" w:rsidP="00DC707C">
            <w:pPr>
              <w:numPr>
                <w:ilvl w:val="0"/>
                <w:numId w:val="42"/>
              </w:numPr>
              <w:jc w:val="left"/>
              <w:rPr>
                <w:rFonts w:ascii="Arial Narrow" w:hAnsi="Arial Narrow" w:cs="Aptos"/>
                <w:i/>
                <w:iCs/>
                <w:sz w:val="20"/>
                <w:szCs w:val="20"/>
                <w14:ligatures w14:val="standardContextual"/>
              </w:rPr>
            </w:pPr>
            <w:r w:rsidRPr="007E4ACF">
              <w:rPr>
                <w:rFonts w:ascii="Arial Narrow" w:hAnsi="Arial Narrow" w:cs="Aptos"/>
                <w:i/>
                <w:iCs/>
                <w:sz w:val="20"/>
                <w:szCs w:val="20"/>
                <w14:ligatures w14:val="standardContextual"/>
              </w:rPr>
              <w:t>Where a patient is dose escalating from 8 weekly to 4 weekly dosing during continuing treatment, a maximum of 3 repeats may be requested to complete 24 weeks treatment for the first course of continuing treatment.  </w:t>
            </w:r>
          </w:p>
        </w:tc>
      </w:tr>
      <w:tr w:rsidR="00DC707C" w:rsidRPr="004D0075" w14:paraId="252D6D24" w14:textId="77777777">
        <w:tblPrEx>
          <w:tblCellMar>
            <w:top w:w="15" w:type="dxa"/>
            <w:bottom w:w="15" w:type="dxa"/>
          </w:tblCellMar>
          <w:tblLook w:val="04A0" w:firstRow="1" w:lastRow="0" w:firstColumn="1" w:lastColumn="0" w:noHBand="0" w:noVBand="1"/>
        </w:tblPrEx>
        <w:trPr>
          <w:cantSplit/>
          <w:trHeight w:val="20"/>
        </w:trPr>
        <w:tc>
          <w:tcPr>
            <w:tcW w:w="1271" w:type="dxa"/>
          </w:tcPr>
          <w:p w14:paraId="1E9A8ED3" w14:textId="77777777" w:rsidR="00DC707C" w:rsidRPr="007E4ACF" w:rsidRDefault="00DC707C">
            <w:pPr>
              <w:jc w:val="center"/>
              <w:rPr>
                <w:rFonts w:ascii="Arial Narrow" w:hAnsi="Arial Narrow"/>
                <w:i/>
                <w:iCs/>
                <w:sz w:val="20"/>
                <w:szCs w:val="20"/>
              </w:rPr>
            </w:pPr>
            <w:r w:rsidRPr="007E4ACF">
              <w:rPr>
                <w:rFonts w:ascii="Arial Narrow" w:eastAsia="Aptos" w:hAnsi="Arial Narrow" w:cs="Aptos"/>
                <w:i/>
                <w:iCs/>
                <w:sz w:val="20"/>
                <w:szCs w:val="20"/>
                <w14:ligatures w14:val="standardContextual"/>
              </w:rPr>
              <w:t>[33089]</w:t>
            </w:r>
          </w:p>
        </w:tc>
        <w:tc>
          <w:tcPr>
            <w:tcW w:w="7745" w:type="dxa"/>
            <w:gridSpan w:val="6"/>
          </w:tcPr>
          <w:p w14:paraId="2A65F9D0" w14:textId="77777777" w:rsidR="00DC707C" w:rsidRPr="007E4ACF" w:rsidRDefault="00DC707C">
            <w:pPr>
              <w:rPr>
                <w:rFonts w:ascii="Arial Narrow" w:eastAsia="Aptos" w:hAnsi="Arial Narrow" w:cs="Aptos"/>
                <w:b/>
                <w:bCs/>
                <w:i/>
                <w:iCs/>
                <w:sz w:val="20"/>
                <w:szCs w:val="20"/>
              </w:rPr>
            </w:pPr>
            <w:r w:rsidRPr="007E4ACF">
              <w:rPr>
                <w:rFonts w:ascii="Arial Narrow" w:eastAsia="Aptos" w:hAnsi="Arial Narrow" w:cs="Aptos"/>
                <w:b/>
                <w:bCs/>
                <w:i/>
                <w:iCs/>
                <w:sz w:val="20"/>
                <w:szCs w:val="20"/>
                <w14:ligatures w14:val="standardContextual"/>
              </w:rPr>
              <w:t xml:space="preserve">Prescribing Instructions: </w:t>
            </w:r>
            <w:r w:rsidRPr="007E4ACF">
              <w:rPr>
                <w:rFonts w:ascii="Arial Narrow" w:eastAsia="Aptos" w:hAnsi="Arial Narrow" w:cs="Aptos"/>
                <w:i/>
                <w:iCs/>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bl>
    <w:p w14:paraId="5AC0C9FB" w14:textId="77777777" w:rsidR="00DC707C" w:rsidRDefault="00DC707C" w:rsidP="00DC707C">
      <w:pPr>
        <w:rPr>
          <w:rFonts w:ascii="Arial Narrow" w:hAnsi="Arial Narrow"/>
          <w:szCs w:val="20"/>
        </w:rPr>
      </w:pPr>
    </w:p>
    <w:p w14:paraId="31117C19" w14:textId="77777777" w:rsidR="00DC707C" w:rsidRPr="00FC55AF" w:rsidRDefault="00DC707C" w:rsidP="006B5144">
      <w:pPr>
        <w:keepNext/>
        <w:rPr>
          <w:rFonts w:ascii="Arial Narrow" w:hAnsi="Arial Narrow"/>
          <w:b/>
          <w:bCs/>
          <w:sz w:val="20"/>
          <w:szCs w:val="20"/>
        </w:rPr>
      </w:pPr>
      <w:r w:rsidRPr="00FC55AF">
        <w:rPr>
          <w:rFonts w:ascii="Arial Narrow" w:hAnsi="Arial Narrow"/>
          <w:b/>
          <w:bCs/>
          <w:sz w:val="20"/>
          <w:szCs w:val="20"/>
        </w:rPr>
        <w:t>Severe Crohn disease – Continuing Treatment – 10390W &amp; 10415E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posed amendment to requested listing - Severe Crohn disease – Continuing Treatment – 10390W &amp; 10415E"/>
      </w:tblPr>
      <w:tblGrid>
        <w:gridCol w:w="1271"/>
        <w:gridCol w:w="2552"/>
        <w:gridCol w:w="927"/>
        <w:gridCol w:w="812"/>
        <w:gridCol w:w="811"/>
        <w:gridCol w:w="812"/>
        <w:gridCol w:w="1831"/>
      </w:tblGrid>
      <w:tr w:rsidR="00DC707C" w:rsidRPr="004D0075" w14:paraId="57E94014" w14:textId="77777777">
        <w:trPr>
          <w:cantSplit/>
          <w:trHeight w:val="20"/>
        </w:trPr>
        <w:tc>
          <w:tcPr>
            <w:tcW w:w="3823" w:type="dxa"/>
            <w:gridSpan w:val="2"/>
            <w:vAlign w:val="center"/>
          </w:tcPr>
          <w:p w14:paraId="06D2A3BA" w14:textId="77777777" w:rsidR="00DC707C" w:rsidRPr="004D0075" w:rsidRDefault="00DC707C" w:rsidP="006B5144">
            <w:pPr>
              <w:keepNext/>
              <w:keepLines/>
              <w:rPr>
                <w:rFonts w:ascii="Arial Narrow" w:hAnsi="Arial Narrow" w:cs="Arial"/>
                <w:b/>
                <w:bCs/>
                <w:sz w:val="20"/>
                <w:szCs w:val="20"/>
              </w:rPr>
            </w:pPr>
            <w:r w:rsidRPr="004D0075">
              <w:rPr>
                <w:rFonts w:ascii="Arial Narrow" w:hAnsi="Arial Narrow" w:cs="Arial"/>
                <w:b/>
                <w:bCs/>
                <w:sz w:val="20"/>
                <w:szCs w:val="20"/>
              </w:rPr>
              <w:t>MEDICINAL PRODUCT</w:t>
            </w:r>
          </w:p>
          <w:p w14:paraId="59DFC579" w14:textId="77777777" w:rsidR="00DC707C" w:rsidRPr="004D0075" w:rsidRDefault="00DC707C" w:rsidP="006B5144">
            <w:pPr>
              <w:keepNext/>
              <w:keepLines/>
              <w:rPr>
                <w:rFonts w:ascii="Arial Narrow" w:hAnsi="Arial Narrow" w:cs="Arial"/>
                <w:b/>
                <w:sz w:val="20"/>
                <w:szCs w:val="20"/>
              </w:rPr>
            </w:pPr>
            <w:r w:rsidRPr="004D0075">
              <w:rPr>
                <w:rFonts w:ascii="Arial Narrow" w:hAnsi="Arial Narrow" w:cs="Arial"/>
                <w:b/>
                <w:bCs/>
                <w:sz w:val="20"/>
                <w:szCs w:val="20"/>
              </w:rPr>
              <w:t>medicinal product pack</w:t>
            </w:r>
          </w:p>
        </w:tc>
        <w:tc>
          <w:tcPr>
            <w:tcW w:w="927" w:type="dxa"/>
            <w:vAlign w:val="center"/>
          </w:tcPr>
          <w:p w14:paraId="78A7A7EB"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PBS item code</w:t>
            </w:r>
          </w:p>
        </w:tc>
        <w:tc>
          <w:tcPr>
            <w:tcW w:w="812" w:type="dxa"/>
            <w:vAlign w:val="center"/>
          </w:tcPr>
          <w:p w14:paraId="52E1D0F7"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Max. qty packs</w:t>
            </w:r>
          </w:p>
        </w:tc>
        <w:tc>
          <w:tcPr>
            <w:tcW w:w="811" w:type="dxa"/>
            <w:vAlign w:val="center"/>
          </w:tcPr>
          <w:p w14:paraId="3C1A7177"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Max. qty units</w:t>
            </w:r>
          </w:p>
        </w:tc>
        <w:tc>
          <w:tcPr>
            <w:tcW w:w="812" w:type="dxa"/>
            <w:vAlign w:val="center"/>
          </w:tcPr>
          <w:p w14:paraId="5D7FC4FC"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№.of</w:t>
            </w:r>
          </w:p>
          <w:p w14:paraId="09B4E0D3" w14:textId="77777777" w:rsidR="00DC707C" w:rsidRPr="004D0075" w:rsidRDefault="00DC707C" w:rsidP="006B5144">
            <w:pPr>
              <w:keepNext/>
              <w:keepLines/>
              <w:jc w:val="center"/>
              <w:rPr>
                <w:rFonts w:ascii="Arial Narrow" w:hAnsi="Arial Narrow" w:cs="Arial"/>
                <w:b/>
                <w:sz w:val="20"/>
                <w:szCs w:val="20"/>
              </w:rPr>
            </w:pPr>
            <w:r w:rsidRPr="004D0075">
              <w:rPr>
                <w:rFonts w:ascii="Arial Narrow" w:hAnsi="Arial Narrow" w:cs="Arial"/>
                <w:b/>
                <w:sz w:val="20"/>
                <w:szCs w:val="20"/>
              </w:rPr>
              <w:t>Rpts</w:t>
            </w:r>
          </w:p>
        </w:tc>
        <w:tc>
          <w:tcPr>
            <w:tcW w:w="1831" w:type="dxa"/>
            <w:vAlign w:val="center"/>
          </w:tcPr>
          <w:p w14:paraId="7B21B9FE" w14:textId="77777777" w:rsidR="00DC707C" w:rsidRPr="004D0075" w:rsidRDefault="00DC707C" w:rsidP="006B5144">
            <w:pPr>
              <w:keepNext/>
              <w:keepLines/>
              <w:rPr>
                <w:rFonts w:ascii="Arial Narrow" w:hAnsi="Arial Narrow" w:cs="Arial"/>
                <w:b/>
                <w:sz w:val="20"/>
                <w:szCs w:val="20"/>
                <w:lang w:val="fr-FR"/>
              </w:rPr>
            </w:pPr>
            <w:r w:rsidRPr="004D0075">
              <w:rPr>
                <w:rFonts w:ascii="Arial Narrow" w:hAnsi="Arial Narrow" w:cs="Arial"/>
                <w:b/>
                <w:sz w:val="20"/>
                <w:szCs w:val="20"/>
              </w:rPr>
              <w:t>Available brands</w:t>
            </w:r>
          </w:p>
        </w:tc>
      </w:tr>
      <w:tr w:rsidR="00DC707C" w:rsidRPr="004D0075" w14:paraId="48824368" w14:textId="77777777">
        <w:trPr>
          <w:cantSplit/>
          <w:trHeight w:val="20"/>
        </w:trPr>
        <w:tc>
          <w:tcPr>
            <w:tcW w:w="9016" w:type="dxa"/>
            <w:gridSpan w:val="7"/>
            <w:vAlign w:val="center"/>
          </w:tcPr>
          <w:p w14:paraId="2A4C3461"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 xml:space="preserve">VEDOLIZUMAB </w:t>
            </w:r>
          </w:p>
        </w:tc>
      </w:tr>
      <w:tr w:rsidR="00DC707C" w:rsidRPr="004D0075" w14:paraId="3D1BE899" w14:textId="77777777">
        <w:trPr>
          <w:cantSplit/>
          <w:trHeight w:val="20"/>
        </w:trPr>
        <w:tc>
          <w:tcPr>
            <w:tcW w:w="3823" w:type="dxa"/>
            <w:gridSpan w:val="2"/>
            <w:vAlign w:val="center"/>
          </w:tcPr>
          <w:p w14:paraId="4860C246"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4309DAEF"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10390W (public)</w:t>
            </w:r>
          </w:p>
        </w:tc>
        <w:tc>
          <w:tcPr>
            <w:tcW w:w="812" w:type="dxa"/>
            <w:vAlign w:val="center"/>
          </w:tcPr>
          <w:p w14:paraId="6C20E50E"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450028F2"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322FA441"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68BD315F"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4D20A026" w14:textId="77777777">
        <w:trPr>
          <w:cantSplit/>
          <w:trHeight w:val="20"/>
        </w:trPr>
        <w:tc>
          <w:tcPr>
            <w:tcW w:w="3823" w:type="dxa"/>
            <w:gridSpan w:val="2"/>
            <w:vAlign w:val="center"/>
          </w:tcPr>
          <w:p w14:paraId="72B6FC50"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vedolizumab 300mg injection, 1 vial</w:t>
            </w:r>
          </w:p>
        </w:tc>
        <w:tc>
          <w:tcPr>
            <w:tcW w:w="927" w:type="dxa"/>
            <w:vAlign w:val="center"/>
          </w:tcPr>
          <w:p w14:paraId="70FA74E2"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10415E</w:t>
            </w:r>
          </w:p>
          <w:p w14:paraId="5362EAA0" w14:textId="77777777" w:rsidR="00DC707C" w:rsidRPr="004D0075" w:rsidRDefault="00DC707C" w:rsidP="006B5144">
            <w:pPr>
              <w:keepNext/>
              <w:keepLines/>
              <w:jc w:val="center"/>
              <w:rPr>
                <w:rFonts w:ascii="Arial Narrow" w:hAnsi="Arial Narrow"/>
                <w:sz w:val="20"/>
                <w:szCs w:val="20"/>
              </w:rPr>
            </w:pPr>
            <w:r w:rsidRPr="004D0075">
              <w:rPr>
                <w:rFonts w:ascii="Arial Narrow" w:hAnsi="Arial Narrow" w:cs="Arial"/>
                <w:sz w:val="20"/>
                <w:szCs w:val="20"/>
              </w:rPr>
              <w:t>(private)</w:t>
            </w:r>
          </w:p>
        </w:tc>
        <w:tc>
          <w:tcPr>
            <w:tcW w:w="812" w:type="dxa"/>
            <w:vAlign w:val="center"/>
          </w:tcPr>
          <w:p w14:paraId="14CFE4F4"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1" w:type="dxa"/>
            <w:vAlign w:val="center"/>
          </w:tcPr>
          <w:p w14:paraId="068F1C8A"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1</w:t>
            </w:r>
          </w:p>
        </w:tc>
        <w:tc>
          <w:tcPr>
            <w:tcW w:w="812" w:type="dxa"/>
            <w:vAlign w:val="center"/>
          </w:tcPr>
          <w:p w14:paraId="3B46A0F1" w14:textId="77777777" w:rsidR="00DC707C" w:rsidRPr="004D0075" w:rsidRDefault="00DC707C" w:rsidP="006B5144">
            <w:pPr>
              <w:keepNext/>
              <w:keepLines/>
              <w:jc w:val="center"/>
              <w:rPr>
                <w:rFonts w:ascii="Arial Narrow" w:hAnsi="Arial Narrow" w:cs="Arial"/>
                <w:sz w:val="20"/>
                <w:szCs w:val="20"/>
              </w:rPr>
            </w:pPr>
            <w:r w:rsidRPr="004D0075">
              <w:rPr>
                <w:rFonts w:ascii="Arial Narrow" w:hAnsi="Arial Narrow" w:cs="Arial"/>
                <w:sz w:val="20"/>
                <w:szCs w:val="20"/>
              </w:rPr>
              <w:t>0</w:t>
            </w:r>
          </w:p>
        </w:tc>
        <w:tc>
          <w:tcPr>
            <w:tcW w:w="1831" w:type="dxa"/>
            <w:vAlign w:val="center"/>
          </w:tcPr>
          <w:p w14:paraId="1F9909FB" w14:textId="77777777" w:rsidR="00DC707C" w:rsidRPr="004D0075" w:rsidRDefault="00DC707C" w:rsidP="006B5144">
            <w:pPr>
              <w:keepNext/>
              <w:keepLines/>
              <w:rPr>
                <w:rFonts w:ascii="Arial Narrow" w:hAnsi="Arial Narrow" w:cs="Arial"/>
                <w:sz w:val="20"/>
                <w:szCs w:val="20"/>
              </w:rPr>
            </w:pPr>
            <w:r w:rsidRPr="004D0075">
              <w:rPr>
                <w:rFonts w:ascii="Arial Narrow" w:hAnsi="Arial Narrow" w:cs="Arial"/>
                <w:sz w:val="20"/>
                <w:szCs w:val="20"/>
              </w:rPr>
              <w:t>Entyvio</w:t>
            </w:r>
          </w:p>
        </w:tc>
      </w:tr>
      <w:tr w:rsidR="00DC707C" w:rsidRPr="004D0075" w14:paraId="3780BC42"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7ACB3F5" w14:textId="77777777" w:rsidR="00DC707C" w:rsidRPr="004D0075" w:rsidRDefault="00DC707C">
            <w:pPr>
              <w:rPr>
                <w:rFonts w:ascii="Arial Narrow" w:hAnsi="Arial Narrow" w:cs="Arial"/>
                <w:sz w:val="20"/>
                <w:szCs w:val="20"/>
              </w:rPr>
            </w:pPr>
          </w:p>
        </w:tc>
      </w:tr>
      <w:tr w:rsidR="00DC707C" w:rsidRPr="004D0075" w14:paraId="35BE2434"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0C30C5D" w14:textId="77777777" w:rsidR="00DC707C" w:rsidRPr="004D0075" w:rsidRDefault="00DC707C">
            <w:pPr>
              <w:keepLines/>
              <w:rPr>
                <w:rFonts w:ascii="Arial Narrow" w:hAnsi="Arial Narrow" w:cs="Arial"/>
                <w:b/>
                <w:sz w:val="20"/>
                <w:szCs w:val="20"/>
              </w:rPr>
            </w:pPr>
            <w:r w:rsidRPr="004D0075">
              <w:rPr>
                <w:rFonts w:ascii="Arial Narrow" w:hAnsi="Arial Narrow"/>
                <w:b/>
                <w:sz w:val="20"/>
                <w:szCs w:val="20"/>
              </w:rPr>
              <w:t>Restriction Summary 15881 / Treatment of Concept: 15839: Authority Required</w:t>
            </w:r>
          </w:p>
        </w:tc>
      </w:tr>
      <w:tr w:rsidR="00DC707C" w:rsidRPr="004D0075" w14:paraId="07C46A64" w14:textId="77777777">
        <w:tblPrEx>
          <w:tblCellMar>
            <w:top w:w="15" w:type="dxa"/>
            <w:bottom w:w="15" w:type="dxa"/>
          </w:tblCellMar>
          <w:tblLook w:val="04A0" w:firstRow="1" w:lastRow="0" w:firstColumn="1" w:lastColumn="0" w:noHBand="0" w:noVBand="1"/>
        </w:tblPrEx>
        <w:trPr>
          <w:cantSplit/>
          <w:trHeight w:val="20"/>
        </w:trPr>
        <w:tc>
          <w:tcPr>
            <w:tcW w:w="1271" w:type="dxa"/>
          </w:tcPr>
          <w:p w14:paraId="5A7F9F41" w14:textId="77777777" w:rsidR="00DC707C" w:rsidRPr="004D0075" w:rsidRDefault="00DC707C">
            <w:pPr>
              <w:jc w:val="center"/>
              <w:rPr>
                <w:rFonts w:ascii="Arial Narrow" w:hAnsi="Arial Narrow"/>
                <w:strike/>
                <w:sz w:val="20"/>
                <w:szCs w:val="20"/>
              </w:rPr>
            </w:pPr>
            <w:r w:rsidRPr="004D0075">
              <w:rPr>
                <w:rFonts w:ascii="Arial Narrow" w:hAnsi="Arial Narrow"/>
                <w:strike/>
                <w:sz w:val="20"/>
                <w:szCs w:val="20"/>
              </w:rPr>
              <w:t>17047</w:t>
            </w:r>
          </w:p>
          <w:p w14:paraId="6D0D5B93" w14:textId="77777777" w:rsidR="00DC707C" w:rsidRPr="007E4ACF" w:rsidRDefault="00DC707C">
            <w:pPr>
              <w:jc w:val="center"/>
              <w:rPr>
                <w:rFonts w:ascii="Arial Narrow" w:hAnsi="Arial Narrow"/>
                <w:i/>
                <w:iCs/>
                <w:sz w:val="20"/>
                <w:szCs w:val="20"/>
              </w:rPr>
            </w:pPr>
            <w:r w:rsidRPr="007E4ACF">
              <w:rPr>
                <w:rFonts w:ascii="Arial Narrow" w:hAnsi="Arial Narrow"/>
                <w:i/>
                <w:iCs/>
                <w:sz w:val="20"/>
                <w:szCs w:val="20"/>
              </w:rPr>
              <w:t>[New]</w:t>
            </w:r>
          </w:p>
        </w:tc>
        <w:tc>
          <w:tcPr>
            <w:tcW w:w="7745" w:type="dxa"/>
            <w:gridSpan w:val="6"/>
          </w:tcPr>
          <w:p w14:paraId="347F03E0" w14:textId="77777777" w:rsidR="00DC707C" w:rsidRPr="004D0075" w:rsidRDefault="00DC707C">
            <w:pPr>
              <w:rPr>
                <w:rFonts w:ascii="Arial Narrow" w:hAnsi="Arial Narrow"/>
                <w:sz w:val="20"/>
                <w:szCs w:val="20"/>
              </w:rPr>
            </w:pPr>
            <w:r w:rsidRPr="004D0075">
              <w:rPr>
                <w:rFonts w:ascii="Arial Narrow" w:hAnsi="Arial Narrow"/>
                <w:b/>
                <w:bCs/>
                <w:sz w:val="20"/>
                <w:szCs w:val="20"/>
              </w:rPr>
              <w:t xml:space="preserve">Prescribing Instructions: </w:t>
            </w:r>
            <w:r w:rsidRPr="004D0075">
              <w:rPr>
                <w:rFonts w:ascii="Arial Narrow" w:hAnsi="Arial Narrow"/>
                <w:sz w:val="20"/>
                <w:szCs w:val="20"/>
              </w:rPr>
              <w:t>Patients are eligible to receive continuing treatment with this drug in courses of up to 24 weeks providing they continue to sustain a response</w:t>
            </w:r>
            <w:r w:rsidRPr="007E4ACF">
              <w:rPr>
                <w:rFonts w:ascii="Arial Narrow" w:hAnsi="Arial Narrow"/>
                <w:i/>
                <w:iCs/>
                <w:sz w:val="20"/>
                <w:szCs w:val="20"/>
              </w:rPr>
              <w:t xml:space="preserve">, </w:t>
            </w:r>
            <w:r w:rsidRPr="007E4ACF">
              <w:rPr>
                <w:rFonts w:ascii="Arial Narrow" w:eastAsia="Aptos" w:hAnsi="Arial Narrow" w:cs="Aptos"/>
                <w:i/>
                <w:iCs/>
                <w:sz w:val="20"/>
                <w:szCs w:val="20"/>
                <w14:ligatures w14:val="standardContextual"/>
              </w:rPr>
              <w:t>with either the 4 weekly or 8 weekly dosing regimen.</w:t>
            </w:r>
          </w:p>
        </w:tc>
      </w:tr>
      <w:tr w:rsidR="00DC707C" w:rsidRPr="004D0075" w14:paraId="56BB3742" w14:textId="77777777">
        <w:tblPrEx>
          <w:tblCellMar>
            <w:top w:w="15" w:type="dxa"/>
            <w:bottom w:w="15" w:type="dxa"/>
          </w:tblCellMar>
          <w:tblLook w:val="04A0" w:firstRow="1" w:lastRow="0" w:firstColumn="1" w:lastColumn="0" w:noHBand="0" w:noVBand="1"/>
        </w:tblPrEx>
        <w:trPr>
          <w:cantSplit/>
          <w:trHeight w:val="20"/>
        </w:trPr>
        <w:tc>
          <w:tcPr>
            <w:tcW w:w="1271" w:type="dxa"/>
          </w:tcPr>
          <w:p w14:paraId="153232C8" w14:textId="77777777" w:rsidR="00DC707C" w:rsidRPr="004D0075" w:rsidRDefault="00DC707C">
            <w:pPr>
              <w:jc w:val="center"/>
              <w:rPr>
                <w:rFonts w:ascii="Arial Narrow" w:hAnsi="Arial Narrow"/>
                <w:strike/>
                <w:sz w:val="20"/>
                <w:szCs w:val="20"/>
              </w:rPr>
            </w:pPr>
            <w:r w:rsidRPr="004D0075">
              <w:rPr>
                <w:rFonts w:ascii="Arial Narrow" w:hAnsi="Arial Narrow"/>
                <w:strike/>
                <w:sz w:val="20"/>
                <w:szCs w:val="20"/>
              </w:rPr>
              <w:t>17145</w:t>
            </w:r>
          </w:p>
          <w:p w14:paraId="41D2DBD4" w14:textId="77777777" w:rsidR="00DC707C" w:rsidRPr="007E4ACF" w:rsidRDefault="00DC707C">
            <w:pPr>
              <w:jc w:val="center"/>
              <w:rPr>
                <w:rFonts w:ascii="Arial Narrow" w:hAnsi="Arial Narrow"/>
                <w:i/>
                <w:iCs/>
                <w:sz w:val="20"/>
                <w:szCs w:val="20"/>
              </w:rPr>
            </w:pPr>
            <w:r w:rsidRPr="007E4ACF">
              <w:rPr>
                <w:rFonts w:ascii="Arial Narrow" w:hAnsi="Arial Narrow"/>
                <w:i/>
                <w:iCs/>
                <w:sz w:val="20"/>
                <w:szCs w:val="20"/>
              </w:rPr>
              <w:t>[New]</w:t>
            </w:r>
          </w:p>
        </w:tc>
        <w:tc>
          <w:tcPr>
            <w:tcW w:w="7745" w:type="dxa"/>
            <w:gridSpan w:val="6"/>
          </w:tcPr>
          <w:p w14:paraId="51481E32" w14:textId="77777777" w:rsidR="00DC707C" w:rsidRPr="004D0075" w:rsidRDefault="00DC707C">
            <w:pPr>
              <w:rPr>
                <w:rFonts w:ascii="Arial Narrow" w:eastAsia="Aptos" w:hAnsi="Arial Narrow" w:cs="Aptos"/>
                <w:color w:val="FF0000"/>
                <w:sz w:val="20"/>
                <w:szCs w:val="20"/>
                <w14:ligatures w14:val="standardContextual"/>
              </w:rPr>
            </w:pPr>
            <w:r w:rsidRPr="004D0075">
              <w:rPr>
                <w:rFonts w:ascii="Arial Narrow" w:hAnsi="Arial Narrow"/>
                <w:b/>
                <w:bCs/>
                <w:sz w:val="20"/>
                <w:szCs w:val="20"/>
              </w:rPr>
              <w:t xml:space="preserve">Prescribing Instructions: </w:t>
            </w:r>
            <w:r w:rsidRPr="004D0075">
              <w:rPr>
                <w:rFonts w:ascii="Arial Narrow" w:hAnsi="Arial Narrow"/>
                <w:sz w:val="20"/>
                <w:szCs w:val="20"/>
              </w:rPr>
              <w:t xml:space="preserve">At the time of the authority application, medical practitioners should request the appropriate number of vials, to provide sufficient for a single infusion of 300 mg vedolizumab per dose. Up to a maximum of 2 repeats will be authorised, </w:t>
            </w:r>
            <w:r w:rsidRPr="007E4ACF">
              <w:rPr>
                <w:rFonts w:ascii="Arial Narrow" w:eastAsia="Aptos" w:hAnsi="Arial Narrow" w:cs="Aptos"/>
                <w:i/>
                <w:iCs/>
                <w:sz w:val="20"/>
                <w:szCs w:val="20"/>
                <w14:ligatures w14:val="standardContextual"/>
              </w:rPr>
              <w:t>where dosing is administered every 8 weeks. OR Up to a maximum of 5 repeats will be authorised where dosing is administered every 4 weeks.</w:t>
            </w:r>
            <w:r w:rsidRPr="007E4ACF">
              <w:rPr>
                <w:rFonts w:ascii="Arial Narrow" w:eastAsia="Aptos" w:hAnsi="Arial Narrow" w:cs="Aptos"/>
                <w:sz w:val="20"/>
                <w:szCs w:val="20"/>
                <w14:ligatures w14:val="standardContextual"/>
              </w:rPr>
              <w:t xml:space="preserve"> </w:t>
            </w:r>
          </w:p>
        </w:tc>
      </w:tr>
      <w:tr w:rsidR="00DC707C" w:rsidRPr="004D0075" w14:paraId="49389D4E" w14:textId="77777777">
        <w:tblPrEx>
          <w:tblCellMar>
            <w:top w:w="15" w:type="dxa"/>
            <w:bottom w:w="15" w:type="dxa"/>
          </w:tblCellMar>
          <w:tblLook w:val="04A0" w:firstRow="1" w:lastRow="0" w:firstColumn="1" w:lastColumn="0" w:noHBand="0" w:noVBand="1"/>
        </w:tblPrEx>
        <w:trPr>
          <w:cantSplit/>
          <w:trHeight w:val="20"/>
        </w:trPr>
        <w:tc>
          <w:tcPr>
            <w:tcW w:w="1271" w:type="dxa"/>
          </w:tcPr>
          <w:p w14:paraId="6743C9AC" w14:textId="77777777" w:rsidR="00DC707C" w:rsidRPr="004D0075" w:rsidRDefault="00DC707C">
            <w:pPr>
              <w:jc w:val="center"/>
              <w:rPr>
                <w:rFonts w:ascii="Arial Narrow" w:hAnsi="Arial Narrow"/>
                <w:strike/>
                <w:sz w:val="20"/>
                <w:szCs w:val="20"/>
              </w:rPr>
            </w:pPr>
            <w:r w:rsidRPr="004D0075">
              <w:rPr>
                <w:rFonts w:ascii="Arial Narrow" w:hAnsi="Arial Narrow"/>
                <w:strike/>
                <w:sz w:val="20"/>
                <w:szCs w:val="20"/>
              </w:rPr>
              <w:t>15152</w:t>
            </w:r>
          </w:p>
          <w:p w14:paraId="2E9CBE80" w14:textId="77777777" w:rsidR="00DC707C" w:rsidRPr="007E4ACF" w:rsidRDefault="00DC707C">
            <w:pPr>
              <w:jc w:val="center"/>
              <w:rPr>
                <w:rFonts w:ascii="Arial Narrow" w:hAnsi="Arial Narrow"/>
                <w:i/>
                <w:iCs/>
                <w:sz w:val="20"/>
                <w:szCs w:val="20"/>
              </w:rPr>
            </w:pPr>
            <w:r w:rsidRPr="007E4ACF">
              <w:rPr>
                <w:rFonts w:ascii="Arial Narrow" w:hAnsi="Arial Narrow"/>
                <w:i/>
                <w:iCs/>
                <w:sz w:val="20"/>
                <w:szCs w:val="20"/>
              </w:rPr>
              <w:t>[New]</w:t>
            </w:r>
          </w:p>
        </w:tc>
        <w:tc>
          <w:tcPr>
            <w:tcW w:w="7745" w:type="dxa"/>
            <w:gridSpan w:val="6"/>
          </w:tcPr>
          <w:p w14:paraId="4E45075F" w14:textId="77777777" w:rsidR="00DC707C" w:rsidRPr="004D0075" w:rsidRDefault="00DC707C">
            <w:pPr>
              <w:rPr>
                <w:rFonts w:ascii="Arial Narrow" w:hAnsi="Arial Narrow"/>
                <w:sz w:val="20"/>
                <w:szCs w:val="20"/>
              </w:rPr>
            </w:pPr>
            <w:r w:rsidRPr="004D0075">
              <w:rPr>
                <w:rFonts w:ascii="Arial Narrow" w:hAnsi="Arial Narrow"/>
                <w:b/>
                <w:bCs/>
                <w:sz w:val="20"/>
                <w:szCs w:val="20"/>
              </w:rPr>
              <w:t xml:space="preserve">Prescribing Instructions: </w:t>
            </w:r>
            <w:r w:rsidRPr="004D0075">
              <w:rPr>
                <w:rFonts w:ascii="Arial Narrow" w:hAnsi="Arial Narrow"/>
                <w:sz w:val="20"/>
                <w:szCs w:val="20"/>
              </w:rPr>
              <w:t xml:space="preserve">If fewer than 2 repeats </w:t>
            </w:r>
            <w:r w:rsidRPr="007E4ACF">
              <w:rPr>
                <w:rFonts w:ascii="Arial Narrow" w:eastAsia="Aptos" w:hAnsi="Arial Narrow" w:cs="Aptos"/>
                <w:i/>
                <w:iCs/>
                <w:sz w:val="20"/>
                <w:szCs w:val="20"/>
                <w14:ligatures w14:val="standardContextual"/>
              </w:rPr>
              <w:t>(for 8 weekly dosing), or fewer than 5 repeats (for 4 weekly dosing)</w:t>
            </w:r>
            <w:r w:rsidRPr="007E4ACF">
              <w:rPr>
                <w:rFonts w:ascii="Arial Narrow" w:eastAsia="Aptos" w:hAnsi="Arial Narrow" w:cs="Aptos"/>
                <w:sz w:val="20"/>
                <w:szCs w:val="20"/>
                <w14:ligatures w14:val="standardContextual"/>
              </w:rPr>
              <w:t xml:space="preserve"> </w:t>
            </w:r>
            <w:r w:rsidRPr="004D0075">
              <w:rPr>
                <w:rFonts w:ascii="Arial Narrow" w:hAnsi="Arial Narrow"/>
                <w:sz w:val="20"/>
                <w:szCs w:val="20"/>
              </w:rPr>
              <w:t>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r>
    </w:tbl>
    <w:p w14:paraId="29A96004" w14:textId="77777777" w:rsidR="00C27C1C" w:rsidRPr="004D0075" w:rsidRDefault="00C27C1C" w:rsidP="00303CFE">
      <w:pPr>
        <w:pStyle w:val="2-SectionHeading"/>
        <w:rPr>
          <w:color w:val="FF0000"/>
        </w:rPr>
      </w:pPr>
      <w:r w:rsidRPr="004D0075">
        <w:t xml:space="preserve">Comparator </w:t>
      </w:r>
    </w:p>
    <w:p w14:paraId="517CCD27" w14:textId="49D98CEA" w:rsidR="004710F3" w:rsidRPr="004D0075" w:rsidRDefault="00C27C1C" w:rsidP="00B91982">
      <w:pPr>
        <w:pStyle w:val="3-BodyText"/>
      </w:pPr>
      <w:r w:rsidRPr="004D0075">
        <w:t xml:space="preserve">The submission nominated </w:t>
      </w:r>
      <w:r w:rsidR="00126E34" w:rsidRPr="004D0075">
        <w:t>Q8W</w:t>
      </w:r>
      <w:r w:rsidR="00E22BDC">
        <w:t xml:space="preserve"> maintenance</w:t>
      </w:r>
      <w:r w:rsidR="00171ECB" w:rsidRPr="004D0075">
        <w:t xml:space="preserve"> treatment</w:t>
      </w:r>
      <w:r w:rsidR="00EB7210" w:rsidRPr="004D0075">
        <w:t xml:space="preserve"> </w:t>
      </w:r>
      <w:r w:rsidRPr="004D0075">
        <w:t>as the main comparator</w:t>
      </w:r>
      <w:r w:rsidR="004A0CDE" w:rsidRPr="004D0075">
        <w:t xml:space="preserve"> with a claim of non</w:t>
      </w:r>
      <w:r w:rsidR="00731C1F" w:rsidRPr="004D0075">
        <w:t>-</w:t>
      </w:r>
      <w:r w:rsidR="004A0CDE" w:rsidRPr="004D0075">
        <w:t>inferiority with respect to efficacy based on the outcome of clinical remission at Week 52 in the clinical trials</w:t>
      </w:r>
      <w:r w:rsidR="00E76C11" w:rsidRPr="004D0075">
        <w:t xml:space="preserve">, stating this was </w:t>
      </w:r>
      <w:r w:rsidR="004A0CDE" w:rsidRPr="004D0075">
        <w:t xml:space="preserve">the basis of the </w:t>
      </w:r>
      <w:r w:rsidR="004E2BB9" w:rsidRPr="004D0075">
        <w:t>March 2015</w:t>
      </w:r>
      <w:r w:rsidR="004A0CDE" w:rsidRPr="004D0075">
        <w:t xml:space="preserve"> </w:t>
      </w:r>
      <w:r w:rsidR="004A0CDE" w:rsidRPr="004D0075">
        <w:lastRenderedPageBreak/>
        <w:t xml:space="preserve">recommendation for </w:t>
      </w:r>
      <w:r w:rsidR="004E2BB9" w:rsidRPr="004D0075">
        <w:t xml:space="preserve">vedolizumab IV Q8W </w:t>
      </w:r>
      <w:r w:rsidR="004A0CDE" w:rsidRPr="004D0075">
        <w:t>maintenance treatment</w:t>
      </w:r>
      <w:r w:rsidRPr="004D0075">
        <w:t>.</w:t>
      </w:r>
      <w:r w:rsidR="00EB7210" w:rsidRPr="004D0075">
        <w:t xml:space="preserve"> </w:t>
      </w:r>
      <w:r w:rsidR="007B1CC8" w:rsidRPr="004D0075">
        <w:t xml:space="preserve">However, the </w:t>
      </w:r>
      <w:r w:rsidR="00997277" w:rsidRPr="004D0075">
        <w:t>ITT population of the trials includes Q8W ineligible patients</w:t>
      </w:r>
      <w:r w:rsidR="00374318" w:rsidRPr="004D0075">
        <w:t xml:space="preserve"> </w:t>
      </w:r>
      <w:r w:rsidR="00C070A1" w:rsidRPr="004D0075">
        <w:t>for</w:t>
      </w:r>
      <w:r w:rsidR="00653F3F" w:rsidRPr="004D0075">
        <w:t xml:space="preserve"> whom Q4W treatment </w:t>
      </w:r>
      <w:r w:rsidR="00C070A1" w:rsidRPr="004D0075">
        <w:t>would be</w:t>
      </w:r>
      <w:r w:rsidR="00992A8E" w:rsidRPr="004D0075">
        <w:t xml:space="preserve"> clinically superior.</w:t>
      </w:r>
    </w:p>
    <w:p w14:paraId="649A934B" w14:textId="12E35FC7" w:rsidR="00653ECA" w:rsidRDefault="007020DF" w:rsidP="001F0A82">
      <w:pPr>
        <w:pStyle w:val="3-BodyText"/>
      </w:pPr>
      <w:r w:rsidRPr="007020DF">
        <w:t xml:space="preserve">The submission did not include other biologic disease-modifying antirheumatic drugs (bDMARDs) as relevant comparators for each indication. Patients who </w:t>
      </w:r>
      <w:r w:rsidR="001F0A82">
        <w:t>become</w:t>
      </w:r>
      <w:r w:rsidRPr="007020DF">
        <w:t xml:space="preserve"> Q8W </w:t>
      </w:r>
      <w:r w:rsidR="001F0A82">
        <w:t xml:space="preserve">ineligible </w:t>
      </w:r>
      <w:r w:rsidRPr="007020DF">
        <w:t xml:space="preserve">must discontinue vedolizumab and may </w:t>
      </w:r>
      <w:r w:rsidR="001F0A82">
        <w:t>commence</w:t>
      </w:r>
      <w:r w:rsidR="00CE770D">
        <w:t xml:space="preserve"> treatment with</w:t>
      </w:r>
      <w:r w:rsidRPr="007020DF">
        <w:t xml:space="preserve"> an alternative bDMARD. Since </w:t>
      </w:r>
      <w:r w:rsidR="00CE770D">
        <w:t xml:space="preserve">the target population are those </w:t>
      </w:r>
      <w:r w:rsidRPr="007020DF">
        <w:t xml:space="preserve">likely to have stopped responding to Q8W </w:t>
      </w:r>
      <w:r w:rsidR="00CE770D">
        <w:t>treatment</w:t>
      </w:r>
      <w:r w:rsidRPr="007020DF">
        <w:t>, alternative bDMARDs would be relevant comparators.</w:t>
      </w:r>
    </w:p>
    <w:p w14:paraId="0436B7D8" w14:textId="6B54939A" w:rsidR="00C27C1C" w:rsidRPr="004D0075" w:rsidRDefault="00C27C1C" w:rsidP="002C43E5">
      <w:pPr>
        <w:pStyle w:val="2-SectionHeading"/>
      </w:pPr>
      <w:r w:rsidRPr="004D0075">
        <w:t>Consideration of the evidence</w:t>
      </w:r>
    </w:p>
    <w:p w14:paraId="256EB628" w14:textId="77777777" w:rsidR="00731394" w:rsidRPr="00F91A6A" w:rsidRDefault="00731394" w:rsidP="00731394">
      <w:pPr>
        <w:pStyle w:val="3-BodyText"/>
        <w:numPr>
          <w:ilvl w:val="0"/>
          <w:numId w:val="0"/>
        </w:numPr>
        <w:rPr>
          <w:b/>
          <w:bCs/>
          <w:i/>
          <w:iCs/>
          <w:sz w:val="28"/>
          <w:szCs w:val="28"/>
        </w:rPr>
      </w:pPr>
      <w:r w:rsidRPr="00F91A6A">
        <w:rPr>
          <w:b/>
          <w:bCs/>
          <w:i/>
          <w:iCs/>
          <w:sz w:val="28"/>
          <w:szCs w:val="28"/>
        </w:rPr>
        <w:t>Sponsor hearing</w:t>
      </w:r>
    </w:p>
    <w:p w14:paraId="0831B52C" w14:textId="4BCD7E2F" w:rsidR="00731394" w:rsidRPr="008D55B7" w:rsidRDefault="00731394" w:rsidP="00317918">
      <w:pPr>
        <w:pStyle w:val="3-BodyText"/>
        <w:rPr>
          <w:b/>
          <w:bCs/>
          <w:sz w:val="28"/>
          <w:szCs w:val="28"/>
        </w:rPr>
      </w:pPr>
      <w:r w:rsidRPr="00317918">
        <w:t>There</w:t>
      </w:r>
      <w:r>
        <w:t xml:space="preserve"> was no hearing for this item.</w:t>
      </w:r>
    </w:p>
    <w:p w14:paraId="75FFFBD3" w14:textId="77777777" w:rsidR="00731394" w:rsidRPr="00F91A6A" w:rsidRDefault="00731394" w:rsidP="004826D3">
      <w:pPr>
        <w:pStyle w:val="3-BodyText"/>
        <w:keepNext/>
        <w:keepLines/>
        <w:numPr>
          <w:ilvl w:val="0"/>
          <w:numId w:val="0"/>
        </w:numPr>
        <w:rPr>
          <w:b/>
          <w:bCs/>
          <w:i/>
          <w:iCs/>
          <w:sz w:val="28"/>
          <w:szCs w:val="28"/>
        </w:rPr>
      </w:pPr>
      <w:r w:rsidRPr="00F91A6A">
        <w:rPr>
          <w:b/>
          <w:bCs/>
          <w:i/>
          <w:iCs/>
          <w:sz w:val="28"/>
          <w:szCs w:val="28"/>
        </w:rPr>
        <w:t>Consumer comments</w:t>
      </w:r>
    </w:p>
    <w:p w14:paraId="2D9160E4" w14:textId="013E6DB5" w:rsidR="00731394" w:rsidRPr="00731394" w:rsidRDefault="00731394" w:rsidP="004826D3">
      <w:pPr>
        <w:pStyle w:val="3-BodyText"/>
        <w:keepNext/>
        <w:keepLines/>
      </w:pPr>
      <w:r>
        <w:t xml:space="preserve">The PBAC noted and welcomed input from Crohn’s and Colitis Australia (CCA). They described how compassionate access programs are unsustainable, create direct relationships between patients and pharmaceutical companies, and do not promote equitable access. Additional comments from CCA identified a practical need for follow on changes to dosing and restrictions, noting that Q4W should be accompanied by access to weekly </w:t>
      </w:r>
      <w:r w:rsidR="00973A69">
        <w:t xml:space="preserve">(Q1W) </w:t>
      </w:r>
      <w:r>
        <w:t>subcutaneous formulations. They claim that subcutaneous dosing is better for the environment, with reduced travel and intravenous infusions, both of which reduce the impact of treatment on patient lives.</w:t>
      </w:r>
      <w:r w:rsidR="00364C8E">
        <w:t xml:space="preserve"> The PBAC would welcome a </w:t>
      </w:r>
      <w:r w:rsidR="003C3B59">
        <w:t xml:space="preserve">resubmission with evidence to support </w:t>
      </w:r>
      <w:r w:rsidR="00514679">
        <w:t xml:space="preserve">transitioning from IV Q4W to SC </w:t>
      </w:r>
      <w:r w:rsidR="00973A69">
        <w:t>Q</w:t>
      </w:r>
      <w:r w:rsidR="00514679">
        <w:t>1</w:t>
      </w:r>
      <w:r w:rsidR="00973A69">
        <w:t>W</w:t>
      </w:r>
      <w:r w:rsidR="00514679">
        <w:t>.</w:t>
      </w:r>
    </w:p>
    <w:p w14:paraId="3F679FE9" w14:textId="7DE7BD0A" w:rsidR="00C27C1C" w:rsidRPr="004D0075" w:rsidRDefault="00C27C1C" w:rsidP="00CC6121">
      <w:pPr>
        <w:pStyle w:val="4-SubsectionHeading"/>
        <w:rPr>
          <w:lang w:eastAsia="en-US"/>
        </w:rPr>
      </w:pPr>
      <w:r w:rsidRPr="004D0075">
        <w:rPr>
          <w:lang w:eastAsia="en-US"/>
        </w:rPr>
        <w:t xml:space="preserve">Clinical </w:t>
      </w:r>
      <w:r w:rsidR="00F93642" w:rsidRPr="00CC6121">
        <w:t>evidence</w:t>
      </w:r>
    </w:p>
    <w:p w14:paraId="721F524D" w14:textId="40E2EA06" w:rsidR="008B136B" w:rsidRPr="004D0075" w:rsidRDefault="00835C9F" w:rsidP="002441E6">
      <w:pPr>
        <w:pStyle w:val="3-BodyText"/>
      </w:pPr>
      <w:bookmarkStart w:id="1" w:name="_Hlk86163265"/>
      <w:r w:rsidRPr="004D0075">
        <w:t>The submission was primarily based on an</w:t>
      </w:r>
      <w:r w:rsidR="002C3899" w:rsidRPr="004D0075">
        <w:t xml:space="preserve"> </w:t>
      </w:r>
      <w:r w:rsidR="003870C5" w:rsidRPr="004D0075">
        <w:t>access program</w:t>
      </w:r>
      <w:r w:rsidR="002C3899" w:rsidRPr="004D0075">
        <w:t xml:space="preserve"> that the sponsor</w:t>
      </w:r>
      <w:r w:rsidR="00FE35C4">
        <w:t xml:space="preserve"> has </w:t>
      </w:r>
      <w:r w:rsidRPr="004D0075">
        <w:t xml:space="preserve"> implemented in Australia</w:t>
      </w:r>
      <w:r w:rsidR="00FE35C4">
        <w:t xml:space="preserve"> since September 2018</w:t>
      </w:r>
      <w:r w:rsidR="007B1028" w:rsidRPr="007B1028">
        <w:t xml:space="preserve"> </w:t>
      </w:r>
      <w:r w:rsidR="007B1028" w:rsidRPr="004D0075">
        <w:t>to provide additional vedolizumab 300 mg IV doses to enable Q4W maintenance dosing for eligible patients</w:t>
      </w:r>
      <w:r w:rsidR="00FE35C4">
        <w:t xml:space="preserve">. </w:t>
      </w:r>
      <w:r w:rsidR="00C81064" w:rsidRPr="004D0075">
        <w:t>Real-world utilisation data</w:t>
      </w:r>
      <w:r w:rsidR="00C81064">
        <w:t xml:space="preserve"> from the access program, spanning</w:t>
      </w:r>
      <w:r w:rsidR="006317D8" w:rsidRPr="004D0075">
        <w:t xml:space="preserve"> </w:t>
      </w:r>
      <w:r w:rsidR="005D5857" w:rsidRPr="004D0075">
        <w:t>August</w:t>
      </w:r>
      <w:r w:rsidR="001C2C87" w:rsidRPr="004D0075">
        <w:t xml:space="preserve"> 2021 to September 2023</w:t>
      </w:r>
      <w:r w:rsidR="00C81064">
        <w:t>,</w:t>
      </w:r>
      <w:r w:rsidR="001C2C87" w:rsidRPr="004D0075">
        <w:t xml:space="preserve"> </w:t>
      </w:r>
      <w:r w:rsidR="002155BA">
        <w:t>demonstrated</w:t>
      </w:r>
      <w:r w:rsidRPr="004D0075">
        <w:t xml:space="preserve"> that Q4W </w:t>
      </w:r>
      <w:r w:rsidR="00A2091E" w:rsidRPr="004D0075">
        <w:t xml:space="preserve">treatment </w:t>
      </w:r>
      <w:r w:rsidRPr="004D0075">
        <w:t>is already being used in clinical practice for patients who require dose escalation to maintain disease control.</w:t>
      </w:r>
    </w:p>
    <w:p w14:paraId="1E3FFF17" w14:textId="54637E35" w:rsidR="00547357" w:rsidRPr="004D0075" w:rsidRDefault="008B136B" w:rsidP="00547357">
      <w:pPr>
        <w:pStyle w:val="3-BodyText"/>
      </w:pPr>
      <w:r w:rsidRPr="004D0075">
        <w:t xml:space="preserve">The submission also referenced </w:t>
      </w:r>
      <w:r w:rsidR="00835C9F" w:rsidRPr="004D0075">
        <w:t xml:space="preserve">clinical trial findings </w:t>
      </w:r>
      <w:r w:rsidR="00547357" w:rsidRPr="004D0075">
        <w:t xml:space="preserve">from </w:t>
      </w:r>
      <w:r w:rsidR="005F2338" w:rsidRPr="004D0075">
        <w:t>the GEMINI I and GEMINI II phase 3, randomised, placebo-controlled, blinded</w:t>
      </w:r>
      <w:r w:rsidR="0019186B" w:rsidRPr="004D0075">
        <w:t>, multicentre studies</w:t>
      </w:r>
      <w:r w:rsidR="00351CE4" w:rsidRPr="004D0075">
        <w:t xml:space="preserve"> (see </w:t>
      </w:r>
      <w:r w:rsidR="00351CE4" w:rsidRPr="004D0075">
        <w:fldChar w:fldCharType="begin" w:fldLock="1"/>
      </w:r>
      <w:r w:rsidR="00351CE4" w:rsidRPr="004D0075">
        <w:instrText xml:space="preserve"> REF _Ref211964292 \h </w:instrText>
      </w:r>
      <w:r w:rsidR="004D0075" w:rsidRPr="004D0075">
        <w:instrText xml:space="preserve"> \* MERGEFORMAT </w:instrText>
      </w:r>
      <w:r w:rsidR="00351CE4" w:rsidRPr="004D0075">
        <w:fldChar w:fldCharType="separate"/>
      </w:r>
      <w:r w:rsidR="00351CE4" w:rsidRPr="004D0075">
        <w:t xml:space="preserve">Table </w:t>
      </w:r>
      <w:r w:rsidR="00351CE4" w:rsidRPr="004D0075">
        <w:rPr>
          <w:noProof/>
        </w:rPr>
        <w:t>1</w:t>
      </w:r>
      <w:r w:rsidR="00351CE4" w:rsidRPr="004D0075">
        <w:fldChar w:fldCharType="end"/>
      </w:r>
      <w:r w:rsidR="00351CE4" w:rsidRPr="004D0075">
        <w:t>)</w:t>
      </w:r>
      <w:r w:rsidR="00835C9F" w:rsidRPr="004D0075">
        <w:t>.</w:t>
      </w:r>
      <w:r w:rsidR="00547357" w:rsidRPr="004D0075">
        <w:t xml:space="preserve"> The submission </w:t>
      </w:r>
      <w:r w:rsidR="00E55C4C" w:rsidRPr="004D0075">
        <w:t>claimed</w:t>
      </w:r>
      <w:r w:rsidR="00547357" w:rsidRPr="004D0075">
        <w:t xml:space="preserve"> that both the trial and program highlight the unmet need for a PBS-listed Q4W option to ensure equitable access and alignment with the TGA</w:t>
      </w:r>
      <w:r w:rsidR="0099128E">
        <w:noBreakHyphen/>
      </w:r>
      <w:r w:rsidR="00547357" w:rsidRPr="004D0075">
        <w:t xml:space="preserve">approved </w:t>
      </w:r>
      <w:r w:rsidR="0083156B" w:rsidRPr="004D0075">
        <w:t>PI</w:t>
      </w:r>
      <w:r w:rsidR="00547357" w:rsidRPr="004D0075">
        <w:t>.</w:t>
      </w:r>
    </w:p>
    <w:p w14:paraId="0F028BC0" w14:textId="659F3A86" w:rsidR="00A51A2D" w:rsidRPr="004D0075" w:rsidRDefault="00A51A2D" w:rsidP="00805FB4">
      <w:pPr>
        <w:pStyle w:val="Caption"/>
        <w:keepNext/>
        <w:rPr>
          <w:iCs w:val="0"/>
        </w:rPr>
      </w:pPr>
      <w:bookmarkStart w:id="2" w:name="_Ref211964292"/>
      <w:r w:rsidRPr="004D0075">
        <w:rPr>
          <w:iCs w:val="0"/>
        </w:rPr>
        <w:lastRenderedPageBreak/>
        <w:t xml:space="preserve">Table </w:t>
      </w:r>
      <w:r w:rsidRPr="004D0075">
        <w:rPr>
          <w:iCs w:val="0"/>
        </w:rPr>
        <w:fldChar w:fldCharType="begin" w:fldLock="1"/>
      </w:r>
      <w:r w:rsidRPr="004D0075">
        <w:rPr>
          <w:iCs w:val="0"/>
        </w:rPr>
        <w:instrText xml:space="preserve"> SEQ Table \* ARABIC </w:instrText>
      </w:r>
      <w:r w:rsidRPr="004D0075">
        <w:rPr>
          <w:iCs w:val="0"/>
        </w:rPr>
        <w:fldChar w:fldCharType="separate"/>
      </w:r>
      <w:r w:rsidR="00774873" w:rsidRPr="004D0075">
        <w:rPr>
          <w:iCs w:val="0"/>
          <w:noProof/>
        </w:rPr>
        <w:t>1</w:t>
      </w:r>
      <w:r w:rsidRPr="004D0075">
        <w:rPr>
          <w:iCs w:val="0"/>
        </w:rPr>
        <w:fldChar w:fldCharType="end"/>
      </w:r>
      <w:bookmarkEnd w:id="2"/>
      <w:r w:rsidRPr="004D0075">
        <w:rPr>
          <w:iCs w:val="0"/>
        </w:rPr>
        <w:t>: Clinical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Clinical trials presented in the submission"/>
      </w:tblPr>
      <w:tblGrid>
        <w:gridCol w:w="1434"/>
        <w:gridCol w:w="5054"/>
        <w:gridCol w:w="2528"/>
      </w:tblGrid>
      <w:tr w:rsidR="00B6533B" w:rsidRPr="004D0075" w14:paraId="77468B9B" w14:textId="77777777" w:rsidTr="00586B35">
        <w:trPr>
          <w:cantSplit/>
          <w:tblHeader/>
        </w:trPr>
        <w:tc>
          <w:tcPr>
            <w:tcW w:w="795" w:type="pct"/>
            <w:tcBorders>
              <w:bottom w:val="single" w:sz="4" w:space="0" w:color="auto"/>
            </w:tcBorders>
            <w:vAlign w:val="center"/>
          </w:tcPr>
          <w:p w14:paraId="06990072" w14:textId="77777777" w:rsidR="00B6533B" w:rsidRPr="004D0075" w:rsidRDefault="00B6533B" w:rsidP="00415D1C">
            <w:pPr>
              <w:pStyle w:val="In-tableHeading"/>
              <w:jc w:val="center"/>
              <w:rPr>
                <w:lang w:val="en-AU"/>
              </w:rPr>
            </w:pPr>
            <w:r w:rsidRPr="004D0075">
              <w:rPr>
                <w:lang w:val="en-AU"/>
              </w:rPr>
              <w:t>Trial ID</w:t>
            </w:r>
          </w:p>
        </w:tc>
        <w:tc>
          <w:tcPr>
            <w:tcW w:w="2803" w:type="pct"/>
            <w:tcBorders>
              <w:bottom w:val="single" w:sz="4" w:space="0" w:color="auto"/>
            </w:tcBorders>
            <w:vAlign w:val="center"/>
          </w:tcPr>
          <w:p w14:paraId="36B2C658" w14:textId="77777777" w:rsidR="00B6533B" w:rsidRPr="004D0075" w:rsidRDefault="00B6533B" w:rsidP="00415D1C">
            <w:pPr>
              <w:pStyle w:val="In-tableHeading"/>
              <w:rPr>
                <w:lang w:val="en-AU"/>
              </w:rPr>
            </w:pPr>
            <w:r w:rsidRPr="004D0075">
              <w:rPr>
                <w:lang w:val="en-AU"/>
              </w:rPr>
              <w:t>Protocol title/ Publication title</w:t>
            </w:r>
          </w:p>
        </w:tc>
        <w:tc>
          <w:tcPr>
            <w:tcW w:w="1402" w:type="pct"/>
            <w:tcBorders>
              <w:bottom w:val="single" w:sz="4" w:space="0" w:color="auto"/>
            </w:tcBorders>
            <w:vAlign w:val="center"/>
          </w:tcPr>
          <w:p w14:paraId="036FE8E7" w14:textId="77777777" w:rsidR="00B6533B" w:rsidRPr="004D0075" w:rsidRDefault="00B6533B" w:rsidP="00415D1C">
            <w:pPr>
              <w:pStyle w:val="In-tableHeading"/>
              <w:rPr>
                <w:lang w:val="en-AU"/>
              </w:rPr>
            </w:pPr>
            <w:r w:rsidRPr="004D0075">
              <w:rPr>
                <w:lang w:val="en-AU"/>
              </w:rPr>
              <w:t>Publication citation</w:t>
            </w:r>
          </w:p>
        </w:tc>
      </w:tr>
      <w:tr w:rsidR="00B6533B" w:rsidRPr="004D0075" w14:paraId="071CAD22" w14:textId="77777777" w:rsidTr="006C7173">
        <w:trPr>
          <w:cantSplit/>
        </w:trPr>
        <w:tc>
          <w:tcPr>
            <w:tcW w:w="795" w:type="pct"/>
            <w:vMerge w:val="restart"/>
            <w:vAlign w:val="center"/>
          </w:tcPr>
          <w:p w14:paraId="76B5FEAD" w14:textId="580A336A" w:rsidR="009C16A3" w:rsidRPr="004D0075" w:rsidRDefault="009C16A3" w:rsidP="006C7173">
            <w:pPr>
              <w:pStyle w:val="TableText0"/>
              <w:jc w:val="center"/>
              <w:rPr>
                <w:rFonts w:cs="Calibri"/>
              </w:rPr>
            </w:pPr>
            <w:r w:rsidRPr="004D0075">
              <w:rPr>
                <w:rFonts w:cs="Calibri"/>
              </w:rPr>
              <w:t>GEMINI I</w:t>
            </w:r>
          </w:p>
          <w:p w14:paraId="51ABD867" w14:textId="77777777" w:rsidR="009C16A3" w:rsidRPr="004D0075" w:rsidRDefault="009C16A3" w:rsidP="006C7173">
            <w:pPr>
              <w:pStyle w:val="TableText0"/>
              <w:jc w:val="center"/>
              <w:rPr>
                <w:rFonts w:cs="Calibri"/>
              </w:rPr>
            </w:pPr>
          </w:p>
          <w:p w14:paraId="44417271" w14:textId="3EF82B8F" w:rsidR="00B6533B" w:rsidRPr="004D0075" w:rsidRDefault="00E254B8" w:rsidP="006C7173">
            <w:pPr>
              <w:pStyle w:val="TableText0"/>
              <w:jc w:val="center"/>
              <w:rPr>
                <w:szCs w:val="20"/>
              </w:rPr>
            </w:pPr>
            <w:r w:rsidRPr="004D0075">
              <w:rPr>
                <w:rFonts w:cs="Calibri"/>
              </w:rPr>
              <w:t>NCT00783718</w:t>
            </w:r>
          </w:p>
        </w:tc>
        <w:tc>
          <w:tcPr>
            <w:tcW w:w="2803" w:type="pct"/>
            <w:tcBorders>
              <w:bottom w:val="nil"/>
            </w:tcBorders>
            <w:vAlign w:val="center"/>
          </w:tcPr>
          <w:p w14:paraId="1DD03D02" w14:textId="6FEF208E" w:rsidR="00B6533B" w:rsidRPr="004D0075" w:rsidRDefault="00000913" w:rsidP="006C7173">
            <w:pPr>
              <w:pStyle w:val="TableText0"/>
            </w:pPr>
            <w:r w:rsidRPr="004D0075">
              <w:rPr>
                <w:rFonts w:cs="Calibri"/>
              </w:rPr>
              <w:t>Vedolizumab as induction and maintenance therapy for ulcerative colitis.</w:t>
            </w:r>
          </w:p>
        </w:tc>
        <w:tc>
          <w:tcPr>
            <w:tcW w:w="1402" w:type="pct"/>
            <w:tcBorders>
              <w:bottom w:val="nil"/>
            </w:tcBorders>
            <w:vAlign w:val="center"/>
          </w:tcPr>
          <w:p w14:paraId="58C1350A" w14:textId="5CAC3350" w:rsidR="00B6533B" w:rsidRPr="004D0075" w:rsidRDefault="00E93FFC" w:rsidP="006C7173">
            <w:pPr>
              <w:pStyle w:val="TableText0"/>
              <w:jc w:val="center"/>
              <w:rPr>
                <w:rFonts w:ascii="Times" w:hAnsi="Times"/>
              </w:rPr>
            </w:pPr>
            <w:r w:rsidRPr="004D0075">
              <w:t xml:space="preserve">22 </w:t>
            </w:r>
            <w:r w:rsidR="00986014" w:rsidRPr="004D0075">
              <w:t>August 2013</w:t>
            </w:r>
          </w:p>
        </w:tc>
      </w:tr>
      <w:tr w:rsidR="00B6533B" w:rsidRPr="004D0075" w14:paraId="46EC551B" w14:textId="77777777" w:rsidTr="006C7173">
        <w:trPr>
          <w:cantSplit/>
        </w:trPr>
        <w:tc>
          <w:tcPr>
            <w:tcW w:w="795" w:type="pct"/>
            <w:vMerge/>
            <w:vAlign w:val="center"/>
          </w:tcPr>
          <w:p w14:paraId="722AA56D" w14:textId="77777777" w:rsidR="00B6533B" w:rsidRPr="004D0075" w:rsidRDefault="00B6533B" w:rsidP="006C7173">
            <w:pPr>
              <w:pStyle w:val="TableText0"/>
              <w:jc w:val="center"/>
            </w:pPr>
          </w:p>
        </w:tc>
        <w:tc>
          <w:tcPr>
            <w:tcW w:w="2803" w:type="pct"/>
            <w:tcBorders>
              <w:top w:val="nil"/>
              <w:bottom w:val="nil"/>
            </w:tcBorders>
            <w:vAlign w:val="center"/>
          </w:tcPr>
          <w:p w14:paraId="691929A7" w14:textId="5A73AD41" w:rsidR="00B6533B" w:rsidRPr="004D0075" w:rsidRDefault="000A4F83" w:rsidP="006C7173">
            <w:pPr>
              <w:pStyle w:val="TableText0"/>
            </w:pPr>
            <w:r w:rsidRPr="004D0075">
              <w:t>Sandborn, W J et al.</w:t>
            </w:r>
          </w:p>
        </w:tc>
        <w:tc>
          <w:tcPr>
            <w:tcW w:w="1402" w:type="pct"/>
            <w:tcBorders>
              <w:top w:val="nil"/>
              <w:bottom w:val="nil"/>
            </w:tcBorders>
            <w:vAlign w:val="center"/>
          </w:tcPr>
          <w:p w14:paraId="055FCA9B" w14:textId="22CA78B2" w:rsidR="00B6533B" w:rsidRPr="004D0075" w:rsidRDefault="00986014" w:rsidP="006C7173">
            <w:pPr>
              <w:pStyle w:val="TableText0"/>
              <w:jc w:val="center"/>
            </w:pPr>
            <w:r w:rsidRPr="004D0075">
              <w:t>New England Journal of Medicine, 2013</w:t>
            </w:r>
            <w:r w:rsidR="003955AE" w:rsidRPr="004D0075">
              <w:t>;</w:t>
            </w:r>
            <w:r w:rsidR="00B6533B" w:rsidRPr="004D0075">
              <w:t xml:space="preserve"> </w:t>
            </w:r>
            <w:r w:rsidR="00240417" w:rsidRPr="004D0075">
              <w:t>369</w:t>
            </w:r>
            <w:r w:rsidR="00B6533B" w:rsidRPr="004D0075">
              <w:t>(</w:t>
            </w:r>
            <w:r w:rsidR="00240417" w:rsidRPr="004D0075">
              <w:t>8</w:t>
            </w:r>
            <w:r w:rsidR="00B6533B" w:rsidRPr="004D0075">
              <w:t xml:space="preserve">): </w:t>
            </w:r>
            <w:r w:rsidR="00240417" w:rsidRPr="004D0075">
              <w:t>699-710</w:t>
            </w:r>
          </w:p>
        </w:tc>
      </w:tr>
      <w:tr w:rsidR="00B6533B" w:rsidRPr="004D0075" w14:paraId="4837E5E3" w14:textId="77777777" w:rsidTr="006C7173">
        <w:trPr>
          <w:cantSplit/>
        </w:trPr>
        <w:tc>
          <w:tcPr>
            <w:tcW w:w="795" w:type="pct"/>
            <w:vMerge w:val="restart"/>
            <w:vAlign w:val="center"/>
          </w:tcPr>
          <w:p w14:paraId="3F65D4BD" w14:textId="0D5D9838" w:rsidR="007461C4" w:rsidRPr="004D0075" w:rsidRDefault="007461C4" w:rsidP="006C7173">
            <w:pPr>
              <w:pStyle w:val="TableText0"/>
              <w:jc w:val="center"/>
            </w:pPr>
            <w:r w:rsidRPr="004D0075">
              <w:t>GEMINI II</w:t>
            </w:r>
          </w:p>
          <w:p w14:paraId="35371A22" w14:textId="77777777" w:rsidR="007461C4" w:rsidRPr="004D0075" w:rsidRDefault="007461C4" w:rsidP="006C7173">
            <w:pPr>
              <w:pStyle w:val="TableText0"/>
              <w:jc w:val="center"/>
            </w:pPr>
          </w:p>
          <w:p w14:paraId="68B3FC97" w14:textId="409F2ABB" w:rsidR="00B6533B" w:rsidRPr="004D0075" w:rsidRDefault="007461C4" w:rsidP="006C7173">
            <w:pPr>
              <w:pStyle w:val="TableText0"/>
              <w:jc w:val="center"/>
              <w:rPr>
                <w:rFonts w:ascii="Times" w:hAnsi="Times"/>
              </w:rPr>
            </w:pPr>
            <w:r w:rsidRPr="004D0075">
              <w:t>NCT00783692</w:t>
            </w:r>
          </w:p>
        </w:tc>
        <w:tc>
          <w:tcPr>
            <w:tcW w:w="2803" w:type="pct"/>
            <w:tcBorders>
              <w:bottom w:val="nil"/>
            </w:tcBorders>
            <w:vAlign w:val="center"/>
          </w:tcPr>
          <w:p w14:paraId="5BEE2D95" w14:textId="6FFA5613" w:rsidR="00B6533B" w:rsidRPr="004D0075" w:rsidRDefault="005C6666" w:rsidP="006C7173">
            <w:pPr>
              <w:pStyle w:val="TableText0"/>
              <w:rPr>
                <w:rFonts w:ascii="Times" w:hAnsi="Times"/>
              </w:rPr>
            </w:pPr>
            <w:r w:rsidRPr="004D0075">
              <w:rPr>
                <w:rFonts w:eastAsia="OTNEJMQuadraat"/>
              </w:rPr>
              <w:t>Vedolizumab as Induction and Maintenance Therapy for Crohn’s Disease</w:t>
            </w:r>
          </w:p>
        </w:tc>
        <w:tc>
          <w:tcPr>
            <w:tcW w:w="1402" w:type="pct"/>
            <w:tcBorders>
              <w:bottom w:val="nil"/>
            </w:tcBorders>
            <w:vAlign w:val="center"/>
          </w:tcPr>
          <w:p w14:paraId="5B578937" w14:textId="105ECA7C" w:rsidR="00B6533B" w:rsidRPr="004D0075" w:rsidRDefault="00E93FFC" w:rsidP="006C7173">
            <w:pPr>
              <w:pStyle w:val="TableText0"/>
              <w:jc w:val="center"/>
            </w:pPr>
            <w:r w:rsidRPr="004D0075">
              <w:t>22 August 2013</w:t>
            </w:r>
          </w:p>
        </w:tc>
      </w:tr>
      <w:tr w:rsidR="00C1144E" w:rsidRPr="004D0075" w14:paraId="650DDFCA" w14:textId="77777777" w:rsidTr="006C7173">
        <w:trPr>
          <w:cantSplit/>
        </w:trPr>
        <w:tc>
          <w:tcPr>
            <w:tcW w:w="795" w:type="pct"/>
            <w:vMerge/>
            <w:tcBorders>
              <w:bottom w:val="single" w:sz="4" w:space="0" w:color="auto"/>
            </w:tcBorders>
            <w:vAlign w:val="center"/>
          </w:tcPr>
          <w:p w14:paraId="237B0651" w14:textId="77777777" w:rsidR="00C1144E" w:rsidRPr="004D0075" w:rsidRDefault="00C1144E" w:rsidP="006C7173">
            <w:pPr>
              <w:pStyle w:val="TableText0"/>
              <w:jc w:val="center"/>
            </w:pPr>
          </w:p>
        </w:tc>
        <w:tc>
          <w:tcPr>
            <w:tcW w:w="2803" w:type="pct"/>
            <w:tcBorders>
              <w:top w:val="nil"/>
              <w:bottom w:val="single" w:sz="4" w:space="0" w:color="auto"/>
            </w:tcBorders>
            <w:vAlign w:val="center"/>
          </w:tcPr>
          <w:p w14:paraId="41AE0487" w14:textId="4C851596" w:rsidR="00C1144E" w:rsidRPr="004D0075" w:rsidRDefault="00C1144E" w:rsidP="006C7173">
            <w:pPr>
              <w:pStyle w:val="TableText0"/>
            </w:pPr>
            <w:r w:rsidRPr="004D0075">
              <w:t>Sandborn, W J et al.</w:t>
            </w:r>
          </w:p>
        </w:tc>
        <w:tc>
          <w:tcPr>
            <w:tcW w:w="1402" w:type="pct"/>
            <w:tcBorders>
              <w:top w:val="nil"/>
              <w:bottom w:val="single" w:sz="4" w:space="0" w:color="auto"/>
            </w:tcBorders>
            <w:vAlign w:val="center"/>
          </w:tcPr>
          <w:p w14:paraId="4BF0843C" w14:textId="2899FBED" w:rsidR="00C1144E" w:rsidRPr="004D0075" w:rsidRDefault="00E93FFC" w:rsidP="006C7173">
            <w:pPr>
              <w:pStyle w:val="TableText0"/>
              <w:jc w:val="center"/>
            </w:pPr>
            <w:r w:rsidRPr="004D0075">
              <w:t xml:space="preserve">New England Journal of Medicine, </w:t>
            </w:r>
            <w:r w:rsidR="003955AE" w:rsidRPr="004D0075">
              <w:t>2013</w:t>
            </w:r>
            <w:r w:rsidR="00C1144E" w:rsidRPr="004D0075">
              <w:t xml:space="preserve">; </w:t>
            </w:r>
            <w:r w:rsidR="003955AE" w:rsidRPr="004D0075">
              <w:t>369</w:t>
            </w:r>
            <w:r w:rsidR="00C1144E" w:rsidRPr="004D0075">
              <w:t>(</w:t>
            </w:r>
            <w:r w:rsidR="003955AE" w:rsidRPr="004D0075">
              <w:t>8</w:t>
            </w:r>
            <w:r w:rsidR="00C1144E" w:rsidRPr="004D0075">
              <w:t xml:space="preserve">): </w:t>
            </w:r>
            <w:r w:rsidR="00451E0F" w:rsidRPr="004D0075">
              <w:t>711-721</w:t>
            </w:r>
          </w:p>
        </w:tc>
      </w:tr>
    </w:tbl>
    <w:p w14:paraId="0D78E536" w14:textId="64629690" w:rsidR="00B6533B" w:rsidRPr="004D0075" w:rsidRDefault="00B6533B" w:rsidP="00B6533B">
      <w:pPr>
        <w:pStyle w:val="FooterTableFigure"/>
        <w:rPr>
          <w:sz w:val="20"/>
        </w:rPr>
      </w:pPr>
      <w:r w:rsidRPr="004D0075">
        <w:t>Source:</w:t>
      </w:r>
      <w:r w:rsidR="00D93BA1" w:rsidRPr="004D0075">
        <w:t xml:space="preserve"> Table 2-4, p</w:t>
      </w:r>
      <w:r w:rsidR="00A73C5F" w:rsidRPr="004D0075">
        <w:t>38</w:t>
      </w:r>
      <w:r w:rsidR="00D93BA1" w:rsidRPr="004D0075">
        <w:t xml:space="preserve"> of the submission</w:t>
      </w:r>
      <w:r w:rsidR="0002700B" w:rsidRPr="004D0075">
        <w:t xml:space="preserve"> and</w:t>
      </w:r>
      <w:r w:rsidRPr="004D0075">
        <w:t xml:space="preserve"> Table</w:t>
      </w:r>
      <w:r w:rsidR="00D93BA1" w:rsidRPr="004D0075">
        <w:t xml:space="preserve"> 2-42, </w:t>
      </w:r>
      <w:r w:rsidRPr="004D0075">
        <w:t>p</w:t>
      </w:r>
      <w:r w:rsidR="00D93BA1" w:rsidRPr="004D0075">
        <w:t xml:space="preserve"> </w:t>
      </w:r>
      <w:r w:rsidR="00E27BEE" w:rsidRPr="004D0075">
        <w:t>68</w:t>
      </w:r>
      <w:r w:rsidRPr="004D0075">
        <w:t xml:space="preserve"> of the submission.</w:t>
      </w:r>
    </w:p>
    <w:bookmarkEnd w:id="1"/>
    <w:p w14:paraId="402A7776" w14:textId="211A1348" w:rsidR="00C27C1C" w:rsidRPr="00F91A6A" w:rsidRDefault="00C27C1C" w:rsidP="00560340">
      <w:pPr>
        <w:pStyle w:val="4-SubsectionHeading"/>
        <w:keepLines/>
        <w:rPr>
          <w:iCs/>
          <w:lang w:eastAsia="en-US"/>
        </w:rPr>
      </w:pPr>
      <w:r w:rsidRPr="00F91A6A">
        <w:rPr>
          <w:iCs/>
          <w:lang w:eastAsia="en-US"/>
        </w:rPr>
        <w:t>Comparative effectiveness</w:t>
      </w:r>
      <w:r w:rsidR="007B6AFC" w:rsidRPr="00F91A6A">
        <w:rPr>
          <w:iCs/>
          <w:lang w:eastAsia="en-US"/>
        </w:rPr>
        <w:t xml:space="preserve"> &amp; harms</w:t>
      </w:r>
    </w:p>
    <w:p w14:paraId="0A5622D5" w14:textId="3C477DC5" w:rsidR="00AE620A" w:rsidRPr="004D0075" w:rsidRDefault="007035E8" w:rsidP="00560340">
      <w:pPr>
        <w:pStyle w:val="3-BodyText"/>
        <w:keepNext/>
        <w:keepLines/>
        <w:rPr>
          <w:lang w:eastAsia="en-US"/>
        </w:rPr>
      </w:pPr>
      <w:r w:rsidRPr="004D0075">
        <w:rPr>
          <w:lang w:eastAsia="en-US"/>
        </w:rPr>
        <w:t xml:space="preserve">The </w:t>
      </w:r>
      <w:r w:rsidR="0058373E" w:rsidRPr="004D0075">
        <w:rPr>
          <w:lang w:eastAsia="en-US"/>
        </w:rPr>
        <w:t xml:space="preserve">submission claimed </w:t>
      </w:r>
      <w:r w:rsidR="00F37415" w:rsidRPr="004D0075">
        <w:rPr>
          <w:lang w:eastAsia="en-US"/>
        </w:rPr>
        <w:t>that</w:t>
      </w:r>
      <w:r w:rsidR="0058373E" w:rsidRPr="004D0075">
        <w:rPr>
          <w:lang w:eastAsia="en-US"/>
        </w:rPr>
        <w:t xml:space="preserve"> </w:t>
      </w:r>
      <w:r w:rsidR="001C0A6B" w:rsidRPr="004D0075">
        <w:rPr>
          <w:lang w:eastAsia="en-US"/>
        </w:rPr>
        <w:t xml:space="preserve">both the </w:t>
      </w:r>
      <w:r w:rsidRPr="004D0075">
        <w:rPr>
          <w:lang w:eastAsia="en-US"/>
        </w:rPr>
        <w:t xml:space="preserve">GEMINI I </w:t>
      </w:r>
      <w:r w:rsidR="001C0A6B" w:rsidRPr="004D0075">
        <w:rPr>
          <w:lang w:eastAsia="en-US"/>
        </w:rPr>
        <w:t xml:space="preserve">and II </w:t>
      </w:r>
      <w:r w:rsidRPr="004D0075">
        <w:rPr>
          <w:lang w:eastAsia="en-US"/>
        </w:rPr>
        <w:t>trial</w:t>
      </w:r>
      <w:r w:rsidR="001C0A6B" w:rsidRPr="004D0075">
        <w:rPr>
          <w:lang w:eastAsia="en-US"/>
        </w:rPr>
        <w:t>s</w:t>
      </w:r>
      <w:r w:rsidRPr="004D0075">
        <w:rPr>
          <w:lang w:eastAsia="en-US"/>
        </w:rPr>
        <w:t xml:space="preserve"> </w:t>
      </w:r>
      <w:r w:rsidR="00ED20CE" w:rsidRPr="004D0075">
        <w:rPr>
          <w:lang w:eastAsia="en-US"/>
        </w:rPr>
        <w:t>found</w:t>
      </w:r>
      <w:r w:rsidRPr="004D0075">
        <w:rPr>
          <w:lang w:eastAsia="en-US"/>
        </w:rPr>
        <w:t xml:space="preserve"> no</w:t>
      </w:r>
      <w:r w:rsidR="007D1BD5" w:rsidRPr="004D0075">
        <w:rPr>
          <w:lang w:eastAsia="en-US"/>
        </w:rPr>
        <w:t xml:space="preserve"> statistically significant difference between Q4W and Q8W </w:t>
      </w:r>
      <w:r w:rsidR="00A07338">
        <w:rPr>
          <w:lang w:eastAsia="en-US"/>
        </w:rPr>
        <w:t xml:space="preserve">maintenance treatment </w:t>
      </w:r>
      <w:r w:rsidR="007D1BD5" w:rsidRPr="004D0075">
        <w:rPr>
          <w:lang w:eastAsia="en-US"/>
        </w:rPr>
        <w:t>for clinical remission at week 52</w:t>
      </w:r>
      <w:r w:rsidR="001C0A6B" w:rsidRPr="004D0075">
        <w:rPr>
          <w:lang w:eastAsia="en-US"/>
        </w:rPr>
        <w:t xml:space="preserve"> in terms of </w:t>
      </w:r>
      <w:r w:rsidR="0058373E" w:rsidRPr="004D0075">
        <w:rPr>
          <w:lang w:eastAsia="en-US"/>
        </w:rPr>
        <w:t>clinical response, mucosal healing, clinical remission and corticosteroid-free remission.</w:t>
      </w:r>
      <w:r w:rsidR="008E513A" w:rsidRPr="004D0075" w:rsidDel="008E513A">
        <w:rPr>
          <w:lang w:eastAsia="en-US"/>
        </w:rPr>
        <w:t xml:space="preserve"> </w:t>
      </w:r>
      <w:r w:rsidR="008E513A" w:rsidRPr="004D0075">
        <w:rPr>
          <w:lang w:eastAsia="en-US"/>
        </w:rPr>
        <w:t>T</w:t>
      </w:r>
      <w:r w:rsidR="001C0A6B" w:rsidRPr="004D0075">
        <w:rPr>
          <w:lang w:eastAsia="en-US"/>
        </w:rPr>
        <w:t>hese trials were designed to compare active treatment with placebo; they were not powered to formally test superiority or equivalence between Q4W and Q8W</w:t>
      </w:r>
      <w:r w:rsidR="007A3E9B">
        <w:rPr>
          <w:lang w:eastAsia="en-US"/>
        </w:rPr>
        <w:t xml:space="preserve"> treatment</w:t>
      </w:r>
      <w:r w:rsidR="001C0A6B" w:rsidRPr="004D0075">
        <w:rPr>
          <w:lang w:eastAsia="en-US"/>
        </w:rPr>
        <w:t xml:space="preserve">, nor to evaluate dose escalation in patients </w:t>
      </w:r>
      <w:r w:rsidR="007A3E9B">
        <w:rPr>
          <w:lang w:eastAsia="en-US"/>
        </w:rPr>
        <w:t>not showing an adequate response to</w:t>
      </w:r>
      <w:r w:rsidR="001C0A6B" w:rsidRPr="004D0075">
        <w:rPr>
          <w:lang w:eastAsia="en-US"/>
        </w:rPr>
        <w:t xml:space="preserve"> Q8W</w:t>
      </w:r>
      <w:r w:rsidR="007A3E9B">
        <w:rPr>
          <w:lang w:eastAsia="en-US"/>
        </w:rPr>
        <w:t xml:space="preserve"> treatment</w:t>
      </w:r>
      <w:r w:rsidR="001C0A6B" w:rsidRPr="004D0075">
        <w:rPr>
          <w:lang w:eastAsia="en-US"/>
        </w:rPr>
        <w:t xml:space="preserve">. The justification for escalation therefore relies on the observed parity of Q4W and Q8W in maintenance responders and on </w:t>
      </w:r>
      <w:r w:rsidR="002876B6" w:rsidRPr="004D0075">
        <w:rPr>
          <w:lang w:eastAsia="en-US"/>
        </w:rPr>
        <w:t xml:space="preserve">the </w:t>
      </w:r>
      <w:r w:rsidR="001C0A6B" w:rsidRPr="004D0075">
        <w:rPr>
          <w:lang w:eastAsia="en-US"/>
        </w:rPr>
        <w:t>clinical practice</w:t>
      </w:r>
      <w:r w:rsidR="00C669BD" w:rsidRPr="004D0075">
        <w:rPr>
          <w:lang w:eastAsia="en-US"/>
        </w:rPr>
        <w:t xml:space="preserve"> demonstrated via the Access Program</w:t>
      </w:r>
      <w:r w:rsidR="001C0A6B" w:rsidRPr="004D0075" w:rsidDel="00C669BD">
        <w:rPr>
          <w:lang w:eastAsia="en-US"/>
        </w:rPr>
        <w:t>,</w:t>
      </w:r>
      <w:r w:rsidR="001C0A6B" w:rsidRPr="004D0075">
        <w:rPr>
          <w:lang w:eastAsia="en-US"/>
        </w:rPr>
        <w:t xml:space="preserve"> rather than on a dedicated randomised trial of escalation.</w:t>
      </w:r>
    </w:p>
    <w:p w14:paraId="3429917A" w14:textId="7B4CED77" w:rsidR="00583535" w:rsidRDefault="00583535" w:rsidP="00583535">
      <w:pPr>
        <w:pStyle w:val="3-BodyText"/>
        <w:rPr>
          <w:lang w:eastAsia="en-US"/>
        </w:rPr>
      </w:pPr>
      <w:r w:rsidRPr="004D0075">
        <w:rPr>
          <w:lang w:eastAsia="en-US"/>
        </w:rPr>
        <w:t xml:space="preserve">The submission </w:t>
      </w:r>
      <w:r w:rsidR="0036587B" w:rsidRPr="004D0075">
        <w:rPr>
          <w:lang w:eastAsia="en-US"/>
        </w:rPr>
        <w:t>stated</w:t>
      </w:r>
      <w:r w:rsidRPr="004D0075">
        <w:rPr>
          <w:lang w:eastAsia="en-US"/>
        </w:rPr>
        <w:t xml:space="preserve"> t</w:t>
      </w:r>
      <w:r w:rsidR="00D40A63" w:rsidRPr="004D0075">
        <w:rPr>
          <w:lang w:eastAsia="en-US"/>
        </w:rPr>
        <w:t>hat both the GEMINI I and</w:t>
      </w:r>
      <w:r w:rsidRPr="004D0075">
        <w:rPr>
          <w:lang w:eastAsia="en-US"/>
        </w:rPr>
        <w:t xml:space="preserve"> GEMINI II trial</w:t>
      </w:r>
      <w:r w:rsidR="00D40A63" w:rsidRPr="004D0075">
        <w:rPr>
          <w:lang w:eastAsia="en-US"/>
        </w:rPr>
        <w:t>s</w:t>
      </w:r>
      <w:r w:rsidRPr="004D0075">
        <w:rPr>
          <w:lang w:eastAsia="en-US"/>
        </w:rPr>
        <w:t xml:space="preserve"> concluded that ther</w:t>
      </w:r>
      <w:r w:rsidR="00FB663D" w:rsidRPr="004D0075">
        <w:rPr>
          <w:lang w:eastAsia="en-US"/>
        </w:rPr>
        <w:t>e were no statistically significant differences between Q4W and Q8W</w:t>
      </w:r>
      <w:r w:rsidR="00AA05CF">
        <w:rPr>
          <w:lang w:eastAsia="en-US"/>
        </w:rPr>
        <w:t xml:space="preserve"> maintenance</w:t>
      </w:r>
      <w:r w:rsidR="007C7845" w:rsidRPr="004D0075">
        <w:rPr>
          <w:lang w:eastAsia="en-US"/>
        </w:rPr>
        <w:t xml:space="preserve"> in the occurrence of adverse events (AEs), drug related AEs</w:t>
      </w:r>
      <w:r w:rsidR="005D222B" w:rsidRPr="004D0075">
        <w:rPr>
          <w:lang w:eastAsia="en-US"/>
        </w:rPr>
        <w:t xml:space="preserve">, serious infectious AEs </w:t>
      </w:r>
      <w:r w:rsidR="0047161D" w:rsidRPr="004D0075">
        <w:rPr>
          <w:lang w:eastAsia="en-US"/>
        </w:rPr>
        <w:t xml:space="preserve">(SAEs) </w:t>
      </w:r>
      <w:r w:rsidR="005D222B" w:rsidRPr="004D0075">
        <w:rPr>
          <w:lang w:eastAsia="en-US"/>
        </w:rPr>
        <w:t xml:space="preserve">and drug-related </w:t>
      </w:r>
      <w:r w:rsidR="0047161D" w:rsidRPr="004D0075">
        <w:rPr>
          <w:lang w:eastAsia="en-US"/>
        </w:rPr>
        <w:t>SAEs</w:t>
      </w:r>
      <w:r w:rsidR="007C7845" w:rsidRPr="004D0075">
        <w:rPr>
          <w:lang w:eastAsia="en-US"/>
        </w:rPr>
        <w:t>.</w:t>
      </w:r>
    </w:p>
    <w:p w14:paraId="2CDF3682" w14:textId="77777777" w:rsidR="00C27C1C" w:rsidRPr="00F91A6A" w:rsidRDefault="00C27C1C" w:rsidP="00C27C1C">
      <w:pPr>
        <w:pStyle w:val="4-SubsectionHeading"/>
        <w:rPr>
          <w:iCs/>
          <w:lang w:eastAsia="en-US"/>
        </w:rPr>
      </w:pPr>
      <w:r w:rsidRPr="00F91A6A">
        <w:rPr>
          <w:iCs/>
          <w:lang w:eastAsia="en-US"/>
        </w:rPr>
        <w:t>Clinical claim</w:t>
      </w:r>
    </w:p>
    <w:p w14:paraId="0D2FC584" w14:textId="0D8FBF73" w:rsidR="00630EC1" w:rsidRDefault="00C27C1C" w:rsidP="00630EC1">
      <w:pPr>
        <w:pStyle w:val="3-BodyText"/>
      </w:pPr>
      <w:r w:rsidRPr="004D0075">
        <w:t xml:space="preserve">The submission claimed non-inferior comparative effectiveness and non-inferior comparative safety of </w:t>
      </w:r>
      <w:r w:rsidR="002C0C50" w:rsidRPr="004D0075">
        <w:t>Q4W</w:t>
      </w:r>
      <w:r w:rsidRPr="004D0075">
        <w:t xml:space="preserve"> </w:t>
      </w:r>
      <w:r w:rsidR="002F2E4C">
        <w:t xml:space="preserve">maintenance </w:t>
      </w:r>
      <w:r w:rsidRPr="004D0075">
        <w:t xml:space="preserve">compared with </w:t>
      </w:r>
      <w:r w:rsidR="002C0C50" w:rsidRPr="004D0075">
        <w:t>Q8W</w:t>
      </w:r>
      <w:r w:rsidR="002F2E4C">
        <w:t xml:space="preserve"> maintenance</w:t>
      </w:r>
      <w:r w:rsidR="00CF31BD" w:rsidRPr="004D0075">
        <w:t xml:space="preserve"> for patients who achieved a clinical response to induction therapy</w:t>
      </w:r>
      <w:r w:rsidRPr="004D0075">
        <w:t>.</w:t>
      </w:r>
    </w:p>
    <w:p w14:paraId="2BC838AD" w14:textId="09F073D2" w:rsidR="00121A1B" w:rsidRDefault="00192F47" w:rsidP="00121A1B">
      <w:pPr>
        <w:pStyle w:val="3-BodyText"/>
      </w:pPr>
      <w:r>
        <w:rPr>
          <w:lang w:eastAsia="en-US"/>
        </w:rPr>
        <w:t>The PBAC considered the claim of non-inferior comparative effectiveness was adequately supported by data</w:t>
      </w:r>
      <w:r w:rsidR="00995DBE">
        <w:rPr>
          <w:lang w:eastAsia="en-US"/>
        </w:rPr>
        <w:t xml:space="preserve"> for patien</w:t>
      </w:r>
      <w:r w:rsidR="00225CC0">
        <w:rPr>
          <w:lang w:eastAsia="en-US"/>
        </w:rPr>
        <w:t xml:space="preserve">ts </w:t>
      </w:r>
      <w:r w:rsidR="00F71B1A">
        <w:rPr>
          <w:lang w:eastAsia="en-US"/>
        </w:rPr>
        <w:t xml:space="preserve">who have </w:t>
      </w:r>
      <w:r w:rsidR="00225CC0">
        <w:rPr>
          <w:lang w:eastAsia="en-US"/>
        </w:rPr>
        <w:t>responded to induction therapy</w:t>
      </w:r>
      <w:r w:rsidR="00121A1B">
        <w:rPr>
          <w:lang w:eastAsia="en-US"/>
        </w:rPr>
        <w:t xml:space="preserve"> (induction responders)</w:t>
      </w:r>
      <w:r w:rsidR="00385128">
        <w:rPr>
          <w:lang w:eastAsia="en-US"/>
        </w:rPr>
        <w:t xml:space="preserve"> and were not or would not be Q8W ineligible. </w:t>
      </w:r>
      <w:r w:rsidR="007E7C8B">
        <w:rPr>
          <w:lang w:eastAsia="en-US"/>
        </w:rPr>
        <w:t xml:space="preserve">The PBAC noted that evidence comparing </w:t>
      </w:r>
      <w:r w:rsidR="00121A1B" w:rsidRPr="004D0075">
        <w:t xml:space="preserve">Q8W treatment to Q4W treatment in </w:t>
      </w:r>
      <w:r w:rsidR="00121A1B">
        <w:t>induction responders</w:t>
      </w:r>
      <w:r w:rsidR="00121A1B" w:rsidRPr="004D0075">
        <w:t xml:space="preserve"> who have </w:t>
      </w:r>
      <w:r w:rsidR="00545871">
        <w:t>demonstrated</w:t>
      </w:r>
      <w:r w:rsidR="00121A1B" w:rsidRPr="004D0075">
        <w:t xml:space="preserve"> a loss of </w:t>
      </w:r>
      <w:r w:rsidR="00545871">
        <w:t xml:space="preserve">adequate </w:t>
      </w:r>
      <w:r w:rsidR="00121A1B" w:rsidRPr="004D0075">
        <w:t xml:space="preserve">response </w:t>
      </w:r>
      <w:r w:rsidR="00545871">
        <w:t>to</w:t>
      </w:r>
      <w:r w:rsidR="00121A1B" w:rsidRPr="004D0075">
        <w:t xml:space="preserve"> Q8W </w:t>
      </w:r>
      <w:r w:rsidR="00545871" w:rsidRPr="004D0075">
        <w:t xml:space="preserve">treatment </w:t>
      </w:r>
      <w:r w:rsidR="007E7C8B">
        <w:t>has not been presented</w:t>
      </w:r>
      <w:r w:rsidR="00121A1B" w:rsidRPr="004D0075">
        <w:t>.</w:t>
      </w:r>
    </w:p>
    <w:p w14:paraId="7583E681" w14:textId="2B51022F" w:rsidR="00192F47" w:rsidRDefault="003B08D6" w:rsidP="00192F47">
      <w:pPr>
        <w:pStyle w:val="3-BodyText"/>
        <w:rPr>
          <w:lang w:eastAsia="en-US"/>
        </w:rPr>
      </w:pPr>
      <w:r>
        <w:rPr>
          <w:lang w:eastAsia="en-US"/>
        </w:rPr>
        <w:t xml:space="preserve"> The PBAC noted that </w:t>
      </w:r>
      <w:r w:rsidR="00B6107C">
        <w:rPr>
          <w:lang w:eastAsia="en-US"/>
        </w:rPr>
        <w:t xml:space="preserve">it was unclear whether </w:t>
      </w:r>
      <w:r>
        <w:rPr>
          <w:lang w:eastAsia="en-US"/>
        </w:rPr>
        <w:t xml:space="preserve">the proposed population in the submission </w:t>
      </w:r>
      <w:r w:rsidR="005733D5">
        <w:rPr>
          <w:lang w:eastAsia="en-US"/>
        </w:rPr>
        <w:t>aligned with the GEMINI I and GEMINI II trial</w:t>
      </w:r>
      <w:r w:rsidR="00BF51B0">
        <w:rPr>
          <w:lang w:eastAsia="en-US"/>
        </w:rPr>
        <w:t xml:space="preserve">s. The PBAC identified that the response criteria in </w:t>
      </w:r>
      <w:r w:rsidR="002F38BC">
        <w:rPr>
          <w:lang w:eastAsia="en-US"/>
        </w:rPr>
        <w:t>the</w:t>
      </w:r>
      <w:r w:rsidR="00BF51B0">
        <w:rPr>
          <w:lang w:eastAsia="en-US"/>
        </w:rPr>
        <w:t xml:space="preserve"> trials d</w:t>
      </w:r>
      <w:r w:rsidR="002F38BC">
        <w:rPr>
          <w:lang w:eastAsia="en-US"/>
        </w:rPr>
        <w:t>id</w:t>
      </w:r>
      <w:r w:rsidR="00BF51B0">
        <w:rPr>
          <w:lang w:eastAsia="en-US"/>
        </w:rPr>
        <w:t xml:space="preserve"> </w:t>
      </w:r>
      <w:r w:rsidR="00733C19">
        <w:rPr>
          <w:lang w:eastAsia="en-US"/>
        </w:rPr>
        <w:t>not align</w:t>
      </w:r>
      <w:r w:rsidR="00BF51B0">
        <w:rPr>
          <w:lang w:eastAsia="en-US"/>
        </w:rPr>
        <w:t xml:space="preserve"> with PBS response criteria, and </w:t>
      </w:r>
      <w:r w:rsidR="00B17113">
        <w:rPr>
          <w:lang w:eastAsia="en-US"/>
        </w:rPr>
        <w:t>added that, in clinical practice,</w:t>
      </w:r>
      <w:r w:rsidR="00881E6F">
        <w:rPr>
          <w:lang w:eastAsia="en-US"/>
        </w:rPr>
        <w:t xml:space="preserve"> there is a </w:t>
      </w:r>
      <w:r w:rsidR="007E7C8B">
        <w:rPr>
          <w:lang w:eastAsia="en-US"/>
        </w:rPr>
        <w:t xml:space="preserve">high </w:t>
      </w:r>
      <w:r w:rsidR="00737C1A">
        <w:rPr>
          <w:lang w:eastAsia="en-US"/>
        </w:rPr>
        <w:t>risk of</w:t>
      </w:r>
      <w:r w:rsidR="00B17113">
        <w:rPr>
          <w:lang w:eastAsia="en-US"/>
        </w:rPr>
        <w:t xml:space="preserve"> </w:t>
      </w:r>
      <w:r w:rsidR="007E7C8B">
        <w:rPr>
          <w:lang w:eastAsia="en-US"/>
        </w:rPr>
        <w:t xml:space="preserve">Q8W </w:t>
      </w:r>
      <w:r w:rsidR="00B17113">
        <w:rPr>
          <w:lang w:eastAsia="en-US"/>
        </w:rPr>
        <w:t xml:space="preserve">non-responders </w:t>
      </w:r>
      <w:r w:rsidR="00737C1A">
        <w:rPr>
          <w:lang w:eastAsia="en-US"/>
        </w:rPr>
        <w:t xml:space="preserve">escalating </w:t>
      </w:r>
      <w:r w:rsidR="00B17113">
        <w:rPr>
          <w:lang w:eastAsia="en-US"/>
        </w:rPr>
        <w:t>to Q4W treatment.</w:t>
      </w:r>
    </w:p>
    <w:p w14:paraId="2F874695" w14:textId="4330F056" w:rsidR="00192F47" w:rsidRDefault="00192F47" w:rsidP="00192F47">
      <w:pPr>
        <w:pStyle w:val="3-BodyText"/>
        <w:rPr>
          <w:lang w:eastAsia="en-US"/>
        </w:rPr>
      </w:pPr>
      <w:r>
        <w:rPr>
          <w:lang w:eastAsia="en-US"/>
        </w:rPr>
        <w:lastRenderedPageBreak/>
        <w:t>The PBAC considered that the claim of non-inferior comparative safety was reasonable.</w:t>
      </w:r>
    </w:p>
    <w:p w14:paraId="45D181E4" w14:textId="3292A476" w:rsidR="00C27C1C" w:rsidRPr="00F91A6A" w:rsidRDefault="00C27C1C" w:rsidP="00C27C1C">
      <w:pPr>
        <w:pStyle w:val="4-SubsectionHeading"/>
        <w:rPr>
          <w:iCs/>
          <w:lang w:eastAsia="en-US"/>
        </w:rPr>
      </w:pPr>
      <w:r w:rsidRPr="00F91A6A">
        <w:rPr>
          <w:iCs/>
          <w:lang w:eastAsia="en-US"/>
        </w:rPr>
        <w:t>Economic analysis</w:t>
      </w:r>
    </w:p>
    <w:p w14:paraId="594FCBFC" w14:textId="2028DBD4" w:rsidR="00C27C1C" w:rsidRPr="004D0075" w:rsidRDefault="00C27C1C" w:rsidP="00415D1C">
      <w:pPr>
        <w:pStyle w:val="3-BodyText"/>
        <w:rPr>
          <w:rFonts w:cstheme="minorHAnsi"/>
          <w:szCs w:val="24"/>
        </w:rPr>
      </w:pPr>
      <w:r w:rsidRPr="004D0075">
        <w:t xml:space="preserve">As a Category 3 submission, the economic analysis </w:t>
      </w:r>
      <w:r w:rsidR="00733C19">
        <w:t>was</w:t>
      </w:r>
      <w:r w:rsidR="00733C19" w:rsidRPr="004D0075">
        <w:t xml:space="preserve"> </w:t>
      </w:r>
      <w:r w:rsidRPr="004D0075">
        <w:t>not independently evaluated.</w:t>
      </w:r>
    </w:p>
    <w:p w14:paraId="437BCC3D" w14:textId="5FD1874E" w:rsidR="00AF34D4" w:rsidRPr="004D0075" w:rsidRDefault="2F649281" w:rsidP="00560340">
      <w:pPr>
        <w:pStyle w:val="3-BodyText"/>
        <w:keepNext/>
        <w:keepLines/>
        <w:rPr>
          <w:szCs w:val="24"/>
        </w:rPr>
      </w:pPr>
      <w:r w:rsidRPr="004D0075">
        <w:t xml:space="preserve">The </w:t>
      </w:r>
      <w:r w:rsidR="0D562056" w:rsidRPr="004D0075">
        <w:t xml:space="preserve">submission presented a </w:t>
      </w:r>
      <w:r w:rsidR="000702E9">
        <w:t>cost-minimisation approach (</w:t>
      </w:r>
      <w:r w:rsidR="00AF34D4" w:rsidRPr="004D0075">
        <w:t>CMA</w:t>
      </w:r>
      <w:r w:rsidR="000702E9">
        <w:t>)</w:t>
      </w:r>
      <w:r w:rsidR="00C93E78" w:rsidRPr="004D0075">
        <w:t xml:space="preserve"> (see </w:t>
      </w:r>
      <w:r w:rsidR="00245C22" w:rsidRPr="004D0075">
        <w:fldChar w:fldCharType="begin" w:fldLock="1"/>
      </w:r>
      <w:r w:rsidR="00245C22" w:rsidRPr="004D0075">
        <w:instrText xml:space="preserve"> REF _Ref211951210 \h </w:instrText>
      </w:r>
      <w:r w:rsidR="004D0075" w:rsidRPr="004D0075">
        <w:instrText xml:space="preserve"> \* MERGEFORMAT </w:instrText>
      </w:r>
      <w:r w:rsidR="00245C22" w:rsidRPr="004D0075">
        <w:fldChar w:fldCharType="separate"/>
      </w:r>
      <w:r w:rsidR="00560340" w:rsidRPr="004D0075">
        <w:t xml:space="preserve">Table </w:t>
      </w:r>
      <w:r w:rsidR="00560340" w:rsidRPr="004D0075">
        <w:rPr>
          <w:noProof/>
        </w:rPr>
        <w:t>2</w:t>
      </w:r>
      <w:r w:rsidR="00245C22" w:rsidRPr="004D0075">
        <w:fldChar w:fldCharType="end"/>
      </w:r>
      <w:r w:rsidR="00C93E78" w:rsidRPr="004D0075">
        <w:t>)</w:t>
      </w:r>
      <w:r w:rsidR="747E9E27" w:rsidRPr="004D0075">
        <w:t xml:space="preserve"> that</w:t>
      </w:r>
      <w:r w:rsidR="272F06DB" w:rsidRPr="004D0075">
        <w:t xml:space="preserve"> include</w:t>
      </w:r>
      <w:r w:rsidR="00A871D2" w:rsidRPr="004D0075">
        <w:t>s</w:t>
      </w:r>
      <w:r w:rsidR="272F06DB" w:rsidRPr="004D0075">
        <w:t xml:space="preserve"> a </w:t>
      </w:r>
      <w:r w:rsidR="4CC14A5B" w:rsidRPr="004D0075">
        <w:t>S</w:t>
      </w:r>
      <w:r w:rsidR="41AAD806" w:rsidRPr="004D0075">
        <w:t>PA</w:t>
      </w:r>
      <w:r w:rsidR="272F06DB" w:rsidRPr="004D0075">
        <w:t xml:space="preserve"> rebate of</w:t>
      </w:r>
      <w:r w:rsidR="747E9E27" w:rsidRPr="004D0075">
        <w:t xml:space="preserve"> </w:t>
      </w:r>
      <w:r w:rsidR="001E447D" w:rsidRPr="001E447D">
        <w:rPr>
          <w:highlight w:val="black"/>
        </w:rPr>
        <w:t>@@@@</w:t>
      </w:r>
      <w:r w:rsidR="610666A7" w:rsidRPr="004D0075">
        <w:t xml:space="preserve">% of </w:t>
      </w:r>
      <w:r w:rsidR="747E9E27" w:rsidRPr="004D0075">
        <w:t xml:space="preserve">the cost of </w:t>
      </w:r>
      <w:r w:rsidR="00CC64CA" w:rsidRPr="004D0075">
        <w:t xml:space="preserve">additional </w:t>
      </w:r>
      <w:r w:rsidR="747E9E27" w:rsidRPr="004D0075">
        <w:t xml:space="preserve">Q4W </w:t>
      </w:r>
      <w:r w:rsidR="00CC64CA" w:rsidRPr="004D0075">
        <w:t xml:space="preserve">doses </w:t>
      </w:r>
      <w:r w:rsidR="747E9E27" w:rsidRPr="004D0075">
        <w:t>minus co-payments</w:t>
      </w:r>
      <w:r w:rsidR="00E12FAD">
        <w:t>, administration costs and MBS costs,</w:t>
      </w:r>
      <w:r w:rsidR="747E9E27" w:rsidRPr="004D0075">
        <w:t xml:space="preserve"> </w:t>
      </w:r>
      <w:r w:rsidR="00D41108">
        <w:t>claiming that this would make the</w:t>
      </w:r>
      <w:r w:rsidR="747E9E27" w:rsidRPr="004D0075">
        <w:t xml:space="preserve"> PBS listing cost neutral to the PBS</w:t>
      </w:r>
      <w:r w:rsidR="227E9F36" w:rsidRPr="004D0075">
        <w:t>/RPBS</w:t>
      </w:r>
      <w:r w:rsidR="747E9E27" w:rsidRPr="004D0075">
        <w:t>.</w:t>
      </w:r>
      <w:r w:rsidR="4F62D5B4" w:rsidRPr="004D0075">
        <w:t xml:space="preserve"> </w:t>
      </w:r>
      <w:r w:rsidR="00B725EC" w:rsidRPr="004D0075">
        <w:t xml:space="preserve">The submission claimed this </w:t>
      </w:r>
      <w:r w:rsidR="0383C7CB" w:rsidRPr="004D0075">
        <w:t xml:space="preserve">was </w:t>
      </w:r>
      <w:r w:rsidR="4F62D5B4" w:rsidRPr="004D0075">
        <w:t xml:space="preserve">consistent with their proposal for </w:t>
      </w:r>
      <w:r w:rsidR="34E0DF61" w:rsidRPr="004D0075">
        <w:t xml:space="preserve">the additional dose of vedolizumab 300 mg IV at Week 10 for severe CD, </w:t>
      </w:r>
      <w:r w:rsidR="00B544F3" w:rsidRPr="004D0075">
        <w:t>considered at</w:t>
      </w:r>
      <w:r w:rsidR="34E0DF61" w:rsidRPr="004D0075">
        <w:t xml:space="preserve"> the March 2024 PBAC meeting.</w:t>
      </w:r>
    </w:p>
    <w:p w14:paraId="2754F168" w14:textId="3E8C4D47" w:rsidR="00C93E78" w:rsidRPr="004D0075" w:rsidRDefault="00C93E78" w:rsidP="00BD60CE">
      <w:pPr>
        <w:pStyle w:val="TableFigureHeading"/>
      </w:pPr>
      <w:bookmarkStart w:id="3" w:name="_Ref211951210"/>
      <w:r w:rsidRPr="004D0075">
        <w:t xml:space="preserve">Table </w:t>
      </w:r>
      <w:r w:rsidR="00774873">
        <w:fldChar w:fldCharType="begin" w:fldLock="1"/>
      </w:r>
      <w:r w:rsidR="00774873">
        <w:instrText xml:space="preserve"> SEQ Table \* ARABIC </w:instrText>
      </w:r>
      <w:r w:rsidR="00774873">
        <w:fldChar w:fldCharType="separate"/>
      </w:r>
      <w:r w:rsidR="00774873" w:rsidRPr="004D0075">
        <w:rPr>
          <w:noProof/>
        </w:rPr>
        <w:t>2</w:t>
      </w:r>
      <w:r w:rsidR="00774873">
        <w:rPr>
          <w:noProof/>
        </w:rPr>
        <w:fldChar w:fldCharType="end"/>
      </w:r>
      <w:bookmarkEnd w:id="3"/>
      <w:r w:rsidRPr="004D0075">
        <w:t>: Cost-minimisation approach</w:t>
      </w:r>
    </w:p>
    <w:tbl>
      <w:tblPr>
        <w:tblStyle w:val="TableGrid"/>
        <w:tblW w:w="0" w:type="auto"/>
        <w:tblLook w:val="04A0" w:firstRow="1" w:lastRow="0" w:firstColumn="1" w:lastColumn="0" w:noHBand="0" w:noVBand="1"/>
        <w:tblCaption w:val="Table 2: Cost-minimisation approach"/>
      </w:tblPr>
      <w:tblGrid>
        <w:gridCol w:w="2254"/>
        <w:gridCol w:w="2254"/>
        <w:gridCol w:w="2254"/>
        <w:gridCol w:w="2254"/>
      </w:tblGrid>
      <w:tr w:rsidR="00C93E78" w:rsidRPr="004D0075" w14:paraId="660DA936" w14:textId="77777777" w:rsidTr="003922A1">
        <w:tc>
          <w:tcPr>
            <w:tcW w:w="2254" w:type="dxa"/>
          </w:tcPr>
          <w:p w14:paraId="07C34694" w14:textId="77777777" w:rsidR="00C93E78" w:rsidRPr="004D0075" w:rsidRDefault="00C93E78" w:rsidP="00D458D3">
            <w:pPr>
              <w:pStyle w:val="TableText0"/>
            </w:pPr>
          </w:p>
        </w:tc>
        <w:tc>
          <w:tcPr>
            <w:tcW w:w="2254" w:type="dxa"/>
            <w:vAlign w:val="center"/>
          </w:tcPr>
          <w:p w14:paraId="697749D8" w14:textId="77777777" w:rsidR="00C93E78" w:rsidRPr="004D0075" w:rsidRDefault="00C93E78" w:rsidP="00D458D3">
            <w:pPr>
              <w:pStyle w:val="TableText0"/>
            </w:pPr>
            <w:r w:rsidRPr="004D0075">
              <w:t>Vedolizumab Q8W</w:t>
            </w:r>
          </w:p>
        </w:tc>
        <w:tc>
          <w:tcPr>
            <w:tcW w:w="2254" w:type="dxa"/>
            <w:vAlign w:val="center"/>
          </w:tcPr>
          <w:p w14:paraId="2058D882" w14:textId="77777777" w:rsidR="00C93E78" w:rsidRPr="004D0075" w:rsidRDefault="00C93E78" w:rsidP="00D458D3">
            <w:pPr>
              <w:pStyle w:val="TableText0"/>
            </w:pPr>
            <w:r w:rsidRPr="004D0075">
              <w:t>Vedolizumab Q4W</w:t>
            </w:r>
          </w:p>
        </w:tc>
        <w:tc>
          <w:tcPr>
            <w:tcW w:w="2254" w:type="dxa"/>
            <w:vAlign w:val="center"/>
          </w:tcPr>
          <w:p w14:paraId="0B76C26E" w14:textId="77777777" w:rsidR="00C93E78" w:rsidRPr="004D0075" w:rsidRDefault="00C93E78" w:rsidP="00D458D3">
            <w:pPr>
              <w:pStyle w:val="TableText0"/>
            </w:pPr>
            <w:r w:rsidRPr="004D0075">
              <w:t>Incremental</w:t>
            </w:r>
          </w:p>
        </w:tc>
      </w:tr>
      <w:tr w:rsidR="00C93E78" w:rsidRPr="004D0075" w14:paraId="5C630823" w14:textId="77777777" w:rsidTr="007E4ACF">
        <w:tc>
          <w:tcPr>
            <w:tcW w:w="9016" w:type="dxa"/>
            <w:gridSpan w:val="4"/>
            <w:shd w:val="clear" w:color="auto" w:fill="BFBFBF" w:themeFill="background1" w:themeFillShade="BF"/>
          </w:tcPr>
          <w:p w14:paraId="35215FC0" w14:textId="5D8AD151" w:rsidR="00C93E78" w:rsidRPr="004D0075" w:rsidRDefault="00C93E78" w:rsidP="00D458D3">
            <w:pPr>
              <w:pStyle w:val="TableText0"/>
            </w:pPr>
            <w:r w:rsidRPr="004D0075">
              <w:t>Severe CD</w:t>
            </w:r>
          </w:p>
        </w:tc>
      </w:tr>
      <w:tr w:rsidR="00C93E78" w:rsidRPr="004D0075" w14:paraId="42C52D07" w14:textId="77777777" w:rsidTr="003922A1">
        <w:tc>
          <w:tcPr>
            <w:tcW w:w="9016" w:type="dxa"/>
            <w:gridSpan w:val="4"/>
            <w:shd w:val="clear" w:color="auto" w:fill="F2F2F2" w:themeFill="background1" w:themeFillShade="F2"/>
          </w:tcPr>
          <w:p w14:paraId="5E3C1A2E" w14:textId="77777777" w:rsidR="00C93E78" w:rsidRPr="004D0075" w:rsidRDefault="00C93E78" w:rsidP="00D458D3">
            <w:pPr>
              <w:pStyle w:val="TableText0"/>
            </w:pPr>
            <w:r w:rsidRPr="004D0075">
              <w:t>Vedolizumab powder for injection, 300 mg</w:t>
            </w:r>
          </w:p>
        </w:tc>
      </w:tr>
      <w:tr w:rsidR="00C93E78" w:rsidRPr="004D0075" w14:paraId="7FA12AEF" w14:textId="77777777" w:rsidTr="003922A1">
        <w:tc>
          <w:tcPr>
            <w:tcW w:w="2254" w:type="dxa"/>
          </w:tcPr>
          <w:p w14:paraId="215D48FA" w14:textId="77777777" w:rsidR="00C93E78" w:rsidRPr="004D0075" w:rsidRDefault="00C93E78" w:rsidP="00D458D3">
            <w:pPr>
              <w:pStyle w:val="TableText0"/>
            </w:pPr>
            <w:r w:rsidRPr="004D0075">
              <w:t>PBS subsidised</w:t>
            </w:r>
          </w:p>
        </w:tc>
        <w:tc>
          <w:tcPr>
            <w:tcW w:w="2254" w:type="dxa"/>
            <w:vAlign w:val="center"/>
          </w:tcPr>
          <w:p w14:paraId="12C553B9" w14:textId="77777777" w:rsidR="00C93E78" w:rsidRPr="004D0075" w:rsidRDefault="00C93E78" w:rsidP="00D458D3">
            <w:pPr>
              <w:pStyle w:val="TableText0"/>
            </w:pPr>
            <w:r w:rsidRPr="004D0075">
              <w:t>13</w:t>
            </w:r>
          </w:p>
        </w:tc>
        <w:tc>
          <w:tcPr>
            <w:tcW w:w="2254" w:type="dxa"/>
            <w:vAlign w:val="center"/>
          </w:tcPr>
          <w:p w14:paraId="37299CD3" w14:textId="77777777" w:rsidR="00C93E78" w:rsidRPr="004D0075" w:rsidRDefault="00C93E78" w:rsidP="00D458D3">
            <w:pPr>
              <w:pStyle w:val="TableText0"/>
            </w:pPr>
            <w:r w:rsidRPr="004D0075">
              <w:t>13</w:t>
            </w:r>
          </w:p>
        </w:tc>
        <w:tc>
          <w:tcPr>
            <w:tcW w:w="2254" w:type="dxa"/>
            <w:vAlign w:val="center"/>
          </w:tcPr>
          <w:p w14:paraId="52722278" w14:textId="77777777" w:rsidR="00C93E78" w:rsidRPr="004D0075" w:rsidRDefault="00C93E78" w:rsidP="00D458D3">
            <w:pPr>
              <w:pStyle w:val="TableText0"/>
            </w:pPr>
            <w:r w:rsidRPr="004D0075">
              <w:t>0</w:t>
            </w:r>
          </w:p>
        </w:tc>
      </w:tr>
      <w:tr w:rsidR="00C93E78" w:rsidRPr="004D0075" w14:paraId="5F7D54C9" w14:textId="77777777" w:rsidTr="003922A1">
        <w:tc>
          <w:tcPr>
            <w:tcW w:w="2254" w:type="dxa"/>
          </w:tcPr>
          <w:p w14:paraId="64F90EC1" w14:textId="77777777" w:rsidR="00C93E78" w:rsidRPr="004D0075" w:rsidRDefault="00C93E78" w:rsidP="00D458D3">
            <w:pPr>
              <w:pStyle w:val="TableText0"/>
            </w:pPr>
            <w:r w:rsidRPr="004D0075">
              <w:t>Rebated</w:t>
            </w:r>
          </w:p>
        </w:tc>
        <w:tc>
          <w:tcPr>
            <w:tcW w:w="2254" w:type="dxa"/>
            <w:vAlign w:val="center"/>
          </w:tcPr>
          <w:p w14:paraId="41B7ECBD" w14:textId="77777777" w:rsidR="00C93E78" w:rsidRPr="004D0075" w:rsidRDefault="00C93E78" w:rsidP="00D458D3">
            <w:pPr>
              <w:pStyle w:val="TableText0"/>
            </w:pPr>
            <w:r w:rsidRPr="004D0075">
              <w:t>0</w:t>
            </w:r>
          </w:p>
        </w:tc>
        <w:tc>
          <w:tcPr>
            <w:tcW w:w="2254" w:type="dxa"/>
            <w:vAlign w:val="center"/>
          </w:tcPr>
          <w:p w14:paraId="4801D458" w14:textId="77777777" w:rsidR="00C93E78" w:rsidRPr="004D0075" w:rsidRDefault="00C93E78" w:rsidP="00D458D3">
            <w:pPr>
              <w:pStyle w:val="TableText0"/>
            </w:pPr>
            <w:r w:rsidRPr="004D0075">
              <w:t>13</w:t>
            </w:r>
          </w:p>
        </w:tc>
        <w:tc>
          <w:tcPr>
            <w:tcW w:w="2254" w:type="dxa"/>
            <w:vAlign w:val="center"/>
          </w:tcPr>
          <w:p w14:paraId="093C0AF7" w14:textId="77777777" w:rsidR="00C93E78" w:rsidRPr="004D0075" w:rsidRDefault="00C93E78" w:rsidP="00D458D3">
            <w:pPr>
              <w:pStyle w:val="TableText0"/>
            </w:pPr>
            <w:r w:rsidRPr="004D0075">
              <w:t>13</w:t>
            </w:r>
          </w:p>
        </w:tc>
      </w:tr>
      <w:tr w:rsidR="00C93E78" w:rsidRPr="004D0075" w14:paraId="076C50F1" w14:textId="77777777" w:rsidTr="003922A1">
        <w:tc>
          <w:tcPr>
            <w:tcW w:w="9016" w:type="dxa"/>
            <w:gridSpan w:val="4"/>
            <w:shd w:val="clear" w:color="auto" w:fill="F2F2F2" w:themeFill="background1" w:themeFillShade="F2"/>
          </w:tcPr>
          <w:p w14:paraId="662A7F8E" w14:textId="77777777" w:rsidR="00C93E78" w:rsidRPr="004D0075" w:rsidRDefault="00C93E78" w:rsidP="00D458D3">
            <w:pPr>
              <w:pStyle w:val="TableText0"/>
            </w:pPr>
            <w:r w:rsidRPr="004D0075">
              <w:t>AEMP per vedolizumab powder for injection, 300 mg</w:t>
            </w:r>
          </w:p>
        </w:tc>
      </w:tr>
      <w:tr w:rsidR="00C93E78" w:rsidRPr="004D0075" w14:paraId="28A2FF4B" w14:textId="77777777" w:rsidTr="003922A1">
        <w:tc>
          <w:tcPr>
            <w:tcW w:w="2254" w:type="dxa"/>
          </w:tcPr>
          <w:p w14:paraId="6169E5AC" w14:textId="77777777" w:rsidR="00C93E78" w:rsidRPr="004D0075" w:rsidRDefault="00C93E78" w:rsidP="00D458D3">
            <w:pPr>
              <w:pStyle w:val="TableText0"/>
            </w:pPr>
            <w:r w:rsidRPr="004D0075">
              <w:t>PBS subsidised</w:t>
            </w:r>
          </w:p>
        </w:tc>
        <w:tc>
          <w:tcPr>
            <w:tcW w:w="2254" w:type="dxa"/>
            <w:vAlign w:val="center"/>
          </w:tcPr>
          <w:p w14:paraId="369CD333" w14:textId="3E42BE87"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395F0B97" w14:textId="47B31A79"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0E4C8550" w14:textId="7D687B48" w:rsidR="00C93E78" w:rsidRPr="009F72D1" w:rsidRDefault="001E447D" w:rsidP="00D458D3">
            <w:pPr>
              <w:pStyle w:val="TableText0"/>
              <w:rPr>
                <w:highlight w:val="darkGray"/>
              </w:rPr>
            </w:pPr>
            <w:r w:rsidRPr="001E447D">
              <w:rPr>
                <w:highlight w:val="black"/>
              </w:rPr>
              <w:t>@@@@</w:t>
            </w:r>
          </w:p>
        </w:tc>
      </w:tr>
      <w:tr w:rsidR="00C93E78" w:rsidRPr="004D0075" w14:paraId="4B35EE08" w14:textId="77777777" w:rsidTr="003922A1">
        <w:tc>
          <w:tcPr>
            <w:tcW w:w="2254" w:type="dxa"/>
          </w:tcPr>
          <w:p w14:paraId="1028A0B0" w14:textId="77777777" w:rsidR="00C93E78" w:rsidRPr="004D0075" w:rsidRDefault="00C93E78" w:rsidP="00D458D3">
            <w:pPr>
              <w:pStyle w:val="TableText0"/>
            </w:pPr>
            <w:r w:rsidRPr="004D0075">
              <w:t xml:space="preserve">Rebated </w:t>
            </w:r>
          </w:p>
        </w:tc>
        <w:tc>
          <w:tcPr>
            <w:tcW w:w="2254" w:type="dxa"/>
            <w:vAlign w:val="center"/>
          </w:tcPr>
          <w:p w14:paraId="01A93B82" w14:textId="5A86E51A"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545CAD36" w14:textId="71B01BA1"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026DD94C" w14:textId="659E1639" w:rsidR="00C93E78" w:rsidRPr="009F72D1" w:rsidRDefault="001E447D" w:rsidP="00D458D3">
            <w:pPr>
              <w:pStyle w:val="TableText0"/>
              <w:rPr>
                <w:highlight w:val="darkGray"/>
              </w:rPr>
            </w:pPr>
            <w:r w:rsidRPr="001E447D">
              <w:rPr>
                <w:highlight w:val="black"/>
              </w:rPr>
              <w:t>@@@@</w:t>
            </w:r>
          </w:p>
        </w:tc>
      </w:tr>
      <w:tr w:rsidR="00C93E78" w:rsidRPr="004D0075" w14:paraId="7808004E" w14:textId="77777777" w:rsidTr="003922A1">
        <w:tc>
          <w:tcPr>
            <w:tcW w:w="9016" w:type="dxa"/>
            <w:gridSpan w:val="4"/>
            <w:shd w:val="clear" w:color="auto" w:fill="F2F2F2" w:themeFill="background1" w:themeFillShade="F2"/>
          </w:tcPr>
          <w:p w14:paraId="6EF9964D" w14:textId="77777777" w:rsidR="00C93E78" w:rsidRPr="004D0075" w:rsidRDefault="00C93E78" w:rsidP="00D458D3">
            <w:pPr>
              <w:pStyle w:val="TableText0"/>
            </w:pPr>
            <w:r w:rsidRPr="004D0075">
              <w:t>Cost of treatment</w:t>
            </w:r>
          </w:p>
        </w:tc>
      </w:tr>
      <w:tr w:rsidR="00C93E78" w:rsidRPr="004D0075" w14:paraId="3CFF206E" w14:textId="77777777" w:rsidTr="003922A1">
        <w:tc>
          <w:tcPr>
            <w:tcW w:w="2254" w:type="dxa"/>
          </w:tcPr>
          <w:p w14:paraId="6600A5BF" w14:textId="77777777" w:rsidR="00C93E78" w:rsidRPr="004D0075" w:rsidRDefault="00C93E78" w:rsidP="00D458D3">
            <w:pPr>
              <w:pStyle w:val="TableText0"/>
            </w:pPr>
            <w:r w:rsidRPr="004D0075">
              <w:t>PBS subsidised</w:t>
            </w:r>
          </w:p>
        </w:tc>
        <w:tc>
          <w:tcPr>
            <w:tcW w:w="2254" w:type="dxa"/>
            <w:vAlign w:val="center"/>
          </w:tcPr>
          <w:p w14:paraId="41E38281" w14:textId="0A07F06C"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50125AD7" w14:textId="086FFAE2"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6B33CAFC" w14:textId="351401D2" w:rsidR="00C93E78" w:rsidRPr="004D0075" w:rsidRDefault="00C93E78" w:rsidP="00D458D3">
            <w:pPr>
              <w:pStyle w:val="TableText0"/>
            </w:pPr>
            <w:r w:rsidRPr="004D0075">
              <w:t>$</w:t>
            </w:r>
            <w:r w:rsidR="001E447D" w:rsidRPr="001E447D">
              <w:rPr>
                <w:highlight w:val="black"/>
              </w:rPr>
              <w:t>@@@@</w:t>
            </w:r>
          </w:p>
        </w:tc>
      </w:tr>
      <w:tr w:rsidR="00C93E78" w:rsidRPr="004D0075" w14:paraId="6DC09262" w14:textId="77777777" w:rsidTr="007E4ACF">
        <w:tc>
          <w:tcPr>
            <w:tcW w:w="9016" w:type="dxa"/>
            <w:gridSpan w:val="4"/>
            <w:shd w:val="clear" w:color="auto" w:fill="BFBFBF" w:themeFill="background1" w:themeFillShade="BF"/>
          </w:tcPr>
          <w:p w14:paraId="228BF19B" w14:textId="242F4D54" w:rsidR="00C93E78" w:rsidRPr="004D0075" w:rsidRDefault="00C93E78" w:rsidP="00D458D3">
            <w:pPr>
              <w:pStyle w:val="TableText0"/>
            </w:pPr>
            <w:r w:rsidRPr="004D0075">
              <w:t>MSUC</w:t>
            </w:r>
          </w:p>
        </w:tc>
      </w:tr>
      <w:tr w:rsidR="00C93E78" w:rsidRPr="004D0075" w14:paraId="5636A553" w14:textId="77777777" w:rsidTr="003922A1">
        <w:tc>
          <w:tcPr>
            <w:tcW w:w="9016" w:type="dxa"/>
            <w:gridSpan w:val="4"/>
            <w:shd w:val="clear" w:color="auto" w:fill="F2F2F2" w:themeFill="background1" w:themeFillShade="F2"/>
          </w:tcPr>
          <w:p w14:paraId="0FBCB9F5" w14:textId="77777777" w:rsidR="00C93E78" w:rsidRPr="004D0075" w:rsidRDefault="00C93E78" w:rsidP="00D458D3">
            <w:pPr>
              <w:pStyle w:val="TableText0"/>
            </w:pPr>
            <w:r w:rsidRPr="004D0075">
              <w:t>Vedolizumab powder for injection, 300 mg</w:t>
            </w:r>
          </w:p>
        </w:tc>
      </w:tr>
      <w:tr w:rsidR="00C93E78" w:rsidRPr="004D0075" w14:paraId="7ACE5093" w14:textId="77777777" w:rsidTr="003922A1">
        <w:tc>
          <w:tcPr>
            <w:tcW w:w="2254" w:type="dxa"/>
          </w:tcPr>
          <w:p w14:paraId="09713946" w14:textId="77777777" w:rsidR="00C93E78" w:rsidRPr="004D0075" w:rsidRDefault="00C93E78" w:rsidP="00D458D3">
            <w:pPr>
              <w:pStyle w:val="TableText0"/>
            </w:pPr>
            <w:r w:rsidRPr="004D0075">
              <w:t>PBS subsidised</w:t>
            </w:r>
          </w:p>
        </w:tc>
        <w:tc>
          <w:tcPr>
            <w:tcW w:w="2254" w:type="dxa"/>
            <w:vAlign w:val="center"/>
          </w:tcPr>
          <w:p w14:paraId="57AED6EB" w14:textId="77777777" w:rsidR="00C93E78" w:rsidRPr="004D0075" w:rsidRDefault="00C93E78" w:rsidP="00D458D3">
            <w:pPr>
              <w:pStyle w:val="TableText0"/>
            </w:pPr>
            <w:r w:rsidRPr="004D0075">
              <w:t>13</w:t>
            </w:r>
          </w:p>
        </w:tc>
        <w:tc>
          <w:tcPr>
            <w:tcW w:w="2254" w:type="dxa"/>
            <w:vAlign w:val="center"/>
          </w:tcPr>
          <w:p w14:paraId="6977E0D1" w14:textId="77777777" w:rsidR="00C93E78" w:rsidRPr="004D0075" w:rsidRDefault="00C93E78" w:rsidP="00D458D3">
            <w:pPr>
              <w:pStyle w:val="TableText0"/>
            </w:pPr>
            <w:r w:rsidRPr="004D0075">
              <w:t>13</w:t>
            </w:r>
          </w:p>
        </w:tc>
        <w:tc>
          <w:tcPr>
            <w:tcW w:w="2254" w:type="dxa"/>
            <w:vAlign w:val="center"/>
          </w:tcPr>
          <w:p w14:paraId="36F89DE6" w14:textId="77777777" w:rsidR="00C93E78" w:rsidRPr="004D0075" w:rsidRDefault="00C93E78" w:rsidP="00D458D3">
            <w:pPr>
              <w:pStyle w:val="TableText0"/>
            </w:pPr>
            <w:r w:rsidRPr="004D0075">
              <w:t>0</w:t>
            </w:r>
          </w:p>
        </w:tc>
      </w:tr>
      <w:tr w:rsidR="00C93E78" w:rsidRPr="004D0075" w14:paraId="2565E3F9" w14:textId="77777777" w:rsidTr="003922A1">
        <w:tc>
          <w:tcPr>
            <w:tcW w:w="2254" w:type="dxa"/>
          </w:tcPr>
          <w:p w14:paraId="57F6174E" w14:textId="77777777" w:rsidR="00C93E78" w:rsidRPr="004D0075" w:rsidRDefault="00C93E78" w:rsidP="00D458D3">
            <w:pPr>
              <w:pStyle w:val="TableText0"/>
            </w:pPr>
            <w:r w:rsidRPr="004D0075">
              <w:t>Rebated</w:t>
            </w:r>
          </w:p>
        </w:tc>
        <w:tc>
          <w:tcPr>
            <w:tcW w:w="2254" w:type="dxa"/>
            <w:vAlign w:val="center"/>
          </w:tcPr>
          <w:p w14:paraId="16E8E793" w14:textId="77777777" w:rsidR="00C93E78" w:rsidRPr="004D0075" w:rsidRDefault="00C93E78" w:rsidP="00D458D3">
            <w:pPr>
              <w:pStyle w:val="TableText0"/>
            </w:pPr>
            <w:r w:rsidRPr="004D0075">
              <w:t>0</w:t>
            </w:r>
          </w:p>
        </w:tc>
        <w:tc>
          <w:tcPr>
            <w:tcW w:w="2254" w:type="dxa"/>
            <w:vAlign w:val="center"/>
          </w:tcPr>
          <w:p w14:paraId="0008BCE3" w14:textId="77777777" w:rsidR="00C93E78" w:rsidRPr="004D0075" w:rsidRDefault="00C93E78" w:rsidP="00D458D3">
            <w:pPr>
              <w:pStyle w:val="TableText0"/>
            </w:pPr>
            <w:r w:rsidRPr="004D0075">
              <w:t>13</w:t>
            </w:r>
          </w:p>
        </w:tc>
        <w:tc>
          <w:tcPr>
            <w:tcW w:w="2254" w:type="dxa"/>
            <w:vAlign w:val="center"/>
          </w:tcPr>
          <w:p w14:paraId="6A42F2B4" w14:textId="77777777" w:rsidR="00C93E78" w:rsidRPr="004D0075" w:rsidRDefault="00C93E78" w:rsidP="00D458D3">
            <w:pPr>
              <w:pStyle w:val="TableText0"/>
            </w:pPr>
            <w:r w:rsidRPr="004D0075">
              <w:t>13</w:t>
            </w:r>
          </w:p>
        </w:tc>
      </w:tr>
      <w:tr w:rsidR="00C93E78" w:rsidRPr="004D0075" w14:paraId="5BAEB122" w14:textId="77777777" w:rsidTr="003922A1">
        <w:tc>
          <w:tcPr>
            <w:tcW w:w="9016" w:type="dxa"/>
            <w:gridSpan w:val="4"/>
            <w:shd w:val="clear" w:color="auto" w:fill="F2F2F2" w:themeFill="background1" w:themeFillShade="F2"/>
          </w:tcPr>
          <w:p w14:paraId="50E77CE1" w14:textId="77777777" w:rsidR="00C93E78" w:rsidRPr="004D0075" w:rsidRDefault="00C93E78" w:rsidP="00D458D3">
            <w:pPr>
              <w:pStyle w:val="TableText0"/>
            </w:pPr>
            <w:r w:rsidRPr="004D0075">
              <w:t>AEMP per vedolizumab powder for injection, 300 mg</w:t>
            </w:r>
          </w:p>
        </w:tc>
      </w:tr>
      <w:tr w:rsidR="00C93E78" w:rsidRPr="004D0075" w14:paraId="7896BD99" w14:textId="77777777" w:rsidTr="003922A1">
        <w:tc>
          <w:tcPr>
            <w:tcW w:w="2254" w:type="dxa"/>
          </w:tcPr>
          <w:p w14:paraId="57CE46AF" w14:textId="77777777" w:rsidR="00C93E78" w:rsidRPr="004D0075" w:rsidRDefault="00C93E78" w:rsidP="00D458D3">
            <w:pPr>
              <w:pStyle w:val="TableText0"/>
            </w:pPr>
            <w:r w:rsidRPr="004D0075">
              <w:t>PBS subsidised</w:t>
            </w:r>
          </w:p>
        </w:tc>
        <w:tc>
          <w:tcPr>
            <w:tcW w:w="2254" w:type="dxa"/>
            <w:vAlign w:val="center"/>
          </w:tcPr>
          <w:p w14:paraId="1F7A7F8B" w14:textId="3B933BA6"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397BB46A" w14:textId="0DE1D542"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59C513D5" w14:textId="57A79350" w:rsidR="00C93E78" w:rsidRPr="009F72D1" w:rsidRDefault="001E447D" w:rsidP="00D458D3">
            <w:pPr>
              <w:pStyle w:val="TableText0"/>
              <w:rPr>
                <w:highlight w:val="darkGray"/>
              </w:rPr>
            </w:pPr>
            <w:r w:rsidRPr="001E447D">
              <w:rPr>
                <w:highlight w:val="black"/>
              </w:rPr>
              <w:t>@@@@</w:t>
            </w:r>
          </w:p>
        </w:tc>
      </w:tr>
      <w:tr w:rsidR="00C93E78" w:rsidRPr="004D0075" w14:paraId="10A7C7A0" w14:textId="77777777" w:rsidTr="003922A1">
        <w:tc>
          <w:tcPr>
            <w:tcW w:w="2254" w:type="dxa"/>
          </w:tcPr>
          <w:p w14:paraId="49F49403" w14:textId="77777777" w:rsidR="00C93E78" w:rsidRPr="004D0075" w:rsidRDefault="00C93E78" w:rsidP="00D458D3">
            <w:pPr>
              <w:pStyle w:val="TableText0"/>
            </w:pPr>
            <w:r w:rsidRPr="004D0075">
              <w:t xml:space="preserve">Rebated </w:t>
            </w:r>
          </w:p>
        </w:tc>
        <w:tc>
          <w:tcPr>
            <w:tcW w:w="2254" w:type="dxa"/>
            <w:vAlign w:val="center"/>
          </w:tcPr>
          <w:p w14:paraId="46DF13A0" w14:textId="5B548A1B"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7700C779" w14:textId="0749FFD3"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73F171CD" w14:textId="2BB92D62" w:rsidR="00C93E78" w:rsidRPr="009F72D1" w:rsidRDefault="001E447D" w:rsidP="00D458D3">
            <w:pPr>
              <w:pStyle w:val="TableText0"/>
              <w:rPr>
                <w:highlight w:val="darkGray"/>
              </w:rPr>
            </w:pPr>
            <w:r w:rsidRPr="001E447D">
              <w:rPr>
                <w:highlight w:val="black"/>
              </w:rPr>
              <w:t>@@@@</w:t>
            </w:r>
          </w:p>
        </w:tc>
      </w:tr>
      <w:tr w:rsidR="00C93E78" w:rsidRPr="004D0075" w14:paraId="56BC1BBC" w14:textId="77777777" w:rsidTr="003922A1">
        <w:tc>
          <w:tcPr>
            <w:tcW w:w="9016" w:type="dxa"/>
            <w:gridSpan w:val="4"/>
            <w:shd w:val="clear" w:color="auto" w:fill="F2F2F2" w:themeFill="background1" w:themeFillShade="F2"/>
          </w:tcPr>
          <w:p w14:paraId="0FA20C3C" w14:textId="77777777" w:rsidR="00C93E78" w:rsidRPr="004D0075" w:rsidRDefault="00C93E78" w:rsidP="00D458D3">
            <w:pPr>
              <w:pStyle w:val="TableText0"/>
            </w:pPr>
            <w:r w:rsidRPr="004D0075">
              <w:t>Cost of treatment</w:t>
            </w:r>
          </w:p>
        </w:tc>
      </w:tr>
      <w:tr w:rsidR="00C93E78" w:rsidRPr="004D0075" w14:paraId="23E017C1" w14:textId="77777777" w:rsidTr="003922A1">
        <w:tc>
          <w:tcPr>
            <w:tcW w:w="2254" w:type="dxa"/>
          </w:tcPr>
          <w:p w14:paraId="0980CF25" w14:textId="77777777" w:rsidR="00C93E78" w:rsidRPr="004D0075" w:rsidRDefault="00C93E78" w:rsidP="00D458D3">
            <w:pPr>
              <w:pStyle w:val="TableText0"/>
            </w:pPr>
            <w:r w:rsidRPr="004D0075">
              <w:t>PBS subsidised</w:t>
            </w:r>
          </w:p>
        </w:tc>
        <w:tc>
          <w:tcPr>
            <w:tcW w:w="2254" w:type="dxa"/>
            <w:vAlign w:val="center"/>
          </w:tcPr>
          <w:p w14:paraId="2D977BBC" w14:textId="261231BF"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2772A51A" w14:textId="7D732BB6" w:rsidR="00C93E78" w:rsidRPr="004D0075" w:rsidRDefault="00C93E78" w:rsidP="00D458D3">
            <w:pPr>
              <w:pStyle w:val="TableText0"/>
            </w:pPr>
            <w:r w:rsidRPr="004D0075">
              <w:t>$</w:t>
            </w:r>
            <w:r w:rsidR="001E447D" w:rsidRPr="001E447D">
              <w:rPr>
                <w:highlight w:val="black"/>
              </w:rPr>
              <w:t>@@@@</w:t>
            </w:r>
          </w:p>
        </w:tc>
        <w:tc>
          <w:tcPr>
            <w:tcW w:w="2254" w:type="dxa"/>
            <w:vAlign w:val="center"/>
          </w:tcPr>
          <w:p w14:paraId="7434AD0F" w14:textId="0E220E5A" w:rsidR="00C93E78" w:rsidRPr="004D0075" w:rsidRDefault="00C93E78" w:rsidP="00D458D3">
            <w:pPr>
              <w:pStyle w:val="TableText0"/>
            </w:pPr>
            <w:r w:rsidRPr="004D0075">
              <w:t>$</w:t>
            </w:r>
            <w:r w:rsidR="001E447D" w:rsidRPr="001E447D">
              <w:rPr>
                <w:highlight w:val="black"/>
              </w:rPr>
              <w:t>@@@@</w:t>
            </w:r>
          </w:p>
        </w:tc>
      </w:tr>
    </w:tbl>
    <w:p w14:paraId="689E742F" w14:textId="18C1FE54" w:rsidR="001D4F92" w:rsidRPr="004D0075" w:rsidRDefault="00C93E78" w:rsidP="001D4F92">
      <w:pPr>
        <w:pStyle w:val="TableFigureFooter"/>
        <w:jc w:val="left"/>
      </w:pPr>
      <w:r w:rsidRPr="004D0075">
        <w:t>Source: Table 3-3 of the submission main body</w:t>
      </w:r>
      <w:r w:rsidR="008D4D1D" w:rsidRPr="004D0075">
        <w:t>.</w:t>
      </w:r>
      <w:r w:rsidR="001D4F92" w:rsidRPr="004D0075">
        <w:br/>
        <w:t>Abbreviations: AEMP = Approved ex-manufacturer price</w:t>
      </w:r>
      <w:r w:rsidR="00A70986" w:rsidRPr="004D0075">
        <w:t>;</w:t>
      </w:r>
      <w:r w:rsidR="001D4F92" w:rsidRPr="004D0075">
        <w:t xml:space="preserve"> CD = Crohn disease</w:t>
      </w:r>
      <w:r w:rsidR="00A70986" w:rsidRPr="004D0075">
        <w:t>;</w:t>
      </w:r>
      <w:r w:rsidR="001D4F92" w:rsidRPr="004D0075">
        <w:t xml:space="preserve"> MSUC = moderate to severe ulcerative colitis; PBS = Pharmaceutical benefits Scheme</w:t>
      </w:r>
      <w:r w:rsidR="00A70986" w:rsidRPr="004D0075">
        <w:t>;</w:t>
      </w:r>
      <w:r w:rsidR="001D4F92" w:rsidRPr="004D0075">
        <w:t xml:space="preserve"> Q4W = every 4 weeks; Q8W = every 8 weeks</w:t>
      </w:r>
      <w:r w:rsidR="00A70986" w:rsidRPr="004D0075">
        <w:t>.</w:t>
      </w:r>
    </w:p>
    <w:p w14:paraId="6DA46B89" w14:textId="03E9CD42" w:rsidR="00CE027B" w:rsidRPr="004D0075" w:rsidRDefault="00CE027B" w:rsidP="00CE027B">
      <w:pPr>
        <w:pStyle w:val="3-BodyText"/>
      </w:pPr>
      <w:r w:rsidRPr="004D0075">
        <w:t>The cost-minimisation table shows 13 Q8W doses being supplied</w:t>
      </w:r>
      <w:r w:rsidRPr="004D0075" w:rsidDel="00CE027B">
        <w:t xml:space="preserve"> </w:t>
      </w:r>
      <w:r w:rsidRPr="004D0075">
        <w:t xml:space="preserve">over 24 months, and 26 Q4W doses being supplied over the same period, of which </w:t>
      </w:r>
      <w:r w:rsidR="001E447D" w:rsidRPr="001E447D">
        <w:rPr>
          <w:highlight w:val="black"/>
        </w:rPr>
        <w:t>@@@@</w:t>
      </w:r>
      <w:r w:rsidRPr="004D0075">
        <w:t xml:space="preserve">% are rebated. </w:t>
      </w:r>
    </w:p>
    <w:p w14:paraId="08B17141" w14:textId="17BB76C5" w:rsidR="00A62A08" w:rsidRPr="004D0075" w:rsidRDefault="00A24C69" w:rsidP="00523A70">
      <w:pPr>
        <w:pStyle w:val="3-BodyText"/>
        <w:spacing w:before="0" w:after="0"/>
      </w:pPr>
      <w:r w:rsidRPr="004D0075">
        <w:t>The submission proposed CMA</w:t>
      </w:r>
      <w:r w:rsidR="00A62A08" w:rsidRPr="004D0075">
        <w:t>:</w:t>
      </w:r>
    </w:p>
    <w:p w14:paraId="7B07CB40" w14:textId="1AE82BFD" w:rsidR="00A62A08" w:rsidRPr="004D0075" w:rsidRDefault="007846D9" w:rsidP="00523A70">
      <w:pPr>
        <w:pStyle w:val="ListParagraph"/>
        <w:spacing w:before="0" w:after="0"/>
      </w:pPr>
      <w:r w:rsidRPr="004D0075">
        <w:t>a</w:t>
      </w:r>
      <w:r w:rsidR="00C1592B" w:rsidRPr="004D0075">
        <w:t xml:space="preserve">ssumes </w:t>
      </w:r>
      <w:r w:rsidR="00A24C69" w:rsidRPr="004D0075">
        <w:t xml:space="preserve">all the patients eligible for escalation to Q4W would </w:t>
      </w:r>
      <w:r w:rsidR="00E13785">
        <w:t xml:space="preserve">otherwise </w:t>
      </w:r>
      <w:r w:rsidR="00A24C69" w:rsidRPr="004D0075">
        <w:t>continue to access Q8W dosing in the absence of a Q4W listing</w:t>
      </w:r>
      <w:r w:rsidR="00E13785">
        <w:t xml:space="preserve"> </w:t>
      </w:r>
      <w:r w:rsidR="00734B43">
        <w:t>(i.e. are/would be Q8W responders)</w:t>
      </w:r>
      <w:r w:rsidR="00A62A08" w:rsidRPr="004D0075">
        <w:t>,</w:t>
      </w:r>
    </w:p>
    <w:p w14:paraId="00825BED" w14:textId="1B097320" w:rsidR="00C1592B" w:rsidRPr="004D0075" w:rsidRDefault="007846D9" w:rsidP="00523A70">
      <w:pPr>
        <w:pStyle w:val="ListParagraph"/>
        <w:spacing w:before="0" w:after="0"/>
      </w:pPr>
      <w:r w:rsidRPr="004D0075">
        <w:t>a</w:t>
      </w:r>
      <w:r w:rsidR="00C1592B" w:rsidRPr="004D0075">
        <w:t xml:space="preserve">ssumes </w:t>
      </w:r>
      <w:r w:rsidR="00A24C69" w:rsidRPr="004D0075">
        <w:t xml:space="preserve">all patients requiring dose escalation </w:t>
      </w:r>
      <w:r w:rsidR="002876B6" w:rsidRPr="004D0075">
        <w:t>were captured</w:t>
      </w:r>
      <w:r w:rsidR="00A24C69" w:rsidRPr="004D0075">
        <w:t xml:space="preserve"> </w:t>
      </w:r>
      <w:r w:rsidR="002876B6" w:rsidRPr="004D0075">
        <w:t>by</w:t>
      </w:r>
      <w:r w:rsidR="00A24C69" w:rsidRPr="004D0075">
        <w:t xml:space="preserve"> the sponsor’s Access Program</w:t>
      </w:r>
      <w:r w:rsidR="00A22BC1">
        <w:t xml:space="preserve"> at the time the data sample was taken</w:t>
      </w:r>
      <w:r w:rsidR="00C1592B" w:rsidRPr="004D0075">
        <w:t>, and</w:t>
      </w:r>
    </w:p>
    <w:p w14:paraId="3BF112D3" w14:textId="77777777" w:rsidR="007846D9" w:rsidRPr="004D0075" w:rsidRDefault="00A24C69" w:rsidP="00523A70">
      <w:pPr>
        <w:pStyle w:val="ListParagraph"/>
        <w:spacing w:before="0" w:after="0"/>
      </w:pPr>
      <w:r w:rsidRPr="004D0075">
        <w:t>defines patients requiring escalation to Q4W as those who have “insufficient therapy” under the Q8W listing and such patients would be required to “demonstrate an adequate response to treatment” to continue Q4W treatment.</w:t>
      </w:r>
    </w:p>
    <w:p w14:paraId="46CA5773" w14:textId="23773DA0" w:rsidR="00A24C69" w:rsidRPr="004D0075" w:rsidRDefault="00A24C69" w:rsidP="00560340">
      <w:pPr>
        <w:pStyle w:val="3-BodyText"/>
        <w:keepNext/>
        <w:keepLines/>
      </w:pPr>
      <w:r w:rsidRPr="004D0075">
        <w:lastRenderedPageBreak/>
        <w:t xml:space="preserve">While not explicit in the </w:t>
      </w:r>
      <w:r w:rsidR="008E4BD3" w:rsidRPr="004D0075">
        <w:t>proposed restrictions</w:t>
      </w:r>
      <w:r w:rsidRPr="004D0075">
        <w:t xml:space="preserve">, </w:t>
      </w:r>
      <w:r w:rsidR="008E4BD3" w:rsidRPr="004D0075">
        <w:t xml:space="preserve">the submission </w:t>
      </w:r>
      <w:r w:rsidR="00147735" w:rsidRPr="004D0075">
        <w:t>stated</w:t>
      </w:r>
      <w:r w:rsidRPr="004D0075">
        <w:t xml:space="preserve"> that patients would require escalation if they no longer maintain</w:t>
      </w:r>
      <w:r w:rsidR="001111FA" w:rsidRPr="004D0075">
        <w:t>ed</w:t>
      </w:r>
      <w:r w:rsidRPr="004D0075">
        <w:t xml:space="preserve"> an adequate treatment response to Q8W</w:t>
      </w:r>
      <w:r w:rsidR="00F426A1">
        <w:t xml:space="preserve">, however, the pre-PBAC response </w:t>
      </w:r>
      <w:r w:rsidR="00974287">
        <w:t>stated</w:t>
      </w:r>
      <w:r w:rsidR="00DD2239">
        <w:t xml:space="preserve"> that patients who escalated would still be Q8W eligible</w:t>
      </w:r>
      <w:r w:rsidRPr="004D0075">
        <w:t xml:space="preserve">. </w:t>
      </w:r>
      <w:r w:rsidR="00174498">
        <w:t>I</w:t>
      </w:r>
      <w:r w:rsidR="00D52F10" w:rsidRPr="004D0075">
        <w:t xml:space="preserve">n the absence of a Q4W listing and the </w:t>
      </w:r>
      <w:r w:rsidR="00471F21">
        <w:t>a</w:t>
      </w:r>
      <w:r w:rsidR="00471F21" w:rsidRPr="004D0075">
        <w:t xml:space="preserve">ccess </w:t>
      </w:r>
      <w:r w:rsidR="00471F21">
        <w:t>p</w:t>
      </w:r>
      <w:r w:rsidR="00471F21" w:rsidRPr="004D0075">
        <w:t>rogram</w:t>
      </w:r>
      <w:r w:rsidR="00D52F10" w:rsidRPr="004D0075">
        <w:t xml:space="preserve">, </w:t>
      </w:r>
      <w:r w:rsidR="00174498">
        <w:t xml:space="preserve">patients who become </w:t>
      </w:r>
      <w:r w:rsidR="00026F3C" w:rsidRPr="004D0075">
        <w:t xml:space="preserve">Q8W ineligible </w:t>
      </w:r>
      <w:r w:rsidR="00174498">
        <w:t>must</w:t>
      </w:r>
      <w:r w:rsidR="00174498" w:rsidRPr="004D0075">
        <w:t xml:space="preserve"> </w:t>
      </w:r>
      <w:r w:rsidRPr="004D0075">
        <w:t>discontinue vedolizumab</w:t>
      </w:r>
      <w:r w:rsidR="00E322F6" w:rsidRPr="004D0075">
        <w:t>,</w:t>
      </w:r>
      <w:r w:rsidR="00F36D11" w:rsidRPr="004D0075">
        <w:t xml:space="preserve"> and therefore</w:t>
      </w:r>
      <w:r w:rsidRPr="004D0075">
        <w:t xml:space="preserve"> </w:t>
      </w:r>
      <w:r w:rsidR="00471F21">
        <w:t>such</w:t>
      </w:r>
      <w:r w:rsidR="00471F21" w:rsidRPr="004D0075">
        <w:t xml:space="preserve"> </w:t>
      </w:r>
      <w:r w:rsidR="00C52C1E" w:rsidRPr="004D0075">
        <w:t xml:space="preserve">patients </w:t>
      </w:r>
      <w:r w:rsidR="00BE3BAC" w:rsidRPr="004D0075">
        <w:t>who accessed</w:t>
      </w:r>
      <w:r w:rsidR="00E322F6" w:rsidRPr="004D0075">
        <w:t xml:space="preserve"> Q4W treatment via the </w:t>
      </w:r>
      <w:r w:rsidR="005A3275" w:rsidRPr="004D0075">
        <w:t>a</w:t>
      </w:r>
      <w:r w:rsidR="00E322F6" w:rsidRPr="004D0075">
        <w:t xml:space="preserve">ccess program </w:t>
      </w:r>
      <w:r w:rsidR="00C52C1E" w:rsidRPr="004D0075">
        <w:t xml:space="preserve">reflect a population that was not </w:t>
      </w:r>
      <w:r w:rsidR="00F10F61" w:rsidRPr="004D0075">
        <w:t>anticipated under the</w:t>
      </w:r>
      <w:r w:rsidR="00C52C1E" w:rsidRPr="004D0075">
        <w:t xml:space="preserve"> 2015 PBAC recommendation.</w:t>
      </w:r>
      <w:r w:rsidR="00E322F6" w:rsidRPr="004D0075">
        <w:t xml:space="preserve"> </w:t>
      </w:r>
      <w:r w:rsidR="00C55A0D" w:rsidRPr="004D0075">
        <w:t>I</w:t>
      </w:r>
      <w:r w:rsidR="008F3229" w:rsidRPr="004D0075">
        <w:t>f all the above assumptions hold true, vedolizumab usage in</w:t>
      </w:r>
      <w:r w:rsidRPr="004D0075">
        <w:t xml:space="preserve"> this population </w:t>
      </w:r>
      <w:r w:rsidR="00AC3819" w:rsidRPr="004D0075">
        <w:t xml:space="preserve">would </w:t>
      </w:r>
      <w:r w:rsidR="008F3229" w:rsidRPr="004D0075">
        <w:t xml:space="preserve">only be cost neutral if </w:t>
      </w:r>
      <w:r w:rsidRPr="004D0075">
        <w:t xml:space="preserve">the sponsor </w:t>
      </w:r>
      <w:r w:rsidR="008F3229" w:rsidRPr="004D0075">
        <w:t>rebates</w:t>
      </w:r>
      <w:r w:rsidRPr="004D0075">
        <w:t xml:space="preserve"> the full cost of all Q4W doses (i.e., 26 doses over </w:t>
      </w:r>
      <w:r w:rsidR="00560340">
        <w:t>2 </w:t>
      </w:r>
      <w:r w:rsidRPr="004D0075">
        <w:t>years)</w:t>
      </w:r>
      <w:r w:rsidR="00C11DF3">
        <w:t xml:space="preserve"> for Q8W ineligible patients rather than</w:t>
      </w:r>
      <w:r w:rsidRPr="004D0075">
        <w:t xml:space="preserve"> just the incremental 13 doses over Q8W</w:t>
      </w:r>
      <w:r w:rsidR="00281CAA" w:rsidRPr="004D0075">
        <w:t>.</w:t>
      </w:r>
    </w:p>
    <w:p w14:paraId="0251B735" w14:textId="0442E3F5" w:rsidR="00202227" w:rsidRPr="004D0075" w:rsidRDefault="00202227" w:rsidP="00282638">
      <w:pPr>
        <w:pStyle w:val="3-BodyText"/>
      </w:pPr>
      <w:r w:rsidRPr="004D0075">
        <w:t xml:space="preserve">The submission excluded MBS costs from the </w:t>
      </w:r>
      <w:r w:rsidR="00460871" w:rsidRPr="004D0075">
        <w:t xml:space="preserve">CMA on the basis that </w:t>
      </w:r>
      <w:r w:rsidR="00412C62">
        <w:t xml:space="preserve">prescribers have </w:t>
      </w:r>
      <w:r w:rsidR="00E73412" w:rsidRPr="004D0075">
        <w:t>utilised</w:t>
      </w:r>
      <w:r w:rsidR="00460871" w:rsidRPr="004D0075">
        <w:t xml:space="preserve"> </w:t>
      </w:r>
      <w:r w:rsidR="000131A4" w:rsidRPr="004D0075">
        <w:t xml:space="preserve">MBS item 14245 </w:t>
      </w:r>
      <w:r w:rsidR="00460871" w:rsidRPr="004D0075">
        <w:t xml:space="preserve">for </w:t>
      </w:r>
      <w:r w:rsidR="000131A4" w:rsidRPr="004D0075">
        <w:t>the IV</w:t>
      </w:r>
      <w:r w:rsidR="00694507" w:rsidRPr="004D0075">
        <w:t xml:space="preserve"> </w:t>
      </w:r>
      <w:r w:rsidR="00460871" w:rsidRPr="004D0075">
        <w:t xml:space="preserve">administration of the </w:t>
      </w:r>
      <w:r w:rsidR="00412C62">
        <w:t xml:space="preserve">Q4W </w:t>
      </w:r>
      <w:r w:rsidR="00460871" w:rsidRPr="004D0075">
        <w:t>doses</w:t>
      </w:r>
      <w:r w:rsidR="00412C62">
        <w:t xml:space="preserve"> for</w:t>
      </w:r>
      <w:r w:rsidR="00412C62" w:rsidRPr="004D0075">
        <w:t xml:space="preserve"> patients on the </w:t>
      </w:r>
      <w:r w:rsidR="00412C62">
        <w:t>a</w:t>
      </w:r>
      <w:r w:rsidR="00412C62" w:rsidRPr="004D0075">
        <w:t xml:space="preserve">ccess </w:t>
      </w:r>
      <w:r w:rsidR="00412C62">
        <w:t>p</w:t>
      </w:r>
      <w:r w:rsidR="00412C62" w:rsidRPr="004D0075">
        <w:t>rogram</w:t>
      </w:r>
      <w:r w:rsidR="000603E3">
        <w:t xml:space="preserve"> for the last 7 years</w:t>
      </w:r>
      <w:r w:rsidR="00372F92">
        <w:t>,</w:t>
      </w:r>
      <w:r w:rsidR="0004165E" w:rsidRPr="004D0075">
        <w:t xml:space="preserve"> and</w:t>
      </w:r>
      <w:r w:rsidR="000603E3">
        <w:t xml:space="preserve"> that</w:t>
      </w:r>
      <w:r w:rsidR="0004165E" w:rsidRPr="004D0075">
        <w:t xml:space="preserve"> this cost </w:t>
      </w:r>
      <w:r w:rsidR="000603E3">
        <w:t>has been</w:t>
      </w:r>
      <w:r w:rsidR="000603E3" w:rsidRPr="004D0075">
        <w:t xml:space="preserve"> </w:t>
      </w:r>
      <w:r w:rsidR="001F176B" w:rsidRPr="004D0075">
        <w:t>accepted by the Commonwealth</w:t>
      </w:r>
      <w:r w:rsidR="00460871" w:rsidRPr="004D0075">
        <w:t xml:space="preserve">. </w:t>
      </w:r>
      <w:r w:rsidR="00E75DF5" w:rsidRPr="004D0075">
        <w:rPr>
          <w:rFonts w:cs="Calibri"/>
        </w:rPr>
        <w:t>MBS item 14245 is restricted to infusions of agents provided under section 100 of the PBS</w:t>
      </w:r>
      <w:r w:rsidR="00B31130">
        <w:rPr>
          <w:rFonts w:cs="Calibri"/>
        </w:rPr>
        <w:t>. The a</w:t>
      </w:r>
      <w:r w:rsidR="00E75DF5" w:rsidRPr="004D0075">
        <w:rPr>
          <w:rFonts w:cs="Calibri"/>
        </w:rPr>
        <w:t xml:space="preserve">dministration of non-PBS vedolizumab doses </w:t>
      </w:r>
      <w:r w:rsidR="00B31130">
        <w:rPr>
          <w:rFonts w:cs="Calibri"/>
        </w:rPr>
        <w:t xml:space="preserve">provided via an access program </w:t>
      </w:r>
      <w:r w:rsidR="00E75DF5" w:rsidRPr="004D0075">
        <w:rPr>
          <w:rFonts w:cs="Calibri"/>
        </w:rPr>
        <w:t xml:space="preserve">should not </w:t>
      </w:r>
      <w:r w:rsidR="00C54B8F" w:rsidRPr="004D0075">
        <w:rPr>
          <w:rFonts w:cs="Calibri"/>
        </w:rPr>
        <w:t xml:space="preserve">have </w:t>
      </w:r>
      <w:r w:rsidR="00E75DF5" w:rsidRPr="004D0075">
        <w:rPr>
          <w:rFonts w:cs="Calibri"/>
        </w:rPr>
        <w:t>be</w:t>
      </w:r>
      <w:r w:rsidR="00C54B8F" w:rsidRPr="004D0075">
        <w:rPr>
          <w:rFonts w:cs="Calibri"/>
        </w:rPr>
        <w:t>en</w:t>
      </w:r>
      <w:r w:rsidR="00E75DF5" w:rsidRPr="004D0075">
        <w:rPr>
          <w:rFonts w:cs="Calibri"/>
        </w:rPr>
        <w:t xml:space="preserve"> claimed under this item, and doing so </w:t>
      </w:r>
      <w:r w:rsidR="00C54B8F" w:rsidRPr="004D0075">
        <w:rPr>
          <w:rFonts w:cs="Calibri"/>
        </w:rPr>
        <w:t>is</w:t>
      </w:r>
      <w:r w:rsidR="00E75DF5" w:rsidRPr="004D0075">
        <w:rPr>
          <w:rFonts w:cs="Calibri"/>
        </w:rPr>
        <w:t xml:space="preserve"> outside the scope of the MBS and constitute</w:t>
      </w:r>
      <w:r w:rsidR="00D5482D" w:rsidRPr="004D0075">
        <w:rPr>
          <w:rFonts w:cs="Calibri"/>
        </w:rPr>
        <w:t>s</w:t>
      </w:r>
      <w:r w:rsidR="00E75DF5" w:rsidRPr="004D0075">
        <w:rPr>
          <w:rFonts w:cs="Calibri"/>
        </w:rPr>
        <w:t xml:space="preserve"> non-compliance</w:t>
      </w:r>
      <w:r w:rsidR="00694507" w:rsidRPr="004D0075">
        <w:rPr>
          <w:rFonts w:cs="Calibri"/>
        </w:rPr>
        <w:t xml:space="preserve">. </w:t>
      </w:r>
      <w:r w:rsidR="004E7F5D">
        <w:t>The</w:t>
      </w:r>
      <w:r w:rsidR="004E7F5D" w:rsidRPr="004D0075">
        <w:t xml:space="preserve"> </w:t>
      </w:r>
      <w:r w:rsidR="00CA6F65" w:rsidRPr="004D0075">
        <w:t>a</w:t>
      </w:r>
      <w:r w:rsidR="00003922" w:rsidRPr="004D0075">
        <w:t>dditional MBS expenditure</w:t>
      </w:r>
      <w:r w:rsidR="00CA6F65" w:rsidRPr="004D0075">
        <w:t xml:space="preserve"> and administration expenses</w:t>
      </w:r>
      <w:r w:rsidR="004E7F5D">
        <w:t xml:space="preserve"> of the additional doses</w:t>
      </w:r>
      <w:r w:rsidR="00003922" w:rsidRPr="004D0075">
        <w:t xml:space="preserve"> </w:t>
      </w:r>
      <w:r w:rsidR="009457EA" w:rsidRPr="004D0075">
        <w:t>must be included in the CMA as per the PBAC Guidelines</w:t>
      </w:r>
      <w:r w:rsidR="00CA6F65" w:rsidRPr="004D0075">
        <w:t>. Furthermore,</w:t>
      </w:r>
      <w:r w:rsidR="001F2A14" w:rsidRPr="004D0075">
        <w:t xml:space="preserve"> this MBS item should not be used for the administration of non-PBS supplies of vedolizumab.</w:t>
      </w:r>
    </w:p>
    <w:p w14:paraId="4C554F04" w14:textId="55947BD5" w:rsidR="00A24C69" w:rsidRPr="004D0075" w:rsidRDefault="00A24C69" w:rsidP="003922A1">
      <w:pPr>
        <w:pStyle w:val="3-BodyText"/>
      </w:pPr>
      <w:r w:rsidRPr="004D0075">
        <w:rPr>
          <w:rFonts w:cstheme="minorHAnsi"/>
        </w:rPr>
        <w:t xml:space="preserve">If the SPA rebate </w:t>
      </w:r>
      <w:r w:rsidR="00D503AE">
        <w:rPr>
          <w:rFonts w:cstheme="minorHAnsi"/>
        </w:rPr>
        <w:t>is</w:t>
      </w:r>
      <w:r w:rsidRPr="004D0075">
        <w:rPr>
          <w:rFonts w:cstheme="minorHAnsi"/>
        </w:rPr>
        <w:t xml:space="preserve"> calculated based on </w:t>
      </w:r>
      <w:r w:rsidR="004D157F" w:rsidRPr="004D0075">
        <w:rPr>
          <w:rFonts w:cstheme="minorHAnsi"/>
        </w:rPr>
        <w:t xml:space="preserve">the </w:t>
      </w:r>
      <w:r w:rsidRPr="004D0075">
        <w:rPr>
          <w:rFonts w:cstheme="minorHAnsi"/>
        </w:rPr>
        <w:t>estimated uptake of Q4W dosing</w:t>
      </w:r>
      <w:r w:rsidR="004D157F" w:rsidRPr="004D0075">
        <w:rPr>
          <w:rFonts w:cstheme="minorHAnsi"/>
        </w:rPr>
        <w:t xml:space="preserve"> (</w:t>
      </w:r>
      <w:r w:rsidR="008D7631" w:rsidRPr="004D0075">
        <w:rPr>
          <w:rFonts w:cstheme="minorHAnsi"/>
        </w:rPr>
        <w:t>whether just the additional doses to Q8W or all Q4W doses</w:t>
      </w:r>
      <w:r w:rsidR="004D157F" w:rsidRPr="004D0075">
        <w:rPr>
          <w:rFonts w:cstheme="minorHAnsi"/>
        </w:rPr>
        <w:t>)</w:t>
      </w:r>
      <w:r w:rsidRPr="004D0075">
        <w:rPr>
          <w:rFonts w:cstheme="minorHAnsi"/>
        </w:rPr>
        <w:t xml:space="preserve">, with </w:t>
      </w:r>
      <w:r w:rsidR="00834541" w:rsidRPr="004D0075">
        <w:rPr>
          <w:rFonts w:cstheme="minorHAnsi"/>
        </w:rPr>
        <w:t>no</w:t>
      </w:r>
      <w:r w:rsidRPr="004D0075">
        <w:rPr>
          <w:rFonts w:cstheme="minorHAnsi"/>
        </w:rPr>
        <w:t xml:space="preserve"> adjustment post-listing</w:t>
      </w:r>
      <w:r w:rsidR="00834541" w:rsidRPr="004D0075">
        <w:rPr>
          <w:rFonts w:cstheme="minorHAnsi"/>
        </w:rPr>
        <w:t xml:space="preserve"> based on actual PBS utilisation</w:t>
      </w:r>
      <w:r w:rsidR="008D7631" w:rsidRPr="004D0075">
        <w:rPr>
          <w:rFonts w:cstheme="minorHAnsi"/>
        </w:rPr>
        <w:t>, t</w:t>
      </w:r>
      <w:r w:rsidRPr="004D0075">
        <w:rPr>
          <w:rFonts w:cstheme="minorHAnsi"/>
        </w:rPr>
        <w:t xml:space="preserve">he accuracy of the weighted AEMP </w:t>
      </w:r>
      <w:r w:rsidR="003C63E7" w:rsidRPr="004D0075">
        <w:rPr>
          <w:rFonts w:cstheme="minorHAnsi"/>
        </w:rPr>
        <w:t>will be</w:t>
      </w:r>
      <w:r w:rsidRPr="004D0075">
        <w:rPr>
          <w:rFonts w:cstheme="minorHAnsi"/>
        </w:rPr>
        <w:t xml:space="preserve"> critically dependent on the reliability of</w:t>
      </w:r>
      <w:r w:rsidR="003C63E7" w:rsidRPr="004D0075">
        <w:rPr>
          <w:rFonts w:cstheme="minorHAnsi"/>
        </w:rPr>
        <w:t xml:space="preserve"> the estimated Q4W</w:t>
      </w:r>
      <w:r w:rsidRPr="004D0075">
        <w:rPr>
          <w:rFonts w:cstheme="minorHAnsi"/>
        </w:rPr>
        <w:t xml:space="preserve"> uptake.</w:t>
      </w:r>
      <w:r w:rsidR="00831511">
        <w:rPr>
          <w:rFonts w:cstheme="minorHAnsi"/>
        </w:rPr>
        <w:t xml:space="preserve"> The Department advised that the rebate can be based on the actual uptake if </w:t>
      </w:r>
      <w:r w:rsidR="00CE45BA">
        <w:rPr>
          <w:rFonts w:cstheme="minorHAnsi"/>
        </w:rPr>
        <w:t>the Q4W listing is separate to the Q8W listing.</w:t>
      </w:r>
    </w:p>
    <w:p w14:paraId="3111B5B8" w14:textId="7D0882C4" w:rsidR="00471EE5" w:rsidRPr="004D0075" w:rsidRDefault="00471EE5" w:rsidP="00A24C69">
      <w:pPr>
        <w:pStyle w:val="3-BodyText"/>
      </w:pPr>
      <w:r w:rsidRPr="004D0075">
        <w:t xml:space="preserve">The published AEMP of vedolizumab 300 mg IV used in the submission remains current as of 1 </w:t>
      </w:r>
      <w:r w:rsidR="00CE45BA">
        <w:t>November</w:t>
      </w:r>
      <w:r w:rsidR="00CE45BA" w:rsidRPr="004D0075">
        <w:t xml:space="preserve"> </w:t>
      </w:r>
      <w:r w:rsidRPr="004D0075">
        <w:t>2025.</w:t>
      </w:r>
    </w:p>
    <w:p w14:paraId="23F77C6C" w14:textId="31E0965D" w:rsidR="00F85206" w:rsidRPr="00E15C93" w:rsidRDefault="00F85206" w:rsidP="0079250E">
      <w:pPr>
        <w:pStyle w:val="4-SubsectionHeading"/>
        <w:rPr>
          <w:iCs/>
          <w:lang w:eastAsia="en-US"/>
        </w:rPr>
      </w:pPr>
      <w:r w:rsidRPr="00E15C93">
        <w:rPr>
          <w:iCs/>
          <w:lang w:eastAsia="en-US"/>
        </w:rPr>
        <w:t>Drug cost/patient/</w:t>
      </w:r>
      <w:r w:rsidR="00CC7952" w:rsidRPr="00E15C93">
        <w:rPr>
          <w:iCs/>
          <w:lang w:eastAsia="en-US"/>
        </w:rPr>
        <w:t>year</w:t>
      </w:r>
      <w:r w:rsidRPr="00E15C93">
        <w:rPr>
          <w:iCs/>
          <w:lang w:eastAsia="en-US"/>
        </w:rPr>
        <w:t xml:space="preserve">: </w:t>
      </w:r>
      <w:r w:rsidR="00776790" w:rsidRPr="00E15C93">
        <w:rPr>
          <w:iCs/>
          <w:lang w:eastAsia="en-US"/>
        </w:rPr>
        <w:t>$</w:t>
      </w:r>
      <w:r w:rsidR="001E447D" w:rsidRPr="001E447D">
        <w:rPr>
          <w:iCs/>
          <w:highlight w:val="black"/>
          <w:lang w:eastAsia="en-US"/>
        </w:rPr>
        <w:t>@@@@</w:t>
      </w:r>
      <w:r w:rsidR="00776790" w:rsidRPr="00E15C93">
        <w:rPr>
          <w:iCs/>
          <w:lang w:eastAsia="en-US"/>
        </w:rPr>
        <w:t xml:space="preserve"> - </w:t>
      </w:r>
      <w:r w:rsidRPr="00E15C93">
        <w:rPr>
          <w:iCs/>
          <w:lang w:eastAsia="en-US"/>
        </w:rPr>
        <w:t>$</w:t>
      </w:r>
      <w:r w:rsidR="001E447D" w:rsidRPr="001E447D">
        <w:rPr>
          <w:iCs/>
          <w:highlight w:val="black"/>
          <w:lang w:eastAsia="en-US"/>
        </w:rPr>
        <w:t>@@@@</w:t>
      </w:r>
    </w:p>
    <w:p w14:paraId="0B60C770" w14:textId="004554C5" w:rsidR="00F85206" w:rsidRPr="004D0075" w:rsidRDefault="00F85206" w:rsidP="00153009">
      <w:pPr>
        <w:pStyle w:val="3-BodyText"/>
        <w:rPr>
          <w:rFonts w:cs="Calibri"/>
        </w:rPr>
      </w:pPr>
      <w:r w:rsidRPr="004D0075">
        <w:t>The drug cost/patient</w:t>
      </w:r>
      <w:r w:rsidR="0063071D" w:rsidRPr="004D0075">
        <w:t>/</w:t>
      </w:r>
      <w:r w:rsidR="001509F2" w:rsidRPr="004D0075">
        <w:t xml:space="preserve">year </w:t>
      </w:r>
      <w:r w:rsidR="008807F3" w:rsidRPr="004D0075">
        <w:t>of MSUC maintenance</w:t>
      </w:r>
      <w:r w:rsidR="00B42289" w:rsidRPr="004D0075">
        <w:t xml:space="preserve"> </w:t>
      </w:r>
      <w:r w:rsidR="00F94B2C">
        <w:t xml:space="preserve">Q4W </w:t>
      </w:r>
      <w:r w:rsidRPr="004D0075">
        <w:t xml:space="preserve">would be </w:t>
      </w:r>
      <w:r w:rsidR="003B7D8B" w:rsidRPr="004D0075">
        <w:t>$</w:t>
      </w:r>
      <w:r w:rsidR="001E447D" w:rsidRPr="001E447D">
        <w:rPr>
          <w:highlight w:val="black"/>
        </w:rPr>
        <w:t>@@@@</w:t>
      </w:r>
      <w:r w:rsidRPr="004D0075">
        <w:t xml:space="preserve">, based on </w:t>
      </w:r>
      <w:r w:rsidR="002D63B2" w:rsidRPr="004D0075">
        <w:t xml:space="preserve">13 </w:t>
      </w:r>
      <w:r w:rsidR="00B42289" w:rsidRPr="004D0075">
        <w:t>doses</w:t>
      </w:r>
      <w:r w:rsidRPr="004D0075">
        <w:rPr>
          <w:rFonts w:cs="Calibri"/>
        </w:rPr>
        <w:t xml:space="preserve"> </w:t>
      </w:r>
      <w:r w:rsidR="001509F2" w:rsidRPr="004D0075">
        <w:rPr>
          <w:rFonts w:cs="Calibri"/>
        </w:rPr>
        <w:t>per year</w:t>
      </w:r>
      <w:r w:rsidR="00B42289" w:rsidRPr="004D0075">
        <w:rPr>
          <w:rFonts w:cs="Calibri"/>
        </w:rPr>
        <w:t xml:space="preserve"> at</w:t>
      </w:r>
      <w:r w:rsidR="005B2057" w:rsidRPr="004D0075">
        <w:rPr>
          <w:rFonts w:cs="Calibri"/>
        </w:rPr>
        <w:t xml:space="preserve"> a weighted</w:t>
      </w:r>
      <w:r w:rsidR="001F3DC7" w:rsidRPr="004D0075">
        <w:rPr>
          <w:rFonts w:cs="Calibri"/>
        </w:rPr>
        <w:t xml:space="preserve"> AEMP</w:t>
      </w:r>
      <w:r w:rsidR="00B42289" w:rsidRPr="004D0075">
        <w:rPr>
          <w:rFonts w:cs="Calibri"/>
        </w:rPr>
        <w:t xml:space="preserve"> </w:t>
      </w:r>
      <w:r w:rsidR="005B2057" w:rsidRPr="004D0075">
        <w:rPr>
          <w:rFonts w:cs="Calibri"/>
        </w:rPr>
        <w:t xml:space="preserve">of </w:t>
      </w:r>
      <w:r w:rsidR="00B42289" w:rsidRPr="004D0075">
        <w:rPr>
          <w:rFonts w:cs="Calibri"/>
        </w:rPr>
        <w:t>$</w:t>
      </w:r>
      <w:r w:rsidR="001E447D" w:rsidRPr="001E447D">
        <w:rPr>
          <w:rFonts w:cs="Calibri"/>
          <w:highlight w:val="black"/>
        </w:rPr>
        <w:t>@@@@</w:t>
      </w:r>
      <w:r w:rsidR="00B42289" w:rsidRPr="004D0075">
        <w:rPr>
          <w:rFonts w:cs="Calibri"/>
        </w:rPr>
        <w:t>.</w:t>
      </w:r>
    </w:p>
    <w:p w14:paraId="1E7B90B1" w14:textId="3588C6C0" w:rsidR="00A95405" w:rsidRDefault="00A95405" w:rsidP="00A95405">
      <w:pPr>
        <w:pStyle w:val="3-BodyText"/>
        <w:rPr>
          <w:rFonts w:cs="Calibri"/>
        </w:rPr>
      </w:pPr>
      <w:r w:rsidRPr="004D0075">
        <w:t>The drug cost/patient</w:t>
      </w:r>
      <w:r w:rsidR="00CC7952" w:rsidRPr="004D0075">
        <w:t>/year</w:t>
      </w:r>
      <w:r w:rsidRPr="004D0075">
        <w:t xml:space="preserve"> </w:t>
      </w:r>
      <w:r w:rsidR="00CC7952" w:rsidRPr="004D0075">
        <w:t xml:space="preserve">of </w:t>
      </w:r>
      <w:r w:rsidRPr="004D0075">
        <w:t xml:space="preserve">severe Crohn </w:t>
      </w:r>
      <w:r w:rsidR="008915A4" w:rsidRPr="004D0075">
        <w:t>disease</w:t>
      </w:r>
      <w:r w:rsidR="00CC7952" w:rsidRPr="004D0075">
        <w:t xml:space="preserve"> maintenance</w:t>
      </w:r>
      <w:r w:rsidRPr="004D0075">
        <w:t xml:space="preserve"> </w:t>
      </w:r>
      <w:r w:rsidR="00F94B2C">
        <w:t xml:space="preserve">Q4W </w:t>
      </w:r>
      <w:r w:rsidRPr="004D0075">
        <w:t>would be $</w:t>
      </w:r>
      <w:r w:rsidR="001E447D" w:rsidRPr="001E447D">
        <w:rPr>
          <w:highlight w:val="black"/>
        </w:rPr>
        <w:t>@@@@</w:t>
      </w:r>
      <w:r w:rsidRPr="004D0075">
        <w:t>, based on 13 doses</w:t>
      </w:r>
      <w:r w:rsidRPr="004D0075">
        <w:rPr>
          <w:rFonts w:cs="Calibri"/>
        </w:rPr>
        <w:t xml:space="preserve"> </w:t>
      </w:r>
      <w:r w:rsidR="00CC7952" w:rsidRPr="004D0075">
        <w:rPr>
          <w:rFonts w:cs="Calibri"/>
        </w:rPr>
        <w:t>per year</w:t>
      </w:r>
      <w:r w:rsidRPr="004D0075">
        <w:rPr>
          <w:rFonts w:cs="Calibri"/>
        </w:rPr>
        <w:t xml:space="preserve"> at</w:t>
      </w:r>
      <w:r w:rsidR="00CC7952" w:rsidRPr="004D0075">
        <w:rPr>
          <w:rFonts w:cs="Calibri"/>
        </w:rPr>
        <w:t xml:space="preserve"> a weighted</w:t>
      </w:r>
      <w:r w:rsidRPr="004D0075">
        <w:rPr>
          <w:rFonts w:cs="Calibri"/>
        </w:rPr>
        <w:t xml:space="preserve"> </w:t>
      </w:r>
      <w:r w:rsidR="001F3DC7" w:rsidRPr="004D0075">
        <w:rPr>
          <w:rFonts w:cs="Calibri"/>
        </w:rPr>
        <w:t xml:space="preserve">AEMP </w:t>
      </w:r>
      <w:r w:rsidR="00CC7952" w:rsidRPr="004D0075">
        <w:rPr>
          <w:rFonts w:cs="Calibri"/>
        </w:rPr>
        <w:t xml:space="preserve">of </w:t>
      </w:r>
      <w:r w:rsidRPr="004D0075">
        <w:rPr>
          <w:rFonts w:cs="Calibri"/>
        </w:rPr>
        <w:t>$</w:t>
      </w:r>
      <w:r w:rsidR="001E447D" w:rsidRPr="001E447D">
        <w:rPr>
          <w:rFonts w:cs="Calibri"/>
          <w:highlight w:val="black"/>
        </w:rPr>
        <w:t>@@@@</w:t>
      </w:r>
      <w:r w:rsidRPr="004D0075">
        <w:rPr>
          <w:rFonts w:cs="Calibri"/>
        </w:rPr>
        <w:t>.</w:t>
      </w:r>
    </w:p>
    <w:p w14:paraId="5EB16602" w14:textId="26A67E45" w:rsidR="00D70349" w:rsidRPr="00E15C93" w:rsidRDefault="00D70349" w:rsidP="00D70349">
      <w:pPr>
        <w:pStyle w:val="4-SubsectionHeading"/>
        <w:rPr>
          <w:iCs/>
          <w:lang w:eastAsia="en-US"/>
        </w:rPr>
      </w:pPr>
      <w:r w:rsidRPr="00E15C93">
        <w:rPr>
          <w:iCs/>
          <w:lang w:eastAsia="en-US"/>
        </w:rPr>
        <w:t xml:space="preserve">Estimated PBS </w:t>
      </w:r>
      <w:r w:rsidR="00276BE3" w:rsidRPr="00E15C93">
        <w:rPr>
          <w:iCs/>
          <w:lang w:eastAsia="en-US"/>
        </w:rPr>
        <w:t>usage</w:t>
      </w:r>
      <w:r w:rsidRPr="00E15C93">
        <w:rPr>
          <w:iCs/>
          <w:lang w:eastAsia="en-US"/>
        </w:rPr>
        <w:t xml:space="preserve"> and financial implications</w:t>
      </w:r>
    </w:p>
    <w:p w14:paraId="09EB926B" w14:textId="67D828D2" w:rsidR="00FE56BD" w:rsidRPr="004D0075" w:rsidRDefault="004000CB" w:rsidP="00FE56BD">
      <w:pPr>
        <w:pStyle w:val="3-BodyText"/>
      </w:pPr>
      <w:r w:rsidRPr="004D0075">
        <w:fldChar w:fldCharType="begin" w:fldLock="1"/>
      </w:r>
      <w:r w:rsidRPr="004D0075">
        <w:instrText xml:space="preserve"> REF _Ref211583139 \h </w:instrText>
      </w:r>
      <w:r w:rsidR="00FE56BD" w:rsidRPr="004D0075">
        <w:instrText xml:space="preserve"> \* MERGEFORMAT </w:instrText>
      </w:r>
      <w:r w:rsidRPr="004D0075">
        <w:fldChar w:fldCharType="end"/>
      </w:r>
      <w:r w:rsidR="00FE56BD" w:rsidRPr="004D0075">
        <w:fldChar w:fldCharType="begin" w:fldLock="1"/>
      </w:r>
      <w:r w:rsidR="00FE56BD" w:rsidRPr="004D0075">
        <w:instrText xml:space="preserve"> REF _Ref211980648 \h  \* MERGEFORMAT </w:instrText>
      </w:r>
      <w:r w:rsidR="00FE56BD" w:rsidRPr="004D0075">
        <w:fldChar w:fldCharType="separate"/>
      </w:r>
      <w:r w:rsidR="00FE56BD" w:rsidRPr="004D0075">
        <w:t xml:space="preserve">Table </w:t>
      </w:r>
      <w:r w:rsidR="00FE56BD" w:rsidRPr="004D0075">
        <w:rPr>
          <w:noProof/>
        </w:rPr>
        <w:t>3</w:t>
      </w:r>
      <w:r w:rsidR="00FE56BD" w:rsidRPr="004D0075">
        <w:fldChar w:fldCharType="end"/>
      </w:r>
      <w:r w:rsidR="00FE56BD" w:rsidRPr="004D0075">
        <w:t xml:space="preserve"> </w:t>
      </w:r>
      <w:r w:rsidR="00D70349" w:rsidRPr="004D0075">
        <w:t>presents the estimated extent of use</w:t>
      </w:r>
      <w:r w:rsidR="00CF4987" w:rsidRPr="004D0075">
        <w:t xml:space="preserve"> and </w:t>
      </w:r>
      <w:r w:rsidR="00D70349" w:rsidRPr="004D0075">
        <w:t xml:space="preserve">cost of </w:t>
      </w:r>
      <w:r w:rsidR="00FE56BD" w:rsidRPr="004D0075">
        <w:t xml:space="preserve">the additional doses of </w:t>
      </w:r>
      <w:r w:rsidR="00A81334" w:rsidRPr="004D0075">
        <w:t>vedolizumab 300mg IV Q4W</w:t>
      </w:r>
      <w:r w:rsidR="00F17B83" w:rsidRPr="004D0075">
        <w:t xml:space="preserve"> </w:t>
      </w:r>
      <w:r w:rsidR="00D70349" w:rsidRPr="004D0075">
        <w:t xml:space="preserve">to the PBS/RPBS and the net financial implications to the </w:t>
      </w:r>
      <w:r w:rsidR="00FE56BD" w:rsidRPr="004D0075">
        <w:t xml:space="preserve">MBS and </w:t>
      </w:r>
      <w:r w:rsidR="00D70349" w:rsidRPr="004D0075">
        <w:t>PBS/RPBS</w:t>
      </w:r>
      <w:r w:rsidR="00B40D3A">
        <w:t xml:space="preserve"> as proposed in the submission</w:t>
      </w:r>
      <w:r w:rsidR="00D70349" w:rsidRPr="004D0075">
        <w:t>. The financial impact to Services Australia will be determined by that agency as part of the post PBAC process.</w:t>
      </w:r>
    </w:p>
    <w:p w14:paraId="350E06D7" w14:textId="78FA902C" w:rsidR="005259FD" w:rsidRPr="004D0075" w:rsidRDefault="005259FD" w:rsidP="00FE56BD">
      <w:pPr>
        <w:pStyle w:val="TableFigureHeading"/>
      </w:pPr>
      <w:bookmarkStart w:id="4" w:name="_Ref211980648"/>
      <w:r w:rsidRPr="004D0075">
        <w:lastRenderedPageBreak/>
        <w:t xml:space="preserve">Table </w:t>
      </w:r>
      <w:r w:rsidR="00FE56BD">
        <w:fldChar w:fldCharType="begin" w:fldLock="1"/>
      </w:r>
      <w:r w:rsidR="00FE56BD">
        <w:instrText xml:space="preserve"> SEQ Table \* ARABIC </w:instrText>
      </w:r>
      <w:r w:rsidR="00FE56BD">
        <w:fldChar w:fldCharType="separate"/>
      </w:r>
      <w:r w:rsidR="00FE56BD" w:rsidRPr="004D0075">
        <w:rPr>
          <w:noProof/>
        </w:rPr>
        <w:t>3</w:t>
      </w:r>
      <w:r w:rsidR="00FE56BD">
        <w:rPr>
          <w:noProof/>
        </w:rPr>
        <w:fldChar w:fldCharType="end"/>
      </w:r>
      <w:bookmarkEnd w:id="4"/>
      <w:r w:rsidRPr="004D0075">
        <w:t>: Revised estimates with effective pricing showing only additional Q4W usage and financial implications</w:t>
      </w:r>
    </w:p>
    <w:tbl>
      <w:tblPr>
        <w:tblStyle w:val="TableGrid"/>
        <w:tblW w:w="5107" w:type="pct"/>
        <w:tblLook w:val="04A0" w:firstRow="1" w:lastRow="0" w:firstColumn="1" w:lastColumn="0" w:noHBand="0" w:noVBand="1"/>
        <w:tblCaption w:val="Table 3: Revised estimates with effective pricing showing only additional Q4W usage and financial implications"/>
      </w:tblPr>
      <w:tblGrid>
        <w:gridCol w:w="1413"/>
        <w:gridCol w:w="1276"/>
        <w:gridCol w:w="1275"/>
        <w:gridCol w:w="1275"/>
        <w:gridCol w:w="1276"/>
        <w:gridCol w:w="1276"/>
        <w:gridCol w:w="1418"/>
      </w:tblGrid>
      <w:tr w:rsidR="005259FD" w:rsidRPr="004D0075" w14:paraId="17683970" w14:textId="77777777" w:rsidTr="009F72D1">
        <w:tc>
          <w:tcPr>
            <w:tcW w:w="767" w:type="pct"/>
            <w:vAlign w:val="center"/>
          </w:tcPr>
          <w:p w14:paraId="762946FC" w14:textId="77777777" w:rsidR="005259FD" w:rsidRPr="004D0075" w:rsidRDefault="005259FD" w:rsidP="003922A1">
            <w:pPr>
              <w:pStyle w:val="TableText0"/>
            </w:pPr>
          </w:p>
        </w:tc>
        <w:tc>
          <w:tcPr>
            <w:tcW w:w="693" w:type="pct"/>
            <w:vAlign w:val="center"/>
          </w:tcPr>
          <w:p w14:paraId="28952C6E" w14:textId="77777777" w:rsidR="005259FD" w:rsidRPr="004D0075" w:rsidRDefault="005259FD" w:rsidP="003922A1">
            <w:pPr>
              <w:pStyle w:val="In-tableHeading"/>
              <w:jc w:val="center"/>
            </w:pPr>
            <w:r w:rsidRPr="004D0075">
              <w:t>Year 1</w:t>
            </w:r>
          </w:p>
        </w:tc>
        <w:tc>
          <w:tcPr>
            <w:tcW w:w="692" w:type="pct"/>
            <w:vAlign w:val="center"/>
          </w:tcPr>
          <w:p w14:paraId="7DD64D9A" w14:textId="77777777" w:rsidR="005259FD" w:rsidRPr="004D0075" w:rsidRDefault="005259FD" w:rsidP="003922A1">
            <w:pPr>
              <w:pStyle w:val="In-tableHeading"/>
              <w:jc w:val="center"/>
            </w:pPr>
            <w:r w:rsidRPr="004D0075">
              <w:t>Year 2</w:t>
            </w:r>
          </w:p>
        </w:tc>
        <w:tc>
          <w:tcPr>
            <w:tcW w:w="692" w:type="pct"/>
            <w:vAlign w:val="center"/>
          </w:tcPr>
          <w:p w14:paraId="216BFE64" w14:textId="77777777" w:rsidR="005259FD" w:rsidRPr="004D0075" w:rsidRDefault="005259FD" w:rsidP="003922A1">
            <w:pPr>
              <w:pStyle w:val="In-tableHeading"/>
              <w:jc w:val="center"/>
            </w:pPr>
            <w:r w:rsidRPr="004D0075">
              <w:t>Year 3</w:t>
            </w:r>
          </w:p>
        </w:tc>
        <w:tc>
          <w:tcPr>
            <w:tcW w:w="693" w:type="pct"/>
            <w:vAlign w:val="center"/>
          </w:tcPr>
          <w:p w14:paraId="470AF61A" w14:textId="77777777" w:rsidR="005259FD" w:rsidRPr="004D0075" w:rsidRDefault="005259FD" w:rsidP="003922A1">
            <w:pPr>
              <w:pStyle w:val="In-tableHeading"/>
              <w:jc w:val="center"/>
            </w:pPr>
            <w:r w:rsidRPr="004D0075">
              <w:t>Year 4</w:t>
            </w:r>
          </w:p>
        </w:tc>
        <w:tc>
          <w:tcPr>
            <w:tcW w:w="693" w:type="pct"/>
            <w:vAlign w:val="center"/>
          </w:tcPr>
          <w:p w14:paraId="0A9030FE" w14:textId="77777777" w:rsidR="005259FD" w:rsidRPr="004D0075" w:rsidRDefault="005259FD" w:rsidP="003922A1">
            <w:pPr>
              <w:pStyle w:val="In-tableHeading"/>
              <w:jc w:val="center"/>
            </w:pPr>
            <w:r w:rsidRPr="004D0075">
              <w:t>Year 5</w:t>
            </w:r>
          </w:p>
        </w:tc>
        <w:tc>
          <w:tcPr>
            <w:tcW w:w="769" w:type="pct"/>
            <w:vAlign w:val="center"/>
          </w:tcPr>
          <w:p w14:paraId="58B4492D" w14:textId="77777777" w:rsidR="005259FD" w:rsidRPr="004D0075" w:rsidRDefault="005259FD" w:rsidP="003922A1">
            <w:pPr>
              <w:pStyle w:val="In-tableHeading"/>
              <w:jc w:val="center"/>
            </w:pPr>
            <w:r w:rsidRPr="004D0075">
              <w:t>Year 6</w:t>
            </w:r>
          </w:p>
        </w:tc>
      </w:tr>
      <w:tr w:rsidR="005259FD" w:rsidRPr="004D0075" w14:paraId="30A1D858" w14:textId="77777777" w:rsidTr="009F72D1">
        <w:tc>
          <w:tcPr>
            <w:tcW w:w="5000" w:type="pct"/>
            <w:gridSpan w:val="7"/>
            <w:shd w:val="clear" w:color="auto" w:fill="D9D9D9" w:themeFill="background1" w:themeFillShade="D9"/>
            <w:vAlign w:val="center"/>
          </w:tcPr>
          <w:p w14:paraId="14703B5B" w14:textId="77777777" w:rsidR="005259FD" w:rsidRPr="004D0075" w:rsidRDefault="005259FD" w:rsidP="003922A1">
            <w:pPr>
              <w:pStyle w:val="In-tableHeading"/>
              <w:rPr>
                <w:bCs/>
              </w:rPr>
            </w:pPr>
            <w:r w:rsidRPr="004D0075">
              <w:t>Estimated extent of use – severe Crohn disease</w:t>
            </w:r>
          </w:p>
        </w:tc>
      </w:tr>
      <w:tr w:rsidR="005259FD" w:rsidRPr="004D0075" w14:paraId="2929E6D7" w14:textId="77777777" w:rsidTr="009F72D1">
        <w:tc>
          <w:tcPr>
            <w:tcW w:w="767" w:type="pct"/>
            <w:vAlign w:val="center"/>
          </w:tcPr>
          <w:p w14:paraId="4BF569FB" w14:textId="77777777" w:rsidR="005259FD" w:rsidRPr="004D0075" w:rsidRDefault="005259FD" w:rsidP="003922A1">
            <w:pPr>
              <w:pStyle w:val="TableText0"/>
            </w:pPr>
            <w:r w:rsidRPr="004D0075">
              <w:t>Number of Q4W scripts dispensed</w:t>
            </w:r>
          </w:p>
        </w:tc>
        <w:tc>
          <w:tcPr>
            <w:tcW w:w="693" w:type="pct"/>
            <w:vAlign w:val="center"/>
          </w:tcPr>
          <w:p w14:paraId="20EF9D00" w14:textId="62CCB2C5" w:rsidR="005259FD" w:rsidRPr="009F72D1" w:rsidRDefault="001E447D" w:rsidP="003922A1">
            <w:pPr>
              <w:pStyle w:val="TableText0"/>
              <w:jc w:val="center"/>
              <w:rPr>
                <w:vertAlign w:val="superscript"/>
              </w:rPr>
            </w:pPr>
            <w:r w:rsidRPr="001E447D">
              <w:rPr>
                <w:highlight w:val="black"/>
              </w:rPr>
              <w:t>@@@@</w:t>
            </w:r>
            <w:r w:rsidR="00A45322">
              <w:rPr>
                <w:vertAlign w:val="superscript"/>
              </w:rPr>
              <w:t>1</w:t>
            </w:r>
          </w:p>
        </w:tc>
        <w:tc>
          <w:tcPr>
            <w:tcW w:w="692" w:type="pct"/>
            <w:vAlign w:val="center"/>
          </w:tcPr>
          <w:p w14:paraId="2366C22C" w14:textId="43C26C32" w:rsidR="005259FD" w:rsidRPr="009F72D1" w:rsidRDefault="001E447D" w:rsidP="003922A1">
            <w:pPr>
              <w:pStyle w:val="TableText0"/>
              <w:jc w:val="center"/>
              <w:rPr>
                <w:highlight w:val="darkGray"/>
              </w:rPr>
            </w:pPr>
            <w:r w:rsidRPr="001E447D">
              <w:rPr>
                <w:highlight w:val="black"/>
              </w:rPr>
              <w:t>@@@@</w:t>
            </w:r>
            <w:r w:rsidR="00A45322">
              <w:rPr>
                <w:vertAlign w:val="superscript"/>
              </w:rPr>
              <w:t>1</w:t>
            </w:r>
          </w:p>
        </w:tc>
        <w:tc>
          <w:tcPr>
            <w:tcW w:w="692" w:type="pct"/>
            <w:vAlign w:val="center"/>
          </w:tcPr>
          <w:p w14:paraId="3833DC2A" w14:textId="46964B09" w:rsidR="005259FD" w:rsidRPr="009F72D1" w:rsidRDefault="001E447D" w:rsidP="003922A1">
            <w:pPr>
              <w:pStyle w:val="TableText0"/>
              <w:jc w:val="center"/>
              <w:rPr>
                <w:highlight w:val="darkGray"/>
              </w:rPr>
            </w:pPr>
            <w:r w:rsidRPr="001E447D">
              <w:rPr>
                <w:highlight w:val="black"/>
              </w:rPr>
              <w:t>@@@@</w:t>
            </w:r>
            <w:r w:rsidR="00A45322">
              <w:rPr>
                <w:vertAlign w:val="superscript"/>
              </w:rPr>
              <w:t>1</w:t>
            </w:r>
          </w:p>
        </w:tc>
        <w:tc>
          <w:tcPr>
            <w:tcW w:w="693" w:type="pct"/>
            <w:vAlign w:val="center"/>
          </w:tcPr>
          <w:p w14:paraId="38920A5B" w14:textId="63C09019" w:rsidR="005259FD" w:rsidRPr="009F72D1" w:rsidRDefault="001E447D" w:rsidP="003922A1">
            <w:pPr>
              <w:pStyle w:val="TableText0"/>
              <w:jc w:val="center"/>
              <w:rPr>
                <w:highlight w:val="darkGray"/>
              </w:rPr>
            </w:pPr>
            <w:r w:rsidRPr="001E447D">
              <w:rPr>
                <w:highlight w:val="black"/>
              </w:rPr>
              <w:t>@@@@</w:t>
            </w:r>
            <w:r w:rsidR="00A45322">
              <w:rPr>
                <w:vertAlign w:val="superscript"/>
              </w:rPr>
              <w:t>1</w:t>
            </w:r>
          </w:p>
        </w:tc>
        <w:tc>
          <w:tcPr>
            <w:tcW w:w="693" w:type="pct"/>
            <w:vAlign w:val="center"/>
          </w:tcPr>
          <w:p w14:paraId="55A40964" w14:textId="54E664C8" w:rsidR="005259FD" w:rsidRPr="009F72D1" w:rsidRDefault="001E447D" w:rsidP="003922A1">
            <w:pPr>
              <w:pStyle w:val="TableText0"/>
              <w:jc w:val="center"/>
              <w:rPr>
                <w:highlight w:val="darkGray"/>
              </w:rPr>
            </w:pPr>
            <w:r w:rsidRPr="001E447D">
              <w:rPr>
                <w:highlight w:val="black"/>
              </w:rPr>
              <w:t>@@@@</w:t>
            </w:r>
            <w:r w:rsidR="00A45322">
              <w:rPr>
                <w:vertAlign w:val="superscript"/>
              </w:rPr>
              <w:t>1</w:t>
            </w:r>
          </w:p>
        </w:tc>
        <w:tc>
          <w:tcPr>
            <w:tcW w:w="769" w:type="pct"/>
            <w:vAlign w:val="center"/>
          </w:tcPr>
          <w:p w14:paraId="11093459" w14:textId="34950526" w:rsidR="005259FD" w:rsidRPr="009F72D1" w:rsidRDefault="001E447D" w:rsidP="003922A1">
            <w:pPr>
              <w:pStyle w:val="TableText0"/>
              <w:jc w:val="center"/>
              <w:rPr>
                <w:highlight w:val="darkGray"/>
              </w:rPr>
            </w:pPr>
            <w:r w:rsidRPr="001E447D">
              <w:rPr>
                <w:highlight w:val="black"/>
              </w:rPr>
              <w:t>@@@@</w:t>
            </w:r>
            <w:r w:rsidR="00A45322">
              <w:rPr>
                <w:vertAlign w:val="superscript"/>
              </w:rPr>
              <w:t>1</w:t>
            </w:r>
          </w:p>
        </w:tc>
      </w:tr>
      <w:tr w:rsidR="005259FD" w:rsidRPr="004D0075" w14:paraId="1647806A" w14:textId="77777777" w:rsidTr="009F72D1">
        <w:tc>
          <w:tcPr>
            <w:tcW w:w="767" w:type="pct"/>
            <w:vAlign w:val="center"/>
          </w:tcPr>
          <w:p w14:paraId="47899BE6" w14:textId="77777777" w:rsidR="005259FD" w:rsidRPr="004D0075" w:rsidRDefault="005259FD" w:rsidP="003922A1">
            <w:pPr>
              <w:pStyle w:val="TableText0"/>
            </w:pPr>
            <w:r w:rsidRPr="004D0075">
              <w:t>Number of Q8W scripts impacted</w:t>
            </w:r>
          </w:p>
        </w:tc>
        <w:tc>
          <w:tcPr>
            <w:tcW w:w="693" w:type="pct"/>
            <w:vAlign w:val="center"/>
          </w:tcPr>
          <w:p w14:paraId="052E9F93" w14:textId="3B5B2A6C" w:rsidR="005259FD" w:rsidRPr="009F72D1" w:rsidRDefault="005259FD" w:rsidP="003922A1">
            <w:pPr>
              <w:pStyle w:val="TableText0"/>
              <w:jc w:val="center"/>
              <w:rPr>
                <w:vertAlign w:val="superscript"/>
              </w:rPr>
            </w:pPr>
            <w:r w:rsidRPr="004D0075">
              <w:t>-</w:t>
            </w:r>
            <w:r w:rsidR="001E447D" w:rsidRPr="001E447D">
              <w:rPr>
                <w:highlight w:val="black"/>
              </w:rPr>
              <w:t>@@@@</w:t>
            </w:r>
            <w:r w:rsidR="005D592B">
              <w:rPr>
                <w:vertAlign w:val="superscript"/>
              </w:rPr>
              <w:t>2</w:t>
            </w:r>
          </w:p>
        </w:tc>
        <w:tc>
          <w:tcPr>
            <w:tcW w:w="692" w:type="pct"/>
            <w:vAlign w:val="center"/>
          </w:tcPr>
          <w:p w14:paraId="68AC75C9" w14:textId="02B5E782" w:rsidR="005259FD" w:rsidRPr="009F72D1" w:rsidRDefault="005259FD" w:rsidP="003922A1">
            <w:pPr>
              <w:pStyle w:val="TableText0"/>
              <w:jc w:val="center"/>
              <w:rPr>
                <w:vertAlign w:val="superscript"/>
              </w:rPr>
            </w:pPr>
            <w:r w:rsidRPr="004D0075">
              <w:t>-</w:t>
            </w:r>
            <w:r w:rsidR="001E447D" w:rsidRPr="001E447D">
              <w:rPr>
                <w:highlight w:val="black"/>
              </w:rPr>
              <w:t>@@@@</w:t>
            </w:r>
            <w:r w:rsidR="005D592B">
              <w:rPr>
                <w:vertAlign w:val="superscript"/>
              </w:rPr>
              <w:t>2</w:t>
            </w:r>
          </w:p>
        </w:tc>
        <w:tc>
          <w:tcPr>
            <w:tcW w:w="692" w:type="pct"/>
            <w:vAlign w:val="center"/>
          </w:tcPr>
          <w:p w14:paraId="3B2F8061" w14:textId="03968E39" w:rsidR="005259FD" w:rsidRPr="009F72D1" w:rsidRDefault="005259FD" w:rsidP="003922A1">
            <w:pPr>
              <w:pStyle w:val="TableText0"/>
              <w:jc w:val="center"/>
              <w:rPr>
                <w:vertAlign w:val="superscript"/>
              </w:rPr>
            </w:pPr>
            <w:r w:rsidRPr="004D0075">
              <w:t>-</w:t>
            </w:r>
            <w:r w:rsidR="001E447D" w:rsidRPr="001E447D">
              <w:rPr>
                <w:highlight w:val="black"/>
              </w:rPr>
              <w:t>@@@@</w:t>
            </w:r>
            <w:r w:rsidR="005D592B">
              <w:rPr>
                <w:vertAlign w:val="superscript"/>
              </w:rPr>
              <w:t>2</w:t>
            </w:r>
          </w:p>
        </w:tc>
        <w:tc>
          <w:tcPr>
            <w:tcW w:w="693" w:type="pct"/>
            <w:vAlign w:val="center"/>
          </w:tcPr>
          <w:p w14:paraId="285CD358" w14:textId="01AF1066" w:rsidR="005259FD" w:rsidRPr="004D0075" w:rsidRDefault="005259FD" w:rsidP="003922A1">
            <w:pPr>
              <w:pStyle w:val="TableText0"/>
              <w:jc w:val="center"/>
            </w:pPr>
            <w:r w:rsidRPr="004D0075">
              <w:t>-</w:t>
            </w:r>
            <w:r w:rsidR="001E447D" w:rsidRPr="001E447D">
              <w:rPr>
                <w:highlight w:val="black"/>
              </w:rPr>
              <w:t>@@@@</w:t>
            </w:r>
            <w:r w:rsidR="005D592B">
              <w:rPr>
                <w:vertAlign w:val="superscript"/>
              </w:rPr>
              <w:t>2</w:t>
            </w:r>
          </w:p>
        </w:tc>
        <w:tc>
          <w:tcPr>
            <w:tcW w:w="693" w:type="pct"/>
            <w:vAlign w:val="center"/>
          </w:tcPr>
          <w:p w14:paraId="0C24A319" w14:textId="1CE32FFD" w:rsidR="005259FD" w:rsidRPr="004D0075" w:rsidRDefault="005259FD" w:rsidP="003922A1">
            <w:pPr>
              <w:pStyle w:val="TableText0"/>
              <w:jc w:val="center"/>
            </w:pPr>
            <w:r w:rsidRPr="004D0075">
              <w:t>-</w:t>
            </w:r>
            <w:r w:rsidR="001E447D" w:rsidRPr="001E447D">
              <w:rPr>
                <w:highlight w:val="black"/>
              </w:rPr>
              <w:t>@@@@</w:t>
            </w:r>
            <w:r w:rsidR="005D592B">
              <w:rPr>
                <w:vertAlign w:val="superscript"/>
              </w:rPr>
              <w:t>2</w:t>
            </w:r>
          </w:p>
        </w:tc>
        <w:tc>
          <w:tcPr>
            <w:tcW w:w="769" w:type="pct"/>
            <w:vAlign w:val="center"/>
          </w:tcPr>
          <w:p w14:paraId="7491BE89" w14:textId="7AD3C121" w:rsidR="005259FD" w:rsidRPr="004D0075" w:rsidRDefault="005259FD" w:rsidP="003922A1">
            <w:pPr>
              <w:pStyle w:val="TableText0"/>
              <w:jc w:val="center"/>
            </w:pPr>
            <w:r w:rsidRPr="004D0075">
              <w:t>-</w:t>
            </w:r>
            <w:r w:rsidR="001E447D" w:rsidRPr="001E447D">
              <w:rPr>
                <w:highlight w:val="black"/>
              </w:rPr>
              <w:t>@@@@</w:t>
            </w:r>
            <w:r w:rsidR="005D592B">
              <w:rPr>
                <w:vertAlign w:val="superscript"/>
              </w:rPr>
              <w:t>2</w:t>
            </w:r>
          </w:p>
        </w:tc>
      </w:tr>
      <w:tr w:rsidR="005259FD" w:rsidRPr="004D0075" w14:paraId="79D7BBE8" w14:textId="77777777" w:rsidTr="009F72D1">
        <w:tc>
          <w:tcPr>
            <w:tcW w:w="5000" w:type="pct"/>
            <w:gridSpan w:val="7"/>
            <w:shd w:val="clear" w:color="auto" w:fill="D9D9D9" w:themeFill="background1" w:themeFillShade="D9"/>
            <w:vAlign w:val="center"/>
          </w:tcPr>
          <w:p w14:paraId="501612B0" w14:textId="77777777" w:rsidR="005259FD" w:rsidRPr="004D0075" w:rsidRDefault="005259FD" w:rsidP="003922A1">
            <w:pPr>
              <w:pStyle w:val="In-tableHeading"/>
              <w:rPr>
                <w:bCs/>
              </w:rPr>
            </w:pPr>
            <w:r w:rsidRPr="004D0075">
              <w:rPr>
                <w:bCs/>
              </w:rPr>
              <w:t xml:space="preserve">Estimated Impact </w:t>
            </w:r>
            <w:r w:rsidRPr="004D0075">
              <w:t>(Scripts x DPMQ</w:t>
            </w:r>
            <w:r w:rsidRPr="004D0075">
              <w:rPr>
                <w:bCs/>
                <w:vertAlign w:val="superscript"/>
              </w:rPr>
              <w:t>a</w:t>
            </w:r>
            <w:r w:rsidRPr="004D0075">
              <w:t xml:space="preserve"> - Co-Payment) – severe Crohn disease</w:t>
            </w:r>
          </w:p>
        </w:tc>
      </w:tr>
      <w:tr w:rsidR="005259FD" w:rsidRPr="004D0075" w14:paraId="42164BF6" w14:textId="77777777" w:rsidTr="009F72D1">
        <w:tc>
          <w:tcPr>
            <w:tcW w:w="767" w:type="pct"/>
            <w:vAlign w:val="center"/>
          </w:tcPr>
          <w:p w14:paraId="6450A88B" w14:textId="0F57B4B0" w:rsidR="005259FD" w:rsidRPr="004D0075" w:rsidRDefault="005259FD" w:rsidP="003922A1">
            <w:pPr>
              <w:pStyle w:val="TableText0"/>
            </w:pPr>
            <w:r w:rsidRPr="004D0075">
              <w:t>Q4W cost to PBS/RPBS less co-payment</w:t>
            </w:r>
            <w:r w:rsidR="005D592B">
              <w:t xml:space="preserve"> ($)</w:t>
            </w:r>
          </w:p>
        </w:tc>
        <w:tc>
          <w:tcPr>
            <w:tcW w:w="693" w:type="pct"/>
            <w:vAlign w:val="center"/>
          </w:tcPr>
          <w:p w14:paraId="055EC0AE" w14:textId="60F988E3" w:rsidR="005259FD" w:rsidRPr="009F72D1" w:rsidRDefault="001E447D" w:rsidP="003922A1">
            <w:pPr>
              <w:pStyle w:val="TableText0"/>
              <w:jc w:val="center"/>
              <w:rPr>
                <w:highlight w:val="darkGray"/>
              </w:rPr>
            </w:pPr>
            <w:r w:rsidRPr="001E447D">
              <w:rPr>
                <w:highlight w:val="black"/>
              </w:rPr>
              <w:t>@@@@</w:t>
            </w:r>
            <w:r w:rsidR="005D592B">
              <w:rPr>
                <w:vertAlign w:val="superscript"/>
              </w:rPr>
              <w:t>3</w:t>
            </w:r>
          </w:p>
        </w:tc>
        <w:tc>
          <w:tcPr>
            <w:tcW w:w="692" w:type="pct"/>
            <w:vAlign w:val="center"/>
          </w:tcPr>
          <w:p w14:paraId="1F128112" w14:textId="4A3DD845" w:rsidR="005259FD" w:rsidRPr="009F72D1" w:rsidRDefault="001E447D" w:rsidP="003922A1">
            <w:pPr>
              <w:pStyle w:val="TableText0"/>
              <w:jc w:val="center"/>
              <w:rPr>
                <w:highlight w:val="darkGray"/>
              </w:rPr>
            </w:pPr>
            <w:r w:rsidRPr="001E447D">
              <w:rPr>
                <w:highlight w:val="black"/>
              </w:rPr>
              <w:t>@@@@</w:t>
            </w:r>
            <w:r w:rsidR="005D592B">
              <w:rPr>
                <w:vertAlign w:val="superscript"/>
              </w:rPr>
              <w:t>3</w:t>
            </w:r>
          </w:p>
        </w:tc>
        <w:tc>
          <w:tcPr>
            <w:tcW w:w="692" w:type="pct"/>
            <w:vAlign w:val="center"/>
          </w:tcPr>
          <w:p w14:paraId="23EE4950" w14:textId="7CF99283" w:rsidR="005259FD" w:rsidRPr="009F72D1" w:rsidRDefault="001E447D" w:rsidP="003922A1">
            <w:pPr>
              <w:pStyle w:val="TableText0"/>
              <w:jc w:val="center"/>
              <w:rPr>
                <w:highlight w:val="darkGray"/>
              </w:rPr>
            </w:pPr>
            <w:r w:rsidRPr="001E447D">
              <w:rPr>
                <w:highlight w:val="black"/>
              </w:rPr>
              <w:t>@@@@</w:t>
            </w:r>
            <w:r w:rsidR="005D592B">
              <w:rPr>
                <w:vertAlign w:val="superscript"/>
              </w:rPr>
              <w:t>3</w:t>
            </w:r>
          </w:p>
        </w:tc>
        <w:tc>
          <w:tcPr>
            <w:tcW w:w="693" w:type="pct"/>
            <w:vAlign w:val="center"/>
          </w:tcPr>
          <w:p w14:paraId="077F3744" w14:textId="1D0DF80B" w:rsidR="005259FD" w:rsidRPr="009F72D1" w:rsidRDefault="001E447D" w:rsidP="003922A1">
            <w:pPr>
              <w:pStyle w:val="TableText0"/>
              <w:jc w:val="center"/>
              <w:rPr>
                <w:highlight w:val="darkGray"/>
              </w:rPr>
            </w:pPr>
            <w:r w:rsidRPr="001E447D">
              <w:rPr>
                <w:highlight w:val="black"/>
              </w:rPr>
              <w:t>@@@@</w:t>
            </w:r>
            <w:r w:rsidR="005D592B">
              <w:rPr>
                <w:vertAlign w:val="superscript"/>
              </w:rPr>
              <w:t>3</w:t>
            </w:r>
          </w:p>
        </w:tc>
        <w:tc>
          <w:tcPr>
            <w:tcW w:w="693" w:type="pct"/>
            <w:vAlign w:val="center"/>
          </w:tcPr>
          <w:p w14:paraId="3677DDD5" w14:textId="3C01F972" w:rsidR="005259FD" w:rsidRPr="009F72D1" w:rsidRDefault="001E447D" w:rsidP="003922A1">
            <w:pPr>
              <w:pStyle w:val="TableText0"/>
              <w:jc w:val="center"/>
              <w:rPr>
                <w:highlight w:val="darkGray"/>
                <w:vertAlign w:val="superscript"/>
              </w:rPr>
            </w:pPr>
            <w:r w:rsidRPr="001E447D">
              <w:rPr>
                <w:highlight w:val="black"/>
              </w:rPr>
              <w:t>@@@@</w:t>
            </w:r>
            <w:r w:rsidR="002D2B18" w:rsidRPr="009F72D1">
              <w:rPr>
                <w:vertAlign w:val="superscript"/>
              </w:rPr>
              <w:t>4</w:t>
            </w:r>
          </w:p>
        </w:tc>
        <w:tc>
          <w:tcPr>
            <w:tcW w:w="769" w:type="pct"/>
            <w:vAlign w:val="center"/>
          </w:tcPr>
          <w:p w14:paraId="2F85FBB6" w14:textId="3C98E867" w:rsidR="005259FD" w:rsidRPr="009F72D1" w:rsidRDefault="001E447D" w:rsidP="003922A1">
            <w:pPr>
              <w:pStyle w:val="TableText0"/>
              <w:jc w:val="center"/>
              <w:rPr>
                <w:highlight w:val="darkGray"/>
              </w:rPr>
            </w:pPr>
            <w:r w:rsidRPr="001E447D">
              <w:rPr>
                <w:highlight w:val="black"/>
              </w:rPr>
              <w:t>@@@@</w:t>
            </w:r>
            <w:r w:rsidR="002D2B18" w:rsidRPr="009037E3">
              <w:rPr>
                <w:vertAlign w:val="superscript"/>
              </w:rPr>
              <w:t>4</w:t>
            </w:r>
          </w:p>
        </w:tc>
      </w:tr>
      <w:tr w:rsidR="005259FD" w:rsidRPr="004D0075" w14:paraId="68C63F3D" w14:textId="77777777" w:rsidTr="009F72D1">
        <w:tc>
          <w:tcPr>
            <w:tcW w:w="767" w:type="pct"/>
            <w:vAlign w:val="center"/>
          </w:tcPr>
          <w:p w14:paraId="6C6CE3D9" w14:textId="66F382D2" w:rsidR="005259FD" w:rsidRPr="004D0075" w:rsidRDefault="005259FD" w:rsidP="003922A1">
            <w:pPr>
              <w:pStyle w:val="TableText0"/>
            </w:pPr>
            <w:r w:rsidRPr="004D0075">
              <w:t>Q8W cost to PBS/RPBS less co-payment</w:t>
            </w:r>
            <w:r w:rsidR="005D592B">
              <w:t xml:space="preserve"> ($)</w:t>
            </w:r>
          </w:p>
        </w:tc>
        <w:tc>
          <w:tcPr>
            <w:tcW w:w="693" w:type="pct"/>
            <w:vAlign w:val="center"/>
          </w:tcPr>
          <w:p w14:paraId="286DE09D" w14:textId="357E0EAD" w:rsidR="005259FD" w:rsidRPr="004D0075" w:rsidRDefault="005259FD" w:rsidP="003922A1">
            <w:pPr>
              <w:pStyle w:val="TableText0"/>
              <w:jc w:val="center"/>
            </w:pPr>
            <w:r w:rsidRPr="004D0075">
              <w:t>-</w:t>
            </w:r>
            <w:r w:rsidR="001E447D" w:rsidRPr="001E447D">
              <w:rPr>
                <w:highlight w:val="black"/>
              </w:rPr>
              <w:t>@@@@</w:t>
            </w:r>
            <w:r w:rsidR="002D2B18">
              <w:rPr>
                <w:vertAlign w:val="superscript"/>
              </w:rPr>
              <w:t>3</w:t>
            </w:r>
          </w:p>
        </w:tc>
        <w:tc>
          <w:tcPr>
            <w:tcW w:w="692" w:type="pct"/>
            <w:vAlign w:val="center"/>
          </w:tcPr>
          <w:p w14:paraId="1A4EA65A" w14:textId="3BD07F08" w:rsidR="005259FD" w:rsidRPr="004D0075" w:rsidRDefault="005259FD" w:rsidP="003922A1">
            <w:pPr>
              <w:pStyle w:val="TableText0"/>
              <w:jc w:val="center"/>
            </w:pPr>
            <w:r w:rsidRPr="004D0075">
              <w:t>-</w:t>
            </w:r>
            <w:r w:rsidR="001E447D" w:rsidRPr="001E447D">
              <w:rPr>
                <w:highlight w:val="black"/>
              </w:rPr>
              <w:t>@@@@</w:t>
            </w:r>
            <w:r w:rsidR="002D2B18">
              <w:rPr>
                <w:vertAlign w:val="superscript"/>
              </w:rPr>
              <w:t>3</w:t>
            </w:r>
          </w:p>
        </w:tc>
        <w:tc>
          <w:tcPr>
            <w:tcW w:w="692" w:type="pct"/>
            <w:vAlign w:val="center"/>
          </w:tcPr>
          <w:p w14:paraId="565090D4" w14:textId="2B7C98CF" w:rsidR="005259FD" w:rsidRPr="004D0075" w:rsidRDefault="005259FD" w:rsidP="003922A1">
            <w:pPr>
              <w:pStyle w:val="TableText0"/>
              <w:jc w:val="center"/>
            </w:pPr>
            <w:r w:rsidRPr="004D0075">
              <w:t>-</w:t>
            </w:r>
            <w:r w:rsidR="001E447D" w:rsidRPr="001E447D">
              <w:rPr>
                <w:highlight w:val="black"/>
              </w:rPr>
              <w:t>@@@@</w:t>
            </w:r>
            <w:r w:rsidR="002D2B18">
              <w:rPr>
                <w:vertAlign w:val="superscript"/>
              </w:rPr>
              <w:t>3</w:t>
            </w:r>
          </w:p>
        </w:tc>
        <w:tc>
          <w:tcPr>
            <w:tcW w:w="693" w:type="pct"/>
            <w:vAlign w:val="center"/>
          </w:tcPr>
          <w:p w14:paraId="6BD0EF74" w14:textId="0415A3FA" w:rsidR="005259FD" w:rsidRPr="004D0075" w:rsidRDefault="005259FD" w:rsidP="003922A1">
            <w:pPr>
              <w:pStyle w:val="TableText0"/>
              <w:jc w:val="center"/>
            </w:pPr>
            <w:r w:rsidRPr="004D0075">
              <w:t>-</w:t>
            </w:r>
            <w:r w:rsidR="001E447D" w:rsidRPr="001E447D">
              <w:rPr>
                <w:highlight w:val="black"/>
              </w:rPr>
              <w:t>@@@@</w:t>
            </w:r>
            <w:r w:rsidR="002D2B18">
              <w:rPr>
                <w:vertAlign w:val="superscript"/>
              </w:rPr>
              <w:t>3</w:t>
            </w:r>
          </w:p>
        </w:tc>
        <w:tc>
          <w:tcPr>
            <w:tcW w:w="693" w:type="pct"/>
            <w:vAlign w:val="center"/>
          </w:tcPr>
          <w:p w14:paraId="497F1832" w14:textId="37D929B1" w:rsidR="005259FD" w:rsidRPr="004D0075" w:rsidRDefault="005259FD" w:rsidP="003922A1">
            <w:pPr>
              <w:pStyle w:val="TableText0"/>
              <w:jc w:val="center"/>
            </w:pPr>
            <w:r w:rsidRPr="004D0075">
              <w:t>-</w:t>
            </w:r>
            <w:r w:rsidR="001E447D" w:rsidRPr="001E447D">
              <w:rPr>
                <w:highlight w:val="black"/>
              </w:rPr>
              <w:t>@@@@</w:t>
            </w:r>
            <w:r w:rsidR="002D2B18">
              <w:rPr>
                <w:vertAlign w:val="superscript"/>
              </w:rPr>
              <w:t>3</w:t>
            </w:r>
          </w:p>
        </w:tc>
        <w:tc>
          <w:tcPr>
            <w:tcW w:w="769" w:type="pct"/>
            <w:vAlign w:val="center"/>
          </w:tcPr>
          <w:p w14:paraId="2BD0151A" w14:textId="1121CD63" w:rsidR="005259FD" w:rsidRPr="004D0075" w:rsidRDefault="005259FD" w:rsidP="003922A1">
            <w:pPr>
              <w:pStyle w:val="TableText0"/>
              <w:jc w:val="center"/>
            </w:pPr>
            <w:r w:rsidRPr="004D0075">
              <w:t>-</w:t>
            </w:r>
            <w:r w:rsidR="001E447D" w:rsidRPr="001E447D">
              <w:rPr>
                <w:highlight w:val="black"/>
              </w:rPr>
              <w:t>@@@@</w:t>
            </w:r>
            <w:r w:rsidR="002D2B18">
              <w:rPr>
                <w:vertAlign w:val="superscript"/>
              </w:rPr>
              <w:t>3</w:t>
            </w:r>
          </w:p>
        </w:tc>
      </w:tr>
      <w:tr w:rsidR="005259FD" w:rsidRPr="004D0075" w14:paraId="12FCADE7" w14:textId="77777777" w:rsidTr="009F72D1">
        <w:tc>
          <w:tcPr>
            <w:tcW w:w="767" w:type="pct"/>
            <w:vAlign w:val="center"/>
          </w:tcPr>
          <w:p w14:paraId="1874FB3A" w14:textId="60E83500" w:rsidR="005259FD" w:rsidRPr="004D0075" w:rsidRDefault="005259FD" w:rsidP="003922A1">
            <w:pPr>
              <w:pStyle w:val="TableText0"/>
            </w:pPr>
            <w:r w:rsidRPr="004D0075">
              <w:t>Net cost to the PBS/RPBS</w:t>
            </w:r>
            <w:r w:rsidR="005D592B">
              <w:t xml:space="preserve"> ($)</w:t>
            </w:r>
          </w:p>
        </w:tc>
        <w:tc>
          <w:tcPr>
            <w:tcW w:w="693" w:type="pct"/>
            <w:vAlign w:val="center"/>
          </w:tcPr>
          <w:p w14:paraId="5AD6A168" w14:textId="66C48A4C" w:rsidR="005259FD" w:rsidRPr="009F72D1" w:rsidRDefault="001E447D" w:rsidP="003922A1">
            <w:pPr>
              <w:pStyle w:val="TableText0"/>
              <w:jc w:val="center"/>
              <w:rPr>
                <w:highlight w:val="darkGray"/>
                <w:vertAlign w:val="superscript"/>
              </w:rPr>
            </w:pPr>
            <w:r w:rsidRPr="001E447D">
              <w:rPr>
                <w:highlight w:val="black"/>
              </w:rPr>
              <w:t>@@@@</w:t>
            </w:r>
            <w:r w:rsidR="002D2B18" w:rsidRPr="009F72D1">
              <w:rPr>
                <w:vertAlign w:val="superscript"/>
              </w:rPr>
              <w:t>5</w:t>
            </w:r>
          </w:p>
        </w:tc>
        <w:tc>
          <w:tcPr>
            <w:tcW w:w="692" w:type="pct"/>
            <w:vAlign w:val="center"/>
          </w:tcPr>
          <w:p w14:paraId="76FAFB9A" w14:textId="4E29598F" w:rsidR="005259FD" w:rsidRPr="009F72D1" w:rsidRDefault="001E447D" w:rsidP="003922A1">
            <w:pPr>
              <w:pStyle w:val="TableText0"/>
              <w:jc w:val="center"/>
              <w:rPr>
                <w:highlight w:val="darkGray"/>
              </w:rPr>
            </w:pPr>
            <w:r w:rsidRPr="001E447D">
              <w:rPr>
                <w:highlight w:val="black"/>
              </w:rPr>
              <w:t>@@@@</w:t>
            </w:r>
            <w:r w:rsidR="002D2B18" w:rsidRPr="009037E3">
              <w:rPr>
                <w:vertAlign w:val="superscript"/>
              </w:rPr>
              <w:t>5</w:t>
            </w:r>
          </w:p>
        </w:tc>
        <w:tc>
          <w:tcPr>
            <w:tcW w:w="692" w:type="pct"/>
            <w:vAlign w:val="center"/>
          </w:tcPr>
          <w:p w14:paraId="15934792" w14:textId="592F64BC" w:rsidR="005259FD" w:rsidRPr="009F72D1" w:rsidRDefault="001E447D" w:rsidP="003922A1">
            <w:pPr>
              <w:pStyle w:val="TableText0"/>
              <w:jc w:val="center"/>
              <w:rPr>
                <w:highlight w:val="darkGray"/>
              </w:rPr>
            </w:pPr>
            <w:r w:rsidRPr="001E447D">
              <w:rPr>
                <w:highlight w:val="black"/>
              </w:rPr>
              <w:t>@@@@</w:t>
            </w:r>
            <w:r w:rsidR="002D2B18" w:rsidRPr="009037E3">
              <w:rPr>
                <w:vertAlign w:val="superscript"/>
              </w:rPr>
              <w:t>5</w:t>
            </w:r>
          </w:p>
        </w:tc>
        <w:tc>
          <w:tcPr>
            <w:tcW w:w="693" w:type="pct"/>
            <w:vAlign w:val="center"/>
          </w:tcPr>
          <w:p w14:paraId="4E2D72FF" w14:textId="311D08E9" w:rsidR="005259FD" w:rsidRPr="009F72D1" w:rsidRDefault="001E447D" w:rsidP="003922A1">
            <w:pPr>
              <w:pStyle w:val="TableText0"/>
              <w:jc w:val="center"/>
              <w:rPr>
                <w:highlight w:val="darkGray"/>
              </w:rPr>
            </w:pPr>
            <w:r w:rsidRPr="001E447D">
              <w:rPr>
                <w:highlight w:val="black"/>
              </w:rPr>
              <w:t>@@@@</w:t>
            </w:r>
            <w:r w:rsidR="002D2B18" w:rsidRPr="009037E3">
              <w:rPr>
                <w:vertAlign w:val="superscript"/>
              </w:rPr>
              <w:t>5</w:t>
            </w:r>
          </w:p>
        </w:tc>
        <w:tc>
          <w:tcPr>
            <w:tcW w:w="693" w:type="pct"/>
            <w:vAlign w:val="center"/>
          </w:tcPr>
          <w:p w14:paraId="40A17B00" w14:textId="08450E3C" w:rsidR="005259FD" w:rsidRPr="009F72D1" w:rsidRDefault="001E447D" w:rsidP="003922A1">
            <w:pPr>
              <w:pStyle w:val="TableText0"/>
              <w:jc w:val="center"/>
              <w:rPr>
                <w:highlight w:val="darkGray"/>
              </w:rPr>
            </w:pPr>
            <w:r w:rsidRPr="001E447D">
              <w:rPr>
                <w:highlight w:val="black"/>
              </w:rPr>
              <w:t>@@@@</w:t>
            </w:r>
            <w:r w:rsidR="002D2B18" w:rsidRPr="009037E3">
              <w:rPr>
                <w:vertAlign w:val="superscript"/>
              </w:rPr>
              <w:t>5</w:t>
            </w:r>
          </w:p>
        </w:tc>
        <w:tc>
          <w:tcPr>
            <w:tcW w:w="769" w:type="pct"/>
            <w:vAlign w:val="center"/>
          </w:tcPr>
          <w:p w14:paraId="0DF88B17" w14:textId="133497FB" w:rsidR="005259FD" w:rsidRPr="009F72D1" w:rsidRDefault="001E447D" w:rsidP="003922A1">
            <w:pPr>
              <w:pStyle w:val="TableText0"/>
              <w:jc w:val="center"/>
              <w:rPr>
                <w:highlight w:val="darkGray"/>
              </w:rPr>
            </w:pPr>
            <w:r w:rsidRPr="001E447D">
              <w:rPr>
                <w:highlight w:val="black"/>
              </w:rPr>
              <w:t>@@@@</w:t>
            </w:r>
            <w:r w:rsidR="002D2B18" w:rsidRPr="009037E3">
              <w:rPr>
                <w:vertAlign w:val="superscript"/>
              </w:rPr>
              <w:t>5</w:t>
            </w:r>
          </w:p>
        </w:tc>
      </w:tr>
      <w:tr w:rsidR="005259FD" w:rsidRPr="004D0075" w14:paraId="071645E3" w14:textId="77777777" w:rsidTr="009F72D1">
        <w:tc>
          <w:tcPr>
            <w:tcW w:w="5000" w:type="pct"/>
            <w:gridSpan w:val="7"/>
            <w:shd w:val="clear" w:color="auto" w:fill="D9D9D9" w:themeFill="background1" w:themeFillShade="D9"/>
            <w:vAlign w:val="center"/>
          </w:tcPr>
          <w:p w14:paraId="02A82168" w14:textId="77777777" w:rsidR="005259FD" w:rsidRPr="004D0075" w:rsidRDefault="005259FD" w:rsidP="003922A1">
            <w:pPr>
              <w:pStyle w:val="In-tableHeading"/>
              <w:rPr>
                <w:bCs/>
              </w:rPr>
            </w:pPr>
            <w:r w:rsidRPr="004D0075">
              <w:t>Estimated extent of use – moderate to severe ulcerative colitis</w:t>
            </w:r>
          </w:p>
        </w:tc>
      </w:tr>
      <w:tr w:rsidR="005259FD" w:rsidRPr="004D0075" w14:paraId="3735E829" w14:textId="77777777" w:rsidTr="009F72D1">
        <w:tc>
          <w:tcPr>
            <w:tcW w:w="767" w:type="pct"/>
            <w:vAlign w:val="center"/>
          </w:tcPr>
          <w:p w14:paraId="7C83C44B" w14:textId="77777777" w:rsidR="005259FD" w:rsidRPr="004D0075" w:rsidRDefault="005259FD" w:rsidP="003922A1">
            <w:pPr>
              <w:pStyle w:val="TableText0"/>
            </w:pPr>
            <w:r w:rsidRPr="004D0075">
              <w:t>Number of Q4W scripts dispensed</w:t>
            </w:r>
          </w:p>
        </w:tc>
        <w:tc>
          <w:tcPr>
            <w:tcW w:w="693" w:type="pct"/>
            <w:vAlign w:val="center"/>
          </w:tcPr>
          <w:p w14:paraId="660E763C" w14:textId="03F07122" w:rsidR="005259FD" w:rsidRPr="009F72D1" w:rsidRDefault="001E447D" w:rsidP="003922A1">
            <w:pPr>
              <w:pStyle w:val="TableText0"/>
              <w:jc w:val="center"/>
              <w:rPr>
                <w:highlight w:val="darkGray"/>
                <w:vertAlign w:val="superscript"/>
              </w:rPr>
            </w:pPr>
            <w:r w:rsidRPr="001E447D">
              <w:rPr>
                <w:highlight w:val="black"/>
              </w:rPr>
              <w:t>@@@@</w:t>
            </w:r>
            <w:r w:rsidR="003069BC" w:rsidRPr="009F72D1">
              <w:rPr>
                <w:vertAlign w:val="superscript"/>
              </w:rPr>
              <w:t>6</w:t>
            </w:r>
          </w:p>
        </w:tc>
        <w:tc>
          <w:tcPr>
            <w:tcW w:w="692" w:type="pct"/>
            <w:vAlign w:val="center"/>
          </w:tcPr>
          <w:p w14:paraId="53DAB63C" w14:textId="7E0C796B" w:rsidR="005259FD" w:rsidRPr="009F72D1" w:rsidRDefault="001E447D" w:rsidP="003922A1">
            <w:pPr>
              <w:pStyle w:val="TableText0"/>
              <w:jc w:val="center"/>
              <w:rPr>
                <w:highlight w:val="darkGray"/>
              </w:rPr>
            </w:pPr>
            <w:r w:rsidRPr="001E447D">
              <w:rPr>
                <w:highlight w:val="black"/>
              </w:rPr>
              <w:t>@@@@</w:t>
            </w:r>
            <w:r w:rsidR="003069BC" w:rsidRPr="009037E3">
              <w:rPr>
                <w:vertAlign w:val="superscript"/>
              </w:rPr>
              <w:t>6</w:t>
            </w:r>
          </w:p>
        </w:tc>
        <w:tc>
          <w:tcPr>
            <w:tcW w:w="692" w:type="pct"/>
            <w:vAlign w:val="center"/>
          </w:tcPr>
          <w:p w14:paraId="088DFEDB" w14:textId="37851710" w:rsidR="005259FD" w:rsidRPr="009F72D1" w:rsidRDefault="001E447D" w:rsidP="003922A1">
            <w:pPr>
              <w:pStyle w:val="TableText0"/>
              <w:jc w:val="center"/>
              <w:rPr>
                <w:highlight w:val="darkGray"/>
              </w:rPr>
            </w:pPr>
            <w:r w:rsidRPr="001E447D">
              <w:rPr>
                <w:highlight w:val="black"/>
              </w:rPr>
              <w:t>@@@@</w:t>
            </w:r>
            <w:r w:rsidR="003069BC" w:rsidRPr="009037E3">
              <w:rPr>
                <w:vertAlign w:val="superscript"/>
              </w:rPr>
              <w:t>6</w:t>
            </w:r>
          </w:p>
        </w:tc>
        <w:tc>
          <w:tcPr>
            <w:tcW w:w="693" w:type="pct"/>
            <w:vAlign w:val="center"/>
          </w:tcPr>
          <w:p w14:paraId="4A76CFFB" w14:textId="334D83D1" w:rsidR="005259FD" w:rsidRPr="009F72D1" w:rsidRDefault="001E447D" w:rsidP="003922A1">
            <w:pPr>
              <w:pStyle w:val="TableText0"/>
              <w:jc w:val="center"/>
              <w:rPr>
                <w:highlight w:val="darkGray"/>
              </w:rPr>
            </w:pPr>
            <w:r w:rsidRPr="001E447D">
              <w:rPr>
                <w:highlight w:val="black"/>
              </w:rPr>
              <w:t>@@@@</w:t>
            </w:r>
            <w:r w:rsidR="003069BC" w:rsidRPr="009037E3">
              <w:rPr>
                <w:vertAlign w:val="superscript"/>
              </w:rPr>
              <w:t>6</w:t>
            </w:r>
          </w:p>
        </w:tc>
        <w:tc>
          <w:tcPr>
            <w:tcW w:w="693" w:type="pct"/>
            <w:vAlign w:val="center"/>
          </w:tcPr>
          <w:p w14:paraId="4B15A168" w14:textId="480800EB" w:rsidR="005259FD" w:rsidRPr="009F72D1" w:rsidRDefault="001E447D" w:rsidP="003922A1">
            <w:pPr>
              <w:pStyle w:val="TableText0"/>
              <w:jc w:val="center"/>
              <w:rPr>
                <w:highlight w:val="darkGray"/>
              </w:rPr>
            </w:pPr>
            <w:r w:rsidRPr="001E447D">
              <w:rPr>
                <w:highlight w:val="black"/>
              </w:rPr>
              <w:t>@@@@</w:t>
            </w:r>
            <w:r w:rsidR="003069BC" w:rsidRPr="009037E3">
              <w:rPr>
                <w:vertAlign w:val="superscript"/>
              </w:rPr>
              <w:t>6</w:t>
            </w:r>
          </w:p>
        </w:tc>
        <w:tc>
          <w:tcPr>
            <w:tcW w:w="769" w:type="pct"/>
            <w:vAlign w:val="center"/>
          </w:tcPr>
          <w:p w14:paraId="17DDE8BA" w14:textId="12B8490B" w:rsidR="005259FD" w:rsidRPr="009F72D1" w:rsidRDefault="001E447D" w:rsidP="003922A1">
            <w:pPr>
              <w:pStyle w:val="TableText0"/>
              <w:jc w:val="center"/>
              <w:rPr>
                <w:highlight w:val="darkGray"/>
              </w:rPr>
            </w:pPr>
            <w:r w:rsidRPr="001E447D">
              <w:rPr>
                <w:highlight w:val="black"/>
              </w:rPr>
              <w:t>@@@@</w:t>
            </w:r>
            <w:r w:rsidR="003069BC" w:rsidRPr="009037E3">
              <w:rPr>
                <w:vertAlign w:val="superscript"/>
              </w:rPr>
              <w:t>6</w:t>
            </w:r>
          </w:p>
        </w:tc>
      </w:tr>
      <w:tr w:rsidR="005259FD" w:rsidRPr="004D0075" w14:paraId="3D99489D" w14:textId="77777777" w:rsidTr="009F72D1">
        <w:tc>
          <w:tcPr>
            <w:tcW w:w="767" w:type="pct"/>
            <w:vAlign w:val="center"/>
          </w:tcPr>
          <w:p w14:paraId="2A183667" w14:textId="77777777" w:rsidR="005259FD" w:rsidRPr="004D0075" w:rsidRDefault="005259FD" w:rsidP="003922A1">
            <w:pPr>
              <w:pStyle w:val="TableText0"/>
            </w:pPr>
            <w:r w:rsidRPr="004D0075">
              <w:t>Number of Q8W scripts impacted</w:t>
            </w:r>
          </w:p>
        </w:tc>
        <w:tc>
          <w:tcPr>
            <w:tcW w:w="693" w:type="pct"/>
            <w:vAlign w:val="center"/>
          </w:tcPr>
          <w:p w14:paraId="7DEBC829" w14:textId="4B633420" w:rsidR="005259FD" w:rsidRPr="009F72D1" w:rsidRDefault="005259FD" w:rsidP="003922A1">
            <w:pPr>
              <w:pStyle w:val="TableText0"/>
              <w:jc w:val="center"/>
              <w:rPr>
                <w:vertAlign w:val="superscript"/>
              </w:rPr>
            </w:pPr>
            <w:r w:rsidRPr="004D0075">
              <w:t>-</w:t>
            </w:r>
            <w:r w:rsidR="001E447D" w:rsidRPr="001E447D">
              <w:rPr>
                <w:highlight w:val="black"/>
              </w:rPr>
              <w:t>@@@@</w:t>
            </w:r>
            <w:r w:rsidR="004B2526">
              <w:rPr>
                <w:vertAlign w:val="superscript"/>
              </w:rPr>
              <w:t>7</w:t>
            </w:r>
          </w:p>
        </w:tc>
        <w:tc>
          <w:tcPr>
            <w:tcW w:w="692" w:type="pct"/>
            <w:vAlign w:val="center"/>
          </w:tcPr>
          <w:p w14:paraId="596AB651" w14:textId="485BF6C4" w:rsidR="005259FD" w:rsidRPr="004D0075" w:rsidRDefault="005259FD" w:rsidP="003922A1">
            <w:pPr>
              <w:pStyle w:val="TableText0"/>
              <w:jc w:val="center"/>
            </w:pPr>
            <w:r w:rsidRPr="004D0075">
              <w:t>-</w:t>
            </w:r>
            <w:r w:rsidR="001E447D" w:rsidRPr="001E447D">
              <w:rPr>
                <w:highlight w:val="black"/>
              </w:rPr>
              <w:t>@@@@</w:t>
            </w:r>
            <w:r w:rsidR="004B2526">
              <w:rPr>
                <w:vertAlign w:val="superscript"/>
              </w:rPr>
              <w:t>7</w:t>
            </w:r>
          </w:p>
        </w:tc>
        <w:tc>
          <w:tcPr>
            <w:tcW w:w="692" w:type="pct"/>
            <w:vAlign w:val="center"/>
          </w:tcPr>
          <w:p w14:paraId="6DE13124" w14:textId="7CBE91E3" w:rsidR="005259FD" w:rsidRPr="004D0075" w:rsidRDefault="005259FD" w:rsidP="003922A1">
            <w:pPr>
              <w:pStyle w:val="TableText0"/>
              <w:jc w:val="center"/>
            </w:pPr>
            <w:r w:rsidRPr="004D0075">
              <w:t>-</w:t>
            </w:r>
            <w:r w:rsidR="001E447D" w:rsidRPr="001E447D">
              <w:rPr>
                <w:highlight w:val="black"/>
              </w:rPr>
              <w:t>@@@@</w:t>
            </w:r>
            <w:r w:rsidR="004B2526">
              <w:rPr>
                <w:vertAlign w:val="superscript"/>
              </w:rPr>
              <w:t>8</w:t>
            </w:r>
          </w:p>
        </w:tc>
        <w:tc>
          <w:tcPr>
            <w:tcW w:w="693" w:type="pct"/>
            <w:vAlign w:val="center"/>
          </w:tcPr>
          <w:p w14:paraId="73272B9C" w14:textId="4979A81B" w:rsidR="005259FD" w:rsidRPr="004D0075" w:rsidRDefault="005259FD" w:rsidP="003922A1">
            <w:pPr>
              <w:pStyle w:val="TableText0"/>
              <w:jc w:val="center"/>
            </w:pPr>
            <w:r w:rsidRPr="004D0075">
              <w:t>-</w:t>
            </w:r>
            <w:r w:rsidR="001E447D" w:rsidRPr="001E447D">
              <w:rPr>
                <w:highlight w:val="black"/>
              </w:rPr>
              <w:t>@@@@</w:t>
            </w:r>
            <w:r w:rsidR="004B2526">
              <w:rPr>
                <w:vertAlign w:val="superscript"/>
              </w:rPr>
              <w:t>8</w:t>
            </w:r>
          </w:p>
        </w:tc>
        <w:tc>
          <w:tcPr>
            <w:tcW w:w="693" w:type="pct"/>
            <w:vAlign w:val="center"/>
          </w:tcPr>
          <w:p w14:paraId="40C0F17D" w14:textId="4D57D984" w:rsidR="005259FD" w:rsidRPr="004D0075" w:rsidRDefault="005259FD" w:rsidP="003922A1">
            <w:pPr>
              <w:pStyle w:val="TableText0"/>
              <w:jc w:val="center"/>
            </w:pPr>
            <w:r w:rsidRPr="004D0075">
              <w:t>-</w:t>
            </w:r>
            <w:r w:rsidR="001E447D" w:rsidRPr="001E447D">
              <w:rPr>
                <w:highlight w:val="black"/>
              </w:rPr>
              <w:t>@@@@</w:t>
            </w:r>
            <w:r w:rsidR="004B2526">
              <w:rPr>
                <w:vertAlign w:val="superscript"/>
              </w:rPr>
              <w:t>8</w:t>
            </w:r>
          </w:p>
        </w:tc>
        <w:tc>
          <w:tcPr>
            <w:tcW w:w="769" w:type="pct"/>
            <w:vAlign w:val="center"/>
          </w:tcPr>
          <w:p w14:paraId="44FD1EF4" w14:textId="4CE5DB37" w:rsidR="005259FD" w:rsidRPr="004D0075" w:rsidRDefault="005259FD" w:rsidP="003922A1">
            <w:pPr>
              <w:pStyle w:val="TableText0"/>
              <w:jc w:val="center"/>
            </w:pPr>
            <w:r w:rsidRPr="004D0075">
              <w:t>-</w:t>
            </w:r>
            <w:r w:rsidR="001E447D" w:rsidRPr="001E447D">
              <w:rPr>
                <w:highlight w:val="black"/>
              </w:rPr>
              <w:t>@@@@</w:t>
            </w:r>
            <w:r w:rsidR="004B2526">
              <w:rPr>
                <w:vertAlign w:val="superscript"/>
              </w:rPr>
              <w:t>8</w:t>
            </w:r>
          </w:p>
        </w:tc>
      </w:tr>
      <w:tr w:rsidR="005259FD" w:rsidRPr="004D0075" w14:paraId="1B831DEE" w14:textId="77777777" w:rsidTr="009F72D1">
        <w:tc>
          <w:tcPr>
            <w:tcW w:w="5000" w:type="pct"/>
            <w:gridSpan w:val="7"/>
            <w:shd w:val="clear" w:color="auto" w:fill="D9D9D9" w:themeFill="background1" w:themeFillShade="D9"/>
            <w:vAlign w:val="center"/>
          </w:tcPr>
          <w:p w14:paraId="3C837DEF" w14:textId="77777777" w:rsidR="005259FD" w:rsidRPr="004D0075" w:rsidRDefault="005259FD" w:rsidP="003922A1">
            <w:pPr>
              <w:pStyle w:val="In-tableHeading"/>
              <w:rPr>
                <w:bCs/>
              </w:rPr>
            </w:pPr>
            <w:r w:rsidRPr="004D0075">
              <w:rPr>
                <w:bCs/>
              </w:rPr>
              <w:t xml:space="preserve">Estimated Impact </w:t>
            </w:r>
            <w:r w:rsidRPr="004D0075">
              <w:t>(Scripts x DPMQ</w:t>
            </w:r>
            <w:r w:rsidRPr="004D0075">
              <w:rPr>
                <w:bCs/>
                <w:vertAlign w:val="superscript"/>
              </w:rPr>
              <w:t>a</w:t>
            </w:r>
            <w:r w:rsidRPr="004D0075">
              <w:t xml:space="preserve"> - Co-Payment) – moderate to severe ulcerative colitis</w:t>
            </w:r>
          </w:p>
        </w:tc>
      </w:tr>
      <w:tr w:rsidR="005259FD" w:rsidRPr="004D0075" w14:paraId="49E28CA4" w14:textId="77777777" w:rsidTr="009F72D1">
        <w:tc>
          <w:tcPr>
            <w:tcW w:w="767" w:type="pct"/>
            <w:vAlign w:val="center"/>
          </w:tcPr>
          <w:p w14:paraId="102000B7" w14:textId="0316B016" w:rsidR="005259FD" w:rsidRPr="004D0075" w:rsidRDefault="005259FD" w:rsidP="003922A1">
            <w:pPr>
              <w:pStyle w:val="TableText0"/>
            </w:pPr>
            <w:r w:rsidRPr="004D0075">
              <w:t>Q4W cost to PBS/RPBS less co-payment</w:t>
            </w:r>
            <w:r w:rsidR="004B2526">
              <w:t xml:space="preserve"> ($)</w:t>
            </w:r>
          </w:p>
        </w:tc>
        <w:tc>
          <w:tcPr>
            <w:tcW w:w="693" w:type="pct"/>
            <w:vAlign w:val="center"/>
          </w:tcPr>
          <w:p w14:paraId="36C82A5F" w14:textId="0CC9280F" w:rsidR="005259FD" w:rsidRPr="009F72D1" w:rsidRDefault="001E447D" w:rsidP="003922A1">
            <w:pPr>
              <w:pStyle w:val="TableText0"/>
              <w:jc w:val="center"/>
              <w:rPr>
                <w:highlight w:val="darkGray"/>
              </w:rPr>
            </w:pPr>
            <w:r w:rsidRPr="001E447D">
              <w:rPr>
                <w:highlight w:val="black"/>
              </w:rPr>
              <w:t>@@@@</w:t>
            </w:r>
            <w:r w:rsidR="004B2526">
              <w:rPr>
                <w:vertAlign w:val="superscript"/>
              </w:rPr>
              <w:t>9</w:t>
            </w:r>
          </w:p>
        </w:tc>
        <w:tc>
          <w:tcPr>
            <w:tcW w:w="692" w:type="pct"/>
            <w:vAlign w:val="center"/>
          </w:tcPr>
          <w:p w14:paraId="380E59B3" w14:textId="0AB816A5" w:rsidR="005259FD" w:rsidRPr="009F72D1" w:rsidRDefault="001E447D" w:rsidP="003922A1">
            <w:pPr>
              <w:pStyle w:val="TableText0"/>
              <w:jc w:val="center"/>
              <w:rPr>
                <w:highlight w:val="darkGray"/>
              </w:rPr>
            </w:pPr>
            <w:r w:rsidRPr="001E447D">
              <w:rPr>
                <w:highlight w:val="black"/>
              </w:rPr>
              <w:t>@@@@</w:t>
            </w:r>
            <w:r w:rsidR="004B2526">
              <w:rPr>
                <w:vertAlign w:val="superscript"/>
              </w:rPr>
              <w:t>9</w:t>
            </w:r>
          </w:p>
        </w:tc>
        <w:tc>
          <w:tcPr>
            <w:tcW w:w="692" w:type="pct"/>
            <w:vAlign w:val="center"/>
          </w:tcPr>
          <w:p w14:paraId="1994040B" w14:textId="44A1C2E9" w:rsidR="005259FD" w:rsidRPr="009F72D1" w:rsidRDefault="001E447D" w:rsidP="003922A1">
            <w:pPr>
              <w:pStyle w:val="TableText0"/>
              <w:jc w:val="center"/>
              <w:rPr>
                <w:highlight w:val="darkGray"/>
              </w:rPr>
            </w:pPr>
            <w:r w:rsidRPr="001E447D">
              <w:rPr>
                <w:highlight w:val="black"/>
              </w:rPr>
              <w:t>@@@@</w:t>
            </w:r>
            <w:r w:rsidR="004B2526">
              <w:rPr>
                <w:vertAlign w:val="superscript"/>
              </w:rPr>
              <w:t>9</w:t>
            </w:r>
          </w:p>
        </w:tc>
        <w:tc>
          <w:tcPr>
            <w:tcW w:w="693" w:type="pct"/>
            <w:vAlign w:val="center"/>
          </w:tcPr>
          <w:p w14:paraId="5E6BCF91" w14:textId="20E3C02D" w:rsidR="005259FD" w:rsidRPr="009F72D1" w:rsidRDefault="001E447D" w:rsidP="003922A1">
            <w:pPr>
              <w:pStyle w:val="TableText0"/>
              <w:jc w:val="center"/>
              <w:rPr>
                <w:highlight w:val="darkGray"/>
              </w:rPr>
            </w:pPr>
            <w:r w:rsidRPr="001E447D">
              <w:rPr>
                <w:highlight w:val="black"/>
              </w:rPr>
              <w:t>@@@@</w:t>
            </w:r>
            <w:r w:rsidR="004B2526">
              <w:rPr>
                <w:vertAlign w:val="superscript"/>
              </w:rPr>
              <w:t>10</w:t>
            </w:r>
          </w:p>
        </w:tc>
        <w:tc>
          <w:tcPr>
            <w:tcW w:w="693" w:type="pct"/>
            <w:vAlign w:val="center"/>
          </w:tcPr>
          <w:p w14:paraId="6906E901" w14:textId="0ED8B7B2" w:rsidR="005259FD" w:rsidRPr="009F72D1" w:rsidRDefault="001E447D" w:rsidP="003922A1">
            <w:pPr>
              <w:pStyle w:val="TableText0"/>
              <w:jc w:val="center"/>
              <w:rPr>
                <w:highlight w:val="darkGray"/>
              </w:rPr>
            </w:pPr>
            <w:r w:rsidRPr="001E447D">
              <w:rPr>
                <w:highlight w:val="black"/>
              </w:rPr>
              <w:t>@@@@</w:t>
            </w:r>
            <w:r w:rsidR="004B2526">
              <w:rPr>
                <w:vertAlign w:val="superscript"/>
              </w:rPr>
              <w:t>10</w:t>
            </w:r>
          </w:p>
        </w:tc>
        <w:tc>
          <w:tcPr>
            <w:tcW w:w="769" w:type="pct"/>
            <w:vAlign w:val="center"/>
          </w:tcPr>
          <w:p w14:paraId="4925CAD1" w14:textId="7F5337B9" w:rsidR="005259FD" w:rsidRPr="009F72D1" w:rsidRDefault="001E447D" w:rsidP="003922A1">
            <w:pPr>
              <w:pStyle w:val="TableText0"/>
              <w:jc w:val="center"/>
              <w:rPr>
                <w:highlight w:val="darkGray"/>
              </w:rPr>
            </w:pPr>
            <w:r w:rsidRPr="001E447D">
              <w:rPr>
                <w:highlight w:val="black"/>
              </w:rPr>
              <w:t>@@@@</w:t>
            </w:r>
            <w:r w:rsidR="004B2526">
              <w:rPr>
                <w:vertAlign w:val="superscript"/>
              </w:rPr>
              <w:t>10</w:t>
            </w:r>
          </w:p>
        </w:tc>
      </w:tr>
      <w:tr w:rsidR="005259FD" w:rsidRPr="004D0075" w14:paraId="24D5D5B9" w14:textId="77777777" w:rsidTr="009F72D1">
        <w:tc>
          <w:tcPr>
            <w:tcW w:w="767" w:type="pct"/>
            <w:vAlign w:val="center"/>
          </w:tcPr>
          <w:p w14:paraId="133A4BD1" w14:textId="56827929" w:rsidR="005259FD" w:rsidRPr="004D0075" w:rsidRDefault="005259FD" w:rsidP="003922A1">
            <w:pPr>
              <w:pStyle w:val="TableText0"/>
            </w:pPr>
            <w:r w:rsidRPr="004D0075">
              <w:t>Q8W cost to PBS/RPBS less co-payment</w:t>
            </w:r>
            <w:r w:rsidR="004B2526">
              <w:t xml:space="preserve"> ($)</w:t>
            </w:r>
          </w:p>
        </w:tc>
        <w:tc>
          <w:tcPr>
            <w:tcW w:w="693" w:type="pct"/>
            <w:vAlign w:val="center"/>
          </w:tcPr>
          <w:p w14:paraId="3E7B5B68" w14:textId="74D91744" w:rsidR="005259FD" w:rsidRPr="004D0075" w:rsidRDefault="005259FD" w:rsidP="003922A1">
            <w:pPr>
              <w:pStyle w:val="TableText0"/>
              <w:jc w:val="center"/>
            </w:pPr>
            <w:r w:rsidRPr="004D0075">
              <w:t>-</w:t>
            </w:r>
            <w:r w:rsidR="001E447D" w:rsidRPr="001E447D">
              <w:rPr>
                <w:highlight w:val="black"/>
              </w:rPr>
              <w:t>@@@@</w:t>
            </w:r>
            <w:r w:rsidR="004B2526" w:rsidRPr="009F72D1">
              <w:rPr>
                <w:vertAlign w:val="superscript"/>
              </w:rPr>
              <w:t>4</w:t>
            </w:r>
          </w:p>
        </w:tc>
        <w:tc>
          <w:tcPr>
            <w:tcW w:w="692" w:type="pct"/>
            <w:vAlign w:val="center"/>
          </w:tcPr>
          <w:p w14:paraId="1D6E6D64" w14:textId="0FC2C546" w:rsidR="005259FD" w:rsidRPr="004D0075" w:rsidRDefault="005259FD" w:rsidP="003922A1">
            <w:pPr>
              <w:pStyle w:val="TableText0"/>
              <w:jc w:val="center"/>
            </w:pPr>
            <w:r w:rsidRPr="004D0075">
              <w:t>-$</w:t>
            </w:r>
            <w:r w:rsidR="001E447D" w:rsidRPr="001E447D">
              <w:rPr>
                <w:highlight w:val="black"/>
              </w:rPr>
              <w:t>@@@@</w:t>
            </w:r>
            <w:r w:rsidR="004B2526" w:rsidRPr="009037E3">
              <w:rPr>
                <w:vertAlign w:val="superscript"/>
              </w:rPr>
              <w:t>4</w:t>
            </w:r>
          </w:p>
        </w:tc>
        <w:tc>
          <w:tcPr>
            <w:tcW w:w="692" w:type="pct"/>
            <w:vAlign w:val="center"/>
          </w:tcPr>
          <w:p w14:paraId="3067492E" w14:textId="08D4E192" w:rsidR="005259FD" w:rsidRPr="004D0075" w:rsidRDefault="005259FD" w:rsidP="003922A1">
            <w:pPr>
              <w:pStyle w:val="TableText0"/>
              <w:jc w:val="center"/>
            </w:pPr>
            <w:r w:rsidRPr="004D0075">
              <w:t>-</w:t>
            </w:r>
            <w:r w:rsidR="001E447D" w:rsidRPr="001E447D">
              <w:rPr>
                <w:highlight w:val="black"/>
              </w:rPr>
              <w:t>@@@@</w:t>
            </w:r>
            <w:r w:rsidR="004B2526">
              <w:rPr>
                <w:vertAlign w:val="superscript"/>
              </w:rPr>
              <w:t>9</w:t>
            </w:r>
          </w:p>
        </w:tc>
        <w:tc>
          <w:tcPr>
            <w:tcW w:w="693" w:type="pct"/>
            <w:vAlign w:val="center"/>
          </w:tcPr>
          <w:p w14:paraId="056F37DD" w14:textId="11A4DE39" w:rsidR="005259FD" w:rsidRPr="004D0075" w:rsidRDefault="005259FD" w:rsidP="003922A1">
            <w:pPr>
              <w:pStyle w:val="TableText0"/>
              <w:jc w:val="center"/>
            </w:pPr>
            <w:r w:rsidRPr="004D0075">
              <w:t>-</w:t>
            </w:r>
            <w:r w:rsidR="001E447D" w:rsidRPr="001E447D">
              <w:rPr>
                <w:highlight w:val="black"/>
              </w:rPr>
              <w:t>@@@@</w:t>
            </w:r>
            <w:r w:rsidR="004B2526">
              <w:rPr>
                <w:vertAlign w:val="superscript"/>
              </w:rPr>
              <w:t>9</w:t>
            </w:r>
          </w:p>
        </w:tc>
        <w:tc>
          <w:tcPr>
            <w:tcW w:w="693" w:type="pct"/>
            <w:vAlign w:val="center"/>
          </w:tcPr>
          <w:p w14:paraId="16BEDE12" w14:textId="4D60505C" w:rsidR="005259FD" w:rsidRPr="004D0075" w:rsidRDefault="005259FD" w:rsidP="003922A1">
            <w:pPr>
              <w:pStyle w:val="TableText0"/>
              <w:jc w:val="center"/>
            </w:pPr>
            <w:r w:rsidRPr="004D0075">
              <w:t>-</w:t>
            </w:r>
            <w:r w:rsidR="001E447D" w:rsidRPr="001E447D">
              <w:rPr>
                <w:highlight w:val="black"/>
              </w:rPr>
              <w:t>@@@@</w:t>
            </w:r>
            <w:r w:rsidR="004B2526">
              <w:rPr>
                <w:vertAlign w:val="superscript"/>
              </w:rPr>
              <w:t>9</w:t>
            </w:r>
          </w:p>
        </w:tc>
        <w:tc>
          <w:tcPr>
            <w:tcW w:w="769" w:type="pct"/>
            <w:vAlign w:val="center"/>
          </w:tcPr>
          <w:p w14:paraId="335A28A3" w14:textId="71BC38FF" w:rsidR="005259FD" w:rsidRPr="004D0075" w:rsidRDefault="005259FD" w:rsidP="003922A1">
            <w:pPr>
              <w:pStyle w:val="TableText0"/>
              <w:jc w:val="center"/>
            </w:pPr>
            <w:r w:rsidRPr="004D0075">
              <w:t>-</w:t>
            </w:r>
            <w:r w:rsidR="001E447D" w:rsidRPr="001E447D">
              <w:rPr>
                <w:highlight w:val="black"/>
              </w:rPr>
              <w:t>@@@@</w:t>
            </w:r>
            <w:r w:rsidR="004B2526">
              <w:rPr>
                <w:vertAlign w:val="superscript"/>
              </w:rPr>
              <w:t>9</w:t>
            </w:r>
          </w:p>
        </w:tc>
      </w:tr>
      <w:tr w:rsidR="005259FD" w:rsidRPr="004D0075" w14:paraId="25656FFB" w14:textId="77777777" w:rsidTr="009F72D1">
        <w:tc>
          <w:tcPr>
            <w:tcW w:w="767" w:type="pct"/>
            <w:vAlign w:val="center"/>
          </w:tcPr>
          <w:p w14:paraId="3A74F240" w14:textId="75683079" w:rsidR="005259FD" w:rsidRPr="004D0075" w:rsidRDefault="005259FD" w:rsidP="003922A1">
            <w:pPr>
              <w:pStyle w:val="TableText0"/>
            </w:pPr>
            <w:r w:rsidRPr="004D0075">
              <w:t>Net cost to the PBS/RPBS</w:t>
            </w:r>
            <w:r w:rsidR="004B2526">
              <w:t xml:space="preserve"> ($)</w:t>
            </w:r>
          </w:p>
        </w:tc>
        <w:tc>
          <w:tcPr>
            <w:tcW w:w="693" w:type="pct"/>
            <w:vAlign w:val="center"/>
          </w:tcPr>
          <w:p w14:paraId="337E4523" w14:textId="1C9BE872"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2" w:type="pct"/>
            <w:vAlign w:val="center"/>
          </w:tcPr>
          <w:p w14:paraId="0E2F18EC" w14:textId="0964AC60"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2" w:type="pct"/>
            <w:vAlign w:val="center"/>
          </w:tcPr>
          <w:p w14:paraId="3FDBDAF8" w14:textId="7F8D0041"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3" w:type="pct"/>
            <w:vAlign w:val="center"/>
          </w:tcPr>
          <w:p w14:paraId="706C2FA3" w14:textId="0E912AF0"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3" w:type="pct"/>
            <w:vAlign w:val="center"/>
          </w:tcPr>
          <w:p w14:paraId="016C6E5D" w14:textId="28CF5321"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769" w:type="pct"/>
            <w:vAlign w:val="center"/>
          </w:tcPr>
          <w:p w14:paraId="37D299DC" w14:textId="17CCBAA1"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r>
      <w:tr w:rsidR="005259FD" w:rsidRPr="004D0075" w14:paraId="0759DFBF" w14:textId="77777777" w:rsidTr="009F72D1">
        <w:tc>
          <w:tcPr>
            <w:tcW w:w="5000" w:type="pct"/>
            <w:gridSpan w:val="7"/>
            <w:shd w:val="clear" w:color="auto" w:fill="BFBFBF" w:themeFill="background1" w:themeFillShade="BF"/>
            <w:vAlign w:val="center"/>
          </w:tcPr>
          <w:p w14:paraId="3F85B412" w14:textId="77777777" w:rsidR="005259FD" w:rsidRPr="004D0075" w:rsidRDefault="005259FD" w:rsidP="003922A1">
            <w:pPr>
              <w:pStyle w:val="TableText0"/>
              <w:rPr>
                <w:b/>
                <w:bCs w:val="0"/>
              </w:rPr>
            </w:pPr>
            <w:r w:rsidRPr="004D0075">
              <w:rPr>
                <w:b/>
                <w:bCs w:val="0"/>
              </w:rPr>
              <w:t>Combined impact (MSUC + CD)</w:t>
            </w:r>
          </w:p>
        </w:tc>
      </w:tr>
      <w:tr w:rsidR="005259FD" w:rsidRPr="004D0075" w14:paraId="2099622F" w14:textId="77777777" w:rsidTr="009F72D1">
        <w:tc>
          <w:tcPr>
            <w:tcW w:w="767" w:type="pct"/>
            <w:vAlign w:val="center"/>
          </w:tcPr>
          <w:p w14:paraId="1DE9679F" w14:textId="77777777" w:rsidR="005259FD" w:rsidRPr="004D0075" w:rsidRDefault="005259FD" w:rsidP="003922A1">
            <w:pPr>
              <w:pStyle w:val="TableText0"/>
            </w:pPr>
            <w:r w:rsidRPr="004D0075">
              <w:t>MBS cost</w:t>
            </w:r>
          </w:p>
        </w:tc>
        <w:tc>
          <w:tcPr>
            <w:tcW w:w="693" w:type="pct"/>
            <w:vAlign w:val="center"/>
          </w:tcPr>
          <w:p w14:paraId="1E39124F" w14:textId="77777777" w:rsidR="005259FD" w:rsidRPr="004D0075" w:rsidRDefault="005259FD" w:rsidP="003922A1">
            <w:pPr>
              <w:pStyle w:val="TableText0"/>
              <w:jc w:val="center"/>
            </w:pPr>
            <w:r w:rsidRPr="004D0075">
              <w:t>$0</w:t>
            </w:r>
          </w:p>
        </w:tc>
        <w:tc>
          <w:tcPr>
            <w:tcW w:w="692" w:type="pct"/>
            <w:vAlign w:val="center"/>
          </w:tcPr>
          <w:p w14:paraId="0E80287C" w14:textId="77777777" w:rsidR="005259FD" w:rsidRPr="004D0075" w:rsidRDefault="005259FD" w:rsidP="003922A1">
            <w:pPr>
              <w:pStyle w:val="TableText0"/>
              <w:jc w:val="center"/>
            </w:pPr>
            <w:r w:rsidRPr="004D0075">
              <w:t>$0</w:t>
            </w:r>
          </w:p>
        </w:tc>
        <w:tc>
          <w:tcPr>
            <w:tcW w:w="692" w:type="pct"/>
            <w:vAlign w:val="center"/>
          </w:tcPr>
          <w:p w14:paraId="659DD0F8" w14:textId="77777777" w:rsidR="005259FD" w:rsidRPr="004D0075" w:rsidRDefault="005259FD" w:rsidP="003922A1">
            <w:pPr>
              <w:pStyle w:val="TableText0"/>
              <w:jc w:val="center"/>
            </w:pPr>
            <w:r w:rsidRPr="004D0075">
              <w:t>$0</w:t>
            </w:r>
          </w:p>
        </w:tc>
        <w:tc>
          <w:tcPr>
            <w:tcW w:w="693" w:type="pct"/>
            <w:vAlign w:val="center"/>
          </w:tcPr>
          <w:p w14:paraId="7266B593" w14:textId="77777777" w:rsidR="005259FD" w:rsidRPr="004D0075" w:rsidRDefault="005259FD" w:rsidP="003922A1">
            <w:pPr>
              <w:pStyle w:val="TableText0"/>
              <w:jc w:val="center"/>
            </w:pPr>
            <w:r w:rsidRPr="004D0075">
              <w:t>$0</w:t>
            </w:r>
          </w:p>
        </w:tc>
        <w:tc>
          <w:tcPr>
            <w:tcW w:w="693" w:type="pct"/>
            <w:vAlign w:val="center"/>
          </w:tcPr>
          <w:p w14:paraId="6950AF6D" w14:textId="77777777" w:rsidR="005259FD" w:rsidRPr="004D0075" w:rsidRDefault="005259FD" w:rsidP="003922A1">
            <w:pPr>
              <w:pStyle w:val="TableText0"/>
              <w:jc w:val="center"/>
            </w:pPr>
            <w:r w:rsidRPr="004D0075">
              <w:t>$0</w:t>
            </w:r>
          </w:p>
        </w:tc>
        <w:tc>
          <w:tcPr>
            <w:tcW w:w="769" w:type="pct"/>
            <w:vAlign w:val="center"/>
          </w:tcPr>
          <w:p w14:paraId="5766DF82" w14:textId="77777777" w:rsidR="005259FD" w:rsidRPr="004D0075" w:rsidRDefault="005259FD" w:rsidP="003922A1">
            <w:pPr>
              <w:pStyle w:val="TableText0"/>
              <w:jc w:val="center"/>
            </w:pPr>
            <w:r w:rsidRPr="004D0075">
              <w:t>$0</w:t>
            </w:r>
          </w:p>
        </w:tc>
      </w:tr>
      <w:tr w:rsidR="005259FD" w:rsidRPr="004D0075" w14:paraId="56AFC4D3" w14:textId="77777777" w:rsidTr="009F72D1">
        <w:tc>
          <w:tcPr>
            <w:tcW w:w="767" w:type="pct"/>
            <w:vAlign w:val="center"/>
          </w:tcPr>
          <w:p w14:paraId="37586464" w14:textId="04E2FBF7" w:rsidR="005259FD" w:rsidRPr="004D0075" w:rsidRDefault="005259FD" w:rsidP="003922A1">
            <w:pPr>
              <w:pStyle w:val="TableText0"/>
            </w:pPr>
            <w:r w:rsidRPr="004D0075">
              <w:t>Net cost to the PBS/RPBS</w:t>
            </w:r>
            <w:r w:rsidR="00D068E3" w:rsidRPr="004D0075">
              <w:t xml:space="preserve"> (pre-rebate)</w:t>
            </w:r>
          </w:p>
        </w:tc>
        <w:tc>
          <w:tcPr>
            <w:tcW w:w="693" w:type="pct"/>
            <w:vAlign w:val="center"/>
          </w:tcPr>
          <w:p w14:paraId="55101676" w14:textId="0A9B3EE8"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2" w:type="pct"/>
            <w:vAlign w:val="center"/>
          </w:tcPr>
          <w:p w14:paraId="653A874E" w14:textId="38575D30"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2" w:type="pct"/>
            <w:vAlign w:val="center"/>
          </w:tcPr>
          <w:p w14:paraId="11659E65" w14:textId="0648F2B7"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3" w:type="pct"/>
            <w:vAlign w:val="center"/>
          </w:tcPr>
          <w:p w14:paraId="027A411E" w14:textId="44323A7B" w:rsidR="005259FD" w:rsidRPr="009F72D1" w:rsidRDefault="001E447D" w:rsidP="003922A1">
            <w:pPr>
              <w:pStyle w:val="TableText0"/>
              <w:jc w:val="center"/>
              <w:rPr>
                <w:highlight w:val="darkGray"/>
              </w:rPr>
            </w:pPr>
            <w:r w:rsidRPr="001E447D">
              <w:rPr>
                <w:highlight w:val="black"/>
              </w:rPr>
              <w:t>@@@@</w:t>
            </w:r>
            <w:r w:rsidR="004B2526">
              <w:rPr>
                <w:vertAlign w:val="superscript"/>
              </w:rPr>
              <w:t>5</w:t>
            </w:r>
          </w:p>
        </w:tc>
        <w:tc>
          <w:tcPr>
            <w:tcW w:w="693" w:type="pct"/>
            <w:vAlign w:val="center"/>
          </w:tcPr>
          <w:p w14:paraId="2720C6C2" w14:textId="7E44D14F" w:rsidR="005259FD" w:rsidRPr="009F72D1" w:rsidRDefault="001E447D" w:rsidP="003922A1">
            <w:pPr>
              <w:pStyle w:val="TableText0"/>
              <w:jc w:val="center"/>
              <w:rPr>
                <w:highlight w:val="darkGray"/>
              </w:rPr>
            </w:pPr>
            <w:r w:rsidRPr="001E447D">
              <w:rPr>
                <w:highlight w:val="black"/>
              </w:rPr>
              <w:t>@@@@</w:t>
            </w:r>
            <w:r w:rsidR="004B2526">
              <w:rPr>
                <w:vertAlign w:val="superscript"/>
              </w:rPr>
              <w:t>3</w:t>
            </w:r>
          </w:p>
        </w:tc>
        <w:tc>
          <w:tcPr>
            <w:tcW w:w="769" w:type="pct"/>
            <w:vAlign w:val="center"/>
          </w:tcPr>
          <w:p w14:paraId="2F75D66C" w14:textId="02B33916" w:rsidR="005259FD" w:rsidRPr="009F72D1" w:rsidRDefault="001E447D" w:rsidP="003922A1">
            <w:pPr>
              <w:pStyle w:val="TableText0"/>
              <w:jc w:val="center"/>
              <w:rPr>
                <w:highlight w:val="darkGray"/>
              </w:rPr>
            </w:pPr>
            <w:r w:rsidRPr="001E447D">
              <w:rPr>
                <w:highlight w:val="black"/>
              </w:rPr>
              <w:t>@@@@</w:t>
            </w:r>
            <w:r w:rsidR="004B2526">
              <w:rPr>
                <w:vertAlign w:val="superscript"/>
              </w:rPr>
              <w:t>3</w:t>
            </w:r>
          </w:p>
        </w:tc>
      </w:tr>
      <w:tr w:rsidR="002D044F" w:rsidRPr="004D0075" w14:paraId="7E4BC91D" w14:textId="77777777" w:rsidTr="009F72D1">
        <w:tc>
          <w:tcPr>
            <w:tcW w:w="767" w:type="pct"/>
            <w:vAlign w:val="center"/>
          </w:tcPr>
          <w:p w14:paraId="3913F9DD" w14:textId="11C632E5" w:rsidR="002D044F" w:rsidRPr="004D0075" w:rsidRDefault="002D044F" w:rsidP="002D044F">
            <w:pPr>
              <w:pStyle w:val="TableText0"/>
            </w:pPr>
            <w:r w:rsidRPr="004D0075">
              <w:t>Rebate</w:t>
            </w:r>
          </w:p>
        </w:tc>
        <w:tc>
          <w:tcPr>
            <w:tcW w:w="693" w:type="pct"/>
            <w:vAlign w:val="center"/>
          </w:tcPr>
          <w:p w14:paraId="4E6564CE" w14:textId="4897BA1E" w:rsidR="002D044F" w:rsidRPr="004D0075" w:rsidRDefault="002D044F" w:rsidP="002D044F">
            <w:pPr>
              <w:pStyle w:val="TableText0"/>
              <w:jc w:val="center"/>
            </w:pPr>
            <w:r w:rsidRPr="004D0075">
              <w:t>-</w:t>
            </w:r>
            <w:r w:rsidR="001E447D" w:rsidRPr="001E447D">
              <w:rPr>
                <w:highlight w:val="black"/>
              </w:rPr>
              <w:t>@@@@</w:t>
            </w:r>
            <w:r w:rsidR="004B2526">
              <w:rPr>
                <w:vertAlign w:val="superscript"/>
              </w:rPr>
              <w:t>5</w:t>
            </w:r>
          </w:p>
        </w:tc>
        <w:tc>
          <w:tcPr>
            <w:tcW w:w="692" w:type="pct"/>
            <w:vAlign w:val="center"/>
          </w:tcPr>
          <w:p w14:paraId="22D924A7" w14:textId="4F0A0E89" w:rsidR="002D044F" w:rsidRPr="004D0075" w:rsidRDefault="002D044F" w:rsidP="002D044F">
            <w:pPr>
              <w:pStyle w:val="TableText0"/>
              <w:jc w:val="center"/>
            </w:pPr>
            <w:r w:rsidRPr="004D0075">
              <w:t>-</w:t>
            </w:r>
            <w:r w:rsidR="001E447D" w:rsidRPr="001E447D">
              <w:rPr>
                <w:highlight w:val="black"/>
              </w:rPr>
              <w:t>@@@@</w:t>
            </w:r>
            <w:r w:rsidR="004B2526">
              <w:rPr>
                <w:vertAlign w:val="superscript"/>
              </w:rPr>
              <w:t>5</w:t>
            </w:r>
          </w:p>
        </w:tc>
        <w:tc>
          <w:tcPr>
            <w:tcW w:w="692" w:type="pct"/>
            <w:vAlign w:val="center"/>
          </w:tcPr>
          <w:p w14:paraId="7F5FF122" w14:textId="5932DE57" w:rsidR="002D044F" w:rsidRPr="004D0075" w:rsidRDefault="00134CF1" w:rsidP="002D044F">
            <w:pPr>
              <w:pStyle w:val="TableText0"/>
              <w:jc w:val="center"/>
            </w:pPr>
            <w:r w:rsidRPr="004D0075">
              <w:t>-</w:t>
            </w:r>
            <w:r w:rsidR="001E447D" w:rsidRPr="001E447D">
              <w:rPr>
                <w:highlight w:val="black"/>
              </w:rPr>
              <w:t>@@@@</w:t>
            </w:r>
            <w:r w:rsidR="004B2526">
              <w:rPr>
                <w:vertAlign w:val="superscript"/>
              </w:rPr>
              <w:t>5</w:t>
            </w:r>
          </w:p>
        </w:tc>
        <w:tc>
          <w:tcPr>
            <w:tcW w:w="693" w:type="pct"/>
            <w:vAlign w:val="center"/>
          </w:tcPr>
          <w:p w14:paraId="1EB296B8" w14:textId="0715C92C" w:rsidR="002D044F" w:rsidRPr="004D0075" w:rsidRDefault="00134CF1" w:rsidP="002D044F">
            <w:pPr>
              <w:pStyle w:val="TableText0"/>
              <w:jc w:val="center"/>
            </w:pPr>
            <w:r w:rsidRPr="004D0075">
              <w:t>-</w:t>
            </w:r>
            <w:r w:rsidR="001E447D" w:rsidRPr="001E447D">
              <w:rPr>
                <w:highlight w:val="black"/>
              </w:rPr>
              <w:t>@@@@</w:t>
            </w:r>
            <w:r w:rsidR="004B2526">
              <w:rPr>
                <w:vertAlign w:val="superscript"/>
              </w:rPr>
              <w:t>5</w:t>
            </w:r>
          </w:p>
        </w:tc>
        <w:tc>
          <w:tcPr>
            <w:tcW w:w="693" w:type="pct"/>
            <w:vAlign w:val="center"/>
          </w:tcPr>
          <w:p w14:paraId="444CE3F0" w14:textId="6AAB9192" w:rsidR="002D044F" w:rsidRPr="004D0075" w:rsidRDefault="00134CF1" w:rsidP="002D044F">
            <w:pPr>
              <w:pStyle w:val="TableText0"/>
              <w:jc w:val="center"/>
            </w:pPr>
            <w:r w:rsidRPr="004D0075">
              <w:t>-</w:t>
            </w:r>
            <w:r w:rsidR="001E447D" w:rsidRPr="001E447D">
              <w:rPr>
                <w:highlight w:val="black"/>
              </w:rPr>
              <w:t>@@@@</w:t>
            </w:r>
            <w:r w:rsidR="004B2526">
              <w:rPr>
                <w:vertAlign w:val="superscript"/>
              </w:rPr>
              <w:t>3</w:t>
            </w:r>
          </w:p>
        </w:tc>
        <w:tc>
          <w:tcPr>
            <w:tcW w:w="769" w:type="pct"/>
            <w:vAlign w:val="center"/>
          </w:tcPr>
          <w:p w14:paraId="54D158E2" w14:textId="3D097C48" w:rsidR="002D044F" w:rsidRPr="004D0075" w:rsidRDefault="00134CF1" w:rsidP="002D044F">
            <w:pPr>
              <w:pStyle w:val="TableText0"/>
              <w:jc w:val="center"/>
            </w:pPr>
            <w:r w:rsidRPr="004D0075">
              <w:t>-</w:t>
            </w:r>
            <w:r w:rsidR="001E447D" w:rsidRPr="001E447D">
              <w:rPr>
                <w:highlight w:val="black"/>
              </w:rPr>
              <w:t>@@@@</w:t>
            </w:r>
            <w:r w:rsidR="004B2526">
              <w:rPr>
                <w:vertAlign w:val="superscript"/>
              </w:rPr>
              <w:t>3</w:t>
            </w:r>
          </w:p>
        </w:tc>
      </w:tr>
      <w:tr w:rsidR="00D068E3" w:rsidRPr="004D0075" w14:paraId="6E2792D8" w14:textId="77777777" w:rsidTr="009F72D1">
        <w:tc>
          <w:tcPr>
            <w:tcW w:w="767" w:type="pct"/>
            <w:vAlign w:val="center"/>
          </w:tcPr>
          <w:p w14:paraId="01F7DF60" w14:textId="10E5E243" w:rsidR="00D068E3" w:rsidRPr="004D0075" w:rsidRDefault="00134CF1" w:rsidP="003922A1">
            <w:pPr>
              <w:pStyle w:val="TableText0"/>
            </w:pPr>
            <w:r w:rsidRPr="004D0075">
              <w:t>Net cost to the PBS/RPBS</w:t>
            </w:r>
          </w:p>
        </w:tc>
        <w:tc>
          <w:tcPr>
            <w:tcW w:w="693" w:type="pct"/>
            <w:vAlign w:val="center"/>
          </w:tcPr>
          <w:p w14:paraId="1D410EF0" w14:textId="4AA9F4CD" w:rsidR="00D068E3" w:rsidRPr="004D0075" w:rsidRDefault="00134CF1" w:rsidP="003922A1">
            <w:pPr>
              <w:pStyle w:val="TableText0"/>
              <w:jc w:val="center"/>
            </w:pPr>
            <w:r w:rsidRPr="004D0075">
              <w:t>$0</w:t>
            </w:r>
          </w:p>
        </w:tc>
        <w:tc>
          <w:tcPr>
            <w:tcW w:w="692" w:type="pct"/>
            <w:vAlign w:val="center"/>
          </w:tcPr>
          <w:p w14:paraId="63E6D558" w14:textId="2D74EC15" w:rsidR="00D068E3" w:rsidRPr="004D0075" w:rsidRDefault="00134CF1" w:rsidP="003922A1">
            <w:pPr>
              <w:pStyle w:val="TableText0"/>
              <w:jc w:val="center"/>
            </w:pPr>
            <w:r w:rsidRPr="004D0075">
              <w:t>$0</w:t>
            </w:r>
          </w:p>
        </w:tc>
        <w:tc>
          <w:tcPr>
            <w:tcW w:w="692" w:type="pct"/>
            <w:vAlign w:val="center"/>
          </w:tcPr>
          <w:p w14:paraId="29937EBE" w14:textId="1668FEA2" w:rsidR="00D068E3" w:rsidRPr="004D0075" w:rsidRDefault="00134CF1" w:rsidP="003922A1">
            <w:pPr>
              <w:pStyle w:val="TableText0"/>
              <w:jc w:val="center"/>
            </w:pPr>
            <w:r w:rsidRPr="004D0075">
              <w:t>$0</w:t>
            </w:r>
          </w:p>
        </w:tc>
        <w:tc>
          <w:tcPr>
            <w:tcW w:w="693" w:type="pct"/>
            <w:vAlign w:val="center"/>
          </w:tcPr>
          <w:p w14:paraId="1A71F679" w14:textId="73FC6EA3" w:rsidR="00D068E3" w:rsidRPr="004D0075" w:rsidRDefault="00134CF1" w:rsidP="003922A1">
            <w:pPr>
              <w:pStyle w:val="TableText0"/>
              <w:jc w:val="center"/>
            </w:pPr>
            <w:r w:rsidRPr="004D0075">
              <w:t>$0</w:t>
            </w:r>
          </w:p>
        </w:tc>
        <w:tc>
          <w:tcPr>
            <w:tcW w:w="693" w:type="pct"/>
            <w:vAlign w:val="center"/>
          </w:tcPr>
          <w:p w14:paraId="21094352" w14:textId="469BB6DD" w:rsidR="00D068E3" w:rsidRPr="004D0075" w:rsidRDefault="00134CF1" w:rsidP="003922A1">
            <w:pPr>
              <w:pStyle w:val="TableText0"/>
              <w:jc w:val="center"/>
            </w:pPr>
            <w:r w:rsidRPr="004D0075">
              <w:t>$0</w:t>
            </w:r>
          </w:p>
        </w:tc>
        <w:tc>
          <w:tcPr>
            <w:tcW w:w="769" w:type="pct"/>
            <w:vAlign w:val="center"/>
          </w:tcPr>
          <w:p w14:paraId="7B685F93" w14:textId="1379E9B1" w:rsidR="00D068E3" w:rsidRPr="004D0075" w:rsidRDefault="00134CF1" w:rsidP="003922A1">
            <w:pPr>
              <w:pStyle w:val="TableText0"/>
              <w:jc w:val="center"/>
            </w:pPr>
            <w:r w:rsidRPr="004D0075">
              <w:t>$0</w:t>
            </w:r>
          </w:p>
        </w:tc>
      </w:tr>
    </w:tbl>
    <w:p w14:paraId="301EB975" w14:textId="23E39905" w:rsidR="005259FD" w:rsidRPr="004D0075" w:rsidRDefault="005259FD" w:rsidP="005259FD">
      <w:pPr>
        <w:pStyle w:val="TableFigureFooter"/>
      </w:pPr>
      <w:r w:rsidRPr="004D0075">
        <w:rPr>
          <w:vertAlign w:val="superscript"/>
        </w:rPr>
        <w:t>a</w:t>
      </w:r>
      <w:r w:rsidRPr="004D0075">
        <w:t xml:space="preserve"> based on </w:t>
      </w:r>
      <w:r w:rsidR="00134CF1" w:rsidRPr="004D0075">
        <w:t xml:space="preserve">current </w:t>
      </w:r>
      <w:r w:rsidRPr="004D0075">
        <w:t xml:space="preserve">effective prices </w:t>
      </w:r>
    </w:p>
    <w:p w14:paraId="28B5CA14" w14:textId="4F6B21D9" w:rsidR="005259FD" w:rsidRPr="009F72D1" w:rsidRDefault="005259FD" w:rsidP="009F72D1">
      <w:pPr>
        <w:pStyle w:val="TableFigureFooter"/>
        <w:jc w:val="left"/>
        <w:rPr>
          <w:i/>
          <w:iCs/>
        </w:rPr>
      </w:pPr>
      <w:r w:rsidRPr="004D0075">
        <w:t>Abbreviations: MBS = Medical Benefits Scheme; PBS = Pharmaceutical Benefits Scheme; RPBS = Repatriation Pharmaceutical Benefits Scheme; MSUC = moderate to severe ulcerative colitis; CD = severe Chron disease.</w:t>
      </w:r>
      <w:r w:rsidR="00A45322">
        <w:br/>
      </w:r>
      <w:r w:rsidR="008B69BC">
        <w:rPr>
          <w:i/>
          <w:iCs/>
        </w:rPr>
        <w:t>The redacted values correspond to the following ranges:</w:t>
      </w:r>
      <w:r w:rsidR="008B69BC">
        <w:rPr>
          <w:i/>
          <w:iCs/>
        </w:rPr>
        <w:br/>
      </w:r>
      <w:r w:rsidR="008B69BC" w:rsidRPr="009F72D1">
        <w:rPr>
          <w:i/>
          <w:iCs/>
          <w:vertAlign w:val="superscript"/>
        </w:rPr>
        <w:t>1</w:t>
      </w:r>
      <w:r w:rsidR="008B69BC">
        <w:rPr>
          <w:i/>
          <w:iCs/>
          <w:vertAlign w:val="superscript"/>
        </w:rPr>
        <w:t xml:space="preserve"> </w:t>
      </w:r>
      <w:r w:rsidR="008B69BC">
        <w:rPr>
          <w:i/>
          <w:iCs/>
        </w:rPr>
        <w:t xml:space="preserve">500 to </w:t>
      </w:r>
      <w:r w:rsidR="00BF18F9">
        <w:rPr>
          <w:i/>
          <w:iCs/>
        </w:rPr>
        <w:t xml:space="preserve">&lt; </w:t>
      </w:r>
      <w:r w:rsidR="008B69BC">
        <w:rPr>
          <w:i/>
          <w:iCs/>
        </w:rPr>
        <w:t>5,000</w:t>
      </w:r>
      <w:r w:rsidR="005D592B" w:rsidRPr="005D592B">
        <w:rPr>
          <w:i/>
          <w:iCs/>
        </w:rPr>
        <w:br/>
      </w:r>
      <w:r w:rsidR="005D592B" w:rsidRPr="009F72D1">
        <w:rPr>
          <w:i/>
          <w:iCs/>
          <w:vertAlign w:val="superscript"/>
        </w:rPr>
        <w:t>2</w:t>
      </w:r>
      <w:r w:rsidR="00F332BB">
        <w:rPr>
          <w:i/>
          <w:iCs/>
          <w:vertAlign w:val="superscript"/>
        </w:rPr>
        <w:t xml:space="preserve"> </w:t>
      </w:r>
      <w:r w:rsidR="00F332BB">
        <w:rPr>
          <w:i/>
          <w:iCs/>
        </w:rPr>
        <w:t xml:space="preserve">10,000 to </w:t>
      </w:r>
      <w:r w:rsidR="00BF18F9">
        <w:rPr>
          <w:i/>
          <w:iCs/>
        </w:rPr>
        <w:t xml:space="preserve">&lt; </w:t>
      </w:r>
      <w:r w:rsidR="00F332BB">
        <w:rPr>
          <w:i/>
          <w:iCs/>
        </w:rPr>
        <w:t>20,000</w:t>
      </w:r>
      <w:r w:rsidR="005D592B" w:rsidRPr="009F72D1">
        <w:rPr>
          <w:i/>
          <w:iCs/>
          <w:vertAlign w:val="superscript"/>
        </w:rPr>
        <w:t xml:space="preserve"> </w:t>
      </w:r>
      <w:r w:rsidR="00F332BB">
        <w:rPr>
          <w:i/>
          <w:iCs/>
          <w:vertAlign w:val="superscript"/>
        </w:rPr>
        <w:br/>
        <w:t xml:space="preserve">3 </w:t>
      </w:r>
      <w:r w:rsidR="00F332BB">
        <w:rPr>
          <w:i/>
          <w:iCs/>
        </w:rPr>
        <w:t>$1</w:t>
      </w:r>
      <w:r w:rsidR="005D592B" w:rsidRPr="009F72D1">
        <w:rPr>
          <w:i/>
          <w:iCs/>
        </w:rPr>
        <w:t>0</w:t>
      </w:r>
      <w:r w:rsidR="00F332BB">
        <w:rPr>
          <w:i/>
          <w:iCs/>
        </w:rPr>
        <w:t xml:space="preserve"> million</w:t>
      </w:r>
      <w:r w:rsidR="005D592B" w:rsidRPr="009F72D1">
        <w:rPr>
          <w:i/>
          <w:iCs/>
        </w:rPr>
        <w:t xml:space="preserve"> to </w:t>
      </w:r>
      <w:r w:rsidR="00BF18F9">
        <w:rPr>
          <w:i/>
          <w:iCs/>
        </w:rPr>
        <w:t xml:space="preserve">&lt; </w:t>
      </w:r>
      <w:r w:rsidR="00F332BB">
        <w:rPr>
          <w:i/>
          <w:iCs/>
        </w:rPr>
        <w:t>$</w:t>
      </w:r>
      <w:r w:rsidR="005D592B" w:rsidRPr="009F72D1">
        <w:rPr>
          <w:i/>
          <w:iCs/>
        </w:rPr>
        <w:t>20</w:t>
      </w:r>
      <w:r w:rsidR="00F332BB">
        <w:rPr>
          <w:i/>
          <w:iCs/>
        </w:rPr>
        <w:t xml:space="preserve"> million</w:t>
      </w:r>
      <w:r w:rsidR="005D592B">
        <w:rPr>
          <w:i/>
          <w:iCs/>
        </w:rPr>
        <w:br/>
      </w:r>
      <w:r w:rsidR="00F332BB">
        <w:rPr>
          <w:i/>
          <w:iCs/>
          <w:vertAlign w:val="superscript"/>
        </w:rPr>
        <w:t>4</w:t>
      </w:r>
      <w:r w:rsidR="005D592B">
        <w:rPr>
          <w:i/>
          <w:iCs/>
        </w:rPr>
        <w:t xml:space="preserve"> </w:t>
      </w:r>
      <w:r w:rsidR="00F332BB">
        <w:rPr>
          <w:i/>
          <w:iCs/>
        </w:rPr>
        <w:t xml:space="preserve">$20 million to </w:t>
      </w:r>
      <w:r w:rsidR="00BF18F9">
        <w:rPr>
          <w:i/>
          <w:iCs/>
        </w:rPr>
        <w:t xml:space="preserve">&lt; </w:t>
      </w:r>
      <w:r w:rsidR="00F332BB">
        <w:rPr>
          <w:i/>
          <w:iCs/>
        </w:rPr>
        <w:t>$30 million</w:t>
      </w:r>
      <w:r w:rsidR="002D2B18">
        <w:rPr>
          <w:i/>
          <w:iCs/>
        </w:rPr>
        <w:br/>
      </w:r>
      <w:r w:rsidR="002D2B18">
        <w:rPr>
          <w:i/>
          <w:iCs/>
          <w:vertAlign w:val="superscript"/>
        </w:rPr>
        <w:t>5</w:t>
      </w:r>
      <w:r w:rsidR="002D2B18">
        <w:rPr>
          <w:i/>
          <w:iCs/>
        </w:rPr>
        <w:t xml:space="preserve"> $0 to </w:t>
      </w:r>
      <w:r w:rsidR="00BF18F9">
        <w:rPr>
          <w:i/>
          <w:iCs/>
        </w:rPr>
        <w:t xml:space="preserve">&lt; </w:t>
      </w:r>
      <w:r w:rsidR="002D2B18">
        <w:rPr>
          <w:i/>
          <w:iCs/>
        </w:rPr>
        <w:t>$10 million</w:t>
      </w:r>
      <w:r w:rsidR="00F332BB">
        <w:rPr>
          <w:i/>
          <w:iCs/>
        </w:rPr>
        <w:br/>
      </w:r>
      <w:r w:rsidR="002D2B18">
        <w:rPr>
          <w:i/>
          <w:iCs/>
          <w:vertAlign w:val="superscript"/>
        </w:rPr>
        <w:t>6</w:t>
      </w:r>
      <w:r w:rsidR="002D2B18">
        <w:rPr>
          <w:i/>
          <w:iCs/>
        </w:rPr>
        <w:t xml:space="preserve"> </w:t>
      </w:r>
      <w:r w:rsidR="003069BC">
        <w:rPr>
          <w:i/>
          <w:iCs/>
        </w:rPr>
        <w:t xml:space="preserve">5,000 to </w:t>
      </w:r>
      <w:r w:rsidR="00BF18F9">
        <w:rPr>
          <w:i/>
          <w:iCs/>
        </w:rPr>
        <w:t xml:space="preserve">&lt; </w:t>
      </w:r>
      <w:r w:rsidR="003069BC">
        <w:rPr>
          <w:i/>
          <w:iCs/>
        </w:rPr>
        <w:t>10,000</w:t>
      </w:r>
      <w:r w:rsidR="003069BC">
        <w:rPr>
          <w:i/>
          <w:iCs/>
        </w:rPr>
        <w:br/>
      </w:r>
      <w:r w:rsidR="003069BC" w:rsidRPr="009F72D1">
        <w:rPr>
          <w:i/>
          <w:iCs/>
          <w:vertAlign w:val="superscript"/>
        </w:rPr>
        <w:t>7</w:t>
      </w:r>
      <w:r w:rsidR="003069BC">
        <w:rPr>
          <w:i/>
          <w:iCs/>
        </w:rPr>
        <w:t xml:space="preserve"> 20,000 to </w:t>
      </w:r>
      <w:r w:rsidR="00BF18F9">
        <w:rPr>
          <w:i/>
          <w:iCs/>
        </w:rPr>
        <w:t xml:space="preserve">&lt; </w:t>
      </w:r>
      <w:r w:rsidR="003069BC">
        <w:rPr>
          <w:i/>
          <w:iCs/>
        </w:rPr>
        <w:t>30,000</w:t>
      </w:r>
      <w:r w:rsidR="003069BC">
        <w:rPr>
          <w:i/>
          <w:iCs/>
        </w:rPr>
        <w:br/>
      </w:r>
      <w:r w:rsidR="004B2526">
        <w:rPr>
          <w:i/>
          <w:iCs/>
          <w:vertAlign w:val="superscript"/>
        </w:rPr>
        <w:t>8</w:t>
      </w:r>
      <w:r w:rsidR="004B2526">
        <w:rPr>
          <w:i/>
          <w:iCs/>
        </w:rPr>
        <w:t xml:space="preserve"> 30,000 to </w:t>
      </w:r>
      <w:r w:rsidR="00BF18F9">
        <w:rPr>
          <w:i/>
          <w:iCs/>
        </w:rPr>
        <w:t xml:space="preserve">&lt; </w:t>
      </w:r>
      <w:r w:rsidR="004B2526">
        <w:rPr>
          <w:i/>
          <w:iCs/>
        </w:rPr>
        <w:t>40,000</w:t>
      </w:r>
      <w:r w:rsidR="004B2526">
        <w:rPr>
          <w:i/>
          <w:iCs/>
        </w:rPr>
        <w:br/>
      </w:r>
      <w:r w:rsidR="004B2526">
        <w:rPr>
          <w:i/>
          <w:iCs/>
          <w:vertAlign w:val="superscript"/>
        </w:rPr>
        <w:t>9</w:t>
      </w:r>
      <w:r w:rsidR="004B2526">
        <w:rPr>
          <w:i/>
          <w:iCs/>
        </w:rPr>
        <w:t xml:space="preserve"> $30 million to </w:t>
      </w:r>
      <w:r w:rsidR="00BF18F9">
        <w:rPr>
          <w:i/>
          <w:iCs/>
        </w:rPr>
        <w:t xml:space="preserve">&lt; </w:t>
      </w:r>
      <w:r w:rsidR="004B2526">
        <w:rPr>
          <w:i/>
          <w:iCs/>
        </w:rPr>
        <w:t>$40 million</w:t>
      </w:r>
      <w:r w:rsidR="004B2526">
        <w:rPr>
          <w:i/>
          <w:iCs/>
        </w:rPr>
        <w:br/>
      </w:r>
      <w:r w:rsidR="004B2526" w:rsidRPr="009F72D1">
        <w:rPr>
          <w:i/>
          <w:iCs/>
          <w:vertAlign w:val="superscript"/>
        </w:rPr>
        <w:t>10</w:t>
      </w:r>
      <w:r w:rsidR="004B2526">
        <w:rPr>
          <w:i/>
          <w:iCs/>
        </w:rPr>
        <w:t xml:space="preserve"> $40 million to </w:t>
      </w:r>
      <w:r w:rsidR="00BF18F9">
        <w:rPr>
          <w:i/>
          <w:iCs/>
        </w:rPr>
        <w:t xml:space="preserve">&lt; </w:t>
      </w:r>
      <w:r w:rsidR="004B2526">
        <w:rPr>
          <w:i/>
          <w:iCs/>
        </w:rPr>
        <w:t>$50 million</w:t>
      </w:r>
      <w:r w:rsidR="005D592B">
        <w:rPr>
          <w:i/>
          <w:iCs/>
        </w:rPr>
        <w:br/>
      </w:r>
    </w:p>
    <w:p w14:paraId="69F0C81D" w14:textId="4AF0AC37" w:rsidR="00F26D80" w:rsidRPr="004D0075" w:rsidRDefault="00D70349" w:rsidP="00FE56BD">
      <w:pPr>
        <w:pStyle w:val="3-BodyText"/>
      </w:pPr>
      <w:r w:rsidRPr="004D0075">
        <w:lastRenderedPageBreak/>
        <w:t xml:space="preserve">The submission estimated that </w:t>
      </w:r>
      <w:r w:rsidR="004B2526">
        <w:t xml:space="preserve">50,000 to </w:t>
      </w:r>
      <w:r w:rsidR="00BF18F9">
        <w:t xml:space="preserve">&lt; </w:t>
      </w:r>
      <w:r w:rsidR="004B2526">
        <w:t>60,000</w:t>
      </w:r>
      <w:r w:rsidRPr="004D0075">
        <w:t xml:space="preserve"> </w:t>
      </w:r>
      <w:r w:rsidR="00B26206" w:rsidRPr="004D0075">
        <w:t xml:space="preserve">additional doses (every </w:t>
      </w:r>
      <w:r w:rsidR="00B40D3A">
        <w:t>2</w:t>
      </w:r>
      <w:r w:rsidR="00B40D3A" w:rsidRPr="00753133">
        <w:rPr>
          <w:vertAlign w:val="superscript"/>
        </w:rPr>
        <w:t>nd</w:t>
      </w:r>
      <w:r w:rsidR="00B40D3A">
        <w:t xml:space="preserve"> </w:t>
      </w:r>
      <w:r w:rsidR="00331E5F" w:rsidRPr="004D0075">
        <w:t xml:space="preserve">Q4W </w:t>
      </w:r>
      <w:r w:rsidR="00B26206" w:rsidRPr="004D0075">
        <w:t xml:space="preserve">supply; </w:t>
      </w:r>
      <w:r w:rsidR="004B2526">
        <w:t xml:space="preserve">5,000 to </w:t>
      </w:r>
      <w:r w:rsidR="00BF18F9">
        <w:t xml:space="preserve">&lt; </w:t>
      </w:r>
      <w:r w:rsidR="004B2526">
        <w:t>10,000</w:t>
      </w:r>
      <w:r w:rsidR="00720A48">
        <w:t> </w:t>
      </w:r>
      <w:r w:rsidR="009C224C" w:rsidRPr="004D0075">
        <w:t xml:space="preserve">in Year 1 and </w:t>
      </w:r>
      <w:r w:rsidR="004B2526">
        <w:t xml:space="preserve">10,000 to </w:t>
      </w:r>
      <w:r w:rsidR="00BF18F9">
        <w:t xml:space="preserve">&lt; </w:t>
      </w:r>
      <w:r w:rsidR="004B2526">
        <w:t>20,000</w:t>
      </w:r>
      <w:r w:rsidR="009C224C" w:rsidRPr="004D0075">
        <w:t xml:space="preserve"> in Year 6)</w:t>
      </w:r>
      <w:r w:rsidR="004338A9" w:rsidRPr="004D0075">
        <w:t xml:space="preserve"> </w:t>
      </w:r>
      <w:r w:rsidRPr="004D0075" w:rsidDel="00DE2BD7">
        <w:t>w</w:t>
      </w:r>
      <w:r w:rsidRPr="004D0075">
        <w:t>ould be supplied over the first six years of listing</w:t>
      </w:r>
      <w:r w:rsidRPr="004D0075" w:rsidDel="00331E5F">
        <w:t xml:space="preserve"> </w:t>
      </w:r>
      <w:r w:rsidR="00865998" w:rsidRPr="004D0075">
        <w:t xml:space="preserve">and this would result in a </w:t>
      </w:r>
      <w:r w:rsidR="00375ACA">
        <w:t xml:space="preserve">200,000 to &lt; 300,000 </w:t>
      </w:r>
      <w:r w:rsidR="00865998" w:rsidRPr="004D0075">
        <w:t xml:space="preserve">reduction </w:t>
      </w:r>
      <w:r w:rsidR="009C224C" w:rsidRPr="004D0075">
        <w:t>in Q8W scripts</w:t>
      </w:r>
      <w:r w:rsidR="00BD623A" w:rsidRPr="004D0075">
        <w:t xml:space="preserve"> and a </w:t>
      </w:r>
      <w:r w:rsidR="009A71ED" w:rsidRPr="004D0075">
        <w:t>net financial impact of $</w:t>
      </w:r>
      <w:r w:rsidR="004B2526">
        <w:t xml:space="preserve">50 million to </w:t>
      </w:r>
      <w:r w:rsidR="00BF18F9">
        <w:t xml:space="preserve">&lt; </w:t>
      </w:r>
      <w:r w:rsidR="004B2526">
        <w:t>$60 million</w:t>
      </w:r>
      <w:r w:rsidR="009A71ED" w:rsidRPr="004D0075">
        <w:t xml:space="preserve"> (</w:t>
      </w:r>
      <w:r w:rsidR="007918B3" w:rsidRPr="004D0075">
        <w:t>$</w:t>
      </w:r>
      <w:r w:rsidR="004B2526">
        <w:t xml:space="preserve">0 to </w:t>
      </w:r>
      <w:r w:rsidR="00BF18F9">
        <w:t xml:space="preserve">&lt; </w:t>
      </w:r>
      <w:r w:rsidR="004B2526">
        <w:t xml:space="preserve">$10 million </w:t>
      </w:r>
      <w:r w:rsidR="007918B3" w:rsidRPr="004D0075">
        <w:t>in Year 1</w:t>
      </w:r>
      <w:r w:rsidR="00467D30" w:rsidRPr="004D0075">
        <w:t xml:space="preserve"> to </w:t>
      </w:r>
      <w:r w:rsidR="004B2526">
        <w:t xml:space="preserve">$10 million to </w:t>
      </w:r>
      <w:r w:rsidR="00BF18F9">
        <w:t xml:space="preserve">&lt; </w:t>
      </w:r>
      <w:r w:rsidR="004B2526">
        <w:t>$20 million</w:t>
      </w:r>
      <w:r w:rsidR="00D37FA5">
        <w:t xml:space="preserve"> </w:t>
      </w:r>
      <w:r w:rsidR="007918B3" w:rsidRPr="004D0075">
        <w:t>in Year 6</w:t>
      </w:r>
      <w:r w:rsidR="00467D30" w:rsidRPr="004D0075">
        <w:t>)</w:t>
      </w:r>
      <w:r w:rsidR="007918B3" w:rsidRPr="004D0075">
        <w:t>.</w:t>
      </w:r>
      <w:r w:rsidR="005259FD" w:rsidRPr="004D0075">
        <w:t xml:space="preserve"> </w:t>
      </w:r>
      <w:r w:rsidR="3B1CE929" w:rsidRPr="004D0075">
        <w:t>The</w:t>
      </w:r>
      <w:r w:rsidR="005259FD" w:rsidRPr="004D0075">
        <w:t xml:space="preserve"> submission </w:t>
      </w:r>
      <w:r w:rsidR="00655039">
        <w:t>offered</w:t>
      </w:r>
      <w:r w:rsidR="00655039" w:rsidRPr="004D0075">
        <w:t xml:space="preserve"> </w:t>
      </w:r>
      <w:r w:rsidR="005259FD" w:rsidRPr="004D0075">
        <w:t>to rebate this amount via a SPA</w:t>
      </w:r>
      <w:r w:rsidR="00655039">
        <w:t xml:space="preserve"> to</w:t>
      </w:r>
      <w:r w:rsidR="00655039" w:rsidRPr="004D0075">
        <w:t xml:space="preserve"> </w:t>
      </w:r>
      <w:r w:rsidR="005259FD" w:rsidRPr="004D0075">
        <w:t>result in a $0 net cost to the PBS/RPBS</w:t>
      </w:r>
      <w:r w:rsidRPr="004D0075" w:rsidDel="00BD623A">
        <w:t>.</w:t>
      </w:r>
    </w:p>
    <w:p w14:paraId="7FBB1ACD" w14:textId="069CC9B4" w:rsidR="000B059E" w:rsidRPr="004D0075" w:rsidRDefault="000B059E" w:rsidP="00720A48">
      <w:pPr>
        <w:pStyle w:val="3-BodyText"/>
        <w:keepNext/>
        <w:keepLines/>
        <w:rPr>
          <w:rFonts w:cs="Times New Roman"/>
        </w:rPr>
      </w:pPr>
      <w:r w:rsidRPr="004D0075">
        <w:rPr>
          <w:rFonts w:cs="Times New Roman"/>
        </w:rPr>
        <w:t>The estimates assume</w:t>
      </w:r>
      <w:r w:rsidR="001F7976">
        <w:rPr>
          <w:rFonts w:cs="Times New Roman"/>
        </w:rPr>
        <w:t>d</w:t>
      </w:r>
      <w:r w:rsidRPr="004D0075">
        <w:rPr>
          <w:rFonts w:cs="Times New Roman"/>
        </w:rPr>
        <w:t xml:space="preserve"> all </w:t>
      </w:r>
      <w:r w:rsidR="008B7E5C">
        <w:rPr>
          <w:rFonts w:cs="Times New Roman"/>
        </w:rPr>
        <w:t xml:space="preserve">Australians </w:t>
      </w:r>
      <w:r w:rsidR="001F7976">
        <w:rPr>
          <w:rFonts w:cs="Times New Roman"/>
        </w:rPr>
        <w:t xml:space="preserve">eligible </w:t>
      </w:r>
      <w:r w:rsidRPr="004D0075">
        <w:rPr>
          <w:rFonts w:cs="Times New Roman"/>
        </w:rPr>
        <w:t xml:space="preserve">for the Q4W treatment </w:t>
      </w:r>
      <w:r w:rsidR="001F7976" w:rsidRPr="004D0075">
        <w:rPr>
          <w:rFonts w:cs="Times New Roman"/>
        </w:rPr>
        <w:t>ha</w:t>
      </w:r>
      <w:r w:rsidR="001F7976">
        <w:rPr>
          <w:rFonts w:cs="Times New Roman"/>
        </w:rPr>
        <w:t>d</w:t>
      </w:r>
      <w:r w:rsidR="001F7976" w:rsidRPr="004D0075">
        <w:rPr>
          <w:rFonts w:cs="Times New Roman"/>
        </w:rPr>
        <w:t xml:space="preserve"> </w:t>
      </w:r>
      <w:r w:rsidRPr="004D0075">
        <w:rPr>
          <w:rFonts w:cs="Times New Roman"/>
        </w:rPr>
        <w:t xml:space="preserve">already been </w:t>
      </w:r>
      <w:r w:rsidR="008B7E5C">
        <w:rPr>
          <w:rFonts w:cs="Times New Roman"/>
        </w:rPr>
        <w:t>included in</w:t>
      </w:r>
      <w:r w:rsidRPr="004D0075">
        <w:rPr>
          <w:rFonts w:cs="Times New Roman"/>
        </w:rPr>
        <w:t xml:space="preserve"> the sponsor’s access program</w:t>
      </w:r>
      <w:r w:rsidR="00BE644B" w:rsidRPr="004D0075">
        <w:rPr>
          <w:rFonts w:cs="Times New Roman"/>
        </w:rPr>
        <w:t xml:space="preserve"> and therefore </w:t>
      </w:r>
      <w:r w:rsidR="006D39F5" w:rsidRPr="004D0075">
        <w:rPr>
          <w:rFonts w:cs="Times New Roman"/>
        </w:rPr>
        <w:t>the c</w:t>
      </w:r>
      <w:r w:rsidRPr="004D0075">
        <w:rPr>
          <w:rFonts w:cs="Times New Roman"/>
        </w:rPr>
        <w:t xml:space="preserve">ontinuing scripts </w:t>
      </w:r>
      <w:r w:rsidR="006D39F5" w:rsidRPr="004D0075">
        <w:rPr>
          <w:rFonts w:cs="Times New Roman"/>
        </w:rPr>
        <w:t>we</w:t>
      </w:r>
      <w:r w:rsidRPr="004D0075">
        <w:rPr>
          <w:rFonts w:cs="Times New Roman"/>
        </w:rPr>
        <w:t xml:space="preserve">re projected to increase annually by a </w:t>
      </w:r>
      <w:r w:rsidRPr="00A043EB">
        <w:rPr>
          <w:rFonts w:cs="Times New Roman"/>
        </w:rPr>
        <w:t xml:space="preserve">fixed rate of </w:t>
      </w:r>
      <w:r w:rsidR="001E447D" w:rsidRPr="001E447D">
        <w:rPr>
          <w:rFonts w:cs="Times New Roman"/>
          <w:highlight w:val="black"/>
        </w:rPr>
        <w:t>@@@@</w:t>
      </w:r>
      <w:r w:rsidRPr="00A043EB">
        <w:rPr>
          <w:rFonts w:cs="Times New Roman"/>
        </w:rPr>
        <w:t xml:space="preserve">% for CD and </w:t>
      </w:r>
      <w:r w:rsidR="001E447D" w:rsidRPr="001E447D">
        <w:rPr>
          <w:rFonts w:cs="Times New Roman"/>
          <w:highlight w:val="black"/>
        </w:rPr>
        <w:t>@@@@</w:t>
      </w:r>
      <w:r w:rsidRPr="00A043EB">
        <w:rPr>
          <w:rFonts w:cs="Times New Roman"/>
        </w:rPr>
        <w:t>% for MSUC</w:t>
      </w:r>
      <w:r w:rsidR="006D39F5" w:rsidRPr="00A043EB">
        <w:rPr>
          <w:rFonts w:cs="Times New Roman"/>
        </w:rPr>
        <w:t xml:space="preserve"> </w:t>
      </w:r>
      <w:r w:rsidR="006D39F5" w:rsidRPr="004D0075">
        <w:rPr>
          <w:rFonts w:cs="Times New Roman"/>
        </w:rPr>
        <w:t>based on the proportion of Q8W patients who required escalation in the access program</w:t>
      </w:r>
      <w:r w:rsidRPr="004D0075">
        <w:rPr>
          <w:rFonts w:cs="Times New Roman"/>
        </w:rPr>
        <w:t xml:space="preserve">. </w:t>
      </w:r>
      <w:r w:rsidR="006D39F5" w:rsidRPr="004D0075">
        <w:rPr>
          <w:rFonts w:cs="Times New Roman"/>
        </w:rPr>
        <w:t xml:space="preserve">This may not reflect the actual PBS usage of </w:t>
      </w:r>
      <w:r w:rsidR="00CD5EB2" w:rsidRPr="004D0075">
        <w:rPr>
          <w:rFonts w:cs="Times New Roman"/>
        </w:rPr>
        <w:t>Q4W treatment in practice</w:t>
      </w:r>
      <w:r w:rsidR="00AA2D7A">
        <w:rPr>
          <w:rFonts w:cs="Times New Roman"/>
        </w:rPr>
        <w:t>.</w:t>
      </w:r>
    </w:p>
    <w:p w14:paraId="143CD9FC" w14:textId="0E645A1F" w:rsidR="00CD5EB2" w:rsidRPr="004D0075" w:rsidRDefault="00A31FCB" w:rsidP="003922A1">
      <w:pPr>
        <w:pStyle w:val="3-BodyText"/>
        <w:rPr>
          <w:rFonts w:cs="Times New Roman"/>
        </w:rPr>
      </w:pPr>
      <w:r w:rsidRPr="004D0075">
        <w:t xml:space="preserve">The submission estimated there to be no financial implications to the PBS/RPBS as the submission proposed that any additional cost of Q4W minus co-payments would be reimbursed as a rebate to the Commonwealth. </w:t>
      </w:r>
      <w:r w:rsidR="007D620D" w:rsidRPr="004D0075">
        <w:t>The submission</w:t>
      </w:r>
      <w:r w:rsidR="001422B4" w:rsidRPr="004D0075">
        <w:t xml:space="preserve"> outlined that</w:t>
      </w:r>
      <w:r w:rsidR="007D620D" w:rsidRPr="004D0075">
        <w:t xml:space="preserve"> </w:t>
      </w:r>
      <w:r w:rsidR="006C3533" w:rsidRPr="004D0075">
        <w:t xml:space="preserve">during the </w:t>
      </w:r>
      <w:r w:rsidR="00CD5EB2" w:rsidRPr="004D0075">
        <w:t>access program</w:t>
      </w:r>
      <w:r w:rsidR="006C3533" w:rsidRPr="004D0075">
        <w:t>, patients</w:t>
      </w:r>
      <w:r w:rsidR="00D94257" w:rsidRPr="004D0075">
        <w:t xml:space="preserve"> were</w:t>
      </w:r>
      <w:r w:rsidR="007D620D" w:rsidRPr="004D0075">
        <w:t xml:space="preserve"> receiv</w:t>
      </w:r>
      <w:r w:rsidR="006D1E2F" w:rsidRPr="004D0075">
        <w:t>ing</w:t>
      </w:r>
      <w:r w:rsidR="007D620D" w:rsidRPr="004D0075">
        <w:t xml:space="preserve"> Q8W dosing</w:t>
      </w:r>
      <w:r w:rsidR="00CF5F59" w:rsidRPr="004D0075">
        <w:t xml:space="preserve"> via the PBS</w:t>
      </w:r>
      <w:r w:rsidR="007D620D" w:rsidRPr="004D0075">
        <w:t xml:space="preserve"> </w:t>
      </w:r>
      <w:r w:rsidR="00CF5F59" w:rsidRPr="004D0075">
        <w:t>and</w:t>
      </w:r>
      <w:r w:rsidR="007D620D" w:rsidRPr="004D0075">
        <w:t xml:space="preserve"> </w:t>
      </w:r>
      <w:r w:rsidR="006C3533" w:rsidRPr="004D0075">
        <w:t>the</w:t>
      </w:r>
      <w:r w:rsidR="007D620D" w:rsidRPr="004D0075">
        <w:t xml:space="preserve"> additional Q4W doses from the sponsor</w:t>
      </w:r>
      <w:r w:rsidR="00DE72CD" w:rsidRPr="004D0075">
        <w:t xml:space="preserve">. As such, </w:t>
      </w:r>
      <w:r w:rsidR="007D620D" w:rsidRPr="004D0075">
        <w:t xml:space="preserve">the </w:t>
      </w:r>
      <w:r w:rsidR="00CD5EB2" w:rsidRPr="004D0075">
        <w:t>a</w:t>
      </w:r>
      <w:r w:rsidR="007D620D" w:rsidRPr="004D0075">
        <w:t xml:space="preserve">ccess </w:t>
      </w:r>
      <w:r w:rsidR="00CD5EB2" w:rsidRPr="004D0075">
        <w:t xml:space="preserve">program </w:t>
      </w:r>
      <w:r w:rsidR="007D620D" w:rsidRPr="004D0075">
        <w:t>may have already increased PBS utilisation</w:t>
      </w:r>
      <w:r w:rsidR="000D353E">
        <w:t xml:space="preserve"> over the last 7 years</w:t>
      </w:r>
      <w:r w:rsidR="007D620D" w:rsidRPr="004D0075">
        <w:t xml:space="preserve"> by retaining patients who would </w:t>
      </w:r>
      <w:r w:rsidR="005F03FB" w:rsidRPr="004D0075">
        <w:t xml:space="preserve">have </w:t>
      </w:r>
      <w:r w:rsidR="007D620D" w:rsidRPr="004D0075">
        <w:t xml:space="preserve">otherwise discontinued </w:t>
      </w:r>
      <w:r w:rsidR="006E27BB" w:rsidRPr="004D0075">
        <w:t xml:space="preserve">Q8W </w:t>
      </w:r>
      <w:r w:rsidR="007D620D" w:rsidRPr="004D0075">
        <w:t>therapy.</w:t>
      </w:r>
    </w:p>
    <w:p w14:paraId="274A0E8A" w14:textId="7F5EE470" w:rsidR="0096623F" w:rsidRPr="00B81C8E" w:rsidRDefault="000D78A2" w:rsidP="00602429">
      <w:pPr>
        <w:pStyle w:val="3-BodyText"/>
        <w:rPr>
          <w:rFonts w:cs="Arial"/>
          <w:b/>
          <w:snapToGrid w:val="0"/>
          <w:sz w:val="28"/>
          <w:szCs w:val="28"/>
        </w:rPr>
      </w:pPr>
      <w:r w:rsidRPr="00FE48A0">
        <w:t>The</w:t>
      </w:r>
      <w:r w:rsidRPr="004D0075">
        <w:t xml:space="preserve"> </w:t>
      </w:r>
      <w:r w:rsidR="00FB16CE">
        <w:t xml:space="preserve">proposed </w:t>
      </w:r>
      <w:r w:rsidR="001F12D8" w:rsidRPr="004D0075">
        <w:t xml:space="preserve">restriction wording </w:t>
      </w:r>
      <w:r w:rsidR="00FB16CE">
        <w:t>did</w:t>
      </w:r>
      <w:r w:rsidR="00FB16CE" w:rsidRPr="004D0075">
        <w:t xml:space="preserve"> </w:t>
      </w:r>
      <w:r w:rsidR="001F12D8" w:rsidRPr="004D0075">
        <w:t>not include the cancellation of Q8W scripts when a patient</w:t>
      </w:r>
      <w:r w:rsidR="00FB16CE">
        <w:t xml:space="preserve"> dose</w:t>
      </w:r>
      <w:r w:rsidR="001F12D8" w:rsidRPr="004D0075">
        <w:t xml:space="preserve"> escalates</w:t>
      </w:r>
      <w:r w:rsidR="00FB16CE">
        <w:t>,</w:t>
      </w:r>
      <w:r w:rsidR="001F12D8" w:rsidRPr="004D0075">
        <w:t xml:space="preserve"> </w:t>
      </w:r>
      <w:r w:rsidR="00FB16CE">
        <w:t>yet</w:t>
      </w:r>
      <w:r w:rsidR="00FB16CE" w:rsidRPr="004D0075">
        <w:t xml:space="preserve"> </w:t>
      </w:r>
      <w:r w:rsidR="001F12D8" w:rsidRPr="004D0075">
        <w:t xml:space="preserve">the submission </w:t>
      </w:r>
      <w:r w:rsidR="00FB16CE" w:rsidRPr="004D0075">
        <w:t>assume</w:t>
      </w:r>
      <w:r w:rsidR="00FB16CE">
        <w:t>d</w:t>
      </w:r>
      <w:r w:rsidR="00FB16CE" w:rsidRPr="004D0075">
        <w:t xml:space="preserve"> </w:t>
      </w:r>
      <w:r w:rsidR="001F12D8" w:rsidRPr="004D0075">
        <w:t xml:space="preserve">patients </w:t>
      </w:r>
      <w:r w:rsidR="00FB16CE" w:rsidRPr="004D0075">
        <w:t>w</w:t>
      </w:r>
      <w:r w:rsidR="00FB16CE">
        <w:t>ould</w:t>
      </w:r>
      <w:r w:rsidR="00FB16CE" w:rsidRPr="004D0075">
        <w:t xml:space="preserve"> </w:t>
      </w:r>
      <w:r w:rsidR="001F12D8" w:rsidRPr="004D0075">
        <w:t>not return to Q8W treatment</w:t>
      </w:r>
      <w:r w:rsidR="00FB16CE">
        <w:t>. T</w:t>
      </w:r>
      <w:r w:rsidR="001F12D8" w:rsidRPr="004D0075">
        <w:t xml:space="preserve">he </w:t>
      </w:r>
      <w:r w:rsidRPr="004D0075">
        <w:t xml:space="preserve">model </w:t>
      </w:r>
      <w:r w:rsidR="00FB16CE">
        <w:t>did</w:t>
      </w:r>
      <w:r w:rsidR="00FB16CE" w:rsidRPr="004D0075">
        <w:t xml:space="preserve"> </w:t>
      </w:r>
      <w:r w:rsidRPr="004D0075">
        <w:t xml:space="preserve">not </w:t>
      </w:r>
      <w:r w:rsidR="001F12D8" w:rsidRPr="004D0075">
        <w:t>account for</w:t>
      </w:r>
      <w:r w:rsidRPr="004D0075">
        <w:t xml:space="preserve"> the risk of overlapping Q8W and Q4W scripts during </w:t>
      </w:r>
      <w:r w:rsidR="001F12D8" w:rsidRPr="004D0075">
        <w:t xml:space="preserve">the </w:t>
      </w:r>
      <w:r w:rsidRPr="004D0075">
        <w:t xml:space="preserve">transition, which could lead to double-counting or wastage. Without explicit protocols for script cancellation or transition management, there is a risk of overestimating </w:t>
      </w:r>
      <w:r w:rsidR="00BA2FB4">
        <w:t xml:space="preserve">the </w:t>
      </w:r>
      <w:r w:rsidRPr="004D0075">
        <w:t>drug utilisation and rebate requirements.</w:t>
      </w:r>
    </w:p>
    <w:p w14:paraId="789F50F6" w14:textId="6924971B" w:rsidR="00106BB8" w:rsidRDefault="00106BB8" w:rsidP="00106BB8">
      <w:pPr>
        <w:pStyle w:val="2-SectionHeading"/>
      </w:pPr>
      <w:r>
        <w:t>PBAC Outcome</w:t>
      </w:r>
    </w:p>
    <w:p w14:paraId="001479AD" w14:textId="103D6B2E" w:rsidR="00073901" w:rsidRDefault="00E379FF" w:rsidP="00E379FF">
      <w:pPr>
        <w:pStyle w:val="3-BodyText"/>
      </w:pPr>
      <w:r>
        <w:t xml:space="preserve">The PBAC did not recommend vedolizumab </w:t>
      </w:r>
      <w:r w:rsidR="00A64EE6">
        <w:t xml:space="preserve">300mg IV </w:t>
      </w:r>
      <w:r>
        <w:t>Q4W</w:t>
      </w:r>
      <w:r w:rsidR="004546F3">
        <w:t xml:space="preserve"> for the treatment of patients with </w:t>
      </w:r>
      <w:r w:rsidR="00BA2FB4">
        <w:t>MSUC</w:t>
      </w:r>
      <w:r w:rsidR="005962E5">
        <w:t xml:space="preserve"> or severe </w:t>
      </w:r>
      <w:r w:rsidR="00BA2FB4">
        <w:t>CD</w:t>
      </w:r>
      <w:r>
        <w:t xml:space="preserve">. </w:t>
      </w:r>
      <w:r w:rsidR="00124902">
        <w:t xml:space="preserve">The </w:t>
      </w:r>
      <w:r w:rsidR="00F60751">
        <w:t xml:space="preserve">submission </w:t>
      </w:r>
      <w:r w:rsidR="00144711">
        <w:t>suggested that the requested listings would be cost neutral,</w:t>
      </w:r>
      <w:r w:rsidR="005352D6">
        <w:t xml:space="preserve"> h</w:t>
      </w:r>
      <w:r w:rsidR="00124902">
        <w:t xml:space="preserve">owever, </w:t>
      </w:r>
      <w:r w:rsidR="00E9452E">
        <w:t>costs</w:t>
      </w:r>
      <w:r w:rsidR="00590B5E">
        <w:t xml:space="preserve"> to the MBS and Services Australia</w:t>
      </w:r>
      <w:r w:rsidR="00E9452E">
        <w:t xml:space="preserve"> incurred </w:t>
      </w:r>
      <w:r w:rsidR="00590B5E">
        <w:t>by providing additional infusions for Q4W dosing were not included in the usage estimate</w:t>
      </w:r>
      <w:r w:rsidR="008D27EF">
        <w:t>s</w:t>
      </w:r>
      <w:r w:rsidR="00590B5E">
        <w:t xml:space="preserve"> and financial implications </w:t>
      </w:r>
      <w:r w:rsidR="008D27EF">
        <w:t>should be accounted for</w:t>
      </w:r>
      <w:r w:rsidR="007E59F0">
        <w:t xml:space="preserve"> to be considered truly cost neutral</w:t>
      </w:r>
      <w:r w:rsidR="008D27EF">
        <w:t>.</w:t>
      </w:r>
      <w:r w:rsidR="00BF0BE4">
        <w:t xml:space="preserve"> </w:t>
      </w:r>
      <w:r w:rsidR="006507B9">
        <w:t xml:space="preserve">The PBAC </w:t>
      </w:r>
      <w:r w:rsidR="003B076E">
        <w:t xml:space="preserve">highlighted a previous </w:t>
      </w:r>
      <w:r w:rsidR="0064694A">
        <w:t>submission</w:t>
      </w:r>
      <w:r w:rsidR="003B076E">
        <w:t xml:space="preserve"> for vedolizumab in the March 2024 </w:t>
      </w:r>
      <w:r w:rsidR="00D54C71">
        <w:t xml:space="preserve">PBAC </w:t>
      </w:r>
      <w:r w:rsidR="003B076E">
        <w:t xml:space="preserve">meeting, which outlined that a cost neutral </w:t>
      </w:r>
      <w:r w:rsidR="00D54C71">
        <w:t xml:space="preserve">listing should be inclusive of </w:t>
      </w:r>
      <w:r w:rsidR="00EC6BF6">
        <w:t>MBS costs associated with additional testing and specialist visits.</w:t>
      </w:r>
    </w:p>
    <w:p w14:paraId="31627B65" w14:textId="746B5910" w:rsidR="00E34A3E" w:rsidRDefault="001C64E3">
      <w:pPr>
        <w:pStyle w:val="3-BodyText"/>
      </w:pPr>
      <w:r>
        <w:t>The secondary reason for the PBAC not recommending vedolizumab Q4W was due to a poorly defined clinical need for dose escalation.</w:t>
      </w:r>
      <w:r w:rsidR="00CB193D">
        <w:t xml:space="preserve"> The clinical trial populations </w:t>
      </w:r>
      <w:r w:rsidR="004154E7">
        <w:t xml:space="preserve">were defined as patients who had a clinical response to induction treatment. The </w:t>
      </w:r>
      <w:r w:rsidR="000E2770">
        <w:t>population proposed by the submission was requested for patients who responded to induction treatment and require a dose escalation</w:t>
      </w:r>
      <w:r w:rsidR="000013B1">
        <w:t xml:space="preserve"> to maintain an adequate response to treatment</w:t>
      </w:r>
      <w:r w:rsidR="000E2770">
        <w:t>. T</w:t>
      </w:r>
      <w:r w:rsidR="003D7A18">
        <w:t xml:space="preserve">he PBAC noted that dose optimisation may benefit some patients, </w:t>
      </w:r>
      <w:r w:rsidR="003D7A18">
        <w:lastRenderedPageBreak/>
        <w:t>however</w:t>
      </w:r>
      <w:r w:rsidR="006C11E0">
        <w:t>,</w:t>
      </w:r>
      <w:r w:rsidR="003D7A18">
        <w:t xml:space="preserve"> </w:t>
      </w:r>
      <w:r w:rsidR="00860763">
        <w:t xml:space="preserve">considered </w:t>
      </w:r>
      <w:r w:rsidR="003D7A18">
        <w:t xml:space="preserve">there </w:t>
      </w:r>
      <w:r w:rsidR="00860763">
        <w:t>wa</w:t>
      </w:r>
      <w:r w:rsidR="003D7A18">
        <w:t>s a high risk of use outside of</w:t>
      </w:r>
      <w:r w:rsidR="008B65F2">
        <w:t xml:space="preserve"> the</w:t>
      </w:r>
      <w:r w:rsidR="003D7A18">
        <w:t xml:space="preserve"> intended </w:t>
      </w:r>
      <w:r w:rsidR="004248A2">
        <w:t>population</w:t>
      </w:r>
      <w:r w:rsidR="003D7A18">
        <w:t xml:space="preserve">, and a </w:t>
      </w:r>
      <w:r w:rsidR="00860763">
        <w:t xml:space="preserve">risk of </w:t>
      </w:r>
      <w:r w:rsidR="003D7A18">
        <w:t>high Q4W up</w:t>
      </w:r>
      <w:r w:rsidR="00F9331F">
        <w:t>take</w:t>
      </w:r>
      <w:r w:rsidR="003D7A18">
        <w:t xml:space="preserve"> following </w:t>
      </w:r>
      <w:r w:rsidR="002F5A60">
        <w:t>inadequate treatment</w:t>
      </w:r>
      <w:r w:rsidR="003D7A18">
        <w:t xml:space="preserve"> </w:t>
      </w:r>
      <w:r w:rsidR="002F5A60">
        <w:t>response to</w:t>
      </w:r>
      <w:r w:rsidR="003D7A18">
        <w:t xml:space="preserve"> </w:t>
      </w:r>
      <w:r w:rsidR="00AD6A6C">
        <w:t xml:space="preserve">Q8W </w:t>
      </w:r>
      <w:r w:rsidR="00860763">
        <w:t>maintenance</w:t>
      </w:r>
      <w:r w:rsidR="003D7A18">
        <w:t>.</w:t>
      </w:r>
      <w:r w:rsidR="00E3218D">
        <w:t xml:space="preserve"> </w:t>
      </w:r>
      <w:r w:rsidR="00C97417">
        <w:t>The PBAC considered that clearer eligibility</w:t>
      </w:r>
      <w:r w:rsidR="00FF529E">
        <w:t xml:space="preserve"> for dose escalation </w:t>
      </w:r>
      <w:r w:rsidR="00C97417">
        <w:t xml:space="preserve">needed to </w:t>
      </w:r>
      <w:r w:rsidR="00FF529E">
        <w:t>be defined, and</w:t>
      </w:r>
      <w:r w:rsidR="00C97417">
        <w:t xml:space="preserve"> that</w:t>
      </w:r>
      <w:r w:rsidR="00FF529E">
        <w:t xml:space="preserve"> modelling to account for the high likelihood of increased uptake</w:t>
      </w:r>
      <w:r w:rsidR="00995344">
        <w:t xml:space="preserve"> outside of intended indications </w:t>
      </w:r>
      <w:r w:rsidR="005F675A">
        <w:t>should be provided</w:t>
      </w:r>
      <w:r w:rsidR="00995344">
        <w:t>.</w:t>
      </w:r>
    </w:p>
    <w:p w14:paraId="1E4D569F" w14:textId="7EEAE17F" w:rsidR="00950E7A" w:rsidRDefault="00A40FCE" w:rsidP="00950E7A">
      <w:pPr>
        <w:pStyle w:val="3-BodyText"/>
      </w:pPr>
      <w:r>
        <w:t xml:space="preserve">The PBAC acknowledged the need for </w:t>
      </w:r>
      <w:r w:rsidR="0038724B">
        <w:t xml:space="preserve">effective disease modifying treatments </w:t>
      </w:r>
      <w:r w:rsidR="001A1569">
        <w:t>to manage MSUC and CD</w:t>
      </w:r>
      <w:r w:rsidR="007724A9">
        <w:t xml:space="preserve">, </w:t>
      </w:r>
      <w:r w:rsidR="007E7C8B" w:rsidRPr="007E7C8B">
        <w:t>including personalised dosing regimens</w:t>
      </w:r>
      <w:r w:rsidR="007E7C8B">
        <w:t>,</w:t>
      </w:r>
      <w:r w:rsidR="007E7C8B" w:rsidRPr="007E7C8B">
        <w:t xml:space="preserve"> </w:t>
      </w:r>
      <w:r w:rsidR="007724A9">
        <w:t xml:space="preserve">noting there is no clear hierarchy </w:t>
      </w:r>
      <w:r w:rsidR="00D90C37">
        <w:t xml:space="preserve">and limited </w:t>
      </w:r>
      <w:r w:rsidR="00D36ABD">
        <w:t>alternatives</w:t>
      </w:r>
      <w:r w:rsidR="00F9749E">
        <w:t>.</w:t>
      </w:r>
    </w:p>
    <w:p w14:paraId="71A1F125" w14:textId="39EEBF40" w:rsidR="00B332BD" w:rsidRPr="00EE7AB0" w:rsidRDefault="00F20476" w:rsidP="00A82882">
      <w:pPr>
        <w:pStyle w:val="3-BodyText"/>
        <w:spacing w:after="0"/>
      </w:pPr>
      <w:r>
        <w:t>The PBAC highlighted that providing dose escalation via a sponsor access program to patients who would otherwise not respond to Q8W maintenance therapy, retaining access to PBS-subsidised vedolizumab therapy instead of transitioning to another therapy</w:t>
      </w:r>
      <w:r w:rsidR="00D07959">
        <w:t>,</w:t>
      </w:r>
      <w:r>
        <w:t xml:space="preserve"> is not appropriate in the absence of a PBAC recommendation that vedolizumab is cost-effective in this population. The PBAC likewise highlighted that usage of the </w:t>
      </w:r>
      <w:r w:rsidR="00D07959">
        <w:t>MBS</w:t>
      </w:r>
      <w:r>
        <w:t xml:space="preserve"> for the infusion of non-PBS doses of vedolizumab is not appropriate and is considered non-compliance</w:t>
      </w:r>
      <w:r w:rsidR="00B27750">
        <w:t>.</w:t>
      </w:r>
    </w:p>
    <w:p w14:paraId="446AEAD0" w14:textId="3986561A" w:rsidR="00950E7A" w:rsidRPr="00A82882" w:rsidRDefault="00950E7A" w:rsidP="00A82882">
      <w:pPr>
        <w:pStyle w:val="3-BodyText"/>
        <w:spacing w:after="0"/>
      </w:pPr>
      <w:r w:rsidRPr="00950E7A">
        <w:rPr>
          <w:rFonts w:cs="Arial"/>
          <w:bCs/>
          <w:snapToGrid w:val="0"/>
          <w:lang w:val="en-GB"/>
        </w:rPr>
        <w:t xml:space="preserve">The PBAC considered a resubmission for </w:t>
      </w:r>
      <w:r>
        <w:rPr>
          <w:rFonts w:cs="Arial"/>
          <w:bCs/>
          <w:snapToGrid w:val="0"/>
          <w:lang w:val="en-GB"/>
        </w:rPr>
        <w:t>vedolizumab 300mg IV Q4W</w:t>
      </w:r>
      <w:r w:rsidRPr="00950E7A">
        <w:rPr>
          <w:rFonts w:cs="Arial"/>
          <w:bCs/>
          <w:snapToGrid w:val="0"/>
          <w:lang w:val="en-GB"/>
        </w:rPr>
        <w:t xml:space="preserve"> should address the following issues:</w:t>
      </w:r>
    </w:p>
    <w:p w14:paraId="225FAF2A" w14:textId="6DF0E4A7" w:rsidR="00950E7A" w:rsidRDefault="00950E7A" w:rsidP="00A82882">
      <w:pPr>
        <w:pStyle w:val="ListParagraph"/>
        <w:widowControl w:val="0"/>
        <w:numPr>
          <w:ilvl w:val="0"/>
          <w:numId w:val="68"/>
        </w:numPr>
        <w:spacing w:before="0" w:after="0"/>
        <w:rPr>
          <w:bCs/>
          <w:lang w:val="en-GB"/>
        </w:rPr>
      </w:pPr>
      <w:r>
        <w:rPr>
          <w:bCs/>
          <w:lang w:val="en-GB"/>
        </w:rPr>
        <w:t xml:space="preserve">Estimated usage and financial implications calculations should include the costs incurred by the MBS and Services Australia </w:t>
      </w:r>
      <w:r w:rsidR="00D45D22">
        <w:rPr>
          <w:bCs/>
          <w:lang w:val="en-GB"/>
        </w:rPr>
        <w:t>involved in all additional infusions.</w:t>
      </w:r>
    </w:p>
    <w:p w14:paraId="2A96E39F" w14:textId="6B93F3F2" w:rsidR="00D45D22" w:rsidRDefault="00F56B4B" w:rsidP="00A82882">
      <w:pPr>
        <w:pStyle w:val="ListParagraph"/>
        <w:widowControl w:val="0"/>
        <w:numPr>
          <w:ilvl w:val="0"/>
          <w:numId w:val="68"/>
        </w:numPr>
        <w:spacing w:before="0" w:after="0"/>
        <w:rPr>
          <w:bCs/>
          <w:lang w:val="en-GB"/>
        </w:rPr>
      </w:pPr>
      <w:r>
        <w:rPr>
          <w:bCs/>
          <w:lang w:val="en-GB"/>
        </w:rPr>
        <w:t>Defin</w:t>
      </w:r>
      <w:r w:rsidR="00734F32">
        <w:rPr>
          <w:bCs/>
          <w:lang w:val="en-GB"/>
        </w:rPr>
        <w:t>ition of</w:t>
      </w:r>
      <w:r>
        <w:rPr>
          <w:bCs/>
          <w:lang w:val="en-GB"/>
        </w:rPr>
        <w:t xml:space="preserve"> the clinical place for </w:t>
      </w:r>
      <w:r w:rsidR="00253C65">
        <w:rPr>
          <w:bCs/>
          <w:lang w:val="en-GB"/>
        </w:rPr>
        <w:t>dose escalation</w:t>
      </w:r>
      <w:r w:rsidR="004A5367">
        <w:rPr>
          <w:bCs/>
          <w:lang w:val="en-GB"/>
        </w:rPr>
        <w:t xml:space="preserve"> and clear guidelines for</w:t>
      </w:r>
      <w:r w:rsidR="00355381">
        <w:rPr>
          <w:bCs/>
          <w:lang w:val="en-GB"/>
        </w:rPr>
        <w:t xml:space="preserve"> Q</w:t>
      </w:r>
      <w:r w:rsidR="00ED331D">
        <w:rPr>
          <w:bCs/>
          <w:lang w:val="en-GB"/>
        </w:rPr>
        <w:t>8</w:t>
      </w:r>
      <w:r w:rsidR="00355381">
        <w:rPr>
          <w:bCs/>
          <w:lang w:val="en-GB"/>
        </w:rPr>
        <w:t>W</w:t>
      </w:r>
      <w:r w:rsidR="004A5367">
        <w:rPr>
          <w:bCs/>
          <w:lang w:val="en-GB"/>
        </w:rPr>
        <w:t xml:space="preserve"> non-responders </w:t>
      </w:r>
      <w:r w:rsidR="00C860B3">
        <w:rPr>
          <w:bCs/>
          <w:lang w:val="en-GB"/>
        </w:rPr>
        <w:t>who should permanently discontinue therapy and would not be eligible for Q4W treatment.</w:t>
      </w:r>
    </w:p>
    <w:p w14:paraId="42C4887A" w14:textId="32F5F353" w:rsidR="00B964F4" w:rsidRDefault="00B964F4" w:rsidP="00A82882">
      <w:pPr>
        <w:pStyle w:val="ListParagraph"/>
        <w:widowControl w:val="0"/>
        <w:numPr>
          <w:ilvl w:val="0"/>
          <w:numId w:val="68"/>
        </w:numPr>
        <w:spacing w:before="0" w:after="0"/>
        <w:rPr>
          <w:bCs/>
          <w:lang w:val="en-GB"/>
        </w:rPr>
      </w:pPr>
      <w:r>
        <w:rPr>
          <w:bCs/>
          <w:lang w:val="en-GB"/>
        </w:rPr>
        <w:t xml:space="preserve">Outline </w:t>
      </w:r>
      <w:r w:rsidR="0047434E">
        <w:rPr>
          <w:bCs/>
          <w:lang w:val="en-GB"/>
        </w:rPr>
        <w:t>timing and criteria for clinical reassessment post dose escalation to determine effectiveness of Q4W.</w:t>
      </w:r>
    </w:p>
    <w:p w14:paraId="4F641835" w14:textId="17C3DE01" w:rsidR="00713FD0" w:rsidRDefault="00713FD0" w:rsidP="00A82882">
      <w:pPr>
        <w:pStyle w:val="ListParagraph"/>
        <w:widowControl w:val="0"/>
        <w:numPr>
          <w:ilvl w:val="0"/>
          <w:numId w:val="68"/>
        </w:numPr>
        <w:spacing w:before="0" w:after="0"/>
        <w:rPr>
          <w:bCs/>
          <w:lang w:val="en-GB"/>
        </w:rPr>
      </w:pPr>
      <w:r>
        <w:rPr>
          <w:bCs/>
          <w:lang w:val="en-GB"/>
        </w:rPr>
        <w:t>Clarify flow on consequences of Q4W dosing</w:t>
      </w:r>
      <w:r w:rsidR="00F4051A">
        <w:rPr>
          <w:bCs/>
          <w:lang w:val="en-GB"/>
        </w:rPr>
        <w:t xml:space="preserve"> such as if</w:t>
      </w:r>
      <w:r>
        <w:rPr>
          <w:bCs/>
          <w:lang w:val="en-GB"/>
        </w:rPr>
        <w:t xml:space="preserve"> patients </w:t>
      </w:r>
      <w:r w:rsidR="00F4051A">
        <w:rPr>
          <w:bCs/>
          <w:lang w:val="en-GB"/>
        </w:rPr>
        <w:t xml:space="preserve">become </w:t>
      </w:r>
      <w:r>
        <w:rPr>
          <w:bCs/>
          <w:lang w:val="en-GB"/>
        </w:rPr>
        <w:t xml:space="preserve">ineligible </w:t>
      </w:r>
      <w:r w:rsidR="00F4051A">
        <w:rPr>
          <w:bCs/>
          <w:lang w:val="en-GB"/>
        </w:rPr>
        <w:t>to</w:t>
      </w:r>
      <w:r>
        <w:rPr>
          <w:bCs/>
          <w:lang w:val="en-GB"/>
        </w:rPr>
        <w:t xml:space="preserve"> return to Q8W</w:t>
      </w:r>
      <w:r w:rsidR="00775C2E">
        <w:rPr>
          <w:bCs/>
          <w:lang w:val="en-GB"/>
        </w:rPr>
        <w:t xml:space="preserve"> or</w:t>
      </w:r>
      <w:r w:rsidR="00F4051A">
        <w:rPr>
          <w:bCs/>
          <w:lang w:val="en-GB"/>
        </w:rPr>
        <w:t xml:space="preserve"> if they can transition to</w:t>
      </w:r>
      <w:r w:rsidR="00775C2E">
        <w:rPr>
          <w:bCs/>
          <w:lang w:val="en-GB"/>
        </w:rPr>
        <w:t xml:space="preserve"> </w:t>
      </w:r>
      <w:r w:rsidR="00EC7C9B">
        <w:rPr>
          <w:bCs/>
          <w:lang w:val="en-GB"/>
        </w:rPr>
        <w:t>SC maintenance and SC dosing frequency.</w:t>
      </w:r>
    </w:p>
    <w:p w14:paraId="06C14F60" w14:textId="43C3CF3C" w:rsidR="008E40A7" w:rsidRDefault="008E40A7" w:rsidP="00A82882">
      <w:pPr>
        <w:pStyle w:val="ListParagraph"/>
        <w:widowControl w:val="0"/>
        <w:numPr>
          <w:ilvl w:val="0"/>
          <w:numId w:val="68"/>
        </w:numPr>
        <w:spacing w:before="0" w:after="0"/>
        <w:rPr>
          <w:bCs/>
          <w:lang w:val="en-GB"/>
        </w:rPr>
      </w:pPr>
      <w:r>
        <w:rPr>
          <w:bCs/>
          <w:lang w:val="en-GB"/>
        </w:rPr>
        <w:t xml:space="preserve">Identify </w:t>
      </w:r>
      <w:r w:rsidR="00B9045B">
        <w:rPr>
          <w:bCs/>
          <w:lang w:val="en-GB"/>
        </w:rPr>
        <w:t>script transition management to avoid overlap between transition from Q8W to Q4W and ensure accurate tracking of Q4W uptake.</w:t>
      </w:r>
    </w:p>
    <w:p w14:paraId="2F4498F7" w14:textId="26247C9B" w:rsidR="00FB4BE1" w:rsidRPr="00950E7A" w:rsidRDefault="00FB4BE1" w:rsidP="00A82882">
      <w:pPr>
        <w:pStyle w:val="ListParagraph"/>
        <w:widowControl w:val="0"/>
        <w:numPr>
          <w:ilvl w:val="0"/>
          <w:numId w:val="68"/>
        </w:numPr>
        <w:spacing w:before="0" w:after="0"/>
        <w:rPr>
          <w:bCs/>
          <w:lang w:val="en-GB"/>
        </w:rPr>
      </w:pPr>
      <w:r>
        <w:rPr>
          <w:bCs/>
          <w:lang w:val="en-GB"/>
        </w:rPr>
        <w:t xml:space="preserve">Include modelling that accounts for increased uptake of Q4W dosing </w:t>
      </w:r>
      <w:r w:rsidR="007E7C8B">
        <w:rPr>
          <w:bCs/>
          <w:lang w:val="en-GB"/>
        </w:rPr>
        <w:t xml:space="preserve">within and </w:t>
      </w:r>
      <w:r>
        <w:rPr>
          <w:bCs/>
          <w:lang w:val="en-GB"/>
        </w:rPr>
        <w:t>outside of intended indications</w:t>
      </w:r>
      <w:r w:rsidR="00734F32">
        <w:rPr>
          <w:bCs/>
          <w:lang w:val="en-GB"/>
        </w:rPr>
        <w:t>.</w:t>
      </w:r>
    </w:p>
    <w:p w14:paraId="44FEBD2F" w14:textId="1A8130EB" w:rsidR="00B9045B" w:rsidRDefault="00950E7A" w:rsidP="00E27EC3">
      <w:pPr>
        <w:pStyle w:val="3-BodyText"/>
        <w:rPr>
          <w:snapToGrid w:val="0"/>
          <w:lang w:val="en-GB"/>
        </w:rPr>
      </w:pPr>
      <w:r w:rsidRPr="00C6512B">
        <w:rPr>
          <w:snapToGrid w:val="0"/>
          <w:lang w:val="en-GB"/>
        </w:rPr>
        <w:t xml:space="preserve">The resubmission may be lodged </w:t>
      </w:r>
      <w:r w:rsidR="00AC4712">
        <w:rPr>
          <w:snapToGrid w:val="0"/>
          <w:lang w:val="en-GB"/>
        </w:rPr>
        <w:t>for</w:t>
      </w:r>
      <w:r w:rsidRPr="00C6512B">
        <w:rPr>
          <w:snapToGrid w:val="0"/>
          <w:lang w:val="en-GB"/>
        </w:rPr>
        <w:t xml:space="preserve"> any future PBAC </w:t>
      </w:r>
      <w:r w:rsidR="00AC4712">
        <w:rPr>
          <w:snapToGrid w:val="0"/>
          <w:lang w:val="en-GB"/>
        </w:rPr>
        <w:t>meeting via</w:t>
      </w:r>
      <w:r w:rsidRPr="00C6512B">
        <w:rPr>
          <w:snapToGrid w:val="0"/>
          <w:lang w:val="en-GB"/>
        </w:rPr>
        <w:t xml:space="preserve"> the standard re</w:t>
      </w:r>
      <w:r w:rsidR="00E43623">
        <w:rPr>
          <w:snapToGrid w:val="0"/>
          <w:lang w:val="en-GB"/>
        </w:rPr>
        <w:noBreakHyphen/>
      </w:r>
      <w:r w:rsidRPr="00C6512B">
        <w:rPr>
          <w:snapToGrid w:val="0"/>
          <w:lang w:val="en-GB"/>
        </w:rPr>
        <w:t>entry pathway.</w:t>
      </w:r>
    </w:p>
    <w:p w14:paraId="15264483" w14:textId="203D1C46" w:rsidR="00EA1DF3" w:rsidRDefault="00EA1DF3" w:rsidP="00EA1DF3">
      <w:pPr>
        <w:pStyle w:val="3-BodyText"/>
      </w:pPr>
      <w:r>
        <w:t>The PBAC noted that this submission is eligible for an Independent Review.</w:t>
      </w:r>
    </w:p>
    <w:p w14:paraId="2136492B" w14:textId="77777777" w:rsidR="00B9045B" w:rsidRDefault="00B9045B">
      <w:pPr>
        <w:jc w:val="left"/>
        <w:rPr>
          <w:rFonts w:cs="Calibri"/>
        </w:rPr>
      </w:pPr>
      <w:r w:rsidRPr="00B9045B">
        <w:rPr>
          <w:rFonts w:cs="Calibri"/>
          <w:b/>
          <w:bCs/>
        </w:rPr>
        <w:t>Outcome:</w:t>
      </w:r>
      <w:r>
        <w:rPr>
          <w:rFonts w:cs="Calibri"/>
        </w:rPr>
        <w:t xml:space="preserve"> </w:t>
      </w:r>
    </w:p>
    <w:p w14:paraId="1D1E9C21" w14:textId="6E992BC3" w:rsidR="00B9045B" w:rsidRDefault="00B9045B">
      <w:pPr>
        <w:jc w:val="left"/>
        <w:rPr>
          <w:rFonts w:cs="Calibri"/>
        </w:rPr>
      </w:pPr>
      <w:r>
        <w:rPr>
          <w:rFonts w:cs="Calibri"/>
        </w:rPr>
        <w:t>Not recommended</w:t>
      </w:r>
    </w:p>
    <w:p w14:paraId="090180D9" w14:textId="77777777" w:rsidR="00E629BD" w:rsidRDefault="00E629BD">
      <w:pPr>
        <w:jc w:val="left"/>
        <w:rPr>
          <w:rFonts w:cs="Calibri"/>
        </w:rPr>
      </w:pPr>
    </w:p>
    <w:p w14:paraId="17C2145C" w14:textId="77777777" w:rsidR="009C2FAF" w:rsidRPr="009C2FAF" w:rsidRDefault="009C2FAF" w:rsidP="009F72D1">
      <w:pPr>
        <w:pStyle w:val="2-SectionHeading"/>
      </w:pPr>
      <w:r w:rsidRPr="009C2FAF">
        <w:lastRenderedPageBreak/>
        <w:t>Context for Decision</w:t>
      </w:r>
    </w:p>
    <w:p w14:paraId="0B93DB20" w14:textId="77777777" w:rsidR="009C2FAF" w:rsidRDefault="009C2FAF" w:rsidP="009F72D1">
      <w:pPr>
        <w:ind w:left="709"/>
        <w:jc w:val="left"/>
        <w:rPr>
          <w:rFonts w:cs="Calibri"/>
        </w:rPr>
      </w:pPr>
      <w:r w:rsidRPr="009C2FAF">
        <w:rPr>
          <w:rFonts w:cs="Calibr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FEEC323" w14:textId="77777777" w:rsidR="009C2FAF" w:rsidRPr="009C2FAF" w:rsidRDefault="009C2FAF" w:rsidP="009C2FAF">
      <w:pPr>
        <w:jc w:val="left"/>
        <w:rPr>
          <w:rFonts w:cs="Calibri"/>
        </w:rPr>
      </w:pPr>
    </w:p>
    <w:p w14:paraId="7BDC1028" w14:textId="67C5BFF1" w:rsidR="009C2FAF" w:rsidRPr="002954DC" w:rsidRDefault="009C2FAF" w:rsidP="002954DC">
      <w:pPr>
        <w:pStyle w:val="2-SectionHeading"/>
      </w:pPr>
      <w:r w:rsidRPr="009C2FAF">
        <w:t>Sponsor’s Comment</w:t>
      </w:r>
    </w:p>
    <w:p w14:paraId="46AB570F" w14:textId="3665D653" w:rsidR="009C2FAF" w:rsidRPr="009C2FAF" w:rsidRDefault="009C2FAF" w:rsidP="009F72D1">
      <w:pPr>
        <w:ind w:left="709"/>
        <w:jc w:val="left"/>
        <w:rPr>
          <w:rFonts w:cs="Calibri"/>
        </w:rPr>
      </w:pPr>
      <w:r w:rsidRPr="009C2FAF">
        <w:rPr>
          <w:rFonts w:cs="Calibri"/>
        </w:rPr>
        <w:t>The sponsor had no comment.</w:t>
      </w:r>
    </w:p>
    <w:p w14:paraId="6DF9FEA1" w14:textId="77777777" w:rsidR="00E629BD" w:rsidRDefault="00E629BD" w:rsidP="009F72D1">
      <w:pPr>
        <w:ind w:left="709"/>
        <w:jc w:val="left"/>
        <w:rPr>
          <w:rFonts w:cs="Calibri"/>
        </w:rPr>
      </w:pPr>
    </w:p>
    <w:p w14:paraId="1CD4312F" w14:textId="48AD9C91" w:rsidR="00B149BA" w:rsidRPr="004D0075" w:rsidRDefault="00B149BA" w:rsidP="00304651">
      <w:pPr>
        <w:pStyle w:val="3-BodyText"/>
        <w:numPr>
          <w:ilvl w:val="0"/>
          <w:numId w:val="0"/>
        </w:numPr>
      </w:pPr>
    </w:p>
    <w:sectPr w:rsidR="00B149BA" w:rsidRPr="004D0075" w:rsidSect="00A51A2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4B733" w14:textId="77777777" w:rsidR="007B7F59" w:rsidRDefault="007B7F59">
      <w:r>
        <w:separator/>
      </w:r>
    </w:p>
    <w:p w14:paraId="0B14F8FF" w14:textId="77777777" w:rsidR="007B7F59" w:rsidRDefault="007B7F59"/>
  </w:endnote>
  <w:endnote w:type="continuationSeparator" w:id="0">
    <w:p w14:paraId="4128AC3A" w14:textId="77777777" w:rsidR="007B7F59" w:rsidRDefault="007B7F59">
      <w:r>
        <w:continuationSeparator/>
      </w:r>
    </w:p>
    <w:p w14:paraId="5063F96C" w14:textId="77777777" w:rsidR="007B7F59" w:rsidRDefault="007B7F59"/>
  </w:endnote>
  <w:endnote w:type="continuationNotice" w:id="1">
    <w:p w14:paraId="78CC8A7E" w14:textId="77777777" w:rsidR="007B7F59" w:rsidRDefault="007B7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OTNEJMQuadraat">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1560DFA1" w:rsidR="009C26AA" w:rsidRPr="005A3173" w:rsidRDefault="000078D8"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406FD744" wp14:editId="10A92530">
                    <wp:simplePos x="635" y="635"/>
                    <wp:positionH relativeFrom="page">
                      <wp:align>center</wp:align>
                    </wp:positionH>
                    <wp:positionV relativeFrom="page">
                      <wp:align>bottom</wp:align>
                    </wp:positionV>
                    <wp:extent cx="622300" cy="376555"/>
                    <wp:effectExtent l="0" t="0" r="6350" b="0"/>
                    <wp:wrapNone/>
                    <wp:docPr id="7077035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BB575E" w14:textId="4713A73C"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FD74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DBB575E" w14:textId="4713A73C"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45E0F51" w:rsidR="009C26AA" w:rsidRPr="00D429EC" w:rsidRDefault="000078D8"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577E8971" wp14:editId="4C48CB6A">
              <wp:simplePos x="914400" y="9406647"/>
              <wp:positionH relativeFrom="page">
                <wp:align>center</wp:align>
              </wp:positionH>
              <wp:positionV relativeFrom="page">
                <wp:align>bottom</wp:align>
              </wp:positionV>
              <wp:extent cx="622300" cy="376555"/>
              <wp:effectExtent l="0" t="0" r="6350" b="0"/>
              <wp:wrapNone/>
              <wp:docPr id="4672756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26C166" w14:textId="4DD63AF3"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E897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426C166" w14:textId="4DD63AF3"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B76B" w14:textId="42FDB60D" w:rsidR="004B1C98" w:rsidRDefault="000078D8">
    <w:pPr>
      <w:pStyle w:val="Footer"/>
    </w:pPr>
    <w:r>
      <w:rPr>
        <w:noProof/>
      </w:rPr>
      <mc:AlternateContent>
        <mc:Choice Requires="wps">
          <w:drawing>
            <wp:anchor distT="0" distB="0" distL="0" distR="0" simplePos="0" relativeHeight="251658243" behindDoc="0" locked="0" layoutInCell="1" allowOverlap="1" wp14:anchorId="1A3DE9F7" wp14:editId="32F0F930">
              <wp:simplePos x="635" y="635"/>
              <wp:positionH relativeFrom="page">
                <wp:align>center</wp:align>
              </wp:positionH>
              <wp:positionV relativeFrom="page">
                <wp:align>bottom</wp:align>
              </wp:positionV>
              <wp:extent cx="622300" cy="376555"/>
              <wp:effectExtent l="0" t="0" r="6350" b="0"/>
              <wp:wrapNone/>
              <wp:docPr id="20243644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DAB8D1" w14:textId="32F0CECB"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DE9F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5DAB8D1" w14:textId="32F0CECB"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461B" w14:textId="77777777" w:rsidR="007B7F59" w:rsidRDefault="007B7F59">
      <w:r>
        <w:separator/>
      </w:r>
    </w:p>
    <w:p w14:paraId="1F685E71" w14:textId="77777777" w:rsidR="007B7F59" w:rsidRDefault="007B7F59"/>
  </w:footnote>
  <w:footnote w:type="continuationSeparator" w:id="0">
    <w:p w14:paraId="32F55877" w14:textId="77777777" w:rsidR="007B7F59" w:rsidRDefault="007B7F59">
      <w:r>
        <w:continuationSeparator/>
      </w:r>
    </w:p>
    <w:p w14:paraId="094FAB0C" w14:textId="77777777" w:rsidR="007B7F59" w:rsidRDefault="007B7F59"/>
  </w:footnote>
  <w:footnote w:type="continuationNotice" w:id="1">
    <w:p w14:paraId="4C2B6882" w14:textId="77777777" w:rsidR="007B7F59" w:rsidRDefault="007B7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F02BDB8" w:rsidR="009C26AA" w:rsidRPr="00A06225" w:rsidRDefault="000078D8">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7353CCC" wp14:editId="28CD632F">
                    <wp:simplePos x="635" y="635"/>
                    <wp:positionH relativeFrom="page">
                      <wp:align>center</wp:align>
                    </wp:positionH>
                    <wp:positionV relativeFrom="page">
                      <wp:align>top</wp:align>
                    </wp:positionV>
                    <wp:extent cx="622300" cy="376555"/>
                    <wp:effectExtent l="0" t="0" r="6350" b="4445"/>
                    <wp:wrapNone/>
                    <wp:docPr id="153503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AC9113" w14:textId="4E4653C1"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53CCC"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3AC9113" w14:textId="4E4653C1"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81B5AC3" w:rsidR="00C56D78" w:rsidRPr="00C56D78" w:rsidRDefault="000078D8"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468B93BE" wp14:editId="10310AC5">
              <wp:simplePos x="914400" y="914400"/>
              <wp:positionH relativeFrom="page">
                <wp:align>center</wp:align>
              </wp:positionH>
              <wp:positionV relativeFrom="page">
                <wp:align>top</wp:align>
              </wp:positionV>
              <wp:extent cx="622300" cy="376555"/>
              <wp:effectExtent l="0" t="0" r="6350" b="4445"/>
              <wp:wrapNone/>
              <wp:docPr id="19054882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57D205" w14:textId="6220DD82"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B93B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657D205" w14:textId="6220DD82"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v:textbox>
              <w10:wrap anchorx="page" anchory="page"/>
            </v:shape>
          </w:pict>
        </mc:Fallback>
      </mc:AlternateContent>
    </w:r>
    <w:r w:rsidR="00380E28">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w:t>
    </w:r>
    <w:r w:rsidR="00DE6048">
      <w:rPr>
        <w:rFonts w:asciiTheme="minorHAnsi" w:eastAsiaTheme="minorEastAsia" w:hAnsiTheme="minorHAnsi" w:cstheme="minorHAnsi"/>
        <w:i/>
        <w:color w:val="808080"/>
      </w:rPr>
      <w:t>November</w:t>
    </w:r>
    <w:r w:rsidR="00C56D78">
      <w:rPr>
        <w:rFonts w:asciiTheme="minorHAnsi" w:eastAsiaTheme="minorEastAsia" w:hAnsiTheme="minorHAnsi" w:cstheme="minorHAnsi"/>
        <w:i/>
        <w:color w:val="808080"/>
      </w:rPr>
      <w:t xml:space="preserve"> 202</w:t>
    </w:r>
    <w:r w:rsidR="00DE6048">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D5C9" w14:textId="712DAC0C" w:rsidR="004B1C98" w:rsidRDefault="000078D8">
    <w:pPr>
      <w:pStyle w:val="Header"/>
    </w:pPr>
    <w:r>
      <w:rPr>
        <w:noProof/>
      </w:rPr>
      <mc:AlternateContent>
        <mc:Choice Requires="wps">
          <w:drawing>
            <wp:anchor distT="0" distB="0" distL="0" distR="0" simplePos="0" relativeHeight="251658240" behindDoc="0" locked="0" layoutInCell="1" allowOverlap="1" wp14:anchorId="002E4F02" wp14:editId="69114FC5">
              <wp:simplePos x="635" y="635"/>
              <wp:positionH relativeFrom="page">
                <wp:align>center</wp:align>
              </wp:positionH>
              <wp:positionV relativeFrom="page">
                <wp:align>top</wp:align>
              </wp:positionV>
              <wp:extent cx="622300" cy="376555"/>
              <wp:effectExtent l="0" t="0" r="6350" b="4445"/>
              <wp:wrapNone/>
              <wp:docPr id="1176821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D84868" w14:textId="185E901F"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E4F0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4D84868" w14:textId="185E901F" w:rsidR="000078D8" w:rsidRPr="000078D8" w:rsidRDefault="000078D8" w:rsidP="000078D8">
                    <w:pPr>
                      <w:rPr>
                        <w:rFonts w:ascii="Aptos" w:eastAsia="Aptos" w:hAnsi="Aptos" w:cs="Aptos"/>
                        <w:noProof/>
                        <w:color w:val="FF0000"/>
                      </w:rPr>
                    </w:pPr>
                    <w:r w:rsidRPr="000078D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525A1D"/>
    <w:multiLevelType w:val="multilevel"/>
    <w:tmpl w:val="C3E4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B059D"/>
    <w:multiLevelType w:val="hybridMultilevel"/>
    <w:tmpl w:val="F962B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BB6CAF"/>
    <w:multiLevelType w:val="hybridMultilevel"/>
    <w:tmpl w:val="724C37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AED60D6"/>
    <w:multiLevelType w:val="hybridMultilevel"/>
    <w:tmpl w:val="79FAF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D744F8"/>
    <w:multiLevelType w:val="multilevel"/>
    <w:tmpl w:val="27A4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CB1DAE"/>
    <w:multiLevelType w:val="multilevel"/>
    <w:tmpl w:val="B2CC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2A3378"/>
    <w:multiLevelType w:val="hybridMultilevel"/>
    <w:tmpl w:val="E988B08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5B48F3"/>
    <w:multiLevelType w:val="multilevel"/>
    <w:tmpl w:val="C4AA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B15D44"/>
    <w:multiLevelType w:val="multilevel"/>
    <w:tmpl w:val="82C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CA42A6"/>
    <w:multiLevelType w:val="hybridMultilevel"/>
    <w:tmpl w:val="16646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7E77124"/>
    <w:multiLevelType w:val="hybridMultilevel"/>
    <w:tmpl w:val="8CB8F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346AD7"/>
    <w:multiLevelType w:val="hybridMultilevel"/>
    <w:tmpl w:val="762C12FC"/>
    <w:lvl w:ilvl="0" w:tplc="8984F4A6">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46D0A3B"/>
    <w:multiLevelType w:val="multilevel"/>
    <w:tmpl w:val="3B0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44933"/>
    <w:multiLevelType w:val="hybridMultilevel"/>
    <w:tmpl w:val="8B105FE2"/>
    <w:lvl w:ilvl="0" w:tplc="CD224164">
      <w:start w:val="1"/>
      <w:numFmt w:val="upperLetter"/>
      <w:lvlText w:val="%1."/>
      <w:lvlJc w:val="left"/>
      <w:pPr>
        <w:ind w:left="360" w:hanging="360"/>
      </w:pPr>
      <w:rPr>
        <w:i w:val="0"/>
        <w:iCs w:val="0"/>
        <w:color w:val="auto"/>
      </w:rPr>
    </w:lvl>
    <w:lvl w:ilvl="1" w:tplc="FB487DE0">
      <w:start w:val="1"/>
      <w:numFmt w:val="lowerLetter"/>
      <w:lvlText w:val="%2."/>
      <w:lvlJc w:val="left"/>
      <w:pPr>
        <w:ind w:left="1080" w:hanging="360"/>
      </w:pPr>
      <w:rPr>
        <w:i w:val="0"/>
        <w:iCs w:val="0"/>
      </w:r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23"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D7C6E32"/>
    <w:multiLevelType w:val="multilevel"/>
    <w:tmpl w:val="A85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8"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5CF4AE5"/>
    <w:multiLevelType w:val="multilevel"/>
    <w:tmpl w:val="FE1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2" w15:restartNumberingAfterBreak="0">
    <w:nsid w:val="4A2D7472"/>
    <w:multiLevelType w:val="multilevel"/>
    <w:tmpl w:val="13F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F635119"/>
    <w:multiLevelType w:val="multilevel"/>
    <w:tmpl w:val="F56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DD7EB2"/>
    <w:multiLevelType w:val="multilevel"/>
    <w:tmpl w:val="A174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0010D3"/>
    <w:multiLevelType w:val="multilevel"/>
    <w:tmpl w:val="496E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731224"/>
    <w:multiLevelType w:val="hybridMultilevel"/>
    <w:tmpl w:val="4B98704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9" w15:restartNumberingAfterBreak="0">
    <w:nsid w:val="5D304D59"/>
    <w:multiLevelType w:val="hybridMultilevel"/>
    <w:tmpl w:val="22E87E7C"/>
    <w:lvl w:ilvl="0" w:tplc="FFFFFFFF">
      <w:start w:val="1"/>
      <w:numFmt w:val="upperLetter"/>
      <w:lvlText w:val="%1."/>
      <w:lvlJc w:val="left"/>
      <w:pPr>
        <w:ind w:left="360" w:hanging="360"/>
      </w:pPr>
      <w:rPr>
        <w:color w:val="auto"/>
      </w:rPr>
    </w:lvl>
    <w:lvl w:ilvl="1" w:tplc="0C090011">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5D4147EB"/>
    <w:multiLevelType w:val="hybridMultilevel"/>
    <w:tmpl w:val="989AE8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5F742D9A"/>
    <w:multiLevelType w:val="multilevel"/>
    <w:tmpl w:val="5E38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281589"/>
    <w:multiLevelType w:val="hybridMultilevel"/>
    <w:tmpl w:val="D934449E"/>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6004FF7"/>
    <w:multiLevelType w:val="multilevel"/>
    <w:tmpl w:val="4156FA84"/>
    <w:lvl w:ilvl="0">
      <w:start w:val="1"/>
      <w:numFmt w:val="decimal"/>
      <w:lvlText w:val="%1"/>
      <w:lvlJc w:val="left"/>
      <w:pPr>
        <w:ind w:left="720" w:hanging="720"/>
      </w:pPr>
      <w:rPr>
        <w:rFonts w:hint="default"/>
        <w:b/>
        <w:color w:val="auto"/>
      </w:rPr>
    </w:lvl>
    <w:lvl w:ilvl="1">
      <w:start w:val="1"/>
      <w:numFmt w:val="decimal"/>
      <w:lvlText w:val="%2)"/>
      <w:lvlJc w:val="left"/>
      <w:pPr>
        <w:ind w:left="108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F86E2A"/>
    <w:multiLevelType w:val="multilevel"/>
    <w:tmpl w:val="FD24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6D8C538F"/>
    <w:multiLevelType w:val="multilevel"/>
    <w:tmpl w:val="A370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B3D8F"/>
    <w:multiLevelType w:val="hybridMultilevel"/>
    <w:tmpl w:val="1E0C19EE"/>
    <w:lvl w:ilvl="0" w:tplc="FFFFFFFF">
      <w:start w:val="1"/>
      <w:numFmt w:val="upperLetter"/>
      <w:lvlText w:val="%1."/>
      <w:lvlJc w:val="left"/>
      <w:pPr>
        <w:ind w:left="360" w:hanging="360"/>
      </w:pPr>
      <w:rPr>
        <w:color w:val="auto"/>
      </w:rPr>
    </w:lvl>
    <w:lvl w:ilvl="1" w:tplc="0C090011">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09B46A3"/>
    <w:multiLevelType w:val="hybridMultilevel"/>
    <w:tmpl w:val="4D64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5" w15:restartNumberingAfterBreak="0">
    <w:nsid w:val="72C12BAB"/>
    <w:multiLevelType w:val="multilevel"/>
    <w:tmpl w:val="DE725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784D033C"/>
    <w:multiLevelType w:val="multilevel"/>
    <w:tmpl w:val="4E88428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b w:val="0"/>
        <w:bCs/>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22"/>
  </w:num>
  <w:num w:numId="2" w16cid:durableId="957570559">
    <w:abstractNumId w:val="58"/>
  </w:num>
  <w:num w:numId="3" w16cid:durableId="536628895">
    <w:abstractNumId w:val="0"/>
  </w:num>
  <w:num w:numId="4" w16cid:durableId="1159004663">
    <w:abstractNumId w:val="42"/>
  </w:num>
  <w:num w:numId="5" w16cid:durableId="418600173">
    <w:abstractNumId w:val="59"/>
  </w:num>
  <w:num w:numId="6" w16cid:durableId="34236669">
    <w:abstractNumId w:val="52"/>
  </w:num>
  <w:num w:numId="7" w16cid:durableId="1279799443">
    <w:abstractNumId w:val="34"/>
  </w:num>
  <w:num w:numId="8" w16cid:durableId="495537779">
    <w:abstractNumId w:val="27"/>
  </w:num>
  <w:num w:numId="9" w16cid:durableId="1468400811">
    <w:abstractNumId w:val="1"/>
  </w:num>
  <w:num w:numId="10" w16cid:durableId="132985464">
    <w:abstractNumId w:val="58"/>
  </w:num>
  <w:num w:numId="11" w16cid:durableId="1915313393">
    <w:abstractNumId w:val="48"/>
  </w:num>
  <w:num w:numId="12" w16cid:durableId="473567604">
    <w:abstractNumId w:val="54"/>
  </w:num>
  <w:num w:numId="13" w16cid:durableId="315574325">
    <w:abstractNumId w:val="19"/>
  </w:num>
  <w:num w:numId="14" w16cid:durableId="1841651190">
    <w:abstractNumId w:val="16"/>
  </w:num>
  <w:num w:numId="15" w16cid:durableId="1751541441">
    <w:abstractNumId w:val="2"/>
  </w:num>
  <w:num w:numId="16" w16cid:durableId="9394593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11"/>
  </w:num>
  <w:num w:numId="18" w16cid:durableId="1662348298">
    <w:abstractNumId w:val="31"/>
  </w:num>
  <w:num w:numId="19" w16cid:durableId="216868142">
    <w:abstractNumId w:val="26"/>
  </w:num>
  <w:num w:numId="20" w16cid:durableId="670838392">
    <w:abstractNumId w:val="56"/>
  </w:num>
  <w:num w:numId="21" w16cid:durableId="848180824">
    <w:abstractNumId w:val="13"/>
  </w:num>
  <w:num w:numId="22" w16cid:durableId="1182285320">
    <w:abstractNumId w:val="3"/>
  </w:num>
  <w:num w:numId="23" w16cid:durableId="1862936798">
    <w:abstractNumId w:val="60"/>
  </w:num>
  <w:num w:numId="24" w16cid:durableId="296691022">
    <w:abstractNumId w:val="33"/>
  </w:num>
  <w:num w:numId="25" w16cid:durableId="1974167109">
    <w:abstractNumId w:val="24"/>
  </w:num>
  <w:num w:numId="26" w16cid:durableId="30034796">
    <w:abstractNumId w:val="23"/>
  </w:num>
  <w:num w:numId="27" w16cid:durableId="85926888">
    <w:abstractNumId w:val="30"/>
  </w:num>
  <w:num w:numId="28" w16cid:durableId="277377558">
    <w:abstractNumId w:val="57"/>
  </w:num>
  <w:num w:numId="29" w16cid:durableId="299964396">
    <w:abstractNumId w:val="51"/>
  </w:num>
  <w:num w:numId="30" w16cid:durableId="1834561270">
    <w:abstractNumId w:val="28"/>
  </w:num>
  <w:num w:numId="31" w16cid:durableId="370961351">
    <w:abstractNumId w:val="9"/>
  </w:num>
  <w:num w:numId="32" w16cid:durableId="1007446205">
    <w:abstractNumId w:val="41"/>
  </w:num>
  <w:num w:numId="33" w16cid:durableId="447705833">
    <w:abstractNumId w:val="58"/>
  </w:num>
  <w:num w:numId="34" w16cid:durableId="224487594">
    <w:abstractNumId w:val="58"/>
  </w:num>
  <w:num w:numId="35" w16cid:durableId="1103570019">
    <w:abstractNumId w:val="20"/>
  </w:num>
  <w:num w:numId="36" w16cid:durableId="296230563">
    <w:abstractNumId w:val="58"/>
  </w:num>
  <w:num w:numId="37" w16cid:durableId="2041346921">
    <w:abstractNumId w:val="58"/>
  </w:num>
  <w:num w:numId="38" w16cid:durableId="1127431152">
    <w:abstractNumId w:val="1"/>
  </w:num>
  <w:num w:numId="39" w16cid:durableId="608783099">
    <w:abstractNumId w:val="1"/>
  </w:num>
  <w:num w:numId="40" w16cid:durableId="478158795">
    <w:abstractNumId w:val="38"/>
  </w:num>
  <w:num w:numId="41" w16cid:durableId="621228054">
    <w:abstractNumId w:val="53"/>
  </w:num>
  <w:num w:numId="42" w16cid:durableId="259338796">
    <w:abstractNumId w:val="7"/>
  </w:num>
  <w:num w:numId="43" w16cid:durableId="1171261847">
    <w:abstractNumId w:val="5"/>
  </w:num>
  <w:num w:numId="44" w16cid:durableId="665283965">
    <w:abstractNumId w:val="17"/>
  </w:num>
  <w:num w:numId="45" w16cid:durableId="1104957998">
    <w:abstractNumId w:val="12"/>
  </w:num>
  <w:num w:numId="46" w16cid:durableId="1879855522">
    <w:abstractNumId w:val="44"/>
  </w:num>
  <w:num w:numId="47" w16cid:durableId="465464447">
    <w:abstractNumId w:val="35"/>
  </w:num>
  <w:num w:numId="48" w16cid:durableId="599291401">
    <w:abstractNumId w:val="15"/>
  </w:num>
  <w:num w:numId="49" w16cid:durableId="583297691">
    <w:abstractNumId w:val="4"/>
  </w:num>
  <w:num w:numId="50" w16cid:durableId="1541943314">
    <w:abstractNumId w:val="8"/>
  </w:num>
  <w:num w:numId="51" w16cid:durableId="845024323">
    <w:abstractNumId w:val="37"/>
  </w:num>
  <w:num w:numId="52" w16cid:durableId="783617467">
    <w:abstractNumId w:val="10"/>
  </w:num>
  <w:num w:numId="53" w16cid:durableId="1136483982">
    <w:abstractNumId w:val="29"/>
  </w:num>
  <w:num w:numId="54" w16cid:durableId="963001850">
    <w:abstractNumId w:val="25"/>
  </w:num>
  <w:num w:numId="55" w16cid:durableId="90703972">
    <w:abstractNumId w:val="7"/>
  </w:num>
  <w:num w:numId="56" w16cid:durableId="1888954354">
    <w:abstractNumId w:val="18"/>
  </w:num>
  <w:num w:numId="57" w16cid:durableId="517545625">
    <w:abstractNumId w:val="39"/>
  </w:num>
  <w:num w:numId="58" w16cid:durableId="1435979334">
    <w:abstractNumId w:val="50"/>
  </w:num>
  <w:num w:numId="59" w16cid:durableId="1898319132">
    <w:abstractNumId w:val="45"/>
  </w:num>
  <w:num w:numId="60" w16cid:durableId="341201294">
    <w:abstractNumId w:val="7"/>
  </w:num>
  <w:num w:numId="61" w16cid:durableId="805513597">
    <w:abstractNumId w:val="55"/>
  </w:num>
  <w:num w:numId="62" w16cid:durableId="1929000329">
    <w:abstractNumId w:val="6"/>
  </w:num>
  <w:num w:numId="63" w16cid:durableId="781457321">
    <w:abstractNumId w:val="46"/>
  </w:num>
  <w:num w:numId="64" w16cid:durableId="1799487903">
    <w:abstractNumId w:val="49"/>
  </w:num>
  <w:num w:numId="65" w16cid:durableId="1036351207">
    <w:abstractNumId w:val="21"/>
  </w:num>
  <w:num w:numId="66" w16cid:durableId="716702160">
    <w:abstractNumId w:val="36"/>
  </w:num>
  <w:num w:numId="67" w16cid:durableId="1675961591">
    <w:abstractNumId w:val="32"/>
  </w:num>
  <w:num w:numId="68" w16cid:durableId="710223669">
    <w:abstractNumId w:val="40"/>
  </w:num>
  <w:num w:numId="69" w16cid:durableId="1430194067">
    <w:abstractNumId w:val="43"/>
    <w:lvlOverride w:ilvl="0">
      <w:startOverride w:val="1"/>
    </w:lvlOverride>
  </w:num>
  <w:num w:numId="70" w16cid:durableId="1432049190">
    <w:abstractNumId w:val="14"/>
    <w:lvlOverride w:ilvl="0">
      <w:startOverride w:val="2"/>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40C"/>
    <w:rsid w:val="0000080A"/>
    <w:rsid w:val="00000913"/>
    <w:rsid w:val="0000096D"/>
    <w:rsid w:val="00000A92"/>
    <w:rsid w:val="0000104A"/>
    <w:rsid w:val="00001194"/>
    <w:rsid w:val="000013B1"/>
    <w:rsid w:val="00001663"/>
    <w:rsid w:val="00001E96"/>
    <w:rsid w:val="0000226E"/>
    <w:rsid w:val="000025A8"/>
    <w:rsid w:val="000025AD"/>
    <w:rsid w:val="00002FE3"/>
    <w:rsid w:val="00003323"/>
    <w:rsid w:val="0000335D"/>
    <w:rsid w:val="00003922"/>
    <w:rsid w:val="00003991"/>
    <w:rsid w:val="00003A3F"/>
    <w:rsid w:val="00003B2C"/>
    <w:rsid w:val="00003EC5"/>
    <w:rsid w:val="00004263"/>
    <w:rsid w:val="000043D3"/>
    <w:rsid w:val="000047DA"/>
    <w:rsid w:val="00004C71"/>
    <w:rsid w:val="000051A0"/>
    <w:rsid w:val="000054A1"/>
    <w:rsid w:val="000056E8"/>
    <w:rsid w:val="00005B71"/>
    <w:rsid w:val="00005D5F"/>
    <w:rsid w:val="00006782"/>
    <w:rsid w:val="000069F8"/>
    <w:rsid w:val="00006A3A"/>
    <w:rsid w:val="000078D8"/>
    <w:rsid w:val="00007B4F"/>
    <w:rsid w:val="00007F4A"/>
    <w:rsid w:val="00010204"/>
    <w:rsid w:val="00010A68"/>
    <w:rsid w:val="00010BFB"/>
    <w:rsid w:val="00010C3F"/>
    <w:rsid w:val="00010F74"/>
    <w:rsid w:val="000110E7"/>
    <w:rsid w:val="0001128C"/>
    <w:rsid w:val="0001179A"/>
    <w:rsid w:val="00011A59"/>
    <w:rsid w:val="00011D41"/>
    <w:rsid w:val="00012544"/>
    <w:rsid w:val="00012E1B"/>
    <w:rsid w:val="000131A4"/>
    <w:rsid w:val="000131A7"/>
    <w:rsid w:val="000144D9"/>
    <w:rsid w:val="000149B3"/>
    <w:rsid w:val="00014B3E"/>
    <w:rsid w:val="00014D69"/>
    <w:rsid w:val="00014EAA"/>
    <w:rsid w:val="000152BC"/>
    <w:rsid w:val="0001568A"/>
    <w:rsid w:val="000163B4"/>
    <w:rsid w:val="00016A41"/>
    <w:rsid w:val="00017318"/>
    <w:rsid w:val="000214D1"/>
    <w:rsid w:val="00021609"/>
    <w:rsid w:val="00021767"/>
    <w:rsid w:val="00021F20"/>
    <w:rsid w:val="000222E0"/>
    <w:rsid w:val="00023AA2"/>
    <w:rsid w:val="00023AE4"/>
    <w:rsid w:val="000240A7"/>
    <w:rsid w:val="0002464A"/>
    <w:rsid w:val="00024ABF"/>
    <w:rsid w:val="00024DE5"/>
    <w:rsid w:val="000259CF"/>
    <w:rsid w:val="00025A04"/>
    <w:rsid w:val="00025D1F"/>
    <w:rsid w:val="0002637A"/>
    <w:rsid w:val="0002693D"/>
    <w:rsid w:val="00026F3C"/>
    <w:rsid w:val="0002700B"/>
    <w:rsid w:val="0002705F"/>
    <w:rsid w:val="00027132"/>
    <w:rsid w:val="00027482"/>
    <w:rsid w:val="00027665"/>
    <w:rsid w:val="00027A58"/>
    <w:rsid w:val="00027C2F"/>
    <w:rsid w:val="0003050E"/>
    <w:rsid w:val="0003075C"/>
    <w:rsid w:val="00030B9E"/>
    <w:rsid w:val="00030D92"/>
    <w:rsid w:val="0003106B"/>
    <w:rsid w:val="00031FD6"/>
    <w:rsid w:val="000335B9"/>
    <w:rsid w:val="00033687"/>
    <w:rsid w:val="00033B59"/>
    <w:rsid w:val="0003419D"/>
    <w:rsid w:val="00034905"/>
    <w:rsid w:val="00036217"/>
    <w:rsid w:val="000375DA"/>
    <w:rsid w:val="00037906"/>
    <w:rsid w:val="000379E9"/>
    <w:rsid w:val="00040412"/>
    <w:rsid w:val="000405DF"/>
    <w:rsid w:val="00040A30"/>
    <w:rsid w:val="000414C9"/>
    <w:rsid w:val="0004165E"/>
    <w:rsid w:val="000421A1"/>
    <w:rsid w:val="0004240E"/>
    <w:rsid w:val="000425A2"/>
    <w:rsid w:val="000433DA"/>
    <w:rsid w:val="00043820"/>
    <w:rsid w:val="00043874"/>
    <w:rsid w:val="00043AD5"/>
    <w:rsid w:val="00043D68"/>
    <w:rsid w:val="0004415E"/>
    <w:rsid w:val="00044184"/>
    <w:rsid w:val="00044767"/>
    <w:rsid w:val="00044B2C"/>
    <w:rsid w:val="00044B7E"/>
    <w:rsid w:val="00044CFF"/>
    <w:rsid w:val="00044E52"/>
    <w:rsid w:val="00044EC4"/>
    <w:rsid w:val="00044F19"/>
    <w:rsid w:val="00045079"/>
    <w:rsid w:val="00045117"/>
    <w:rsid w:val="0004524C"/>
    <w:rsid w:val="00045356"/>
    <w:rsid w:val="00045BBA"/>
    <w:rsid w:val="00045E26"/>
    <w:rsid w:val="00046903"/>
    <w:rsid w:val="00046E39"/>
    <w:rsid w:val="00047247"/>
    <w:rsid w:val="00050CBE"/>
    <w:rsid w:val="000514B5"/>
    <w:rsid w:val="00051F85"/>
    <w:rsid w:val="0005216D"/>
    <w:rsid w:val="000521ED"/>
    <w:rsid w:val="0005322E"/>
    <w:rsid w:val="0005345E"/>
    <w:rsid w:val="000540E7"/>
    <w:rsid w:val="000541D4"/>
    <w:rsid w:val="000546CF"/>
    <w:rsid w:val="00054E2B"/>
    <w:rsid w:val="000556A9"/>
    <w:rsid w:val="00055870"/>
    <w:rsid w:val="00055916"/>
    <w:rsid w:val="00055A87"/>
    <w:rsid w:val="00055A8E"/>
    <w:rsid w:val="00056F42"/>
    <w:rsid w:val="00057418"/>
    <w:rsid w:val="0006028D"/>
    <w:rsid w:val="000603E3"/>
    <w:rsid w:val="00060E1C"/>
    <w:rsid w:val="00060E64"/>
    <w:rsid w:val="000614DC"/>
    <w:rsid w:val="00061E85"/>
    <w:rsid w:val="00061F6E"/>
    <w:rsid w:val="00062185"/>
    <w:rsid w:val="000621AB"/>
    <w:rsid w:val="00062418"/>
    <w:rsid w:val="000628D5"/>
    <w:rsid w:val="000628DF"/>
    <w:rsid w:val="00062C03"/>
    <w:rsid w:val="00062E88"/>
    <w:rsid w:val="00063089"/>
    <w:rsid w:val="00063499"/>
    <w:rsid w:val="00063AA1"/>
    <w:rsid w:val="0006442D"/>
    <w:rsid w:val="00064B93"/>
    <w:rsid w:val="0006518A"/>
    <w:rsid w:val="00065B39"/>
    <w:rsid w:val="00066193"/>
    <w:rsid w:val="000662B7"/>
    <w:rsid w:val="00066413"/>
    <w:rsid w:val="00066688"/>
    <w:rsid w:val="00066755"/>
    <w:rsid w:val="00066AC4"/>
    <w:rsid w:val="000702E9"/>
    <w:rsid w:val="00070C58"/>
    <w:rsid w:val="000711A2"/>
    <w:rsid w:val="0007134D"/>
    <w:rsid w:val="000716DF"/>
    <w:rsid w:val="0007172B"/>
    <w:rsid w:val="000717C9"/>
    <w:rsid w:val="00071A5B"/>
    <w:rsid w:val="00071ED0"/>
    <w:rsid w:val="00072730"/>
    <w:rsid w:val="0007337F"/>
    <w:rsid w:val="00073901"/>
    <w:rsid w:val="00073CC3"/>
    <w:rsid w:val="00073D07"/>
    <w:rsid w:val="00073DAF"/>
    <w:rsid w:val="00074320"/>
    <w:rsid w:val="00074990"/>
    <w:rsid w:val="00074B14"/>
    <w:rsid w:val="00074B8D"/>
    <w:rsid w:val="00075724"/>
    <w:rsid w:val="0007620A"/>
    <w:rsid w:val="00076309"/>
    <w:rsid w:val="000763D5"/>
    <w:rsid w:val="000769E3"/>
    <w:rsid w:val="00076B15"/>
    <w:rsid w:val="00076C38"/>
    <w:rsid w:val="00076D88"/>
    <w:rsid w:val="00077143"/>
    <w:rsid w:val="00077DF7"/>
    <w:rsid w:val="0008050C"/>
    <w:rsid w:val="00080F9D"/>
    <w:rsid w:val="000811AC"/>
    <w:rsid w:val="00081454"/>
    <w:rsid w:val="00082162"/>
    <w:rsid w:val="00082169"/>
    <w:rsid w:val="0008287E"/>
    <w:rsid w:val="000834BE"/>
    <w:rsid w:val="00083758"/>
    <w:rsid w:val="00083A76"/>
    <w:rsid w:val="00083F01"/>
    <w:rsid w:val="00084829"/>
    <w:rsid w:val="00084916"/>
    <w:rsid w:val="00084AB1"/>
    <w:rsid w:val="00084E46"/>
    <w:rsid w:val="00084EF1"/>
    <w:rsid w:val="00085347"/>
    <w:rsid w:val="00086085"/>
    <w:rsid w:val="000863C7"/>
    <w:rsid w:val="000865EF"/>
    <w:rsid w:val="00087218"/>
    <w:rsid w:val="0008788B"/>
    <w:rsid w:val="00087C4C"/>
    <w:rsid w:val="00087E15"/>
    <w:rsid w:val="00091264"/>
    <w:rsid w:val="000918CB"/>
    <w:rsid w:val="00091B06"/>
    <w:rsid w:val="00091E77"/>
    <w:rsid w:val="00092291"/>
    <w:rsid w:val="00092A56"/>
    <w:rsid w:val="00092EA8"/>
    <w:rsid w:val="000934A8"/>
    <w:rsid w:val="0009378E"/>
    <w:rsid w:val="0009447D"/>
    <w:rsid w:val="000949FC"/>
    <w:rsid w:val="000951C4"/>
    <w:rsid w:val="00095ADA"/>
    <w:rsid w:val="00095F3A"/>
    <w:rsid w:val="000964DC"/>
    <w:rsid w:val="0009684B"/>
    <w:rsid w:val="000969AD"/>
    <w:rsid w:val="00097205"/>
    <w:rsid w:val="00097522"/>
    <w:rsid w:val="000975FB"/>
    <w:rsid w:val="000A0012"/>
    <w:rsid w:val="000A02F8"/>
    <w:rsid w:val="000A04AA"/>
    <w:rsid w:val="000A053B"/>
    <w:rsid w:val="000A0F02"/>
    <w:rsid w:val="000A1014"/>
    <w:rsid w:val="000A1433"/>
    <w:rsid w:val="000A15A3"/>
    <w:rsid w:val="000A1835"/>
    <w:rsid w:val="000A25C8"/>
    <w:rsid w:val="000A2649"/>
    <w:rsid w:val="000A2AF1"/>
    <w:rsid w:val="000A3AA2"/>
    <w:rsid w:val="000A40E3"/>
    <w:rsid w:val="000A40F0"/>
    <w:rsid w:val="000A42EF"/>
    <w:rsid w:val="000A44B2"/>
    <w:rsid w:val="000A4B89"/>
    <w:rsid w:val="000A4E92"/>
    <w:rsid w:val="000A4F83"/>
    <w:rsid w:val="000A52F6"/>
    <w:rsid w:val="000A58B8"/>
    <w:rsid w:val="000A5906"/>
    <w:rsid w:val="000A5CB7"/>
    <w:rsid w:val="000A63F6"/>
    <w:rsid w:val="000A78B8"/>
    <w:rsid w:val="000A7DBE"/>
    <w:rsid w:val="000B059E"/>
    <w:rsid w:val="000B0987"/>
    <w:rsid w:val="000B1221"/>
    <w:rsid w:val="000B12BD"/>
    <w:rsid w:val="000B1D00"/>
    <w:rsid w:val="000B22B4"/>
    <w:rsid w:val="000B237A"/>
    <w:rsid w:val="000B27AB"/>
    <w:rsid w:val="000B2BA5"/>
    <w:rsid w:val="000B3584"/>
    <w:rsid w:val="000B3942"/>
    <w:rsid w:val="000B3A98"/>
    <w:rsid w:val="000B3DC9"/>
    <w:rsid w:val="000B3EF3"/>
    <w:rsid w:val="000B44C3"/>
    <w:rsid w:val="000B490E"/>
    <w:rsid w:val="000B5196"/>
    <w:rsid w:val="000B558D"/>
    <w:rsid w:val="000B593F"/>
    <w:rsid w:val="000B5A75"/>
    <w:rsid w:val="000B5A89"/>
    <w:rsid w:val="000B5A8F"/>
    <w:rsid w:val="000B6307"/>
    <w:rsid w:val="000B65F6"/>
    <w:rsid w:val="000B6B3C"/>
    <w:rsid w:val="000B6B89"/>
    <w:rsid w:val="000B6D50"/>
    <w:rsid w:val="000B6F12"/>
    <w:rsid w:val="000B7474"/>
    <w:rsid w:val="000B75AE"/>
    <w:rsid w:val="000B7767"/>
    <w:rsid w:val="000B7C25"/>
    <w:rsid w:val="000C05B5"/>
    <w:rsid w:val="000C15EA"/>
    <w:rsid w:val="000C1820"/>
    <w:rsid w:val="000C1A80"/>
    <w:rsid w:val="000C1AFF"/>
    <w:rsid w:val="000C2525"/>
    <w:rsid w:val="000C2EB1"/>
    <w:rsid w:val="000C3EE9"/>
    <w:rsid w:val="000C454A"/>
    <w:rsid w:val="000C4E9F"/>
    <w:rsid w:val="000C54AC"/>
    <w:rsid w:val="000C5740"/>
    <w:rsid w:val="000C58BD"/>
    <w:rsid w:val="000C5BF9"/>
    <w:rsid w:val="000C5F95"/>
    <w:rsid w:val="000C6996"/>
    <w:rsid w:val="000C6BF1"/>
    <w:rsid w:val="000C7B71"/>
    <w:rsid w:val="000C7C46"/>
    <w:rsid w:val="000D0202"/>
    <w:rsid w:val="000D07F1"/>
    <w:rsid w:val="000D09E9"/>
    <w:rsid w:val="000D0E26"/>
    <w:rsid w:val="000D0F3B"/>
    <w:rsid w:val="000D10A8"/>
    <w:rsid w:val="000D113F"/>
    <w:rsid w:val="000D18BD"/>
    <w:rsid w:val="000D23BA"/>
    <w:rsid w:val="000D2474"/>
    <w:rsid w:val="000D2DCC"/>
    <w:rsid w:val="000D315E"/>
    <w:rsid w:val="000D353E"/>
    <w:rsid w:val="000D3972"/>
    <w:rsid w:val="000D3D50"/>
    <w:rsid w:val="000D4072"/>
    <w:rsid w:val="000D42A1"/>
    <w:rsid w:val="000D4F18"/>
    <w:rsid w:val="000D65F4"/>
    <w:rsid w:val="000D6A38"/>
    <w:rsid w:val="000D6AF5"/>
    <w:rsid w:val="000D76A8"/>
    <w:rsid w:val="000D77CC"/>
    <w:rsid w:val="000D78A2"/>
    <w:rsid w:val="000D7E91"/>
    <w:rsid w:val="000D7F6A"/>
    <w:rsid w:val="000E029D"/>
    <w:rsid w:val="000E080E"/>
    <w:rsid w:val="000E0990"/>
    <w:rsid w:val="000E0D16"/>
    <w:rsid w:val="000E107F"/>
    <w:rsid w:val="000E13CC"/>
    <w:rsid w:val="000E1825"/>
    <w:rsid w:val="000E19B7"/>
    <w:rsid w:val="000E20FC"/>
    <w:rsid w:val="000E220D"/>
    <w:rsid w:val="000E2770"/>
    <w:rsid w:val="000E2A3C"/>
    <w:rsid w:val="000E2A97"/>
    <w:rsid w:val="000E2AAA"/>
    <w:rsid w:val="000E3168"/>
    <w:rsid w:val="000E32F1"/>
    <w:rsid w:val="000E3C1D"/>
    <w:rsid w:val="000E3D24"/>
    <w:rsid w:val="000E3DFB"/>
    <w:rsid w:val="000E3EA3"/>
    <w:rsid w:val="000E4D9F"/>
    <w:rsid w:val="000E5EA1"/>
    <w:rsid w:val="000E6083"/>
    <w:rsid w:val="000E6101"/>
    <w:rsid w:val="000E623C"/>
    <w:rsid w:val="000E6435"/>
    <w:rsid w:val="000E64F6"/>
    <w:rsid w:val="000E681E"/>
    <w:rsid w:val="000E68A4"/>
    <w:rsid w:val="000E696B"/>
    <w:rsid w:val="000E6D13"/>
    <w:rsid w:val="000E70CD"/>
    <w:rsid w:val="000E7C18"/>
    <w:rsid w:val="000E7E52"/>
    <w:rsid w:val="000E7E90"/>
    <w:rsid w:val="000EE1C7"/>
    <w:rsid w:val="000F0003"/>
    <w:rsid w:val="000F0C30"/>
    <w:rsid w:val="000F0E58"/>
    <w:rsid w:val="000F148D"/>
    <w:rsid w:val="000F1763"/>
    <w:rsid w:val="000F1E02"/>
    <w:rsid w:val="000F20D3"/>
    <w:rsid w:val="000F24A4"/>
    <w:rsid w:val="000F3384"/>
    <w:rsid w:val="000F33E9"/>
    <w:rsid w:val="000F3438"/>
    <w:rsid w:val="000F3834"/>
    <w:rsid w:val="000F4124"/>
    <w:rsid w:val="000F428F"/>
    <w:rsid w:val="000F4E6A"/>
    <w:rsid w:val="000F52C4"/>
    <w:rsid w:val="000F5338"/>
    <w:rsid w:val="000F5856"/>
    <w:rsid w:val="000F61AA"/>
    <w:rsid w:val="000F6664"/>
    <w:rsid w:val="000F6695"/>
    <w:rsid w:val="000F6944"/>
    <w:rsid w:val="000F6ABB"/>
    <w:rsid w:val="000F7354"/>
    <w:rsid w:val="000F74D9"/>
    <w:rsid w:val="000F7689"/>
    <w:rsid w:val="000F7BD1"/>
    <w:rsid w:val="000F7C27"/>
    <w:rsid w:val="0010001D"/>
    <w:rsid w:val="00100147"/>
    <w:rsid w:val="00100473"/>
    <w:rsid w:val="0010084C"/>
    <w:rsid w:val="00101178"/>
    <w:rsid w:val="0010131C"/>
    <w:rsid w:val="001019FC"/>
    <w:rsid w:val="00101ABE"/>
    <w:rsid w:val="00101F4F"/>
    <w:rsid w:val="00101F9C"/>
    <w:rsid w:val="00102202"/>
    <w:rsid w:val="00102700"/>
    <w:rsid w:val="001028D7"/>
    <w:rsid w:val="00102A73"/>
    <w:rsid w:val="00102A78"/>
    <w:rsid w:val="00103118"/>
    <w:rsid w:val="00103F1B"/>
    <w:rsid w:val="00104227"/>
    <w:rsid w:val="0010443A"/>
    <w:rsid w:val="00104485"/>
    <w:rsid w:val="00104757"/>
    <w:rsid w:val="001049E8"/>
    <w:rsid w:val="001053D5"/>
    <w:rsid w:val="001059DB"/>
    <w:rsid w:val="001059E0"/>
    <w:rsid w:val="00105A97"/>
    <w:rsid w:val="00105AE2"/>
    <w:rsid w:val="00105CE8"/>
    <w:rsid w:val="00105E3E"/>
    <w:rsid w:val="00106139"/>
    <w:rsid w:val="00106BB8"/>
    <w:rsid w:val="00107269"/>
    <w:rsid w:val="00107409"/>
    <w:rsid w:val="001076D4"/>
    <w:rsid w:val="00107AF5"/>
    <w:rsid w:val="00107C93"/>
    <w:rsid w:val="00107D9B"/>
    <w:rsid w:val="0011019E"/>
    <w:rsid w:val="0011068B"/>
    <w:rsid w:val="001107BF"/>
    <w:rsid w:val="001111FA"/>
    <w:rsid w:val="001114A4"/>
    <w:rsid w:val="00111F06"/>
    <w:rsid w:val="00111F92"/>
    <w:rsid w:val="0011241A"/>
    <w:rsid w:val="001126B2"/>
    <w:rsid w:val="00112B39"/>
    <w:rsid w:val="00113649"/>
    <w:rsid w:val="00113B9F"/>
    <w:rsid w:val="00113CCD"/>
    <w:rsid w:val="00113D5C"/>
    <w:rsid w:val="0011443F"/>
    <w:rsid w:val="00114D3F"/>
    <w:rsid w:val="0011570C"/>
    <w:rsid w:val="001166EA"/>
    <w:rsid w:val="001169F5"/>
    <w:rsid w:val="00116B03"/>
    <w:rsid w:val="00116FA0"/>
    <w:rsid w:val="00117143"/>
    <w:rsid w:val="00117187"/>
    <w:rsid w:val="0011799B"/>
    <w:rsid w:val="00120AA6"/>
    <w:rsid w:val="0012103A"/>
    <w:rsid w:val="00121105"/>
    <w:rsid w:val="001215EF"/>
    <w:rsid w:val="0012199F"/>
    <w:rsid w:val="00121A1B"/>
    <w:rsid w:val="0012212E"/>
    <w:rsid w:val="00122EC7"/>
    <w:rsid w:val="00122F25"/>
    <w:rsid w:val="001231CF"/>
    <w:rsid w:val="001235F6"/>
    <w:rsid w:val="001237B0"/>
    <w:rsid w:val="001239DB"/>
    <w:rsid w:val="0012417C"/>
    <w:rsid w:val="00124446"/>
    <w:rsid w:val="00124618"/>
    <w:rsid w:val="00124902"/>
    <w:rsid w:val="00124978"/>
    <w:rsid w:val="00124BF2"/>
    <w:rsid w:val="00125837"/>
    <w:rsid w:val="0012597F"/>
    <w:rsid w:val="00126528"/>
    <w:rsid w:val="00126B19"/>
    <w:rsid w:val="00126D3A"/>
    <w:rsid w:val="00126E34"/>
    <w:rsid w:val="0012749D"/>
    <w:rsid w:val="001279F0"/>
    <w:rsid w:val="00127A23"/>
    <w:rsid w:val="00127DB6"/>
    <w:rsid w:val="001306A5"/>
    <w:rsid w:val="00130918"/>
    <w:rsid w:val="00131119"/>
    <w:rsid w:val="001311AE"/>
    <w:rsid w:val="00132C1C"/>
    <w:rsid w:val="0013352A"/>
    <w:rsid w:val="001337A1"/>
    <w:rsid w:val="00133E63"/>
    <w:rsid w:val="00134994"/>
    <w:rsid w:val="00134A3C"/>
    <w:rsid w:val="00134CF1"/>
    <w:rsid w:val="00134F9C"/>
    <w:rsid w:val="00135040"/>
    <w:rsid w:val="001353E6"/>
    <w:rsid w:val="001357D5"/>
    <w:rsid w:val="00136287"/>
    <w:rsid w:val="001366C2"/>
    <w:rsid w:val="00136916"/>
    <w:rsid w:val="00136B93"/>
    <w:rsid w:val="00136C17"/>
    <w:rsid w:val="00136C1D"/>
    <w:rsid w:val="00137A8C"/>
    <w:rsid w:val="00140634"/>
    <w:rsid w:val="001408FF"/>
    <w:rsid w:val="00140B74"/>
    <w:rsid w:val="00140C86"/>
    <w:rsid w:val="00140CFC"/>
    <w:rsid w:val="00140D94"/>
    <w:rsid w:val="00141255"/>
    <w:rsid w:val="00141A53"/>
    <w:rsid w:val="00141A6E"/>
    <w:rsid w:val="001422B4"/>
    <w:rsid w:val="00142395"/>
    <w:rsid w:val="00142460"/>
    <w:rsid w:val="0014250D"/>
    <w:rsid w:val="001425CE"/>
    <w:rsid w:val="00142714"/>
    <w:rsid w:val="00142EBD"/>
    <w:rsid w:val="00143790"/>
    <w:rsid w:val="00144711"/>
    <w:rsid w:val="00144760"/>
    <w:rsid w:val="00144D09"/>
    <w:rsid w:val="00144E06"/>
    <w:rsid w:val="00144E23"/>
    <w:rsid w:val="00144E27"/>
    <w:rsid w:val="001452ED"/>
    <w:rsid w:val="001468F6"/>
    <w:rsid w:val="00147735"/>
    <w:rsid w:val="00147D84"/>
    <w:rsid w:val="001509F2"/>
    <w:rsid w:val="00150D4C"/>
    <w:rsid w:val="0015122C"/>
    <w:rsid w:val="0015128E"/>
    <w:rsid w:val="00151CBD"/>
    <w:rsid w:val="00151D45"/>
    <w:rsid w:val="00152F5C"/>
    <w:rsid w:val="00153009"/>
    <w:rsid w:val="00153241"/>
    <w:rsid w:val="001533C3"/>
    <w:rsid w:val="001537C7"/>
    <w:rsid w:val="001537EE"/>
    <w:rsid w:val="00153C6D"/>
    <w:rsid w:val="00153CB1"/>
    <w:rsid w:val="00153F96"/>
    <w:rsid w:val="00154111"/>
    <w:rsid w:val="001543A1"/>
    <w:rsid w:val="001545BA"/>
    <w:rsid w:val="00154816"/>
    <w:rsid w:val="001549C1"/>
    <w:rsid w:val="001554BE"/>
    <w:rsid w:val="00155A30"/>
    <w:rsid w:val="00156379"/>
    <w:rsid w:val="00156AA4"/>
    <w:rsid w:val="00156C8D"/>
    <w:rsid w:val="00156EBF"/>
    <w:rsid w:val="00157073"/>
    <w:rsid w:val="001577E3"/>
    <w:rsid w:val="00160EE3"/>
    <w:rsid w:val="00160F4D"/>
    <w:rsid w:val="001611E8"/>
    <w:rsid w:val="0016131D"/>
    <w:rsid w:val="00161D05"/>
    <w:rsid w:val="00162269"/>
    <w:rsid w:val="001627E5"/>
    <w:rsid w:val="00162BDD"/>
    <w:rsid w:val="00162D39"/>
    <w:rsid w:val="00162D4E"/>
    <w:rsid w:val="00163329"/>
    <w:rsid w:val="0016373C"/>
    <w:rsid w:val="00163B9C"/>
    <w:rsid w:val="00163CD2"/>
    <w:rsid w:val="00163E0B"/>
    <w:rsid w:val="00163F93"/>
    <w:rsid w:val="00164623"/>
    <w:rsid w:val="001652DE"/>
    <w:rsid w:val="001653EC"/>
    <w:rsid w:val="00165B64"/>
    <w:rsid w:val="00165BAA"/>
    <w:rsid w:val="001661F3"/>
    <w:rsid w:val="00166228"/>
    <w:rsid w:val="00166FE6"/>
    <w:rsid w:val="001674CB"/>
    <w:rsid w:val="001675BA"/>
    <w:rsid w:val="00167985"/>
    <w:rsid w:val="00167C39"/>
    <w:rsid w:val="00167E3B"/>
    <w:rsid w:val="0017031D"/>
    <w:rsid w:val="00170381"/>
    <w:rsid w:val="00170C4D"/>
    <w:rsid w:val="00171197"/>
    <w:rsid w:val="001718AA"/>
    <w:rsid w:val="00171ECB"/>
    <w:rsid w:val="00172625"/>
    <w:rsid w:val="001727FE"/>
    <w:rsid w:val="00172A75"/>
    <w:rsid w:val="001732F1"/>
    <w:rsid w:val="00173EA3"/>
    <w:rsid w:val="00173FD1"/>
    <w:rsid w:val="00174184"/>
    <w:rsid w:val="00174309"/>
    <w:rsid w:val="00174498"/>
    <w:rsid w:val="00174EB8"/>
    <w:rsid w:val="001756CB"/>
    <w:rsid w:val="00175787"/>
    <w:rsid w:val="00175D6B"/>
    <w:rsid w:val="00176179"/>
    <w:rsid w:val="0017636E"/>
    <w:rsid w:val="00176525"/>
    <w:rsid w:val="001768CC"/>
    <w:rsid w:val="00176B9D"/>
    <w:rsid w:val="00176EE0"/>
    <w:rsid w:val="00177D3D"/>
    <w:rsid w:val="00177F1D"/>
    <w:rsid w:val="00180055"/>
    <w:rsid w:val="00180713"/>
    <w:rsid w:val="00180720"/>
    <w:rsid w:val="00180BE8"/>
    <w:rsid w:val="00181149"/>
    <w:rsid w:val="00181245"/>
    <w:rsid w:val="00181687"/>
    <w:rsid w:val="001818D5"/>
    <w:rsid w:val="00181D96"/>
    <w:rsid w:val="00182C0E"/>
    <w:rsid w:val="00182C8D"/>
    <w:rsid w:val="001830CE"/>
    <w:rsid w:val="00183567"/>
    <w:rsid w:val="0018363F"/>
    <w:rsid w:val="001836E3"/>
    <w:rsid w:val="001839A7"/>
    <w:rsid w:val="00183A76"/>
    <w:rsid w:val="001844D3"/>
    <w:rsid w:val="00184659"/>
    <w:rsid w:val="001853D8"/>
    <w:rsid w:val="001860E5"/>
    <w:rsid w:val="00186201"/>
    <w:rsid w:val="0018643B"/>
    <w:rsid w:val="0018650B"/>
    <w:rsid w:val="00186EE2"/>
    <w:rsid w:val="00187124"/>
    <w:rsid w:val="001875DF"/>
    <w:rsid w:val="00187730"/>
    <w:rsid w:val="0019004D"/>
    <w:rsid w:val="00191277"/>
    <w:rsid w:val="001914E9"/>
    <w:rsid w:val="0019186B"/>
    <w:rsid w:val="0019190C"/>
    <w:rsid w:val="00191957"/>
    <w:rsid w:val="00191A59"/>
    <w:rsid w:val="00191F57"/>
    <w:rsid w:val="00191FB7"/>
    <w:rsid w:val="001928CC"/>
    <w:rsid w:val="00192F47"/>
    <w:rsid w:val="00193207"/>
    <w:rsid w:val="00193B75"/>
    <w:rsid w:val="00193E3B"/>
    <w:rsid w:val="00194020"/>
    <w:rsid w:val="00195767"/>
    <w:rsid w:val="00195A85"/>
    <w:rsid w:val="00195B37"/>
    <w:rsid w:val="00196307"/>
    <w:rsid w:val="001975E5"/>
    <w:rsid w:val="00197C70"/>
    <w:rsid w:val="00197F03"/>
    <w:rsid w:val="00197F48"/>
    <w:rsid w:val="00197FA1"/>
    <w:rsid w:val="001A0695"/>
    <w:rsid w:val="001A0D10"/>
    <w:rsid w:val="001A0F82"/>
    <w:rsid w:val="001A1393"/>
    <w:rsid w:val="001A1569"/>
    <w:rsid w:val="001A188B"/>
    <w:rsid w:val="001A1F3D"/>
    <w:rsid w:val="001A2BFF"/>
    <w:rsid w:val="001A33EA"/>
    <w:rsid w:val="001A344B"/>
    <w:rsid w:val="001A3615"/>
    <w:rsid w:val="001A4413"/>
    <w:rsid w:val="001A4C4F"/>
    <w:rsid w:val="001A5005"/>
    <w:rsid w:val="001A5A2B"/>
    <w:rsid w:val="001A5D41"/>
    <w:rsid w:val="001A6458"/>
    <w:rsid w:val="001A64F4"/>
    <w:rsid w:val="001A6C2F"/>
    <w:rsid w:val="001A6C95"/>
    <w:rsid w:val="001A6F94"/>
    <w:rsid w:val="001A76FB"/>
    <w:rsid w:val="001A7B44"/>
    <w:rsid w:val="001B017F"/>
    <w:rsid w:val="001B0B79"/>
    <w:rsid w:val="001B19EA"/>
    <w:rsid w:val="001B2503"/>
    <w:rsid w:val="001B291B"/>
    <w:rsid w:val="001B2BBC"/>
    <w:rsid w:val="001B2BCD"/>
    <w:rsid w:val="001B32AF"/>
    <w:rsid w:val="001B35A8"/>
    <w:rsid w:val="001B3A40"/>
    <w:rsid w:val="001B3D96"/>
    <w:rsid w:val="001B3DFE"/>
    <w:rsid w:val="001B3FFE"/>
    <w:rsid w:val="001B45D7"/>
    <w:rsid w:val="001B4DF6"/>
    <w:rsid w:val="001B4F6B"/>
    <w:rsid w:val="001B5129"/>
    <w:rsid w:val="001B5638"/>
    <w:rsid w:val="001B5CE0"/>
    <w:rsid w:val="001B6258"/>
    <w:rsid w:val="001B682A"/>
    <w:rsid w:val="001B70A7"/>
    <w:rsid w:val="001B7482"/>
    <w:rsid w:val="001B7659"/>
    <w:rsid w:val="001B77D1"/>
    <w:rsid w:val="001C0A6B"/>
    <w:rsid w:val="001C0B4C"/>
    <w:rsid w:val="001C0EC4"/>
    <w:rsid w:val="001C1195"/>
    <w:rsid w:val="001C12AE"/>
    <w:rsid w:val="001C1E84"/>
    <w:rsid w:val="001C20E1"/>
    <w:rsid w:val="001C2513"/>
    <w:rsid w:val="001C2A0F"/>
    <w:rsid w:val="001C2A15"/>
    <w:rsid w:val="001C2C87"/>
    <w:rsid w:val="001C2E42"/>
    <w:rsid w:val="001C3853"/>
    <w:rsid w:val="001C3E9B"/>
    <w:rsid w:val="001C4394"/>
    <w:rsid w:val="001C53B7"/>
    <w:rsid w:val="001C5450"/>
    <w:rsid w:val="001C5BB8"/>
    <w:rsid w:val="001C64E3"/>
    <w:rsid w:val="001C6C61"/>
    <w:rsid w:val="001C74A7"/>
    <w:rsid w:val="001C7B8D"/>
    <w:rsid w:val="001C7CB0"/>
    <w:rsid w:val="001D0017"/>
    <w:rsid w:val="001D10A1"/>
    <w:rsid w:val="001D1120"/>
    <w:rsid w:val="001D183C"/>
    <w:rsid w:val="001D1896"/>
    <w:rsid w:val="001D1D9A"/>
    <w:rsid w:val="001D1F5F"/>
    <w:rsid w:val="001D24D2"/>
    <w:rsid w:val="001D2950"/>
    <w:rsid w:val="001D2C0E"/>
    <w:rsid w:val="001D3082"/>
    <w:rsid w:val="001D39C8"/>
    <w:rsid w:val="001D409D"/>
    <w:rsid w:val="001D461C"/>
    <w:rsid w:val="001D4958"/>
    <w:rsid w:val="001D4DF9"/>
    <w:rsid w:val="001D4F92"/>
    <w:rsid w:val="001D5210"/>
    <w:rsid w:val="001D595B"/>
    <w:rsid w:val="001D5CFF"/>
    <w:rsid w:val="001D671C"/>
    <w:rsid w:val="001D6E53"/>
    <w:rsid w:val="001D7612"/>
    <w:rsid w:val="001D7B4C"/>
    <w:rsid w:val="001D7D24"/>
    <w:rsid w:val="001E06D2"/>
    <w:rsid w:val="001E0985"/>
    <w:rsid w:val="001E0B01"/>
    <w:rsid w:val="001E1410"/>
    <w:rsid w:val="001E17C4"/>
    <w:rsid w:val="001E1C3D"/>
    <w:rsid w:val="001E1E73"/>
    <w:rsid w:val="001E22AF"/>
    <w:rsid w:val="001E2496"/>
    <w:rsid w:val="001E27E5"/>
    <w:rsid w:val="001E2A47"/>
    <w:rsid w:val="001E2A69"/>
    <w:rsid w:val="001E2AB1"/>
    <w:rsid w:val="001E2D65"/>
    <w:rsid w:val="001E3160"/>
    <w:rsid w:val="001E37E0"/>
    <w:rsid w:val="001E3E52"/>
    <w:rsid w:val="001E447D"/>
    <w:rsid w:val="001E5EBA"/>
    <w:rsid w:val="001E6435"/>
    <w:rsid w:val="001E6713"/>
    <w:rsid w:val="001E76A8"/>
    <w:rsid w:val="001E7802"/>
    <w:rsid w:val="001E7829"/>
    <w:rsid w:val="001E7BCE"/>
    <w:rsid w:val="001F005B"/>
    <w:rsid w:val="001F0266"/>
    <w:rsid w:val="001F0A82"/>
    <w:rsid w:val="001F12D8"/>
    <w:rsid w:val="001F144C"/>
    <w:rsid w:val="001F176B"/>
    <w:rsid w:val="001F1850"/>
    <w:rsid w:val="001F1C99"/>
    <w:rsid w:val="001F1FBF"/>
    <w:rsid w:val="001F2081"/>
    <w:rsid w:val="001F2311"/>
    <w:rsid w:val="001F2489"/>
    <w:rsid w:val="001F2A14"/>
    <w:rsid w:val="001F2B80"/>
    <w:rsid w:val="001F2BFD"/>
    <w:rsid w:val="001F2E2D"/>
    <w:rsid w:val="001F2F1C"/>
    <w:rsid w:val="001F3189"/>
    <w:rsid w:val="001F3411"/>
    <w:rsid w:val="001F3CDA"/>
    <w:rsid w:val="001F3DC7"/>
    <w:rsid w:val="001F44E1"/>
    <w:rsid w:val="001F4655"/>
    <w:rsid w:val="001F4A1B"/>
    <w:rsid w:val="001F4A93"/>
    <w:rsid w:val="001F5106"/>
    <w:rsid w:val="001F56B0"/>
    <w:rsid w:val="001F5C53"/>
    <w:rsid w:val="001F5CA2"/>
    <w:rsid w:val="001F7526"/>
    <w:rsid w:val="001F7840"/>
    <w:rsid w:val="001F7976"/>
    <w:rsid w:val="0020056B"/>
    <w:rsid w:val="0020098C"/>
    <w:rsid w:val="00200BEA"/>
    <w:rsid w:val="00200C6C"/>
    <w:rsid w:val="002010EF"/>
    <w:rsid w:val="0020127E"/>
    <w:rsid w:val="002014CA"/>
    <w:rsid w:val="00201813"/>
    <w:rsid w:val="002019E5"/>
    <w:rsid w:val="00201FB8"/>
    <w:rsid w:val="002021E6"/>
    <w:rsid w:val="002021F3"/>
    <w:rsid w:val="00202227"/>
    <w:rsid w:val="00202646"/>
    <w:rsid w:val="002027A2"/>
    <w:rsid w:val="00202B77"/>
    <w:rsid w:val="0020319C"/>
    <w:rsid w:val="00203FAC"/>
    <w:rsid w:val="0020465B"/>
    <w:rsid w:val="00204860"/>
    <w:rsid w:val="002048C2"/>
    <w:rsid w:val="00204ED0"/>
    <w:rsid w:val="002053E5"/>
    <w:rsid w:val="00207AC1"/>
    <w:rsid w:val="00207EE3"/>
    <w:rsid w:val="002100F3"/>
    <w:rsid w:val="00212460"/>
    <w:rsid w:val="002133FB"/>
    <w:rsid w:val="00213949"/>
    <w:rsid w:val="00213CFB"/>
    <w:rsid w:val="00213E94"/>
    <w:rsid w:val="00214860"/>
    <w:rsid w:val="00214D4E"/>
    <w:rsid w:val="0021553C"/>
    <w:rsid w:val="0021553E"/>
    <w:rsid w:val="0021557B"/>
    <w:rsid w:val="002155BA"/>
    <w:rsid w:val="002156D4"/>
    <w:rsid w:val="002159AA"/>
    <w:rsid w:val="00216043"/>
    <w:rsid w:val="002162CB"/>
    <w:rsid w:val="00216305"/>
    <w:rsid w:val="002165CB"/>
    <w:rsid w:val="002166FB"/>
    <w:rsid w:val="002169BA"/>
    <w:rsid w:val="00216B20"/>
    <w:rsid w:val="00216B87"/>
    <w:rsid w:val="00217142"/>
    <w:rsid w:val="0021745B"/>
    <w:rsid w:val="002174FD"/>
    <w:rsid w:val="00217B4F"/>
    <w:rsid w:val="00217BE1"/>
    <w:rsid w:val="002206D5"/>
    <w:rsid w:val="0022075F"/>
    <w:rsid w:val="002207F6"/>
    <w:rsid w:val="00220D78"/>
    <w:rsid w:val="00221361"/>
    <w:rsid w:val="002214B9"/>
    <w:rsid w:val="00221567"/>
    <w:rsid w:val="00221A46"/>
    <w:rsid w:val="00221B38"/>
    <w:rsid w:val="00221F79"/>
    <w:rsid w:val="00221F93"/>
    <w:rsid w:val="0022255F"/>
    <w:rsid w:val="00222680"/>
    <w:rsid w:val="00223370"/>
    <w:rsid w:val="0022447A"/>
    <w:rsid w:val="0022479B"/>
    <w:rsid w:val="00224D1E"/>
    <w:rsid w:val="00225002"/>
    <w:rsid w:val="0022511F"/>
    <w:rsid w:val="002251A2"/>
    <w:rsid w:val="002252C1"/>
    <w:rsid w:val="0022569B"/>
    <w:rsid w:val="00225CC0"/>
    <w:rsid w:val="00225F08"/>
    <w:rsid w:val="002261EF"/>
    <w:rsid w:val="00226611"/>
    <w:rsid w:val="00226881"/>
    <w:rsid w:val="00226A4A"/>
    <w:rsid w:val="00226A5A"/>
    <w:rsid w:val="002277C3"/>
    <w:rsid w:val="00227BC5"/>
    <w:rsid w:val="00227FCC"/>
    <w:rsid w:val="00230AD1"/>
    <w:rsid w:val="00230ED3"/>
    <w:rsid w:val="00230F63"/>
    <w:rsid w:val="00231CB0"/>
    <w:rsid w:val="00232724"/>
    <w:rsid w:val="00233730"/>
    <w:rsid w:val="00233D56"/>
    <w:rsid w:val="00234252"/>
    <w:rsid w:val="002343B8"/>
    <w:rsid w:val="00234558"/>
    <w:rsid w:val="0023466E"/>
    <w:rsid w:val="00234E05"/>
    <w:rsid w:val="002350C2"/>
    <w:rsid w:val="0023551E"/>
    <w:rsid w:val="00235F5A"/>
    <w:rsid w:val="0023641D"/>
    <w:rsid w:val="002378ED"/>
    <w:rsid w:val="00237AC6"/>
    <w:rsid w:val="00237C2F"/>
    <w:rsid w:val="00237D5F"/>
    <w:rsid w:val="0024008E"/>
    <w:rsid w:val="00240417"/>
    <w:rsid w:val="002415C0"/>
    <w:rsid w:val="002418B8"/>
    <w:rsid w:val="002418D5"/>
    <w:rsid w:val="002420A5"/>
    <w:rsid w:val="00242576"/>
    <w:rsid w:val="00242810"/>
    <w:rsid w:val="00242B64"/>
    <w:rsid w:val="00242BFD"/>
    <w:rsid w:val="00242D2E"/>
    <w:rsid w:val="0024359F"/>
    <w:rsid w:val="00243D9D"/>
    <w:rsid w:val="00244139"/>
    <w:rsid w:val="002441E6"/>
    <w:rsid w:val="00244429"/>
    <w:rsid w:val="00244490"/>
    <w:rsid w:val="00244B72"/>
    <w:rsid w:val="00244BEC"/>
    <w:rsid w:val="00245444"/>
    <w:rsid w:val="00245A27"/>
    <w:rsid w:val="00245B9C"/>
    <w:rsid w:val="00245C22"/>
    <w:rsid w:val="00245D17"/>
    <w:rsid w:val="0024695B"/>
    <w:rsid w:val="00246AC5"/>
    <w:rsid w:val="00246D88"/>
    <w:rsid w:val="00247A15"/>
    <w:rsid w:val="00247DC7"/>
    <w:rsid w:val="00247EB6"/>
    <w:rsid w:val="00250396"/>
    <w:rsid w:val="00250874"/>
    <w:rsid w:val="00250B45"/>
    <w:rsid w:val="00250D06"/>
    <w:rsid w:val="0025100D"/>
    <w:rsid w:val="00251213"/>
    <w:rsid w:val="0025148A"/>
    <w:rsid w:val="00251B85"/>
    <w:rsid w:val="00251CBE"/>
    <w:rsid w:val="00252217"/>
    <w:rsid w:val="00252587"/>
    <w:rsid w:val="002526EF"/>
    <w:rsid w:val="00253499"/>
    <w:rsid w:val="0025359B"/>
    <w:rsid w:val="0025367B"/>
    <w:rsid w:val="00253C65"/>
    <w:rsid w:val="00254229"/>
    <w:rsid w:val="0025423D"/>
    <w:rsid w:val="00254A28"/>
    <w:rsid w:val="00254E2C"/>
    <w:rsid w:val="00254FB1"/>
    <w:rsid w:val="0025510C"/>
    <w:rsid w:val="002551A4"/>
    <w:rsid w:val="0025546E"/>
    <w:rsid w:val="002562EF"/>
    <w:rsid w:val="00257664"/>
    <w:rsid w:val="0025772B"/>
    <w:rsid w:val="00257814"/>
    <w:rsid w:val="00257C89"/>
    <w:rsid w:val="00257CC8"/>
    <w:rsid w:val="00257D6F"/>
    <w:rsid w:val="00257F92"/>
    <w:rsid w:val="00260165"/>
    <w:rsid w:val="002610C4"/>
    <w:rsid w:val="00261519"/>
    <w:rsid w:val="00261669"/>
    <w:rsid w:val="00261B50"/>
    <w:rsid w:val="002620B5"/>
    <w:rsid w:val="002620DC"/>
    <w:rsid w:val="00262106"/>
    <w:rsid w:val="00262737"/>
    <w:rsid w:val="00262BD5"/>
    <w:rsid w:val="00262E85"/>
    <w:rsid w:val="002637CC"/>
    <w:rsid w:val="00263CA0"/>
    <w:rsid w:val="002643B1"/>
    <w:rsid w:val="00264703"/>
    <w:rsid w:val="002647CB"/>
    <w:rsid w:val="00265151"/>
    <w:rsid w:val="0026553F"/>
    <w:rsid w:val="00265C2C"/>
    <w:rsid w:val="002661C4"/>
    <w:rsid w:val="00266509"/>
    <w:rsid w:val="002665CC"/>
    <w:rsid w:val="00266DF2"/>
    <w:rsid w:val="00267098"/>
    <w:rsid w:val="0026772B"/>
    <w:rsid w:val="002679D7"/>
    <w:rsid w:val="00270580"/>
    <w:rsid w:val="00271450"/>
    <w:rsid w:val="00271A41"/>
    <w:rsid w:val="00271BA1"/>
    <w:rsid w:val="00272BEA"/>
    <w:rsid w:val="00272DE5"/>
    <w:rsid w:val="00272E71"/>
    <w:rsid w:val="00273AC5"/>
    <w:rsid w:val="0027483A"/>
    <w:rsid w:val="00274869"/>
    <w:rsid w:val="00274C7E"/>
    <w:rsid w:val="002762FA"/>
    <w:rsid w:val="00276BE3"/>
    <w:rsid w:val="00277153"/>
    <w:rsid w:val="00277505"/>
    <w:rsid w:val="002777B3"/>
    <w:rsid w:val="00277873"/>
    <w:rsid w:val="00277C96"/>
    <w:rsid w:val="00277D1D"/>
    <w:rsid w:val="00277FB4"/>
    <w:rsid w:val="00280245"/>
    <w:rsid w:val="002805DB"/>
    <w:rsid w:val="00280B9B"/>
    <w:rsid w:val="0028158C"/>
    <w:rsid w:val="00281CAA"/>
    <w:rsid w:val="002823B6"/>
    <w:rsid w:val="00282638"/>
    <w:rsid w:val="00282801"/>
    <w:rsid w:val="00282CA0"/>
    <w:rsid w:val="0028340D"/>
    <w:rsid w:val="00283519"/>
    <w:rsid w:val="00284B82"/>
    <w:rsid w:val="00286116"/>
    <w:rsid w:val="002868EE"/>
    <w:rsid w:val="00286B60"/>
    <w:rsid w:val="002876B6"/>
    <w:rsid w:val="00287EAD"/>
    <w:rsid w:val="00290C03"/>
    <w:rsid w:val="00290D15"/>
    <w:rsid w:val="00290EDF"/>
    <w:rsid w:val="002910DA"/>
    <w:rsid w:val="00292011"/>
    <w:rsid w:val="00292024"/>
    <w:rsid w:val="00292392"/>
    <w:rsid w:val="00292603"/>
    <w:rsid w:val="00292E3B"/>
    <w:rsid w:val="00292EA3"/>
    <w:rsid w:val="00292F03"/>
    <w:rsid w:val="002933A8"/>
    <w:rsid w:val="00293968"/>
    <w:rsid w:val="0029399E"/>
    <w:rsid w:val="00294135"/>
    <w:rsid w:val="00294150"/>
    <w:rsid w:val="00294274"/>
    <w:rsid w:val="0029458F"/>
    <w:rsid w:val="00294B62"/>
    <w:rsid w:val="00294EA9"/>
    <w:rsid w:val="002954DC"/>
    <w:rsid w:val="0029552B"/>
    <w:rsid w:val="00295D04"/>
    <w:rsid w:val="00295D48"/>
    <w:rsid w:val="002960F3"/>
    <w:rsid w:val="002962B3"/>
    <w:rsid w:val="002969E9"/>
    <w:rsid w:val="002975BD"/>
    <w:rsid w:val="00297A63"/>
    <w:rsid w:val="00297DF8"/>
    <w:rsid w:val="002A018F"/>
    <w:rsid w:val="002A02A3"/>
    <w:rsid w:val="002A0638"/>
    <w:rsid w:val="002A0A2B"/>
    <w:rsid w:val="002A0E04"/>
    <w:rsid w:val="002A0F49"/>
    <w:rsid w:val="002A0F9D"/>
    <w:rsid w:val="002A104C"/>
    <w:rsid w:val="002A1380"/>
    <w:rsid w:val="002A17C8"/>
    <w:rsid w:val="002A19AE"/>
    <w:rsid w:val="002A19DB"/>
    <w:rsid w:val="002A1E2C"/>
    <w:rsid w:val="002A1EF7"/>
    <w:rsid w:val="002A261D"/>
    <w:rsid w:val="002A2914"/>
    <w:rsid w:val="002A2B7B"/>
    <w:rsid w:val="002A2CE3"/>
    <w:rsid w:val="002A2F05"/>
    <w:rsid w:val="002A3F80"/>
    <w:rsid w:val="002A478C"/>
    <w:rsid w:val="002A490C"/>
    <w:rsid w:val="002A494D"/>
    <w:rsid w:val="002A4960"/>
    <w:rsid w:val="002A4BFD"/>
    <w:rsid w:val="002A52C5"/>
    <w:rsid w:val="002A5BE7"/>
    <w:rsid w:val="002A5C14"/>
    <w:rsid w:val="002A636A"/>
    <w:rsid w:val="002A6B1B"/>
    <w:rsid w:val="002A7163"/>
    <w:rsid w:val="002A755F"/>
    <w:rsid w:val="002A7796"/>
    <w:rsid w:val="002A7D39"/>
    <w:rsid w:val="002A7DDA"/>
    <w:rsid w:val="002A7E33"/>
    <w:rsid w:val="002A7FED"/>
    <w:rsid w:val="002B01EB"/>
    <w:rsid w:val="002B033B"/>
    <w:rsid w:val="002B039A"/>
    <w:rsid w:val="002B04D5"/>
    <w:rsid w:val="002B07F4"/>
    <w:rsid w:val="002B0AE0"/>
    <w:rsid w:val="002B0B2B"/>
    <w:rsid w:val="002B141F"/>
    <w:rsid w:val="002B14EA"/>
    <w:rsid w:val="002B1AE6"/>
    <w:rsid w:val="002B1D51"/>
    <w:rsid w:val="002B23AC"/>
    <w:rsid w:val="002B2891"/>
    <w:rsid w:val="002B2D78"/>
    <w:rsid w:val="002B2DE8"/>
    <w:rsid w:val="002B30F8"/>
    <w:rsid w:val="002B388A"/>
    <w:rsid w:val="002B395B"/>
    <w:rsid w:val="002B3BFE"/>
    <w:rsid w:val="002B3C1A"/>
    <w:rsid w:val="002B482F"/>
    <w:rsid w:val="002B4C2A"/>
    <w:rsid w:val="002B4CB1"/>
    <w:rsid w:val="002B4DF0"/>
    <w:rsid w:val="002B5596"/>
    <w:rsid w:val="002B56ED"/>
    <w:rsid w:val="002B6DA5"/>
    <w:rsid w:val="002B6ED6"/>
    <w:rsid w:val="002B77D7"/>
    <w:rsid w:val="002C0351"/>
    <w:rsid w:val="002C0763"/>
    <w:rsid w:val="002C0C50"/>
    <w:rsid w:val="002C0F49"/>
    <w:rsid w:val="002C212F"/>
    <w:rsid w:val="002C23C5"/>
    <w:rsid w:val="002C2A84"/>
    <w:rsid w:val="002C2F35"/>
    <w:rsid w:val="002C3310"/>
    <w:rsid w:val="002C3899"/>
    <w:rsid w:val="002C43E5"/>
    <w:rsid w:val="002C4435"/>
    <w:rsid w:val="002C47AB"/>
    <w:rsid w:val="002C5192"/>
    <w:rsid w:val="002C532B"/>
    <w:rsid w:val="002C5850"/>
    <w:rsid w:val="002C61E5"/>
    <w:rsid w:val="002C6283"/>
    <w:rsid w:val="002C6359"/>
    <w:rsid w:val="002C63A9"/>
    <w:rsid w:val="002C678B"/>
    <w:rsid w:val="002C6AA9"/>
    <w:rsid w:val="002C6B28"/>
    <w:rsid w:val="002C6C25"/>
    <w:rsid w:val="002C7079"/>
    <w:rsid w:val="002C738C"/>
    <w:rsid w:val="002C7485"/>
    <w:rsid w:val="002C7648"/>
    <w:rsid w:val="002C7B5C"/>
    <w:rsid w:val="002C7EB2"/>
    <w:rsid w:val="002D02E2"/>
    <w:rsid w:val="002D03C2"/>
    <w:rsid w:val="002D044F"/>
    <w:rsid w:val="002D0933"/>
    <w:rsid w:val="002D1030"/>
    <w:rsid w:val="002D116B"/>
    <w:rsid w:val="002D2328"/>
    <w:rsid w:val="002D2641"/>
    <w:rsid w:val="002D26D8"/>
    <w:rsid w:val="002D283A"/>
    <w:rsid w:val="002D2970"/>
    <w:rsid w:val="002D2B18"/>
    <w:rsid w:val="002D2E9A"/>
    <w:rsid w:val="002D3406"/>
    <w:rsid w:val="002D4184"/>
    <w:rsid w:val="002D4543"/>
    <w:rsid w:val="002D4BDC"/>
    <w:rsid w:val="002D4D69"/>
    <w:rsid w:val="002D4EDC"/>
    <w:rsid w:val="002D5DBE"/>
    <w:rsid w:val="002D5DC5"/>
    <w:rsid w:val="002D6241"/>
    <w:rsid w:val="002D63B2"/>
    <w:rsid w:val="002D6857"/>
    <w:rsid w:val="002D6D4D"/>
    <w:rsid w:val="002D715F"/>
    <w:rsid w:val="002D71F8"/>
    <w:rsid w:val="002D7270"/>
    <w:rsid w:val="002D7276"/>
    <w:rsid w:val="002D78B7"/>
    <w:rsid w:val="002D7B7E"/>
    <w:rsid w:val="002E022A"/>
    <w:rsid w:val="002E1650"/>
    <w:rsid w:val="002E2335"/>
    <w:rsid w:val="002E2601"/>
    <w:rsid w:val="002E26BB"/>
    <w:rsid w:val="002E2FE6"/>
    <w:rsid w:val="002E3153"/>
    <w:rsid w:val="002E3DD3"/>
    <w:rsid w:val="002E3FD4"/>
    <w:rsid w:val="002E48B8"/>
    <w:rsid w:val="002E4A02"/>
    <w:rsid w:val="002E5292"/>
    <w:rsid w:val="002E544A"/>
    <w:rsid w:val="002E5C86"/>
    <w:rsid w:val="002E6562"/>
    <w:rsid w:val="002E658D"/>
    <w:rsid w:val="002E6D12"/>
    <w:rsid w:val="002E72CA"/>
    <w:rsid w:val="002E7501"/>
    <w:rsid w:val="002E7555"/>
    <w:rsid w:val="002E75DD"/>
    <w:rsid w:val="002F04F3"/>
    <w:rsid w:val="002F095B"/>
    <w:rsid w:val="002F0BF7"/>
    <w:rsid w:val="002F0F51"/>
    <w:rsid w:val="002F180C"/>
    <w:rsid w:val="002F1D07"/>
    <w:rsid w:val="002F2451"/>
    <w:rsid w:val="002F2A18"/>
    <w:rsid w:val="002F2E4C"/>
    <w:rsid w:val="002F2EE3"/>
    <w:rsid w:val="002F31D3"/>
    <w:rsid w:val="002F38BC"/>
    <w:rsid w:val="002F3C9A"/>
    <w:rsid w:val="002F3EC7"/>
    <w:rsid w:val="002F4255"/>
    <w:rsid w:val="002F4C47"/>
    <w:rsid w:val="002F52B2"/>
    <w:rsid w:val="002F597B"/>
    <w:rsid w:val="002F5A60"/>
    <w:rsid w:val="002F5C5B"/>
    <w:rsid w:val="002F5D72"/>
    <w:rsid w:val="002F600D"/>
    <w:rsid w:val="002F67F4"/>
    <w:rsid w:val="002F6E3A"/>
    <w:rsid w:val="002F6F0F"/>
    <w:rsid w:val="002F7233"/>
    <w:rsid w:val="002F7540"/>
    <w:rsid w:val="002F7E47"/>
    <w:rsid w:val="00300AD6"/>
    <w:rsid w:val="00300B1B"/>
    <w:rsid w:val="00300C53"/>
    <w:rsid w:val="0030129C"/>
    <w:rsid w:val="003019D0"/>
    <w:rsid w:val="003019DE"/>
    <w:rsid w:val="00301B53"/>
    <w:rsid w:val="0030207A"/>
    <w:rsid w:val="00302D97"/>
    <w:rsid w:val="00302FBF"/>
    <w:rsid w:val="0030311E"/>
    <w:rsid w:val="00303CFE"/>
    <w:rsid w:val="00303FC0"/>
    <w:rsid w:val="003041D3"/>
    <w:rsid w:val="00304651"/>
    <w:rsid w:val="0030500B"/>
    <w:rsid w:val="003052E8"/>
    <w:rsid w:val="00306000"/>
    <w:rsid w:val="003062B2"/>
    <w:rsid w:val="003062C1"/>
    <w:rsid w:val="0030643E"/>
    <w:rsid w:val="003064AF"/>
    <w:rsid w:val="003069BC"/>
    <w:rsid w:val="003073A9"/>
    <w:rsid w:val="00307DC6"/>
    <w:rsid w:val="00310A8B"/>
    <w:rsid w:val="00310B68"/>
    <w:rsid w:val="00311A87"/>
    <w:rsid w:val="003123AF"/>
    <w:rsid w:val="00313864"/>
    <w:rsid w:val="003140E0"/>
    <w:rsid w:val="0031489D"/>
    <w:rsid w:val="00315F1E"/>
    <w:rsid w:val="003160D2"/>
    <w:rsid w:val="003165E3"/>
    <w:rsid w:val="00316EB8"/>
    <w:rsid w:val="003173FC"/>
    <w:rsid w:val="00317918"/>
    <w:rsid w:val="00317C6C"/>
    <w:rsid w:val="00317E9B"/>
    <w:rsid w:val="00320A1A"/>
    <w:rsid w:val="00320B80"/>
    <w:rsid w:val="00320CD3"/>
    <w:rsid w:val="003215FF"/>
    <w:rsid w:val="00321ED2"/>
    <w:rsid w:val="00322667"/>
    <w:rsid w:val="00323A6C"/>
    <w:rsid w:val="00323C1A"/>
    <w:rsid w:val="003240FE"/>
    <w:rsid w:val="0032491B"/>
    <w:rsid w:val="00324FA7"/>
    <w:rsid w:val="00325B63"/>
    <w:rsid w:val="00325FCD"/>
    <w:rsid w:val="0032607C"/>
    <w:rsid w:val="00326281"/>
    <w:rsid w:val="00326A1F"/>
    <w:rsid w:val="00326BCB"/>
    <w:rsid w:val="00326E79"/>
    <w:rsid w:val="00326F70"/>
    <w:rsid w:val="0032748A"/>
    <w:rsid w:val="00327A8F"/>
    <w:rsid w:val="00327F5F"/>
    <w:rsid w:val="003301B1"/>
    <w:rsid w:val="0033028D"/>
    <w:rsid w:val="00330810"/>
    <w:rsid w:val="00330890"/>
    <w:rsid w:val="00331189"/>
    <w:rsid w:val="00331E5F"/>
    <w:rsid w:val="0033263D"/>
    <w:rsid w:val="0033286E"/>
    <w:rsid w:val="00332BE6"/>
    <w:rsid w:val="00333535"/>
    <w:rsid w:val="00333A53"/>
    <w:rsid w:val="00333DCC"/>
    <w:rsid w:val="00333F4F"/>
    <w:rsid w:val="003342C1"/>
    <w:rsid w:val="00334CEE"/>
    <w:rsid w:val="00334E69"/>
    <w:rsid w:val="0033518A"/>
    <w:rsid w:val="00335535"/>
    <w:rsid w:val="00335951"/>
    <w:rsid w:val="00335A3B"/>
    <w:rsid w:val="00335F5E"/>
    <w:rsid w:val="003367EF"/>
    <w:rsid w:val="00336EE8"/>
    <w:rsid w:val="003372C6"/>
    <w:rsid w:val="00337468"/>
    <w:rsid w:val="003402A4"/>
    <w:rsid w:val="003405DA"/>
    <w:rsid w:val="00340795"/>
    <w:rsid w:val="00341AE4"/>
    <w:rsid w:val="00341E33"/>
    <w:rsid w:val="00341F67"/>
    <w:rsid w:val="00342366"/>
    <w:rsid w:val="00342512"/>
    <w:rsid w:val="003425CA"/>
    <w:rsid w:val="00342A49"/>
    <w:rsid w:val="00342DF5"/>
    <w:rsid w:val="00343286"/>
    <w:rsid w:val="00343374"/>
    <w:rsid w:val="00343FB7"/>
    <w:rsid w:val="00344117"/>
    <w:rsid w:val="0034412E"/>
    <w:rsid w:val="0034519B"/>
    <w:rsid w:val="00345995"/>
    <w:rsid w:val="00345C50"/>
    <w:rsid w:val="0034613E"/>
    <w:rsid w:val="003466FC"/>
    <w:rsid w:val="00346915"/>
    <w:rsid w:val="003471A2"/>
    <w:rsid w:val="003476EE"/>
    <w:rsid w:val="003505C3"/>
    <w:rsid w:val="0035179D"/>
    <w:rsid w:val="00351CE4"/>
    <w:rsid w:val="00353C23"/>
    <w:rsid w:val="00354183"/>
    <w:rsid w:val="003541DD"/>
    <w:rsid w:val="00354657"/>
    <w:rsid w:val="00355381"/>
    <w:rsid w:val="003559BF"/>
    <w:rsid w:val="00355C89"/>
    <w:rsid w:val="00355D22"/>
    <w:rsid w:val="00356996"/>
    <w:rsid w:val="003569D5"/>
    <w:rsid w:val="00356E5B"/>
    <w:rsid w:val="00357313"/>
    <w:rsid w:val="0035763A"/>
    <w:rsid w:val="003576AF"/>
    <w:rsid w:val="00357A4E"/>
    <w:rsid w:val="00357AEA"/>
    <w:rsid w:val="00357C99"/>
    <w:rsid w:val="00360357"/>
    <w:rsid w:val="0036072D"/>
    <w:rsid w:val="00360887"/>
    <w:rsid w:val="00360E03"/>
    <w:rsid w:val="00361234"/>
    <w:rsid w:val="00361766"/>
    <w:rsid w:val="00361E77"/>
    <w:rsid w:val="0036218E"/>
    <w:rsid w:val="0036249F"/>
    <w:rsid w:val="00362C82"/>
    <w:rsid w:val="003636FA"/>
    <w:rsid w:val="00363839"/>
    <w:rsid w:val="00363A65"/>
    <w:rsid w:val="00363A79"/>
    <w:rsid w:val="00364654"/>
    <w:rsid w:val="00364ABC"/>
    <w:rsid w:val="00364C8E"/>
    <w:rsid w:val="00364EAA"/>
    <w:rsid w:val="0036539D"/>
    <w:rsid w:val="0036587B"/>
    <w:rsid w:val="00366086"/>
    <w:rsid w:val="0036633D"/>
    <w:rsid w:val="003668DA"/>
    <w:rsid w:val="00366F0F"/>
    <w:rsid w:val="0036718C"/>
    <w:rsid w:val="0036725E"/>
    <w:rsid w:val="003678BF"/>
    <w:rsid w:val="00370164"/>
    <w:rsid w:val="003704E5"/>
    <w:rsid w:val="003709B5"/>
    <w:rsid w:val="00371161"/>
    <w:rsid w:val="00371217"/>
    <w:rsid w:val="00371246"/>
    <w:rsid w:val="00371582"/>
    <w:rsid w:val="00372F92"/>
    <w:rsid w:val="003736C9"/>
    <w:rsid w:val="0037378D"/>
    <w:rsid w:val="003737CF"/>
    <w:rsid w:val="00373D2C"/>
    <w:rsid w:val="00374054"/>
    <w:rsid w:val="00374318"/>
    <w:rsid w:val="00374C78"/>
    <w:rsid w:val="00374F0E"/>
    <w:rsid w:val="0037539B"/>
    <w:rsid w:val="0037569E"/>
    <w:rsid w:val="00375ACA"/>
    <w:rsid w:val="00375EB6"/>
    <w:rsid w:val="00376B09"/>
    <w:rsid w:val="00376BAB"/>
    <w:rsid w:val="003774E4"/>
    <w:rsid w:val="00377C4A"/>
    <w:rsid w:val="003800B2"/>
    <w:rsid w:val="00380742"/>
    <w:rsid w:val="00380995"/>
    <w:rsid w:val="00380E28"/>
    <w:rsid w:val="0038125E"/>
    <w:rsid w:val="003812BF"/>
    <w:rsid w:val="003815DE"/>
    <w:rsid w:val="00382A16"/>
    <w:rsid w:val="00382B1A"/>
    <w:rsid w:val="003835E2"/>
    <w:rsid w:val="00383B77"/>
    <w:rsid w:val="00383EB3"/>
    <w:rsid w:val="00384988"/>
    <w:rsid w:val="00384EF5"/>
    <w:rsid w:val="00385128"/>
    <w:rsid w:val="00385D51"/>
    <w:rsid w:val="0038607E"/>
    <w:rsid w:val="003860B0"/>
    <w:rsid w:val="00386DCF"/>
    <w:rsid w:val="00386F6E"/>
    <w:rsid w:val="003870C5"/>
    <w:rsid w:val="0038724B"/>
    <w:rsid w:val="003872CF"/>
    <w:rsid w:val="00387408"/>
    <w:rsid w:val="00387451"/>
    <w:rsid w:val="003874CB"/>
    <w:rsid w:val="00390550"/>
    <w:rsid w:val="003905F4"/>
    <w:rsid w:val="00390952"/>
    <w:rsid w:val="00390AC8"/>
    <w:rsid w:val="00390C69"/>
    <w:rsid w:val="00392091"/>
    <w:rsid w:val="003922A1"/>
    <w:rsid w:val="003922D1"/>
    <w:rsid w:val="00392A69"/>
    <w:rsid w:val="00392BB7"/>
    <w:rsid w:val="0039316B"/>
    <w:rsid w:val="003931F3"/>
    <w:rsid w:val="003934EC"/>
    <w:rsid w:val="003937CE"/>
    <w:rsid w:val="00393D27"/>
    <w:rsid w:val="0039449A"/>
    <w:rsid w:val="003944E3"/>
    <w:rsid w:val="00394F7B"/>
    <w:rsid w:val="003955AE"/>
    <w:rsid w:val="003956EA"/>
    <w:rsid w:val="003962BA"/>
    <w:rsid w:val="0039687E"/>
    <w:rsid w:val="00396897"/>
    <w:rsid w:val="00396E08"/>
    <w:rsid w:val="003970DD"/>
    <w:rsid w:val="0039711E"/>
    <w:rsid w:val="0039782C"/>
    <w:rsid w:val="00397D46"/>
    <w:rsid w:val="00397F98"/>
    <w:rsid w:val="003A004A"/>
    <w:rsid w:val="003A0819"/>
    <w:rsid w:val="003A13A6"/>
    <w:rsid w:val="003A1CAA"/>
    <w:rsid w:val="003A2165"/>
    <w:rsid w:val="003A24A2"/>
    <w:rsid w:val="003A279D"/>
    <w:rsid w:val="003A2C1A"/>
    <w:rsid w:val="003A332C"/>
    <w:rsid w:val="003A3678"/>
    <w:rsid w:val="003A3AF3"/>
    <w:rsid w:val="003A3FD4"/>
    <w:rsid w:val="003A4034"/>
    <w:rsid w:val="003A4AF6"/>
    <w:rsid w:val="003A586A"/>
    <w:rsid w:val="003A5B4A"/>
    <w:rsid w:val="003A5D95"/>
    <w:rsid w:val="003A5EF5"/>
    <w:rsid w:val="003A61C5"/>
    <w:rsid w:val="003A6510"/>
    <w:rsid w:val="003A6706"/>
    <w:rsid w:val="003A6857"/>
    <w:rsid w:val="003A6966"/>
    <w:rsid w:val="003A6C0B"/>
    <w:rsid w:val="003A6C15"/>
    <w:rsid w:val="003A7010"/>
    <w:rsid w:val="003A72D4"/>
    <w:rsid w:val="003A74E2"/>
    <w:rsid w:val="003B043F"/>
    <w:rsid w:val="003B0641"/>
    <w:rsid w:val="003B076E"/>
    <w:rsid w:val="003B08D6"/>
    <w:rsid w:val="003B0D3A"/>
    <w:rsid w:val="003B167D"/>
    <w:rsid w:val="003B1CD6"/>
    <w:rsid w:val="003B2302"/>
    <w:rsid w:val="003B23C5"/>
    <w:rsid w:val="003B25A2"/>
    <w:rsid w:val="003B2A08"/>
    <w:rsid w:val="003B2A75"/>
    <w:rsid w:val="003B2B99"/>
    <w:rsid w:val="003B33B9"/>
    <w:rsid w:val="003B3719"/>
    <w:rsid w:val="003B49B2"/>
    <w:rsid w:val="003B4FE1"/>
    <w:rsid w:val="003B521F"/>
    <w:rsid w:val="003B6124"/>
    <w:rsid w:val="003B696B"/>
    <w:rsid w:val="003B6FBA"/>
    <w:rsid w:val="003B722D"/>
    <w:rsid w:val="003B76BF"/>
    <w:rsid w:val="003B7759"/>
    <w:rsid w:val="003B7960"/>
    <w:rsid w:val="003B7D8B"/>
    <w:rsid w:val="003B7FB5"/>
    <w:rsid w:val="003C004F"/>
    <w:rsid w:val="003C0908"/>
    <w:rsid w:val="003C093A"/>
    <w:rsid w:val="003C095D"/>
    <w:rsid w:val="003C0F8D"/>
    <w:rsid w:val="003C1194"/>
    <w:rsid w:val="003C1CA0"/>
    <w:rsid w:val="003C1ECF"/>
    <w:rsid w:val="003C1F8B"/>
    <w:rsid w:val="003C28CD"/>
    <w:rsid w:val="003C2A58"/>
    <w:rsid w:val="003C2FB5"/>
    <w:rsid w:val="003C318A"/>
    <w:rsid w:val="003C36E5"/>
    <w:rsid w:val="003C3950"/>
    <w:rsid w:val="003C3B59"/>
    <w:rsid w:val="003C4135"/>
    <w:rsid w:val="003C4FE1"/>
    <w:rsid w:val="003C6205"/>
    <w:rsid w:val="003C63E7"/>
    <w:rsid w:val="003C6637"/>
    <w:rsid w:val="003C6644"/>
    <w:rsid w:val="003C77F4"/>
    <w:rsid w:val="003D165E"/>
    <w:rsid w:val="003D1A30"/>
    <w:rsid w:val="003D24C5"/>
    <w:rsid w:val="003D28AF"/>
    <w:rsid w:val="003D3302"/>
    <w:rsid w:val="003D3ABE"/>
    <w:rsid w:val="003D4594"/>
    <w:rsid w:val="003D4AC4"/>
    <w:rsid w:val="003D5433"/>
    <w:rsid w:val="003D59D7"/>
    <w:rsid w:val="003D5C04"/>
    <w:rsid w:val="003D6298"/>
    <w:rsid w:val="003D63B7"/>
    <w:rsid w:val="003D687F"/>
    <w:rsid w:val="003D71D7"/>
    <w:rsid w:val="003D72B4"/>
    <w:rsid w:val="003D74C5"/>
    <w:rsid w:val="003D7A18"/>
    <w:rsid w:val="003D7EDC"/>
    <w:rsid w:val="003E0776"/>
    <w:rsid w:val="003E123A"/>
    <w:rsid w:val="003E1A8D"/>
    <w:rsid w:val="003E326C"/>
    <w:rsid w:val="003E4374"/>
    <w:rsid w:val="003E454C"/>
    <w:rsid w:val="003E468B"/>
    <w:rsid w:val="003E5D34"/>
    <w:rsid w:val="003E62BD"/>
    <w:rsid w:val="003E658D"/>
    <w:rsid w:val="003E6FC2"/>
    <w:rsid w:val="003E7447"/>
    <w:rsid w:val="003E79CC"/>
    <w:rsid w:val="003F044F"/>
    <w:rsid w:val="003F0C3A"/>
    <w:rsid w:val="003F115E"/>
    <w:rsid w:val="003F15F0"/>
    <w:rsid w:val="003F1C88"/>
    <w:rsid w:val="003F26C1"/>
    <w:rsid w:val="003F2AD9"/>
    <w:rsid w:val="003F3228"/>
    <w:rsid w:val="003F474D"/>
    <w:rsid w:val="003F4D99"/>
    <w:rsid w:val="003F550F"/>
    <w:rsid w:val="003F5BB6"/>
    <w:rsid w:val="003F5C8C"/>
    <w:rsid w:val="003F5CED"/>
    <w:rsid w:val="003F63CE"/>
    <w:rsid w:val="003F6921"/>
    <w:rsid w:val="003F775A"/>
    <w:rsid w:val="003F7B95"/>
    <w:rsid w:val="003F7D97"/>
    <w:rsid w:val="003F7F8D"/>
    <w:rsid w:val="00400042"/>
    <w:rsid w:val="00400095"/>
    <w:rsid w:val="004000CB"/>
    <w:rsid w:val="00400291"/>
    <w:rsid w:val="00400E55"/>
    <w:rsid w:val="0040128E"/>
    <w:rsid w:val="00401640"/>
    <w:rsid w:val="00401CDA"/>
    <w:rsid w:val="0040216B"/>
    <w:rsid w:val="00402633"/>
    <w:rsid w:val="00402811"/>
    <w:rsid w:val="00402816"/>
    <w:rsid w:val="004029A9"/>
    <w:rsid w:val="00402BC9"/>
    <w:rsid w:val="00403CD9"/>
    <w:rsid w:val="004043D8"/>
    <w:rsid w:val="00404668"/>
    <w:rsid w:val="00404852"/>
    <w:rsid w:val="00404ACA"/>
    <w:rsid w:val="00404DE0"/>
    <w:rsid w:val="00405299"/>
    <w:rsid w:val="004052F6"/>
    <w:rsid w:val="0040590E"/>
    <w:rsid w:val="00405C43"/>
    <w:rsid w:val="00405DBE"/>
    <w:rsid w:val="00406617"/>
    <w:rsid w:val="004066C6"/>
    <w:rsid w:val="00406B80"/>
    <w:rsid w:val="00406E2C"/>
    <w:rsid w:val="004073EE"/>
    <w:rsid w:val="004077E6"/>
    <w:rsid w:val="00407CC8"/>
    <w:rsid w:val="00410005"/>
    <w:rsid w:val="004104A1"/>
    <w:rsid w:val="00410FE0"/>
    <w:rsid w:val="00411387"/>
    <w:rsid w:val="00411451"/>
    <w:rsid w:val="00411B1F"/>
    <w:rsid w:val="00411D3A"/>
    <w:rsid w:val="00412973"/>
    <w:rsid w:val="00412C62"/>
    <w:rsid w:val="00412FA9"/>
    <w:rsid w:val="00413757"/>
    <w:rsid w:val="00413D78"/>
    <w:rsid w:val="004142C6"/>
    <w:rsid w:val="00414895"/>
    <w:rsid w:val="00414DF5"/>
    <w:rsid w:val="00414F0C"/>
    <w:rsid w:val="0041546E"/>
    <w:rsid w:val="004154E7"/>
    <w:rsid w:val="00415CCA"/>
    <w:rsid w:val="00415D1C"/>
    <w:rsid w:val="00417299"/>
    <w:rsid w:val="00417703"/>
    <w:rsid w:val="00420050"/>
    <w:rsid w:val="00420400"/>
    <w:rsid w:val="00421071"/>
    <w:rsid w:val="004214A0"/>
    <w:rsid w:val="0042158A"/>
    <w:rsid w:val="00421817"/>
    <w:rsid w:val="0042207A"/>
    <w:rsid w:val="0042242B"/>
    <w:rsid w:val="004227BB"/>
    <w:rsid w:val="00423E78"/>
    <w:rsid w:val="004248A2"/>
    <w:rsid w:val="004249D0"/>
    <w:rsid w:val="00424A19"/>
    <w:rsid w:val="00424AF0"/>
    <w:rsid w:val="00424C8D"/>
    <w:rsid w:val="004252EC"/>
    <w:rsid w:val="00425591"/>
    <w:rsid w:val="00425F04"/>
    <w:rsid w:val="00426429"/>
    <w:rsid w:val="004264E2"/>
    <w:rsid w:val="00426632"/>
    <w:rsid w:val="004277FB"/>
    <w:rsid w:val="00427DDF"/>
    <w:rsid w:val="00430949"/>
    <w:rsid w:val="00430AB5"/>
    <w:rsid w:val="00430D39"/>
    <w:rsid w:val="004311BB"/>
    <w:rsid w:val="00431934"/>
    <w:rsid w:val="00432EBF"/>
    <w:rsid w:val="0043350E"/>
    <w:rsid w:val="004337A9"/>
    <w:rsid w:val="004338A9"/>
    <w:rsid w:val="0043483D"/>
    <w:rsid w:val="0043491C"/>
    <w:rsid w:val="00434BAE"/>
    <w:rsid w:val="0043564E"/>
    <w:rsid w:val="00435FBC"/>
    <w:rsid w:val="004361D4"/>
    <w:rsid w:val="00436533"/>
    <w:rsid w:val="00436B5C"/>
    <w:rsid w:val="00436E81"/>
    <w:rsid w:val="004375B0"/>
    <w:rsid w:val="00437B8F"/>
    <w:rsid w:val="00437CA5"/>
    <w:rsid w:val="00437EEB"/>
    <w:rsid w:val="00441B17"/>
    <w:rsid w:val="00441D16"/>
    <w:rsid w:val="00442072"/>
    <w:rsid w:val="004422D3"/>
    <w:rsid w:val="0044260D"/>
    <w:rsid w:val="0044277D"/>
    <w:rsid w:val="004429C2"/>
    <w:rsid w:val="004429E3"/>
    <w:rsid w:val="00442A7B"/>
    <w:rsid w:val="00442C8F"/>
    <w:rsid w:val="00442C91"/>
    <w:rsid w:val="00442FBD"/>
    <w:rsid w:val="0044319D"/>
    <w:rsid w:val="00443694"/>
    <w:rsid w:val="00443CC9"/>
    <w:rsid w:val="0044489E"/>
    <w:rsid w:val="00444AF8"/>
    <w:rsid w:val="00444E9D"/>
    <w:rsid w:val="00445E64"/>
    <w:rsid w:val="004465BD"/>
    <w:rsid w:val="00446938"/>
    <w:rsid w:val="004473F7"/>
    <w:rsid w:val="004474AD"/>
    <w:rsid w:val="00447E20"/>
    <w:rsid w:val="00447EF2"/>
    <w:rsid w:val="00450052"/>
    <w:rsid w:val="0045012B"/>
    <w:rsid w:val="00450BE4"/>
    <w:rsid w:val="00450FB4"/>
    <w:rsid w:val="00451CDE"/>
    <w:rsid w:val="00451DB7"/>
    <w:rsid w:val="00451E0F"/>
    <w:rsid w:val="00451F73"/>
    <w:rsid w:val="00452116"/>
    <w:rsid w:val="00452456"/>
    <w:rsid w:val="00452479"/>
    <w:rsid w:val="0045275E"/>
    <w:rsid w:val="004528FA"/>
    <w:rsid w:val="004529FE"/>
    <w:rsid w:val="00452A6C"/>
    <w:rsid w:val="00452DA7"/>
    <w:rsid w:val="00453020"/>
    <w:rsid w:val="004546F3"/>
    <w:rsid w:val="004549DD"/>
    <w:rsid w:val="00455299"/>
    <w:rsid w:val="00455B51"/>
    <w:rsid w:val="00455CE4"/>
    <w:rsid w:val="004562A8"/>
    <w:rsid w:val="00457C22"/>
    <w:rsid w:val="00457EC4"/>
    <w:rsid w:val="00460294"/>
    <w:rsid w:val="00460871"/>
    <w:rsid w:val="00460DBE"/>
    <w:rsid w:val="00460DFC"/>
    <w:rsid w:val="00460E4E"/>
    <w:rsid w:val="00461005"/>
    <w:rsid w:val="00461A44"/>
    <w:rsid w:val="00462324"/>
    <w:rsid w:val="004623F5"/>
    <w:rsid w:val="004624B4"/>
    <w:rsid w:val="00462D26"/>
    <w:rsid w:val="0046368B"/>
    <w:rsid w:val="0046385A"/>
    <w:rsid w:val="00463882"/>
    <w:rsid w:val="00463CFD"/>
    <w:rsid w:val="00464039"/>
    <w:rsid w:val="00464988"/>
    <w:rsid w:val="00464A78"/>
    <w:rsid w:val="00464C3E"/>
    <w:rsid w:val="00465814"/>
    <w:rsid w:val="00465936"/>
    <w:rsid w:val="00466A28"/>
    <w:rsid w:val="00466ADA"/>
    <w:rsid w:val="00466D25"/>
    <w:rsid w:val="00466ED7"/>
    <w:rsid w:val="00467063"/>
    <w:rsid w:val="0046737B"/>
    <w:rsid w:val="004674A1"/>
    <w:rsid w:val="00467D30"/>
    <w:rsid w:val="00467F37"/>
    <w:rsid w:val="004700D8"/>
    <w:rsid w:val="004702BB"/>
    <w:rsid w:val="004710F3"/>
    <w:rsid w:val="004715A8"/>
    <w:rsid w:val="0047161D"/>
    <w:rsid w:val="004718FC"/>
    <w:rsid w:val="00471EE5"/>
    <w:rsid w:val="00471F21"/>
    <w:rsid w:val="0047211D"/>
    <w:rsid w:val="00472371"/>
    <w:rsid w:val="004732EA"/>
    <w:rsid w:val="0047345E"/>
    <w:rsid w:val="00473C41"/>
    <w:rsid w:val="0047434E"/>
    <w:rsid w:val="0047494B"/>
    <w:rsid w:val="00474FCE"/>
    <w:rsid w:val="00475700"/>
    <w:rsid w:val="00476166"/>
    <w:rsid w:val="00476245"/>
    <w:rsid w:val="004765D0"/>
    <w:rsid w:val="00476D66"/>
    <w:rsid w:val="004770E5"/>
    <w:rsid w:val="004773C4"/>
    <w:rsid w:val="0047765E"/>
    <w:rsid w:val="00477A9B"/>
    <w:rsid w:val="00480234"/>
    <w:rsid w:val="004804DF"/>
    <w:rsid w:val="00480A97"/>
    <w:rsid w:val="00480CFA"/>
    <w:rsid w:val="00480F38"/>
    <w:rsid w:val="004811F1"/>
    <w:rsid w:val="00482078"/>
    <w:rsid w:val="004820FB"/>
    <w:rsid w:val="0048231F"/>
    <w:rsid w:val="00482505"/>
    <w:rsid w:val="004826D3"/>
    <w:rsid w:val="00482AE4"/>
    <w:rsid w:val="00482DDA"/>
    <w:rsid w:val="00483035"/>
    <w:rsid w:val="00483630"/>
    <w:rsid w:val="004837B4"/>
    <w:rsid w:val="00483DBC"/>
    <w:rsid w:val="00484101"/>
    <w:rsid w:val="00484145"/>
    <w:rsid w:val="00484182"/>
    <w:rsid w:val="004846F2"/>
    <w:rsid w:val="00484898"/>
    <w:rsid w:val="00485940"/>
    <w:rsid w:val="00485B5A"/>
    <w:rsid w:val="004864B1"/>
    <w:rsid w:val="0048667F"/>
    <w:rsid w:val="00486965"/>
    <w:rsid w:val="00486C95"/>
    <w:rsid w:val="004877C2"/>
    <w:rsid w:val="004877F6"/>
    <w:rsid w:val="00487AB4"/>
    <w:rsid w:val="00490220"/>
    <w:rsid w:val="004904B9"/>
    <w:rsid w:val="00490C9F"/>
    <w:rsid w:val="00490E6D"/>
    <w:rsid w:val="00491109"/>
    <w:rsid w:val="0049192A"/>
    <w:rsid w:val="004919F7"/>
    <w:rsid w:val="00491C20"/>
    <w:rsid w:val="00491C4D"/>
    <w:rsid w:val="00491EDC"/>
    <w:rsid w:val="004928E1"/>
    <w:rsid w:val="00492966"/>
    <w:rsid w:val="00492D8D"/>
    <w:rsid w:val="004933BC"/>
    <w:rsid w:val="0049340F"/>
    <w:rsid w:val="004936EB"/>
    <w:rsid w:val="00494281"/>
    <w:rsid w:val="00495320"/>
    <w:rsid w:val="00495358"/>
    <w:rsid w:val="00495422"/>
    <w:rsid w:val="004959A0"/>
    <w:rsid w:val="00496662"/>
    <w:rsid w:val="00496E71"/>
    <w:rsid w:val="0049709A"/>
    <w:rsid w:val="00497531"/>
    <w:rsid w:val="004A056B"/>
    <w:rsid w:val="004A0CDE"/>
    <w:rsid w:val="004A0F5E"/>
    <w:rsid w:val="004A11A6"/>
    <w:rsid w:val="004A1431"/>
    <w:rsid w:val="004A1506"/>
    <w:rsid w:val="004A1F89"/>
    <w:rsid w:val="004A2484"/>
    <w:rsid w:val="004A24CA"/>
    <w:rsid w:val="004A25D7"/>
    <w:rsid w:val="004A27DE"/>
    <w:rsid w:val="004A2AC7"/>
    <w:rsid w:val="004A2D3E"/>
    <w:rsid w:val="004A30E9"/>
    <w:rsid w:val="004A3430"/>
    <w:rsid w:val="004A378E"/>
    <w:rsid w:val="004A3A19"/>
    <w:rsid w:val="004A3F66"/>
    <w:rsid w:val="004A4F2E"/>
    <w:rsid w:val="004A5367"/>
    <w:rsid w:val="004A5A85"/>
    <w:rsid w:val="004A5D34"/>
    <w:rsid w:val="004A6130"/>
    <w:rsid w:val="004A701A"/>
    <w:rsid w:val="004A71D1"/>
    <w:rsid w:val="004A7C5B"/>
    <w:rsid w:val="004A7D20"/>
    <w:rsid w:val="004B02D7"/>
    <w:rsid w:val="004B0433"/>
    <w:rsid w:val="004B04AC"/>
    <w:rsid w:val="004B1845"/>
    <w:rsid w:val="004B1C98"/>
    <w:rsid w:val="004B1F5E"/>
    <w:rsid w:val="004B1FFF"/>
    <w:rsid w:val="004B2125"/>
    <w:rsid w:val="004B21F6"/>
    <w:rsid w:val="004B2348"/>
    <w:rsid w:val="004B2526"/>
    <w:rsid w:val="004B2D08"/>
    <w:rsid w:val="004B2E01"/>
    <w:rsid w:val="004B2E23"/>
    <w:rsid w:val="004B2E98"/>
    <w:rsid w:val="004B31DE"/>
    <w:rsid w:val="004B344A"/>
    <w:rsid w:val="004B353E"/>
    <w:rsid w:val="004B37E0"/>
    <w:rsid w:val="004B3C29"/>
    <w:rsid w:val="004B3CDB"/>
    <w:rsid w:val="004B3EEB"/>
    <w:rsid w:val="004B4048"/>
    <w:rsid w:val="004B47FB"/>
    <w:rsid w:val="004B4A4A"/>
    <w:rsid w:val="004B4BEF"/>
    <w:rsid w:val="004B5167"/>
    <w:rsid w:val="004B5373"/>
    <w:rsid w:val="004B5640"/>
    <w:rsid w:val="004B5A8D"/>
    <w:rsid w:val="004B5DDA"/>
    <w:rsid w:val="004B5E69"/>
    <w:rsid w:val="004B6084"/>
    <w:rsid w:val="004B62AB"/>
    <w:rsid w:val="004B671A"/>
    <w:rsid w:val="004B6E29"/>
    <w:rsid w:val="004B728E"/>
    <w:rsid w:val="004B7B25"/>
    <w:rsid w:val="004B7CD5"/>
    <w:rsid w:val="004BCF29"/>
    <w:rsid w:val="004C0206"/>
    <w:rsid w:val="004C0385"/>
    <w:rsid w:val="004C03D0"/>
    <w:rsid w:val="004C100E"/>
    <w:rsid w:val="004C1013"/>
    <w:rsid w:val="004C11F9"/>
    <w:rsid w:val="004C1BD7"/>
    <w:rsid w:val="004C1BF2"/>
    <w:rsid w:val="004C21BF"/>
    <w:rsid w:val="004C239C"/>
    <w:rsid w:val="004C2DAC"/>
    <w:rsid w:val="004C31FE"/>
    <w:rsid w:val="004C3A40"/>
    <w:rsid w:val="004C3AE1"/>
    <w:rsid w:val="004C3BB6"/>
    <w:rsid w:val="004C3FB9"/>
    <w:rsid w:val="004C42EC"/>
    <w:rsid w:val="004C49BE"/>
    <w:rsid w:val="004C49C3"/>
    <w:rsid w:val="004C4B45"/>
    <w:rsid w:val="004C524C"/>
    <w:rsid w:val="004C540D"/>
    <w:rsid w:val="004C5668"/>
    <w:rsid w:val="004C5CF6"/>
    <w:rsid w:val="004C5EDD"/>
    <w:rsid w:val="004C5F68"/>
    <w:rsid w:val="004C5FFA"/>
    <w:rsid w:val="004C646D"/>
    <w:rsid w:val="004C6561"/>
    <w:rsid w:val="004C6800"/>
    <w:rsid w:val="004C691D"/>
    <w:rsid w:val="004C6C07"/>
    <w:rsid w:val="004C7142"/>
    <w:rsid w:val="004C71A8"/>
    <w:rsid w:val="004C782E"/>
    <w:rsid w:val="004C7DC1"/>
    <w:rsid w:val="004C7E15"/>
    <w:rsid w:val="004C7EC6"/>
    <w:rsid w:val="004D0075"/>
    <w:rsid w:val="004D0993"/>
    <w:rsid w:val="004D0F63"/>
    <w:rsid w:val="004D157F"/>
    <w:rsid w:val="004D1EE6"/>
    <w:rsid w:val="004D246F"/>
    <w:rsid w:val="004D25F3"/>
    <w:rsid w:val="004D268A"/>
    <w:rsid w:val="004D288C"/>
    <w:rsid w:val="004D2CD1"/>
    <w:rsid w:val="004D2D34"/>
    <w:rsid w:val="004D2F6B"/>
    <w:rsid w:val="004D30BE"/>
    <w:rsid w:val="004D332D"/>
    <w:rsid w:val="004D352E"/>
    <w:rsid w:val="004D365C"/>
    <w:rsid w:val="004D4395"/>
    <w:rsid w:val="004D4FF6"/>
    <w:rsid w:val="004D5996"/>
    <w:rsid w:val="004D5ADD"/>
    <w:rsid w:val="004D654D"/>
    <w:rsid w:val="004D7D54"/>
    <w:rsid w:val="004E0459"/>
    <w:rsid w:val="004E05B0"/>
    <w:rsid w:val="004E0B4B"/>
    <w:rsid w:val="004E0CC3"/>
    <w:rsid w:val="004E0EDF"/>
    <w:rsid w:val="004E0FC2"/>
    <w:rsid w:val="004E1562"/>
    <w:rsid w:val="004E1673"/>
    <w:rsid w:val="004E18F3"/>
    <w:rsid w:val="004E1AB4"/>
    <w:rsid w:val="004E201A"/>
    <w:rsid w:val="004E23AD"/>
    <w:rsid w:val="004E2456"/>
    <w:rsid w:val="004E291F"/>
    <w:rsid w:val="004E2BB9"/>
    <w:rsid w:val="004E3605"/>
    <w:rsid w:val="004E37D6"/>
    <w:rsid w:val="004E3DD6"/>
    <w:rsid w:val="004E491F"/>
    <w:rsid w:val="004E4D70"/>
    <w:rsid w:val="004E55C6"/>
    <w:rsid w:val="004E5E47"/>
    <w:rsid w:val="004E6112"/>
    <w:rsid w:val="004E6605"/>
    <w:rsid w:val="004E692D"/>
    <w:rsid w:val="004E6DF1"/>
    <w:rsid w:val="004E71E2"/>
    <w:rsid w:val="004E7230"/>
    <w:rsid w:val="004E7CBB"/>
    <w:rsid w:val="004E7D87"/>
    <w:rsid w:val="004E7E04"/>
    <w:rsid w:val="004E7F1E"/>
    <w:rsid w:val="004E7F5D"/>
    <w:rsid w:val="004F0BC1"/>
    <w:rsid w:val="004F1E6E"/>
    <w:rsid w:val="004F2553"/>
    <w:rsid w:val="004F2A8A"/>
    <w:rsid w:val="004F2B00"/>
    <w:rsid w:val="004F2C4D"/>
    <w:rsid w:val="004F2D6E"/>
    <w:rsid w:val="004F306A"/>
    <w:rsid w:val="004F3212"/>
    <w:rsid w:val="004F34B3"/>
    <w:rsid w:val="004F3557"/>
    <w:rsid w:val="004F38F6"/>
    <w:rsid w:val="004F3D41"/>
    <w:rsid w:val="004F3DB9"/>
    <w:rsid w:val="004F3FB7"/>
    <w:rsid w:val="004F50F2"/>
    <w:rsid w:val="004F58FE"/>
    <w:rsid w:val="004F5A7F"/>
    <w:rsid w:val="004F65E9"/>
    <w:rsid w:val="004F6B61"/>
    <w:rsid w:val="004F6DBE"/>
    <w:rsid w:val="004F6F4A"/>
    <w:rsid w:val="004F7318"/>
    <w:rsid w:val="004F78FC"/>
    <w:rsid w:val="004F7C25"/>
    <w:rsid w:val="00500002"/>
    <w:rsid w:val="0050005E"/>
    <w:rsid w:val="00500C23"/>
    <w:rsid w:val="005010AB"/>
    <w:rsid w:val="00501554"/>
    <w:rsid w:val="00501EB2"/>
    <w:rsid w:val="005024DA"/>
    <w:rsid w:val="00502AFE"/>
    <w:rsid w:val="00502E34"/>
    <w:rsid w:val="00502E64"/>
    <w:rsid w:val="005032BC"/>
    <w:rsid w:val="0050336A"/>
    <w:rsid w:val="005037BA"/>
    <w:rsid w:val="0050380E"/>
    <w:rsid w:val="00503994"/>
    <w:rsid w:val="00503AD7"/>
    <w:rsid w:val="00503E89"/>
    <w:rsid w:val="00504110"/>
    <w:rsid w:val="00504B80"/>
    <w:rsid w:val="00504E0C"/>
    <w:rsid w:val="00504E13"/>
    <w:rsid w:val="0050500F"/>
    <w:rsid w:val="0050501F"/>
    <w:rsid w:val="00505ACA"/>
    <w:rsid w:val="00505D77"/>
    <w:rsid w:val="0050716E"/>
    <w:rsid w:val="0050744E"/>
    <w:rsid w:val="00507B82"/>
    <w:rsid w:val="00507E5D"/>
    <w:rsid w:val="00510203"/>
    <w:rsid w:val="005109D4"/>
    <w:rsid w:val="0051158D"/>
    <w:rsid w:val="0051158E"/>
    <w:rsid w:val="00511615"/>
    <w:rsid w:val="005116F1"/>
    <w:rsid w:val="00511F05"/>
    <w:rsid w:val="005121AA"/>
    <w:rsid w:val="0051230A"/>
    <w:rsid w:val="0051245A"/>
    <w:rsid w:val="005125D3"/>
    <w:rsid w:val="00512850"/>
    <w:rsid w:val="00512FAE"/>
    <w:rsid w:val="00513E8F"/>
    <w:rsid w:val="00513ED8"/>
    <w:rsid w:val="005140CF"/>
    <w:rsid w:val="00514679"/>
    <w:rsid w:val="00514CD7"/>
    <w:rsid w:val="00515339"/>
    <w:rsid w:val="00515B44"/>
    <w:rsid w:val="00515BDB"/>
    <w:rsid w:val="005167EC"/>
    <w:rsid w:val="005167FC"/>
    <w:rsid w:val="0051681D"/>
    <w:rsid w:val="00516D9D"/>
    <w:rsid w:val="005170DA"/>
    <w:rsid w:val="00517353"/>
    <w:rsid w:val="00517F77"/>
    <w:rsid w:val="005208AE"/>
    <w:rsid w:val="00520D6A"/>
    <w:rsid w:val="005215A0"/>
    <w:rsid w:val="00522504"/>
    <w:rsid w:val="005228A8"/>
    <w:rsid w:val="00522A6F"/>
    <w:rsid w:val="00522DB6"/>
    <w:rsid w:val="00523A70"/>
    <w:rsid w:val="00523D7B"/>
    <w:rsid w:val="00524240"/>
    <w:rsid w:val="005242A0"/>
    <w:rsid w:val="00524441"/>
    <w:rsid w:val="0052485E"/>
    <w:rsid w:val="005249FA"/>
    <w:rsid w:val="00524ABC"/>
    <w:rsid w:val="005257E1"/>
    <w:rsid w:val="00525927"/>
    <w:rsid w:val="005259FD"/>
    <w:rsid w:val="0052604B"/>
    <w:rsid w:val="005260B4"/>
    <w:rsid w:val="005260EF"/>
    <w:rsid w:val="005264A7"/>
    <w:rsid w:val="0052719B"/>
    <w:rsid w:val="005278F1"/>
    <w:rsid w:val="0052792D"/>
    <w:rsid w:val="00527E0D"/>
    <w:rsid w:val="00530C6A"/>
    <w:rsid w:val="00531232"/>
    <w:rsid w:val="005319B2"/>
    <w:rsid w:val="00531BA2"/>
    <w:rsid w:val="00532402"/>
    <w:rsid w:val="00532516"/>
    <w:rsid w:val="0053269E"/>
    <w:rsid w:val="00532747"/>
    <w:rsid w:val="00532C74"/>
    <w:rsid w:val="00533119"/>
    <w:rsid w:val="0053319E"/>
    <w:rsid w:val="00533232"/>
    <w:rsid w:val="00533239"/>
    <w:rsid w:val="00533964"/>
    <w:rsid w:val="00534E2E"/>
    <w:rsid w:val="00535133"/>
    <w:rsid w:val="005352D6"/>
    <w:rsid w:val="005353EB"/>
    <w:rsid w:val="0053541F"/>
    <w:rsid w:val="005359AC"/>
    <w:rsid w:val="00535BE5"/>
    <w:rsid w:val="0053605F"/>
    <w:rsid w:val="005368BA"/>
    <w:rsid w:val="005368DA"/>
    <w:rsid w:val="00536C18"/>
    <w:rsid w:val="00536D4A"/>
    <w:rsid w:val="00537B39"/>
    <w:rsid w:val="005400B1"/>
    <w:rsid w:val="005401F4"/>
    <w:rsid w:val="005402D4"/>
    <w:rsid w:val="0054064C"/>
    <w:rsid w:val="0054072D"/>
    <w:rsid w:val="00540AC2"/>
    <w:rsid w:val="00541598"/>
    <w:rsid w:val="005415EB"/>
    <w:rsid w:val="00541702"/>
    <w:rsid w:val="005417E9"/>
    <w:rsid w:val="00541B2E"/>
    <w:rsid w:val="005421E9"/>
    <w:rsid w:val="00542405"/>
    <w:rsid w:val="00542BBA"/>
    <w:rsid w:val="00543AD7"/>
    <w:rsid w:val="00543E03"/>
    <w:rsid w:val="00544552"/>
    <w:rsid w:val="005445EB"/>
    <w:rsid w:val="0054467A"/>
    <w:rsid w:val="00545130"/>
    <w:rsid w:val="00545870"/>
    <w:rsid w:val="00545871"/>
    <w:rsid w:val="0054667A"/>
    <w:rsid w:val="00546B36"/>
    <w:rsid w:val="00547357"/>
    <w:rsid w:val="0054775C"/>
    <w:rsid w:val="00550D10"/>
    <w:rsid w:val="00551092"/>
    <w:rsid w:val="0055125C"/>
    <w:rsid w:val="0055179B"/>
    <w:rsid w:val="00552233"/>
    <w:rsid w:val="00552475"/>
    <w:rsid w:val="0055286A"/>
    <w:rsid w:val="00553345"/>
    <w:rsid w:val="00555745"/>
    <w:rsid w:val="0055682E"/>
    <w:rsid w:val="00556E71"/>
    <w:rsid w:val="00557924"/>
    <w:rsid w:val="00557D4F"/>
    <w:rsid w:val="00560287"/>
    <w:rsid w:val="00560340"/>
    <w:rsid w:val="00560C7B"/>
    <w:rsid w:val="00561215"/>
    <w:rsid w:val="0056122E"/>
    <w:rsid w:val="0056134C"/>
    <w:rsid w:val="005615D4"/>
    <w:rsid w:val="00562C20"/>
    <w:rsid w:val="00562E10"/>
    <w:rsid w:val="00563352"/>
    <w:rsid w:val="00563989"/>
    <w:rsid w:val="00563EC7"/>
    <w:rsid w:val="0056484E"/>
    <w:rsid w:val="00564C58"/>
    <w:rsid w:val="00564DFE"/>
    <w:rsid w:val="00564F9B"/>
    <w:rsid w:val="0056537B"/>
    <w:rsid w:val="00565999"/>
    <w:rsid w:val="00565CD8"/>
    <w:rsid w:val="0056668C"/>
    <w:rsid w:val="00566930"/>
    <w:rsid w:val="005678CC"/>
    <w:rsid w:val="00567D61"/>
    <w:rsid w:val="00567D8A"/>
    <w:rsid w:val="00570231"/>
    <w:rsid w:val="00570A84"/>
    <w:rsid w:val="00570B13"/>
    <w:rsid w:val="005714B7"/>
    <w:rsid w:val="00571CBD"/>
    <w:rsid w:val="00571D5F"/>
    <w:rsid w:val="00571DF2"/>
    <w:rsid w:val="005726D9"/>
    <w:rsid w:val="00572B2F"/>
    <w:rsid w:val="005733D5"/>
    <w:rsid w:val="005738EB"/>
    <w:rsid w:val="005741E5"/>
    <w:rsid w:val="00574A64"/>
    <w:rsid w:val="005750E9"/>
    <w:rsid w:val="00575628"/>
    <w:rsid w:val="005757E7"/>
    <w:rsid w:val="00575C04"/>
    <w:rsid w:val="00575F08"/>
    <w:rsid w:val="005764CD"/>
    <w:rsid w:val="0057698A"/>
    <w:rsid w:val="0057703E"/>
    <w:rsid w:val="00577C4D"/>
    <w:rsid w:val="00577D9D"/>
    <w:rsid w:val="00580532"/>
    <w:rsid w:val="005807AA"/>
    <w:rsid w:val="005807F9"/>
    <w:rsid w:val="00580B3B"/>
    <w:rsid w:val="00580DB8"/>
    <w:rsid w:val="0058148E"/>
    <w:rsid w:val="00581932"/>
    <w:rsid w:val="00581B33"/>
    <w:rsid w:val="00581BB1"/>
    <w:rsid w:val="00581F2A"/>
    <w:rsid w:val="00581FAD"/>
    <w:rsid w:val="00582468"/>
    <w:rsid w:val="00582E6D"/>
    <w:rsid w:val="00583002"/>
    <w:rsid w:val="00583535"/>
    <w:rsid w:val="0058357A"/>
    <w:rsid w:val="0058373E"/>
    <w:rsid w:val="005838D0"/>
    <w:rsid w:val="00583F4F"/>
    <w:rsid w:val="00583FDE"/>
    <w:rsid w:val="005844A7"/>
    <w:rsid w:val="00584BA3"/>
    <w:rsid w:val="0058503C"/>
    <w:rsid w:val="005851FD"/>
    <w:rsid w:val="005856E2"/>
    <w:rsid w:val="005860EC"/>
    <w:rsid w:val="00586B35"/>
    <w:rsid w:val="00586BE8"/>
    <w:rsid w:val="00586C98"/>
    <w:rsid w:val="00586E8E"/>
    <w:rsid w:val="005874C1"/>
    <w:rsid w:val="005877F4"/>
    <w:rsid w:val="005877FD"/>
    <w:rsid w:val="00587836"/>
    <w:rsid w:val="00587DA0"/>
    <w:rsid w:val="005903BB"/>
    <w:rsid w:val="00590530"/>
    <w:rsid w:val="00590B5E"/>
    <w:rsid w:val="0059211E"/>
    <w:rsid w:val="00592721"/>
    <w:rsid w:val="00592807"/>
    <w:rsid w:val="0059285A"/>
    <w:rsid w:val="00593893"/>
    <w:rsid w:val="00593B14"/>
    <w:rsid w:val="0059431C"/>
    <w:rsid w:val="005943B8"/>
    <w:rsid w:val="00594612"/>
    <w:rsid w:val="005952F7"/>
    <w:rsid w:val="005953D8"/>
    <w:rsid w:val="005960D5"/>
    <w:rsid w:val="005962E5"/>
    <w:rsid w:val="005963BB"/>
    <w:rsid w:val="0059645C"/>
    <w:rsid w:val="005965AD"/>
    <w:rsid w:val="0059679D"/>
    <w:rsid w:val="00596A19"/>
    <w:rsid w:val="00596BFE"/>
    <w:rsid w:val="00596C04"/>
    <w:rsid w:val="00596D37"/>
    <w:rsid w:val="005971D0"/>
    <w:rsid w:val="00597319"/>
    <w:rsid w:val="005974F7"/>
    <w:rsid w:val="005976D4"/>
    <w:rsid w:val="005976E8"/>
    <w:rsid w:val="005977AD"/>
    <w:rsid w:val="005A0371"/>
    <w:rsid w:val="005A0649"/>
    <w:rsid w:val="005A081B"/>
    <w:rsid w:val="005A0A13"/>
    <w:rsid w:val="005A0C16"/>
    <w:rsid w:val="005A0D60"/>
    <w:rsid w:val="005A0EF3"/>
    <w:rsid w:val="005A15B4"/>
    <w:rsid w:val="005A15D2"/>
    <w:rsid w:val="005A1C13"/>
    <w:rsid w:val="005A3173"/>
    <w:rsid w:val="005A3223"/>
    <w:rsid w:val="005A3275"/>
    <w:rsid w:val="005A3DA3"/>
    <w:rsid w:val="005A50DE"/>
    <w:rsid w:val="005A52C4"/>
    <w:rsid w:val="005A5751"/>
    <w:rsid w:val="005A5E58"/>
    <w:rsid w:val="005A60CA"/>
    <w:rsid w:val="005A6271"/>
    <w:rsid w:val="005A63A1"/>
    <w:rsid w:val="005A6A38"/>
    <w:rsid w:val="005A6E94"/>
    <w:rsid w:val="005A71DB"/>
    <w:rsid w:val="005A73A0"/>
    <w:rsid w:val="005A7F0A"/>
    <w:rsid w:val="005B0380"/>
    <w:rsid w:val="005B0486"/>
    <w:rsid w:val="005B04B6"/>
    <w:rsid w:val="005B0A64"/>
    <w:rsid w:val="005B0DBE"/>
    <w:rsid w:val="005B1032"/>
    <w:rsid w:val="005B1473"/>
    <w:rsid w:val="005B1B4F"/>
    <w:rsid w:val="005B2057"/>
    <w:rsid w:val="005B20B7"/>
    <w:rsid w:val="005B20BA"/>
    <w:rsid w:val="005B2178"/>
    <w:rsid w:val="005B23E2"/>
    <w:rsid w:val="005B252D"/>
    <w:rsid w:val="005B36FA"/>
    <w:rsid w:val="005B3770"/>
    <w:rsid w:val="005B403F"/>
    <w:rsid w:val="005B4BF4"/>
    <w:rsid w:val="005B4C1B"/>
    <w:rsid w:val="005B4D30"/>
    <w:rsid w:val="005B55F8"/>
    <w:rsid w:val="005B58CF"/>
    <w:rsid w:val="005B5916"/>
    <w:rsid w:val="005B5AC4"/>
    <w:rsid w:val="005B67E4"/>
    <w:rsid w:val="005B6ED5"/>
    <w:rsid w:val="005B723D"/>
    <w:rsid w:val="005B7CA1"/>
    <w:rsid w:val="005B7D30"/>
    <w:rsid w:val="005B7DAB"/>
    <w:rsid w:val="005C07C1"/>
    <w:rsid w:val="005C189F"/>
    <w:rsid w:val="005C1903"/>
    <w:rsid w:val="005C1D85"/>
    <w:rsid w:val="005C204A"/>
    <w:rsid w:val="005C24DF"/>
    <w:rsid w:val="005C2527"/>
    <w:rsid w:val="005C287C"/>
    <w:rsid w:val="005C39EC"/>
    <w:rsid w:val="005C4205"/>
    <w:rsid w:val="005C4229"/>
    <w:rsid w:val="005C4294"/>
    <w:rsid w:val="005C457B"/>
    <w:rsid w:val="005C4685"/>
    <w:rsid w:val="005C4F73"/>
    <w:rsid w:val="005C53E3"/>
    <w:rsid w:val="005C6042"/>
    <w:rsid w:val="005C6666"/>
    <w:rsid w:val="005C68C4"/>
    <w:rsid w:val="005C725B"/>
    <w:rsid w:val="005C737D"/>
    <w:rsid w:val="005C7E4A"/>
    <w:rsid w:val="005D03AB"/>
    <w:rsid w:val="005D0ACA"/>
    <w:rsid w:val="005D0E6B"/>
    <w:rsid w:val="005D152D"/>
    <w:rsid w:val="005D18D4"/>
    <w:rsid w:val="005D1907"/>
    <w:rsid w:val="005D222B"/>
    <w:rsid w:val="005D2330"/>
    <w:rsid w:val="005D34A7"/>
    <w:rsid w:val="005D401D"/>
    <w:rsid w:val="005D40B6"/>
    <w:rsid w:val="005D4A08"/>
    <w:rsid w:val="005D4E95"/>
    <w:rsid w:val="005D5017"/>
    <w:rsid w:val="005D5708"/>
    <w:rsid w:val="005D5857"/>
    <w:rsid w:val="005D592B"/>
    <w:rsid w:val="005D5C92"/>
    <w:rsid w:val="005D61DB"/>
    <w:rsid w:val="005D63FA"/>
    <w:rsid w:val="005D643D"/>
    <w:rsid w:val="005D666C"/>
    <w:rsid w:val="005D6A2D"/>
    <w:rsid w:val="005D70CD"/>
    <w:rsid w:val="005D73C7"/>
    <w:rsid w:val="005D7997"/>
    <w:rsid w:val="005D7EA9"/>
    <w:rsid w:val="005D7EF5"/>
    <w:rsid w:val="005E0050"/>
    <w:rsid w:val="005E0245"/>
    <w:rsid w:val="005E0387"/>
    <w:rsid w:val="005E0C2D"/>
    <w:rsid w:val="005E0D82"/>
    <w:rsid w:val="005E0F59"/>
    <w:rsid w:val="005E1117"/>
    <w:rsid w:val="005E125E"/>
    <w:rsid w:val="005E1333"/>
    <w:rsid w:val="005E17BC"/>
    <w:rsid w:val="005E1DA2"/>
    <w:rsid w:val="005E1DEC"/>
    <w:rsid w:val="005E1EEA"/>
    <w:rsid w:val="005E1F31"/>
    <w:rsid w:val="005E23CE"/>
    <w:rsid w:val="005E3136"/>
    <w:rsid w:val="005E3152"/>
    <w:rsid w:val="005E33E9"/>
    <w:rsid w:val="005E34B3"/>
    <w:rsid w:val="005E36BC"/>
    <w:rsid w:val="005E3CDA"/>
    <w:rsid w:val="005E3E6F"/>
    <w:rsid w:val="005E3E81"/>
    <w:rsid w:val="005E4018"/>
    <w:rsid w:val="005E4870"/>
    <w:rsid w:val="005E507D"/>
    <w:rsid w:val="005E5E0F"/>
    <w:rsid w:val="005E69B1"/>
    <w:rsid w:val="005E6B8B"/>
    <w:rsid w:val="005E6F1D"/>
    <w:rsid w:val="005E6FAF"/>
    <w:rsid w:val="005E7FF2"/>
    <w:rsid w:val="005F03FB"/>
    <w:rsid w:val="005F0AD0"/>
    <w:rsid w:val="005F0C3F"/>
    <w:rsid w:val="005F1118"/>
    <w:rsid w:val="005F141E"/>
    <w:rsid w:val="005F150D"/>
    <w:rsid w:val="005F16F8"/>
    <w:rsid w:val="005F2088"/>
    <w:rsid w:val="005F2338"/>
    <w:rsid w:val="005F25A4"/>
    <w:rsid w:val="005F2837"/>
    <w:rsid w:val="005F357E"/>
    <w:rsid w:val="005F3BC8"/>
    <w:rsid w:val="005F3CB4"/>
    <w:rsid w:val="005F3DDA"/>
    <w:rsid w:val="005F419E"/>
    <w:rsid w:val="005F4288"/>
    <w:rsid w:val="005F42DC"/>
    <w:rsid w:val="005F44CF"/>
    <w:rsid w:val="005F4B91"/>
    <w:rsid w:val="005F4BEC"/>
    <w:rsid w:val="005F4E0F"/>
    <w:rsid w:val="005F502C"/>
    <w:rsid w:val="005F52CC"/>
    <w:rsid w:val="005F5745"/>
    <w:rsid w:val="005F5A73"/>
    <w:rsid w:val="005F5C99"/>
    <w:rsid w:val="005F5DE6"/>
    <w:rsid w:val="005F62CA"/>
    <w:rsid w:val="005F675A"/>
    <w:rsid w:val="005F7240"/>
    <w:rsid w:val="005F7387"/>
    <w:rsid w:val="005F7B43"/>
    <w:rsid w:val="00600142"/>
    <w:rsid w:val="00600A18"/>
    <w:rsid w:val="006010F4"/>
    <w:rsid w:val="00601363"/>
    <w:rsid w:val="00601504"/>
    <w:rsid w:val="00601A91"/>
    <w:rsid w:val="00601B21"/>
    <w:rsid w:val="00602063"/>
    <w:rsid w:val="00602429"/>
    <w:rsid w:val="00602B32"/>
    <w:rsid w:val="00602BA3"/>
    <w:rsid w:val="00602C01"/>
    <w:rsid w:val="00602F40"/>
    <w:rsid w:val="006030A5"/>
    <w:rsid w:val="00603682"/>
    <w:rsid w:val="006039DC"/>
    <w:rsid w:val="00603D0C"/>
    <w:rsid w:val="0060401F"/>
    <w:rsid w:val="0060503A"/>
    <w:rsid w:val="00605330"/>
    <w:rsid w:val="006056CD"/>
    <w:rsid w:val="00605883"/>
    <w:rsid w:val="00605B63"/>
    <w:rsid w:val="00605D78"/>
    <w:rsid w:val="00605DD5"/>
    <w:rsid w:val="00605F9A"/>
    <w:rsid w:val="00606442"/>
    <w:rsid w:val="006064B1"/>
    <w:rsid w:val="00606666"/>
    <w:rsid w:val="00606A7B"/>
    <w:rsid w:val="00606EED"/>
    <w:rsid w:val="00607D4E"/>
    <w:rsid w:val="00607DDB"/>
    <w:rsid w:val="00610AC2"/>
    <w:rsid w:val="00610BDE"/>
    <w:rsid w:val="00611440"/>
    <w:rsid w:val="00611A53"/>
    <w:rsid w:val="00612640"/>
    <w:rsid w:val="00612A95"/>
    <w:rsid w:val="00612E34"/>
    <w:rsid w:val="00614159"/>
    <w:rsid w:val="00614738"/>
    <w:rsid w:val="00615792"/>
    <w:rsid w:val="006158A3"/>
    <w:rsid w:val="00615976"/>
    <w:rsid w:val="00615A27"/>
    <w:rsid w:val="00616C5F"/>
    <w:rsid w:val="00616DAC"/>
    <w:rsid w:val="0061721C"/>
    <w:rsid w:val="00617725"/>
    <w:rsid w:val="00617C00"/>
    <w:rsid w:val="006209D0"/>
    <w:rsid w:val="00620C63"/>
    <w:rsid w:val="006215A4"/>
    <w:rsid w:val="00621986"/>
    <w:rsid w:val="00621DFB"/>
    <w:rsid w:val="00621F0C"/>
    <w:rsid w:val="00622ADC"/>
    <w:rsid w:val="0062316F"/>
    <w:rsid w:val="006233A2"/>
    <w:rsid w:val="006239E6"/>
    <w:rsid w:val="00623BE0"/>
    <w:rsid w:val="00624574"/>
    <w:rsid w:val="00624F6E"/>
    <w:rsid w:val="006256B9"/>
    <w:rsid w:val="00625889"/>
    <w:rsid w:val="00625ECE"/>
    <w:rsid w:val="00625EE7"/>
    <w:rsid w:val="006260E8"/>
    <w:rsid w:val="006263BF"/>
    <w:rsid w:val="00626A58"/>
    <w:rsid w:val="006271B3"/>
    <w:rsid w:val="006271C1"/>
    <w:rsid w:val="0062732E"/>
    <w:rsid w:val="0062748A"/>
    <w:rsid w:val="0063028F"/>
    <w:rsid w:val="0063047B"/>
    <w:rsid w:val="00630546"/>
    <w:rsid w:val="0063071D"/>
    <w:rsid w:val="00630A2C"/>
    <w:rsid w:val="00630EC1"/>
    <w:rsid w:val="006317D8"/>
    <w:rsid w:val="006318A2"/>
    <w:rsid w:val="00632026"/>
    <w:rsid w:val="00632180"/>
    <w:rsid w:val="00632DC3"/>
    <w:rsid w:val="00632E71"/>
    <w:rsid w:val="00632FE6"/>
    <w:rsid w:val="00633056"/>
    <w:rsid w:val="00633DF2"/>
    <w:rsid w:val="00634750"/>
    <w:rsid w:val="00634A75"/>
    <w:rsid w:val="00634C10"/>
    <w:rsid w:val="00635225"/>
    <w:rsid w:val="006354D5"/>
    <w:rsid w:val="006356E9"/>
    <w:rsid w:val="006363F6"/>
    <w:rsid w:val="0063682E"/>
    <w:rsid w:val="006368CC"/>
    <w:rsid w:val="00636D93"/>
    <w:rsid w:val="00637423"/>
    <w:rsid w:val="0063765D"/>
    <w:rsid w:val="0063775F"/>
    <w:rsid w:val="00637C0E"/>
    <w:rsid w:val="00640088"/>
    <w:rsid w:val="00640D16"/>
    <w:rsid w:val="00641588"/>
    <w:rsid w:val="00642672"/>
    <w:rsid w:val="00642DA8"/>
    <w:rsid w:val="006436CD"/>
    <w:rsid w:val="006437C6"/>
    <w:rsid w:val="00643EC7"/>
    <w:rsid w:val="00644849"/>
    <w:rsid w:val="00645719"/>
    <w:rsid w:val="00646346"/>
    <w:rsid w:val="006468F3"/>
    <w:rsid w:val="0064694A"/>
    <w:rsid w:val="00647233"/>
    <w:rsid w:val="00647BE8"/>
    <w:rsid w:val="00650036"/>
    <w:rsid w:val="0065068F"/>
    <w:rsid w:val="006507B9"/>
    <w:rsid w:val="00650976"/>
    <w:rsid w:val="00650D8D"/>
    <w:rsid w:val="00651169"/>
    <w:rsid w:val="00651234"/>
    <w:rsid w:val="00651301"/>
    <w:rsid w:val="00651370"/>
    <w:rsid w:val="00651927"/>
    <w:rsid w:val="00651ACE"/>
    <w:rsid w:val="00651DE2"/>
    <w:rsid w:val="0065300C"/>
    <w:rsid w:val="00653342"/>
    <w:rsid w:val="00653633"/>
    <w:rsid w:val="00653D69"/>
    <w:rsid w:val="00653ECA"/>
    <w:rsid w:val="00653F3F"/>
    <w:rsid w:val="00654096"/>
    <w:rsid w:val="0065458E"/>
    <w:rsid w:val="00654C5D"/>
    <w:rsid w:val="00654FD7"/>
    <w:rsid w:val="00655039"/>
    <w:rsid w:val="006552E6"/>
    <w:rsid w:val="00655794"/>
    <w:rsid w:val="00656F2F"/>
    <w:rsid w:val="00656FD3"/>
    <w:rsid w:val="0065719F"/>
    <w:rsid w:val="00657C63"/>
    <w:rsid w:val="0066091D"/>
    <w:rsid w:val="00660E7A"/>
    <w:rsid w:val="00661162"/>
    <w:rsid w:val="00661B63"/>
    <w:rsid w:val="00661CBC"/>
    <w:rsid w:val="00661E09"/>
    <w:rsid w:val="0066235B"/>
    <w:rsid w:val="00662733"/>
    <w:rsid w:val="00662B85"/>
    <w:rsid w:val="00663705"/>
    <w:rsid w:val="00663EDC"/>
    <w:rsid w:val="00663EE9"/>
    <w:rsid w:val="00664299"/>
    <w:rsid w:val="00664616"/>
    <w:rsid w:val="00664987"/>
    <w:rsid w:val="00664F85"/>
    <w:rsid w:val="0066528D"/>
    <w:rsid w:val="00665317"/>
    <w:rsid w:val="00665B10"/>
    <w:rsid w:val="0066612F"/>
    <w:rsid w:val="00666360"/>
    <w:rsid w:val="006670B3"/>
    <w:rsid w:val="006670BE"/>
    <w:rsid w:val="00667CF4"/>
    <w:rsid w:val="00670009"/>
    <w:rsid w:val="00670308"/>
    <w:rsid w:val="00670656"/>
    <w:rsid w:val="00670A76"/>
    <w:rsid w:val="00670ADE"/>
    <w:rsid w:val="00670D95"/>
    <w:rsid w:val="006711AA"/>
    <w:rsid w:val="006711E9"/>
    <w:rsid w:val="00671A18"/>
    <w:rsid w:val="00671C9E"/>
    <w:rsid w:val="00671D06"/>
    <w:rsid w:val="006722DF"/>
    <w:rsid w:val="006724FE"/>
    <w:rsid w:val="00672B57"/>
    <w:rsid w:val="00673BB0"/>
    <w:rsid w:val="00673D68"/>
    <w:rsid w:val="00673EE6"/>
    <w:rsid w:val="00673F1F"/>
    <w:rsid w:val="00675163"/>
    <w:rsid w:val="0067517B"/>
    <w:rsid w:val="0067543A"/>
    <w:rsid w:val="00675511"/>
    <w:rsid w:val="00675622"/>
    <w:rsid w:val="006756F9"/>
    <w:rsid w:val="00675DEB"/>
    <w:rsid w:val="00675DF8"/>
    <w:rsid w:val="00675F24"/>
    <w:rsid w:val="00676861"/>
    <w:rsid w:val="0067747D"/>
    <w:rsid w:val="006778BC"/>
    <w:rsid w:val="0068021D"/>
    <w:rsid w:val="00681339"/>
    <w:rsid w:val="006818D5"/>
    <w:rsid w:val="00681CA4"/>
    <w:rsid w:val="00681D73"/>
    <w:rsid w:val="006820EA"/>
    <w:rsid w:val="00682957"/>
    <w:rsid w:val="00683330"/>
    <w:rsid w:val="006835E1"/>
    <w:rsid w:val="00684ED4"/>
    <w:rsid w:val="00684F3B"/>
    <w:rsid w:val="00684F94"/>
    <w:rsid w:val="0068523C"/>
    <w:rsid w:val="00685DE9"/>
    <w:rsid w:val="00686559"/>
    <w:rsid w:val="00686865"/>
    <w:rsid w:val="0068729D"/>
    <w:rsid w:val="006878DF"/>
    <w:rsid w:val="00687934"/>
    <w:rsid w:val="0069025C"/>
    <w:rsid w:val="00690286"/>
    <w:rsid w:val="0069039D"/>
    <w:rsid w:val="006906DB"/>
    <w:rsid w:val="00690A43"/>
    <w:rsid w:val="0069141D"/>
    <w:rsid w:val="006915CD"/>
    <w:rsid w:val="00691900"/>
    <w:rsid w:val="00691A2C"/>
    <w:rsid w:val="00691DD4"/>
    <w:rsid w:val="00691E6C"/>
    <w:rsid w:val="00691FD0"/>
    <w:rsid w:val="006933D3"/>
    <w:rsid w:val="00693425"/>
    <w:rsid w:val="0069342D"/>
    <w:rsid w:val="006934E9"/>
    <w:rsid w:val="00693DFB"/>
    <w:rsid w:val="006944BA"/>
    <w:rsid w:val="00694507"/>
    <w:rsid w:val="00694537"/>
    <w:rsid w:val="00694B67"/>
    <w:rsid w:val="00694FD5"/>
    <w:rsid w:val="0069501D"/>
    <w:rsid w:val="006952A3"/>
    <w:rsid w:val="0069544B"/>
    <w:rsid w:val="00695482"/>
    <w:rsid w:val="00695802"/>
    <w:rsid w:val="00695B09"/>
    <w:rsid w:val="00696129"/>
    <w:rsid w:val="006963F9"/>
    <w:rsid w:val="006968EA"/>
    <w:rsid w:val="006968F8"/>
    <w:rsid w:val="00697027"/>
    <w:rsid w:val="00697028"/>
    <w:rsid w:val="006971B0"/>
    <w:rsid w:val="00697BDF"/>
    <w:rsid w:val="00697CF2"/>
    <w:rsid w:val="00697D4D"/>
    <w:rsid w:val="006A094A"/>
    <w:rsid w:val="006A0E0E"/>
    <w:rsid w:val="006A1058"/>
    <w:rsid w:val="006A12A5"/>
    <w:rsid w:val="006A14C3"/>
    <w:rsid w:val="006A18C7"/>
    <w:rsid w:val="006A2515"/>
    <w:rsid w:val="006A25E9"/>
    <w:rsid w:val="006A2AF3"/>
    <w:rsid w:val="006A3BAC"/>
    <w:rsid w:val="006A40B5"/>
    <w:rsid w:val="006A4A50"/>
    <w:rsid w:val="006A4F4A"/>
    <w:rsid w:val="006A572D"/>
    <w:rsid w:val="006A5A95"/>
    <w:rsid w:val="006A5C6B"/>
    <w:rsid w:val="006A5E20"/>
    <w:rsid w:val="006A5F1D"/>
    <w:rsid w:val="006A5F49"/>
    <w:rsid w:val="006A6481"/>
    <w:rsid w:val="006A6FDF"/>
    <w:rsid w:val="006A7115"/>
    <w:rsid w:val="006A7603"/>
    <w:rsid w:val="006B0372"/>
    <w:rsid w:val="006B08E4"/>
    <w:rsid w:val="006B0D59"/>
    <w:rsid w:val="006B0D94"/>
    <w:rsid w:val="006B0F85"/>
    <w:rsid w:val="006B101A"/>
    <w:rsid w:val="006B1511"/>
    <w:rsid w:val="006B16B6"/>
    <w:rsid w:val="006B2216"/>
    <w:rsid w:val="006B28D8"/>
    <w:rsid w:val="006B2AC8"/>
    <w:rsid w:val="006B36D1"/>
    <w:rsid w:val="006B41AB"/>
    <w:rsid w:val="006B424B"/>
    <w:rsid w:val="006B485D"/>
    <w:rsid w:val="006B4C0B"/>
    <w:rsid w:val="006B5144"/>
    <w:rsid w:val="006B5B14"/>
    <w:rsid w:val="006B6C94"/>
    <w:rsid w:val="006B6E86"/>
    <w:rsid w:val="006B78EB"/>
    <w:rsid w:val="006B7AB9"/>
    <w:rsid w:val="006B7BC6"/>
    <w:rsid w:val="006B7DDA"/>
    <w:rsid w:val="006C04B5"/>
    <w:rsid w:val="006C08C9"/>
    <w:rsid w:val="006C0C45"/>
    <w:rsid w:val="006C0D6D"/>
    <w:rsid w:val="006C10DB"/>
    <w:rsid w:val="006C11E0"/>
    <w:rsid w:val="006C126A"/>
    <w:rsid w:val="006C199A"/>
    <w:rsid w:val="006C1D25"/>
    <w:rsid w:val="006C2806"/>
    <w:rsid w:val="006C2F27"/>
    <w:rsid w:val="006C334C"/>
    <w:rsid w:val="006C3421"/>
    <w:rsid w:val="006C3533"/>
    <w:rsid w:val="006C38CC"/>
    <w:rsid w:val="006C39C4"/>
    <w:rsid w:val="006C4432"/>
    <w:rsid w:val="006C5502"/>
    <w:rsid w:val="006C5ACB"/>
    <w:rsid w:val="006C5F65"/>
    <w:rsid w:val="006C5F92"/>
    <w:rsid w:val="006C613C"/>
    <w:rsid w:val="006C6209"/>
    <w:rsid w:val="006C6379"/>
    <w:rsid w:val="006C6750"/>
    <w:rsid w:val="006C6C10"/>
    <w:rsid w:val="006C6EFA"/>
    <w:rsid w:val="006C708E"/>
    <w:rsid w:val="006C7173"/>
    <w:rsid w:val="006C72FF"/>
    <w:rsid w:val="006C73DE"/>
    <w:rsid w:val="006D0668"/>
    <w:rsid w:val="006D0E34"/>
    <w:rsid w:val="006D14E7"/>
    <w:rsid w:val="006D1815"/>
    <w:rsid w:val="006D1BDC"/>
    <w:rsid w:val="006D1C17"/>
    <w:rsid w:val="006D1E2F"/>
    <w:rsid w:val="006D22E2"/>
    <w:rsid w:val="006D2684"/>
    <w:rsid w:val="006D39F5"/>
    <w:rsid w:val="006D3E16"/>
    <w:rsid w:val="006D401B"/>
    <w:rsid w:val="006D4444"/>
    <w:rsid w:val="006D4B7B"/>
    <w:rsid w:val="006D5067"/>
    <w:rsid w:val="006D50CC"/>
    <w:rsid w:val="006D5503"/>
    <w:rsid w:val="006D5700"/>
    <w:rsid w:val="006D59D2"/>
    <w:rsid w:val="006D6493"/>
    <w:rsid w:val="006D6D63"/>
    <w:rsid w:val="006D6EC7"/>
    <w:rsid w:val="006D6FEF"/>
    <w:rsid w:val="006D70D8"/>
    <w:rsid w:val="006D773B"/>
    <w:rsid w:val="006D7B05"/>
    <w:rsid w:val="006D7E45"/>
    <w:rsid w:val="006E01F0"/>
    <w:rsid w:val="006E066A"/>
    <w:rsid w:val="006E067A"/>
    <w:rsid w:val="006E082B"/>
    <w:rsid w:val="006E0867"/>
    <w:rsid w:val="006E0BE2"/>
    <w:rsid w:val="006E0E65"/>
    <w:rsid w:val="006E1032"/>
    <w:rsid w:val="006E1143"/>
    <w:rsid w:val="006E1160"/>
    <w:rsid w:val="006E11B8"/>
    <w:rsid w:val="006E1688"/>
    <w:rsid w:val="006E1B99"/>
    <w:rsid w:val="006E1BCD"/>
    <w:rsid w:val="006E2732"/>
    <w:rsid w:val="006E27BB"/>
    <w:rsid w:val="006E2CE0"/>
    <w:rsid w:val="006E2E42"/>
    <w:rsid w:val="006E3D93"/>
    <w:rsid w:val="006E4D84"/>
    <w:rsid w:val="006E59CD"/>
    <w:rsid w:val="006E5BC6"/>
    <w:rsid w:val="006E5C6C"/>
    <w:rsid w:val="006E5F2D"/>
    <w:rsid w:val="006E60AF"/>
    <w:rsid w:val="006E62D4"/>
    <w:rsid w:val="006E65D0"/>
    <w:rsid w:val="006E687F"/>
    <w:rsid w:val="006E73DC"/>
    <w:rsid w:val="006E77B4"/>
    <w:rsid w:val="006F00ED"/>
    <w:rsid w:val="006F0148"/>
    <w:rsid w:val="006F026F"/>
    <w:rsid w:val="006F0778"/>
    <w:rsid w:val="006F0A71"/>
    <w:rsid w:val="006F13A4"/>
    <w:rsid w:val="006F1C6B"/>
    <w:rsid w:val="006F1D4D"/>
    <w:rsid w:val="006F2ECE"/>
    <w:rsid w:val="006F39E4"/>
    <w:rsid w:val="006F3BD6"/>
    <w:rsid w:val="006F404E"/>
    <w:rsid w:val="006F40C2"/>
    <w:rsid w:val="006F41D8"/>
    <w:rsid w:val="006F4EBC"/>
    <w:rsid w:val="006F5125"/>
    <w:rsid w:val="006F52EA"/>
    <w:rsid w:val="006F531B"/>
    <w:rsid w:val="006F5FAE"/>
    <w:rsid w:val="006F606B"/>
    <w:rsid w:val="006F6D41"/>
    <w:rsid w:val="006F6F5E"/>
    <w:rsid w:val="006F733D"/>
    <w:rsid w:val="006F75C3"/>
    <w:rsid w:val="006F7610"/>
    <w:rsid w:val="006F7617"/>
    <w:rsid w:val="006F7E9B"/>
    <w:rsid w:val="0070035F"/>
    <w:rsid w:val="00700765"/>
    <w:rsid w:val="007007DC"/>
    <w:rsid w:val="00701139"/>
    <w:rsid w:val="00701A79"/>
    <w:rsid w:val="007020DF"/>
    <w:rsid w:val="00702105"/>
    <w:rsid w:val="00702959"/>
    <w:rsid w:val="00702B6F"/>
    <w:rsid w:val="00702E24"/>
    <w:rsid w:val="007030B4"/>
    <w:rsid w:val="00703340"/>
    <w:rsid w:val="007035E8"/>
    <w:rsid w:val="00703B86"/>
    <w:rsid w:val="00704069"/>
    <w:rsid w:val="00704B3C"/>
    <w:rsid w:val="00704D58"/>
    <w:rsid w:val="00704D7B"/>
    <w:rsid w:val="007054CE"/>
    <w:rsid w:val="00705A19"/>
    <w:rsid w:val="00705B14"/>
    <w:rsid w:val="00706531"/>
    <w:rsid w:val="00706992"/>
    <w:rsid w:val="00706A2F"/>
    <w:rsid w:val="00706FA2"/>
    <w:rsid w:val="0070718E"/>
    <w:rsid w:val="00707A3F"/>
    <w:rsid w:val="00707E52"/>
    <w:rsid w:val="00707EB9"/>
    <w:rsid w:val="007100C7"/>
    <w:rsid w:val="00710259"/>
    <w:rsid w:val="0071031F"/>
    <w:rsid w:val="00710737"/>
    <w:rsid w:val="0071100D"/>
    <w:rsid w:val="00711676"/>
    <w:rsid w:val="007117F8"/>
    <w:rsid w:val="00712356"/>
    <w:rsid w:val="007124A6"/>
    <w:rsid w:val="00712625"/>
    <w:rsid w:val="00712A3B"/>
    <w:rsid w:val="0071340B"/>
    <w:rsid w:val="007139AB"/>
    <w:rsid w:val="00713C50"/>
    <w:rsid w:val="00713FD0"/>
    <w:rsid w:val="0071436D"/>
    <w:rsid w:val="0071476F"/>
    <w:rsid w:val="007149AC"/>
    <w:rsid w:val="0071508D"/>
    <w:rsid w:val="007151E7"/>
    <w:rsid w:val="00715BBB"/>
    <w:rsid w:val="00715F86"/>
    <w:rsid w:val="00716310"/>
    <w:rsid w:val="00716523"/>
    <w:rsid w:val="007169DA"/>
    <w:rsid w:val="007174BB"/>
    <w:rsid w:val="00717BED"/>
    <w:rsid w:val="0072025D"/>
    <w:rsid w:val="00720463"/>
    <w:rsid w:val="00720A48"/>
    <w:rsid w:val="00721051"/>
    <w:rsid w:val="00721140"/>
    <w:rsid w:val="007211B6"/>
    <w:rsid w:val="00721541"/>
    <w:rsid w:val="007215BB"/>
    <w:rsid w:val="0072168D"/>
    <w:rsid w:val="00721EFF"/>
    <w:rsid w:val="00722702"/>
    <w:rsid w:val="007230FA"/>
    <w:rsid w:val="00723153"/>
    <w:rsid w:val="00723328"/>
    <w:rsid w:val="007237DE"/>
    <w:rsid w:val="00723CB8"/>
    <w:rsid w:val="00723E96"/>
    <w:rsid w:val="00724087"/>
    <w:rsid w:val="0072502E"/>
    <w:rsid w:val="007253BD"/>
    <w:rsid w:val="00725DF9"/>
    <w:rsid w:val="00726DC9"/>
    <w:rsid w:val="00726E20"/>
    <w:rsid w:val="00726FA7"/>
    <w:rsid w:val="00727432"/>
    <w:rsid w:val="00727443"/>
    <w:rsid w:val="00727F4E"/>
    <w:rsid w:val="00730226"/>
    <w:rsid w:val="00730588"/>
    <w:rsid w:val="007308C0"/>
    <w:rsid w:val="00730AAE"/>
    <w:rsid w:val="0073119F"/>
    <w:rsid w:val="0073137C"/>
    <w:rsid w:val="00731394"/>
    <w:rsid w:val="007314AC"/>
    <w:rsid w:val="007315C6"/>
    <w:rsid w:val="00731C1F"/>
    <w:rsid w:val="00731F0E"/>
    <w:rsid w:val="00732104"/>
    <w:rsid w:val="00732C0E"/>
    <w:rsid w:val="00732DEA"/>
    <w:rsid w:val="007338F3"/>
    <w:rsid w:val="00733BB5"/>
    <w:rsid w:val="00733C19"/>
    <w:rsid w:val="00733D5D"/>
    <w:rsid w:val="007340B9"/>
    <w:rsid w:val="0073472D"/>
    <w:rsid w:val="00734845"/>
    <w:rsid w:val="00734B43"/>
    <w:rsid w:val="00734C3B"/>
    <w:rsid w:val="00734E5E"/>
    <w:rsid w:val="00734F32"/>
    <w:rsid w:val="007353D3"/>
    <w:rsid w:val="007360AA"/>
    <w:rsid w:val="00736975"/>
    <w:rsid w:val="00736CC4"/>
    <w:rsid w:val="0073736F"/>
    <w:rsid w:val="00737476"/>
    <w:rsid w:val="00737503"/>
    <w:rsid w:val="00737798"/>
    <w:rsid w:val="00737C1A"/>
    <w:rsid w:val="00737D0D"/>
    <w:rsid w:val="00740FD6"/>
    <w:rsid w:val="0074156B"/>
    <w:rsid w:val="00741619"/>
    <w:rsid w:val="00741C33"/>
    <w:rsid w:val="0074205A"/>
    <w:rsid w:val="00742885"/>
    <w:rsid w:val="00744070"/>
    <w:rsid w:val="007446AA"/>
    <w:rsid w:val="00744CBC"/>
    <w:rsid w:val="00744E85"/>
    <w:rsid w:val="0074526A"/>
    <w:rsid w:val="00745291"/>
    <w:rsid w:val="007461C4"/>
    <w:rsid w:val="00746BD4"/>
    <w:rsid w:val="00747092"/>
    <w:rsid w:val="007477FF"/>
    <w:rsid w:val="00747C33"/>
    <w:rsid w:val="007501A8"/>
    <w:rsid w:val="00751249"/>
    <w:rsid w:val="007526E6"/>
    <w:rsid w:val="00752E2B"/>
    <w:rsid w:val="00753133"/>
    <w:rsid w:val="00753DC2"/>
    <w:rsid w:val="00754268"/>
    <w:rsid w:val="00754758"/>
    <w:rsid w:val="00754C18"/>
    <w:rsid w:val="00754DF9"/>
    <w:rsid w:val="007555E8"/>
    <w:rsid w:val="007556F2"/>
    <w:rsid w:val="007557E0"/>
    <w:rsid w:val="0075585B"/>
    <w:rsid w:val="00755B90"/>
    <w:rsid w:val="00755CC5"/>
    <w:rsid w:val="007578D1"/>
    <w:rsid w:val="00757A92"/>
    <w:rsid w:val="0076001E"/>
    <w:rsid w:val="00760090"/>
    <w:rsid w:val="007608CE"/>
    <w:rsid w:val="00760FA6"/>
    <w:rsid w:val="00761806"/>
    <w:rsid w:val="007618BB"/>
    <w:rsid w:val="00762862"/>
    <w:rsid w:val="00763297"/>
    <w:rsid w:val="007637A5"/>
    <w:rsid w:val="007641E9"/>
    <w:rsid w:val="0076420C"/>
    <w:rsid w:val="00764428"/>
    <w:rsid w:val="00764AEB"/>
    <w:rsid w:val="00765ECC"/>
    <w:rsid w:val="00765EF1"/>
    <w:rsid w:val="0076602A"/>
    <w:rsid w:val="007663B0"/>
    <w:rsid w:val="00766CF6"/>
    <w:rsid w:val="00766E98"/>
    <w:rsid w:val="0076707B"/>
    <w:rsid w:val="00770014"/>
    <w:rsid w:val="007701A7"/>
    <w:rsid w:val="0077035C"/>
    <w:rsid w:val="00770864"/>
    <w:rsid w:val="0077169C"/>
    <w:rsid w:val="00771D07"/>
    <w:rsid w:val="0077246C"/>
    <w:rsid w:val="007724A9"/>
    <w:rsid w:val="00772649"/>
    <w:rsid w:val="00772AAA"/>
    <w:rsid w:val="00772F1A"/>
    <w:rsid w:val="00772F5D"/>
    <w:rsid w:val="00773114"/>
    <w:rsid w:val="00773B68"/>
    <w:rsid w:val="00773BE3"/>
    <w:rsid w:val="007743DD"/>
    <w:rsid w:val="007747C8"/>
    <w:rsid w:val="00774873"/>
    <w:rsid w:val="00774DF6"/>
    <w:rsid w:val="00774E2C"/>
    <w:rsid w:val="0077503C"/>
    <w:rsid w:val="007750A8"/>
    <w:rsid w:val="0077518D"/>
    <w:rsid w:val="007753C2"/>
    <w:rsid w:val="00775441"/>
    <w:rsid w:val="007755CA"/>
    <w:rsid w:val="0077569F"/>
    <w:rsid w:val="007759C5"/>
    <w:rsid w:val="00775C2E"/>
    <w:rsid w:val="00776068"/>
    <w:rsid w:val="00776754"/>
    <w:rsid w:val="00776790"/>
    <w:rsid w:val="00776BF6"/>
    <w:rsid w:val="00776DF7"/>
    <w:rsid w:val="00780290"/>
    <w:rsid w:val="00781456"/>
    <w:rsid w:val="007815EB"/>
    <w:rsid w:val="0078209A"/>
    <w:rsid w:val="007820A2"/>
    <w:rsid w:val="007821C4"/>
    <w:rsid w:val="0078224F"/>
    <w:rsid w:val="00782446"/>
    <w:rsid w:val="00782C0F"/>
    <w:rsid w:val="0078345A"/>
    <w:rsid w:val="00783709"/>
    <w:rsid w:val="007838B8"/>
    <w:rsid w:val="00783B11"/>
    <w:rsid w:val="007841D8"/>
    <w:rsid w:val="007846D9"/>
    <w:rsid w:val="00784705"/>
    <w:rsid w:val="00784B35"/>
    <w:rsid w:val="00784B6E"/>
    <w:rsid w:val="00784DD3"/>
    <w:rsid w:val="00785779"/>
    <w:rsid w:val="007865D8"/>
    <w:rsid w:val="00786E09"/>
    <w:rsid w:val="00787C45"/>
    <w:rsid w:val="00787FD8"/>
    <w:rsid w:val="0079017D"/>
    <w:rsid w:val="007901E9"/>
    <w:rsid w:val="007908C1"/>
    <w:rsid w:val="0079155F"/>
    <w:rsid w:val="007915BA"/>
    <w:rsid w:val="007917D5"/>
    <w:rsid w:val="00791844"/>
    <w:rsid w:val="007918B3"/>
    <w:rsid w:val="007919A7"/>
    <w:rsid w:val="0079205D"/>
    <w:rsid w:val="0079250E"/>
    <w:rsid w:val="00792523"/>
    <w:rsid w:val="00792E4A"/>
    <w:rsid w:val="00793CE9"/>
    <w:rsid w:val="007940C2"/>
    <w:rsid w:val="00794A8E"/>
    <w:rsid w:val="00794D92"/>
    <w:rsid w:val="00794FB2"/>
    <w:rsid w:val="0079511A"/>
    <w:rsid w:val="00796172"/>
    <w:rsid w:val="00796667"/>
    <w:rsid w:val="00797068"/>
    <w:rsid w:val="007979BD"/>
    <w:rsid w:val="00797FFD"/>
    <w:rsid w:val="007A0617"/>
    <w:rsid w:val="007A07CD"/>
    <w:rsid w:val="007A1E10"/>
    <w:rsid w:val="007A2CA6"/>
    <w:rsid w:val="007A307B"/>
    <w:rsid w:val="007A3267"/>
    <w:rsid w:val="007A3D8E"/>
    <w:rsid w:val="007A3E9B"/>
    <w:rsid w:val="007A490A"/>
    <w:rsid w:val="007A52C0"/>
    <w:rsid w:val="007A5ADA"/>
    <w:rsid w:val="007A5B3D"/>
    <w:rsid w:val="007A5C88"/>
    <w:rsid w:val="007A6115"/>
    <w:rsid w:val="007A6A2F"/>
    <w:rsid w:val="007A77FD"/>
    <w:rsid w:val="007B024E"/>
    <w:rsid w:val="007B0EE3"/>
    <w:rsid w:val="007B1028"/>
    <w:rsid w:val="007B11B4"/>
    <w:rsid w:val="007B139B"/>
    <w:rsid w:val="007B1CC8"/>
    <w:rsid w:val="007B291A"/>
    <w:rsid w:val="007B2ADC"/>
    <w:rsid w:val="007B2F2C"/>
    <w:rsid w:val="007B3546"/>
    <w:rsid w:val="007B36F3"/>
    <w:rsid w:val="007B3808"/>
    <w:rsid w:val="007B395C"/>
    <w:rsid w:val="007B3BAF"/>
    <w:rsid w:val="007B3DDC"/>
    <w:rsid w:val="007B47B4"/>
    <w:rsid w:val="007B511F"/>
    <w:rsid w:val="007B5AA5"/>
    <w:rsid w:val="007B5AE3"/>
    <w:rsid w:val="007B6333"/>
    <w:rsid w:val="007B6ACC"/>
    <w:rsid w:val="007B6AFC"/>
    <w:rsid w:val="007B70D9"/>
    <w:rsid w:val="007B72A6"/>
    <w:rsid w:val="007B72D6"/>
    <w:rsid w:val="007B7367"/>
    <w:rsid w:val="007B7550"/>
    <w:rsid w:val="007B7EB1"/>
    <w:rsid w:val="007B7F59"/>
    <w:rsid w:val="007C0249"/>
    <w:rsid w:val="007C04A1"/>
    <w:rsid w:val="007C061E"/>
    <w:rsid w:val="007C06D2"/>
    <w:rsid w:val="007C08E0"/>
    <w:rsid w:val="007C0F57"/>
    <w:rsid w:val="007C1103"/>
    <w:rsid w:val="007C1C28"/>
    <w:rsid w:val="007C1CA9"/>
    <w:rsid w:val="007C2672"/>
    <w:rsid w:val="007C2A46"/>
    <w:rsid w:val="007C2E06"/>
    <w:rsid w:val="007C2F4B"/>
    <w:rsid w:val="007C350E"/>
    <w:rsid w:val="007C4065"/>
    <w:rsid w:val="007C40B6"/>
    <w:rsid w:val="007C48B8"/>
    <w:rsid w:val="007C4CDF"/>
    <w:rsid w:val="007C50F4"/>
    <w:rsid w:val="007C5975"/>
    <w:rsid w:val="007C6444"/>
    <w:rsid w:val="007C6525"/>
    <w:rsid w:val="007C6601"/>
    <w:rsid w:val="007C677B"/>
    <w:rsid w:val="007C6AD5"/>
    <w:rsid w:val="007C6B27"/>
    <w:rsid w:val="007C6E9F"/>
    <w:rsid w:val="007C729F"/>
    <w:rsid w:val="007C72AD"/>
    <w:rsid w:val="007C77C9"/>
    <w:rsid w:val="007C7845"/>
    <w:rsid w:val="007C7933"/>
    <w:rsid w:val="007C7A56"/>
    <w:rsid w:val="007C7E20"/>
    <w:rsid w:val="007D055B"/>
    <w:rsid w:val="007D08FA"/>
    <w:rsid w:val="007D11C2"/>
    <w:rsid w:val="007D1323"/>
    <w:rsid w:val="007D1A6F"/>
    <w:rsid w:val="007D1BD5"/>
    <w:rsid w:val="007D1F09"/>
    <w:rsid w:val="007D25C9"/>
    <w:rsid w:val="007D2CF5"/>
    <w:rsid w:val="007D32FC"/>
    <w:rsid w:val="007D36C1"/>
    <w:rsid w:val="007D3A76"/>
    <w:rsid w:val="007D424E"/>
    <w:rsid w:val="007D4693"/>
    <w:rsid w:val="007D503D"/>
    <w:rsid w:val="007D59E7"/>
    <w:rsid w:val="007D5F2A"/>
    <w:rsid w:val="007D608B"/>
    <w:rsid w:val="007D620D"/>
    <w:rsid w:val="007D6A56"/>
    <w:rsid w:val="007D6C7E"/>
    <w:rsid w:val="007D70EF"/>
    <w:rsid w:val="007D7E9D"/>
    <w:rsid w:val="007D7FEC"/>
    <w:rsid w:val="007E013F"/>
    <w:rsid w:val="007E02D1"/>
    <w:rsid w:val="007E0493"/>
    <w:rsid w:val="007E05B2"/>
    <w:rsid w:val="007E07AC"/>
    <w:rsid w:val="007E1014"/>
    <w:rsid w:val="007E12F8"/>
    <w:rsid w:val="007E14EB"/>
    <w:rsid w:val="007E1673"/>
    <w:rsid w:val="007E16F0"/>
    <w:rsid w:val="007E1D28"/>
    <w:rsid w:val="007E2012"/>
    <w:rsid w:val="007E2C77"/>
    <w:rsid w:val="007E3181"/>
    <w:rsid w:val="007E39E5"/>
    <w:rsid w:val="007E40AD"/>
    <w:rsid w:val="007E4564"/>
    <w:rsid w:val="007E48B0"/>
    <w:rsid w:val="007E490F"/>
    <w:rsid w:val="007E4ACF"/>
    <w:rsid w:val="007E4E33"/>
    <w:rsid w:val="007E5973"/>
    <w:rsid w:val="007E59F0"/>
    <w:rsid w:val="007E5BAB"/>
    <w:rsid w:val="007E6533"/>
    <w:rsid w:val="007E6898"/>
    <w:rsid w:val="007E73CC"/>
    <w:rsid w:val="007E75A9"/>
    <w:rsid w:val="007E7C8B"/>
    <w:rsid w:val="007E7DE9"/>
    <w:rsid w:val="007E7EC2"/>
    <w:rsid w:val="007F0021"/>
    <w:rsid w:val="007F04D4"/>
    <w:rsid w:val="007F1007"/>
    <w:rsid w:val="007F1CA7"/>
    <w:rsid w:val="007F2641"/>
    <w:rsid w:val="007F26B3"/>
    <w:rsid w:val="007F28C1"/>
    <w:rsid w:val="007F2AC9"/>
    <w:rsid w:val="007F30DF"/>
    <w:rsid w:val="007F37B7"/>
    <w:rsid w:val="007F385C"/>
    <w:rsid w:val="007F44F4"/>
    <w:rsid w:val="007F450B"/>
    <w:rsid w:val="007F4556"/>
    <w:rsid w:val="007F5920"/>
    <w:rsid w:val="007F5BC8"/>
    <w:rsid w:val="007F7C36"/>
    <w:rsid w:val="007F7F45"/>
    <w:rsid w:val="0080001F"/>
    <w:rsid w:val="008010AB"/>
    <w:rsid w:val="00801958"/>
    <w:rsid w:val="008026E9"/>
    <w:rsid w:val="00802D9C"/>
    <w:rsid w:val="00802E84"/>
    <w:rsid w:val="00804042"/>
    <w:rsid w:val="00804539"/>
    <w:rsid w:val="00804644"/>
    <w:rsid w:val="008055AF"/>
    <w:rsid w:val="008057CD"/>
    <w:rsid w:val="00805837"/>
    <w:rsid w:val="00805FB4"/>
    <w:rsid w:val="00805FC2"/>
    <w:rsid w:val="00806160"/>
    <w:rsid w:val="008066B8"/>
    <w:rsid w:val="00806796"/>
    <w:rsid w:val="0080706D"/>
    <w:rsid w:val="00807190"/>
    <w:rsid w:val="00810167"/>
    <w:rsid w:val="008104D0"/>
    <w:rsid w:val="008107B5"/>
    <w:rsid w:val="008109DE"/>
    <w:rsid w:val="00810A12"/>
    <w:rsid w:val="00810E9B"/>
    <w:rsid w:val="0081102F"/>
    <w:rsid w:val="00811CC0"/>
    <w:rsid w:val="0081202A"/>
    <w:rsid w:val="0081218E"/>
    <w:rsid w:val="00812AF2"/>
    <w:rsid w:val="00812F4E"/>
    <w:rsid w:val="00813271"/>
    <w:rsid w:val="00813E2C"/>
    <w:rsid w:val="0081404F"/>
    <w:rsid w:val="00814276"/>
    <w:rsid w:val="008151D6"/>
    <w:rsid w:val="0081535B"/>
    <w:rsid w:val="00815F03"/>
    <w:rsid w:val="00815F67"/>
    <w:rsid w:val="00816322"/>
    <w:rsid w:val="008166C9"/>
    <w:rsid w:val="00816A4E"/>
    <w:rsid w:val="00816B30"/>
    <w:rsid w:val="00816BC8"/>
    <w:rsid w:val="00817CEB"/>
    <w:rsid w:val="0082062A"/>
    <w:rsid w:val="00820803"/>
    <w:rsid w:val="0082080D"/>
    <w:rsid w:val="008208F3"/>
    <w:rsid w:val="00821527"/>
    <w:rsid w:val="008217EA"/>
    <w:rsid w:val="00821DC1"/>
    <w:rsid w:val="00822162"/>
    <w:rsid w:val="008225CE"/>
    <w:rsid w:val="00822696"/>
    <w:rsid w:val="00823BA8"/>
    <w:rsid w:val="00823D5A"/>
    <w:rsid w:val="008247AB"/>
    <w:rsid w:val="0082508C"/>
    <w:rsid w:val="008254C7"/>
    <w:rsid w:val="00825A6C"/>
    <w:rsid w:val="00825D9E"/>
    <w:rsid w:val="00825EF8"/>
    <w:rsid w:val="0082617E"/>
    <w:rsid w:val="008268BB"/>
    <w:rsid w:val="00826901"/>
    <w:rsid w:val="00826B59"/>
    <w:rsid w:val="00826F6D"/>
    <w:rsid w:val="00827097"/>
    <w:rsid w:val="00827E59"/>
    <w:rsid w:val="008301D4"/>
    <w:rsid w:val="008306F3"/>
    <w:rsid w:val="008307CB"/>
    <w:rsid w:val="008308D6"/>
    <w:rsid w:val="00830A2D"/>
    <w:rsid w:val="00830E40"/>
    <w:rsid w:val="00831511"/>
    <w:rsid w:val="0083156B"/>
    <w:rsid w:val="00831946"/>
    <w:rsid w:val="00831B88"/>
    <w:rsid w:val="008324BC"/>
    <w:rsid w:val="0083263C"/>
    <w:rsid w:val="008326DD"/>
    <w:rsid w:val="008327EC"/>
    <w:rsid w:val="00832D9A"/>
    <w:rsid w:val="00833112"/>
    <w:rsid w:val="00833F6E"/>
    <w:rsid w:val="00834541"/>
    <w:rsid w:val="00834853"/>
    <w:rsid w:val="00834863"/>
    <w:rsid w:val="00834B47"/>
    <w:rsid w:val="00834CE6"/>
    <w:rsid w:val="008351F0"/>
    <w:rsid w:val="00835C62"/>
    <w:rsid w:val="00835C9F"/>
    <w:rsid w:val="008363EC"/>
    <w:rsid w:val="008368A1"/>
    <w:rsid w:val="00836B19"/>
    <w:rsid w:val="00836EB5"/>
    <w:rsid w:val="0083704B"/>
    <w:rsid w:val="00837193"/>
    <w:rsid w:val="00837B7F"/>
    <w:rsid w:val="00837BE9"/>
    <w:rsid w:val="00837D5E"/>
    <w:rsid w:val="00840150"/>
    <w:rsid w:val="00840EF7"/>
    <w:rsid w:val="00840FA8"/>
    <w:rsid w:val="008413C2"/>
    <w:rsid w:val="008429ED"/>
    <w:rsid w:val="00843403"/>
    <w:rsid w:val="00843844"/>
    <w:rsid w:val="00844C0A"/>
    <w:rsid w:val="00844FD0"/>
    <w:rsid w:val="00845746"/>
    <w:rsid w:val="00845A6C"/>
    <w:rsid w:val="00846056"/>
    <w:rsid w:val="0084617B"/>
    <w:rsid w:val="00846730"/>
    <w:rsid w:val="0084681F"/>
    <w:rsid w:val="00846DB4"/>
    <w:rsid w:val="00847D08"/>
    <w:rsid w:val="00847EC0"/>
    <w:rsid w:val="00847F62"/>
    <w:rsid w:val="00850106"/>
    <w:rsid w:val="00850199"/>
    <w:rsid w:val="0085037E"/>
    <w:rsid w:val="008509E6"/>
    <w:rsid w:val="008513C2"/>
    <w:rsid w:val="00851650"/>
    <w:rsid w:val="008516B3"/>
    <w:rsid w:val="00851C90"/>
    <w:rsid w:val="008521D1"/>
    <w:rsid w:val="00852DFC"/>
    <w:rsid w:val="00853267"/>
    <w:rsid w:val="008532C4"/>
    <w:rsid w:val="0085339A"/>
    <w:rsid w:val="0085383E"/>
    <w:rsid w:val="00853968"/>
    <w:rsid w:val="008540D2"/>
    <w:rsid w:val="00854506"/>
    <w:rsid w:val="00855673"/>
    <w:rsid w:val="008557EA"/>
    <w:rsid w:val="00855D06"/>
    <w:rsid w:val="00855D87"/>
    <w:rsid w:val="00855EC4"/>
    <w:rsid w:val="00855FD6"/>
    <w:rsid w:val="00856C12"/>
    <w:rsid w:val="00856DDD"/>
    <w:rsid w:val="00856E55"/>
    <w:rsid w:val="00856F4C"/>
    <w:rsid w:val="0085736C"/>
    <w:rsid w:val="008579CC"/>
    <w:rsid w:val="00857AA5"/>
    <w:rsid w:val="00857EA2"/>
    <w:rsid w:val="00860233"/>
    <w:rsid w:val="00860763"/>
    <w:rsid w:val="00860DE1"/>
    <w:rsid w:val="00861BEE"/>
    <w:rsid w:val="00862967"/>
    <w:rsid w:val="00862B17"/>
    <w:rsid w:val="00862EC4"/>
    <w:rsid w:val="008631B2"/>
    <w:rsid w:val="00863E68"/>
    <w:rsid w:val="0086443E"/>
    <w:rsid w:val="008647B5"/>
    <w:rsid w:val="0086489D"/>
    <w:rsid w:val="00864A11"/>
    <w:rsid w:val="00864A14"/>
    <w:rsid w:val="008654D3"/>
    <w:rsid w:val="0086553D"/>
    <w:rsid w:val="008656B2"/>
    <w:rsid w:val="00865998"/>
    <w:rsid w:val="00865E92"/>
    <w:rsid w:val="008663DD"/>
    <w:rsid w:val="008668EC"/>
    <w:rsid w:val="008669AC"/>
    <w:rsid w:val="00866E3F"/>
    <w:rsid w:val="00866E92"/>
    <w:rsid w:val="00866FEE"/>
    <w:rsid w:val="00867017"/>
    <w:rsid w:val="008670B7"/>
    <w:rsid w:val="00867233"/>
    <w:rsid w:val="00867692"/>
    <w:rsid w:val="0086772D"/>
    <w:rsid w:val="00867B11"/>
    <w:rsid w:val="00867D5D"/>
    <w:rsid w:val="00867D64"/>
    <w:rsid w:val="00867D85"/>
    <w:rsid w:val="00867ED2"/>
    <w:rsid w:val="00867FDF"/>
    <w:rsid w:val="008701B0"/>
    <w:rsid w:val="00870226"/>
    <w:rsid w:val="008707AD"/>
    <w:rsid w:val="00870C35"/>
    <w:rsid w:val="00870D5F"/>
    <w:rsid w:val="00871323"/>
    <w:rsid w:val="00871328"/>
    <w:rsid w:val="00871767"/>
    <w:rsid w:val="00872272"/>
    <w:rsid w:val="008724D4"/>
    <w:rsid w:val="00872520"/>
    <w:rsid w:val="008727AE"/>
    <w:rsid w:val="00872E8F"/>
    <w:rsid w:val="008734A2"/>
    <w:rsid w:val="00873AB1"/>
    <w:rsid w:val="00873CE5"/>
    <w:rsid w:val="008749B1"/>
    <w:rsid w:val="00875AAA"/>
    <w:rsid w:val="00875CF3"/>
    <w:rsid w:val="00875DA3"/>
    <w:rsid w:val="00875DCB"/>
    <w:rsid w:val="008762A1"/>
    <w:rsid w:val="00876634"/>
    <w:rsid w:val="00876C1E"/>
    <w:rsid w:val="00876FBF"/>
    <w:rsid w:val="0087714A"/>
    <w:rsid w:val="0087755A"/>
    <w:rsid w:val="008807F3"/>
    <w:rsid w:val="00880D26"/>
    <w:rsid w:val="00880DB5"/>
    <w:rsid w:val="00881C70"/>
    <w:rsid w:val="00881E6F"/>
    <w:rsid w:val="00881EF7"/>
    <w:rsid w:val="00882085"/>
    <w:rsid w:val="00882540"/>
    <w:rsid w:val="00882F7F"/>
    <w:rsid w:val="00883188"/>
    <w:rsid w:val="00883DE1"/>
    <w:rsid w:val="00884A0C"/>
    <w:rsid w:val="00884CB5"/>
    <w:rsid w:val="00884D3B"/>
    <w:rsid w:val="00885263"/>
    <w:rsid w:val="00885995"/>
    <w:rsid w:val="00885C24"/>
    <w:rsid w:val="00885FF7"/>
    <w:rsid w:val="00886ACA"/>
    <w:rsid w:val="00886B01"/>
    <w:rsid w:val="00886B76"/>
    <w:rsid w:val="00886F7D"/>
    <w:rsid w:val="0088796B"/>
    <w:rsid w:val="00887A3C"/>
    <w:rsid w:val="0089031E"/>
    <w:rsid w:val="0089036D"/>
    <w:rsid w:val="00890F9C"/>
    <w:rsid w:val="0089109A"/>
    <w:rsid w:val="008915A4"/>
    <w:rsid w:val="00891718"/>
    <w:rsid w:val="0089187E"/>
    <w:rsid w:val="00891C89"/>
    <w:rsid w:val="00891ECB"/>
    <w:rsid w:val="00892226"/>
    <w:rsid w:val="00892631"/>
    <w:rsid w:val="00892A5D"/>
    <w:rsid w:val="00892EE8"/>
    <w:rsid w:val="00893050"/>
    <w:rsid w:val="008931C9"/>
    <w:rsid w:val="008934BB"/>
    <w:rsid w:val="00893543"/>
    <w:rsid w:val="008938DE"/>
    <w:rsid w:val="00893C54"/>
    <w:rsid w:val="00893CB8"/>
    <w:rsid w:val="00893D5C"/>
    <w:rsid w:val="00894132"/>
    <w:rsid w:val="008941CF"/>
    <w:rsid w:val="008943F8"/>
    <w:rsid w:val="0089460B"/>
    <w:rsid w:val="00894E4E"/>
    <w:rsid w:val="008952DD"/>
    <w:rsid w:val="008954D5"/>
    <w:rsid w:val="0089571A"/>
    <w:rsid w:val="00895A9D"/>
    <w:rsid w:val="00895CBC"/>
    <w:rsid w:val="00896C45"/>
    <w:rsid w:val="00897260"/>
    <w:rsid w:val="00897910"/>
    <w:rsid w:val="00897D58"/>
    <w:rsid w:val="00897F22"/>
    <w:rsid w:val="008A0105"/>
    <w:rsid w:val="008A0B39"/>
    <w:rsid w:val="008A0C81"/>
    <w:rsid w:val="008A1040"/>
    <w:rsid w:val="008A15E5"/>
    <w:rsid w:val="008A17A3"/>
    <w:rsid w:val="008A1956"/>
    <w:rsid w:val="008A1E85"/>
    <w:rsid w:val="008A2102"/>
    <w:rsid w:val="008A2419"/>
    <w:rsid w:val="008A27DF"/>
    <w:rsid w:val="008A42E5"/>
    <w:rsid w:val="008A447E"/>
    <w:rsid w:val="008A453C"/>
    <w:rsid w:val="008A475B"/>
    <w:rsid w:val="008A47F3"/>
    <w:rsid w:val="008A4937"/>
    <w:rsid w:val="008A4E50"/>
    <w:rsid w:val="008A4F5C"/>
    <w:rsid w:val="008A50F1"/>
    <w:rsid w:val="008A59D9"/>
    <w:rsid w:val="008A5DCE"/>
    <w:rsid w:val="008A63E2"/>
    <w:rsid w:val="008A643E"/>
    <w:rsid w:val="008A6819"/>
    <w:rsid w:val="008A6857"/>
    <w:rsid w:val="008A694F"/>
    <w:rsid w:val="008A779F"/>
    <w:rsid w:val="008A7BCE"/>
    <w:rsid w:val="008A7E5D"/>
    <w:rsid w:val="008B007A"/>
    <w:rsid w:val="008B01B2"/>
    <w:rsid w:val="008B0337"/>
    <w:rsid w:val="008B0C61"/>
    <w:rsid w:val="008B136B"/>
    <w:rsid w:val="008B2380"/>
    <w:rsid w:val="008B2421"/>
    <w:rsid w:val="008B2B91"/>
    <w:rsid w:val="008B2E8D"/>
    <w:rsid w:val="008B2EC0"/>
    <w:rsid w:val="008B45B7"/>
    <w:rsid w:val="008B530F"/>
    <w:rsid w:val="008B5885"/>
    <w:rsid w:val="008B65F2"/>
    <w:rsid w:val="008B6874"/>
    <w:rsid w:val="008B69BC"/>
    <w:rsid w:val="008B6CEB"/>
    <w:rsid w:val="008B6DCF"/>
    <w:rsid w:val="008B7284"/>
    <w:rsid w:val="008B73AC"/>
    <w:rsid w:val="008B7464"/>
    <w:rsid w:val="008B7BCD"/>
    <w:rsid w:val="008B7BD5"/>
    <w:rsid w:val="008B7E5C"/>
    <w:rsid w:val="008C0715"/>
    <w:rsid w:val="008C0B6A"/>
    <w:rsid w:val="008C0BB5"/>
    <w:rsid w:val="008C14FA"/>
    <w:rsid w:val="008C152D"/>
    <w:rsid w:val="008C190F"/>
    <w:rsid w:val="008C19C8"/>
    <w:rsid w:val="008C19DB"/>
    <w:rsid w:val="008C1F28"/>
    <w:rsid w:val="008C2F1F"/>
    <w:rsid w:val="008C479D"/>
    <w:rsid w:val="008C4D49"/>
    <w:rsid w:val="008C5253"/>
    <w:rsid w:val="008C58D2"/>
    <w:rsid w:val="008C65AB"/>
    <w:rsid w:val="008C665A"/>
    <w:rsid w:val="008C78A1"/>
    <w:rsid w:val="008C7E64"/>
    <w:rsid w:val="008D0531"/>
    <w:rsid w:val="008D0815"/>
    <w:rsid w:val="008D0945"/>
    <w:rsid w:val="008D0E15"/>
    <w:rsid w:val="008D1409"/>
    <w:rsid w:val="008D15CC"/>
    <w:rsid w:val="008D16E6"/>
    <w:rsid w:val="008D1729"/>
    <w:rsid w:val="008D18BA"/>
    <w:rsid w:val="008D1B5C"/>
    <w:rsid w:val="008D2105"/>
    <w:rsid w:val="008D23F2"/>
    <w:rsid w:val="008D27EF"/>
    <w:rsid w:val="008D2D1B"/>
    <w:rsid w:val="008D3C82"/>
    <w:rsid w:val="008D447E"/>
    <w:rsid w:val="008D4D1D"/>
    <w:rsid w:val="008D5463"/>
    <w:rsid w:val="008D55B7"/>
    <w:rsid w:val="008D5B14"/>
    <w:rsid w:val="008D6ACF"/>
    <w:rsid w:val="008D7631"/>
    <w:rsid w:val="008D778C"/>
    <w:rsid w:val="008D78BD"/>
    <w:rsid w:val="008D7A41"/>
    <w:rsid w:val="008D7F4A"/>
    <w:rsid w:val="008E0052"/>
    <w:rsid w:val="008E039B"/>
    <w:rsid w:val="008E048B"/>
    <w:rsid w:val="008E06A1"/>
    <w:rsid w:val="008E0706"/>
    <w:rsid w:val="008E08F8"/>
    <w:rsid w:val="008E1933"/>
    <w:rsid w:val="008E1FE0"/>
    <w:rsid w:val="008E224E"/>
    <w:rsid w:val="008E2297"/>
    <w:rsid w:val="008E251C"/>
    <w:rsid w:val="008E2C72"/>
    <w:rsid w:val="008E3680"/>
    <w:rsid w:val="008E3EF1"/>
    <w:rsid w:val="008E40A7"/>
    <w:rsid w:val="008E4BD3"/>
    <w:rsid w:val="008E4F87"/>
    <w:rsid w:val="008E513A"/>
    <w:rsid w:val="008E53BF"/>
    <w:rsid w:val="008E5870"/>
    <w:rsid w:val="008E5956"/>
    <w:rsid w:val="008E5C77"/>
    <w:rsid w:val="008E5C95"/>
    <w:rsid w:val="008E66F4"/>
    <w:rsid w:val="008E6A9E"/>
    <w:rsid w:val="008E6EBC"/>
    <w:rsid w:val="008E77E4"/>
    <w:rsid w:val="008E7D27"/>
    <w:rsid w:val="008F0213"/>
    <w:rsid w:val="008F0519"/>
    <w:rsid w:val="008F07ED"/>
    <w:rsid w:val="008F0C66"/>
    <w:rsid w:val="008F0E7A"/>
    <w:rsid w:val="008F11F8"/>
    <w:rsid w:val="008F1434"/>
    <w:rsid w:val="008F14D0"/>
    <w:rsid w:val="008F22FC"/>
    <w:rsid w:val="008F23F7"/>
    <w:rsid w:val="008F2BB9"/>
    <w:rsid w:val="008F3130"/>
    <w:rsid w:val="008F31D6"/>
    <w:rsid w:val="008F3229"/>
    <w:rsid w:val="008F3D6A"/>
    <w:rsid w:val="008F3E2B"/>
    <w:rsid w:val="008F3F30"/>
    <w:rsid w:val="008F3FC3"/>
    <w:rsid w:val="008F54C3"/>
    <w:rsid w:val="008F5B5D"/>
    <w:rsid w:val="008F5E06"/>
    <w:rsid w:val="008F5FF1"/>
    <w:rsid w:val="008F63A4"/>
    <w:rsid w:val="008F7355"/>
    <w:rsid w:val="008F73AD"/>
    <w:rsid w:val="008F7426"/>
    <w:rsid w:val="009003DA"/>
    <w:rsid w:val="00901165"/>
    <w:rsid w:val="00901560"/>
    <w:rsid w:val="009023DC"/>
    <w:rsid w:val="009025EC"/>
    <w:rsid w:val="009027C5"/>
    <w:rsid w:val="0090319F"/>
    <w:rsid w:val="00903CC1"/>
    <w:rsid w:val="009041D6"/>
    <w:rsid w:val="00904290"/>
    <w:rsid w:val="009042F4"/>
    <w:rsid w:val="00904413"/>
    <w:rsid w:val="0090458D"/>
    <w:rsid w:val="0090555E"/>
    <w:rsid w:val="009065D4"/>
    <w:rsid w:val="009067B7"/>
    <w:rsid w:val="0090692E"/>
    <w:rsid w:val="009069F4"/>
    <w:rsid w:val="00906CBB"/>
    <w:rsid w:val="00906E7A"/>
    <w:rsid w:val="00906E7F"/>
    <w:rsid w:val="0090775A"/>
    <w:rsid w:val="0090797C"/>
    <w:rsid w:val="00907A7C"/>
    <w:rsid w:val="00907DFD"/>
    <w:rsid w:val="00910895"/>
    <w:rsid w:val="00910B1C"/>
    <w:rsid w:val="00910D99"/>
    <w:rsid w:val="00910DCE"/>
    <w:rsid w:val="00911636"/>
    <w:rsid w:val="00911AB6"/>
    <w:rsid w:val="009137A4"/>
    <w:rsid w:val="00913AED"/>
    <w:rsid w:val="00913C99"/>
    <w:rsid w:val="0091413B"/>
    <w:rsid w:val="0091423B"/>
    <w:rsid w:val="0091446F"/>
    <w:rsid w:val="009144EE"/>
    <w:rsid w:val="00914D3C"/>
    <w:rsid w:val="009153E3"/>
    <w:rsid w:val="009154BA"/>
    <w:rsid w:val="009167EF"/>
    <w:rsid w:val="009174BC"/>
    <w:rsid w:val="00917540"/>
    <w:rsid w:val="00917896"/>
    <w:rsid w:val="00917A4F"/>
    <w:rsid w:val="00917D69"/>
    <w:rsid w:val="00920320"/>
    <w:rsid w:val="00920661"/>
    <w:rsid w:val="00920A13"/>
    <w:rsid w:val="00920B6D"/>
    <w:rsid w:val="00922777"/>
    <w:rsid w:val="00922E65"/>
    <w:rsid w:val="00922F9B"/>
    <w:rsid w:val="00923393"/>
    <w:rsid w:val="009238A9"/>
    <w:rsid w:val="009241CB"/>
    <w:rsid w:val="009246B7"/>
    <w:rsid w:val="009246E8"/>
    <w:rsid w:val="00924CD7"/>
    <w:rsid w:val="0092509C"/>
    <w:rsid w:val="0092587D"/>
    <w:rsid w:val="00925D73"/>
    <w:rsid w:val="0092643E"/>
    <w:rsid w:val="00926560"/>
    <w:rsid w:val="00926B15"/>
    <w:rsid w:val="0092707B"/>
    <w:rsid w:val="009273F5"/>
    <w:rsid w:val="00927BC1"/>
    <w:rsid w:val="00927D27"/>
    <w:rsid w:val="00927D3F"/>
    <w:rsid w:val="00930291"/>
    <w:rsid w:val="009306CF"/>
    <w:rsid w:val="00930937"/>
    <w:rsid w:val="00930CA8"/>
    <w:rsid w:val="0093186A"/>
    <w:rsid w:val="00931AFC"/>
    <w:rsid w:val="00931BB0"/>
    <w:rsid w:val="00931C25"/>
    <w:rsid w:val="009324A6"/>
    <w:rsid w:val="0093253C"/>
    <w:rsid w:val="009325FD"/>
    <w:rsid w:val="00932790"/>
    <w:rsid w:val="009328A8"/>
    <w:rsid w:val="00932E3F"/>
    <w:rsid w:val="00933215"/>
    <w:rsid w:val="009337B3"/>
    <w:rsid w:val="00933B7D"/>
    <w:rsid w:val="00933E6C"/>
    <w:rsid w:val="00934273"/>
    <w:rsid w:val="00934369"/>
    <w:rsid w:val="0093442D"/>
    <w:rsid w:val="0093493B"/>
    <w:rsid w:val="00934CFC"/>
    <w:rsid w:val="00935A6E"/>
    <w:rsid w:val="00935BEE"/>
    <w:rsid w:val="00936DC4"/>
    <w:rsid w:val="00937604"/>
    <w:rsid w:val="00937958"/>
    <w:rsid w:val="00937F1D"/>
    <w:rsid w:val="0094010F"/>
    <w:rsid w:val="009402B8"/>
    <w:rsid w:val="00940318"/>
    <w:rsid w:val="00940460"/>
    <w:rsid w:val="00940529"/>
    <w:rsid w:val="009406E5"/>
    <w:rsid w:val="00940707"/>
    <w:rsid w:val="00940B2A"/>
    <w:rsid w:val="00940C8A"/>
    <w:rsid w:val="00940CDB"/>
    <w:rsid w:val="00940ED5"/>
    <w:rsid w:val="009411F1"/>
    <w:rsid w:val="00941602"/>
    <w:rsid w:val="00941776"/>
    <w:rsid w:val="00942160"/>
    <w:rsid w:val="009432E2"/>
    <w:rsid w:val="0094388A"/>
    <w:rsid w:val="00943C7B"/>
    <w:rsid w:val="00943F4E"/>
    <w:rsid w:val="009442F5"/>
    <w:rsid w:val="00944724"/>
    <w:rsid w:val="009448AE"/>
    <w:rsid w:val="009457AE"/>
    <w:rsid w:val="009457EA"/>
    <w:rsid w:val="00945BD2"/>
    <w:rsid w:val="00945FB9"/>
    <w:rsid w:val="00946628"/>
    <w:rsid w:val="00946921"/>
    <w:rsid w:val="00947343"/>
    <w:rsid w:val="00947B2F"/>
    <w:rsid w:val="00950406"/>
    <w:rsid w:val="0095044D"/>
    <w:rsid w:val="00950A60"/>
    <w:rsid w:val="00950E7A"/>
    <w:rsid w:val="0095146F"/>
    <w:rsid w:val="0095148A"/>
    <w:rsid w:val="009515F0"/>
    <w:rsid w:val="00951873"/>
    <w:rsid w:val="00951911"/>
    <w:rsid w:val="00951AA7"/>
    <w:rsid w:val="00951F2D"/>
    <w:rsid w:val="00952839"/>
    <w:rsid w:val="00952AD2"/>
    <w:rsid w:val="00952C76"/>
    <w:rsid w:val="00952FDF"/>
    <w:rsid w:val="0095344C"/>
    <w:rsid w:val="009534C7"/>
    <w:rsid w:val="0095356C"/>
    <w:rsid w:val="0095357A"/>
    <w:rsid w:val="00954053"/>
    <w:rsid w:val="00954ABA"/>
    <w:rsid w:val="00955C97"/>
    <w:rsid w:val="0095671D"/>
    <w:rsid w:val="00956FD6"/>
    <w:rsid w:val="00957944"/>
    <w:rsid w:val="00957ADD"/>
    <w:rsid w:val="00957CC5"/>
    <w:rsid w:val="009602C5"/>
    <w:rsid w:val="0096103A"/>
    <w:rsid w:val="00961080"/>
    <w:rsid w:val="0096146A"/>
    <w:rsid w:val="00962223"/>
    <w:rsid w:val="0096252B"/>
    <w:rsid w:val="00962ACD"/>
    <w:rsid w:val="00962B24"/>
    <w:rsid w:val="0096357D"/>
    <w:rsid w:val="00963686"/>
    <w:rsid w:val="009640E5"/>
    <w:rsid w:val="009644D9"/>
    <w:rsid w:val="00964A9F"/>
    <w:rsid w:val="00964C6C"/>
    <w:rsid w:val="00964CE8"/>
    <w:rsid w:val="0096545F"/>
    <w:rsid w:val="00965CE7"/>
    <w:rsid w:val="00965FB8"/>
    <w:rsid w:val="0096623F"/>
    <w:rsid w:val="00966599"/>
    <w:rsid w:val="00966645"/>
    <w:rsid w:val="00966C5D"/>
    <w:rsid w:val="00966C79"/>
    <w:rsid w:val="00966D0D"/>
    <w:rsid w:val="00967732"/>
    <w:rsid w:val="0096783C"/>
    <w:rsid w:val="00967E79"/>
    <w:rsid w:val="00970023"/>
    <w:rsid w:val="00970B08"/>
    <w:rsid w:val="00971127"/>
    <w:rsid w:val="009713AA"/>
    <w:rsid w:val="00971E37"/>
    <w:rsid w:val="009722B3"/>
    <w:rsid w:val="00973A69"/>
    <w:rsid w:val="00973AB8"/>
    <w:rsid w:val="00973E24"/>
    <w:rsid w:val="00974287"/>
    <w:rsid w:val="00974C21"/>
    <w:rsid w:val="00974D5F"/>
    <w:rsid w:val="00975948"/>
    <w:rsid w:val="0097696C"/>
    <w:rsid w:val="0097698D"/>
    <w:rsid w:val="00976F9D"/>
    <w:rsid w:val="009772FD"/>
    <w:rsid w:val="00977BF3"/>
    <w:rsid w:val="00977FF8"/>
    <w:rsid w:val="009803E4"/>
    <w:rsid w:val="00980408"/>
    <w:rsid w:val="00980B0E"/>
    <w:rsid w:val="009817E7"/>
    <w:rsid w:val="00981D54"/>
    <w:rsid w:val="00981E4C"/>
    <w:rsid w:val="00982163"/>
    <w:rsid w:val="00982B39"/>
    <w:rsid w:val="009836A3"/>
    <w:rsid w:val="00983DEF"/>
    <w:rsid w:val="00984823"/>
    <w:rsid w:val="00984A7F"/>
    <w:rsid w:val="00984C58"/>
    <w:rsid w:val="009855A8"/>
    <w:rsid w:val="00985CBE"/>
    <w:rsid w:val="00985D1A"/>
    <w:rsid w:val="00986014"/>
    <w:rsid w:val="009861C0"/>
    <w:rsid w:val="009866F5"/>
    <w:rsid w:val="00986DB6"/>
    <w:rsid w:val="00987758"/>
    <w:rsid w:val="009879FA"/>
    <w:rsid w:val="00987D69"/>
    <w:rsid w:val="00987ECF"/>
    <w:rsid w:val="009900AC"/>
    <w:rsid w:val="009902BC"/>
    <w:rsid w:val="009904DC"/>
    <w:rsid w:val="009909F8"/>
    <w:rsid w:val="00990CF8"/>
    <w:rsid w:val="0099128E"/>
    <w:rsid w:val="009913F4"/>
    <w:rsid w:val="00991782"/>
    <w:rsid w:val="009928A6"/>
    <w:rsid w:val="00992A8E"/>
    <w:rsid w:val="00992B48"/>
    <w:rsid w:val="00992B6A"/>
    <w:rsid w:val="00992D54"/>
    <w:rsid w:val="009937F7"/>
    <w:rsid w:val="0099465B"/>
    <w:rsid w:val="009951A1"/>
    <w:rsid w:val="00995344"/>
    <w:rsid w:val="00995453"/>
    <w:rsid w:val="00995621"/>
    <w:rsid w:val="00995814"/>
    <w:rsid w:val="00995DBE"/>
    <w:rsid w:val="00995F51"/>
    <w:rsid w:val="0099600E"/>
    <w:rsid w:val="00996187"/>
    <w:rsid w:val="0099698A"/>
    <w:rsid w:val="00997277"/>
    <w:rsid w:val="00997693"/>
    <w:rsid w:val="00997A44"/>
    <w:rsid w:val="009A0100"/>
    <w:rsid w:val="009A0226"/>
    <w:rsid w:val="009A07EC"/>
    <w:rsid w:val="009A0CDD"/>
    <w:rsid w:val="009A0F49"/>
    <w:rsid w:val="009A14A2"/>
    <w:rsid w:val="009A198C"/>
    <w:rsid w:val="009A1D9A"/>
    <w:rsid w:val="009A2020"/>
    <w:rsid w:val="009A3168"/>
    <w:rsid w:val="009A32FD"/>
    <w:rsid w:val="009A3316"/>
    <w:rsid w:val="009A343E"/>
    <w:rsid w:val="009A3610"/>
    <w:rsid w:val="009A4621"/>
    <w:rsid w:val="009A4B87"/>
    <w:rsid w:val="009A4BDF"/>
    <w:rsid w:val="009A5D04"/>
    <w:rsid w:val="009A61CA"/>
    <w:rsid w:val="009A61DA"/>
    <w:rsid w:val="009A6EA4"/>
    <w:rsid w:val="009A71ED"/>
    <w:rsid w:val="009A779C"/>
    <w:rsid w:val="009B0062"/>
    <w:rsid w:val="009B052F"/>
    <w:rsid w:val="009B0C64"/>
    <w:rsid w:val="009B0D69"/>
    <w:rsid w:val="009B0F67"/>
    <w:rsid w:val="009B208A"/>
    <w:rsid w:val="009B21CF"/>
    <w:rsid w:val="009B25E7"/>
    <w:rsid w:val="009B2756"/>
    <w:rsid w:val="009B2825"/>
    <w:rsid w:val="009B3183"/>
    <w:rsid w:val="009B3D56"/>
    <w:rsid w:val="009B3F0A"/>
    <w:rsid w:val="009B3F8C"/>
    <w:rsid w:val="009B3FA7"/>
    <w:rsid w:val="009B44E1"/>
    <w:rsid w:val="009B4949"/>
    <w:rsid w:val="009B4FF6"/>
    <w:rsid w:val="009B533B"/>
    <w:rsid w:val="009B546B"/>
    <w:rsid w:val="009B5A25"/>
    <w:rsid w:val="009B6062"/>
    <w:rsid w:val="009B6241"/>
    <w:rsid w:val="009B66B0"/>
    <w:rsid w:val="009B7CE3"/>
    <w:rsid w:val="009B7D8F"/>
    <w:rsid w:val="009C05BD"/>
    <w:rsid w:val="009C0728"/>
    <w:rsid w:val="009C0B14"/>
    <w:rsid w:val="009C16A3"/>
    <w:rsid w:val="009C1759"/>
    <w:rsid w:val="009C1B48"/>
    <w:rsid w:val="009C1EA9"/>
    <w:rsid w:val="009C224C"/>
    <w:rsid w:val="009C26AA"/>
    <w:rsid w:val="009C2B32"/>
    <w:rsid w:val="009C2FAF"/>
    <w:rsid w:val="009C33DB"/>
    <w:rsid w:val="009C39B5"/>
    <w:rsid w:val="009C3B57"/>
    <w:rsid w:val="009C3EE6"/>
    <w:rsid w:val="009C4051"/>
    <w:rsid w:val="009C40FC"/>
    <w:rsid w:val="009C4D17"/>
    <w:rsid w:val="009C4EBC"/>
    <w:rsid w:val="009C59BC"/>
    <w:rsid w:val="009C616D"/>
    <w:rsid w:val="009C6C3E"/>
    <w:rsid w:val="009C703C"/>
    <w:rsid w:val="009C70EE"/>
    <w:rsid w:val="009C7D63"/>
    <w:rsid w:val="009C7E95"/>
    <w:rsid w:val="009D05E9"/>
    <w:rsid w:val="009D084C"/>
    <w:rsid w:val="009D0C29"/>
    <w:rsid w:val="009D0C78"/>
    <w:rsid w:val="009D1A03"/>
    <w:rsid w:val="009D1E66"/>
    <w:rsid w:val="009D206E"/>
    <w:rsid w:val="009D28A8"/>
    <w:rsid w:val="009D2990"/>
    <w:rsid w:val="009D2D91"/>
    <w:rsid w:val="009D3029"/>
    <w:rsid w:val="009D380C"/>
    <w:rsid w:val="009D3BE3"/>
    <w:rsid w:val="009D3CAA"/>
    <w:rsid w:val="009D3CAB"/>
    <w:rsid w:val="009D3D1E"/>
    <w:rsid w:val="009D3E8B"/>
    <w:rsid w:val="009D4109"/>
    <w:rsid w:val="009D4C81"/>
    <w:rsid w:val="009D4CE8"/>
    <w:rsid w:val="009D507A"/>
    <w:rsid w:val="009D50E0"/>
    <w:rsid w:val="009D5B82"/>
    <w:rsid w:val="009D6532"/>
    <w:rsid w:val="009D68B1"/>
    <w:rsid w:val="009D71FD"/>
    <w:rsid w:val="009D764B"/>
    <w:rsid w:val="009D7804"/>
    <w:rsid w:val="009D7CAD"/>
    <w:rsid w:val="009D7DC1"/>
    <w:rsid w:val="009E06F0"/>
    <w:rsid w:val="009E0755"/>
    <w:rsid w:val="009E0800"/>
    <w:rsid w:val="009E0DF7"/>
    <w:rsid w:val="009E0ED3"/>
    <w:rsid w:val="009E10AD"/>
    <w:rsid w:val="009E1542"/>
    <w:rsid w:val="009E18F3"/>
    <w:rsid w:val="009E18F4"/>
    <w:rsid w:val="009E2588"/>
    <w:rsid w:val="009E2600"/>
    <w:rsid w:val="009E2E8E"/>
    <w:rsid w:val="009E2F66"/>
    <w:rsid w:val="009E3202"/>
    <w:rsid w:val="009E37DF"/>
    <w:rsid w:val="009E39D8"/>
    <w:rsid w:val="009E3AC1"/>
    <w:rsid w:val="009E3F0F"/>
    <w:rsid w:val="009E40E1"/>
    <w:rsid w:val="009E4157"/>
    <w:rsid w:val="009E43C2"/>
    <w:rsid w:val="009E4AE4"/>
    <w:rsid w:val="009E4C70"/>
    <w:rsid w:val="009E4F04"/>
    <w:rsid w:val="009E536B"/>
    <w:rsid w:val="009E5426"/>
    <w:rsid w:val="009E5FC7"/>
    <w:rsid w:val="009E6495"/>
    <w:rsid w:val="009E7508"/>
    <w:rsid w:val="009E78C7"/>
    <w:rsid w:val="009E7D1B"/>
    <w:rsid w:val="009F03DD"/>
    <w:rsid w:val="009F05BE"/>
    <w:rsid w:val="009F0EFA"/>
    <w:rsid w:val="009F170D"/>
    <w:rsid w:val="009F171A"/>
    <w:rsid w:val="009F27A8"/>
    <w:rsid w:val="009F3158"/>
    <w:rsid w:val="009F3D6E"/>
    <w:rsid w:val="009F3DA2"/>
    <w:rsid w:val="009F4E46"/>
    <w:rsid w:val="009F52BA"/>
    <w:rsid w:val="009F5B65"/>
    <w:rsid w:val="009F5F2E"/>
    <w:rsid w:val="009F680D"/>
    <w:rsid w:val="009F72D1"/>
    <w:rsid w:val="009F778C"/>
    <w:rsid w:val="00A00256"/>
    <w:rsid w:val="00A005EC"/>
    <w:rsid w:val="00A01330"/>
    <w:rsid w:val="00A01432"/>
    <w:rsid w:val="00A015B6"/>
    <w:rsid w:val="00A0167A"/>
    <w:rsid w:val="00A01980"/>
    <w:rsid w:val="00A01A1A"/>
    <w:rsid w:val="00A03250"/>
    <w:rsid w:val="00A033F3"/>
    <w:rsid w:val="00A03CF4"/>
    <w:rsid w:val="00A03F89"/>
    <w:rsid w:val="00A043EB"/>
    <w:rsid w:val="00A04A47"/>
    <w:rsid w:val="00A05438"/>
    <w:rsid w:val="00A06225"/>
    <w:rsid w:val="00A066E6"/>
    <w:rsid w:val="00A069C2"/>
    <w:rsid w:val="00A06B38"/>
    <w:rsid w:val="00A07338"/>
    <w:rsid w:val="00A07776"/>
    <w:rsid w:val="00A07AE6"/>
    <w:rsid w:val="00A07B1E"/>
    <w:rsid w:val="00A10572"/>
    <w:rsid w:val="00A10587"/>
    <w:rsid w:val="00A105AE"/>
    <w:rsid w:val="00A10678"/>
    <w:rsid w:val="00A1069C"/>
    <w:rsid w:val="00A109EB"/>
    <w:rsid w:val="00A110D1"/>
    <w:rsid w:val="00A113D0"/>
    <w:rsid w:val="00A11784"/>
    <w:rsid w:val="00A117F5"/>
    <w:rsid w:val="00A119D6"/>
    <w:rsid w:val="00A121E1"/>
    <w:rsid w:val="00A123CB"/>
    <w:rsid w:val="00A12587"/>
    <w:rsid w:val="00A128E6"/>
    <w:rsid w:val="00A12AF0"/>
    <w:rsid w:val="00A13D64"/>
    <w:rsid w:val="00A14053"/>
    <w:rsid w:val="00A144D3"/>
    <w:rsid w:val="00A1509A"/>
    <w:rsid w:val="00A152A1"/>
    <w:rsid w:val="00A15C15"/>
    <w:rsid w:val="00A1602D"/>
    <w:rsid w:val="00A165C8"/>
    <w:rsid w:val="00A16877"/>
    <w:rsid w:val="00A16E2E"/>
    <w:rsid w:val="00A1700F"/>
    <w:rsid w:val="00A17EA7"/>
    <w:rsid w:val="00A2001C"/>
    <w:rsid w:val="00A20793"/>
    <w:rsid w:val="00A2091E"/>
    <w:rsid w:val="00A20D6B"/>
    <w:rsid w:val="00A21B54"/>
    <w:rsid w:val="00A21D7D"/>
    <w:rsid w:val="00A2256F"/>
    <w:rsid w:val="00A2296E"/>
    <w:rsid w:val="00A22AC3"/>
    <w:rsid w:val="00A22BC1"/>
    <w:rsid w:val="00A22D79"/>
    <w:rsid w:val="00A22D83"/>
    <w:rsid w:val="00A232C2"/>
    <w:rsid w:val="00A23427"/>
    <w:rsid w:val="00A2351E"/>
    <w:rsid w:val="00A23AF0"/>
    <w:rsid w:val="00A23E27"/>
    <w:rsid w:val="00A23F3F"/>
    <w:rsid w:val="00A24067"/>
    <w:rsid w:val="00A24A4B"/>
    <w:rsid w:val="00A24C69"/>
    <w:rsid w:val="00A25205"/>
    <w:rsid w:val="00A255BF"/>
    <w:rsid w:val="00A25BC7"/>
    <w:rsid w:val="00A2637E"/>
    <w:rsid w:val="00A26FE6"/>
    <w:rsid w:val="00A270CD"/>
    <w:rsid w:val="00A2744D"/>
    <w:rsid w:val="00A274CF"/>
    <w:rsid w:val="00A30326"/>
    <w:rsid w:val="00A30340"/>
    <w:rsid w:val="00A3043C"/>
    <w:rsid w:val="00A30689"/>
    <w:rsid w:val="00A306AC"/>
    <w:rsid w:val="00A306F6"/>
    <w:rsid w:val="00A30D16"/>
    <w:rsid w:val="00A31199"/>
    <w:rsid w:val="00A31CC1"/>
    <w:rsid w:val="00A31FCB"/>
    <w:rsid w:val="00A336C0"/>
    <w:rsid w:val="00A33CD7"/>
    <w:rsid w:val="00A33EB7"/>
    <w:rsid w:val="00A33F38"/>
    <w:rsid w:val="00A34171"/>
    <w:rsid w:val="00A34A12"/>
    <w:rsid w:val="00A34E6C"/>
    <w:rsid w:val="00A34FD0"/>
    <w:rsid w:val="00A35895"/>
    <w:rsid w:val="00A3613D"/>
    <w:rsid w:val="00A361EA"/>
    <w:rsid w:val="00A36381"/>
    <w:rsid w:val="00A36398"/>
    <w:rsid w:val="00A363C8"/>
    <w:rsid w:val="00A36AAB"/>
    <w:rsid w:val="00A36CC1"/>
    <w:rsid w:val="00A37C8D"/>
    <w:rsid w:val="00A4020E"/>
    <w:rsid w:val="00A40493"/>
    <w:rsid w:val="00A4068C"/>
    <w:rsid w:val="00A408E8"/>
    <w:rsid w:val="00A40FB5"/>
    <w:rsid w:val="00A40FCE"/>
    <w:rsid w:val="00A41518"/>
    <w:rsid w:val="00A42826"/>
    <w:rsid w:val="00A4291B"/>
    <w:rsid w:val="00A429B3"/>
    <w:rsid w:val="00A42DB4"/>
    <w:rsid w:val="00A44EC1"/>
    <w:rsid w:val="00A45322"/>
    <w:rsid w:val="00A45710"/>
    <w:rsid w:val="00A45885"/>
    <w:rsid w:val="00A45CD4"/>
    <w:rsid w:val="00A4669A"/>
    <w:rsid w:val="00A46F0A"/>
    <w:rsid w:val="00A47393"/>
    <w:rsid w:val="00A47683"/>
    <w:rsid w:val="00A47D64"/>
    <w:rsid w:val="00A501D5"/>
    <w:rsid w:val="00A50E2B"/>
    <w:rsid w:val="00A510E4"/>
    <w:rsid w:val="00A51A2D"/>
    <w:rsid w:val="00A51BD4"/>
    <w:rsid w:val="00A51F8C"/>
    <w:rsid w:val="00A526F7"/>
    <w:rsid w:val="00A5273B"/>
    <w:rsid w:val="00A527E3"/>
    <w:rsid w:val="00A52DCF"/>
    <w:rsid w:val="00A5342D"/>
    <w:rsid w:val="00A538E2"/>
    <w:rsid w:val="00A53A9D"/>
    <w:rsid w:val="00A54596"/>
    <w:rsid w:val="00A54EE6"/>
    <w:rsid w:val="00A557DB"/>
    <w:rsid w:val="00A55858"/>
    <w:rsid w:val="00A55871"/>
    <w:rsid w:val="00A55DB4"/>
    <w:rsid w:val="00A55FEE"/>
    <w:rsid w:val="00A56304"/>
    <w:rsid w:val="00A5644A"/>
    <w:rsid w:val="00A56876"/>
    <w:rsid w:val="00A569C6"/>
    <w:rsid w:val="00A57422"/>
    <w:rsid w:val="00A57DBA"/>
    <w:rsid w:val="00A60052"/>
    <w:rsid w:val="00A60141"/>
    <w:rsid w:val="00A6082C"/>
    <w:rsid w:val="00A617D3"/>
    <w:rsid w:val="00A628CE"/>
    <w:rsid w:val="00A62A08"/>
    <w:rsid w:val="00A62C1A"/>
    <w:rsid w:val="00A62E6B"/>
    <w:rsid w:val="00A63CA2"/>
    <w:rsid w:val="00A6426D"/>
    <w:rsid w:val="00A6439B"/>
    <w:rsid w:val="00A64542"/>
    <w:rsid w:val="00A64EE6"/>
    <w:rsid w:val="00A64F34"/>
    <w:rsid w:val="00A64F64"/>
    <w:rsid w:val="00A652FE"/>
    <w:rsid w:val="00A65674"/>
    <w:rsid w:val="00A65766"/>
    <w:rsid w:val="00A65A8A"/>
    <w:rsid w:val="00A665C1"/>
    <w:rsid w:val="00A66998"/>
    <w:rsid w:val="00A6721B"/>
    <w:rsid w:val="00A673A4"/>
    <w:rsid w:val="00A674E4"/>
    <w:rsid w:val="00A675E8"/>
    <w:rsid w:val="00A67EB9"/>
    <w:rsid w:val="00A7001A"/>
    <w:rsid w:val="00A70622"/>
    <w:rsid w:val="00A7075F"/>
    <w:rsid w:val="00A70977"/>
    <w:rsid w:val="00A70986"/>
    <w:rsid w:val="00A70D58"/>
    <w:rsid w:val="00A71169"/>
    <w:rsid w:val="00A71306"/>
    <w:rsid w:val="00A714D8"/>
    <w:rsid w:val="00A71796"/>
    <w:rsid w:val="00A72500"/>
    <w:rsid w:val="00A73357"/>
    <w:rsid w:val="00A73A86"/>
    <w:rsid w:val="00A73C5F"/>
    <w:rsid w:val="00A74017"/>
    <w:rsid w:val="00A742FA"/>
    <w:rsid w:val="00A744F9"/>
    <w:rsid w:val="00A74903"/>
    <w:rsid w:val="00A74CF1"/>
    <w:rsid w:val="00A74D1B"/>
    <w:rsid w:val="00A753A1"/>
    <w:rsid w:val="00A75616"/>
    <w:rsid w:val="00A75C35"/>
    <w:rsid w:val="00A7604A"/>
    <w:rsid w:val="00A768DE"/>
    <w:rsid w:val="00A771A1"/>
    <w:rsid w:val="00A7752D"/>
    <w:rsid w:val="00A77613"/>
    <w:rsid w:val="00A77B87"/>
    <w:rsid w:val="00A77E01"/>
    <w:rsid w:val="00A801AD"/>
    <w:rsid w:val="00A801E3"/>
    <w:rsid w:val="00A811C0"/>
    <w:rsid w:val="00A8124C"/>
    <w:rsid w:val="00A81334"/>
    <w:rsid w:val="00A813C3"/>
    <w:rsid w:val="00A816FA"/>
    <w:rsid w:val="00A81851"/>
    <w:rsid w:val="00A81857"/>
    <w:rsid w:val="00A81BB5"/>
    <w:rsid w:val="00A81BB7"/>
    <w:rsid w:val="00A82882"/>
    <w:rsid w:val="00A82CE6"/>
    <w:rsid w:val="00A8337D"/>
    <w:rsid w:val="00A83488"/>
    <w:rsid w:val="00A8390C"/>
    <w:rsid w:val="00A83F9D"/>
    <w:rsid w:val="00A83FCF"/>
    <w:rsid w:val="00A84044"/>
    <w:rsid w:val="00A849BF"/>
    <w:rsid w:val="00A8556B"/>
    <w:rsid w:val="00A858EB"/>
    <w:rsid w:val="00A85A4B"/>
    <w:rsid w:val="00A85C4E"/>
    <w:rsid w:val="00A860CD"/>
    <w:rsid w:val="00A8680D"/>
    <w:rsid w:val="00A86AE0"/>
    <w:rsid w:val="00A86CB0"/>
    <w:rsid w:val="00A86EFE"/>
    <w:rsid w:val="00A871D2"/>
    <w:rsid w:val="00A87AB3"/>
    <w:rsid w:val="00A90446"/>
    <w:rsid w:val="00A912B0"/>
    <w:rsid w:val="00A91362"/>
    <w:rsid w:val="00A9151C"/>
    <w:rsid w:val="00A91549"/>
    <w:rsid w:val="00A919A4"/>
    <w:rsid w:val="00A919C6"/>
    <w:rsid w:val="00A91E48"/>
    <w:rsid w:val="00A92014"/>
    <w:rsid w:val="00A9228F"/>
    <w:rsid w:val="00A925D4"/>
    <w:rsid w:val="00A928BD"/>
    <w:rsid w:val="00A92D61"/>
    <w:rsid w:val="00A92E35"/>
    <w:rsid w:val="00A933CE"/>
    <w:rsid w:val="00A936B6"/>
    <w:rsid w:val="00A93720"/>
    <w:rsid w:val="00A94083"/>
    <w:rsid w:val="00A94FB4"/>
    <w:rsid w:val="00A9515B"/>
    <w:rsid w:val="00A95405"/>
    <w:rsid w:val="00A95D8D"/>
    <w:rsid w:val="00A9667E"/>
    <w:rsid w:val="00A96B5A"/>
    <w:rsid w:val="00A96E31"/>
    <w:rsid w:val="00A97020"/>
    <w:rsid w:val="00A97DE9"/>
    <w:rsid w:val="00AA009B"/>
    <w:rsid w:val="00AA05CF"/>
    <w:rsid w:val="00AA061F"/>
    <w:rsid w:val="00AA0B15"/>
    <w:rsid w:val="00AA106E"/>
    <w:rsid w:val="00AA12CD"/>
    <w:rsid w:val="00AA1430"/>
    <w:rsid w:val="00AA146A"/>
    <w:rsid w:val="00AA24E9"/>
    <w:rsid w:val="00AA2D7A"/>
    <w:rsid w:val="00AA317B"/>
    <w:rsid w:val="00AA4152"/>
    <w:rsid w:val="00AA4325"/>
    <w:rsid w:val="00AA43BC"/>
    <w:rsid w:val="00AA4A1A"/>
    <w:rsid w:val="00AA4D1C"/>
    <w:rsid w:val="00AA52FD"/>
    <w:rsid w:val="00AA53F2"/>
    <w:rsid w:val="00AA555B"/>
    <w:rsid w:val="00AA5D24"/>
    <w:rsid w:val="00AA5D40"/>
    <w:rsid w:val="00AA649C"/>
    <w:rsid w:val="00AA65A8"/>
    <w:rsid w:val="00AA7006"/>
    <w:rsid w:val="00AA7182"/>
    <w:rsid w:val="00AA72D2"/>
    <w:rsid w:val="00AA73FA"/>
    <w:rsid w:val="00AA74BE"/>
    <w:rsid w:val="00AA78A4"/>
    <w:rsid w:val="00AB0328"/>
    <w:rsid w:val="00AB047A"/>
    <w:rsid w:val="00AB06AD"/>
    <w:rsid w:val="00AB0AD0"/>
    <w:rsid w:val="00AB13E4"/>
    <w:rsid w:val="00AB141D"/>
    <w:rsid w:val="00AB1C5A"/>
    <w:rsid w:val="00AB22CD"/>
    <w:rsid w:val="00AB2A07"/>
    <w:rsid w:val="00AB2B7E"/>
    <w:rsid w:val="00AB3138"/>
    <w:rsid w:val="00AB4684"/>
    <w:rsid w:val="00AB46CE"/>
    <w:rsid w:val="00AB53FF"/>
    <w:rsid w:val="00AB5479"/>
    <w:rsid w:val="00AB5557"/>
    <w:rsid w:val="00AB5856"/>
    <w:rsid w:val="00AB5DE2"/>
    <w:rsid w:val="00AB600C"/>
    <w:rsid w:val="00AB6465"/>
    <w:rsid w:val="00AB6A80"/>
    <w:rsid w:val="00AC06F1"/>
    <w:rsid w:val="00AC081D"/>
    <w:rsid w:val="00AC0C6F"/>
    <w:rsid w:val="00AC120E"/>
    <w:rsid w:val="00AC1266"/>
    <w:rsid w:val="00AC1517"/>
    <w:rsid w:val="00AC193C"/>
    <w:rsid w:val="00AC278E"/>
    <w:rsid w:val="00AC30C1"/>
    <w:rsid w:val="00AC334D"/>
    <w:rsid w:val="00AC3541"/>
    <w:rsid w:val="00AC3819"/>
    <w:rsid w:val="00AC427D"/>
    <w:rsid w:val="00AC4666"/>
    <w:rsid w:val="00AC4712"/>
    <w:rsid w:val="00AC4A9C"/>
    <w:rsid w:val="00AC4DE5"/>
    <w:rsid w:val="00AC5206"/>
    <w:rsid w:val="00AC5236"/>
    <w:rsid w:val="00AC5546"/>
    <w:rsid w:val="00AC555F"/>
    <w:rsid w:val="00AC5A29"/>
    <w:rsid w:val="00AC5C34"/>
    <w:rsid w:val="00AC5F63"/>
    <w:rsid w:val="00AC63C1"/>
    <w:rsid w:val="00AC65C6"/>
    <w:rsid w:val="00AC6793"/>
    <w:rsid w:val="00AC6B25"/>
    <w:rsid w:val="00AC6EBD"/>
    <w:rsid w:val="00AC703E"/>
    <w:rsid w:val="00AC71A8"/>
    <w:rsid w:val="00AC721B"/>
    <w:rsid w:val="00AC7902"/>
    <w:rsid w:val="00AC7C35"/>
    <w:rsid w:val="00AC7C36"/>
    <w:rsid w:val="00AD0937"/>
    <w:rsid w:val="00AD095B"/>
    <w:rsid w:val="00AD1261"/>
    <w:rsid w:val="00AD2080"/>
    <w:rsid w:val="00AD2454"/>
    <w:rsid w:val="00AD248F"/>
    <w:rsid w:val="00AD2FBA"/>
    <w:rsid w:val="00AD30A2"/>
    <w:rsid w:val="00AD3106"/>
    <w:rsid w:val="00AD338C"/>
    <w:rsid w:val="00AD3734"/>
    <w:rsid w:val="00AD3B9C"/>
    <w:rsid w:val="00AD4322"/>
    <w:rsid w:val="00AD4B9C"/>
    <w:rsid w:val="00AD4F47"/>
    <w:rsid w:val="00AD533E"/>
    <w:rsid w:val="00AD57C8"/>
    <w:rsid w:val="00AD65EB"/>
    <w:rsid w:val="00AD6719"/>
    <w:rsid w:val="00AD6A6C"/>
    <w:rsid w:val="00AD6CEC"/>
    <w:rsid w:val="00AD765B"/>
    <w:rsid w:val="00AE0230"/>
    <w:rsid w:val="00AE0A23"/>
    <w:rsid w:val="00AE0DAF"/>
    <w:rsid w:val="00AE10AA"/>
    <w:rsid w:val="00AE11A5"/>
    <w:rsid w:val="00AE13E2"/>
    <w:rsid w:val="00AE1989"/>
    <w:rsid w:val="00AE2089"/>
    <w:rsid w:val="00AE216D"/>
    <w:rsid w:val="00AE22D3"/>
    <w:rsid w:val="00AE2646"/>
    <w:rsid w:val="00AE27CB"/>
    <w:rsid w:val="00AE3509"/>
    <w:rsid w:val="00AE415F"/>
    <w:rsid w:val="00AE4498"/>
    <w:rsid w:val="00AE481E"/>
    <w:rsid w:val="00AE4D0B"/>
    <w:rsid w:val="00AE587C"/>
    <w:rsid w:val="00AE5880"/>
    <w:rsid w:val="00AE5987"/>
    <w:rsid w:val="00AE5A49"/>
    <w:rsid w:val="00AE5E84"/>
    <w:rsid w:val="00AE620A"/>
    <w:rsid w:val="00AE6649"/>
    <w:rsid w:val="00AE68A7"/>
    <w:rsid w:val="00AE6DA6"/>
    <w:rsid w:val="00AE6DE0"/>
    <w:rsid w:val="00AE73FB"/>
    <w:rsid w:val="00AE7513"/>
    <w:rsid w:val="00AE7923"/>
    <w:rsid w:val="00AE7D1F"/>
    <w:rsid w:val="00AE7E6D"/>
    <w:rsid w:val="00AF01EA"/>
    <w:rsid w:val="00AF03E6"/>
    <w:rsid w:val="00AF0D3E"/>
    <w:rsid w:val="00AF0E94"/>
    <w:rsid w:val="00AF11D8"/>
    <w:rsid w:val="00AF1204"/>
    <w:rsid w:val="00AF2265"/>
    <w:rsid w:val="00AF26CF"/>
    <w:rsid w:val="00AF2AA2"/>
    <w:rsid w:val="00AF3021"/>
    <w:rsid w:val="00AF30E2"/>
    <w:rsid w:val="00AF34D4"/>
    <w:rsid w:val="00AF3803"/>
    <w:rsid w:val="00AF3914"/>
    <w:rsid w:val="00AF4273"/>
    <w:rsid w:val="00AF4308"/>
    <w:rsid w:val="00AF460B"/>
    <w:rsid w:val="00AF465E"/>
    <w:rsid w:val="00AF4D0D"/>
    <w:rsid w:val="00AF5445"/>
    <w:rsid w:val="00AF5867"/>
    <w:rsid w:val="00AF62DF"/>
    <w:rsid w:val="00AF6792"/>
    <w:rsid w:val="00AF6887"/>
    <w:rsid w:val="00AF68CC"/>
    <w:rsid w:val="00AF70D7"/>
    <w:rsid w:val="00AF7674"/>
    <w:rsid w:val="00B00015"/>
    <w:rsid w:val="00B00086"/>
    <w:rsid w:val="00B002DF"/>
    <w:rsid w:val="00B00CD0"/>
    <w:rsid w:val="00B00E7F"/>
    <w:rsid w:val="00B01A9C"/>
    <w:rsid w:val="00B01CF5"/>
    <w:rsid w:val="00B01FF4"/>
    <w:rsid w:val="00B0258E"/>
    <w:rsid w:val="00B02A14"/>
    <w:rsid w:val="00B02DCD"/>
    <w:rsid w:val="00B03221"/>
    <w:rsid w:val="00B0326D"/>
    <w:rsid w:val="00B03C47"/>
    <w:rsid w:val="00B04724"/>
    <w:rsid w:val="00B06037"/>
    <w:rsid w:val="00B061C0"/>
    <w:rsid w:val="00B06478"/>
    <w:rsid w:val="00B0699C"/>
    <w:rsid w:val="00B06FA2"/>
    <w:rsid w:val="00B07533"/>
    <w:rsid w:val="00B07735"/>
    <w:rsid w:val="00B078A4"/>
    <w:rsid w:val="00B07CFB"/>
    <w:rsid w:val="00B1059E"/>
    <w:rsid w:val="00B1092E"/>
    <w:rsid w:val="00B10AF5"/>
    <w:rsid w:val="00B11CC9"/>
    <w:rsid w:val="00B128B6"/>
    <w:rsid w:val="00B13566"/>
    <w:rsid w:val="00B13AD1"/>
    <w:rsid w:val="00B13CFF"/>
    <w:rsid w:val="00B13DC9"/>
    <w:rsid w:val="00B148A2"/>
    <w:rsid w:val="00B149BA"/>
    <w:rsid w:val="00B149DC"/>
    <w:rsid w:val="00B14A36"/>
    <w:rsid w:val="00B15199"/>
    <w:rsid w:val="00B15421"/>
    <w:rsid w:val="00B155B9"/>
    <w:rsid w:val="00B16273"/>
    <w:rsid w:val="00B164B4"/>
    <w:rsid w:val="00B165A0"/>
    <w:rsid w:val="00B16FC7"/>
    <w:rsid w:val="00B170A5"/>
    <w:rsid w:val="00B17113"/>
    <w:rsid w:val="00B1725F"/>
    <w:rsid w:val="00B176C8"/>
    <w:rsid w:val="00B17EE5"/>
    <w:rsid w:val="00B17F7F"/>
    <w:rsid w:val="00B205AA"/>
    <w:rsid w:val="00B20F91"/>
    <w:rsid w:val="00B2100A"/>
    <w:rsid w:val="00B21201"/>
    <w:rsid w:val="00B2165C"/>
    <w:rsid w:val="00B21991"/>
    <w:rsid w:val="00B21A91"/>
    <w:rsid w:val="00B21D86"/>
    <w:rsid w:val="00B21D93"/>
    <w:rsid w:val="00B21FEB"/>
    <w:rsid w:val="00B22E84"/>
    <w:rsid w:val="00B22FBD"/>
    <w:rsid w:val="00B23155"/>
    <w:rsid w:val="00B232EF"/>
    <w:rsid w:val="00B233AD"/>
    <w:rsid w:val="00B2355F"/>
    <w:rsid w:val="00B236B0"/>
    <w:rsid w:val="00B23E25"/>
    <w:rsid w:val="00B2436F"/>
    <w:rsid w:val="00B24455"/>
    <w:rsid w:val="00B248DD"/>
    <w:rsid w:val="00B254A1"/>
    <w:rsid w:val="00B257D8"/>
    <w:rsid w:val="00B25F75"/>
    <w:rsid w:val="00B26206"/>
    <w:rsid w:val="00B26B3F"/>
    <w:rsid w:val="00B26F90"/>
    <w:rsid w:val="00B26FCC"/>
    <w:rsid w:val="00B27750"/>
    <w:rsid w:val="00B2778F"/>
    <w:rsid w:val="00B30E3B"/>
    <w:rsid w:val="00B31130"/>
    <w:rsid w:val="00B31F7B"/>
    <w:rsid w:val="00B32068"/>
    <w:rsid w:val="00B3214A"/>
    <w:rsid w:val="00B32158"/>
    <w:rsid w:val="00B3235F"/>
    <w:rsid w:val="00B325B1"/>
    <w:rsid w:val="00B326D0"/>
    <w:rsid w:val="00B327E2"/>
    <w:rsid w:val="00B32937"/>
    <w:rsid w:val="00B33243"/>
    <w:rsid w:val="00B332BD"/>
    <w:rsid w:val="00B33635"/>
    <w:rsid w:val="00B346F2"/>
    <w:rsid w:val="00B348B7"/>
    <w:rsid w:val="00B34E3F"/>
    <w:rsid w:val="00B354EA"/>
    <w:rsid w:val="00B35765"/>
    <w:rsid w:val="00B357DD"/>
    <w:rsid w:val="00B35935"/>
    <w:rsid w:val="00B35AF6"/>
    <w:rsid w:val="00B36AB7"/>
    <w:rsid w:val="00B36B87"/>
    <w:rsid w:val="00B37884"/>
    <w:rsid w:val="00B37A23"/>
    <w:rsid w:val="00B37CF8"/>
    <w:rsid w:val="00B37D4E"/>
    <w:rsid w:val="00B40725"/>
    <w:rsid w:val="00B40D3A"/>
    <w:rsid w:val="00B410E8"/>
    <w:rsid w:val="00B41438"/>
    <w:rsid w:val="00B41DE1"/>
    <w:rsid w:val="00B41F94"/>
    <w:rsid w:val="00B42289"/>
    <w:rsid w:val="00B42AF4"/>
    <w:rsid w:val="00B42B2A"/>
    <w:rsid w:val="00B43E90"/>
    <w:rsid w:val="00B44308"/>
    <w:rsid w:val="00B44E58"/>
    <w:rsid w:val="00B45044"/>
    <w:rsid w:val="00B45722"/>
    <w:rsid w:val="00B45BBD"/>
    <w:rsid w:val="00B45CE0"/>
    <w:rsid w:val="00B45F06"/>
    <w:rsid w:val="00B460F4"/>
    <w:rsid w:val="00B467DC"/>
    <w:rsid w:val="00B468BE"/>
    <w:rsid w:val="00B472E3"/>
    <w:rsid w:val="00B473CE"/>
    <w:rsid w:val="00B479BC"/>
    <w:rsid w:val="00B47A88"/>
    <w:rsid w:val="00B47B8C"/>
    <w:rsid w:val="00B47BB3"/>
    <w:rsid w:val="00B5041B"/>
    <w:rsid w:val="00B50BD3"/>
    <w:rsid w:val="00B50E53"/>
    <w:rsid w:val="00B51056"/>
    <w:rsid w:val="00B517AB"/>
    <w:rsid w:val="00B51E09"/>
    <w:rsid w:val="00B520A8"/>
    <w:rsid w:val="00B52303"/>
    <w:rsid w:val="00B52375"/>
    <w:rsid w:val="00B52F18"/>
    <w:rsid w:val="00B53645"/>
    <w:rsid w:val="00B53894"/>
    <w:rsid w:val="00B5392A"/>
    <w:rsid w:val="00B539EF"/>
    <w:rsid w:val="00B544F3"/>
    <w:rsid w:val="00B544F4"/>
    <w:rsid w:val="00B54616"/>
    <w:rsid w:val="00B54943"/>
    <w:rsid w:val="00B54E1E"/>
    <w:rsid w:val="00B55E1F"/>
    <w:rsid w:val="00B56118"/>
    <w:rsid w:val="00B566E1"/>
    <w:rsid w:val="00B56AFB"/>
    <w:rsid w:val="00B56B78"/>
    <w:rsid w:val="00B56D8E"/>
    <w:rsid w:val="00B572BE"/>
    <w:rsid w:val="00B5761D"/>
    <w:rsid w:val="00B602F6"/>
    <w:rsid w:val="00B60DAA"/>
    <w:rsid w:val="00B60ED3"/>
    <w:rsid w:val="00B6107C"/>
    <w:rsid w:val="00B622C1"/>
    <w:rsid w:val="00B62932"/>
    <w:rsid w:val="00B62E20"/>
    <w:rsid w:val="00B62EC1"/>
    <w:rsid w:val="00B63251"/>
    <w:rsid w:val="00B635F4"/>
    <w:rsid w:val="00B647A5"/>
    <w:rsid w:val="00B64957"/>
    <w:rsid w:val="00B64A96"/>
    <w:rsid w:val="00B64F6C"/>
    <w:rsid w:val="00B65226"/>
    <w:rsid w:val="00B6533B"/>
    <w:rsid w:val="00B653E2"/>
    <w:rsid w:val="00B655D0"/>
    <w:rsid w:val="00B65759"/>
    <w:rsid w:val="00B662C0"/>
    <w:rsid w:val="00B66916"/>
    <w:rsid w:val="00B66AFD"/>
    <w:rsid w:val="00B67546"/>
    <w:rsid w:val="00B6756D"/>
    <w:rsid w:val="00B6773F"/>
    <w:rsid w:val="00B67E05"/>
    <w:rsid w:val="00B70803"/>
    <w:rsid w:val="00B70EB3"/>
    <w:rsid w:val="00B713B6"/>
    <w:rsid w:val="00B72256"/>
    <w:rsid w:val="00B722FC"/>
    <w:rsid w:val="00B725EC"/>
    <w:rsid w:val="00B72906"/>
    <w:rsid w:val="00B73101"/>
    <w:rsid w:val="00B73A21"/>
    <w:rsid w:val="00B74384"/>
    <w:rsid w:val="00B74F48"/>
    <w:rsid w:val="00B75081"/>
    <w:rsid w:val="00B75085"/>
    <w:rsid w:val="00B7525E"/>
    <w:rsid w:val="00B75433"/>
    <w:rsid w:val="00B75463"/>
    <w:rsid w:val="00B754FC"/>
    <w:rsid w:val="00B75F70"/>
    <w:rsid w:val="00B760FB"/>
    <w:rsid w:val="00B761B7"/>
    <w:rsid w:val="00B76765"/>
    <w:rsid w:val="00B767AB"/>
    <w:rsid w:val="00B76D9E"/>
    <w:rsid w:val="00B7711A"/>
    <w:rsid w:val="00B774B0"/>
    <w:rsid w:val="00B77653"/>
    <w:rsid w:val="00B7796C"/>
    <w:rsid w:val="00B779E7"/>
    <w:rsid w:val="00B801BA"/>
    <w:rsid w:val="00B80300"/>
    <w:rsid w:val="00B808A3"/>
    <w:rsid w:val="00B809C8"/>
    <w:rsid w:val="00B80B63"/>
    <w:rsid w:val="00B80D50"/>
    <w:rsid w:val="00B8128B"/>
    <w:rsid w:val="00B812D6"/>
    <w:rsid w:val="00B816F8"/>
    <w:rsid w:val="00B81C8E"/>
    <w:rsid w:val="00B81DE1"/>
    <w:rsid w:val="00B81EC9"/>
    <w:rsid w:val="00B821A5"/>
    <w:rsid w:val="00B82C9A"/>
    <w:rsid w:val="00B835E7"/>
    <w:rsid w:val="00B8364B"/>
    <w:rsid w:val="00B836F1"/>
    <w:rsid w:val="00B83CCC"/>
    <w:rsid w:val="00B842B1"/>
    <w:rsid w:val="00B846E6"/>
    <w:rsid w:val="00B8476E"/>
    <w:rsid w:val="00B84D5C"/>
    <w:rsid w:val="00B84FE8"/>
    <w:rsid w:val="00B8529D"/>
    <w:rsid w:val="00B8594A"/>
    <w:rsid w:val="00B85AF6"/>
    <w:rsid w:val="00B86764"/>
    <w:rsid w:val="00B867CD"/>
    <w:rsid w:val="00B86BB8"/>
    <w:rsid w:val="00B87443"/>
    <w:rsid w:val="00B8788B"/>
    <w:rsid w:val="00B9016E"/>
    <w:rsid w:val="00B9045B"/>
    <w:rsid w:val="00B90A47"/>
    <w:rsid w:val="00B90E0D"/>
    <w:rsid w:val="00B91982"/>
    <w:rsid w:val="00B92C9A"/>
    <w:rsid w:val="00B92E46"/>
    <w:rsid w:val="00B92EA9"/>
    <w:rsid w:val="00B9353E"/>
    <w:rsid w:val="00B94176"/>
    <w:rsid w:val="00B941ED"/>
    <w:rsid w:val="00B956ED"/>
    <w:rsid w:val="00B95933"/>
    <w:rsid w:val="00B9622C"/>
    <w:rsid w:val="00B964F4"/>
    <w:rsid w:val="00B97A69"/>
    <w:rsid w:val="00BA08E9"/>
    <w:rsid w:val="00BA0C0E"/>
    <w:rsid w:val="00BA0E1A"/>
    <w:rsid w:val="00BA103D"/>
    <w:rsid w:val="00BA11DF"/>
    <w:rsid w:val="00BA124B"/>
    <w:rsid w:val="00BA143A"/>
    <w:rsid w:val="00BA2438"/>
    <w:rsid w:val="00BA25CB"/>
    <w:rsid w:val="00BA275D"/>
    <w:rsid w:val="00BA2802"/>
    <w:rsid w:val="00BA2847"/>
    <w:rsid w:val="00BA2D70"/>
    <w:rsid w:val="00BA2DA8"/>
    <w:rsid w:val="00BA2FB4"/>
    <w:rsid w:val="00BA347C"/>
    <w:rsid w:val="00BA38AC"/>
    <w:rsid w:val="00BA4211"/>
    <w:rsid w:val="00BA485C"/>
    <w:rsid w:val="00BA4C66"/>
    <w:rsid w:val="00BA4C79"/>
    <w:rsid w:val="00BA4D84"/>
    <w:rsid w:val="00BA553E"/>
    <w:rsid w:val="00BA573C"/>
    <w:rsid w:val="00BA5BD8"/>
    <w:rsid w:val="00BA68BB"/>
    <w:rsid w:val="00BA6F51"/>
    <w:rsid w:val="00BA73D5"/>
    <w:rsid w:val="00BA798D"/>
    <w:rsid w:val="00BA7E77"/>
    <w:rsid w:val="00BB0A87"/>
    <w:rsid w:val="00BB0E21"/>
    <w:rsid w:val="00BB120A"/>
    <w:rsid w:val="00BB1736"/>
    <w:rsid w:val="00BB22DD"/>
    <w:rsid w:val="00BB298A"/>
    <w:rsid w:val="00BB2F98"/>
    <w:rsid w:val="00BB3469"/>
    <w:rsid w:val="00BB3DA0"/>
    <w:rsid w:val="00BB4252"/>
    <w:rsid w:val="00BB4E24"/>
    <w:rsid w:val="00BB5426"/>
    <w:rsid w:val="00BB5C05"/>
    <w:rsid w:val="00BB5C49"/>
    <w:rsid w:val="00BB5FAB"/>
    <w:rsid w:val="00BB6096"/>
    <w:rsid w:val="00BB6240"/>
    <w:rsid w:val="00BB6285"/>
    <w:rsid w:val="00BB63D2"/>
    <w:rsid w:val="00BB69F5"/>
    <w:rsid w:val="00BB6E24"/>
    <w:rsid w:val="00BB6E48"/>
    <w:rsid w:val="00BB7048"/>
    <w:rsid w:val="00BB7286"/>
    <w:rsid w:val="00BB74CB"/>
    <w:rsid w:val="00BB78E0"/>
    <w:rsid w:val="00BB7EC3"/>
    <w:rsid w:val="00BC0045"/>
    <w:rsid w:val="00BC02F4"/>
    <w:rsid w:val="00BC04B1"/>
    <w:rsid w:val="00BC05EE"/>
    <w:rsid w:val="00BC0D4A"/>
    <w:rsid w:val="00BC0E04"/>
    <w:rsid w:val="00BC2095"/>
    <w:rsid w:val="00BC2D6E"/>
    <w:rsid w:val="00BC35D1"/>
    <w:rsid w:val="00BC3A87"/>
    <w:rsid w:val="00BC4469"/>
    <w:rsid w:val="00BC470E"/>
    <w:rsid w:val="00BC473A"/>
    <w:rsid w:val="00BC495F"/>
    <w:rsid w:val="00BC4B9A"/>
    <w:rsid w:val="00BC4F13"/>
    <w:rsid w:val="00BC6296"/>
    <w:rsid w:val="00BC6324"/>
    <w:rsid w:val="00BC6FC4"/>
    <w:rsid w:val="00BD02B4"/>
    <w:rsid w:val="00BD02C3"/>
    <w:rsid w:val="00BD0AE9"/>
    <w:rsid w:val="00BD10F5"/>
    <w:rsid w:val="00BD1830"/>
    <w:rsid w:val="00BD1A3F"/>
    <w:rsid w:val="00BD207D"/>
    <w:rsid w:val="00BD2E7E"/>
    <w:rsid w:val="00BD2EA9"/>
    <w:rsid w:val="00BD3119"/>
    <w:rsid w:val="00BD36DE"/>
    <w:rsid w:val="00BD3B1B"/>
    <w:rsid w:val="00BD4224"/>
    <w:rsid w:val="00BD423B"/>
    <w:rsid w:val="00BD4C91"/>
    <w:rsid w:val="00BD4F82"/>
    <w:rsid w:val="00BD555A"/>
    <w:rsid w:val="00BD60CE"/>
    <w:rsid w:val="00BD623A"/>
    <w:rsid w:val="00BD666F"/>
    <w:rsid w:val="00BD6C75"/>
    <w:rsid w:val="00BD6D97"/>
    <w:rsid w:val="00BD7483"/>
    <w:rsid w:val="00BD784C"/>
    <w:rsid w:val="00BD7B13"/>
    <w:rsid w:val="00BD7C9C"/>
    <w:rsid w:val="00BE016B"/>
    <w:rsid w:val="00BE020A"/>
    <w:rsid w:val="00BE0465"/>
    <w:rsid w:val="00BE0CC9"/>
    <w:rsid w:val="00BE10E1"/>
    <w:rsid w:val="00BE1367"/>
    <w:rsid w:val="00BE13DF"/>
    <w:rsid w:val="00BE1674"/>
    <w:rsid w:val="00BE18F0"/>
    <w:rsid w:val="00BE1D49"/>
    <w:rsid w:val="00BE1EF0"/>
    <w:rsid w:val="00BE2285"/>
    <w:rsid w:val="00BE25D7"/>
    <w:rsid w:val="00BE385C"/>
    <w:rsid w:val="00BE38F9"/>
    <w:rsid w:val="00BE3BAC"/>
    <w:rsid w:val="00BE3E2F"/>
    <w:rsid w:val="00BE3E69"/>
    <w:rsid w:val="00BE3F77"/>
    <w:rsid w:val="00BE3FD8"/>
    <w:rsid w:val="00BE457D"/>
    <w:rsid w:val="00BE4E35"/>
    <w:rsid w:val="00BE4EEC"/>
    <w:rsid w:val="00BE508F"/>
    <w:rsid w:val="00BE5F2D"/>
    <w:rsid w:val="00BE644B"/>
    <w:rsid w:val="00BF010F"/>
    <w:rsid w:val="00BF092C"/>
    <w:rsid w:val="00BF0BE4"/>
    <w:rsid w:val="00BF1410"/>
    <w:rsid w:val="00BF18F9"/>
    <w:rsid w:val="00BF21D1"/>
    <w:rsid w:val="00BF24C7"/>
    <w:rsid w:val="00BF27A0"/>
    <w:rsid w:val="00BF2AEB"/>
    <w:rsid w:val="00BF3318"/>
    <w:rsid w:val="00BF3387"/>
    <w:rsid w:val="00BF3604"/>
    <w:rsid w:val="00BF3707"/>
    <w:rsid w:val="00BF40E6"/>
    <w:rsid w:val="00BF437C"/>
    <w:rsid w:val="00BF4852"/>
    <w:rsid w:val="00BF4CB6"/>
    <w:rsid w:val="00BF51B0"/>
    <w:rsid w:val="00BF51C3"/>
    <w:rsid w:val="00BF51E1"/>
    <w:rsid w:val="00BF54C7"/>
    <w:rsid w:val="00BF54F9"/>
    <w:rsid w:val="00BF5A6B"/>
    <w:rsid w:val="00BF5C3F"/>
    <w:rsid w:val="00BF5D23"/>
    <w:rsid w:val="00BF6114"/>
    <w:rsid w:val="00BF6175"/>
    <w:rsid w:val="00BF618F"/>
    <w:rsid w:val="00BF6BC4"/>
    <w:rsid w:val="00BF6CBD"/>
    <w:rsid w:val="00BF7384"/>
    <w:rsid w:val="00BF7C87"/>
    <w:rsid w:val="00C004E9"/>
    <w:rsid w:val="00C00DA7"/>
    <w:rsid w:val="00C00F6E"/>
    <w:rsid w:val="00C0162C"/>
    <w:rsid w:val="00C019BF"/>
    <w:rsid w:val="00C01A79"/>
    <w:rsid w:val="00C01C2B"/>
    <w:rsid w:val="00C02F71"/>
    <w:rsid w:val="00C034FB"/>
    <w:rsid w:val="00C03A3E"/>
    <w:rsid w:val="00C04099"/>
    <w:rsid w:val="00C04363"/>
    <w:rsid w:val="00C0478B"/>
    <w:rsid w:val="00C04CDE"/>
    <w:rsid w:val="00C052B7"/>
    <w:rsid w:val="00C05378"/>
    <w:rsid w:val="00C056EB"/>
    <w:rsid w:val="00C059D5"/>
    <w:rsid w:val="00C05D05"/>
    <w:rsid w:val="00C064E2"/>
    <w:rsid w:val="00C0689B"/>
    <w:rsid w:val="00C068A6"/>
    <w:rsid w:val="00C06A8B"/>
    <w:rsid w:val="00C070A1"/>
    <w:rsid w:val="00C07230"/>
    <w:rsid w:val="00C07DE1"/>
    <w:rsid w:val="00C10140"/>
    <w:rsid w:val="00C107E3"/>
    <w:rsid w:val="00C10E84"/>
    <w:rsid w:val="00C1144E"/>
    <w:rsid w:val="00C11DEA"/>
    <w:rsid w:val="00C11DF3"/>
    <w:rsid w:val="00C11E00"/>
    <w:rsid w:val="00C121D3"/>
    <w:rsid w:val="00C12411"/>
    <w:rsid w:val="00C12768"/>
    <w:rsid w:val="00C12D70"/>
    <w:rsid w:val="00C12FB6"/>
    <w:rsid w:val="00C130CB"/>
    <w:rsid w:val="00C13BAC"/>
    <w:rsid w:val="00C14BF3"/>
    <w:rsid w:val="00C14E94"/>
    <w:rsid w:val="00C157DF"/>
    <w:rsid w:val="00C1592B"/>
    <w:rsid w:val="00C16724"/>
    <w:rsid w:val="00C16A72"/>
    <w:rsid w:val="00C16DAD"/>
    <w:rsid w:val="00C17011"/>
    <w:rsid w:val="00C1703B"/>
    <w:rsid w:val="00C17D53"/>
    <w:rsid w:val="00C200A5"/>
    <w:rsid w:val="00C2016B"/>
    <w:rsid w:val="00C20769"/>
    <w:rsid w:val="00C20CE7"/>
    <w:rsid w:val="00C21B09"/>
    <w:rsid w:val="00C22041"/>
    <w:rsid w:val="00C2286D"/>
    <w:rsid w:val="00C22A59"/>
    <w:rsid w:val="00C22B66"/>
    <w:rsid w:val="00C238AD"/>
    <w:rsid w:val="00C2425A"/>
    <w:rsid w:val="00C24A35"/>
    <w:rsid w:val="00C25EFF"/>
    <w:rsid w:val="00C26377"/>
    <w:rsid w:val="00C2673A"/>
    <w:rsid w:val="00C26ED8"/>
    <w:rsid w:val="00C2733B"/>
    <w:rsid w:val="00C278CD"/>
    <w:rsid w:val="00C27B58"/>
    <w:rsid w:val="00C27C1C"/>
    <w:rsid w:val="00C27FF0"/>
    <w:rsid w:val="00C30111"/>
    <w:rsid w:val="00C3048A"/>
    <w:rsid w:val="00C306B6"/>
    <w:rsid w:val="00C30CF9"/>
    <w:rsid w:val="00C31658"/>
    <w:rsid w:val="00C3166C"/>
    <w:rsid w:val="00C32184"/>
    <w:rsid w:val="00C33186"/>
    <w:rsid w:val="00C3323A"/>
    <w:rsid w:val="00C33FCC"/>
    <w:rsid w:val="00C34983"/>
    <w:rsid w:val="00C34D0B"/>
    <w:rsid w:val="00C35883"/>
    <w:rsid w:val="00C35996"/>
    <w:rsid w:val="00C35EDB"/>
    <w:rsid w:val="00C364CF"/>
    <w:rsid w:val="00C36F51"/>
    <w:rsid w:val="00C375AA"/>
    <w:rsid w:val="00C37C1B"/>
    <w:rsid w:val="00C37FD8"/>
    <w:rsid w:val="00C4064E"/>
    <w:rsid w:val="00C4199B"/>
    <w:rsid w:val="00C4236E"/>
    <w:rsid w:val="00C42BCD"/>
    <w:rsid w:val="00C42DED"/>
    <w:rsid w:val="00C4326E"/>
    <w:rsid w:val="00C43E6F"/>
    <w:rsid w:val="00C44489"/>
    <w:rsid w:val="00C4485F"/>
    <w:rsid w:val="00C44A71"/>
    <w:rsid w:val="00C44DED"/>
    <w:rsid w:val="00C45724"/>
    <w:rsid w:val="00C459AB"/>
    <w:rsid w:val="00C45AD9"/>
    <w:rsid w:val="00C4676A"/>
    <w:rsid w:val="00C46C13"/>
    <w:rsid w:val="00C46D78"/>
    <w:rsid w:val="00C4727B"/>
    <w:rsid w:val="00C4747E"/>
    <w:rsid w:val="00C47F1E"/>
    <w:rsid w:val="00C50116"/>
    <w:rsid w:val="00C503EF"/>
    <w:rsid w:val="00C508E8"/>
    <w:rsid w:val="00C50C8F"/>
    <w:rsid w:val="00C50D2B"/>
    <w:rsid w:val="00C51254"/>
    <w:rsid w:val="00C514EF"/>
    <w:rsid w:val="00C5151E"/>
    <w:rsid w:val="00C51926"/>
    <w:rsid w:val="00C51E3C"/>
    <w:rsid w:val="00C5206A"/>
    <w:rsid w:val="00C52256"/>
    <w:rsid w:val="00C52C1E"/>
    <w:rsid w:val="00C531F7"/>
    <w:rsid w:val="00C53316"/>
    <w:rsid w:val="00C5342C"/>
    <w:rsid w:val="00C53B2B"/>
    <w:rsid w:val="00C53DCC"/>
    <w:rsid w:val="00C541A0"/>
    <w:rsid w:val="00C5424D"/>
    <w:rsid w:val="00C5453E"/>
    <w:rsid w:val="00C54779"/>
    <w:rsid w:val="00C547F5"/>
    <w:rsid w:val="00C54B8F"/>
    <w:rsid w:val="00C54F3F"/>
    <w:rsid w:val="00C55211"/>
    <w:rsid w:val="00C55A0D"/>
    <w:rsid w:val="00C55C0D"/>
    <w:rsid w:val="00C55E90"/>
    <w:rsid w:val="00C564CD"/>
    <w:rsid w:val="00C56671"/>
    <w:rsid w:val="00C56BC2"/>
    <w:rsid w:val="00C56D78"/>
    <w:rsid w:val="00C573EC"/>
    <w:rsid w:val="00C57465"/>
    <w:rsid w:val="00C60272"/>
    <w:rsid w:val="00C603D4"/>
    <w:rsid w:val="00C61466"/>
    <w:rsid w:val="00C62197"/>
    <w:rsid w:val="00C6256A"/>
    <w:rsid w:val="00C62B5B"/>
    <w:rsid w:val="00C63743"/>
    <w:rsid w:val="00C63FDA"/>
    <w:rsid w:val="00C64540"/>
    <w:rsid w:val="00C64EBC"/>
    <w:rsid w:val="00C65036"/>
    <w:rsid w:val="00C6520C"/>
    <w:rsid w:val="00C662E9"/>
    <w:rsid w:val="00C664D2"/>
    <w:rsid w:val="00C664E8"/>
    <w:rsid w:val="00C669BD"/>
    <w:rsid w:val="00C669FC"/>
    <w:rsid w:val="00C67091"/>
    <w:rsid w:val="00C67282"/>
    <w:rsid w:val="00C677E1"/>
    <w:rsid w:val="00C67872"/>
    <w:rsid w:val="00C67EC0"/>
    <w:rsid w:val="00C70B07"/>
    <w:rsid w:val="00C70E6E"/>
    <w:rsid w:val="00C710E2"/>
    <w:rsid w:val="00C71C0C"/>
    <w:rsid w:val="00C71C3F"/>
    <w:rsid w:val="00C7204D"/>
    <w:rsid w:val="00C72885"/>
    <w:rsid w:val="00C72B2A"/>
    <w:rsid w:val="00C73069"/>
    <w:rsid w:val="00C73485"/>
    <w:rsid w:val="00C738AF"/>
    <w:rsid w:val="00C73BA2"/>
    <w:rsid w:val="00C73F58"/>
    <w:rsid w:val="00C73F7A"/>
    <w:rsid w:val="00C7409E"/>
    <w:rsid w:val="00C74141"/>
    <w:rsid w:val="00C74D6D"/>
    <w:rsid w:val="00C7564B"/>
    <w:rsid w:val="00C76A39"/>
    <w:rsid w:val="00C76E76"/>
    <w:rsid w:val="00C77891"/>
    <w:rsid w:val="00C779D7"/>
    <w:rsid w:val="00C77B74"/>
    <w:rsid w:val="00C77E0A"/>
    <w:rsid w:val="00C802E4"/>
    <w:rsid w:val="00C805D2"/>
    <w:rsid w:val="00C805D4"/>
    <w:rsid w:val="00C80E23"/>
    <w:rsid w:val="00C81038"/>
    <w:rsid w:val="00C81064"/>
    <w:rsid w:val="00C8198F"/>
    <w:rsid w:val="00C81C02"/>
    <w:rsid w:val="00C82062"/>
    <w:rsid w:val="00C829A9"/>
    <w:rsid w:val="00C82D52"/>
    <w:rsid w:val="00C830EA"/>
    <w:rsid w:val="00C83C27"/>
    <w:rsid w:val="00C84048"/>
    <w:rsid w:val="00C842A3"/>
    <w:rsid w:val="00C854EE"/>
    <w:rsid w:val="00C85CC6"/>
    <w:rsid w:val="00C860B3"/>
    <w:rsid w:val="00C8628A"/>
    <w:rsid w:val="00C8688F"/>
    <w:rsid w:val="00C87B80"/>
    <w:rsid w:val="00C87C9B"/>
    <w:rsid w:val="00C901C5"/>
    <w:rsid w:val="00C90330"/>
    <w:rsid w:val="00C903CD"/>
    <w:rsid w:val="00C90454"/>
    <w:rsid w:val="00C912ED"/>
    <w:rsid w:val="00C91449"/>
    <w:rsid w:val="00C92A8F"/>
    <w:rsid w:val="00C92D10"/>
    <w:rsid w:val="00C92F79"/>
    <w:rsid w:val="00C93610"/>
    <w:rsid w:val="00C93D49"/>
    <w:rsid w:val="00C93E78"/>
    <w:rsid w:val="00C94292"/>
    <w:rsid w:val="00C94671"/>
    <w:rsid w:val="00C947DE"/>
    <w:rsid w:val="00C9481C"/>
    <w:rsid w:val="00C949D4"/>
    <w:rsid w:val="00C949DE"/>
    <w:rsid w:val="00C95200"/>
    <w:rsid w:val="00C954C6"/>
    <w:rsid w:val="00C958E9"/>
    <w:rsid w:val="00C95E68"/>
    <w:rsid w:val="00C95FA7"/>
    <w:rsid w:val="00C966B5"/>
    <w:rsid w:val="00C96E3B"/>
    <w:rsid w:val="00C96EC0"/>
    <w:rsid w:val="00C97417"/>
    <w:rsid w:val="00C97B38"/>
    <w:rsid w:val="00C97CD5"/>
    <w:rsid w:val="00CA06F9"/>
    <w:rsid w:val="00CA1183"/>
    <w:rsid w:val="00CA14BB"/>
    <w:rsid w:val="00CA171A"/>
    <w:rsid w:val="00CA230C"/>
    <w:rsid w:val="00CA27D3"/>
    <w:rsid w:val="00CA2ABD"/>
    <w:rsid w:val="00CA2CD0"/>
    <w:rsid w:val="00CA2FB9"/>
    <w:rsid w:val="00CA36E6"/>
    <w:rsid w:val="00CA3730"/>
    <w:rsid w:val="00CA48D9"/>
    <w:rsid w:val="00CA4E87"/>
    <w:rsid w:val="00CA6922"/>
    <w:rsid w:val="00CA6A7B"/>
    <w:rsid w:val="00CA6F65"/>
    <w:rsid w:val="00CA70D1"/>
    <w:rsid w:val="00CA7891"/>
    <w:rsid w:val="00CA7903"/>
    <w:rsid w:val="00CB05BB"/>
    <w:rsid w:val="00CB076E"/>
    <w:rsid w:val="00CB0A17"/>
    <w:rsid w:val="00CB1193"/>
    <w:rsid w:val="00CB182F"/>
    <w:rsid w:val="00CB193D"/>
    <w:rsid w:val="00CB275C"/>
    <w:rsid w:val="00CB2898"/>
    <w:rsid w:val="00CB2A7A"/>
    <w:rsid w:val="00CB358A"/>
    <w:rsid w:val="00CB3BC0"/>
    <w:rsid w:val="00CB4704"/>
    <w:rsid w:val="00CB4767"/>
    <w:rsid w:val="00CB493D"/>
    <w:rsid w:val="00CB531C"/>
    <w:rsid w:val="00CB56A1"/>
    <w:rsid w:val="00CB5A28"/>
    <w:rsid w:val="00CB605D"/>
    <w:rsid w:val="00CB609B"/>
    <w:rsid w:val="00CB6BAA"/>
    <w:rsid w:val="00CB6D68"/>
    <w:rsid w:val="00CB7AD7"/>
    <w:rsid w:val="00CB7BC3"/>
    <w:rsid w:val="00CB7CEC"/>
    <w:rsid w:val="00CB7FDF"/>
    <w:rsid w:val="00CC0240"/>
    <w:rsid w:val="00CC0CB3"/>
    <w:rsid w:val="00CC0EA0"/>
    <w:rsid w:val="00CC1A82"/>
    <w:rsid w:val="00CC2224"/>
    <w:rsid w:val="00CC25C9"/>
    <w:rsid w:val="00CC3B97"/>
    <w:rsid w:val="00CC4045"/>
    <w:rsid w:val="00CC446B"/>
    <w:rsid w:val="00CC4F4F"/>
    <w:rsid w:val="00CC587A"/>
    <w:rsid w:val="00CC5D48"/>
    <w:rsid w:val="00CC5EBB"/>
    <w:rsid w:val="00CC5FD8"/>
    <w:rsid w:val="00CC6121"/>
    <w:rsid w:val="00CC64CA"/>
    <w:rsid w:val="00CC6A2A"/>
    <w:rsid w:val="00CC6CDA"/>
    <w:rsid w:val="00CC7302"/>
    <w:rsid w:val="00CC7952"/>
    <w:rsid w:val="00CC7A32"/>
    <w:rsid w:val="00CD05E3"/>
    <w:rsid w:val="00CD0AF7"/>
    <w:rsid w:val="00CD0F15"/>
    <w:rsid w:val="00CD3EF4"/>
    <w:rsid w:val="00CD3FE1"/>
    <w:rsid w:val="00CD46AD"/>
    <w:rsid w:val="00CD4A8C"/>
    <w:rsid w:val="00CD4BC6"/>
    <w:rsid w:val="00CD5349"/>
    <w:rsid w:val="00CD56CF"/>
    <w:rsid w:val="00CD5741"/>
    <w:rsid w:val="00CD57AF"/>
    <w:rsid w:val="00CD5EB2"/>
    <w:rsid w:val="00CD6045"/>
    <w:rsid w:val="00CD6257"/>
    <w:rsid w:val="00CD713B"/>
    <w:rsid w:val="00CD719B"/>
    <w:rsid w:val="00CD72A3"/>
    <w:rsid w:val="00CD7B38"/>
    <w:rsid w:val="00CD7C0B"/>
    <w:rsid w:val="00CE027B"/>
    <w:rsid w:val="00CE0AA3"/>
    <w:rsid w:val="00CE10C4"/>
    <w:rsid w:val="00CE1D2E"/>
    <w:rsid w:val="00CE21F6"/>
    <w:rsid w:val="00CE2343"/>
    <w:rsid w:val="00CE27B5"/>
    <w:rsid w:val="00CE28FC"/>
    <w:rsid w:val="00CE2AC5"/>
    <w:rsid w:val="00CE2BDF"/>
    <w:rsid w:val="00CE2EAF"/>
    <w:rsid w:val="00CE34CC"/>
    <w:rsid w:val="00CE3CE8"/>
    <w:rsid w:val="00CE4398"/>
    <w:rsid w:val="00CE450D"/>
    <w:rsid w:val="00CE45BA"/>
    <w:rsid w:val="00CE46B3"/>
    <w:rsid w:val="00CE4CAD"/>
    <w:rsid w:val="00CE52E9"/>
    <w:rsid w:val="00CE57F4"/>
    <w:rsid w:val="00CE6024"/>
    <w:rsid w:val="00CE6741"/>
    <w:rsid w:val="00CE6D24"/>
    <w:rsid w:val="00CE6D2C"/>
    <w:rsid w:val="00CE6DAF"/>
    <w:rsid w:val="00CE6F7B"/>
    <w:rsid w:val="00CE7632"/>
    <w:rsid w:val="00CE770D"/>
    <w:rsid w:val="00CF039F"/>
    <w:rsid w:val="00CF1001"/>
    <w:rsid w:val="00CF1658"/>
    <w:rsid w:val="00CF1794"/>
    <w:rsid w:val="00CF1E72"/>
    <w:rsid w:val="00CF2AFE"/>
    <w:rsid w:val="00CF2FA6"/>
    <w:rsid w:val="00CF3144"/>
    <w:rsid w:val="00CF31BD"/>
    <w:rsid w:val="00CF3D75"/>
    <w:rsid w:val="00CF3DC2"/>
    <w:rsid w:val="00CF410A"/>
    <w:rsid w:val="00CF413E"/>
    <w:rsid w:val="00CF43B1"/>
    <w:rsid w:val="00CF4586"/>
    <w:rsid w:val="00CF47B8"/>
    <w:rsid w:val="00CF4987"/>
    <w:rsid w:val="00CF5E35"/>
    <w:rsid w:val="00CF5F59"/>
    <w:rsid w:val="00CF74BE"/>
    <w:rsid w:val="00CF7528"/>
    <w:rsid w:val="00CF76D6"/>
    <w:rsid w:val="00CF7DB8"/>
    <w:rsid w:val="00CF7FDE"/>
    <w:rsid w:val="00D005ED"/>
    <w:rsid w:val="00D007C1"/>
    <w:rsid w:val="00D012AF"/>
    <w:rsid w:val="00D012B6"/>
    <w:rsid w:val="00D01842"/>
    <w:rsid w:val="00D01F04"/>
    <w:rsid w:val="00D031B2"/>
    <w:rsid w:val="00D0321E"/>
    <w:rsid w:val="00D043BD"/>
    <w:rsid w:val="00D044FE"/>
    <w:rsid w:val="00D04BFD"/>
    <w:rsid w:val="00D04C2B"/>
    <w:rsid w:val="00D04E7F"/>
    <w:rsid w:val="00D05311"/>
    <w:rsid w:val="00D05457"/>
    <w:rsid w:val="00D06032"/>
    <w:rsid w:val="00D06169"/>
    <w:rsid w:val="00D068E3"/>
    <w:rsid w:val="00D069EB"/>
    <w:rsid w:val="00D06E84"/>
    <w:rsid w:val="00D07033"/>
    <w:rsid w:val="00D076AE"/>
    <w:rsid w:val="00D077EE"/>
    <w:rsid w:val="00D07959"/>
    <w:rsid w:val="00D07A8A"/>
    <w:rsid w:val="00D07F8A"/>
    <w:rsid w:val="00D1031B"/>
    <w:rsid w:val="00D1062D"/>
    <w:rsid w:val="00D10E31"/>
    <w:rsid w:val="00D10F24"/>
    <w:rsid w:val="00D11199"/>
    <w:rsid w:val="00D118F5"/>
    <w:rsid w:val="00D12599"/>
    <w:rsid w:val="00D126B2"/>
    <w:rsid w:val="00D1297A"/>
    <w:rsid w:val="00D13DA2"/>
    <w:rsid w:val="00D1455A"/>
    <w:rsid w:val="00D14573"/>
    <w:rsid w:val="00D14659"/>
    <w:rsid w:val="00D14A70"/>
    <w:rsid w:val="00D15645"/>
    <w:rsid w:val="00D15B7F"/>
    <w:rsid w:val="00D15D52"/>
    <w:rsid w:val="00D16CA0"/>
    <w:rsid w:val="00D16F4A"/>
    <w:rsid w:val="00D1711D"/>
    <w:rsid w:val="00D177FC"/>
    <w:rsid w:val="00D207EA"/>
    <w:rsid w:val="00D211FB"/>
    <w:rsid w:val="00D21703"/>
    <w:rsid w:val="00D21E35"/>
    <w:rsid w:val="00D21EA0"/>
    <w:rsid w:val="00D22093"/>
    <w:rsid w:val="00D2255F"/>
    <w:rsid w:val="00D227D4"/>
    <w:rsid w:val="00D2286F"/>
    <w:rsid w:val="00D229B6"/>
    <w:rsid w:val="00D2488C"/>
    <w:rsid w:val="00D24C56"/>
    <w:rsid w:val="00D24CA0"/>
    <w:rsid w:val="00D251D8"/>
    <w:rsid w:val="00D25337"/>
    <w:rsid w:val="00D26243"/>
    <w:rsid w:val="00D26B42"/>
    <w:rsid w:val="00D26E93"/>
    <w:rsid w:val="00D30106"/>
    <w:rsid w:val="00D30279"/>
    <w:rsid w:val="00D31150"/>
    <w:rsid w:val="00D3138B"/>
    <w:rsid w:val="00D31A88"/>
    <w:rsid w:val="00D31FCE"/>
    <w:rsid w:val="00D31FD4"/>
    <w:rsid w:val="00D326CE"/>
    <w:rsid w:val="00D32735"/>
    <w:rsid w:val="00D3280C"/>
    <w:rsid w:val="00D32976"/>
    <w:rsid w:val="00D332E1"/>
    <w:rsid w:val="00D3341B"/>
    <w:rsid w:val="00D3406A"/>
    <w:rsid w:val="00D34D24"/>
    <w:rsid w:val="00D353B1"/>
    <w:rsid w:val="00D3642A"/>
    <w:rsid w:val="00D36ABD"/>
    <w:rsid w:val="00D36D18"/>
    <w:rsid w:val="00D36D4D"/>
    <w:rsid w:val="00D37FA5"/>
    <w:rsid w:val="00D40A63"/>
    <w:rsid w:val="00D40B11"/>
    <w:rsid w:val="00D41108"/>
    <w:rsid w:val="00D4166A"/>
    <w:rsid w:val="00D41EA6"/>
    <w:rsid w:val="00D42864"/>
    <w:rsid w:val="00D42944"/>
    <w:rsid w:val="00D429EC"/>
    <w:rsid w:val="00D43252"/>
    <w:rsid w:val="00D436D7"/>
    <w:rsid w:val="00D440CE"/>
    <w:rsid w:val="00D441F1"/>
    <w:rsid w:val="00D447B8"/>
    <w:rsid w:val="00D4482B"/>
    <w:rsid w:val="00D448E5"/>
    <w:rsid w:val="00D44AF8"/>
    <w:rsid w:val="00D4572C"/>
    <w:rsid w:val="00D458D3"/>
    <w:rsid w:val="00D45D22"/>
    <w:rsid w:val="00D45DCB"/>
    <w:rsid w:val="00D4699B"/>
    <w:rsid w:val="00D469B2"/>
    <w:rsid w:val="00D472E3"/>
    <w:rsid w:val="00D474CF"/>
    <w:rsid w:val="00D47CEF"/>
    <w:rsid w:val="00D503AE"/>
    <w:rsid w:val="00D50B9D"/>
    <w:rsid w:val="00D512CC"/>
    <w:rsid w:val="00D51511"/>
    <w:rsid w:val="00D51814"/>
    <w:rsid w:val="00D51B92"/>
    <w:rsid w:val="00D5206E"/>
    <w:rsid w:val="00D523BD"/>
    <w:rsid w:val="00D52B24"/>
    <w:rsid w:val="00D52EAA"/>
    <w:rsid w:val="00D52ECF"/>
    <w:rsid w:val="00D52F10"/>
    <w:rsid w:val="00D52F4F"/>
    <w:rsid w:val="00D535F2"/>
    <w:rsid w:val="00D53ED0"/>
    <w:rsid w:val="00D53F0C"/>
    <w:rsid w:val="00D5411A"/>
    <w:rsid w:val="00D5420E"/>
    <w:rsid w:val="00D5482D"/>
    <w:rsid w:val="00D548AF"/>
    <w:rsid w:val="00D54B09"/>
    <w:rsid w:val="00D54C71"/>
    <w:rsid w:val="00D554E0"/>
    <w:rsid w:val="00D559AB"/>
    <w:rsid w:val="00D55AF8"/>
    <w:rsid w:val="00D55D5F"/>
    <w:rsid w:val="00D5679B"/>
    <w:rsid w:val="00D56C03"/>
    <w:rsid w:val="00D5736C"/>
    <w:rsid w:val="00D576E6"/>
    <w:rsid w:val="00D57BA3"/>
    <w:rsid w:val="00D60671"/>
    <w:rsid w:val="00D6151C"/>
    <w:rsid w:val="00D617BE"/>
    <w:rsid w:val="00D61D4A"/>
    <w:rsid w:val="00D621D0"/>
    <w:rsid w:val="00D6243E"/>
    <w:rsid w:val="00D62BE1"/>
    <w:rsid w:val="00D643AA"/>
    <w:rsid w:val="00D647C1"/>
    <w:rsid w:val="00D64F87"/>
    <w:rsid w:val="00D65658"/>
    <w:rsid w:val="00D658E6"/>
    <w:rsid w:val="00D65DB4"/>
    <w:rsid w:val="00D66E48"/>
    <w:rsid w:val="00D66E5F"/>
    <w:rsid w:val="00D66FE4"/>
    <w:rsid w:val="00D67B34"/>
    <w:rsid w:val="00D67EB2"/>
    <w:rsid w:val="00D70167"/>
    <w:rsid w:val="00D70176"/>
    <w:rsid w:val="00D70349"/>
    <w:rsid w:val="00D70C79"/>
    <w:rsid w:val="00D71314"/>
    <w:rsid w:val="00D713E4"/>
    <w:rsid w:val="00D7170A"/>
    <w:rsid w:val="00D71887"/>
    <w:rsid w:val="00D719AB"/>
    <w:rsid w:val="00D719F9"/>
    <w:rsid w:val="00D71DC8"/>
    <w:rsid w:val="00D71F90"/>
    <w:rsid w:val="00D72209"/>
    <w:rsid w:val="00D72B47"/>
    <w:rsid w:val="00D72B6F"/>
    <w:rsid w:val="00D73495"/>
    <w:rsid w:val="00D73D39"/>
    <w:rsid w:val="00D741EB"/>
    <w:rsid w:val="00D74CEA"/>
    <w:rsid w:val="00D74FC8"/>
    <w:rsid w:val="00D750E8"/>
    <w:rsid w:val="00D75350"/>
    <w:rsid w:val="00D75EAA"/>
    <w:rsid w:val="00D760B7"/>
    <w:rsid w:val="00D7679C"/>
    <w:rsid w:val="00D77779"/>
    <w:rsid w:val="00D77C62"/>
    <w:rsid w:val="00D8024F"/>
    <w:rsid w:val="00D8032A"/>
    <w:rsid w:val="00D80AC2"/>
    <w:rsid w:val="00D80B0B"/>
    <w:rsid w:val="00D80C67"/>
    <w:rsid w:val="00D817A9"/>
    <w:rsid w:val="00D820F3"/>
    <w:rsid w:val="00D82691"/>
    <w:rsid w:val="00D832D6"/>
    <w:rsid w:val="00D83414"/>
    <w:rsid w:val="00D83605"/>
    <w:rsid w:val="00D84934"/>
    <w:rsid w:val="00D84C8E"/>
    <w:rsid w:val="00D84FB5"/>
    <w:rsid w:val="00D85615"/>
    <w:rsid w:val="00D85750"/>
    <w:rsid w:val="00D85A9C"/>
    <w:rsid w:val="00D866EB"/>
    <w:rsid w:val="00D868BD"/>
    <w:rsid w:val="00D868CC"/>
    <w:rsid w:val="00D86C52"/>
    <w:rsid w:val="00D87050"/>
    <w:rsid w:val="00D87D1A"/>
    <w:rsid w:val="00D906DA"/>
    <w:rsid w:val="00D90C37"/>
    <w:rsid w:val="00D90D81"/>
    <w:rsid w:val="00D90D85"/>
    <w:rsid w:val="00D90E44"/>
    <w:rsid w:val="00D9112A"/>
    <w:rsid w:val="00D91271"/>
    <w:rsid w:val="00D91412"/>
    <w:rsid w:val="00D919F5"/>
    <w:rsid w:val="00D924B2"/>
    <w:rsid w:val="00D92BA2"/>
    <w:rsid w:val="00D92DB4"/>
    <w:rsid w:val="00D9362E"/>
    <w:rsid w:val="00D93AC2"/>
    <w:rsid w:val="00D93BA1"/>
    <w:rsid w:val="00D94257"/>
    <w:rsid w:val="00D942B5"/>
    <w:rsid w:val="00D945F6"/>
    <w:rsid w:val="00D94812"/>
    <w:rsid w:val="00D94D99"/>
    <w:rsid w:val="00D94F03"/>
    <w:rsid w:val="00D95021"/>
    <w:rsid w:val="00D95161"/>
    <w:rsid w:val="00D95859"/>
    <w:rsid w:val="00D95888"/>
    <w:rsid w:val="00D95C23"/>
    <w:rsid w:val="00D95C2A"/>
    <w:rsid w:val="00D95C33"/>
    <w:rsid w:val="00D968F8"/>
    <w:rsid w:val="00D97176"/>
    <w:rsid w:val="00D97A8F"/>
    <w:rsid w:val="00DA0984"/>
    <w:rsid w:val="00DA0A82"/>
    <w:rsid w:val="00DA0D14"/>
    <w:rsid w:val="00DA13BF"/>
    <w:rsid w:val="00DA16F2"/>
    <w:rsid w:val="00DA1DCC"/>
    <w:rsid w:val="00DA1FC9"/>
    <w:rsid w:val="00DA203A"/>
    <w:rsid w:val="00DA2A89"/>
    <w:rsid w:val="00DA2CB5"/>
    <w:rsid w:val="00DA2F99"/>
    <w:rsid w:val="00DA32AE"/>
    <w:rsid w:val="00DA346B"/>
    <w:rsid w:val="00DA357D"/>
    <w:rsid w:val="00DA358F"/>
    <w:rsid w:val="00DA36E1"/>
    <w:rsid w:val="00DA383E"/>
    <w:rsid w:val="00DA3E60"/>
    <w:rsid w:val="00DA4036"/>
    <w:rsid w:val="00DA4133"/>
    <w:rsid w:val="00DA44F7"/>
    <w:rsid w:val="00DA467C"/>
    <w:rsid w:val="00DA4AF0"/>
    <w:rsid w:val="00DA4BAC"/>
    <w:rsid w:val="00DA514F"/>
    <w:rsid w:val="00DA51D3"/>
    <w:rsid w:val="00DA523F"/>
    <w:rsid w:val="00DA5941"/>
    <w:rsid w:val="00DA594B"/>
    <w:rsid w:val="00DA5F23"/>
    <w:rsid w:val="00DA5F36"/>
    <w:rsid w:val="00DA60AE"/>
    <w:rsid w:val="00DA684A"/>
    <w:rsid w:val="00DA6AA3"/>
    <w:rsid w:val="00DA7174"/>
    <w:rsid w:val="00DA722E"/>
    <w:rsid w:val="00DA792A"/>
    <w:rsid w:val="00DA79EE"/>
    <w:rsid w:val="00DA7DAE"/>
    <w:rsid w:val="00DB0151"/>
    <w:rsid w:val="00DB0160"/>
    <w:rsid w:val="00DB04D7"/>
    <w:rsid w:val="00DB1125"/>
    <w:rsid w:val="00DB1589"/>
    <w:rsid w:val="00DB164C"/>
    <w:rsid w:val="00DB18EA"/>
    <w:rsid w:val="00DB213F"/>
    <w:rsid w:val="00DB2381"/>
    <w:rsid w:val="00DB247A"/>
    <w:rsid w:val="00DB3DE8"/>
    <w:rsid w:val="00DB4532"/>
    <w:rsid w:val="00DB4A67"/>
    <w:rsid w:val="00DB4BC3"/>
    <w:rsid w:val="00DB50E1"/>
    <w:rsid w:val="00DB621E"/>
    <w:rsid w:val="00DB7A86"/>
    <w:rsid w:val="00DB7DE5"/>
    <w:rsid w:val="00DB7E4C"/>
    <w:rsid w:val="00DC016D"/>
    <w:rsid w:val="00DC0566"/>
    <w:rsid w:val="00DC05E1"/>
    <w:rsid w:val="00DC143D"/>
    <w:rsid w:val="00DC1493"/>
    <w:rsid w:val="00DC1499"/>
    <w:rsid w:val="00DC16CF"/>
    <w:rsid w:val="00DC1794"/>
    <w:rsid w:val="00DC23E8"/>
    <w:rsid w:val="00DC27D0"/>
    <w:rsid w:val="00DC287B"/>
    <w:rsid w:val="00DC2C14"/>
    <w:rsid w:val="00DC2C3E"/>
    <w:rsid w:val="00DC3137"/>
    <w:rsid w:val="00DC3A71"/>
    <w:rsid w:val="00DC4583"/>
    <w:rsid w:val="00DC4880"/>
    <w:rsid w:val="00DC5511"/>
    <w:rsid w:val="00DC581F"/>
    <w:rsid w:val="00DC5E90"/>
    <w:rsid w:val="00DC6B4D"/>
    <w:rsid w:val="00DC6CC9"/>
    <w:rsid w:val="00DC6EC3"/>
    <w:rsid w:val="00DC6FE8"/>
    <w:rsid w:val="00DC707C"/>
    <w:rsid w:val="00DC732A"/>
    <w:rsid w:val="00DC763E"/>
    <w:rsid w:val="00DC772B"/>
    <w:rsid w:val="00DC7D84"/>
    <w:rsid w:val="00DD0032"/>
    <w:rsid w:val="00DD0339"/>
    <w:rsid w:val="00DD04D7"/>
    <w:rsid w:val="00DD0BE9"/>
    <w:rsid w:val="00DD0E2F"/>
    <w:rsid w:val="00DD1EFE"/>
    <w:rsid w:val="00DD2239"/>
    <w:rsid w:val="00DD26F9"/>
    <w:rsid w:val="00DD2C45"/>
    <w:rsid w:val="00DD30EC"/>
    <w:rsid w:val="00DD319B"/>
    <w:rsid w:val="00DD32B6"/>
    <w:rsid w:val="00DD350E"/>
    <w:rsid w:val="00DD3873"/>
    <w:rsid w:val="00DD3B6E"/>
    <w:rsid w:val="00DD42AB"/>
    <w:rsid w:val="00DD46B0"/>
    <w:rsid w:val="00DD46F2"/>
    <w:rsid w:val="00DD48A1"/>
    <w:rsid w:val="00DD4C4B"/>
    <w:rsid w:val="00DD4ECF"/>
    <w:rsid w:val="00DD4EE8"/>
    <w:rsid w:val="00DD52B7"/>
    <w:rsid w:val="00DD574D"/>
    <w:rsid w:val="00DD57CE"/>
    <w:rsid w:val="00DD5977"/>
    <w:rsid w:val="00DD598C"/>
    <w:rsid w:val="00DD5DAB"/>
    <w:rsid w:val="00DD685C"/>
    <w:rsid w:val="00DD74AD"/>
    <w:rsid w:val="00DD75C8"/>
    <w:rsid w:val="00DE0009"/>
    <w:rsid w:val="00DE06AF"/>
    <w:rsid w:val="00DE0CF8"/>
    <w:rsid w:val="00DE1E7D"/>
    <w:rsid w:val="00DE2BD7"/>
    <w:rsid w:val="00DE323C"/>
    <w:rsid w:val="00DE405D"/>
    <w:rsid w:val="00DE451D"/>
    <w:rsid w:val="00DE45D4"/>
    <w:rsid w:val="00DE4737"/>
    <w:rsid w:val="00DE5104"/>
    <w:rsid w:val="00DE5305"/>
    <w:rsid w:val="00DE5546"/>
    <w:rsid w:val="00DE5569"/>
    <w:rsid w:val="00DE5D49"/>
    <w:rsid w:val="00DE6048"/>
    <w:rsid w:val="00DE6470"/>
    <w:rsid w:val="00DE66A4"/>
    <w:rsid w:val="00DE69FE"/>
    <w:rsid w:val="00DE6D27"/>
    <w:rsid w:val="00DE6F14"/>
    <w:rsid w:val="00DE72CD"/>
    <w:rsid w:val="00DE76EA"/>
    <w:rsid w:val="00DE78CA"/>
    <w:rsid w:val="00DE7B76"/>
    <w:rsid w:val="00DE7C03"/>
    <w:rsid w:val="00DF01F8"/>
    <w:rsid w:val="00DF021D"/>
    <w:rsid w:val="00DF04B1"/>
    <w:rsid w:val="00DF14EE"/>
    <w:rsid w:val="00DF217D"/>
    <w:rsid w:val="00DF26A7"/>
    <w:rsid w:val="00DF2E5B"/>
    <w:rsid w:val="00DF3277"/>
    <w:rsid w:val="00DF3393"/>
    <w:rsid w:val="00DF3B2A"/>
    <w:rsid w:val="00DF3FB0"/>
    <w:rsid w:val="00DF3FE7"/>
    <w:rsid w:val="00DF42BB"/>
    <w:rsid w:val="00DF438D"/>
    <w:rsid w:val="00DF59CB"/>
    <w:rsid w:val="00DF5BF6"/>
    <w:rsid w:val="00DF6840"/>
    <w:rsid w:val="00DF6A31"/>
    <w:rsid w:val="00DF7407"/>
    <w:rsid w:val="00DF7552"/>
    <w:rsid w:val="00DF77A1"/>
    <w:rsid w:val="00DF77BF"/>
    <w:rsid w:val="00DF7919"/>
    <w:rsid w:val="00DF7F74"/>
    <w:rsid w:val="00E0095B"/>
    <w:rsid w:val="00E00D37"/>
    <w:rsid w:val="00E0207E"/>
    <w:rsid w:val="00E020B2"/>
    <w:rsid w:val="00E02950"/>
    <w:rsid w:val="00E02AE6"/>
    <w:rsid w:val="00E035F0"/>
    <w:rsid w:val="00E036BB"/>
    <w:rsid w:val="00E037E2"/>
    <w:rsid w:val="00E03912"/>
    <w:rsid w:val="00E03B58"/>
    <w:rsid w:val="00E03CEF"/>
    <w:rsid w:val="00E042C5"/>
    <w:rsid w:val="00E04748"/>
    <w:rsid w:val="00E04CB8"/>
    <w:rsid w:val="00E05064"/>
    <w:rsid w:val="00E058D9"/>
    <w:rsid w:val="00E05D07"/>
    <w:rsid w:val="00E06003"/>
    <w:rsid w:val="00E060AF"/>
    <w:rsid w:val="00E06491"/>
    <w:rsid w:val="00E064A9"/>
    <w:rsid w:val="00E078D9"/>
    <w:rsid w:val="00E1008C"/>
    <w:rsid w:val="00E10293"/>
    <w:rsid w:val="00E103A0"/>
    <w:rsid w:val="00E1043F"/>
    <w:rsid w:val="00E111E9"/>
    <w:rsid w:val="00E1157E"/>
    <w:rsid w:val="00E11A28"/>
    <w:rsid w:val="00E11F44"/>
    <w:rsid w:val="00E12FAD"/>
    <w:rsid w:val="00E13785"/>
    <w:rsid w:val="00E1391F"/>
    <w:rsid w:val="00E13BCA"/>
    <w:rsid w:val="00E13E60"/>
    <w:rsid w:val="00E13FDB"/>
    <w:rsid w:val="00E146A7"/>
    <w:rsid w:val="00E147E1"/>
    <w:rsid w:val="00E1513A"/>
    <w:rsid w:val="00E15627"/>
    <w:rsid w:val="00E15B87"/>
    <w:rsid w:val="00E15C93"/>
    <w:rsid w:val="00E164B3"/>
    <w:rsid w:val="00E168F7"/>
    <w:rsid w:val="00E16910"/>
    <w:rsid w:val="00E169BB"/>
    <w:rsid w:val="00E169C0"/>
    <w:rsid w:val="00E171A7"/>
    <w:rsid w:val="00E17259"/>
    <w:rsid w:val="00E17478"/>
    <w:rsid w:val="00E17500"/>
    <w:rsid w:val="00E17739"/>
    <w:rsid w:val="00E17B18"/>
    <w:rsid w:val="00E17C04"/>
    <w:rsid w:val="00E20012"/>
    <w:rsid w:val="00E21050"/>
    <w:rsid w:val="00E21164"/>
    <w:rsid w:val="00E21765"/>
    <w:rsid w:val="00E21A53"/>
    <w:rsid w:val="00E22BDC"/>
    <w:rsid w:val="00E239E2"/>
    <w:rsid w:val="00E23B10"/>
    <w:rsid w:val="00E248DA"/>
    <w:rsid w:val="00E24944"/>
    <w:rsid w:val="00E24C3D"/>
    <w:rsid w:val="00E24D1B"/>
    <w:rsid w:val="00E24DE1"/>
    <w:rsid w:val="00E24E09"/>
    <w:rsid w:val="00E24F17"/>
    <w:rsid w:val="00E254B8"/>
    <w:rsid w:val="00E256E0"/>
    <w:rsid w:val="00E25A14"/>
    <w:rsid w:val="00E25B8D"/>
    <w:rsid w:val="00E25F03"/>
    <w:rsid w:val="00E266DF"/>
    <w:rsid w:val="00E26819"/>
    <w:rsid w:val="00E26AA2"/>
    <w:rsid w:val="00E26F69"/>
    <w:rsid w:val="00E270E1"/>
    <w:rsid w:val="00E27126"/>
    <w:rsid w:val="00E27234"/>
    <w:rsid w:val="00E2746E"/>
    <w:rsid w:val="00E27BAA"/>
    <w:rsid w:val="00E27BEE"/>
    <w:rsid w:val="00E27EC3"/>
    <w:rsid w:val="00E30018"/>
    <w:rsid w:val="00E31041"/>
    <w:rsid w:val="00E318BE"/>
    <w:rsid w:val="00E3218D"/>
    <w:rsid w:val="00E321DB"/>
    <w:rsid w:val="00E322F6"/>
    <w:rsid w:val="00E32B5E"/>
    <w:rsid w:val="00E331A0"/>
    <w:rsid w:val="00E33782"/>
    <w:rsid w:val="00E343B8"/>
    <w:rsid w:val="00E34578"/>
    <w:rsid w:val="00E3495C"/>
    <w:rsid w:val="00E34A3E"/>
    <w:rsid w:val="00E34B3C"/>
    <w:rsid w:val="00E35F90"/>
    <w:rsid w:val="00E36C8B"/>
    <w:rsid w:val="00E36EB7"/>
    <w:rsid w:val="00E3709A"/>
    <w:rsid w:val="00E37743"/>
    <w:rsid w:val="00E3796B"/>
    <w:rsid w:val="00E379FF"/>
    <w:rsid w:val="00E37ACF"/>
    <w:rsid w:val="00E40133"/>
    <w:rsid w:val="00E40210"/>
    <w:rsid w:val="00E402D7"/>
    <w:rsid w:val="00E40CE5"/>
    <w:rsid w:val="00E41DEB"/>
    <w:rsid w:val="00E4274F"/>
    <w:rsid w:val="00E4299C"/>
    <w:rsid w:val="00E42BDB"/>
    <w:rsid w:val="00E43623"/>
    <w:rsid w:val="00E43A01"/>
    <w:rsid w:val="00E440E8"/>
    <w:rsid w:val="00E444CC"/>
    <w:rsid w:val="00E445B2"/>
    <w:rsid w:val="00E44DF4"/>
    <w:rsid w:val="00E45544"/>
    <w:rsid w:val="00E46672"/>
    <w:rsid w:val="00E468A1"/>
    <w:rsid w:val="00E47485"/>
    <w:rsid w:val="00E47BB3"/>
    <w:rsid w:val="00E47FB2"/>
    <w:rsid w:val="00E5045F"/>
    <w:rsid w:val="00E50507"/>
    <w:rsid w:val="00E50948"/>
    <w:rsid w:val="00E50CB9"/>
    <w:rsid w:val="00E50F18"/>
    <w:rsid w:val="00E5107B"/>
    <w:rsid w:val="00E5122C"/>
    <w:rsid w:val="00E513BD"/>
    <w:rsid w:val="00E51BE7"/>
    <w:rsid w:val="00E524A9"/>
    <w:rsid w:val="00E526C7"/>
    <w:rsid w:val="00E53F1A"/>
    <w:rsid w:val="00E54197"/>
    <w:rsid w:val="00E54E2D"/>
    <w:rsid w:val="00E55537"/>
    <w:rsid w:val="00E5573B"/>
    <w:rsid w:val="00E55C4C"/>
    <w:rsid w:val="00E55CDD"/>
    <w:rsid w:val="00E56351"/>
    <w:rsid w:val="00E56656"/>
    <w:rsid w:val="00E56FA1"/>
    <w:rsid w:val="00E57004"/>
    <w:rsid w:val="00E5726D"/>
    <w:rsid w:val="00E57EEB"/>
    <w:rsid w:val="00E57FF6"/>
    <w:rsid w:val="00E6083E"/>
    <w:rsid w:val="00E609E1"/>
    <w:rsid w:val="00E60D96"/>
    <w:rsid w:val="00E60FF5"/>
    <w:rsid w:val="00E617FC"/>
    <w:rsid w:val="00E61896"/>
    <w:rsid w:val="00E618F6"/>
    <w:rsid w:val="00E61D19"/>
    <w:rsid w:val="00E625CC"/>
    <w:rsid w:val="00E62783"/>
    <w:rsid w:val="00E629BD"/>
    <w:rsid w:val="00E62D94"/>
    <w:rsid w:val="00E62ECC"/>
    <w:rsid w:val="00E631B0"/>
    <w:rsid w:val="00E63821"/>
    <w:rsid w:val="00E63E6A"/>
    <w:rsid w:val="00E6482E"/>
    <w:rsid w:val="00E64F37"/>
    <w:rsid w:val="00E65091"/>
    <w:rsid w:val="00E65393"/>
    <w:rsid w:val="00E65E54"/>
    <w:rsid w:val="00E66183"/>
    <w:rsid w:val="00E661C7"/>
    <w:rsid w:val="00E66290"/>
    <w:rsid w:val="00E66333"/>
    <w:rsid w:val="00E66679"/>
    <w:rsid w:val="00E66DAF"/>
    <w:rsid w:val="00E67694"/>
    <w:rsid w:val="00E67A39"/>
    <w:rsid w:val="00E70027"/>
    <w:rsid w:val="00E709B1"/>
    <w:rsid w:val="00E70E5C"/>
    <w:rsid w:val="00E710E2"/>
    <w:rsid w:val="00E718D7"/>
    <w:rsid w:val="00E71CFD"/>
    <w:rsid w:val="00E732C4"/>
    <w:rsid w:val="00E73412"/>
    <w:rsid w:val="00E73686"/>
    <w:rsid w:val="00E73A38"/>
    <w:rsid w:val="00E73E0F"/>
    <w:rsid w:val="00E73F82"/>
    <w:rsid w:val="00E73FD5"/>
    <w:rsid w:val="00E74C06"/>
    <w:rsid w:val="00E74E41"/>
    <w:rsid w:val="00E75151"/>
    <w:rsid w:val="00E7567E"/>
    <w:rsid w:val="00E75DF5"/>
    <w:rsid w:val="00E76C11"/>
    <w:rsid w:val="00E76DCC"/>
    <w:rsid w:val="00E77008"/>
    <w:rsid w:val="00E774EF"/>
    <w:rsid w:val="00E80155"/>
    <w:rsid w:val="00E80394"/>
    <w:rsid w:val="00E809E6"/>
    <w:rsid w:val="00E80E22"/>
    <w:rsid w:val="00E8134B"/>
    <w:rsid w:val="00E81530"/>
    <w:rsid w:val="00E81E0D"/>
    <w:rsid w:val="00E81F28"/>
    <w:rsid w:val="00E82089"/>
    <w:rsid w:val="00E83DB4"/>
    <w:rsid w:val="00E83E34"/>
    <w:rsid w:val="00E844C2"/>
    <w:rsid w:val="00E848C0"/>
    <w:rsid w:val="00E84BB8"/>
    <w:rsid w:val="00E84BE7"/>
    <w:rsid w:val="00E85432"/>
    <w:rsid w:val="00E85490"/>
    <w:rsid w:val="00E85CCB"/>
    <w:rsid w:val="00E85E29"/>
    <w:rsid w:val="00E86F92"/>
    <w:rsid w:val="00E86FD3"/>
    <w:rsid w:val="00E878B7"/>
    <w:rsid w:val="00E90BFB"/>
    <w:rsid w:val="00E90F70"/>
    <w:rsid w:val="00E91B96"/>
    <w:rsid w:val="00E91C8E"/>
    <w:rsid w:val="00E92891"/>
    <w:rsid w:val="00E92F2E"/>
    <w:rsid w:val="00E935DA"/>
    <w:rsid w:val="00E93763"/>
    <w:rsid w:val="00E93D1E"/>
    <w:rsid w:val="00E93FFC"/>
    <w:rsid w:val="00E940FE"/>
    <w:rsid w:val="00E941A1"/>
    <w:rsid w:val="00E9452E"/>
    <w:rsid w:val="00E94537"/>
    <w:rsid w:val="00E9465F"/>
    <w:rsid w:val="00E9471B"/>
    <w:rsid w:val="00E94732"/>
    <w:rsid w:val="00E949EB"/>
    <w:rsid w:val="00E94A21"/>
    <w:rsid w:val="00E94FB7"/>
    <w:rsid w:val="00E95C11"/>
    <w:rsid w:val="00E95CE3"/>
    <w:rsid w:val="00E95F9A"/>
    <w:rsid w:val="00E963C1"/>
    <w:rsid w:val="00E96433"/>
    <w:rsid w:val="00E96486"/>
    <w:rsid w:val="00E96E99"/>
    <w:rsid w:val="00E96FA1"/>
    <w:rsid w:val="00E97373"/>
    <w:rsid w:val="00E97D2A"/>
    <w:rsid w:val="00EA0856"/>
    <w:rsid w:val="00EA0B0C"/>
    <w:rsid w:val="00EA19BE"/>
    <w:rsid w:val="00EA1DC4"/>
    <w:rsid w:val="00EA1DF3"/>
    <w:rsid w:val="00EA208A"/>
    <w:rsid w:val="00EA23AE"/>
    <w:rsid w:val="00EA252F"/>
    <w:rsid w:val="00EA2825"/>
    <w:rsid w:val="00EA2C25"/>
    <w:rsid w:val="00EA33AF"/>
    <w:rsid w:val="00EA3B1C"/>
    <w:rsid w:val="00EA3C47"/>
    <w:rsid w:val="00EA3C48"/>
    <w:rsid w:val="00EA5027"/>
    <w:rsid w:val="00EA63E2"/>
    <w:rsid w:val="00EA64C2"/>
    <w:rsid w:val="00EA6518"/>
    <w:rsid w:val="00EA6FD7"/>
    <w:rsid w:val="00EA71A2"/>
    <w:rsid w:val="00EA7466"/>
    <w:rsid w:val="00EA7927"/>
    <w:rsid w:val="00EA7EDE"/>
    <w:rsid w:val="00EB03CB"/>
    <w:rsid w:val="00EB0B09"/>
    <w:rsid w:val="00EB0B63"/>
    <w:rsid w:val="00EB0EB5"/>
    <w:rsid w:val="00EB1936"/>
    <w:rsid w:val="00EB1D6B"/>
    <w:rsid w:val="00EB2825"/>
    <w:rsid w:val="00EB2B75"/>
    <w:rsid w:val="00EB2D17"/>
    <w:rsid w:val="00EB3545"/>
    <w:rsid w:val="00EB3762"/>
    <w:rsid w:val="00EB37BE"/>
    <w:rsid w:val="00EB3CA0"/>
    <w:rsid w:val="00EB3D06"/>
    <w:rsid w:val="00EB4053"/>
    <w:rsid w:val="00EB47B3"/>
    <w:rsid w:val="00EB4BAE"/>
    <w:rsid w:val="00EB5088"/>
    <w:rsid w:val="00EB55D2"/>
    <w:rsid w:val="00EB5F68"/>
    <w:rsid w:val="00EB62A4"/>
    <w:rsid w:val="00EB7210"/>
    <w:rsid w:val="00EB7215"/>
    <w:rsid w:val="00EB74C3"/>
    <w:rsid w:val="00EB7713"/>
    <w:rsid w:val="00EB7A11"/>
    <w:rsid w:val="00EB7D20"/>
    <w:rsid w:val="00EC06E8"/>
    <w:rsid w:val="00EC0C5A"/>
    <w:rsid w:val="00EC15D9"/>
    <w:rsid w:val="00EC1ACE"/>
    <w:rsid w:val="00EC1F37"/>
    <w:rsid w:val="00EC271A"/>
    <w:rsid w:val="00EC2726"/>
    <w:rsid w:val="00EC2729"/>
    <w:rsid w:val="00EC3803"/>
    <w:rsid w:val="00EC3A96"/>
    <w:rsid w:val="00EC3C5E"/>
    <w:rsid w:val="00EC4292"/>
    <w:rsid w:val="00EC4456"/>
    <w:rsid w:val="00EC4D93"/>
    <w:rsid w:val="00EC539A"/>
    <w:rsid w:val="00EC575E"/>
    <w:rsid w:val="00EC57F9"/>
    <w:rsid w:val="00EC5974"/>
    <w:rsid w:val="00EC6303"/>
    <w:rsid w:val="00EC632F"/>
    <w:rsid w:val="00EC681C"/>
    <w:rsid w:val="00EC6BF6"/>
    <w:rsid w:val="00EC745E"/>
    <w:rsid w:val="00EC77E3"/>
    <w:rsid w:val="00EC78E8"/>
    <w:rsid w:val="00EC7B87"/>
    <w:rsid w:val="00EC7C9B"/>
    <w:rsid w:val="00EC7D4F"/>
    <w:rsid w:val="00ED07B0"/>
    <w:rsid w:val="00ED0B16"/>
    <w:rsid w:val="00ED0C8C"/>
    <w:rsid w:val="00ED0D56"/>
    <w:rsid w:val="00ED1369"/>
    <w:rsid w:val="00ED15FA"/>
    <w:rsid w:val="00ED1644"/>
    <w:rsid w:val="00ED18A7"/>
    <w:rsid w:val="00ED1CA6"/>
    <w:rsid w:val="00ED20CE"/>
    <w:rsid w:val="00ED22CE"/>
    <w:rsid w:val="00ED24ED"/>
    <w:rsid w:val="00ED2593"/>
    <w:rsid w:val="00ED2AB9"/>
    <w:rsid w:val="00ED2B8C"/>
    <w:rsid w:val="00ED331D"/>
    <w:rsid w:val="00ED3395"/>
    <w:rsid w:val="00ED3709"/>
    <w:rsid w:val="00ED38BE"/>
    <w:rsid w:val="00ED432F"/>
    <w:rsid w:val="00ED4883"/>
    <w:rsid w:val="00ED4EAE"/>
    <w:rsid w:val="00ED5450"/>
    <w:rsid w:val="00ED54F5"/>
    <w:rsid w:val="00ED598A"/>
    <w:rsid w:val="00ED5B7B"/>
    <w:rsid w:val="00ED637E"/>
    <w:rsid w:val="00ED6E34"/>
    <w:rsid w:val="00ED705C"/>
    <w:rsid w:val="00ED71AC"/>
    <w:rsid w:val="00ED7D55"/>
    <w:rsid w:val="00ED7D9C"/>
    <w:rsid w:val="00EE00A7"/>
    <w:rsid w:val="00EE04D9"/>
    <w:rsid w:val="00EE05A6"/>
    <w:rsid w:val="00EE09A0"/>
    <w:rsid w:val="00EE0A5A"/>
    <w:rsid w:val="00EE0D34"/>
    <w:rsid w:val="00EE0DD2"/>
    <w:rsid w:val="00EE1285"/>
    <w:rsid w:val="00EE1606"/>
    <w:rsid w:val="00EE1A97"/>
    <w:rsid w:val="00EE1DC0"/>
    <w:rsid w:val="00EE1EA7"/>
    <w:rsid w:val="00EE2F77"/>
    <w:rsid w:val="00EE302D"/>
    <w:rsid w:val="00EE3062"/>
    <w:rsid w:val="00EE3158"/>
    <w:rsid w:val="00EE31A2"/>
    <w:rsid w:val="00EE3458"/>
    <w:rsid w:val="00EE3668"/>
    <w:rsid w:val="00EE3A34"/>
    <w:rsid w:val="00EE4289"/>
    <w:rsid w:val="00EE4329"/>
    <w:rsid w:val="00EE4C5B"/>
    <w:rsid w:val="00EE55FE"/>
    <w:rsid w:val="00EE5FBA"/>
    <w:rsid w:val="00EE5FBB"/>
    <w:rsid w:val="00EE6203"/>
    <w:rsid w:val="00EE628C"/>
    <w:rsid w:val="00EE6D88"/>
    <w:rsid w:val="00EE7121"/>
    <w:rsid w:val="00EE7AA1"/>
    <w:rsid w:val="00EE7AB0"/>
    <w:rsid w:val="00EF0069"/>
    <w:rsid w:val="00EF05BC"/>
    <w:rsid w:val="00EF05FF"/>
    <w:rsid w:val="00EF07A7"/>
    <w:rsid w:val="00EF108B"/>
    <w:rsid w:val="00EF229C"/>
    <w:rsid w:val="00EF235D"/>
    <w:rsid w:val="00EF2C00"/>
    <w:rsid w:val="00EF2E8B"/>
    <w:rsid w:val="00EF2EF5"/>
    <w:rsid w:val="00EF3C52"/>
    <w:rsid w:val="00EF3DBD"/>
    <w:rsid w:val="00EF4109"/>
    <w:rsid w:val="00EF4321"/>
    <w:rsid w:val="00EF44A0"/>
    <w:rsid w:val="00EF4580"/>
    <w:rsid w:val="00EF4630"/>
    <w:rsid w:val="00EF49A2"/>
    <w:rsid w:val="00EF4FED"/>
    <w:rsid w:val="00EF52B5"/>
    <w:rsid w:val="00EF5F45"/>
    <w:rsid w:val="00EF60F2"/>
    <w:rsid w:val="00EF6560"/>
    <w:rsid w:val="00EF6843"/>
    <w:rsid w:val="00EF68B4"/>
    <w:rsid w:val="00EF6941"/>
    <w:rsid w:val="00EF6A65"/>
    <w:rsid w:val="00EF6DC4"/>
    <w:rsid w:val="00EF6FB3"/>
    <w:rsid w:val="00EF7111"/>
    <w:rsid w:val="00EF744B"/>
    <w:rsid w:val="00EF7E14"/>
    <w:rsid w:val="00F0068B"/>
    <w:rsid w:val="00F007C6"/>
    <w:rsid w:val="00F00880"/>
    <w:rsid w:val="00F00BA2"/>
    <w:rsid w:val="00F00CCE"/>
    <w:rsid w:val="00F01047"/>
    <w:rsid w:val="00F0107F"/>
    <w:rsid w:val="00F01120"/>
    <w:rsid w:val="00F0172E"/>
    <w:rsid w:val="00F0183F"/>
    <w:rsid w:val="00F01AC9"/>
    <w:rsid w:val="00F01FEA"/>
    <w:rsid w:val="00F02E46"/>
    <w:rsid w:val="00F0386F"/>
    <w:rsid w:val="00F049A2"/>
    <w:rsid w:val="00F050BD"/>
    <w:rsid w:val="00F05391"/>
    <w:rsid w:val="00F05648"/>
    <w:rsid w:val="00F05657"/>
    <w:rsid w:val="00F05AB0"/>
    <w:rsid w:val="00F068B2"/>
    <w:rsid w:val="00F06FAF"/>
    <w:rsid w:val="00F07280"/>
    <w:rsid w:val="00F07586"/>
    <w:rsid w:val="00F105F2"/>
    <w:rsid w:val="00F10805"/>
    <w:rsid w:val="00F10E79"/>
    <w:rsid w:val="00F10F61"/>
    <w:rsid w:val="00F115C4"/>
    <w:rsid w:val="00F11AF5"/>
    <w:rsid w:val="00F121C1"/>
    <w:rsid w:val="00F1240B"/>
    <w:rsid w:val="00F12B0F"/>
    <w:rsid w:val="00F12C74"/>
    <w:rsid w:val="00F12DEA"/>
    <w:rsid w:val="00F13214"/>
    <w:rsid w:val="00F132DE"/>
    <w:rsid w:val="00F13822"/>
    <w:rsid w:val="00F15159"/>
    <w:rsid w:val="00F1559A"/>
    <w:rsid w:val="00F1596C"/>
    <w:rsid w:val="00F15D13"/>
    <w:rsid w:val="00F1607E"/>
    <w:rsid w:val="00F163F1"/>
    <w:rsid w:val="00F16EAA"/>
    <w:rsid w:val="00F173D7"/>
    <w:rsid w:val="00F175E3"/>
    <w:rsid w:val="00F17B83"/>
    <w:rsid w:val="00F17ED6"/>
    <w:rsid w:val="00F20476"/>
    <w:rsid w:val="00F20676"/>
    <w:rsid w:val="00F208A9"/>
    <w:rsid w:val="00F209E2"/>
    <w:rsid w:val="00F21022"/>
    <w:rsid w:val="00F21F83"/>
    <w:rsid w:val="00F224EC"/>
    <w:rsid w:val="00F22A2F"/>
    <w:rsid w:val="00F22DBE"/>
    <w:rsid w:val="00F22FA9"/>
    <w:rsid w:val="00F238AA"/>
    <w:rsid w:val="00F2398F"/>
    <w:rsid w:val="00F23DE9"/>
    <w:rsid w:val="00F24284"/>
    <w:rsid w:val="00F25213"/>
    <w:rsid w:val="00F25578"/>
    <w:rsid w:val="00F25707"/>
    <w:rsid w:val="00F2576C"/>
    <w:rsid w:val="00F258E1"/>
    <w:rsid w:val="00F258E5"/>
    <w:rsid w:val="00F25B9C"/>
    <w:rsid w:val="00F25E90"/>
    <w:rsid w:val="00F261DD"/>
    <w:rsid w:val="00F2675A"/>
    <w:rsid w:val="00F26CC6"/>
    <w:rsid w:val="00F26D80"/>
    <w:rsid w:val="00F300BC"/>
    <w:rsid w:val="00F305FA"/>
    <w:rsid w:val="00F30A4C"/>
    <w:rsid w:val="00F30B29"/>
    <w:rsid w:val="00F3181E"/>
    <w:rsid w:val="00F31F17"/>
    <w:rsid w:val="00F321DD"/>
    <w:rsid w:val="00F3263C"/>
    <w:rsid w:val="00F32CCE"/>
    <w:rsid w:val="00F332BB"/>
    <w:rsid w:val="00F3334E"/>
    <w:rsid w:val="00F33C18"/>
    <w:rsid w:val="00F33C3F"/>
    <w:rsid w:val="00F345BE"/>
    <w:rsid w:val="00F34636"/>
    <w:rsid w:val="00F34D1D"/>
    <w:rsid w:val="00F35356"/>
    <w:rsid w:val="00F3573A"/>
    <w:rsid w:val="00F35E8B"/>
    <w:rsid w:val="00F36CCB"/>
    <w:rsid w:val="00F36D11"/>
    <w:rsid w:val="00F37054"/>
    <w:rsid w:val="00F37395"/>
    <w:rsid w:val="00F37415"/>
    <w:rsid w:val="00F374E5"/>
    <w:rsid w:val="00F37B93"/>
    <w:rsid w:val="00F37BAD"/>
    <w:rsid w:val="00F37ECA"/>
    <w:rsid w:val="00F37FF9"/>
    <w:rsid w:val="00F4051A"/>
    <w:rsid w:val="00F4084D"/>
    <w:rsid w:val="00F40904"/>
    <w:rsid w:val="00F40A1C"/>
    <w:rsid w:val="00F40B97"/>
    <w:rsid w:val="00F41A25"/>
    <w:rsid w:val="00F420B9"/>
    <w:rsid w:val="00F426A1"/>
    <w:rsid w:val="00F429EF"/>
    <w:rsid w:val="00F4306C"/>
    <w:rsid w:val="00F436F5"/>
    <w:rsid w:val="00F437A0"/>
    <w:rsid w:val="00F43AF2"/>
    <w:rsid w:val="00F4456A"/>
    <w:rsid w:val="00F4468B"/>
    <w:rsid w:val="00F44D1F"/>
    <w:rsid w:val="00F45086"/>
    <w:rsid w:val="00F45216"/>
    <w:rsid w:val="00F456C1"/>
    <w:rsid w:val="00F45922"/>
    <w:rsid w:val="00F467AE"/>
    <w:rsid w:val="00F4685D"/>
    <w:rsid w:val="00F46F3B"/>
    <w:rsid w:val="00F5007E"/>
    <w:rsid w:val="00F50891"/>
    <w:rsid w:val="00F508F6"/>
    <w:rsid w:val="00F50CC4"/>
    <w:rsid w:val="00F50EC4"/>
    <w:rsid w:val="00F50F13"/>
    <w:rsid w:val="00F51019"/>
    <w:rsid w:val="00F51294"/>
    <w:rsid w:val="00F52232"/>
    <w:rsid w:val="00F527B1"/>
    <w:rsid w:val="00F52DC2"/>
    <w:rsid w:val="00F53393"/>
    <w:rsid w:val="00F53723"/>
    <w:rsid w:val="00F54AF9"/>
    <w:rsid w:val="00F550CF"/>
    <w:rsid w:val="00F553D2"/>
    <w:rsid w:val="00F55859"/>
    <w:rsid w:val="00F55CF2"/>
    <w:rsid w:val="00F560FC"/>
    <w:rsid w:val="00F566C7"/>
    <w:rsid w:val="00F56A2D"/>
    <w:rsid w:val="00F56B4B"/>
    <w:rsid w:val="00F577B0"/>
    <w:rsid w:val="00F579B4"/>
    <w:rsid w:val="00F57A21"/>
    <w:rsid w:val="00F57A6D"/>
    <w:rsid w:val="00F600F8"/>
    <w:rsid w:val="00F6044B"/>
    <w:rsid w:val="00F6051D"/>
    <w:rsid w:val="00F60751"/>
    <w:rsid w:val="00F60BAE"/>
    <w:rsid w:val="00F60D6F"/>
    <w:rsid w:val="00F61428"/>
    <w:rsid w:val="00F617B8"/>
    <w:rsid w:val="00F61AFE"/>
    <w:rsid w:val="00F626A9"/>
    <w:rsid w:val="00F62734"/>
    <w:rsid w:val="00F62C80"/>
    <w:rsid w:val="00F62DD0"/>
    <w:rsid w:val="00F62F19"/>
    <w:rsid w:val="00F63072"/>
    <w:rsid w:val="00F63329"/>
    <w:rsid w:val="00F63670"/>
    <w:rsid w:val="00F638CC"/>
    <w:rsid w:val="00F63CE8"/>
    <w:rsid w:val="00F64AD1"/>
    <w:rsid w:val="00F64B42"/>
    <w:rsid w:val="00F64C9E"/>
    <w:rsid w:val="00F64CC1"/>
    <w:rsid w:val="00F64FC8"/>
    <w:rsid w:val="00F65592"/>
    <w:rsid w:val="00F65BA6"/>
    <w:rsid w:val="00F65FF1"/>
    <w:rsid w:val="00F65FFA"/>
    <w:rsid w:val="00F661EE"/>
    <w:rsid w:val="00F66A66"/>
    <w:rsid w:val="00F66C40"/>
    <w:rsid w:val="00F66E4F"/>
    <w:rsid w:val="00F6714F"/>
    <w:rsid w:val="00F675FA"/>
    <w:rsid w:val="00F67742"/>
    <w:rsid w:val="00F708B1"/>
    <w:rsid w:val="00F7166E"/>
    <w:rsid w:val="00F71986"/>
    <w:rsid w:val="00F71B1A"/>
    <w:rsid w:val="00F71C94"/>
    <w:rsid w:val="00F72317"/>
    <w:rsid w:val="00F734E7"/>
    <w:rsid w:val="00F73B55"/>
    <w:rsid w:val="00F73DC1"/>
    <w:rsid w:val="00F74DE2"/>
    <w:rsid w:val="00F753B7"/>
    <w:rsid w:val="00F75AC7"/>
    <w:rsid w:val="00F75B61"/>
    <w:rsid w:val="00F75BB8"/>
    <w:rsid w:val="00F76C48"/>
    <w:rsid w:val="00F76EE7"/>
    <w:rsid w:val="00F7718A"/>
    <w:rsid w:val="00F774AE"/>
    <w:rsid w:val="00F77547"/>
    <w:rsid w:val="00F77714"/>
    <w:rsid w:val="00F80023"/>
    <w:rsid w:val="00F80475"/>
    <w:rsid w:val="00F805A5"/>
    <w:rsid w:val="00F806DD"/>
    <w:rsid w:val="00F80E6E"/>
    <w:rsid w:val="00F81390"/>
    <w:rsid w:val="00F81F7A"/>
    <w:rsid w:val="00F8247A"/>
    <w:rsid w:val="00F82E5C"/>
    <w:rsid w:val="00F830EF"/>
    <w:rsid w:val="00F8316A"/>
    <w:rsid w:val="00F8345B"/>
    <w:rsid w:val="00F836D4"/>
    <w:rsid w:val="00F83E86"/>
    <w:rsid w:val="00F83F58"/>
    <w:rsid w:val="00F840DD"/>
    <w:rsid w:val="00F844AE"/>
    <w:rsid w:val="00F84E92"/>
    <w:rsid w:val="00F85206"/>
    <w:rsid w:val="00F86626"/>
    <w:rsid w:val="00F86A5E"/>
    <w:rsid w:val="00F86C56"/>
    <w:rsid w:val="00F8720E"/>
    <w:rsid w:val="00F87B02"/>
    <w:rsid w:val="00F87B6A"/>
    <w:rsid w:val="00F87C7A"/>
    <w:rsid w:val="00F87CEA"/>
    <w:rsid w:val="00F911F2"/>
    <w:rsid w:val="00F91A6A"/>
    <w:rsid w:val="00F91C6B"/>
    <w:rsid w:val="00F9245E"/>
    <w:rsid w:val="00F9265D"/>
    <w:rsid w:val="00F928C8"/>
    <w:rsid w:val="00F92F70"/>
    <w:rsid w:val="00F9331F"/>
    <w:rsid w:val="00F93642"/>
    <w:rsid w:val="00F94038"/>
    <w:rsid w:val="00F940BA"/>
    <w:rsid w:val="00F944E2"/>
    <w:rsid w:val="00F94B2C"/>
    <w:rsid w:val="00F94D23"/>
    <w:rsid w:val="00F94E47"/>
    <w:rsid w:val="00F95430"/>
    <w:rsid w:val="00F95CF6"/>
    <w:rsid w:val="00F9629A"/>
    <w:rsid w:val="00F9659D"/>
    <w:rsid w:val="00F96B8A"/>
    <w:rsid w:val="00F96BF6"/>
    <w:rsid w:val="00F9749E"/>
    <w:rsid w:val="00F978C4"/>
    <w:rsid w:val="00F97EFC"/>
    <w:rsid w:val="00FA0271"/>
    <w:rsid w:val="00FA04EF"/>
    <w:rsid w:val="00FA0968"/>
    <w:rsid w:val="00FA0B04"/>
    <w:rsid w:val="00FA0C7C"/>
    <w:rsid w:val="00FA10B3"/>
    <w:rsid w:val="00FA1BDD"/>
    <w:rsid w:val="00FA1E81"/>
    <w:rsid w:val="00FA20B8"/>
    <w:rsid w:val="00FA25E5"/>
    <w:rsid w:val="00FA262B"/>
    <w:rsid w:val="00FA26A1"/>
    <w:rsid w:val="00FA293F"/>
    <w:rsid w:val="00FA305C"/>
    <w:rsid w:val="00FA3300"/>
    <w:rsid w:val="00FA3529"/>
    <w:rsid w:val="00FA3955"/>
    <w:rsid w:val="00FA417D"/>
    <w:rsid w:val="00FA433E"/>
    <w:rsid w:val="00FA462E"/>
    <w:rsid w:val="00FA47AF"/>
    <w:rsid w:val="00FA4BF4"/>
    <w:rsid w:val="00FA4C4C"/>
    <w:rsid w:val="00FA4D76"/>
    <w:rsid w:val="00FA4DD5"/>
    <w:rsid w:val="00FA56F1"/>
    <w:rsid w:val="00FA5883"/>
    <w:rsid w:val="00FA6055"/>
    <w:rsid w:val="00FA6446"/>
    <w:rsid w:val="00FA6ED7"/>
    <w:rsid w:val="00FB027F"/>
    <w:rsid w:val="00FB04FB"/>
    <w:rsid w:val="00FB0B39"/>
    <w:rsid w:val="00FB0E11"/>
    <w:rsid w:val="00FB16CE"/>
    <w:rsid w:val="00FB21EC"/>
    <w:rsid w:val="00FB27A1"/>
    <w:rsid w:val="00FB2885"/>
    <w:rsid w:val="00FB2C84"/>
    <w:rsid w:val="00FB322F"/>
    <w:rsid w:val="00FB3251"/>
    <w:rsid w:val="00FB442F"/>
    <w:rsid w:val="00FB4895"/>
    <w:rsid w:val="00FB4BE1"/>
    <w:rsid w:val="00FB619C"/>
    <w:rsid w:val="00FB663D"/>
    <w:rsid w:val="00FB7702"/>
    <w:rsid w:val="00FB7D8A"/>
    <w:rsid w:val="00FC0190"/>
    <w:rsid w:val="00FC118C"/>
    <w:rsid w:val="00FC1511"/>
    <w:rsid w:val="00FC1929"/>
    <w:rsid w:val="00FC281D"/>
    <w:rsid w:val="00FC2C09"/>
    <w:rsid w:val="00FC3530"/>
    <w:rsid w:val="00FC368E"/>
    <w:rsid w:val="00FC3B8D"/>
    <w:rsid w:val="00FC3C17"/>
    <w:rsid w:val="00FC3EC1"/>
    <w:rsid w:val="00FC403B"/>
    <w:rsid w:val="00FC418F"/>
    <w:rsid w:val="00FC55AF"/>
    <w:rsid w:val="00FC5B46"/>
    <w:rsid w:val="00FC5B81"/>
    <w:rsid w:val="00FC5E95"/>
    <w:rsid w:val="00FC6673"/>
    <w:rsid w:val="00FC701F"/>
    <w:rsid w:val="00FC73D9"/>
    <w:rsid w:val="00FC7F22"/>
    <w:rsid w:val="00FD0A48"/>
    <w:rsid w:val="00FD0AE7"/>
    <w:rsid w:val="00FD14F3"/>
    <w:rsid w:val="00FD1D4F"/>
    <w:rsid w:val="00FD2030"/>
    <w:rsid w:val="00FD217C"/>
    <w:rsid w:val="00FD24BF"/>
    <w:rsid w:val="00FD2CCD"/>
    <w:rsid w:val="00FD3B6E"/>
    <w:rsid w:val="00FD3E2C"/>
    <w:rsid w:val="00FD3FA4"/>
    <w:rsid w:val="00FD4140"/>
    <w:rsid w:val="00FD41AC"/>
    <w:rsid w:val="00FD4231"/>
    <w:rsid w:val="00FD4569"/>
    <w:rsid w:val="00FD468E"/>
    <w:rsid w:val="00FD46BD"/>
    <w:rsid w:val="00FD57EB"/>
    <w:rsid w:val="00FD5B46"/>
    <w:rsid w:val="00FD5F6A"/>
    <w:rsid w:val="00FD6D8E"/>
    <w:rsid w:val="00FD76A6"/>
    <w:rsid w:val="00FD7A2C"/>
    <w:rsid w:val="00FE031C"/>
    <w:rsid w:val="00FE0663"/>
    <w:rsid w:val="00FE0E94"/>
    <w:rsid w:val="00FE10E3"/>
    <w:rsid w:val="00FE1285"/>
    <w:rsid w:val="00FE1C27"/>
    <w:rsid w:val="00FE1C43"/>
    <w:rsid w:val="00FE28A1"/>
    <w:rsid w:val="00FE2B1C"/>
    <w:rsid w:val="00FE316F"/>
    <w:rsid w:val="00FE31BD"/>
    <w:rsid w:val="00FE3427"/>
    <w:rsid w:val="00FE35C4"/>
    <w:rsid w:val="00FE369C"/>
    <w:rsid w:val="00FE36DA"/>
    <w:rsid w:val="00FE3855"/>
    <w:rsid w:val="00FE3CD9"/>
    <w:rsid w:val="00FE40B8"/>
    <w:rsid w:val="00FE48A0"/>
    <w:rsid w:val="00FE48B7"/>
    <w:rsid w:val="00FE5165"/>
    <w:rsid w:val="00FE562E"/>
    <w:rsid w:val="00FE56BD"/>
    <w:rsid w:val="00FE5E2E"/>
    <w:rsid w:val="00FE61E9"/>
    <w:rsid w:val="00FE633C"/>
    <w:rsid w:val="00FE6672"/>
    <w:rsid w:val="00FE6CA1"/>
    <w:rsid w:val="00FE75D4"/>
    <w:rsid w:val="00FE7662"/>
    <w:rsid w:val="00FE7AC0"/>
    <w:rsid w:val="00FF00BD"/>
    <w:rsid w:val="00FF0598"/>
    <w:rsid w:val="00FF067C"/>
    <w:rsid w:val="00FF0B13"/>
    <w:rsid w:val="00FF0D5E"/>
    <w:rsid w:val="00FF133D"/>
    <w:rsid w:val="00FF1672"/>
    <w:rsid w:val="00FF1ED4"/>
    <w:rsid w:val="00FF208F"/>
    <w:rsid w:val="00FF23D5"/>
    <w:rsid w:val="00FF2801"/>
    <w:rsid w:val="00FF363D"/>
    <w:rsid w:val="00FF3834"/>
    <w:rsid w:val="00FF3BA4"/>
    <w:rsid w:val="00FF3D96"/>
    <w:rsid w:val="00FF3EDD"/>
    <w:rsid w:val="00FF4215"/>
    <w:rsid w:val="00FF529E"/>
    <w:rsid w:val="00FF5ACF"/>
    <w:rsid w:val="00FF7142"/>
    <w:rsid w:val="00FF7535"/>
    <w:rsid w:val="00FF799B"/>
    <w:rsid w:val="010B7CDB"/>
    <w:rsid w:val="0110354F"/>
    <w:rsid w:val="01146C85"/>
    <w:rsid w:val="011B290B"/>
    <w:rsid w:val="011E556D"/>
    <w:rsid w:val="012A7082"/>
    <w:rsid w:val="0143FC8B"/>
    <w:rsid w:val="01472274"/>
    <w:rsid w:val="01BAC867"/>
    <w:rsid w:val="01D795C9"/>
    <w:rsid w:val="01FF24BF"/>
    <w:rsid w:val="0254441C"/>
    <w:rsid w:val="028A6AAB"/>
    <w:rsid w:val="028F79CA"/>
    <w:rsid w:val="02A6FCC1"/>
    <w:rsid w:val="02E816C3"/>
    <w:rsid w:val="030B8638"/>
    <w:rsid w:val="030BBEFD"/>
    <w:rsid w:val="032394EB"/>
    <w:rsid w:val="033B2F40"/>
    <w:rsid w:val="0373B717"/>
    <w:rsid w:val="0383C7CB"/>
    <w:rsid w:val="0437B5A4"/>
    <w:rsid w:val="0452F3A5"/>
    <w:rsid w:val="04581576"/>
    <w:rsid w:val="04A12F4E"/>
    <w:rsid w:val="04CDCE6F"/>
    <w:rsid w:val="04DBE9EA"/>
    <w:rsid w:val="05182518"/>
    <w:rsid w:val="051D99F9"/>
    <w:rsid w:val="053F3966"/>
    <w:rsid w:val="054A30AB"/>
    <w:rsid w:val="059BA897"/>
    <w:rsid w:val="05B612E3"/>
    <w:rsid w:val="05E3C4FE"/>
    <w:rsid w:val="0605216C"/>
    <w:rsid w:val="061CFFAE"/>
    <w:rsid w:val="063EE9F7"/>
    <w:rsid w:val="06785E52"/>
    <w:rsid w:val="069F379E"/>
    <w:rsid w:val="06B0C22E"/>
    <w:rsid w:val="06C82343"/>
    <w:rsid w:val="073B0B86"/>
    <w:rsid w:val="076CEE75"/>
    <w:rsid w:val="07CB2263"/>
    <w:rsid w:val="07E6277F"/>
    <w:rsid w:val="0814174D"/>
    <w:rsid w:val="08185FB9"/>
    <w:rsid w:val="082A09EB"/>
    <w:rsid w:val="089BC592"/>
    <w:rsid w:val="08C9F2AA"/>
    <w:rsid w:val="099ECC0A"/>
    <w:rsid w:val="09E72D1F"/>
    <w:rsid w:val="09F74B9E"/>
    <w:rsid w:val="0A0C7AE1"/>
    <w:rsid w:val="0A5146E6"/>
    <w:rsid w:val="0A5C58A8"/>
    <w:rsid w:val="0A663D94"/>
    <w:rsid w:val="0A90B956"/>
    <w:rsid w:val="0AB41A9D"/>
    <w:rsid w:val="0AD7060D"/>
    <w:rsid w:val="0AEBE987"/>
    <w:rsid w:val="0B1BF5E7"/>
    <w:rsid w:val="0B297A4D"/>
    <w:rsid w:val="0B491F80"/>
    <w:rsid w:val="0B4DE7B8"/>
    <w:rsid w:val="0B6A9A2D"/>
    <w:rsid w:val="0BE120D2"/>
    <w:rsid w:val="0C0D7604"/>
    <w:rsid w:val="0C247B2D"/>
    <w:rsid w:val="0C913604"/>
    <w:rsid w:val="0CBC8981"/>
    <w:rsid w:val="0CC0DC81"/>
    <w:rsid w:val="0CF130DF"/>
    <w:rsid w:val="0CF24AF1"/>
    <w:rsid w:val="0CFE1DFD"/>
    <w:rsid w:val="0D4FC7CF"/>
    <w:rsid w:val="0D562056"/>
    <w:rsid w:val="0D780AA2"/>
    <w:rsid w:val="0DA129A1"/>
    <w:rsid w:val="0DB384EB"/>
    <w:rsid w:val="0DBEB03F"/>
    <w:rsid w:val="0DC4E36E"/>
    <w:rsid w:val="0E5E506F"/>
    <w:rsid w:val="0E93FEDE"/>
    <w:rsid w:val="0EDFD1CF"/>
    <w:rsid w:val="0F1FBD58"/>
    <w:rsid w:val="0F29D49C"/>
    <w:rsid w:val="0F5CF529"/>
    <w:rsid w:val="0FC31246"/>
    <w:rsid w:val="10005CB5"/>
    <w:rsid w:val="10090DC2"/>
    <w:rsid w:val="1023E0F9"/>
    <w:rsid w:val="10995A07"/>
    <w:rsid w:val="10A04C29"/>
    <w:rsid w:val="10C736D2"/>
    <w:rsid w:val="11220143"/>
    <w:rsid w:val="11714B49"/>
    <w:rsid w:val="11EB323E"/>
    <w:rsid w:val="120BD672"/>
    <w:rsid w:val="1272477B"/>
    <w:rsid w:val="127CBA09"/>
    <w:rsid w:val="1288F602"/>
    <w:rsid w:val="129DDF9F"/>
    <w:rsid w:val="12B95C68"/>
    <w:rsid w:val="12C01D7A"/>
    <w:rsid w:val="131DE816"/>
    <w:rsid w:val="137718C5"/>
    <w:rsid w:val="13C4D26C"/>
    <w:rsid w:val="1408DB2F"/>
    <w:rsid w:val="14186A6A"/>
    <w:rsid w:val="145EC178"/>
    <w:rsid w:val="14A0EAB0"/>
    <w:rsid w:val="14ADEF71"/>
    <w:rsid w:val="14F07869"/>
    <w:rsid w:val="15107A79"/>
    <w:rsid w:val="152EA1E6"/>
    <w:rsid w:val="15364FB3"/>
    <w:rsid w:val="154A0C94"/>
    <w:rsid w:val="1559BAC6"/>
    <w:rsid w:val="1579E633"/>
    <w:rsid w:val="162998A6"/>
    <w:rsid w:val="16576702"/>
    <w:rsid w:val="168DE0EF"/>
    <w:rsid w:val="16A2948B"/>
    <w:rsid w:val="1713B316"/>
    <w:rsid w:val="172A9C05"/>
    <w:rsid w:val="17800645"/>
    <w:rsid w:val="17FD5F39"/>
    <w:rsid w:val="1858EA84"/>
    <w:rsid w:val="18657CF4"/>
    <w:rsid w:val="18CCD7C0"/>
    <w:rsid w:val="18E0B0C9"/>
    <w:rsid w:val="18E17650"/>
    <w:rsid w:val="18F5E065"/>
    <w:rsid w:val="190DD6A3"/>
    <w:rsid w:val="191E2160"/>
    <w:rsid w:val="19754DB7"/>
    <w:rsid w:val="19890FA6"/>
    <w:rsid w:val="19B44400"/>
    <w:rsid w:val="19F2311B"/>
    <w:rsid w:val="19F7AA11"/>
    <w:rsid w:val="1A0D3C6A"/>
    <w:rsid w:val="1A0F31D8"/>
    <w:rsid w:val="1A1296D6"/>
    <w:rsid w:val="1A2D1BE7"/>
    <w:rsid w:val="1A821EBB"/>
    <w:rsid w:val="1A8A0C43"/>
    <w:rsid w:val="1AC26D22"/>
    <w:rsid w:val="1ACCDD2A"/>
    <w:rsid w:val="1AD25BAF"/>
    <w:rsid w:val="1B0BFFE7"/>
    <w:rsid w:val="1B4DABE9"/>
    <w:rsid w:val="1B65350E"/>
    <w:rsid w:val="1BE41B85"/>
    <w:rsid w:val="1BFEF337"/>
    <w:rsid w:val="1C1241DF"/>
    <w:rsid w:val="1C428B46"/>
    <w:rsid w:val="1C454BF6"/>
    <w:rsid w:val="1C9B98FE"/>
    <w:rsid w:val="1D1AD1A4"/>
    <w:rsid w:val="1D4E7C25"/>
    <w:rsid w:val="1D5FBA8F"/>
    <w:rsid w:val="1D6033D6"/>
    <w:rsid w:val="1DDBDA0D"/>
    <w:rsid w:val="1E351E70"/>
    <w:rsid w:val="1E382E8C"/>
    <w:rsid w:val="1E3C0A4B"/>
    <w:rsid w:val="1E938E64"/>
    <w:rsid w:val="1EAFF635"/>
    <w:rsid w:val="1ED9B949"/>
    <w:rsid w:val="1F1E5242"/>
    <w:rsid w:val="1F26AE15"/>
    <w:rsid w:val="1F2787E3"/>
    <w:rsid w:val="1F3EECBD"/>
    <w:rsid w:val="1F8EDE25"/>
    <w:rsid w:val="1FB6E350"/>
    <w:rsid w:val="1FF3162D"/>
    <w:rsid w:val="1FF3B2F3"/>
    <w:rsid w:val="1FFC73E6"/>
    <w:rsid w:val="2009EB8A"/>
    <w:rsid w:val="201F1CCF"/>
    <w:rsid w:val="20446484"/>
    <w:rsid w:val="206DE3CA"/>
    <w:rsid w:val="2072A883"/>
    <w:rsid w:val="2081D67D"/>
    <w:rsid w:val="20967FFF"/>
    <w:rsid w:val="20A07169"/>
    <w:rsid w:val="20A2BDD5"/>
    <w:rsid w:val="210F5AF1"/>
    <w:rsid w:val="212CBC64"/>
    <w:rsid w:val="21B5E125"/>
    <w:rsid w:val="21B8C2E4"/>
    <w:rsid w:val="21BEBE66"/>
    <w:rsid w:val="22254BE4"/>
    <w:rsid w:val="227D256C"/>
    <w:rsid w:val="227E9F36"/>
    <w:rsid w:val="2286E3FD"/>
    <w:rsid w:val="22E458A5"/>
    <w:rsid w:val="231C3354"/>
    <w:rsid w:val="231D67A3"/>
    <w:rsid w:val="231FE08E"/>
    <w:rsid w:val="23380BAD"/>
    <w:rsid w:val="238CC620"/>
    <w:rsid w:val="23B9614C"/>
    <w:rsid w:val="23EE0981"/>
    <w:rsid w:val="244A653E"/>
    <w:rsid w:val="244B8CF8"/>
    <w:rsid w:val="24565A89"/>
    <w:rsid w:val="249DC97A"/>
    <w:rsid w:val="24C0A041"/>
    <w:rsid w:val="24CA5046"/>
    <w:rsid w:val="24F49182"/>
    <w:rsid w:val="26615FE7"/>
    <w:rsid w:val="266A85EE"/>
    <w:rsid w:val="2678B15D"/>
    <w:rsid w:val="268EB6B0"/>
    <w:rsid w:val="26A75CCD"/>
    <w:rsid w:val="26E9F584"/>
    <w:rsid w:val="26F6F44A"/>
    <w:rsid w:val="272358CA"/>
    <w:rsid w:val="272F06DB"/>
    <w:rsid w:val="27394882"/>
    <w:rsid w:val="2748F826"/>
    <w:rsid w:val="27558673"/>
    <w:rsid w:val="27D0E240"/>
    <w:rsid w:val="280BCD87"/>
    <w:rsid w:val="284B6139"/>
    <w:rsid w:val="284F1A7F"/>
    <w:rsid w:val="285BC39F"/>
    <w:rsid w:val="28B27485"/>
    <w:rsid w:val="29365BD7"/>
    <w:rsid w:val="29882150"/>
    <w:rsid w:val="29983374"/>
    <w:rsid w:val="29E0E709"/>
    <w:rsid w:val="2A56B5FD"/>
    <w:rsid w:val="2A56F5CC"/>
    <w:rsid w:val="2AA490C3"/>
    <w:rsid w:val="2AB480AD"/>
    <w:rsid w:val="2AB9BE19"/>
    <w:rsid w:val="2AD90A56"/>
    <w:rsid w:val="2B0B0199"/>
    <w:rsid w:val="2B3D20B3"/>
    <w:rsid w:val="2B8D5B09"/>
    <w:rsid w:val="2C0E38FD"/>
    <w:rsid w:val="2C4C1D68"/>
    <w:rsid w:val="2C74F228"/>
    <w:rsid w:val="2C7C3DFB"/>
    <w:rsid w:val="2C7DA4D3"/>
    <w:rsid w:val="2C89FCB0"/>
    <w:rsid w:val="2D1BEF40"/>
    <w:rsid w:val="2D470254"/>
    <w:rsid w:val="2D6BE511"/>
    <w:rsid w:val="2DE2E4D7"/>
    <w:rsid w:val="2DECC312"/>
    <w:rsid w:val="2E4579D6"/>
    <w:rsid w:val="2EBC9384"/>
    <w:rsid w:val="2EC5961E"/>
    <w:rsid w:val="2ECCE2F5"/>
    <w:rsid w:val="2EE6696A"/>
    <w:rsid w:val="2EF0545B"/>
    <w:rsid w:val="2F27F3C2"/>
    <w:rsid w:val="2F486644"/>
    <w:rsid w:val="2F5D056A"/>
    <w:rsid w:val="2F649281"/>
    <w:rsid w:val="2F8E8AF7"/>
    <w:rsid w:val="2FC1A8B0"/>
    <w:rsid w:val="2FC97F8A"/>
    <w:rsid w:val="2FE7169E"/>
    <w:rsid w:val="2FEF18E7"/>
    <w:rsid w:val="300EDF22"/>
    <w:rsid w:val="30202E95"/>
    <w:rsid w:val="30321A60"/>
    <w:rsid w:val="3079EB0D"/>
    <w:rsid w:val="307D714D"/>
    <w:rsid w:val="3093AC95"/>
    <w:rsid w:val="309B3415"/>
    <w:rsid w:val="30B92167"/>
    <w:rsid w:val="30D6B480"/>
    <w:rsid w:val="30E8B387"/>
    <w:rsid w:val="3101B96E"/>
    <w:rsid w:val="31063B18"/>
    <w:rsid w:val="3135FB9D"/>
    <w:rsid w:val="3193A8E6"/>
    <w:rsid w:val="31C1265F"/>
    <w:rsid w:val="31EA2B8B"/>
    <w:rsid w:val="321F658F"/>
    <w:rsid w:val="3225EBE4"/>
    <w:rsid w:val="32D11987"/>
    <w:rsid w:val="32FFC29C"/>
    <w:rsid w:val="3309E307"/>
    <w:rsid w:val="3320F36F"/>
    <w:rsid w:val="334260FC"/>
    <w:rsid w:val="340D0A3D"/>
    <w:rsid w:val="3416E5EF"/>
    <w:rsid w:val="343A4F58"/>
    <w:rsid w:val="3481DC72"/>
    <w:rsid w:val="34D1B328"/>
    <w:rsid w:val="34E0DF61"/>
    <w:rsid w:val="34E7EA92"/>
    <w:rsid w:val="350A3A8E"/>
    <w:rsid w:val="35A0311D"/>
    <w:rsid w:val="363425FC"/>
    <w:rsid w:val="36C507CB"/>
    <w:rsid w:val="36D5BA7F"/>
    <w:rsid w:val="36EADA31"/>
    <w:rsid w:val="36F76739"/>
    <w:rsid w:val="373C6128"/>
    <w:rsid w:val="37C1F8E8"/>
    <w:rsid w:val="3805C0E7"/>
    <w:rsid w:val="380D67E8"/>
    <w:rsid w:val="38168071"/>
    <w:rsid w:val="38236759"/>
    <w:rsid w:val="3844FE00"/>
    <w:rsid w:val="38454490"/>
    <w:rsid w:val="385D3605"/>
    <w:rsid w:val="393376D2"/>
    <w:rsid w:val="3941BAA1"/>
    <w:rsid w:val="395463D1"/>
    <w:rsid w:val="398863F1"/>
    <w:rsid w:val="39A1D0A2"/>
    <w:rsid w:val="3A20C143"/>
    <w:rsid w:val="3A253CCD"/>
    <w:rsid w:val="3A37CE82"/>
    <w:rsid w:val="3A4C135D"/>
    <w:rsid w:val="3A51DA7C"/>
    <w:rsid w:val="3A7210EB"/>
    <w:rsid w:val="3AA319FC"/>
    <w:rsid w:val="3AAFF145"/>
    <w:rsid w:val="3AC38ED9"/>
    <w:rsid w:val="3AE90105"/>
    <w:rsid w:val="3B1CE929"/>
    <w:rsid w:val="3B35DCE4"/>
    <w:rsid w:val="3B47D297"/>
    <w:rsid w:val="3B63B4F5"/>
    <w:rsid w:val="3B83BD18"/>
    <w:rsid w:val="3BA095AD"/>
    <w:rsid w:val="3BB84B68"/>
    <w:rsid w:val="3BC018A1"/>
    <w:rsid w:val="3BC26EA5"/>
    <w:rsid w:val="3BFFC382"/>
    <w:rsid w:val="3C0E80E8"/>
    <w:rsid w:val="3C24D59E"/>
    <w:rsid w:val="3C38A51A"/>
    <w:rsid w:val="3C9BADC2"/>
    <w:rsid w:val="3C9EE0A4"/>
    <w:rsid w:val="3CD62329"/>
    <w:rsid w:val="3CFD7BE1"/>
    <w:rsid w:val="3D31F665"/>
    <w:rsid w:val="3DCD63E9"/>
    <w:rsid w:val="3DF4FD54"/>
    <w:rsid w:val="3E9E39C4"/>
    <w:rsid w:val="3EAD63A7"/>
    <w:rsid w:val="3EB889FD"/>
    <w:rsid w:val="3EDC23CB"/>
    <w:rsid w:val="3EF3C6A7"/>
    <w:rsid w:val="3F0376C3"/>
    <w:rsid w:val="3F46B382"/>
    <w:rsid w:val="3FC60B2B"/>
    <w:rsid w:val="3FD52135"/>
    <w:rsid w:val="401DD698"/>
    <w:rsid w:val="403B549A"/>
    <w:rsid w:val="40771079"/>
    <w:rsid w:val="40930EF5"/>
    <w:rsid w:val="40A2E22E"/>
    <w:rsid w:val="40CDBAF9"/>
    <w:rsid w:val="4110CDB4"/>
    <w:rsid w:val="41332093"/>
    <w:rsid w:val="41AAD806"/>
    <w:rsid w:val="41B5E069"/>
    <w:rsid w:val="4232F800"/>
    <w:rsid w:val="4257D62E"/>
    <w:rsid w:val="42673286"/>
    <w:rsid w:val="42691D0F"/>
    <w:rsid w:val="429A4F67"/>
    <w:rsid w:val="42CFAF13"/>
    <w:rsid w:val="4340471F"/>
    <w:rsid w:val="4372D6C2"/>
    <w:rsid w:val="438F2E24"/>
    <w:rsid w:val="43A91BC0"/>
    <w:rsid w:val="441B083E"/>
    <w:rsid w:val="442F2232"/>
    <w:rsid w:val="443448FB"/>
    <w:rsid w:val="44505BFC"/>
    <w:rsid w:val="44985F1D"/>
    <w:rsid w:val="44EF9CFB"/>
    <w:rsid w:val="44FD0227"/>
    <w:rsid w:val="450F5A46"/>
    <w:rsid w:val="4554673B"/>
    <w:rsid w:val="456C4AA2"/>
    <w:rsid w:val="45AE5993"/>
    <w:rsid w:val="45B44D05"/>
    <w:rsid w:val="45BFDB7C"/>
    <w:rsid w:val="4641A0D0"/>
    <w:rsid w:val="4657FBCF"/>
    <w:rsid w:val="47017C1D"/>
    <w:rsid w:val="47954C75"/>
    <w:rsid w:val="47A90D01"/>
    <w:rsid w:val="48390C7E"/>
    <w:rsid w:val="483DA525"/>
    <w:rsid w:val="4873567A"/>
    <w:rsid w:val="48AABA94"/>
    <w:rsid w:val="48DF7F8F"/>
    <w:rsid w:val="48F15795"/>
    <w:rsid w:val="48F582C0"/>
    <w:rsid w:val="4911C23F"/>
    <w:rsid w:val="492731E3"/>
    <w:rsid w:val="4929405F"/>
    <w:rsid w:val="492D4DFD"/>
    <w:rsid w:val="49335683"/>
    <w:rsid w:val="49493824"/>
    <w:rsid w:val="495D9BBE"/>
    <w:rsid w:val="496A2537"/>
    <w:rsid w:val="497F8050"/>
    <w:rsid w:val="49B7B512"/>
    <w:rsid w:val="49C2F6D9"/>
    <w:rsid w:val="49C66868"/>
    <w:rsid w:val="4A030120"/>
    <w:rsid w:val="4A366193"/>
    <w:rsid w:val="4AE86C22"/>
    <w:rsid w:val="4AFFD59F"/>
    <w:rsid w:val="4B1E39C4"/>
    <w:rsid w:val="4B4C8631"/>
    <w:rsid w:val="4BBB2B69"/>
    <w:rsid w:val="4BE97D98"/>
    <w:rsid w:val="4C63486C"/>
    <w:rsid w:val="4C8B405E"/>
    <w:rsid w:val="4CA8BA21"/>
    <w:rsid w:val="4CB0C36A"/>
    <w:rsid w:val="4CBAD976"/>
    <w:rsid w:val="4CC14A5B"/>
    <w:rsid w:val="4CD7FF23"/>
    <w:rsid w:val="4D21EA56"/>
    <w:rsid w:val="4D4C6C84"/>
    <w:rsid w:val="4D5DFF13"/>
    <w:rsid w:val="4D89ACB4"/>
    <w:rsid w:val="4DA14906"/>
    <w:rsid w:val="4DD74500"/>
    <w:rsid w:val="4DEA5958"/>
    <w:rsid w:val="4E4F7F56"/>
    <w:rsid w:val="4E5470B9"/>
    <w:rsid w:val="4E61965B"/>
    <w:rsid w:val="4EE3854C"/>
    <w:rsid w:val="4F04FB86"/>
    <w:rsid w:val="4F28A562"/>
    <w:rsid w:val="4F62D5B4"/>
    <w:rsid w:val="4F92B8A9"/>
    <w:rsid w:val="4FB6976F"/>
    <w:rsid w:val="4FDA4A18"/>
    <w:rsid w:val="5057B658"/>
    <w:rsid w:val="50DDD21D"/>
    <w:rsid w:val="50F1C25A"/>
    <w:rsid w:val="5129BE17"/>
    <w:rsid w:val="51473DF6"/>
    <w:rsid w:val="514E8D7A"/>
    <w:rsid w:val="517C50E5"/>
    <w:rsid w:val="51A107A9"/>
    <w:rsid w:val="51AA7C46"/>
    <w:rsid w:val="521C1C44"/>
    <w:rsid w:val="52366BB5"/>
    <w:rsid w:val="5250392A"/>
    <w:rsid w:val="525CC1C2"/>
    <w:rsid w:val="527C6BE7"/>
    <w:rsid w:val="529155DD"/>
    <w:rsid w:val="52D9E2A4"/>
    <w:rsid w:val="52F1DA25"/>
    <w:rsid w:val="53044900"/>
    <w:rsid w:val="53229BC9"/>
    <w:rsid w:val="53379C1A"/>
    <w:rsid w:val="53B39A2E"/>
    <w:rsid w:val="54B9B226"/>
    <w:rsid w:val="54C17BA2"/>
    <w:rsid w:val="54D9B58C"/>
    <w:rsid w:val="54E0B28A"/>
    <w:rsid w:val="54E774A6"/>
    <w:rsid w:val="553311EF"/>
    <w:rsid w:val="55470E21"/>
    <w:rsid w:val="554D7BD9"/>
    <w:rsid w:val="559021B6"/>
    <w:rsid w:val="55ACD1A0"/>
    <w:rsid w:val="5600B1A4"/>
    <w:rsid w:val="569F4B2A"/>
    <w:rsid w:val="56AF54F8"/>
    <w:rsid w:val="56AFA43F"/>
    <w:rsid w:val="57967A89"/>
    <w:rsid w:val="57DA46D0"/>
    <w:rsid w:val="57E95118"/>
    <w:rsid w:val="58325F45"/>
    <w:rsid w:val="583AA813"/>
    <w:rsid w:val="58963761"/>
    <w:rsid w:val="58EC0563"/>
    <w:rsid w:val="5903BECF"/>
    <w:rsid w:val="590BE0E1"/>
    <w:rsid w:val="59185BFB"/>
    <w:rsid w:val="593F501C"/>
    <w:rsid w:val="5978518F"/>
    <w:rsid w:val="598ED5D1"/>
    <w:rsid w:val="59BCF058"/>
    <w:rsid w:val="5A05D725"/>
    <w:rsid w:val="5A7F6C34"/>
    <w:rsid w:val="5AC0C847"/>
    <w:rsid w:val="5ADA0B6F"/>
    <w:rsid w:val="5ADD90BE"/>
    <w:rsid w:val="5B1E38D7"/>
    <w:rsid w:val="5B8DEE5E"/>
    <w:rsid w:val="5B9D8C93"/>
    <w:rsid w:val="5BE0D031"/>
    <w:rsid w:val="5BE0FF60"/>
    <w:rsid w:val="5BFCCB7F"/>
    <w:rsid w:val="5C58A7CD"/>
    <w:rsid w:val="5C65EF22"/>
    <w:rsid w:val="5C7B23B6"/>
    <w:rsid w:val="5CA64D2E"/>
    <w:rsid w:val="5CAECD1B"/>
    <w:rsid w:val="5CAF698C"/>
    <w:rsid w:val="5CB076C8"/>
    <w:rsid w:val="5D5832E9"/>
    <w:rsid w:val="5D80A09E"/>
    <w:rsid w:val="5DC1C88E"/>
    <w:rsid w:val="5DD39C2D"/>
    <w:rsid w:val="5DF04491"/>
    <w:rsid w:val="5DF2A876"/>
    <w:rsid w:val="5E12ABC9"/>
    <w:rsid w:val="5E6115C6"/>
    <w:rsid w:val="5E9C54D2"/>
    <w:rsid w:val="5EACEEBD"/>
    <w:rsid w:val="5EBDDC85"/>
    <w:rsid w:val="5F1FBA0F"/>
    <w:rsid w:val="5F8C18FC"/>
    <w:rsid w:val="5F951F2C"/>
    <w:rsid w:val="5FFA6AB6"/>
    <w:rsid w:val="600E03FD"/>
    <w:rsid w:val="605F306C"/>
    <w:rsid w:val="60B11176"/>
    <w:rsid w:val="61039403"/>
    <w:rsid w:val="610666A7"/>
    <w:rsid w:val="610BD95B"/>
    <w:rsid w:val="619742FC"/>
    <w:rsid w:val="619EF4E4"/>
    <w:rsid w:val="61AC776B"/>
    <w:rsid w:val="621ACBEB"/>
    <w:rsid w:val="622719F0"/>
    <w:rsid w:val="6238D218"/>
    <w:rsid w:val="62873537"/>
    <w:rsid w:val="628CB478"/>
    <w:rsid w:val="6294553C"/>
    <w:rsid w:val="629B3235"/>
    <w:rsid w:val="62A54420"/>
    <w:rsid w:val="62AD93BA"/>
    <w:rsid w:val="62EA4664"/>
    <w:rsid w:val="62F55BC9"/>
    <w:rsid w:val="6327A8A9"/>
    <w:rsid w:val="633BCE96"/>
    <w:rsid w:val="63555756"/>
    <w:rsid w:val="638E5293"/>
    <w:rsid w:val="640F4CE2"/>
    <w:rsid w:val="644E444D"/>
    <w:rsid w:val="646FB760"/>
    <w:rsid w:val="6487E723"/>
    <w:rsid w:val="64B1F8C8"/>
    <w:rsid w:val="64D633BF"/>
    <w:rsid w:val="64EFBE4A"/>
    <w:rsid w:val="65573E26"/>
    <w:rsid w:val="6578F8CF"/>
    <w:rsid w:val="65AD35BA"/>
    <w:rsid w:val="65C2D45A"/>
    <w:rsid w:val="66046CC4"/>
    <w:rsid w:val="6653E92D"/>
    <w:rsid w:val="6657D135"/>
    <w:rsid w:val="66D9E62A"/>
    <w:rsid w:val="66E8E023"/>
    <w:rsid w:val="6728F4B3"/>
    <w:rsid w:val="673BE400"/>
    <w:rsid w:val="67441877"/>
    <w:rsid w:val="674F15AA"/>
    <w:rsid w:val="677D19FF"/>
    <w:rsid w:val="67B6BAF7"/>
    <w:rsid w:val="6829BE79"/>
    <w:rsid w:val="68363E49"/>
    <w:rsid w:val="68882BAF"/>
    <w:rsid w:val="68976DE2"/>
    <w:rsid w:val="68E0347C"/>
    <w:rsid w:val="690CA3D6"/>
    <w:rsid w:val="69129B76"/>
    <w:rsid w:val="6956685D"/>
    <w:rsid w:val="697268A5"/>
    <w:rsid w:val="69855EF5"/>
    <w:rsid w:val="699B3EBB"/>
    <w:rsid w:val="69A7CE24"/>
    <w:rsid w:val="69A7D5B7"/>
    <w:rsid w:val="69C57C80"/>
    <w:rsid w:val="6A04AFD5"/>
    <w:rsid w:val="6A04E98B"/>
    <w:rsid w:val="6A2AAF49"/>
    <w:rsid w:val="6A78884D"/>
    <w:rsid w:val="6A93F84B"/>
    <w:rsid w:val="6AB4534B"/>
    <w:rsid w:val="6B77F014"/>
    <w:rsid w:val="6B94561C"/>
    <w:rsid w:val="6BAA9726"/>
    <w:rsid w:val="6BAD574D"/>
    <w:rsid w:val="6BDB6D04"/>
    <w:rsid w:val="6BFE568C"/>
    <w:rsid w:val="6C0746E1"/>
    <w:rsid w:val="6C4A084D"/>
    <w:rsid w:val="6CA77350"/>
    <w:rsid w:val="6CE5C4B6"/>
    <w:rsid w:val="6CEF6E74"/>
    <w:rsid w:val="6CFB0BA6"/>
    <w:rsid w:val="6D4DE648"/>
    <w:rsid w:val="6D626201"/>
    <w:rsid w:val="6D969661"/>
    <w:rsid w:val="6DA6EAE7"/>
    <w:rsid w:val="6EB3DE48"/>
    <w:rsid w:val="6F04EE1F"/>
    <w:rsid w:val="6F2E358B"/>
    <w:rsid w:val="6F5655D7"/>
    <w:rsid w:val="6F869122"/>
    <w:rsid w:val="6FFE7E3B"/>
    <w:rsid w:val="70182043"/>
    <w:rsid w:val="703C9CE0"/>
    <w:rsid w:val="70712A49"/>
    <w:rsid w:val="7086E8D7"/>
    <w:rsid w:val="7094EA35"/>
    <w:rsid w:val="70971A32"/>
    <w:rsid w:val="709A626A"/>
    <w:rsid w:val="716D6D8F"/>
    <w:rsid w:val="717A1105"/>
    <w:rsid w:val="72D1BCB6"/>
    <w:rsid w:val="730F6009"/>
    <w:rsid w:val="731BA24E"/>
    <w:rsid w:val="73A0154B"/>
    <w:rsid w:val="73A2FE0F"/>
    <w:rsid w:val="73C6477A"/>
    <w:rsid w:val="73C929CD"/>
    <w:rsid w:val="73E7CF48"/>
    <w:rsid w:val="743943DE"/>
    <w:rsid w:val="7459FE45"/>
    <w:rsid w:val="747E9E27"/>
    <w:rsid w:val="7527EF11"/>
    <w:rsid w:val="7561E4A7"/>
    <w:rsid w:val="75855998"/>
    <w:rsid w:val="75B5D97D"/>
    <w:rsid w:val="75B9CE48"/>
    <w:rsid w:val="75ECF8CA"/>
    <w:rsid w:val="75F4766F"/>
    <w:rsid w:val="75FC280A"/>
    <w:rsid w:val="764DA178"/>
    <w:rsid w:val="76C583A8"/>
    <w:rsid w:val="7725271C"/>
    <w:rsid w:val="77634B7B"/>
    <w:rsid w:val="7793172E"/>
    <w:rsid w:val="77B642A1"/>
    <w:rsid w:val="78063D85"/>
    <w:rsid w:val="7814183A"/>
    <w:rsid w:val="78168F3E"/>
    <w:rsid w:val="7818F08A"/>
    <w:rsid w:val="7897AA0C"/>
    <w:rsid w:val="78E271BD"/>
    <w:rsid w:val="78E93C4E"/>
    <w:rsid w:val="78EBCCEA"/>
    <w:rsid w:val="7956E91B"/>
    <w:rsid w:val="79A8A081"/>
    <w:rsid w:val="79ABCD28"/>
    <w:rsid w:val="79BD3312"/>
    <w:rsid w:val="79C79FEA"/>
    <w:rsid w:val="79D64789"/>
    <w:rsid w:val="79E941EA"/>
    <w:rsid w:val="7A242E10"/>
    <w:rsid w:val="7A3DE86F"/>
    <w:rsid w:val="7A5308CC"/>
    <w:rsid w:val="7AACBAB7"/>
    <w:rsid w:val="7AB828BC"/>
    <w:rsid w:val="7AD6838E"/>
    <w:rsid w:val="7AF68A86"/>
    <w:rsid w:val="7B180F93"/>
    <w:rsid w:val="7B1B6DA9"/>
    <w:rsid w:val="7B349606"/>
    <w:rsid w:val="7B5563DF"/>
    <w:rsid w:val="7B562A8D"/>
    <w:rsid w:val="7B8C80E9"/>
    <w:rsid w:val="7B945C69"/>
    <w:rsid w:val="7BC95314"/>
    <w:rsid w:val="7C63B7C1"/>
    <w:rsid w:val="7C73E7A8"/>
    <w:rsid w:val="7C7878ED"/>
    <w:rsid w:val="7C87F36C"/>
    <w:rsid w:val="7CAFA192"/>
    <w:rsid w:val="7CDEBC17"/>
    <w:rsid w:val="7CF0651D"/>
    <w:rsid w:val="7D155740"/>
    <w:rsid w:val="7D61AEBC"/>
    <w:rsid w:val="7D6D768B"/>
    <w:rsid w:val="7D769D1E"/>
    <w:rsid w:val="7D98DA3E"/>
    <w:rsid w:val="7DAC400C"/>
    <w:rsid w:val="7E303FD3"/>
    <w:rsid w:val="7E34B5DF"/>
    <w:rsid w:val="7E3EF267"/>
    <w:rsid w:val="7E77EEEF"/>
    <w:rsid w:val="7E784689"/>
    <w:rsid w:val="7E9A54A9"/>
    <w:rsid w:val="7EF188D6"/>
    <w:rsid w:val="7F01B045"/>
    <w:rsid w:val="7F0284B8"/>
    <w:rsid w:val="7F47C472"/>
    <w:rsid w:val="7F4C193A"/>
    <w:rsid w:val="7F8DB1FC"/>
    <w:rsid w:val="7F98B290"/>
    <w:rsid w:val="7FA82C29"/>
    <w:rsid w:val="7FBEC41C"/>
    <w:rsid w:val="7FC15486"/>
    <w:rsid w:val="7FEB6A79"/>
    <w:rsid w:val="7FF194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B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RTI AMCP Table,new style,Tabellengitternetz 9pt,PBAC table,HTAtableplain,MSD 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8F3130"/>
    <w:pPr>
      <w:numPr>
        <w:numId w:val="35"/>
      </w:numPr>
      <w:spacing w:before="120" w:after="120"/>
      <w:ind w:left="1134" w:hanging="357"/>
      <w:jc w:val="both"/>
    </w:pPr>
    <w:rPr>
      <w:rFonts w:asciiTheme="minorHAnsi" w:eastAsia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8F3130"/>
    <w:rPr>
      <w:rFonts w:asciiTheme="minorHAnsi" w:eastAsia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SYNEVi,Caption PRIMA,Bayer Caption,IB Caption,Medical Caption,Bayer,Bayer Caption1,IB Caption1,Medical Caption1,Bayer Caption2,IB Caption2,Medical Caption2,Bayer Caption3,IB Caption3,Medical Caption3,Bayer Caption4,IB Caption4,Bayer1"/>
    <w:basedOn w:val="Normal"/>
    <w:next w:val="Normal"/>
    <w:link w:val="CaptionChar"/>
    <w:uiPriority w:val="35"/>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FE031C"/>
    <w:rPr>
      <w:color w:val="2B579A"/>
      <w:shd w:val="clear" w:color="auto" w:fill="E1DFDD"/>
    </w:rPr>
  </w:style>
  <w:style w:type="paragraph" w:customStyle="1" w:styleId="pf0">
    <w:name w:val="pf0"/>
    <w:basedOn w:val="Normal"/>
    <w:rsid w:val="00F11AF5"/>
    <w:pPr>
      <w:spacing w:before="100" w:beforeAutospacing="1" w:after="100" w:afterAutospacing="1"/>
      <w:jc w:val="left"/>
    </w:pPr>
    <w:rPr>
      <w:rFonts w:ascii="Times New Roman" w:hAnsi="Times New Roman"/>
    </w:rPr>
  </w:style>
  <w:style w:type="character" w:customStyle="1" w:styleId="cf11">
    <w:name w:val="cf11"/>
    <w:basedOn w:val="DefaultParagraphFont"/>
    <w:rsid w:val="00F11AF5"/>
    <w:rPr>
      <w:rFonts w:ascii="Consolas" w:hAnsi="Consolas" w:hint="default"/>
      <w:sz w:val="22"/>
      <w:szCs w:val="22"/>
    </w:rPr>
  </w:style>
  <w:style w:type="character" w:customStyle="1" w:styleId="CaptionChar">
    <w:name w:val="Caption Char"/>
    <w:aliases w:val="Caption SYNEVi Char,Caption PRIMA Char,Bayer Caption Char,IB Caption Char,Medical Caption Char,Bayer Char,Bayer Caption1 Char,IB Caption1 Char,Medical Caption1 Char,Bayer Caption2 Char,IB Caption2 Char,Medical Caption2 Char,IB Caption3 Char"/>
    <w:link w:val="Caption"/>
    <w:uiPriority w:val="35"/>
    <w:rsid w:val="008C0B6A"/>
    <w:rPr>
      <w:rFonts w:ascii="Arial Narrow" w:hAnsi="Arial Narrow"/>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2459518">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6848264">
      <w:bodyDiv w:val="1"/>
      <w:marLeft w:val="0"/>
      <w:marRight w:val="0"/>
      <w:marTop w:val="0"/>
      <w:marBottom w:val="0"/>
      <w:divBdr>
        <w:top w:val="none" w:sz="0" w:space="0" w:color="auto"/>
        <w:left w:val="none" w:sz="0" w:space="0" w:color="auto"/>
        <w:bottom w:val="none" w:sz="0" w:space="0" w:color="auto"/>
        <w:right w:val="none" w:sz="0" w:space="0" w:color="auto"/>
      </w:divBdr>
    </w:div>
    <w:div w:id="93403357">
      <w:bodyDiv w:val="1"/>
      <w:marLeft w:val="0"/>
      <w:marRight w:val="0"/>
      <w:marTop w:val="0"/>
      <w:marBottom w:val="0"/>
      <w:divBdr>
        <w:top w:val="none" w:sz="0" w:space="0" w:color="auto"/>
        <w:left w:val="none" w:sz="0" w:space="0" w:color="auto"/>
        <w:bottom w:val="none" w:sz="0" w:space="0" w:color="auto"/>
        <w:right w:val="none" w:sz="0" w:space="0" w:color="auto"/>
      </w:divBdr>
    </w:div>
    <w:div w:id="111289400">
      <w:bodyDiv w:val="1"/>
      <w:marLeft w:val="0"/>
      <w:marRight w:val="0"/>
      <w:marTop w:val="0"/>
      <w:marBottom w:val="0"/>
      <w:divBdr>
        <w:top w:val="none" w:sz="0" w:space="0" w:color="auto"/>
        <w:left w:val="none" w:sz="0" w:space="0" w:color="auto"/>
        <w:bottom w:val="none" w:sz="0" w:space="0" w:color="auto"/>
        <w:right w:val="none" w:sz="0" w:space="0" w:color="auto"/>
      </w:divBdr>
    </w:div>
    <w:div w:id="124322577">
      <w:bodyDiv w:val="1"/>
      <w:marLeft w:val="0"/>
      <w:marRight w:val="0"/>
      <w:marTop w:val="0"/>
      <w:marBottom w:val="0"/>
      <w:divBdr>
        <w:top w:val="none" w:sz="0" w:space="0" w:color="auto"/>
        <w:left w:val="none" w:sz="0" w:space="0" w:color="auto"/>
        <w:bottom w:val="none" w:sz="0" w:space="0" w:color="auto"/>
        <w:right w:val="none" w:sz="0" w:space="0" w:color="auto"/>
      </w:divBdr>
      <w:divsChild>
        <w:div w:id="843134636">
          <w:marLeft w:val="0"/>
          <w:marRight w:val="0"/>
          <w:marTop w:val="0"/>
          <w:marBottom w:val="0"/>
          <w:divBdr>
            <w:top w:val="none" w:sz="0" w:space="0" w:color="auto"/>
            <w:left w:val="none" w:sz="0" w:space="0" w:color="auto"/>
            <w:bottom w:val="none" w:sz="0" w:space="0" w:color="auto"/>
            <w:right w:val="none" w:sz="0" w:space="0" w:color="auto"/>
          </w:divBdr>
        </w:div>
      </w:divsChild>
    </w:div>
    <w:div w:id="147982792">
      <w:bodyDiv w:val="1"/>
      <w:marLeft w:val="0"/>
      <w:marRight w:val="0"/>
      <w:marTop w:val="0"/>
      <w:marBottom w:val="0"/>
      <w:divBdr>
        <w:top w:val="none" w:sz="0" w:space="0" w:color="auto"/>
        <w:left w:val="none" w:sz="0" w:space="0" w:color="auto"/>
        <w:bottom w:val="none" w:sz="0" w:space="0" w:color="auto"/>
        <w:right w:val="none" w:sz="0" w:space="0" w:color="auto"/>
      </w:divBdr>
    </w:div>
    <w:div w:id="161356426">
      <w:bodyDiv w:val="1"/>
      <w:marLeft w:val="0"/>
      <w:marRight w:val="0"/>
      <w:marTop w:val="0"/>
      <w:marBottom w:val="0"/>
      <w:divBdr>
        <w:top w:val="none" w:sz="0" w:space="0" w:color="auto"/>
        <w:left w:val="none" w:sz="0" w:space="0" w:color="auto"/>
        <w:bottom w:val="none" w:sz="0" w:space="0" w:color="auto"/>
        <w:right w:val="none" w:sz="0" w:space="0" w:color="auto"/>
      </w:divBdr>
    </w:div>
    <w:div w:id="175267161">
      <w:bodyDiv w:val="1"/>
      <w:marLeft w:val="0"/>
      <w:marRight w:val="0"/>
      <w:marTop w:val="0"/>
      <w:marBottom w:val="0"/>
      <w:divBdr>
        <w:top w:val="none" w:sz="0" w:space="0" w:color="auto"/>
        <w:left w:val="none" w:sz="0" w:space="0" w:color="auto"/>
        <w:bottom w:val="none" w:sz="0" w:space="0" w:color="auto"/>
        <w:right w:val="none" w:sz="0" w:space="0" w:color="auto"/>
      </w:divBdr>
    </w:div>
    <w:div w:id="176162077">
      <w:bodyDiv w:val="1"/>
      <w:marLeft w:val="0"/>
      <w:marRight w:val="0"/>
      <w:marTop w:val="0"/>
      <w:marBottom w:val="0"/>
      <w:divBdr>
        <w:top w:val="none" w:sz="0" w:space="0" w:color="auto"/>
        <w:left w:val="none" w:sz="0" w:space="0" w:color="auto"/>
        <w:bottom w:val="none" w:sz="0" w:space="0" w:color="auto"/>
        <w:right w:val="none" w:sz="0" w:space="0" w:color="auto"/>
      </w:divBdr>
    </w:div>
    <w:div w:id="25116308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84393071">
      <w:bodyDiv w:val="1"/>
      <w:marLeft w:val="0"/>
      <w:marRight w:val="0"/>
      <w:marTop w:val="0"/>
      <w:marBottom w:val="0"/>
      <w:divBdr>
        <w:top w:val="none" w:sz="0" w:space="0" w:color="auto"/>
        <w:left w:val="none" w:sz="0" w:space="0" w:color="auto"/>
        <w:bottom w:val="none" w:sz="0" w:space="0" w:color="auto"/>
        <w:right w:val="none" w:sz="0" w:space="0" w:color="auto"/>
      </w:divBdr>
    </w:div>
    <w:div w:id="291180173">
      <w:bodyDiv w:val="1"/>
      <w:marLeft w:val="0"/>
      <w:marRight w:val="0"/>
      <w:marTop w:val="0"/>
      <w:marBottom w:val="0"/>
      <w:divBdr>
        <w:top w:val="none" w:sz="0" w:space="0" w:color="auto"/>
        <w:left w:val="none" w:sz="0" w:space="0" w:color="auto"/>
        <w:bottom w:val="none" w:sz="0" w:space="0" w:color="auto"/>
        <w:right w:val="none" w:sz="0" w:space="0" w:color="auto"/>
      </w:divBdr>
      <w:divsChild>
        <w:div w:id="2006131258">
          <w:marLeft w:val="0"/>
          <w:marRight w:val="0"/>
          <w:marTop w:val="0"/>
          <w:marBottom w:val="0"/>
          <w:divBdr>
            <w:top w:val="none" w:sz="0" w:space="0" w:color="auto"/>
            <w:left w:val="none" w:sz="0" w:space="0" w:color="auto"/>
            <w:bottom w:val="none" w:sz="0" w:space="0" w:color="auto"/>
            <w:right w:val="none" w:sz="0" w:space="0" w:color="auto"/>
          </w:divBdr>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490146203">
      <w:bodyDiv w:val="1"/>
      <w:marLeft w:val="0"/>
      <w:marRight w:val="0"/>
      <w:marTop w:val="0"/>
      <w:marBottom w:val="0"/>
      <w:divBdr>
        <w:top w:val="none" w:sz="0" w:space="0" w:color="auto"/>
        <w:left w:val="none" w:sz="0" w:space="0" w:color="auto"/>
        <w:bottom w:val="none" w:sz="0" w:space="0" w:color="auto"/>
        <w:right w:val="none" w:sz="0" w:space="0" w:color="auto"/>
      </w:divBdr>
    </w:div>
    <w:div w:id="496849476">
      <w:bodyDiv w:val="1"/>
      <w:marLeft w:val="0"/>
      <w:marRight w:val="0"/>
      <w:marTop w:val="0"/>
      <w:marBottom w:val="0"/>
      <w:divBdr>
        <w:top w:val="none" w:sz="0" w:space="0" w:color="auto"/>
        <w:left w:val="none" w:sz="0" w:space="0" w:color="auto"/>
        <w:bottom w:val="none" w:sz="0" w:space="0" w:color="auto"/>
        <w:right w:val="none" w:sz="0" w:space="0" w:color="auto"/>
      </w:divBdr>
    </w:div>
    <w:div w:id="68891976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7509173">
      <w:bodyDiv w:val="1"/>
      <w:marLeft w:val="0"/>
      <w:marRight w:val="0"/>
      <w:marTop w:val="0"/>
      <w:marBottom w:val="0"/>
      <w:divBdr>
        <w:top w:val="none" w:sz="0" w:space="0" w:color="auto"/>
        <w:left w:val="none" w:sz="0" w:space="0" w:color="auto"/>
        <w:bottom w:val="none" w:sz="0" w:space="0" w:color="auto"/>
        <w:right w:val="none" w:sz="0" w:space="0" w:color="auto"/>
      </w:divBdr>
    </w:div>
    <w:div w:id="79332750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2061000">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29580511">
      <w:bodyDiv w:val="1"/>
      <w:marLeft w:val="0"/>
      <w:marRight w:val="0"/>
      <w:marTop w:val="0"/>
      <w:marBottom w:val="0"/>
      <w:divBdr>
        <w:top w:val="none" w:sz="0" w:space="0" w:color="auto"/>
        <w:left w:val="none" w:sz="0" w:space="0" w:color="auto"/>
        <w:bottom w:val="none" w:sz="0" w:space="0" w:color="auto"/>
        <w:right w:val="none" w:sz="0" w:space="0" w:color="auto"/>
      </w:divBdr>
    </w:div>
    <w:div w:id="930700662">
      <w:bodyDiv w:val="1"/>
      <w:marLeft w:val="0"/>
      <w:marRight w:val="0"/>
      <w:marTop w:val="0"/>
      <w:marBottom w:val="0"/>
      <w:divBdr>
        <w:top w:val="none" w:sz="0" w:space="0" w:color="auto"/>
        <w:left w:val="none" w:sz="0" w:space="0" w:color="auto"/>
        <w:bottom w:val="none" w:sz="0" w:space="0" w:color="auto"/>
        <w:right w:val="none" w:sz="0" w:space="0" w:color="auto"/>
      </w:divBdr>
    </w:div>
    <w:div w:id="940839898">
      <w:bodyDiv w:val="1"/>
      <w:marLeft w:val="0"/>
      <w:marRight w:val="0"/>
      <w:marTop w:val="0"/>
      <w:marBottom w:val="0"/>
      <w:divBdr>
        <w:top w:val="none" w:sz="0" w:space="0" w:color="auto"/>
        <w:left w:val="none" w:sz="0" w:space="0" w:color="auto"/>
        <w:bottom w:val="none" w:sz="0" w:space="0" w:color="auto"/>
        <w:right w:val="none" w:sz="0" w:space="0" w:color="auto"/>
      </w:divBdr>
      <w:divsChild>
        <w:div w:id="1379281020">
          <w:marLeft w:val="0"/>
          <w:marRight w:val="0"/>
          <w:marTop w:val="0"/>
          <w:marBottom w:val="0"/>
          <w:divBdr>
            <w:top w:val="none" w:sz="0" w:space="0" w:color="auto"/>
            <w:left w:val="none" w:sz="0" w:space="0" w:color="auto"/>
            <w:bottom w:val="none" w:sz="0" w:space="0" w:color="auto"/>
            <w:right w:val="none" w:sz="0" w:space="0" w:color="auto"/>
          </w:divBdr>
          <w:divsChild>
            <w:div w:id="314333472">
              <w:marLeft w:val="0"/>
              <w:marRight w:val="0"/>
              <w:marTop w:val="0"/>
              <w:marBottom w:val="0"/>
              <w:divBdr>
                <w:top w:val="none" w:sz="0" w:space="0" w:color="auto"/>
                <w:left w:val="none" w:sz="0" w:space="0" w:color="auto"/>
                <w:bottom w:val="none" w:sz="0" w:space="0" w:color="auto"/>
                <w:right w:val="none" w:sz="0" w:space="0" w:color="auto"/>
              </w:divBdr>
            </w:div>
            <w:div w:id="1451900949">
              <w:marLeft w:val="0"/>
              <w:marRight w:val="0"/>
              <w:marTop w:val="0"/>
              <w:marBottom w:val="0"/>
              <w:divBdr>
                <w:top w:val="none" w:sz="0" w:space="0" w:color="auto"/>
                <w:left w:val="none" w:sz="0" w:space="0" w:color="auto"/>
                <w:bottom w:val="none" w:sz="0" w:space="0" w:color="auto"/>
                <w:right w:val="none" w:sz="0" w:space="0" w:color="auto"/>
              </w:divBdr>
            </w:div>
          </w:divsChild>
        </w:div>
        <w:div w:id="1776437689">
          <w:marLeft w:val="0"/>
          <w:marRight w:val="0"/>
          <w:marTop w:val="0"/>
          <w:marBottom w:val="0"/>
          <w:divBdr>
            <w:top w:val="none" w:sz="0" w:space="0" w:color="auto"/>
            <w:left w:val="none" w:sz="0" w:space="0" w:color="auto"/>
            <w:bottom w:val="none" w:sz="0" w:space="0" w:color="auto"/>
            <w:right w:val="none" w:sz="0" w:space="0" w:color="auto"/>
          </w:divBdr>
        </w:div>
        <w:div w:id="1910339568">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3605901">
      <w:bodyDiv w:val="1"/>
      <w:marLeft w:val="0"/>
      <w:marRight w:val="0"/>
      <w:marTop w:val="0"/>
      <w:marBottom w:val="0"/>
      <w:divBdr>
        <w:top w:val="none" w:sz="0" w:space="0" w:color="auto"/>
        <w:left w:val="none" w:sz="0" w:space="0" w:color="auto"/>
        <w:bottom w:val="none" w:sz="0" w:space="0" w:color="auto"/>
        <w:right w:val="none" w:sz="0" w:space="0" w:color="auto"/>
      </w:divBdr>
    </w:div>
    <w:div w:id="1085108804">
      <w:bodyDiv w:val="1"/>
      <w:marLeft w:val="0"/>
      <w:marRight w:val="0"/>
      <w:marTop w:val="0"/>
      <w:marBottom w:val="0"/>
      <w:divBdr>
        <w:top w:val="none" w:sz="0" w:space="0" w:color="auto"/>
        <w:left w:val="none" w:sz="0" w:space="0" w:color="auto"/>
        <w:bottom w:val="none" w:sz="0" w:space="0" w:color="auto"/>
        <w:right w:val="none" w:sz="0" w:space="0" w:color="auto"/>
      </w:divBdr>
    </w:div>
    <w:div w:id="1140882505">
      <w:bodyDiv w:val="1"/>
      <w:marLeft w:val="0"/>
      <w:marRight w:val="0"/>
      <w:marTop w:val="0"/>
      <w:marBottom w:val="0"/>
      <w:divBdr>
        <w:top w:val="none" w:sz="0" w:space="0" w:color="auto"/>
        <w:left w:val="none" w:sz="0" w:space="0" w:color="auto"/>
        <w:bottom w:val="none" w:sz="0" w:space="0" w:color="auto"/>
        <w:right w:val="none" w:sz="0" w:space="0" w:color="auto"/>
      </w:divBdr>
    </w:div>
    <w:div w:id="1145855715">
      <w:bodyDiv w:val="1"/>
      <w:marLeft w:val="0"/>
      <w:marRight w:val="0"/>
      <w:marTop w:val="0"/>
      <w:marBottom w:val="0"/>
      <w:divBdr>
        <w:top w:val="none" w:sz="0" w:space="0" w:color="auto"/>
        <w:left w:val="none" w:sz="0" w:space="0" w:color="auto"/>
        <w:bottom w:val="none" w:sz="0" w:space="0" w:color="auto"/>
        <w:right w:val="none" w:sz="0" w:space="0" w:color="auto"/>
      </w:divBdr>
    </w:div>
    <w:div w:id="1147281461">
      <w:bodyDiv w:val="1"/>
      <w:marLeft w:val="0"/>
      <w:marRight w:val="0"/>
      <w:marTop w:val="0"/>
      <w:marBottom w:val="0"/>
      <w:divBdr>
        <w:top w:val="none" w:sz="0" w:space="0" w:color="auto"/>
        <w:left w:val="none" w:sz="0" w:space="0" w:color="auto"/>
        <w:bottom w:val="none" w:sz="0" w:space="0" w:color="auto"/>
        <w:right w:val="none" w:sz="0" w:space="0" w:color="auto"/>
      </w:divBdr>
    </w:div>
    <w:div w:id="1166441090">
      <w:bodyDiv w:val="1"/>
      <w:marLeft w:val="0"/>
      <w:marRight w:val="0"/>
      <w:marTop w:val="0"/>
      <w:marBottom w:val="0"/>
      <w:divBdr>
        <w:top w:val="none" w:sz="0" w:space="0" w:color="auto"/>
        <w:left w:val="none" w:sz="0" w:space="0" w:color="auto"/>
        <w:bottom w:val="none" w:sz="0" w:space="0" w:color="auto"/>
        <w:right w:val="none" w:sz="0" w:space="0" w:color="auto"/>
      </w:divBdr>
      <w:divsChild>
        <w:div w:id="535969658">
          <w:marLeft w:val="0"/>
          <w:marRight w:val="0"/>
          <w:marTop w:val="0"/>
          <w:marBottom w:val="0"/>
          <w:divBdr>
            <w:top w:val="none" w:sz="0" w:space="0" w:color="auto"/>
            <w:left w:val="none" w:sz="0" w:space="0" w:color="auto"/>
            <w:bottom w:val="none" w:sz="0" w:space="0" w:color="auto"/>
            <w:right w:val="none" w:sz="0" w:space="0" w:color="auto"/>
          </w:divBdr>
        </w:div>
      </w:divsChild>
    </w:div>
    <w:div w:id="1169977533">
      <w:bodyDiv w:val="1"/>
      <w:marLeft w:val="0"/>
      <w:marRight w:val="0"/>
      <w:marTop w:val="0"/>
      <w:marBottom w:val="0"/>
      <w:divBdr>
        <w:top w:val="none" w:sz="0" w:space="0" w:color="auto"/>
        <w:left w:val="none" w:sz="0" w:space="0" w:color="auto"/>
        <w:bottom w:val="none" w:sz="0" w:space="0" w:color="auto"/>
        <w:right w:val="none" w:sz="0" w:space="0" w:color="auto"/>
      </w:divBdr>
    </w:div>
    <w:div w:id="117403388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5482510">
      <w:bodyDiv w:val="1"/>
      <w:marLeft w:val="0"/>
      <w:marRight w:val="0"/>
      <w:marTop w:val="0"/>
      <w:marBottom w:val="0"/>
      <w:divBdr>
        <w:top w:val="none" w:sz="0" w:space="0" w:color="auto"/>
        <w:left w:val="none" w:sz="0" w:space="0" w:color="auto"/>
        <w:bottom w:val="none" w:sz="0" w:space="0" w:color="auto"/>
        <w:right w:val="none" w:sz="0" w:space="0" w:color="auto"/>
      </w:divBdr>
    </w:div>
    <w:div w:id="1246181864">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2515973">
      <w:bodyDiv w:val="1"/>
      <w:marLeft w:val="0"/>
      <w:marRight w:val="0"/>
      <w:marTop w:val="0"/>
      <w:marBottom w:val="0"/>
      <w:divBdr>
        <w:top w:val="none" w:sz="0" w:space="0" w:color="auto"/>
        <w:left w:val="none" w:sz="0" w:space="0" w:color="auto"/>
        <w:bottom w:val="none" w:sz="0" w:space="0" w:color="auto"/>
        <w:right w:val="none" w:sz="0" w:space="0" w:color="auto"/>
      </w:divBdr>
    </w:div>
    <w:div w:id="1295211852">
      <w:bodyDiv w:val="1"/>
      <w:marLeft w:val="0"/>
      <w:marRight w:val="0"/>
      <w:marTop w:val="0"/>
      <w:marBottom w:val="0"/>
      <w:divBdr>
        <w:top w:val="none" w:sz="0" w:space="0" w:color="auto"/>
        <w:left w:val="none" w:sz="0" w:space="0" w:color="auto"/>
        <w:bottom w:val="none" w:sz="0" w:space="0" w:color="auto"/>
        <w:right w:val="none" w:sz="0" w:space="0" w:color="auto"/>
      </w:divBdr>
    </w:div>
    <w:div w:id="129656935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07130286">
      <w:bodyDiv w:val="1"/>
      <w:marLeft w:val="0"/>
      <w:marRight w:val="0"/>
      <w:marTop w:val="0"/>
      <w:marBottom w:val="0"/>
      <w:divBdr>
        <w:top w:val="none" w:sz="0" w:space="0" w:color="auto"/>
        <w:left w:val="none" w:sz="0" w:space="0" w:color="auto"/>
        <w:bottom w:val="none" w:sz="0" w:space="0" w:color="auto"/>
        <w:right w:val="none" w:sz="0" w:space="0" w:color="auto"/>
      </w:divBdr>
    </w:div>
    <w:div w:id="1343582789">
      <w:bodyDiv w:val="1"/>
      <w:marLeft w:val="0"/>
      <w:marRight w:val="0"/>
      <w:marTop w:val="0"/>
      <w:marBottom w:val="0"/>
      <w:divBdr>
        <w:top w:val="none" w:sz="0" w:space="0" w:color="auto"/>
        <w:left w:val="none" w:sz="0" w:space="0" w:color="auto"/>
        <w:bottom w:val="none" w:sz="0" w:space="0" w:color="auto"/>
        <w:right w:val="none" w:sz="0" w:space="0" w:color="auto"/>
      </w:divBdr>
      <w:divsChild>
        <w:div w:id="575475201">
          <w:marLeft w:val="0"/>
          <w:marRight w:val="0"/>
          <w:marTop w:val="0"/>
          <w:marBottom w:val="0"/>
          <w:divBdr>
            <w:top w:val="none" w:sz="0" w:space="0" w:color="auto"/>
            <w:left w:val="none" w:sz="0" w:space="0" w:color="auto"/>
            <w:bottom w:val="none" w:sz="0" w:space="0" w:color="auto"/>
            <w:right w:val="none" w:sz="0" w:space="0" w:color="auto"/>
          </w:divBdr>
          <w:divsChild>
            <w:div w:id="18897910">
              <w:marLeft w:val="0"/>
              <w:marRight w:val="0"/>
              <w:marTop w:val="0"/>
              <w:marBottom w:val="0"/>
              <w:divBdr>
                <w:top w:val="none" w:sz="0" w:space="0" w:color="auto"/>
                <w:left w:val="none" w:sz="0" w:space="0" w:color="auto"/>
                <w:bottom w:val="none" w:sz="0" w:space="0" w:color="auto"/>
                <w:right w:val="none" w:sz="0" w:space="0" w:color="auto"/>
              </w:divBdr>
            </w:div>
            <w:div w:id="1961257921">
              <w:marLeft w:val="0"/>
              <w:marRight w:val="0"/>
              <w:marTop w:val="0"/>
              <w:marBottom w:val="0"/>
              <w:divBdr>
                <w:top w:val="none" w:sz="0" w:space="0" w:color="auto"/>
                <w:left w:val="none" w:sz="0" w:space="0" w:color="auto"/>
                <w:bottom w:val="none" w:sz="0" w:space="0" w:color="auto"/>
                <w:right w:val="none" w:sz="0" w:space="0" w:color="auto"/>
              </w:divBdr>
            </w:div>
          </w:divsChild>
        </w:div>
        <w:div w:id="972447775">
          <w:marLeft w:val="0"/>
          <w:marRight w:val="0"/>
          <w:marTop w:val="0"/>
          <w:marBottom w:val="0"/>
          <w:divBdr>
            <w:top w:val="none" w:sz="0" w:space="0" w:color="auto"/>
            <w:left w:val="none" w:sz="0" w:space="0" w:color="auto"/>
            <w:bottom w:val="none" w:sz="0" w:space="0" w:color="auto"/>
            <w:right w:val="none" w:sz="0" w:space="0" w:color="auto"/>
          </w:divBdr>
        </w:div>
        <w:div w:id="992174140">
          <w:marLeft w:val="0"/>
          <w:marRight w:val="0"/>
          <w:marTop w:val="0"/>
          <w:marBottom w:val="0"/>
          <w:divBdr>
            <w:top w:val="none" w:sz="0" w:space="0" w:color="auto"/>
            <w:left w:val="none" w:sz="0" w:space="0" w:color="auto"/>
            <w:bottom w:val="none" w:sz="0" w:space="0" w:color="auto"/>
            <w:right w:val="none" w:sz="0" w:space="0" w:color="auto"/>
          </w:divBdr>
        </w:div>
      </w:divsChild>
    </w:div>
    <w:div w:id="1354845524">
      <w:bodyDiv w:val="1"/>
      <w:marLeft w:val="0"/>
      <w:marRight w:val="0"/>
      <w:marTop w:val="0"/>
      <w:marBottom w:val="0"/>
      <w:divBdr>
        <w:top w:val="none" w:sz="0" w:space="0" w:color="auto"/>
        <w:left w:val="none" w:sz="0" w:space="0" w:color="auto"/>
        <w:bottom w:val="none" w:sz="0" w:space="0" w:color="auto"/>
        <w:right w:val="none" w:sz="0" w:space="0" w:color="auto"/>
      </w:divBdr>
      <w:divsChild>
        <w:div w:id="1963264016">
          <w:marLeft w:val="0"/>
          <w:marRight w:val="0"/>
          <w:marTop w:val="0"/>
          <w:marBottom w:val="0"/>
          <w:divBdr>
            <w:top w:val="none" w:sz="0" w:space="0" w:color="auto"/>
            <w:left w:val="none" w:sz="0" w:space="0" w:color="auto"/>
            <w:bottom w:val="none" w:sz="0" w:space="0" w:color="auto"/>
            <w:right w:val="none" w:sz="0" w:space="0" w:color="auto"/>
          </w:divBdr>
        </w:div>
      </w:divsChild>
    </w:div>
    <w:div w:id="1375883571">
      <w:bodyDiv w:val="1"/>
      <w:marLeft w:val="0"/>
      <w:marRight w:val="0"/>
      <w:marTop w:val="0"/>
      <w:marBottom w:val="0"/>
      <w:divBdr>
        <w:top w:val="none" w:sz="0" w:space="0" w:color="auto"/>
        <w:left w:val="none" w:sz="0" w:space="0" w:color="auto"/>
        <w:bottom w:val="none" w:sz="0" w:space="0" w:color="auto"/>
        <w:right w:val="none" w:sz="0" w:space="0" w:color="auto"/>
      </w:divBdr>
      <w:divsChild>
        <w:div w:id="1430737547">
          <w:marLeft w:val="0"/>
          <w:marRight w:val="0"/>
          <w:marTop w:val="0"/>
          <w:marBottom w:val="0"/>
          <w:divBdr>
            <w:top w:val="none" w:sz="0" w:space="0" w:color="auto"/>
            <w:left w:val="none" w:sz="0" w:space="0" w:color="auto"/>
            <w:bottom w:val="none" w:sz="0" w:space="0" w:color="auto"/>
            <w:right w:val="none" w:sz="0" w:space="0" w:color="auto"/>
          </w:divBdr>
        </w:div>
      </w:divsChild>
    </w:div>
    <w:div w:id="1391684206">
      <w:bodyDiv w:val="1"/>
      <w:marLeft w:val="0"/>
      <w:marRight w:val="0"/>
      <w:marTop w:val="0"/>
      <w:marBottom w:val="0"/>
      <w:divBdr>
        <w:top w:val="none" w:sz="0" w:space="0" w:color="auto"/>
        <w:left w:val="none" w:sz="0" w:space="0" w:color="auto"/>
        <w:bottom w:val="none" w:sz="0" w:space="0" w:color="auto"/>
        <w:right w:val="none" w:sz="0" w:space="0" w:color="auto"/>
      </w:divBdr>
    </w:div>
    <w:div w:id="1414202831">
      <w:bodyDiv w:val="1"/>
      <w:marLeft w:val="0"/>
      <w:marRight w:val="0"/>
      <w:marTop w:val="0"/>
      <w:marBottom w:val="0"/>
      <w:divBdr>
        <w:top w:val="none" w:sz="0" w:space="0" w:color="auto"/>
        <w:left w:val="none" w:sz="0" w:space="0" w:color="auto"/>
        <w:bottom w:val="none" w:sz="0" w:space="0" w:color="auto"/>
        <w:right w:val="none" w:sz="0" w:space="0" w:color="auto"/>
      </w:divBdr>
    </w:div>
    <w:div w:id="1447240586">
      <w:bodyDiv w:val="1"/>
      <w:marLeft w:val="0"/>
      <w:marRight w:val="0"/>
      <w:marTop w:val="0"/>
      <w:marBottom w:val="0"/>
      <w:divBdr>
        <w:top w:val="none" w:sz="0" w:space="0" w:color="auto"/>
        <w:left w:val="none" w:sz="0" w:space="0" w:color="auto"/>
        <w:bottom w:val="none" w:sz="0" w:space="0" w:color="auto"/>
        <w:right w:val="none" w:sz="0" w:space="0" w:color="auto"/>
      </w:divBdr>
      <w:divsChild>
        <w:div w:id="470442820">
          <w:marLeft w:val="0"/>
          <w:marRight w:val="0"/>
          <w:marTop w:val="0"/>
          <w:marBottom w:val="0"/>
          <w:divBdr>
            <w:top w:val="none" w:sz="0" w:space="0" w:color="auto"/>
            <w:left w:val="none" w:sz="0" w:space="0" w:color="auto"/>
            <w:bottom w:val="none" w:sz="0" w:space="0" w:color="auto"/>
            <w:right w:val="none" w:sz="0" w:space="0" w:color="auto"/>
          </w:divBdr>
        </w:div>
      </w:divsChild>
    </w:div>
    <w:div w:id="1462571246">
      <w:bodyDiv w:val="1"/>
      <w:marLeft w:val="0"/>
      <w:marRight w:val="0"/>
      <w:marTop w:val="0"/>
      <w:marBottom w:val="0"/>
      <w:divBdr>
        <w:top w:val="none" w:sz="0" w:space="0" w:color="auto"/>
        <w:left w:val="none" w:sz="0" w:space="0" w:color="auto"/>
        <w:bottom w:val="none" w:sz="0" w:space="0" w:color="auto"/>
        <w:right w:val="none" w:sz="0" w:space="0" w:color="auto"/>
      </w:divBdr>
    </w:div>
    <w:div w:id="1519346136">
      <w:bodyDiv w:val="1"/>
      <w:marLeft w:val="0"/>
      <w:marRight w:val="0"/>
      <w:marTop w:val="0"/>
      <w:marBottom w:val="0"/>
      <w:divBdr>
        <w:top w:val="none" w:sz="0" w:space="0" w:color="auto"/>
        <w:left w:val="none" w:sz="0" w:space="0" w:color="auto"/>
        <w:bottom w:val="none" w:sz="0" w:space="0" w:color="auto"/>
        <w:right w:val="none" w:sz="0" w:space="0" w:color="auto"/>
      </w:divBdr>
    </w:div>
    <w:div w:id="153164445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2860611">
      <w:bodyDiv w:val="1"/>
      <w:marLeft w:val="0"/>
      <w:marRight w:val="0"/>
      <w:marTop w:val="0"/>
      <w:marBottom w:val="0"/>
      <w:divBdr>
        <w:top w:val="none" w:sz="0" w:space="0" w:color="auto"/>
        <w:left w:val="none" w:sz="0" w:space="0" w:color="auto"/>
        <w:bottom w:val="none" w:sz="0" w:space="0" w:color="auto"/>
        <w:right w:val="none" w:sz="0" w:space="0" w:color="auto"/>
      </w:divBdr>
    </w:div>
    <w:div w:id="1598708214">
      <w:bodyDiv w:val="1"/>
      <w:marLeft w:val="0"/>
      <w:marRight w:val="0"/>
      <w:marTop w:val="0"/>
      <w:marBottom w:val="0"/>
      <w:divBdr>
        <w:top w:val="none" w:sz="0" w:space="0" w:color="auto"/>
        <w:left w:val="none" w:sz="0" w:space="0" w:color="auto"/>
        <w:bottom w:val="none" w:sz="0" w:space="0" w:color="auto"/>
        <w:right w:val="none" w:sz="0" w:space="0" w:color="auto"/>
      </w:divBdr>
      <w:divsChild>
        <w:div w:id="112090755">
          <w:marLeft w:val="0"/>
          <w:marRight w:val="0"/>
          <w:marTop w:val="0"/>
          <w:marBottom w:val="0"/>
          <w:divBdr>
            <w:top w:val="none" w:sz="0" w:space="0" w:color="auto"/>
            <w:left w:val="none" w:sz="0" w:space="0" w:color="auto"/>
            <w:bottom w:val="none" w:sz="0" w:space="0" w:color="auto"/>
            <w:right w:val="none" w:sz="0" w:space="0" w:color="auto"/>
          </w:divBdr>
        </w:div>
      </w:divsChild>
    </w:div>
    <w:div w:id="1655523807">
      <w:bodyDiv w:val="1"/>
      <w:marLeft w:val="0"/>
      <w:marRight w:val="0"/>
      <w:marTop w:val="0"/>
      <w:marBottom w:val="0"/>
      <w:divBdr>
        <w:top w:val="none" w:sz="0" w:space="0" w:color="auto"/>
        <w:left w:val="none" w:sz="0" w:space="0" w:color="auto"/>
        <w:bottom w:val="none" w:sz="0" w:space="0" w:color="auto"/>
        <w:right w:val="none" w:sz="0" w:space="0" w:color="auto"/>
      </w:divBdr>
    </w:div>
    <w:div w:id="165761098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4352786">
      <w:bodyDiv w:val="1"/>
      <w:marLeft w:val="0"/>
      <w:marRight w:val="0"/>
      <w:marTop w:val="0"/>
      <w:marBottom w:val="0"/>
      <w:divBdr>
        <w:top w:val="none" w:sz="0" w:space="0" w:color="auto"/>
        <w:left w:val="none" w:sz="0" w:space="0" w:color="auto"/>
        <w:bottom w:val="none" w:sz="0" w:space="0" w:color="auto"/>
        <w:right w:val="none" w:sz="0" w:space="0" w:color="auto"/>
      </w:divBdr>
    </w:div>
    <w:div w:id="1736708397">
      <w:bodyDiv w:val="1"/>
      <w:marLeft w:val="0"/>
      <w:marRight w:val="0"/>
      <w:marTop w:val="0"/>
      <w:marBottom w:val="0"/>
      <w:divBdr>
        <w:top w:val="none" w:sz="0" w:space="0" w:color="auto"/>
        <w:left w:val="none" w:sz="0" w:space="0" w:color="auto"/>
        <w:bottom w:val="none" w:sz="0" w:space="0" w:color="auto"/>
        <w:right w:val="none" w:sz="0" w:space="0" w:color="auto"/>
      </w:divBdr>
      <w:divsChild>
        <w:div w:id="380787861">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6395147">
      <w:bodyDiv w:val="1"/>
      <w:marLeft w:val="0"/>
      <w:marRight w:val="0"/>
      <w:marTop w:val="0"/>
      <w:marBottom w:val="0"/>
      <w:divBdr>
        <w:top w:val="none" w:sz="0" w:space="0" w:color="auto"/>
        <w:left w:val="none" w:sz="0" w:space="0" w:color="auto"/>
        <w:bottom w:val="none" w:sz="0" w:space="0" w:color="auto"/>
        <w:right w:val="none" w:sz="0" w:space="0" w:color="auto"/>
      </w:divBdr>
      <w:divsChild>
        <w:div w:id="1848518261">
          <w:marLeft w:val="0"/>
          <w:marRight w:val="0"/>
          <w:marTop w:val="0"/>
          <w:marBottom w:val="0"/>
          <w:divBdr>
            <w:top w:val="none" w:sz="0" w:space="0" w:color="auto"/>
            <w:left w:val="none" w:sz="0" w:space="0" w:color="auto"/>
            <w:bottom w:val="none" w:sz="0" w:space="0" w:color="auto"/>
            <w:right w:val="none" w:sz="0" w:space="0" w:color="auto"/>
          </w:divBdr>
        </w:div>
      </w:divsChild>
    </w:div>
    <w:div w:id="1785492556">
      <w:bodyDiv w:val="1"/>
      <w:marLeft w:val="0"/>
      <w:marRight w:val="0"/>
      <w:marTop w:val="0"/>
      <w:marBottom w:val="0"/>
      <w:divBdr>
        <w:top w:val="none" w:sz="0" w:space="0" w:color="auto"/>
        <w:left w:val="none" w:sz="0" w:space="0" w:color="auto"/>
        <w:bottom w:val="none" w:sz="0" w:space="0" w:color="auto"/>
        <w:right w:val="none" w:sz="0" w:space="0" w:color="auto"/>
      </w:divBdr>
    </w:div>
    <w:div w:id="1859658127">
      <w:bodyDiv w:val="1"/>
      <w:marLeft w:val="0"/>
      <w:marRight w:val="0"/>
      <w:marTop w:val="0"/>
      <w:marBottom w:val="0"/>
      <w:divBdr>
        <w:top w:val="none" w:sz="0" w:space="0" w:color="auto"/>
        <w:left w:val="none" w:sz="0" w:space="0" w:color="auto"/>
        <w:bottom w:val="none" w:sz="0" w:space="0" w:color="auto"/>
        <w:right w:val="none" w:sz="0" w:space="0" w:color="auto"/>
      </w:divBdr>
      <w:divsChild>
        <w:div w:id="550193060">
          <w:marLeft w:val="0"/>
          <w:marRight w:val="0"/>
          <w:marTop w:val="0"/>
          <w:marBottom w:val="0"/>
          <w:divBdr>
            <w:top w:val="none" w:sz="0" w:space="0" w:color="auto"/>
            <w:left w:val="none" w:sz="0" w:space="0" w:color="auto"/>
            <w:bottom w:val="none" w:sz="0" w:space="0" w:color="auto"/>
            <w:right w:val="none" w:sz="0" w:space="0" w:color="auto"/>
          </w:divBdr>
        </w:div>
      </w:divsChild>
    </w:div>
    <w:div w:id="1860582522">
      <w:bodyDiv w:val="1"/>
      <w:marLeft w:val="0"/>
      <w:marRight w:val="0"/>
      <w:marTop w:val="0"/>
      <w:marBottom w:val="0"/>
      <w:divBdr>
        <w:top w:val="none" w:sz="0" w:space="0" w:color="auto"/>
        <w:left w:val="none" w:sz="0" w:space="0" w:color="auto"/>
        <w:bottom w:val="none" w:sz="0" w:space="0" w:color="auto"/>
        <w:right w:val="none" w:sz="0" w:space="0" w:color="auto"/>
      </w:divBdr>
    </w:div>
    <w:div w:id="189026738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1818172">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45517865">
      <w:bodyDiv w:val="1"/>
      <w:marLeft w:val="0"/>
      <w:marRight w:val="0"/>
      <w:marTop w:val="0"/>
      <w:marBottom w:val="0"/>
      <w:divBdr>
        <w:top w:val="none" w:sz="0" w:space="0" w:color="auto"/>
        <w:left w:val="none" w:sz="0" w:space="0" w:color="auto"/>
        <w:bottom w:val="none" w:sz="0" w:space="0" w:color="auto"/>
        <w:right w:val="none" w:sz="0" w:space="0" w:color="auto"/>
      </w:divBdr>
    </w:div>
    <w:div w:id="2070612305">
      <w:bodyDiv w:val="1"/>
      <w:marLeft w:val="0"/>
      <w:marRight w:val="0"/>
      <w:marTop w:val="0"/>
      <w:marBottom w:val="0"/>
      <w:divBdr>
        <w:top w:val="none" w:sz="0" w:space="0" w:color="auto"/>
        <w:left w:val="none" w:sz="0" w:space="0" w:color="auto"/>
        <w:bottom w:val="none" w:sz="0" w:space="0" w:color="auto"/>
        <w:right w:val="none" w:sz="0" w:space="0" w:color="auto"/>
      </w:divBdr>
    </w:div>
    <w:div w:id="2079597801">
      <w:bodyDiv w:val="1"/>
      <w:marLeft w:val="0"/>
      <w:marRight w:val="0"/>
      <w:marTop w:val="0"/>
      <w:marBottom w:val="0"/>
      <w:divBdr>
        <w:top w:val="none" w:sz="0" w:space="0" w:color="auto"/>
        <w:left w:val="none" w:sz="0" w:space="0" w:color="auto"/>
        <w:bottom w:val="none" w:sz="0" w:space="0" w:color="auto"/>
        <w:right w:val="none" w:sz="0" w:space="0" w:color="auto"/>
      </w:divBdr>
    </w:div>
    <w:div w:id="212973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7A139-1C24-4B43-999E-691BE7E4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C65EA-C5AB-481C-A542-0004D98EE195}">
  <ds:schemaRefs>
    <ds:schemaRef ds:uri="http://purl.org/dc/elements/1.1/"/>
    <ds:schemaRef ds:uri="http://schemas.microsoft.com/office/infopath/2007/PartnerControls"/>
    <ds:schemaRef ds:uri="7f856f8d-13b3-495a-9a4b-41f8182eda4c"/>
    <ds:schemaRef ds:uri="http://schemas.microsoft.com/office/2006/documentManagement/types"/>
    <ds:schemaRef ds:uri="72f95629-adac-4ec1-8738-e1cec852b92b"/>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2E28243-60DF-4C1F-A912-AAFB1987A38C}">
  <ds:schemaRefs>
    <ds:schemaRef ds:uri="http://schemas.openxmlformats.org/officeDocument/2006/bibliography"/>
  </ds:schemaRefs>
</ds:datastoreItem>
</file>

<file path=customXml/itemProps4.xml><?xml version="1.0" encoding="utf-8"?>
<ds:datastoreItem xmlns:ds="http://schemas.openxmlformats.org/officeDocument/2006/customXml" ds:itemID="{430AF797-2C97-4184-B441-72CFA0CF2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5546</Words>
  <Characters>30797</Characters>
  <Application>Microsoft Office Word</Application>
  <DocSecurity>0</DocSecurity>
  <Lines>917</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2026-03-19T23:36:00Z</dcterms:created>
  <dcterms:modified xsi:type="dcterms:W3CDTF">2026-03-19T23:36:00Z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703afc5,5b7ec33d,71937177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78a9598b,2a2eb32b,1bda0f59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2025-12-11T00:53:47Z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18713789-8650-4c97-bd69-d3a34f61b9d2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